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1BD88D" w14:textId="5DE12A00" w:rsidR="003D2782" w:rsidRPr="006527E3" w:rsidRDefault="00B95934" w:rsidP="006527E3">
      <w:pPr>
        <w:spacing w:after="120" w:line="360" w:lineRule="auto"/>
        <w:jc w:val="both"/>
        <w:rPr>
          <w:rFonts w:ascii="Times New Roman" w:hAnsi="Times New Roman" w:cs="Times New Roman"/>
          <w:b/>
        </w:rPr>
      </w:pPr>
      <w:bookmarkStart w:id="0" w:name="_GoBack"/>
      <w:bookmarkEnd w:id="0"/>
      <w:r>
        <w:rPr>
          <w:rFonts w:ascii="Times New Roman" w:hAnsi="Times New Roman" w:cs="Times New Roman"/>
          <w:b/>
        </w:rPr>
        <w:t>Bone mineral content and areal density, but not bone area</w:t>
      </w:r>
      <w:r w:rsidR="00721DB2">
        <w:rPr>
          <w:rFonts w:ascii="Times New Roman" w:hAnsi="Times New Roman" w:cs="Times New Roman"/>
          <w:b/>
        </w:rPr>
        <w:t>,</w:t>
      </w:r>
      <w:r>
        <w:rPr>
          <w:rFonts w:ascii="Times New Roman" w:hAnsi="Times New Roman" w:cs="Times New Roman"/>
          <w:b/>
        </w:rPr>
        <w:t xml:space="preserve"> predict incident</w:t>
      </w:r>
      <w:r w:rsidR="003D2782" w:rsidRPr="006527E3">
        <w:rPr>
          <w:rFonts w:ascii="Times New Roman" w:hAnsi="Times New Roman" w:cs="Times New Roman"/>
          <w:b/>
        </w:rPr>
        <w:t xml:space="preserve"> fracture risk: </w:t>
      </w:r>
      <w:r>
        <w:rPr>
          <w:rFonts w:ascii="Times New Roman" w:hAnsi="Times New Roman" w:cs="Times New Roman"/>
          <w:b/>
        </w:rPr>
        <w:t xml:space="preserve">a comparative study in a </w:t>
      </w:r>
      <w:r w:rsidR="003D2782" w:rsidRPr="006527E3">
        <w:rPr>
          <w:rFonts w:ascii="Times New Roman" w:hAnsi="Times New Roman" w:cs="Times New Roman"/>
          <w:b/>
        </w:rPr>
        <w:t>UK prospective cohort</w:t>
      </w:r>
    </w:p>
    <w:p w14:paraId="164F55C5" w14:textId="102D3301" w:rsidR="003D2782" w:rsidRPr="006527E3" w:rsidRDefault="003D2782" w:rsidP="006527E3">
      <w:pPr>
        <w:spacing w:after="120" w:line="360" w:lineRule="auto"/>
        <w:jc w:val="both"/>
        <w:rPr>
          <w:rFonts w:ascii="Times New Roman" w:hAnsi="Times New Roman" w:cs="Times New Roman"/>
        </w:rPr>
      </w:pPr>
      <w:r w:rsidRPr="006527E3">
        <w:rPr>
          <w:rFonts w:ascii="Times New Roman" w:hAnsi="Times New Roman" w:cs="Times New Roman"/>
        </w:rPr>
        <w:t>EM Curtis</w:t>
      </w:r>
      <w:r w:rsidR="00291762" w:rsidRPr="006527E3">
        <w:rPr>
          <w:rFonts w:ascii="Times New Roman" w:hAnsi="Times New Roman" w:cs="Times New Roman"/>
          <w:vertAlign w:val="superscript"/>
        </w:rPr>
        <w:t>1</w:t>
      </w:r>
      <w:r w:rsidR="00291762" w:rsidRPr="006527E3">
        <w:rPr>
          <w:rFonts w:ascii="Times New Roman" w:hAnsi="Times New Roman" w:cs="Times New Roman"/>
        </w:rPr>
        <w:t>*</w:t>
      </w:r>
      <w:r w:rsidRPr="006527E3">
        <w:rPr>
          <w:rFonts w:ascii="Times New Roman" w:hAnsi="Times New Roman" w:cs="Times New Roman"/>
        </w:rPr>
        <w:t>, NC Harvey</w:t>
      </w:r>
      <w:r w:rsidR="00291762" w:rsidRPr="006527E3">
        <w:rPr>
          <w:rFonts w:ascii="Times New Roman" w:hAnsi="Times New Roman" w:cs="Times New Roman"/>
          <w:vertAlign w:val="superscript"/>
        </w:rPr>
        <w:t>1,2</w:t>
      </w:r>
      <w:r w:rsidR="00291762" w:rsidRPr="006527E3">
        <w:rPr>
          <w:rFonts w:ascii="Times New Roman" w:hAnsi="Times New Roman" w:cs="Times New Roman"/>
        </w:rPr>
        <w:t>*</w:t>
      </w:r>
      <w:r w:rsidRPr="006527E3">
        <w:rPr>
          <w:rFonts w:ascii="Times New Roman" w:hAnsi="Times New Roman" w:cs="Times New Roman"/>
        </w:rPr>
        <w:t>, S D’Angelo</w:t>
      </w:r>
      <w:r w:rsidR="00291762" w:rsidRPr="006527E3">
        <w:rPr>
          <w:rFonts w:ascii="Times New Roman" w:hAnsi="Times New Roman" w:cs="Times New Roman"/>
          <w:vertAlign w:val="superscript"/>
        </w:rPr>
        <w:t>1</w:t>
      </w:r>
      <w:r w:rsidRPr="006527E3">
        <w:rPr>
          <w:rFonts w:ascii="Times New Roman" w:hAnsi="Times New Roman" w:cs="Times New Roman"/>
        </w:rPr>
        <w:t>, CS Cooper</w:t>
      </w:r>
      <w:r w:rsidR="00291762" w:rsidRPr="006527E3">
        <w:rPr>
          <w:rFonts w:ascii="Times New Roman" w:hAnsi="Times New Roman" w:cs="Times New Roman"/>
          <w:vertAlign w:val="superscript"/>
        </w:rPr>
        <w:t>1</w:t>
      </w:r>
      <w:r w:rsidRPr="006527E3">
        <w:rPr>
          <w:rFonts w:ascii="Times New Roman" w:hAnsi="Times New Roman" w:cs="Times New Roman"/>
        </w:rPr>
        <w:t xml:space="preserve">, </w:t>
      </w:r>
      <w:r w:rsidR="00750743">
        <w:rPr>
          <w:rFonts w:ascii="Times New Roman" w:hAnsi="Times New Roman" w:cs="Times New Roman"/>
        </w:rPr>
        <w:t>KA Ward</w:t>
      </w:r>
      <w:r w:rsidR="00750743" w:rsidRPr="00750743">
        <w:rPr>
          <w:rFonts w:ascii="Times New Roman" w:hAnsi="Times New Roman" w:cs="Times New Roman"/>
          <w:vertAlign w:val="superscript"/>
        </w:rPr>
        <w:t>1</w:t>
      </w:r>
      <w:r w:rsidR="00573B7D">
        <w:rPr>
          <w:rFonts w:ascii="Times New Roman" w:hAnsi="Times New Roman" w:cs="Times New Roman"/>
          <w:vertAlign w:val="superscript"/>
        </w:rPr>
        <w:t>,3</w:t>
      </w:r>
      <w:r w:rsidR="00750743">
        <w:rPr>
          <w:rFonts w:ascii="Times New Roman" w:hAnsi="Times New Roman" w:cs="Times New Roman"/>
        </w:rPr>
        <w:t xml:space="preserve">, </w:t>
      </w:r>
      <w:r w:rsidRPr="006527E3">
        <w:rPr>
          <w:rFonts w:ascii="Times New Roman" w:hAnsi="Times New Roman" w:cs="Times New Roman"/>
        </w:rPr>
        <w:t>P Taylor</w:t>
      </w:r>
      <w:r w:rsidR="00573B7D">
        <w:rPr>
          <w:rFonts w:ascii="Times New Roman" w:hAnsi="Times New Roman" w:cs="Times New Roman"/>
          <w:vertAlign w:val="superscript"/>
        </w:rPr>
        <w:t>4</w:t>
      </w:r>
      <w:r w:rsidRPr="006527E3">
        <w:rPr>
          <w:rFonts w:ascii="Times New Roman" w:hAnsi="Times New Roman" w:cs="Times New Roman"/>
        </w:rPr>
        <w:t>, G Pearson</w:t>
      </w:r>
      <w:r w:rsidR="00573B7D">
        <w:rPr>
          <w:rFonts w:ascii="Times New Roman" w:hAnsi="Times New Roman" w:cs="Times New Roman"/>
          <w:vertAlign w:val="superscript"/>
        </w:rPr>
        <w:t>4</w:t>
      </w:r>
      <w:r w:rsidRPr="006527E3">
        <w:rPr>
          <w:rFonts w:ascii="Times New Roman" w:hAnsi="Times New Roman" w:cs="Times New Roman"/>
        </w:rPr>
        <w:t>, C Cooper</w:t>
      </w:r>
      <w:r w:rsidR="00291762" w:rsidRPr="006527E3">
        <w:rPr>
          <w:rFonts w:ascii="Times New Roman" w:hAnsi="Times New Roman" w:cs="Times New Roman"/>
          <w:vertAlign w:val="superscript"/>
        </w:rPr>
        <w:t>1,2,</w:t>
      </w:r>
      <w:r w:rsidR="00573B7D">
        <w:rPr>
          <w:rFonts w:ascii="Times New Roman" w:hAnsi="Times New Roman" w:cs="Times New Roman"/>
          <w:vertAlign w:val="superscript"/>
        </w:rPr>
        <w:t>5</w:t>
      </w:r>
    </w:p>
    <w:p w14:paraId="7C9A110C" w14:textId="77777777" w:rsidR="00291762" w:rsidRPr="006527E3" w:rsidRDefault="00291762" w:rsidP="006527E3">
      <w:pPr>
        <w:spacing w:after="120" w:line="360" w:lineRule="auto"/>
        <w:jc w:val="both"/>
        <w:rPr>
          <w:rFonts w:ascii="Times New Roman" w:hAnsi="Times New Roman" w:cs="Times New Roman"/>
        </w:rPr>
      </w:pPr>
      <w:r w:rsidRPr="006527E3">
        <w:rPr>
          <w:rFonts w:ascii="Times New Roman" w:hAnsi="Times New Roman" w:cs="Times New Roman"/>
          <w:vertAlign w:val="superscript"/>
        </w:rPr>
        <w:t>1</w:t>
      </w:r>
      <w:r w:rsidRPr="006527E3">
        <w:rPr>
          <w:rFonts w:ascii="Times New Roman" w:hAnsi="Times New Roman" w:cs="Times New Roman"/>
        </w:rPr>
        <w:t>MRC Lifecourse Epidemiology Unit, University of Southampton, UK</w:t>
      </w:r>
    </w:p>
    <w:p w14:paraId="3D8CF930" w14:textId="77777777" w:rsidR="00291762" w:rsidRDefault="00291762" w:rsidP="006527E3">
      <w:pPr>
        <w:spacing w:after="120" w:line="360" w:lineRule="auto"/>
        <w:jc w:val="both"/>
        <w:rPr>
          <w:rFonts w:ascii="Times New Roman" w:hAnsi="Times New Roman" w:cs="Times New Roman"/>
        </w:rPr>
      </w:pPr>
      <w:r w:rsidRPr="006527E3">
        <w:rPr>
          <w:rFonts w:ascii="Times New Roman" w:hAnsi="Times New Roman" w:cs="Times New Roman"/>
          <w:vertAlign w:val="superscript"/>
        </w:rPr>
        <w:t>2</w:t>
      </w:r>
      <w:r w:rsidRPr="006527E3">
        <w:rPr>
          <w:rFonts w:ascii="Times New Roman" w:hAnsi="Times New Roman" w:cs="Times New Roman"/>
        </w:rPr>
        <w:t xml:space="preserve">NIHR Southampton Nutrition Biomedical Research Centre, University of Southampton and University Hospital Southampton NHS Foundation Trust, UK </w:t>
      </w:r>
    </w:p>
    <w:p w14:paraId="6E4AAF5D" w14:textId="423685AF" w:rsidR="00573B7D" w:rsidRPr="006527E3" w:rsidRDefault="00573B7D" w:rsidP="006527E3">
      <w:pPr>
        <w:spacing w:after="120" w:line="360" w:lineRule="auto"/>
        <w:jc w:val="both"/>
        <w:rPr>
          <w:rFonts w:ascii="Times New Roman" w:hAnsi="Times New Roman" w:cs="Times New Roman"/>
        </w:rPr>
      </w:pPr>
      <w:r w:rsidRPr="00573B7D">
        <w:rPr>
          <w:rFonts w:ascii="Times New Roman" w:hAnsi="Times New Roman" w:cs="Times New Roman"/>
          <w:vertAlign w:val="superscript"/>
        </w:rPr>
        <w:t>3</w:t>
      </w:r>
      <w:r>
        <w:rPr>
          <w:rFonts w:ascii="Times New Roman" w:hAnsi="Times New Roman" w:cs="Times New Roman"/>
        </w:rPr>
        <w:t>MRC Human Nutrition Research, Cambridge, UK</w:t>
      </w:r>
    </w:p>
    <w:p w14:paraId="64407BC7" w14:textId="2E55AB6C" w:rsidR="00291762" w:rsidRPr="006527E3" w:rsidRDefault="00573B7D" w:rsidP="006527E3">
      <w:pPr>
        <w:spacing w:after="120" w:line="360" w:lineRule="auto"/>
        <w:jc w:val="both"/>
        <w:rPr>
          <w:rFonts w:ascii="Times New Roman" w:hAnsi="Times New Roman" w:cs="Times New Roman"/>
        </w:rPr>
      </w:pPr>
      <w:r>
        <w:rPr>
          <w:rFonts w:ascii="Times New Roman" w:hAnsi="Times New Roman" w:cs="Times New Roman"/>
          <w:vertAlign w:val="superscript"/>
        </w:rPr>
        <w:t>4</w:t>
      </w:r>
      <w:r w:rsidR="00291762" w:rsidRPr="006527E3">
        <w:rPr>
          <w:rFonts w:ascii="Times New Roman" w:hAnsi="Times New Roman" w:cs="Times New Roman"/>
        </w:rPr>
        <w:t xml:space="preserve">Osteoporosis Centre, University Hospital Southampton NHS Foundation Trust, UK </w:t>
      </w:r>
    </w:p>
    <w:p w14:paraId="18D97D3A" w14:textId="60F75BDC" w:rsidR="00291762" w:rsidRPr="006527E3" w:rsidRDefault="00573B7D" w:rsidP="006527E3">
      <w:pPr>
        <w:spacing w:after="120" w:line="360" w:lineRule="auto"/>
        <w:jc w:val="both"/>
        <w:rPr>
          <w:rFonts w:ascii="Times New Roman" w:hAnsi="Times New Roman" w:cs="Times New Roman"/>
        </w:rPr>
      </w:pPr>
      <w:r>
        <w:rPr>
          <w:rFonts w:ascii="Times New Roman" w:hAnsi="Times New Roman" w:cs="Times New Roman"/>
          <w:vertAlign w:val="superscript"/>
        </w:rPr>
        <w:t>5</w:t>
      </w:r>
      <w:r w:rsidR="00291762" w:rsidRPr="006527E3">
        <w:rPr>
          <w:rFonts w:ascii="Times New Roman" w:hAnsi="Times New Roman" w:cs="Times New Roman"/>
        </w:rPr>
        <w:t>NIHR Musculoskeletal Biomedical Research Unit, University of Oxford, UK</w:t>
      </w:r>
    </w:p>
    <w:p w14:paraId="6AA5DE2E" w14:textId="77777777" w:rsidR="00291762" w:rsidRPr="006527E3" w:rsidRDefault="00291762" w:rsidP="006527E3">
      <w:pPr>
        <w:spacing w:after="120" w:line="360" w:lineRule="auto"/>
        <w:jc w:val="both"/>
        <w:rPr>
          <w:rFonts w:ascii="Times New Roman" w:hAnsi="Times New Roman" w:cs="Times New Roman"/>
        </w:rPr>
      </w:pPr>
    </w:p>
    <w:p w14:paraId="784968D1" w14:textId="77777777" w:rsidR="00291762" w:rsidRPr="006527E3" w:rsidRDefault="00291762" w:rsidP="006527E3">
      <w:pPr>
        <w:spacing w:after="120" w:line="360" w:lineRule="auto"/>
        <w:jc w:val="both"/>
        <w:rPr>
          <w:rFonts w:ascii="Times New Roman" w:hAnsi="Times New Roman" w:cs="Times New Roman"/>
        </w:rPr>
      </w:pPr>
      <w:r w:rsidRPr="006527E3">
        <w:rPr>
          <w:rFonts w:ascii="Times New Roman" w:hAnsi="Times New Roman" w:cs="Times New Roman"/>
        </w:rPr>
        <w:t>*EMC and NCH are joint first author</w:t>
      </w:r>
    </w:p>
    <w:p w14:paraId="33471F86" w14:textId="77777777" w:rsidR="00291762" w:rsidRPr="006527E3" w:rsidRDefault="00291762" w:rsidP="006527E3">
      <w:pPr>
        <w:spacing w:after="120" w:line="360" w:lineRule="auto"/>
        <w:jc w:val="both"/>
        <w:rPr>
          <w:rFonts w:ascii="Times New Roman" w:hAnsi="Times New Roman" w:cs="Times New Roman"/>
        </w:rPr>
      </w:pPr>
    </w:p>
    <w:p w14:paraId="4A912C6C" w14:textId="77777777" w:rsidR="00291762" w:rsidRPr="006527E3" w:rsidRDefault="00291762" w:rsidP="006527E3">
      <w:pPr>
        <w:spacing w:after="120" w:line="360" w:lineRule="auto"/>
        <w:jc w:val="both"/>
        <w:rPr>
          <w:rFonts w:ascii="Times New Roman" w:hAnsi="Times New Roman" w:cs="Times New Roman"/>
          <w:b/>
          <w:lang w:val="en-NZ"/>
        </w:rPr>
      </w:pPr>
      <w:r w:rsidRPr="006527E3">
        <w:rPr>
          <w:rFonts w:ascii="Times New Roman" w:hAnsi="Times New Roman" w:cs="Times New Roman"/>
          <w:b/>
          <w:lang w:val="en-NZ"/>
        </w:rPr>
        <w:t>Corresponding Author and person to whom reprint requests should be addressed:</w:t>
      </w:r>
    </w:p>
    <w:p w14:paraId="3E6215C8" w14:textId="77777777" w:rsidR="00291762" w:rsidRPr="006527E3" w:rsidRDefault="00291762" w:rsidP="006527E3">
      <w:pPr>
        <w:spacing w:after="120" w:line="360" w:lineRule="auto"/>
        <w:jc w:val="both"/>
        <w:rPr>
          <w:rFonts w:ascii="Times New Roman" w:hAnsi="Times New Roman" w:cs="Times New Roman"/>
          <w:lang w:val="en-NZ"/>
        </w:rPr>
      </w:pPr>
      <w:r w:rsidRPr="006527E3">
        <w:rPr>
          <w:rFonts w:ascii="Times New Roman" w:hAnsi="Times New Roman" w:cs="Times New Roman"/>
          <w:lang w:val="en-NZ"/>
        </w:rPr>
        <w:t>Professor Cyrus Cooper,</w:t>
      </w:r>
    </w:p>
    <w:p w14:paraId="53EA7EBC" w14:textId="77777777" w:rsidR="00291762" w:rsidRPr="006527E3" w:rsidRDefault="00291762" w:rsidP="006527E3">
      <w:pPr>
        <w:spacing w:after="120" w:line="360" w:lineRule="auto"/>
        <w:jc w:val="both"/>
        <w:rPr>
          <w:rFonts w:ascii="Times New Roman" w:hAnsi="Times New Roman" w:cs="Times New Roman"/>
          <w:lang w:val="en-NZ"/>
        </w:rPr>
      </w:pPr>
      <w:r w:rsidRPr="006527E3">
        <w:rPr>
          <w:rFonts w:ascii="Times New Roman" w:hAnsi="Times New Roman" w:cs="Times New Roman"/>
          <w:lang w:val="en-NZ"/>
        </w:rPr>
        <w:t>MRC Lifecourse Epidemiology Unit,</w:t>
      </w:r>
    </w:p>
    <w:p w14:paraId="660CCD68" w14:textId="77777777" w:rsidR="00291762" w:rsidRPr="006527E3" w:rsidRDefault="00291762" w:rsidP="006527E3">
      <w:pPr>
        <w:spacing w:after="120" w:line="360" w:lineRule="auto"/>
        <w:jc w:val="both"/>
        <w:rPr>
          <w:rFonts w:ascii="Times New Roman" w:hAnsi="Times New Roman" w:cs="Times New Roman"/>
          <w:lang w:val="en-NZ"/>
        </w:rPr>
      </w:pPr>
      <w:r w:rsidRPr="006527E3">
        <w:rPr>
          <w:rFonts w:ascii="Times New Roman" w:hAnsi="Times New Roman" w:cs="Times New Roman"/>
          <w:lang w:val="en-NZ"/>
        </w:rPr>
        <w:t>University of Southampton,</w:t>
      </w:r>
    </w:p>
    <w:p w14:paraId="14310A31" w14:textId="77777777" w:rsidR="00291762" w:rsidRPr="006527E3" w:rsidRDefault="00291762" w:rsidP="006527E3">
      <w:pPr>
        <w:spacing w:after="120" w:line="360" w:lineRule="auto"/>
        <w:jc w:val="both"/>
        <w:rPr>
          <w:rFonts w:ascii="Times New Roman" w:hAnsi="Times New Roman" w:cs="Times New Roman"/>
          <w:lang w:val="en-NZ"/>
        </w:rPr>
      </w:pPr>
      <w:r w:rsidRPr="006527E3">
        <w:rPr>
          <w:rFonts w:ascii="Times New Roman" w:hAnsi="Times New Roman" w:cs="Times New Roman"/>
          <w:lang w:val="en-NZ"/>
        </w:rPr>
        <w:t>Southampton General Hospital,</w:t>
      </w:r>
    </w:p>
    <w:p w14:paraId="3860B37F" w14:textId="77777777" w:rsidR="00291762" w:rsidRPr="006527E3" w:rsidRDefault="00291762" w:rsidP="006527E3">
      <w:pPr>
        <w:spacing w:after="120" w:line="360" w:lineRule="auto"/>
        <w:jc w:val="both"/>
        <w:rPr>
          <w:rFonts w:ascii="Times New Roman" w:hAnsi="Times New Roman" w:cs="Times New Roman"/>
          <w:lang w:val="en-NZ"/>
        </w:rPr>
      </w:pPr>
      <w:r w:rsidRPr="006527E3">
        <w:rPr>
          <w:rFonts w:ascii="Times New Roman" w:hAnsi="Times New Roman" w:cs="Times New Roman"/>
          <w:lang w:val="en-NZ"/>
        </w:rPr>
        <w:t>Southampton.</w:t>
      </w:r>
    </w:p>
    <w:p w14:paraId="70D2E3BA" w14:textId="77777777" w:rsidR="00291762" w:rsidRPr="006527E3" w:rsidRDefault="00291762" w:rsidP="006527E3">
      <w:pPr>
        <w:spacing w:after="120" w:line="360" w:lineRule="auto"/>
        <w:jc w:val="both"/>
        <w:rPr>
          <w:rFonts w:ascii="Times New Roman" w:hAnsi="Times New Roman" w:cs="Times New Roman"/>
          <w:lang w:val="en-NZ"/>
        </w:rPr>
      </w:pPr>
      <w:r w:rsidRPr="006527E3">
        <w:rPr>
          <w:rFonts w:ascii="Times New Roman" w:hAnsi="Times New Roman" w:cs="Times New Roman"/>
          <w:lang w:val="en-NZ"/>
        </w:rPr>
        <w:t>SO16 6YD</w:t>
      </w:r>
    </w:p>
    <w:p w14:paraId="6577598B" w14:textId="77777777" w:rsidR="00291762" w:rsidRPr="006527E3" w:rsidRDefault="00291762" w:rsidP="006527E3">
      <w:pPr>
        <w:spacing w:after="120" w:line="360" w:lineRule="auto"/>
        <w:jc w:val="both"/>
        <w:rPr>
          <w:rFonts w:ascii="Times New Roman" w:hAnsi="Times New Roman" w:cs="Times New Roman"/>
          <w:lang w:val="en-NZ"/>
        </w:rPr>
      </w:pPr>
      <w:r w:rsidRPr="006527E3">
        <w:rPr>
          <w:rFonts w:ascii="Times New Roman" w:hAnsi="Times New Roman" w:cs="Times New Roman"/>
          <w:lang w:val="en-NZ"/>
        </w:rPr>
        <w:t>Tel: 023 8077 7624</w:t>
      </w:r>
    </w:p>
    <w:p w14:paraId="2EB316D1" w14:textId="77777777" w:rsidR="00291762" w:rsidRPr="006527E3" w:rsidRDefault="00291762" w:rsidP="006527E3">
      <w:pPr>
        <w:spacing w:after="120" w:line="360" w:lineRule="auto"/>
        <w:jc w:val="both"/>
        <w:rPr>
          <w:rFonts w:ascii="Times New Roman" w:hAnsi="Times New Roman" w:cs="Times New Roman"/>
          <w:lang w:val="en-NZ"/>
        </w:rPr>
      </w:pPr>
      <w:r w:rsidRPr="006527E3">
        <w:rPr>
          <w:rFonts w:ascii="Times New Roman" w:hAnsi="Times New Roman" w:cs="Times New Roman"/>
          <w:lang w:val="en-NZ"/>
        </w:rPr>
        <w:t>Fax: 023 8070 4021</w:t>
      </w:r>
    </w:p>
    <w:p w14:paraId="277F2A4B" w14:textId="77777777" w:rsidR="00291762" w:rsidRPr="006527E3" w:rsidRDefault="00291762" w:rsidP="006527E3">
      <w:pPr>
        <w:spacing w:after="120" w:line="360" w:lineRule="auto"/>
        <w:jc w:val="both"/>
        <w:rPr>
          <w:rFonts w:ascii="Times New Roman" w:hAnsi="Times New Roman" w:cs="Times New Roman"/>
        </w:rPr>
      </w:pPr>
      <w:r w:rsidRPr="006527E3">
        <w:rPr>
          <w:rFonts w:ascii="Times New Roman" w:hAnsi="Times New Roman" w:cs="Times New Roman"/>
          <w:lang w:val="en-NZ"/>
        </w:rPr>
        <w:t>Email: cc@mrc.soton.ac.uk</w:t>
      </w:r>
    </w:p>
    <w:p w14:paraId="548634F8" w14:textId="77777777" w:rsidR="001413D4" w:rsidRPr="006527E3" w:rsidRDefault="001413D4" w:rsidP="006527E3">
      <w:pPr>
        <w:spacing w:after="120" w:line="360" w:lineRule="auto"/>
        <w:jc w:val="both"/>
        <w:rPr>
          <w:rFonts w:ascii="Times New Roman" w:hAnsi="Times New Roman" w:cs="Times New Roman"/>
        </w:rPr>
      </w:pPr>
    </w:p>
    <w:p w14:paraId="3BAAF100" w14:textId="77777777" w:rsidR="001413D4" w:rsidRPr="006527E3" w:rsidRDefault="001413D4" w:rsidP="006527E3">
      <w:pPr>
        <w:spacing w:after="120" w:line="360" w:lineRule="auto"/>
        <w:jc w:val="both"/>
        <w:rPr>
          <w:rFonts w:ascii="Times New Roman" w:hAnsi="Times New Roman" w:cs="Times New Roman"/>
        </w:rPr>
      </w:pPr>
      <w:r w:rsidRPr="006527E3">
        <w:rPr>
          <w:rFonts w:ascii="Times New Roman" w:hAnsi="Times New Roman" w:cs="Times New Roman"/>
        </w:rPr>
        <w:t>Word count:</w:t>
      </w:r>
      <w:r w:rsidR="009B25F8" w:rsidRPr="006527E3">
        <w:rPr>
          <w:rFonts w:ascii="Times New Roman" w:hAnsi="Times New Roman" w:cs="Times New Roman"/>
        </w:rPr>
        <w:t xml:space="preserve"> 3</w:t>
      </w:r>
      <w:r w:rsidR="00846324" w:rsidRPr="006527E3">
        <w:rPr>
          <w:rFonts w:ascii="Times New Roman" w:hAnsi="Times New Roman" w:cs="Times New Roman"/>
        </w:rPr>
        <w:t>106</w:t>
      </w:r>
    </w:p>
    <w:p w14:paraId="27EC5DD9" w14:textId="58C4894A" w:rsidR="001413D4" w:rsidRPr="006527E3" w:rsidRDefault="001413D4" w:rsidP="006527E3">
      <w:pPr>
        <w:spacing w:after="120" w:line="360" w:lineRule="auto"/>
        <w:jc w:val="both"/>
        <w:rPr>
          <w:rFonts w:ascii="Times New Roman" w:hAnsi="Times New Roman" w:cs="Times New Roman"/>
        </w:rPr>
      </w:pPr>
      <w:r w:rsidRPr="006527E3">
        <w:rPr>
          <w:rFonts w:ascii="Times New Roman" w:hAnsi="Times New Roman" w:cs="Times New Roman"/>
        </w:rPr>
        <w:t>Number of tables:</w:t>
      </w:r>
      <w:r w:rsidR="00772845">
        <w:rPr>
          <w:rFonts w:ascii="Times New Roman" w:hAnsi="Times New Roman" w:cs="Times New Roman"/>
        </w:rPr>
        <w:t xml:space="preserve"> 3</w:t>
      </w:r>
    </w:p>
    <w:p w14:paraId="31D9274C" w14:textId="77777777" w:rsidR="001413D4" w:rsidRPr="006527E3" w:rsidRDefault="001413D4" w:rsidP="006527E3">
      <w:pPr>
        <w:spacing w:after="120" w:line="360" w:lineRule="auto"/>
        <w:jc w:val="both"/>
        <w:rPr>
          <w:rFonts w:ascii="Times New Roman" w:hAnsi="Times New Roman" w:cs="Times New Roman"/>
        </w:rPr>
      </w:pPr>
      <w:r w:rsidRPr="006527E3">
        <w:rPr>
          <w:rFonts w:ascii="Times New Roman" w:hAnsi="Times New Roman" w:cs="Times New Roman"/>
        </w:rPr>
        <w:t>Number of figures:</w:t>
      </w:r>
      <w:r w:rsidR="009B25F8" w:rsidRPr="006527E3">
        <w:rPr>
          <w:rFonts w:ascii="Times New Roman" w:hAnsi="Times New Roman" w:cs="Times New Roman"/>
        </w:rPr>
        <w:t xml:space="preserve"> 2</w:t>
      </w:r>
    </w:p>
    <w:p w14:paraId="72C563CD" w14:textId="77777777" w:rsidR="001413D4" w:rsidRPr="006527E3" w:rsidRDefault="001413D4" w:rsidP="006527E3">
      <w:pPr>
        <w:spacing w:after="120" w:line="360" w:lineRule="auto"/>
        <w:jc w:val="both"/>
        <w:rPr>
          <w:rFonts w:ascii="Times New Roman" w:hAnsi="Times New Roman" w:cs="Times New Roman"/>
        </w:rPr>
      </w:pPr>
      <w:r w:rsidRPr="006527E3">
        <w:rPr>
          <w:rFonts w:ascii="Times New Roman" w:hAnsi="Times New Roman" w:cs="Times New Roman"/>
        </w:rPr>
        <w:t>Key words: Epidemiology, osteoporosis, BMC, BMD, size, density, DXA, fracture</w:t>
      </w:r>
    </w:p>
    <w:p w14:paraId="19929D78" w14:textId="170EC9F9" w:rsidR="00291762" w:rsidRPr="006527E3" w:rsidRDefault="001413D4" w:rsidP="006527E3">
      <w:pPr>
        <w:spacing w:after="120" w:line="360" w:lineRule="auto"/>
        <w:jc w:val="both"/>
        <w:rPr>
          <w:rFonts w:ascii="Times New Roman" w:hAnsi="Times New Roman" w:cs="Times New Roman"/>
        </w:rPr>
      </w:pPr>
      <w:r w:rsidRPr="006527E3">
        <w:rPr>
          <w:rFonts w:ascii="Times New Roman" w:hAnsi="Times New Roman" w:cs="Times New Roman"/>
        </w:rPr>
        <w:lastRenderedPageBreak/>
        <w:t xml:space="preserve">Disclosures: </w:t>
      </w:r>
      <w:r w:rsidR="006527E3" w:rsidRPr="006527E3">
        <w:rPr>
          <w:rFonts w:ascii="Times New Roman" w:hAnsi="Times New Roman" w:cs="Times New Roman"/>
        </w:rPr>
        <w:t xml:space="preserve">EM Curtis, NC Harvey, S D’Angelo, CS Cooper, </w:t>
      </w:r>
      <w:r w:rsidR="00174DBD">
        <w:rPr>
          <w:rFonts w:ascii="Times New Roman" w:hAnsi="Times New Roman" w:cs="Times New Roman"/>
        </w:rPr>
        <w:t xml:space="preserve">KA Ward, </w:t>
      </w:r>
      <w:r w:rsidR="006527E3" w:rsidRPr="006527E3">
        <w:rPr>
          <w:rFonts w:ascii="Times New Roman" w:hAnsi="Times New Roman" w:cs="Times New Roman"/>
        </w:rPr>
        <w:t>P Taylor, G Pearson, C Cooper</w:t>
      </w:r>
      <w:r w:rsidR="006527E3">
        <w:rPr>
          <w:rFonts w:ascii="Times New Roman" w:hAnsi="Times New Roman" w:cs="Times New Roman"/>
        </w:rPr>
        <w:t xml:space="preserve"> </w:t>
      </w:r>
      <w:r w:rsidRPr="006527E3">
        <w:rPr>
          <w:rFonts w:ascii="Times New Roman" w:hAnsi="Times New Roman" w:cs="Times New Roman"/>
        </w:rPr>
        <w:t>declare no conflicts of interest in relation to this paper.</w:t>
      </w:r>
      <w:r w:rsidR="00291762" w:rsidRPr="006527E3">
        <w:rPr>
          <w:rFonts w:ascii="Times New Roman" w:hAnsi="Times New Roman" w:cs="Times New Roman"/>
        </w:rPr>
        <w:br w:type="page"/>
      </w:r>
    </w:p>
    <w:p w14:paraId="28AFD0F3" w14:textId="77777777" w:rsidR="00291762" w:rsidRDefault="00291762" w:rsidP="006527E3">
      <w:pPr>
        <w:spacing w:after="120" w:line="360" w:lineRule="auto"/>
        <w:jc w:val="both"/>
        <w:rPr>
          <w:rFonts w:ascii="Times New Roman" w:hAnsi="Times New Roman" w:cs="Times New Roman"/>
          <w:b/>
        </w:rPr>
      </w:pPr>
      <w:r w:rsidRPr="006527E3">
        <w:rPr>
          <w:rFonts w:ascii="Times New Roman" w:hAnsi="Times New Roman" w:cs="Times New Roman"/>
          <w:b/>
        </w:rPr>
        <w:lastRenderedPageBreak/>
        <w:t>Abstract</w:t>
      </w:r>
    </w:p>
    <w:p w14:paraId="10B1A8D6" w14:textId="0AA6D431" w:rsidR="00A12D83" w:rsidRPr="006527E3" w:rsidRDefault="00A12D83" w:rsidP="006527E3">
      <w:pPr>
        <w:spacing w:after="120" w:line="360" w:lineRule="auto"/>
        <w:jc w:val="both"/>
        <w:rPr>
          <w:rFonts w:ascii="Times New Roman" w:hAnsi="Times New Roman" w:cs="Times New Roman"/>
          <w:b/>
        </w:rPr>
      </w:pPr>
      <w:r>
        <w:rPr>
          <w:rFonts w:ascii="Times New Roman" w:hAnsi="Times New Roman" w:cs="Times New Roman"/>
          <w:b/>
        </w:rPr>
        <w:t>Background</w:t>
      </w:r>
    </w:p>
    <w:p w14:paraId="7BEFB145" w14:textId="63C17BA7" w:rsidR="008D116E" w:rsidRDefault="00A12D83" w:rsidP="006527E3">
      <w:pPr>
        <w:spacing w:after="120" w:line="360" w:lineRule="auto"/>
        <w:jc w:val="both"/>
        <w:rPr>
          <w:rFonts w:ascii="Times New Roman" w:hAnsi="Times New Roman" w:cs="Times New Roman"/>
        </w:rPr>
      </w:pPr>
      <w:r>
        <w:rPr>
          <w:rFonts w:ascii="Times New Roman" w:hAnsi="Times New Roman" w:cs="Times New Roman"/>
        </w:rPr>
        <w:t>L</w:t>
      </w:r>
      <w:r w:rsidR="008D116E" w:rsidRPr="006527E3">
        <w:rPr>
          <w:rFonts w:ascii="Times New Roman" w:hAnsi="Times New Roman" w:cs="Times New Roman"/>
        </w:rPr>
        <w:t xml:space="preserve">ow </w:t>
      </w:r>
      <w:r w:rsidR="00BB55EE" w:rsidRPr="006527E3">
        <w:rPr>
          <w:rFonts w:ascii="Times New Roman" w:hAnsi="Times New Roman" w:cs="Times New Roman"/>
        </w:rPr>
        <w:t>areal bone mineral density (</w:t>
      </w:r>
      <w:r w:rsidR="005E0814">
        <w:rPr>
          <w:rFonts w:ascii="Times New Roman" w:hAnsi="Times New Roman" w:cs="Times New Roman"/>
        </w:rPr>
        <w:t>a</w:t>
      </w:r>
      <w:r w:rsidR="008D116E" w:rsidRPr="006527E3">
        <w:rPr>
          <w:rFonts w:ascii="Times New Roman" w:hAnsi="Times New Roman" w:cs="Times New Roman"/>
        </w:rPr>
        <w:t>BMD</w:t>
      </w:r>
      <w:r w:rsidR="00BB55EE" w:rsidRPr="006527E3">
        <w:rPr>
          <w:rFonts w:ascii="Times New Roman" w:hAnsi="Times New Roman" w:cs="Times New Roman"/>
        </w:rPr>
        <w:t>), measured by dual-energy X-ray absorptiometry (DXA),</w:t>
      </w:r>
      <w:r w:rsidR="008D116E" w:rsidRPr="006527E3">
        <w:rPr>
          <w:rFonts w:ascii="Times New Roman" w:hAnsi="Times New Roman" w:cs="Times New Roman"/>
        </w:rPr>
        <w:t xml:space="preserve"> is a well-established risk factor for future fracture,</w:t>
      </w:r>
      <w:r>
        <w:rPr>
          <w:rFonts w:ascii="Times New Roman" w:hAnsi="Times New Roman" w:cs="Times New Roman"/>
        </w:rPr>
        <w:t xml:space="preserve"> but</w:t>
      </w:r>
      <w:r w:rsidR="008D116E" w:rsidRPr="006527E3">
        <w:rPr>
          <w:rFonts w:ascii="Times New Roman" w:hAnsi="Times New Roman" w:cs="Times New Roman"/>
        </w:rPr>
        <w:t xml:space="preserve"> little is known about the performance characteristics of </w:t>
      </w:r>
      <w:r w:rsidR="00BB55EE" w:rsidRPr="006527E3">
        <w:rPr>
          <w:rFonts w:ascii="Times New Roman" w:hAnsi="Times New Roman" w:cs="Times New Roman"/>
        </w:rPr>
        <w:t>other DXA measures such as bone area (BA) and bone mineral content (</w:t>
      </w:r>
      <w:r w:rsidR="008D116E" w:rsidRPr="006527E3">
        <w:rPr>
          <w:rFonts w:ascii="Times New Roman" w:hAnsi="Times New Roman" w:cs="Times New Roman"/>
        </w:rPr>
        <w:t>BMC</w:t>
      </w:r>
      <w:r w:rsidR="00BB55EE" w:rsidRPr="006527E3">
        <w:rPr>
          <w:rFonts w:ascii="Times New Roman" w:hAnsi="Times New Roman" w:cs="Times New Roman"/>
        </w:rPr>
        <w:t>)</w:t>
      </w:r>
      <w:r w:rsidR="008D116E" w:rsidRPr="006527E3">
        <w:rPr>
          <w:rFonts w:ascii="Times New Roman" w:hAnsi="Times New Roman" w:cs="Times New Roman"/>
        </w:rPr>
        <w:t xml:space="preserve"> in fracture prediction. We therefore investigated the predictive value of</w:t>
      </w:r>
      <w:r w:rsidR="00BB55EE" w:rsidRPr="006527E3">
        <w:rPr>
          <w:rFonts w:ascii="Times New Roman" w:hAnsi="Times New Roman" w:cs="Times New Roman"/>
        </w:rPr>
        <w:t xml:space="preserve"> BA</w:t>
      </w:r>
      <w:r w:rsidR="008D116E" w:rsidRPr="006527E3">
        <w:rPr>
          <w:rFonts w:ascii="Times New Roman" w:hAnsi="Times New Roman" w:cs="Times New Roman"/>
        </w:rPr>
        <w:t xml:space="preserve">, BMC and </w:t>
      </w:r>
      <w:r w:rsidR="005E0814">
        <w:rPr>
          <w:rFonts w:ascii="Times New Roman" w:hAnsi="Times New Roman" w:cs="Times New Roman"/>
        </w:rPr>
        <w:t>a</w:t>
      </w:r>
      <w:r w:rsidR="008D116E" w:rsidRPr="006527E3">
        <w:rPr>
          <w:rFonts w:ascii="Times New Roman" w:hAnsi="Times New Roman" w:cs="Times New Roman"/>
        </w:rPr>
        <w:t xml:space="preserve">BMD for incident fracture in a prospective cohort of UK women. </w:t>
      </w:r>
    </w:p>
    <w:p w14:paraId="3D2702FD" w14:textId="1CAA7DAD" w:rsidR="00A12D83" w:rsidRPr="00A12D83" w:rsidRDefault="00A12D83" w:rsidP="006527E3">
      <w:pPr>
        <w:spacing w:after="120" w:line="360" w:lineRule="auto"/>
        <w:jc w:val="both"/>
        <w:rPr>
          <w:rFonts w:ascii="Times New Roman" w:hAnsi="Times New Roman" w:cs="Times New Roman"/>
          <w:b/>
        </w:rPr>
      </w:pPr>
      <w:r w:rsidRPr="00A12D83">
        <w:rPr>
          <w:rFonts w:ascii="Times New Roman" w:hAnsi="Times New Roman" w:cs="Times New Roman"/>
          <w:b/>
        </w:rPr>
        <w:t>Methods</w:t>
      </w:r>
    </w:p>
    <w:p w14:paraId="3570B0B5" w14:textId="62C33E97" w:rsidR="008D116E" w:rsidRDefault="008D116E" w:rsidP="006527E3">
      <w:pPr>
        <w:spacing w:after="120" w:line="360" w:lineRule="auto"/>
        <w:jc w:val="both"/>
        <w:rPr>
          <w:rFonts w:ascii="Times New Roman" w:hAnsi="Times New Roman" w:cs="Times New Roman"/>
        </w:rPr>
      </w:pPr>
      <w:r w:rsidRPr="006527E3">
        <w:rPr>
          <w:rFonts w:ascii="Times New Roman" w:hAnsi="Times New Roman" w:cs="Times New Roman"/>
        </w:rPr>
        <w:t xml:space="preserve">In this study, 674 women aged 20-80 years, recruited from four GP practices in Southampton, underwent DXA assessment (proximal femur, lumbar spine, total body) between 1991-1993. All women were contacted in 1998-1999 with a validated postal questionnaire to collect information on incident fractures and potential confounding factors including medication use. 443 women responded and all fractures were confirmed by assessment of images and radiology reports by a research nurse. Cox proportional hazards models were used to explore the risk of incident fracture and results are expressed as Hazard Ratio (HR) per 1 SD decrease in the predictor and 95% CI. Associations were adjusted for age, BMI, alcohol consumption, smoking, HRT, medications and history of fracture. </w:t>
      </w:r>
    </w:p>
    <w:p w14:paraId="53A4208D" w14:textId="5A819EBB" w:rsidR="00A12D83" w:rsidRPr="00A12D83" w:rsidRDefault="00A12D83" w:rsidP="006527E3">
      <w:pPr>
        <w:spacing w:after="120" w:line="360" w:lineRule="auto"/>
        <w:jc w:val="both"/>
        <w:rPr>
          <w:rFonts w:ascii="Times New Roman" w:hAnsi="Times New Roman" w:cs="Times New Roman"/>
          <w:b/>
        </w:rPr>
      </w:pPr>
      <w:r w:rsidRPr="00A12D83">
        <w:rPr>
          <w:rFonts w:ascii="Times New Roman" w:hAnsi="Times New Roman" w:cs="Times New Roman"/>
          <w:b/>
        </w:rPr>
        <w:t>Results</w:t>
      </w:r>
    </w:p>
    <w:p w14:paraId="3F37E758" w14:textId="1E24DC21" w:rsidR="008D116E" w:rsidRDefault="008D116E" w:rsidP="006527E3">
      <w:pPr>
        <w:spacing w:after="120" w:line="360" w:lineRule="auto"/>
        <w:jc w:val="both"/>
        <w:rPr>
          <w:rFonts w:ascii="Times New Roman" w:hAnsi="Times New Roman" w:cs="Times New Roman"/>
        </w:rPr>
      </w:pPr>
      <w:r w:rsidRPr="006527E3">
        <w:rPr>
          <w:rFonts w:ascii="Times New Roman" w:hAnsi="Times New Roman" w:cs="Times New Roman"/>
        </w:rPr>
        <w:t xml:space="preserve">55 women (12%) reported a fracture. In fully adjusted models femoral neck BMC and </w:t>
      </w:r>
      <w:r w:rsidR="005E0814">
        <w:rPr>
          <w:rFonts w:ascii="Times New Roman" w:hAnsi="Times New Roman" w:cs="Times New Roman"/>
        </w:rPr>
        <w:t>a</w:t>
      </w:r>
      <w:r w:rsidRPr="006527E3">
        <w:rPr>
          <w:rFonts w:ascii="Times New Roman" w:hAnsi="Times New Roman" w:cs="Times New Roman"/>
        </w:rPr>
        <w:t xml:space="preserve">BMD were similarly predictive of incident fracture. Femoral neck BMC: </w:t>
      </w:r>
      <w:r w:rsidR="005836FE">
        <w:rPr>
          <w:rFonts w:ascii="Times New Roman" w:hAnsi="Times New Roman" w:cs="Times New Roman"/>
        </w:rPr>
        <w:t>H</w:t>
      </w:r>
      <w:r w:rsidRPr="006527E3">
        <w:rPr>
          <w:rFonts w:ascii="Times New Roman" w:hAnsi="Times New Roman" w:cs="Times New Roman"/>
        </w:rPr>
        <w:t>R</w:t>
      </w:r>
      <w:r w:rsidR="005836FE">
        <w:rPr>
          <w:rFonts w:ascii="Times New Roman" w:hAnsi="Times New Roman" w:cs="Times New Roman"/>
        </w:rPr>
        <w:t>/SD</w:t>
      </w:r>
      <w:r w:rsidRPr="006527E3">
        <w:rPr>
          <w:rFonts w:ascii="Times New Roman" w:hAnsi="Times New Roman" w:cs="Times New Roman"/>
        </w:rPr>
        <w:t>=1.64 (95%CI: 1.19, 2.2</w:t>
      </w:r>
      <w:r w:rsidR="005836FE">
        <w:rPr>
          <w:rFonts w:ascii="Times New Roman" w:hAnsi="Times New Roman" w:cs="Times New Roman"/>
        </w:rPr>
        <w:t xml:space="preserve">6; p=0.002); femoral neck </w:t>
      </w:r>
      <w:r w:rsidR="005E0814">
        <w:rPr>
          <w:rFonts w:ascii="Times New Roman" w:hAnsi="Times New Roman" w:cs="Times New Roman"/>
        </w:rPr>
        <w:t>a</w:t>
      </w:r>
      <w:r w:rsidR="005836FE">
        <w:rPr>
          <w:rFonts w:ascii="Times New Roman" w:hAnsi="Times New Roman" w:cs="Times New Roman"/>
        </w:rPr>
        <w:t>BMD: H</w:t>
      </w:r>
      <w:r w:rsidRPr="006527E3">
        <w:rPr>
          <w:rFonts w:ascii="Times New Roman" w:hAnsi="Times New Roman" w:cs="Times New Roman"/>
        </w:rPr>
        <w:t>R</w:t>
      </w:r>
      <w:r w:rsidR="005836FE">
        <w:rPr>
          <w:rFonts w:ascii="Times New Roman" w:hAnsi="Times New Roman" w:cs="Times New Roman"/>
        </w:rPr>
        <w:t>/SD</w:t>
      </w:r>
      <w:r w:rsidRPr="006527E3">
        <w:rPr>
          <w:rFonts w:ascii="Times New Roman" w:hAnsi="Times New Roman" w:cs="Times New Roman"/>
        </w:rPr>
        <w:t xml:space="preserve">=1.76 (95%CI: 1.19, 2.60; p=0.005)]. In contrast femoral neck BA was not associated with incident fracture, </w:t>
      </w:r>
      <w:r w:rsidR="005836FE">
        <w:rPr>
          <w:rFonts w:ascii="Times New Roman" w:hAnsi="Times New Roman" w:cs="Times New Roman"/>
        </w:rPr>
        <w:t>H</w:t>
      </w:r>
      <w:r w:rsidRPr="006527E3">
        <w:rPr>
          <w:rFonts w:ascii="Times New Roman" w:hAnsi="Times New Roman" w:cs="Times New Roman"/>
        </w:rPr>
        <w:t>R</w:t>
      </w:r>
      <w:r w:rsidR="005836FE">
        <w:rPr>
          <w:rFonts w:ascii="Times New Roman" w:hAnsi="Times New Roman" w:cs="Times New Roman"/>
        </w:rPr>
        <w:t>/SD</w:t>
      </w:r>
      <w:r w:rsidRPr="006527E3">
        <w:rPr>
          <w:rFonts w:ascii="Times New Roman" w:hAnsi="Times New Roman" w:cs="Times New Roman"/>
        </w:rPr>
        <w:t xml:space="preserve">= 1.15 (95%CI: 0.88, 1.50; p=0.32). Similar results were found with bone indices at the lumbar spine and whole body. </w:t>
      </w:r>
    </w:p>
    <w:p w14:paraId="39B36026" w14:textId="317C6114" w:rsidR="00A12D83" w:rsidRPr="00A12D83" w:rsidRDefault="00A12D83" w:rsidP="006527E3">
      <w:pPr>
        <w:spacing w:after="120" w:line="360" w:lineRule="auto"/>
        <w:jc w:val="both"/>
        <w:rPr>
          <w:rFonts w:ascii="Times New Roman" w:hAnsi="Times New Roman" w:cs="Times New Roman"/>
          <w:b/>
        </w:rPr>
      </w:pPr>
      <w:r w:rsidRPr="00A12D83">
        <w:rPr>
          <w:rFonts w:ascii="Times New Roman" w:hAnsi="Times New Roman" w:cs="Times New Roman"/>
          <w:b/>
        </w:rPr>
        <w:t>Conclusions</w:t>
      </w:r>
    </w:p>
    <w:p w14:paraId="5EB301C5" w14:textId="06DE757F" w:rsidR="009C5649" w:rsidRPr="006527E3" w:rsidRDefault="008D116E" w:rsidP="006527E3">
      <w:pPr>
        <w:spacing w:after="120" w:line="360" w:lineRule="auto"/>
        <w:jc w:val="both"/>
        <w:rPr>
          <w:rFonts w:ascii="Times New Roman" w:hAnsi="Times New Roman" w:cs="Times New Roman"/>
        </w:rPr>
      </w:pPr>
      <w:r w:rsidRPr="006527E3">
        <w:rPr>
          <w:rFonts w:ascii="Times New Roman" w:hAnsi="Times New Roman" w:cs="Times New Roman"/>
        </w:rPr>
        <w:t xml:space="preserve">In conclusion, BMC and </w:t>
      </w:r>
      <w:r w:rsidR="005E0814">
        <w:rPr>
          <w:rFonts w:ascii="Times New Roman" w:hAnsi="Times New Roman" w:cs="Times New Roman"/>
        </w:rPr>
        <w:t>a</w:t>
      </w:r>
      <w:r w:rsidRPr="006527E3">
        <w:rPr>
          <w:rFonts w:ascii="Times New Roman" w:hAnsi="Times New Roman" w:cs="Times New Roman"/>
        </w:rPr>
        <w:t xml:space="preserve">BMD appear to predict incident fracture with similar </w:t>
      </w:r>
      <w:r w:rsidR="0017129E">
        <w:rPr>
          <w:rFonts w:ascii="Times New Roman" w:hAnsi="Times New Roman" w:cs="Times New Roman"/>
        </w:rPr>
        <w:t>HR/SD</w:t>
      </w:r>
      <w:r w:rsidRPr="006527E3">
        <w:rPr>
          <w:rFonts w:ascii="Times New Roman" w:hAnsi="Times New Roman" w:cs="Times New Roman"/>
        </w:rPr>
        <w:t>, even after adjustment for body size.</w:t>
      </w:r>
      <w:r w:rsidR="00BB55EE" w:rsidRPr="006527E3">
        <w:rPr>
          <w:rFonts w:ascii="Times New Roman" w:hAnsi="Times New Roman" w:cs="Times New Roman"/>
        </w:rPr>
        <w:t xml:space="preserve"> In contrast, </w:t>
      </w:r>
      <w:r w:rsidR="0017129E">
        <w:rPr>
          <w:rFonts w:ascii="Times New Roman" w:hAnsi="Times New Roman" w:cs="Times New Roman"/>
        </w:rPr>
        <w:t>BA</w:t>
      </w:r>
      <w:r w:rsidR="00BB55EE" w:rsidRPr="006527E3">
        <w:rPr>
          <w:rFonts w:ascii="Times New Roman" w:hAnsi="Times New Roman" w:cs="Times New Roman"/>
        </w:rPr>
        <w:t xml:space="preserve"> only weakly predicted future fracture. </w:t>
      </w:r>
      <w:r w:rsidRPr="006527E3">
        <w:rPr>
          <w:rFonts w:ascii="Times New Roman" w:hAnsi="Times New Roman" w:cs="Times New Roman"/>
        </w:rPr>
        <w:t xml:space="preserve">These findings </w:t>
      </w:r>
      <w:r w:rsidR="00BB55EE" w:rsidRPr="006527E3">
        <w:rPr>
          <w:rFonts w:ascii="Times New Roman" w:hAnsi="Times New Roman" w:cs="Times New Roman"/>
        </w:rPr>
        <w:t xml:space="preserve">support the use of DXA </w:t>
      </w:r>
      <w:r w:rsidR="005E0814">
        <w:rPr>
          <w:rFonts w:ascii="Times New Roman" w:hAnsi="Times New Roman" w:cs="Times New Roman"/>
        </w:rPr>
        <w:t>a</w:t>
      </w:r>
      <w:r w:rsidR="00BB55EE" w:rsidRPr="006527E3">
        <w:rPr>
          <w:rFonts w:ascii="Times New Roman" w:hAnsi="Times New Roman" w:cs="Times New Roman"/>
        </w:rPr>
        <w:t>BMD in fracture risk assessment, but also suggest that factors which</w:t>
      </w:r>
      <w:r w:rsidR="00D416A2">
        <w:rPr>
          <w:rFonts w:ascii="Times New Roman" w:hAnsi="Times New Roman" w:cs="Times New Roman"/>
        </w:rPr>
        <w:t xml:space="preserve"> specifically</w:t>
      </w:r>
      <w:r w:rsidR="00BB55EE" w:rsidRPr="006527E3">
        <w:rPr>
          <w:rFonts w:ascii="Times New Roman" w:hAnsi="Times New Roman" w:cs="Times New Roman"/>
        </w:rPr>
        <w:t xml:space="preserve"> influence BMC will have relevance to </w:t>
      </w:r>
      <w:r w:rsidR="0017129E">
        <w:rPr>
          <w:rFonts w:ascii="Times New Roman" w:hAnsi="Times New Roman" w:cs="Times New Roman"/>
        </w:rPr>
        <w:t xml:space="preserve">the </w:t>
      </w:r>
      <w:r w:rsidR="00BB55EE" w:rsidRPr="006527E3">
        <w:rPr>
          <w:rFonts w:ascii="Times New Roman" w:hAnsi="Times New Roman" w:cs="Times New Roman"/>
        </w:rPr>
        <w:t>risk of incident fracture.</w:t>
      </w:r>
    </w:p>
    <w:p w14:paraId="363E5ED8" w14:textId="77777777" w:rsidR="000B3767" w:rsidRDefault="000B3767" w:rsidP="006527E3">
      <w:pPr>
        <w:spacing w:after="120" w:line="360" w:lineRule="auto"/>
        <w:jc w:val="both"/>
        <w:rPr>
          <w:rFonts w:ascii="Times New Roman" w:hAnsi="Times New Roman" w:cs="Times New Roman"/>
          <w:b/>
        </w:rPr>
      </w:pPr>
    </w:p>
    <w:p w14:paraId="11C9522C" w14:textId="77777777" w:rsidR="000B3767" w:rsidRDefault="000B3767" w:rsidP="006527E3">
      <w:pPr>
        <w:spacing w:after="120" w:line="360" w:lineRule="auto"/>
        <w:jc w:val="both"/>
        <w:rPr>
          <w:rFonts w:ascii="Times New Roman" w:hAnsi="Times New Roman" w:cs="Times New Roman"/>
          <w:b/>
        </w:rPr>
      </w:pPr>
      <w:r>
        <w:rPr>
          <w:rFonts w:ascii="Times New Roman" w:hAnsi="Times New Roman" w:cs="Times New Roman"/>
          <w:b/>
        </w:rPr>
        <w:t>Summary</w:t>
      </w:r>
    </w:p>
    <w:p w14:paraId="1457C480" w14:textId="0BA51CDA" w:rsidR="00291762" w:rsidRPr="000B3767" w:rsidRDefault="000B3767" w:rsidP="006527E3">
      <w:pPr>
        <w:spacing w:after="120" w:line="360" w:lineRule="auto"/>
        <w:jc w:val="both"/>
        <w:rPr>
          <w:rFonts w:ascii="Times New Roman" w:hAnsi="Times New Roman" w:cs="Times New Roman"/>
        </w:rPr>
      </w:pPr>
      <w:r w:rsidRPr="000B3767">
        <w:rPr>
          <w:rFonts w:ascii="Times New Roman" w:hAnsi="Times New Roman" w:cs="Times New Roman"/>
        </w:rPr>
        <w:t xml:space="preserve">We studied a prospective UK cohort of women aged 20 to 80 years, assessed by DXA at baseline. BMC and </w:t>
      </w:r>
      <w:r w:rsidR="005E0814">
        <w:rPr>
          <w:rFonts w:ascii="Times New Roman" w:hAnsi="Times New Roman" w:cs="Times New Roman"/>
        </w:rPr>
        <w:t>a</w:t>
      </w:r>
      <w:r w:rsidRPr="000B3767">
        <w:rPr>
          <w:rFonts w:ascii="Times New Roman" w:hAnsi="Times New Roman" w:cs="Times New Roman"/>
        </w:rPr>
        <w:t>BMD</w:t>
      </w:r>
      <w:r w:rsidR="00A12D83">
        <w:rPr>
          <w:rFonts w:ascii="Times New Roman" w:hAnsi="Times New Roman" w:cs="Times New Roman"/>
        </w:rPr>
        <w:t>, but not BA,</w:t>
      </w:r>
      <w:r w:rsidRPr="000B3767">
        <w:rPr>
          <w:rFonts w:ascii="Times New Roman" w:hAnsi="Times New Roman" w:cs="Times New Roman"/>
        </w:rPr>
        <w:t xml:space="preserve"> at femoral neck, lumbar spine and whole body sites were similarly predictive of incident fractures.</w:t>
      </w:r>
      <w:r w:rsidR="00291762" w:rsidRPr="000B3767">
        <w:rPr>
          <w:rFonts w:ascii="Times New Roman" w:hAnsi="Times New Roman" w:cs="Times New Roman"/>
        </w:rPr>
        <w:br w:type="page"/>
      </w:r>
    </w:p>
    <w:p w14:paraId="061A257D" w14:textId="77777777" w:rsidR="00B1260E" w:rsidRPr="006527E3" w:rsidRDefault="00B1260E" w:rsidP="006527E3">
      <w:pPr>
        <w:spacing w:after="120" w:line="360" w:lineRule="auto"/>
        <w:jc w:val="both"/>
        <w:rPr>
          <w:rFonts w:ascii="Times New Roman" w:hAnsi="Times New Roman" w:cs="Times New Roman"/>
          <w:b/>
        </w:rPr>
      </w:pPr>
      <w:r w:rsidRPr="006527E3">
        <w:rPr>
          <w:rFonts w:ascii="Times New Roman" w:hAnsi="Times New Roman" w:cs="Times New Roman"/>
          <w:b/>
        </w:rPr>
        <w:lastRenderedPageBreak/>
        <w:t>Introduction</w:t>
      </w:r>
    </w:p>
    <w:p w14:paraId="341CEEB9" w14:textId="2C2B69B8" w:rsidR="003A3306" w:rsidRPr="006527E3" w:rsidRDefault="00EF1032" w:rsidP="006527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360" w:lineRule="auto"/>
        <w:jc w:val="both"/>
        <w:rPr>
          <w:rFonts w:ascii="Times New Roman" w:hAnsi="Times New Roman" w:cs="Times New Roman"/>
          <w:lang w:val="en-US"/>
        </w:rPr>
      </w:pPr>
      <w:r w:rsidRPr="006527E3">
        <w:rPr>
          <w:rFonts w:ascii="Times New Roman" w:hAnsi="Times New Roman" w:cs="Times New Roman"/>
          <w:lang w:val="en-US"/>
        </w:rPr>
        <w:t xml:space="preserve">Areal bone mineral density (here abbreviated as </w:t>
      </w:r>
      <w:r w:rsidR="005E0814">
        <w:rPr>
          <w:rFonts w:ascii="Times New Roman" w:hAnsi="Times New Roman" w:cs="Times New Roman"/>
          <w:lang w:val="en-US"/>
        </w:rPr>
        <w:t>a</w:t>
      </w:r>
      <w:r w:rsidRPr="006527E3">
        <w:rPr>
          <w:rFonts w:ascii="Times New Roman" w:hAnsi="Times New Roman" w:cs="Times New Roman"/>
          <w:lang w:val="en-US"/>
        </w:rPr>
        <w:t xml:space="preserve">BMD) </w:t>
      </w:r>
      <w:r w:rsidR="003A3306" w:rsidRPr="006527E3">
        <w:rPr>
          <w:rFonts w:ascii="Times New Roman" w:hAnsi="Times New Roman" w:cs="Times New Roman"/>
          <w:lang w:val="en-US"/>
        </w:rPr>
        <w:t>measurement by DXA is the b</w:t>
      </w:r>
      <w:r w:rsidR="005836FE">
        <w:rPr>
          <w:rFonts w:ascii="Times New Roman" w:hAnsi="Times New Roman" w:cs="Times New Roman"/>
          <w:lang w:val="en-US"/>
        </w:rPr>
        <w:t>asis of the World Health Organiz</w:t>
      </w:r>
      <w:r w:rsidR="003A3306" w:rsidRPr="006527E3">
        <w:rPr>
          <w:rFonts w:ascii="Times New Roman" w:hAnsi="Times New Roman" w:cs="Times New Roman"/>
          <w:lang w:val="en-US"/>
        </w:rPr>
        <w:t>ation’s 1994 operational definition of osteoporosis</w:t>
      </w:r>
      <w:r w:rsidR="00425D53" w:rsidRPr="006527E3">
        <w:rPr>
          <w:rFonts w:ascii="Times New Roman" w:hAnsi="Times New Roman" w:cs="Times New Roman"/>
          <w:lang w:val="en-US"/>
        </w:rPr>
        <w:fldChar w:fldCharType="begin"/>
      </w:r>
      <w:r w:rsidR="00E52E53">
        <w:rPr>
          <w:rFonts w:ascii="Times New Roman" w:hAnsi="Times New Roman" w:cs="Times New Roman"/>
          <w:lang w:val="en-US"/>
        </w:rPr>
        <w:instrText xml:space="preserve"> ADDIN EN.CITE &lt;EndNote&gt;&lt;Cite&gt;&lt;Year&gt;1994&lt;/Year&gt;&lt;RecNum&gt;4932&lt;/RecNum&gt;&lt;DisplayText&gt;[1]&lt;/DisplayText&gt;&lt;record&gt;&lt;rec-number&gt;4932&lt;/rec-number&gt;&lt;foreign-keys&gt;&lt;key app="EN" db-id="p0w2r505hvs222essdtvfrfxer9w0spesp9e"&gt;4932&lt;/key&gt;&lt;/foreign-keys&gt;&lt;ref-type name="Report"&gt;27&lt;/ref-type&gt;&lt;contributors&gt;&lt;/contributors&gt;&lt;titles&gt;&lt;title&gt;World Health Organisation. Assessment of fracture risk and its application to screening for postmenopausal osteoporosis&lt;/title&gt;&lt;/titles&gt;&lt;keywords&gt;&lt;keyword&gt;World Health&lt;/keyword&gt;&lt;keyword&gt;Health&lt;/keyword&gt;&lt;keyword&gt;Risk&lt;/keyword&gt;&lt;keyword&gt;Osteoporosis&lt;/keyword&gt;&lt;/keywords&gt;&lt;dates&gt;&lt;year&gt;1994&lt;/year&gt;&lt;/dates&gt;&lt;pub-location&gt;Geneva&lt;/pub-location&gt;&lt;publisher&gt;WHO  &lt;/publisher&gt;&lt;urls&gt;&lt;/urls&gt;&lt;/record&gt;&lt;/Cite&gt;&lt;/EndNote&gt;</w:instrText>
      </w:r>
      <w:r w:rsidR="00425D53" w:rsidRPr="006527E3">
        <w:rPr>
          <w:rFonts w:ascii="Times New Roman" w:hAnsi="Times New Roman" w:cs="Times New Roman"/>
          <w:lang w:val="en-US"/>
        </w:rPr>
        <w:fldChar w:fldCharType="separate"/>
      </w:r>
      <w:r w:rsidR="00584508">
        <w:rPr>
          <w:rFonts w:ascii="Times New Roman" w:hAnsi="Times New Roman" w:cs="Times New Roman"/>
          <w:noProof/>
          <w:lang w:val="en-US"/>
        </w:rPr>
        <w:t>[</w:t>
      </w:r>
      <w:hyperlink w:anchor="_ENREF_1" w:tooltip=", 1994 #4932" w:history="1">
        <w:r w:rsidR="00E52E53">
          <w:rPr>
            <w:rFonts w:ascii="Times New Roman" w:hAnsi="Times New Roman" w:cs="Times New Roman"/>
            <w:noProof/>
            <w:lang w:val="en-US"/>
          </w:rPr>
          <w:t>1</w:t>
        </w:r>
      </w:hyperlink>
      <w:r w:rsidR="00584508">
        <w:rPr>
          <w:rFonts w:ascii="Times New Roman" w:hAnsi="Times New Roman" w:cs="Times New Roman"/>
          <w:noProof/>
          <w:lang w:val="en-US"/>
        </w:rPr>
        <w:t>]</w:t>
      </w:r>
      <w:r w:rsidR="00425D53" w:rsidRPr="006527E3">
        <w:rPr>
          <w:rFonts w:ascii="Times New Roman" w:hAnsi="Times New Roman" w:cs="Times New Roman"/>
          <w:lang w:val="en-US"/>
        </w:rPr>
        <w:fldChar w:fldCharType="end"/>
      </w:r>
      <w:r w:rsidR="003A3306" w:rsidRPr="006527E3">
        <w:rPr>
          <w:rFonts w:ascii="Times New Roman" w:hAnsi="Times New Roman" w:cs="Times New Roman"/>
          <w:lang w:val="en-US"/>
        </w:rPr>
        <w:t xml:space="preserve">. Many studies have consistently demonstrated the predictive value of </w:t>
      </w:r>
      <w:r w:rsidR="005E0814">
        <w:rPr>
          <w:rFonts w:ascii="Times New Roman" w:hAnsi="Times New Roman" w:cs="Times New Roman"/>
          <w:lang w:val="en-US"/>
        </w:rPr>
        <w:t>a</w:t>
      </w:r>
      <w:r w:rsidR="003A3306" w:rsidRPr="006527E3">
        <w:rPr>
          <w:rFonts w:ascii="Times New Roman" w:hAnsi="Times New Roman" w:cs="Times New Roman"/>
          <w:lang w:val="en-US"/>
        </w:rPr>
        <w:t xml:space="preserve">BMD </w:t>
      </w:r>
      <w:r w:rsidRPr="006527E3">
        <w:rPr>
          <w:rFonts w:ascii="Times New Roman" w:hAnsi="Times New Roman" w:cs="Times New Roman"/>
          <w:lang w:val="en-US"/>
        </w:rPr>
        <w:t>for incident fracture</w:t>
      </w:r>
      <w:r w:rsidR="003A3306" w:rsidRPr="006527E3">
        <w:rPr>
          <w:rFonts w:ascii="Times New Roman" w:hAnsi="Times New Roman" w:cs="Times New Roman"/>
          <w:lang w:val="en-US"/>
        </w:rPr>
        <w:t xml:space="preserve">, with an approximate doubling of fracture risk for each standard deviation decrease in </w:t>
      </w:r>
      <w:r w:rsidR="005E0814">
        <w:rPr>
          <w:rFonts w:ascii="Times New Roman" w:hAnsi="Times New Roman" w:cs="Times New Roman"/>
          <w:lang w:val="en-US"/>
        </w:rPr>
        <w:t>a</w:t>
      </w:r>
      <w:r w:rsidR="003A3306" w:rsidRPr="006527E3">
        <w:rPr>
          <w:rFonts w:ascii="Times New Roman" w:hAnsi="Times New Roman" w:cs="Times New Roman"/>
          <w:lang w:val="en-US"/>
        </w:rPr>
        <w:t xml:space="preserve">BMD, dependent on </w:t>
      </w:r>
      <w:r w:rsidRPr="006527E3">
        <w:rPr>
          <w:rFonts w:ascii="Times New Roman" w:hAnsi="Times New Roman" w:cs="Times New Roman"/>
          <w:lang w:val="en-US"/>
        </w:rPr>
        <w:t xml:space="preserve">the </w:t>
      </w:r>
      <w:r w:rsidR="003A3306" w:rsidRPr="006527E3">
        <w:rPr>
          <w:rFonts w:ascii="Times New Roman" w:hAnsi="Times New Roman" w:cs="Times New Roman"/>
          <w:lang w:val="en-US"/>
        </w:rPr>
        <w:t xml:space="preserve">site of measurement and </w:t>
      </w:r>
      <w:r w:rsidRPr="006527E3">
        <w:rPr>
          <w:rFonts w:ascii="Times New Roman" w:hAnsi="Times New Roman" w:cs="Times New Roman"/>
          <w:lang w:val="en-US"/>
        </w:rPr>
        <w:t xml:space="preserve">the </w:t>
      </w:r>
      <w:r w:rsidR="003A3306" w:rsidRPr="006527E3">
        <w:rPr>
          <w:rFonts w:ascii="Times New Roman" w:hAnsi="Times New Roman" w:cs="Times New Roman"/>
          <w:lang w:val="en-US"/>
        </w:rPr>
        <w:t>site of fracture</w:t>
      </w:r>
      <w:r w:rsidR="00425D53" w:rsidRPr="006527E3">
        <w:rPr>
          <w:rFonts w:ascii="Times New Roman" w:hAnsi="Times New Roman" w:cs="Times New Roman"/>
          <w:lang w:val="en-US"/>
        </w:rPr>
        <w:fldChar w:fldCharType="begin">
          <w:fldData xml:space="preserve">PEVuZE5vdGU+PENpdGU+PEF1dGhvcj5NYXJzaGFsbDwvQXV0aG9yPjxZZWFyPjE5OTY8L1llYXI+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==
</w:fldData>
        </w:fldChar>
      </w:r>
      <w:r w:rsidR="00E52E53">
        <w:rPr>
          <w:rFonts w:ascii="Times New Roman" w:hAnsi="Times New Roman" w:cs="Times New Roman"/>
          <w:lang w:val="en-US"/>
        </w:rPr>
        <w:instrText xml:space="preserve"> ADDIN EN.CITE </w:instrText>
      </w:r>
      <w:r w:rsidR="00E52E53">
        <w:rPr>
          <w:rFonts w:ascii="Times New Roman" w:hAnsi="Times New Roman" w:cs="Times New Roman"/>
          <w:lang w:val="en-US"/>
        </w:rPr>
        <w:fldChar w:fldCharType="begin">
          <w:fldData xml:space="preserve">PEVuZE5vdGU+PENpdGU+PEF1dGhvcj5NYXJzaGFsbDwvQXV0aG9yPjxZZWFyPjE5OTY8L1llYXI+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==
</w:fldData>
        </w:fldChar>
      </w:r>
      <w:r w:rsidR="00E52E53">
        <w:rPr>
          <w:rFonts w:ascii="Times New Roman" w:hAnsi="Times New Roman" w:cs="Times New Roman"/>
          <w:lang w:val="en-US"/>
        </w:rPr>
        <w:instrText xml:space="preserve"> ADDIN EN.CITE.DATA </w:instrText>
      </w:r>
      <w:r w:rsidR="00E52E53">
        <w:rPr>
          <w:rFonts w:ascii="Times New Roman" w:hAnsi="Times New Roman" w:cs="Times New Roman"/>
          <w:lang w:val="en-US"/>
        </w:rPr>
      </w:r>
      <w:r w:rsidR="00E52E53">
        <w:rPr>
          <w:rFonts w:ascii="Times New Roman" w:hAnsi="Times New Roman" w:cs="Times New Roman"/>
          <w:lang w:val="en-US"/>
        </w:rPr>
        <w:fldChar w:fldCharType="end"/>
      </w:r>
      <w:r w:rsidR="00425D53" w:rsidRPr="006527E3">
        <w:rPr>
          <w:rFonts w:ascii="Times New Roman" w:hAnsi="Times New Roman" w:cs="Times New Roman"/>
          <w:lang w:val="en-US"/>
        </w:rPr>
      </w:r>
      <w:r w:rsidR="00425D53" w:rsidRPr="006527E3">
        <w:rPr>
          <w:rFonts w:ascii="Times New Roman" w:hAnsi="Times New Roman" w:cs="Times New Roman"/>
          <w:lang w:val="en-US"/>
        </w:rPr>
        <w:fldChar w:fldCharType="separate"/>
      </w:r>
      <w:r w:rsidR="00584508">
        <w:rPr>
          <w:rFonts w:ascii="Times New Roman" w:hAnsi="Times New Roman" w:cs="Times New Roman"/>
          <w:noProof/>
          <w:lang w:val="en-US"/>
        </w:rPr>
        <w:t>[</w:t>
      </w:r>
      <w:hyperlink w:anchor="_ENREF_2" w:tooltip="Marshall, 1996 #5824" w:history="1">
        <w:r w:rsidR="00E52E53">
          <w:rPr>
            <w:rFonts w:ascii="Times New Roman" w:hAnsi="Times New Roman" w:cs="Times New Roman"/>
            <w:noProof/>
            <w:lang w:val="en-US"/>
          </w:rPr>
          <w:t>2</w:t>
        </w:r>
      </w:hyperlink>
      <w:r w:rsidR="00584508">
        <w:rPr>
          <w:rFonts w:ascii="Times New Roman" w:hAnsi="Times New Roman" w:cs="Times New Roman"/>
          <w:noProof/>
          <w:lang w:val="en-US"/>
        </w:rPr>
        <w:t>]</w:t>
      </w:r>
      <w:r w:rsidR="00425D53" w:rsidRPr="006527E3">
        <w:rPr>
          <w:rFonts w:ascii="Times New Roman" w:hAnsi="Times New Roman" w:cs="Times New Roman"/>
          <w:lang w:val="en-US"/>
        </w:rPr>
        <w:fldChar w:fldCharType="end"/>
      </w:r>
      <w:r w:rsidR="003A3306" w:rsidRPr="006527E3">
        <w:rPr>
          <w:rFonts w:ascii="Times New Roman" w:hAnsi="Times New Roman" w:cs="Times New Roman"/>
          <w:lang w:val="en-US"/>
        </w:rPr>
        <w:t>. In contrast, the value of othe</w:t>
      </w:r>
      <w:r w:rsidR="003975B6" w:rsidRPr="006527E3">
        <w:rPr>
          <w:rFonts w:ascii="Times New Roman" w:hAnsi="Times New Roman" w:cs="Times New Roman"/>
          <w:lang w:val="en-US"/>
        </w:rPr>
        <w:t>r measurements derived from DXA s</w:t>
      </w:r>
      <w:r w:rsidR="003A3306" w:rsidRPr="006527E3">
        <w:rPr>
          <w:rFonts w:ascii="Times New Roman" w:hAnsi="Times New Roman" w:cs="Times New Roman"/>
          <w:lang w:val="en-US"/>
        </w:rPr>
        <w:t>uch as bone area</w:t>
      </w:r>
      <w:r w:rsidRPr="006527E3">
        <w:rPr>
          <w:rFonts w:ascii="Times New Roman" w:hAnsi="Times New Roman" w:cs="Times New Roman"/>
          <w:lang w:val="en-US"/>
        </w:rPr>
        <w:t xml:space="preserve"> (BA)</w:t>
      </w:r>
      <w:r w:rsidR="003A3306" w:rsidRPr="006527E3">
        <w:rPr>
          <w:rFonts w:ascii="Times New Roman" w:hAnsi="Times New Roman" w:cs="Times New Roman"/>
          <w:lang w:val="en-US"/>
        </w:rPr>
        <w:t xml:space="preserve"> and bone mineral content</w:t>
      </w:r>
      <w:r w:rsidRPr="006527E3">
        <w:rPr>
          <w:rFonts w:ascii="Times New Roman" w:hAnsi="Times New Roman" w:cs="Times New Roman"/>
          <w:lang w:val="en-US"/>
        </w:rPr>
        <w:t xml:space="preserve"> (BMC)</w:t>
      </w:r>
      <w:r w:rsidR="003A3306" w:rsidRPr="006527E3">
        <w:rPr>
          <w:rFonts w:ascii="Times New Roman" w:hAnsi="Times New Roman" w:cs="Times New Roman"/>
          <w:lang w:val="en-US"/>
        </w:rPr>
        <w:t xml:space="preserve"> has not been commonly investigated</w:t>
      </w:r>
      <w:r w:rsidR="00425D53" w:rsidRPr="006527E3">
        <w:rPr>
          <w:rFonts w:ascii="Times New Roman" w:hAnsi="Times New Roman" w:cs="Times New Roman"/>
        </w:rPr>
        <w:fldChar w:fldCharType="begin"/>
      </w:r>
      <w:r w:rsidR="00E52E53">
        <w:rPr>
          <w:rFonts w:ascii="Times New Roman" w:hAnsi="Times New Roman" w:cs="Times New Roman"/>
        </w:rPr>
        <w:instrText xml:space="preserve"> ADDIN EN.CITE &lt;EndNote&gt;&lt;Cite&gt;&lt;Author&gt;Cummings&lt;/Author&gt;&lt;Year&gt;1994&lt;/Year&gt;&lt;RecNum&gt;2987&lt;/RecNum&gt;&lt;DisplayText&gt;[3]&lt;/DisplayText&gt;&lt;record&gt;&lt;rec-number&gt;2987&lt;/rec-number&gt;&lt;foreign-keys&gt;&lt;key app="EN" db-id="p0w2r505hvs222essdtvfrfxer9w0spesp9e"&gt;2987&lt;/key&gt;&lt;/foreign-keys&gt;&lt;ref-type name="Journal Article"&gt;17&lt;/ref-type&gt;&lt;contributors&gt;&lt;authors&gt;&lt;author&gt;Cummings, S. R.&lt;/author&gt;&lt;author&gt;Marcus, R.&lt;/author&gt;&lt;author&gt;Palermo, L.&lt;/author&gt;&lt;author&gt;Ensrud, K. E.&lt;/author&gt;&lt;author&gt;Genant, H. K.&lt;/author&gt;&lt;/authors&gt;&lt;/contributors&gt;&lt;auth-address&gt;Division of General Internal Medicine, University of California, San FranciscoFAU - Cummings, S R&lt;/auth-address&gt;&lt;titles&gt;&lt;title&gt;Does estimating volumetric bone density of the femoral neck improve the prediction of hip fracture? A prospective study. Study of Osteoporotic Fractures Research Group&lt;/title&gt;&lt;secondary-title&gt;J Bone Miner Res JID - 8610640&lt;/secondary-title&gt;&lt;/titles&gt;&lt;periodical&gt;&lt;full-title&gt;J Bone Miner Res JID - 8610640&lt;/full-title&gt;&lt;/periodical&gt;&lt;pages&gt;1429-1432&lt;/pages&gt;&lt;volume&gt;9&lt;/volume&gt;&lt;number&gt;9&lt;/number&gt;&lt;reprint-edition&gt;NOT IN FILE&lt;/reprint-edition&gt;&lt;keywords&gt;&lt;keyword&gt;Aged&lt;/keyword&gt;&lt;keyword&gt;Aged,80 and over&lt;/keyword&gt;&lt;keyword&gt;Bone Density&lt;/keyword&gt;&lt;keyword&gt;physiology&lt;/keyword&gt;&lt;keyword&gt;Cohort Studies&lt;/keyword&gt;&lt;keyword&gt;Densitometry,X-Ray&lt;/keyword&gt;&lt;keyword&gt;Female&lt;/keyword&gt;&lt;keyword&gt;Femur Neck&lt;/keyword&gt;&lt;keyword&gt;Hip Fractures&lt;/keyword&gt;&lt;keyword&gt;epidemiology&lt;/keyword&gt;&lt;keyword&gt;prevention &amp;amp; control&lt;/keyword&gt;&lt;keyword&gt;Human&lt;/keyword&gt;&lt;keyword&gt;Longitudinal Studies&lt;/keyword&gt;&lt;keyword&gt;Predictive Value of Tests&lt;/keyword&gt;&lt;keyword&gt;Prospective Studies&lt;/keyword&gt;&lt;keyword&gt;Risk Factors&lt;/keyword&gt;&lt;keyword&gt;Support,U.S.Gov&amp;apos;t,P.H.S.&lt;/keyword&gt;&lt;keyword&gt;United States&lt;/keyword&gt;&lt;keyword&gt;Neck&lt;/keyword&gt;&lt;keyword&gt;Hip&lt;/keyword&gt;&lt;keyword&gt;Fractures&lt;/keyword&gt;&lt;keyword&gt;Research&lt;/keyword&gt;&lt;keyword&gt;Women&lt;/keyword&gt;&lt;keyword&gt;Risk&lt;/keyword&gt;&lt;keyword&gt;Universities&lt;/keyword&gt;&lt;keyword&gt;California&lt;/keyword&gt;&lt;/keywords&gt;&lt;dates&gt;&lt;year&gt;1994&lt;/year&gt;&lt;/dates&gt;&lt;urls&gt;&lt;/urls&gt;&lt;/record&gt;&lt;/Cite&gt;&lt;/EndNote&gt;</w:instrText>
      </w:r>
      <w:r w:rsidR="00425D53" w:rsidRPr="006527E3">
        <w:rPr>
          <w:rFonts w:ascii="Times New Roman" w:hAnsi="Times New Roman" w:cs="Times New Roman"/>
        </w:rPr>
        <w:fldChar w:fldCharType="separate"/>
      </w:r>
      <w:r w:rsidR="00584508">
        <w:rPr>
          <w:rFonts w:ascii="Times New Roman" w:hAnsi="Times New Roman" w:cs="Times New Roman"/>
          <w:noProof/>
        </w:rPr>
        <w:t>[</w:t>
      </w:r>
      <w:hyperlink w:anchor="_ENREF_3" w:tooltip="Cummings, 1994 #2987" w:history="1">
        <w:r w:rsidR="00E52E53">
          <w:rPr>
            <w:rFonts w:ascii="Times New Roman" w:hAnsi="Times New Roman" w:cs="Times New Roman"/>
            <w:noProof/>
          </w:rPr>
          <w:t>3</w:t>
        </w:r>
      </w:hyperlink>
      <w:r w:rsidR="00584508">
        <w:rPr>
          <w:rFonts w:ascii="Times New Roman" w:hAnsi="Times New Roman" w:cs="Times New Roman"/>
          <w:noProof/>
        </w:rPr>
        <w:t>]</w:t>
      </w:r>
      <w:r w:rsidR="00425D53" w:rsidRPr="006527E3">
        <w:rPr>
          <w:rFonts w:ascii="Times New Roman" w:hAnsi="Times New Roman" w:cs="Times New Roman"/>
        </w:rPr>
        <w:fldChar w:fldCharType="end"/>
      </w:r>
      <w:r w:rsidR="003A3306" w:rsidRPr="006527E3">
        <w:rPr>
          <w:rFonts w:ascii="Times New Roman" w:hAnsi="Times New Roman" w:cs="Times New Roman"/>
        </w:rPr>
        <w:t>.</w:t>
      </w:r>
      <w:r w:rsidR="003873DB">
        <w:rPr>
          <w:rFonts w:ascii="Times New Roman" w:hAnsi="Times New Roman" w:cs="Times New Roman"/>
        </w:rPr>
        <w:t xml:space="preserve"> DXA assessment of bone mineral is derived from pixel level attenuation of the x-ray beam, which is usually calibrated as a measure of </w:t>
      </w:r>
      <w:r w:rsidR="005E0814">
        <w:rPr>
          <w:rFonts w:ascii="Times New Roman" w:hAnsi="Times New Roman" w:cs="Times New Roman"/>
        </w:rPr>
        <w:t>aBMD</w:t>
      </w:r>
      <w:r w:rsidR="005836FE">
        <w:rPr>
          <w:rFonts w:ascii="Times New Roman" w:hAnsi="Times New Roman" w:cs="Times New Roman"/>
        </w:rPr>
        <w:fldChar w:fldCharType="begin"/>
      </w:r>
      <w:r w:rsidR="00E52E53">
        <w:rPr>
          <w:rFonts w:ascii="Times New Roman" w:hAnsi="Times New Roman" w:cs="Times New Roman"/>
        </w:rPr>
        <w:instrText xml:space="preserve"> ADDIN EN.CITE &lt;EndNote&gt;&lt;Cite ExcludeAuth="1"&gt;&lt;Year&gt;2010&lt;/Year&gt;&lt;RecNum&gt;7215&lt;/RecNum&gt;&lt;DisplayText&gt;[4]&lt;/DisplayText&gt;&lt;record&gt;&lt;rec-number&gt;7215&lt;/rec-number&gt;&lt;foreign-keys&gt;&lt;key app="EN" db-id="p0w2r505hvs222essdtvfrfxer9w0spesp9e"&gt;7215&lt;/key&gt;&lt;/foreign-keys&gt;&lt;ref-type name="Report"&gt;27&lt;/ref-type&gt;&lt;contributors&gt;&lt;tertiary-authors&gt;&lt;author&gt;International Atomic Energy Agency&lt;/author&gt;&lt;/tertiary-authors&gt;&lt;subsidiary-authors&gt;&lt;author&gt;International Atomic Energy Agency&lt;/author&gt;&lt;/subsidiary-authors&gt;&lt;/contributors&gt;&lt;titles&gt;&lt;title&gt;Dual Energy X Ray absorptiometry for bone mineral density and body composition assessment&lt;/title&gt;&lt;/titles&gt;&lt;dates&gt;&lt;year&gt;2010&lt;/year&gt;&lt;/dates&gt;&lt;pub-location&gt;Vienna&lt;/pub-location&gt;&lt;publisher&gt;International Atomic Energy Agency&lt;/publisher&gt;&lt;urls&gt;&lt;/urls&gt;&lt;/record&gt;&lt;/Cite&gt;&lt;/EndNote&gt;</w:instrText>
      </w:r>
      <w:r w:rsidR="005836FE">
        <w:rPr>
          <w:rFonts w:ascii="Times New Roman" w:hAnsi="Times New Roman" w:cs="Times New Roman"/>
        </w:rPr>
        <w:fldChar w:fldCharType="separate"/>
      </w:r>
      <w:r w:rsidR="005836FE">
        <w:rPr>
          <w:rFonts w:ascii="Times New Roman" w:hAnsi="Times New Roman" w:cs="Times New Roman"/>
          <w:noProof/>
        </w:rPr>
        <w:t>[</w:t>
      </w:r>
      <w:hyperlink w:anchor="_ENREF_4" w:tooltip=", 2010 #7215" w:history="1">
        <w:r w:rsidR="00E52E53">
          <w:rPr>
            <w:rFonts w:ascii="Times New Roman" w:hAnsi="Times New Roman" w:cs="Times New Roman"/>
            <w:noProof/>
          </w:rPr>
          <w:t>4</w:t>
        </w:r>
      </w:hyperlink>
      <w:r w:rsidR="005836FE">
        <w:rPr>
          <w:rFonts w:ascii="Times New Roman" w:hAnsi="Times New Roman" w:cs="Times New Roman"/>
          <w:noProof/>
        </w:rPr>
        <w:t>]</w:t>
      </w:r>
      <w:r w:rsidR="005836FE">
        <w:rPr>
          <w:rFonts w:ascii="Times New Roman" w:hAnsi="Times New Roman" w:cs="Times New Roman"/>
        </w:rPr>
        <w:fldChar w:fldCharType="end"/>
      </w:r>
      <w:r w:rsidR="003873DB">
        <w:rPr>
          <w:rFonts w:ascii="Times New Roman" w:hAnsi="Times New Roman" w:cs="Times New Roman"/>
        </w:rPr>
        <w:t>. Since every pixel has the same area, at this level, bone mineral content and areal bone mineral density are directly proportional</w:t>
      </w:r>
      <w:r w:rsidR="003465BC">
        <w:rPr>
          <w:rFonts w:ascii="Times New Roman" w:hAnsi="Times New Roman" w:cs="Times New Roman"/>
        </w:rPr>
        <w:t xml:space="preserve"> (pixel BMC = pixel </w:t>
      </w:r>
      <w:r w:rsidR="005E0814">
        <w:rPr>
          <w:rFonts w:ascii="Times New Roman" w:hAnsi="Times New Roman" w:cs="Times New Roman"/>
        </w:rPr>
        <w:t>a</w:t>
      </w:r>
      <w:r w:rsidR="003465BC">
        <w:rPr>
          <w:rFonts w:ascii="Times New Roman" w:hAnsi="Times New Roman" w:cs="Times New Roman"/>
        </w:rPr>
        <w:t>BMD x pixel area)</w:t>
      </w:r>
      <w:r w:rsidR="003873DB">
        <w:rPr>
          <w:rFonts w:ascii="Times New Roman" w:hAnsi="Times New Roman" w:cs="Times New Roman"/>
        </w:rPr>
        <w:t>. This relationship, and the number of pixels in the region of interest (e.g. femoral neck), permit calculation</w:t>
      </w:r>
      <w:r w:rsidR="003465BC">
        <w:rPr>
          <w:rFonts w:ascii="Times New Roman" w:hAnsi="Times New Roman" w:cs="Times New Roman"/>
        </w:rPr>
        <w:t xml:space="preserve"> of total bone mineral content as the </w:t>
      </w:r>
      <w:r w:rsidR="003873DB">
        <w:rPr>
          <w:rFonts w:ascii="Times New Roman" w:hAnsi="Times New Roman" w:cs="Times New Roman"/>
        </w:rPr>
        <w:t>su</w:t>
      </w:r>
      <w:r w:rsidR="003465BC">
        <w:rPr>
          <w:rFonts w:ascii="Times New Roman" w:hAnsi="Times New Roman" w:cs="Times New Roman"/>
        </w:rPr>
        <w:t xml:space="preserve">m of individual pixel level BMC values (equivalent to the sum of pixel level </w:t>
      </w:r>
      <w:r w:rsidR="005E0814">
        <w:rPr>
          <w:rFonts w:ascii="Times New Roman" w:hAnsi="Times New Roman" w:cs="Times New Roman"/>
        </w:rPr>
        <w:t>a</w:t>
      </w:r>
      <w:r w:rsidR="003465BC">
        <w:rPr>
          <w:rFonts w:ascii="Times New Roman" w:hAnsi="Times New Roman" w:cs="Times New Roman"/>
        </w:rPr>
        <w:t>BMD values multiplied by the area of a pixel</w:t>
      </w:r>
      <w:r w:rsidR="003873DB">
        <w:rPr>
          <w:rFonts w:ascii="Times New Roman" w:hAnsi="Times New Roman" w:cs="Times New Roman"/>
        </w:rPr>
        <w:t xml:space="preserve">), whilst the </w:t>
      </w:r>
      <w:r w:rsidR="003465BC">
        <w:rPr>
          <w:rFonts w:ascii="Times New Roman" w:hAnsi="Times New Roman" w:cs="Times New Roman"/>
        </w:rPr>
        <w:t xml:space="preserve">mean </w:t>
      </w:r>
      <w:r w:rsidR="005E0814">
        <w:rPr>
          <w:rFonts w:ascii="Times New Roman" w:hAnsi="Times New Roman" w:cs="Times New Roman"/>
        </w:rPr>
        <w:t>a</w:t>
      </w:r>
      <w:r w:rsidR="003873DB">
        <w:rPr>
          <w:rFonts w:ascii="Times New Roman" w:hAnsi="Times New Roman" w:cs="Times New Roman"/>
        </w:rPr>
        <w:t xml:space="preserve">BMD across the region of interest is </w:t>
      </w:r>
      <w:r w:rsidR="003465BC">
        <w:rPr>
          <w:rFonts w:ascii="Times New Roman" w:hAnsi="Times New Roman" w:cs="Times New Roman"/>
        </w:rPr>
        <w:t xml:space="preserve">calculated as the sum of the individual pixel </w:t>
      </w:r>
      <w:r w:rsidR="005E0814">
        <w:rPr>
          <w:rFonts w:ascii="Times New Roman" w:hAnsi="Times New Roman" w:cs="Times New Roman"/>
        </w:rPr>
        <w:t>a</w:t>
      </w:r>
      <w:r w:rsidR="003465BC">
        <w:rPr>
          <w:rFonts w:ascii="Times New Roman" w:hAnsi="Times New Roman" w:cs="Times New Roman"/>
        </w:rPr>
        <w:t>BMD values divided by the number of pixels</w:t>
      </w:r>
      <w:r w:rsidR="003873DB">
        <w:rPr>
          <w:rFonts w:ascii="Times New Roman" w:hAnsi="Times New Roman" w:cs="Times New Roman"/>
        </w:rPr>
        <w:t xml:space="preserve">. Thus whilst, </w:t>
      </w:r>
      <w:r w:rsidR="00836DAC">
        <w:rPr>
          <w:rFonts w:ascii="Times New Roman" w:hAnsi="Times New Roman" w:cs="Times New Roman"/>
        </w:rPr>
        <w:t xml:space="preserve">at </w:t>
      </w:r>
      <w:r w:rsidR="003873DB">
        <w:rPr>
          <w:rFonts w:ascii="Times New Roman" w:hAnsi="Times New Roman" w:cs="Times New Roman"/>
        </w:rPr>
        <w:t xml:space="preserve">the pixel level, </w:t>
      </w:r>
      <w:r w:rsidR="005E0814">
        <w:rPr>
          <w:rFonts w:ascii="Times New Roman" w:hAnsi="Times New Roman" w:cs="Times New Roman"/>
        </w:rPr>
        <w:t>a</w:t>
      </w:r>
      <w:r w:rsidR="003873DB">
        <w:rPr>
          <w:rFonts w:ascii="Times New Roman" w:hAnsi="Times New Roman" w:cs="Times New Roman"/>
        </w:rPr>
        <w:t xml:space="preserve">BMD and BMC are intimately related, at the level of a </w:t>
      </w:r>
      <w:r w:rsidR="00836DAC">
        <w:rPr>
          <w:rFonts w:ascii="Times New Roman" w:hAnsi="Times New Roman" w:cs="Times New Roman"/>
        </w:rPr>
        <w:t xml:space="preserve">standard assessment </w:t>
      </w:r>
      <w:r w:rsidR="00174DBD">
        <w:rPr>
          <w:rFonts w:ascii="Times New Roman" w:hAnsi="Times New Roman" w:cs="Times New Roman"/>
        </w:rPr>
        <w:t xml:space="preserve">site </w:t>
      </w:r>
      <w:r w:rsidR="00836DAC">
        <w:rPr>
          <w:rFonts w:ascii="Times New Roman" w:hAnsi="Times New Roman" w:cs="Times New Roman"/>
        </w:rPr>
        <w:t>such as the</w:t>
      </w:r>
      <w:r w:rsidR="003873DB">
        <w:rPr>
          <w:rFonts w:ascii="Times New Roman" w:hAnsi="Times New Roman" w:cs="Times New Roman"/>
        </w:rPr>
        <w:t xml:space="preserve"> femoral neck, </w:t>
      </w:r>
      <w:r w:rsidR="00836DAC">
        <w:rPr>
          <w:rFonts w:ascii="Times New Roman" w:hAnsi="Times New Roman" w:cs="Times New Roman"/>
        </w:rPr>
        <w:t xml:space="preserve">they yield </w:t>
      </w:r>
      <w:r w:rsidR="005E0814">
        <w:rPr>
          <w:rFonts w:ascii="Times New Roman" w:hAnsi="Times New Roman" w:cs="Times New Roman"/>
        </w:rPr>
        <w:t xml:space="preserve">partly </w:t>
      </w:r>
      <w:r w:rsidR="003507F9">
        <w:rPr>
          <w:rFonts w:ascii="Times New Roman" w:hAnsi="Times New Roman" w:cs="Times New Roman"/>
        </w:rPr>
        <w:t>different</w:t>
      </w:r>
      <w:r w:rsidR="00836DAC">
        <w:rPr>
          <w:rFonts w:ascii="Times New Roman" w:hAnsi="Times New Roman" w:cs="Times New Roman"/>
        </w:rPr>
        <w:t xml:space="preserve"> information.</w:t>
      </w:r>
    </w:p>
    <w:p w14:paraId="559DD374" w14:textId="7645B007" w:rsidR="003A3306" w:rsidRPr="006527E3" w:rsidRDefault="003A3306" w:rsidP="006527E3">
      <w:pPr>
        <w:spacing w:after="120" w:line="360" w:lineRule="auto"/>
        <w:jc w:val="both"/>
        <w:rPr>
          <w:rFonts w:ascii="Times New Roman" w:hAnsi="Times New Roman" w:cs="Times New Roman"/>
        </w:rPr>
      </w:pPr>
      <w:r w:rsidRPr="006527E3">
        <w:rPr>
          <w:rFonts w:ascii="Times New Roman" w:hAnsi="Times New Roman" w:cs="Times New Roman"/>
          <w:lang w:val="en-US"/>
        </w:rPr>
        <w:t>In this prospective cohort study, we therefore aimed to investigate the predi</w:t>
      </w:r>
      <w:r w:rsidR="003975B6" w:rsidRPr="006527E3">
        <w:rPr>
          <w:rFonts w:ascii="Times New Roman" w:hAnsi="Times New Roman" w:cs="Times New Roman"/>
          <w:lang w:val="en-US"/>
        </w:rPr>
        <w:t xml:space="preserve">ctive value of </w:t>
      </w:r>
      <w:r w:rsidR="00174DBD">
        <w:rPr>
          <w:rFonts w:ascii="Times New Roman" w:hAnsi="Times New Roman" w:cs="Times New Roman"/>
          <w:lang w:val="en-US"/>
        </w:rPr>
        <w:t>bone area</w:t>
      </w:r>
      <w:r w:rsidRPr="006527E3">
        <w:rPr>
          <w:rFonts w:ascii="Times New Roman" w:hAnsi="Times New Roman" w:cs="Times New Roman"/>
          <w:lang w:val="en-US"/>
        </w:rPr>
        <w:t xml:space="preserve">, mineral content and </w:t>
      </w:r>
      <w:r w:rsidR="00004078">
        <w:rPr>
          <w:rFonts w:ascii="Times New Roman" w:hAnsi="Times New Roman" w:cs="Times New Roman"/>
          <w:lang w:val="en-US"/>
        </w:rPr>
        <w:t xml:space="preserve">areal bone </w:t>
      </w:r>
      <w:r w:rsidRPr="006527E3">
        <w:rPr>
          <w:rFonts w:ascii="Times New Roman" w:hAnsi="Times New Roman" w:cs="Times New Roman"/>
          <w:lang w:val="en-US"/>
        </w:rPr>
        <w:t xml:space="preserve">mineral density at </w:t>
      </w:r>
      <w:r w:rsidR="003975B6" w:rsidRPr="006527E3">
        <w:rPr>
          <w:rFonts w:ascii="Times New Roman" w:hAnsi="Times New Roman" w:cs="Times New Roman"/>
          <w:lang w:val="en-US"/>
        </w:rPr>
        <w:t>the femoral neck</w:t>
      </w:r>
      <w:r w:rsidRPr="006527E3">
        <w:rPr>
          <w:rFonts w:ascii="Times New Roman" w:hAnsi="Times New Roman" w:cs="Times New Roman"/>
          <w:lang w:val="en-US"/>
        </w:rPr>
        <w:t>, lu</w:t>
      </w:r>
      <w:r w:rsidR="0017129E">
        <w:rPr>
          <w:rFonts w:ascii="Times New Roman" w:hAnsi="Times New Roman" w:cs="Times New Roman"/>
          <w:lang w:val="en-US"/>
        </w:rPr>
        <w:t>mbar spine and whole-body sites</w:t>
      </w:r>
      <w:r w:rsidR="0017129E" w:rsidRPr="0017129E">
        <w:rPr>
          <w:rFonts w:ascii="Times New Roman" w:hAnsi="Times New Roman" w:cs="Times New Roman"/>
          <w:lang w:val="en-US"/>
        </w:rPr>
        <w:t xml:space="preserve"> </w:t>
      </w:r>
      <w:r w:rsidR="0017129E" w:rsidRPr="006527E3">
        <w:rPr>
          <w:rFonts w:ascii="Times New Roman" w:hAnsi="Times New Roman" w:cs="Times New Roman"/>
          <w:lang w:val="en-US"/>
        </w:rPr>
        <w:t>for incident fracture</w:t>
      </w:r>
      <w:r w:rsidR="0017129E">
        <w:rPr>
          <w:rFonts w:ascii="Times New Roman" w:hAnsi="Times New Roman" w:cs="Times New Roman"/>
          <w:lang w:val="en-US"/>
        </w:rPr>
        <w:t>.</w:t>
      </w:r>
    </w:p>
    <w:p w14:paraId="22C5FB2F" w14:textId="77777777" w:rsidR="007C4E28" w:rsidRPr="006527E3" w:rsidRDefault="007C4E28" w:rsidP="006527E3">
      <w:pPr>
        <w:spacing w:after="120" w:line="360" w:lineRule="auto"/>
        <w:jc w:val="both"/>
        <w:rPr>
          <w:rFonts w:ascii="Times New Roman" w:hAnsi="Times New Roman" w:cs="Times New Roman"/>
        </w:rPr>
      </w:pPr>
    </w:p>
    <w:p w14:paraId="2041FF16" w14:textId="77777777" w:rsidR="000E0147" w:rsidRPr="006527E3" w:rsidRDefault="00CF04F8" w:rsidP="006527E3">
      <w:pPr>
        <w:spacing w:after="120" w:line="360" w:lineRule="auto"/>
        <w:jc w:val="both"/>
        <w:rPr>
          <w:rFonts w:ascii="Times New Roman" w:hAnsi="Times New Roman" w:cs="Times New Roman"/>
          <w:b/>
        </w:rPr>
      </w:pPr>
      <w:r w:rsidRPr="006527E3">
        <w:rPr>
          <w:rFonts w:ascii="Times New Roman" w:hAnsi="Times New Roman" w:cs="Times New Roman"/>
          <w:b/>
        </w:rPr>
        <w:t xml:space="preserve">Materials and </w:t>
      </w:r>
      <w:r w:rsidR="001D39A0" w:rsidRPr="006527E3">
        <w:rPr>
          <w:rFonts w:ascii="Times New Roman" w:hAnsi="Times New Roman" w:cs="Times New Roman"/>
          <w:b/>
        </w:rPr>
        <w:t>Methods</w:t>
      </w:r>
    </w:p>
    <w:p w14:paraId="1EE3ADA2" w14:textId="77777777" w:rsidR="00AE687E" w:rsidRPr="006527E3" w:rsidRDefault="00AE687E" w:rsidP="006527E3">
      <w:pPr>
        <w:spacing w:after="120" w:line="360" w:lineRule="auto"/>
        <w:jc w:val="both"/>
        <w:rPr>
          <w:rFonts w:ascii="Times New Roman" w:hAnsi="Times New Roman" w:cs="Times New Roman"/>
          <w:i/>
        </w:rPr>
      </w:pPr>
      <w:r w:rsidRPr="006527E3">
        <w:rPr>
          <w:rFonts w:ascii="Times New Roman" w:hAnsi="Times New Roman" w:cs="Times New Roman"/>
          <w:i/>
        </w:rPr>
        <w:t>Study population</w:t>
      </w:r>
    </w:p>
    <w:p w14:paraId="1F88F400" w14:textId="10FEEEF7" w:rsidR="00BD7878" w:rsidRPr="006527E3" w:rsidRDefault="00BD7878" w:rsidP="006527E3">
      <w:pPr>
        <w:spacing w:after="120" w:line="360" w:lineRule="auto"/>
        <w:jc w:val="both"/>
        <w:rPr>
          <w:rFonts w:ascii="Times New Roman" w:hAnsi="Times New Roman" w:cs="Times New Roman"/>
        </w:rPr>
      </w:pPr>
      <w:r w:rsidRPr="006527E3">
        <w:rPr>
          <w:rFonts w:ascii="Times New Roman" w:hAnsi="Times New Roman" w:cs="Times New Roman"/>
        </w:rPr>
        <w:t>Four general medical practices in different areas of Southampton</w:t>
      </w:r>
      <w:r w:rsidR="00EF1032" w:rsidRPr="006527E3">
        <w:rPr>
          <w:rFonts w:ascii="Times New Roman" w:hAnsi="Times New Roman" w:cs="Times New Roman"/>
        </w:rPr>
        <w:t>, UK</w:t>
      </w:r>
      <w:r w:rsidRPr="006527E3">
        <w:rPr>
          <w:rFonts w:ascii="Times New Roman" w:hAnsi="Times New Roman" w:cs="Times New Roman"/>
        </w:rPr>
        <w:t xml:space="preserve"> (inner city, suburban and rural) agreed to </w:t>
      </w:r>
      <w:r w:rsidR="004208B2" w:rsidRPr="006527E3">
        <w:rPr>
          <w:rFonts w:ascii="Times New Roman" w:hAnsi="Times New Roman" w:cs="Times New Roman"/>
        </w:rPr>
        <w:t>participate</w:t>
      </w:r>
      <w:r w:rsidRPr="006527E3">
        <w:rPr>
          <w:rFonts w:ascii="Times New Roman" w:hAnsi="Times New Roman" w:cs="Times New Roman"/>
        </w:rPr>
        <w:t xml:space="preserve"> in the study</w:t>
      </w:r>
      <w:r w:rsidR="002904F5" w:rsidRPr="006527E3">
        <w:rPr>
          <w:rFonts w:ascii="Times New Roman" w:hAnsi="Times New Roman" w:cs="Times New Roman"/>
        </w:rPr>
        <w:t>, covering a broad social demographic</w:t>
      </w:r>
      <w:r w:rsidRPr="006527E3">
        <w:rPr>
          <w:rFonts w:ascii="Times New Roman" w:hAnsi="Times New Roman" w:cs="Times New Roman"/>
        </w:rPr>
        <w:t>.</w:t>
      </w:r>
      <w:r w:rsidR="00917FBA" w:rsidRPr="006527E3">
        <w:rPr>
          <w:rFonts w:ascii="Times New Roman" w:hAnsi="Times New Roman" w:cs="Times New Roman"/>
        </w:rPr>
        <w:t xml:space="preserve"> Recruitment for the baseline study took place </w:t>
      </w:r>
      <w:r w:rsidR="009C5649" w:rsidRPr="006527E3">
        <w:rPr>
          <w:rFonts w:ascii="Times New Roman" w:hAnsi="Times New Roman" w:cs="Times New Roman"/>
        </w:rPr>
        <w:t>between 1991</w:t>
      </w:r>
      <w:r w:rsidR="002904F5" w:rsidRPr="006527E3">
        <w:rPr>
          <w:rFonts w:ascii="Times New Roman" w:hAnsi="Times New Roman" w:cs="Times New Roman"/>
        </w:rPr>
        <w:t xml:space="preserve"> and </w:t>
      </w:r>
      <w:r w:rsidR="00917FBA" w:rsidRPr="006527E3">
        <w:rPr>
          <w:rFonts w:ascii="Times New Roman" w:hAnsi="Times New Roman" w:cs="Times New Roman"/>
        </w:rPr>
        <w:t xml:space="preserve">1993. </w:t>
      </w:r>
      <w:r w:rsidRPr="006527E3">
        <w:rPr>
          <w:rFonts w:ascii="Times New Roman" w:hAnsi="Times New Roman" w:cs="Times New Roman"/>
        </w:rPr>
        <w:t xml:space="preserve"> </w:t>
      </w:r>
      <w:r w:rsidR="00F14F84">
        <w:rPr>
          <w:rFonts w:ascii="Times New Roman" w:hAnsi="Times New Roman" w:cs="Times New Roman"/>
        </w:rPr>
        <w:t>Women</w:t>
      </w:r>
      <w:r w:rsidRPr="006527E3">
        <w:rPr>
          <w:rFonts w:ascii="Times New Roman" w:hAnsi="Times New Roman" w:cs="Times New Roman"/>
        </w:rPr>
        <w:t xml:space="preserve"> were randomly selected from practice registers within seven 10-year age strata between 20 and 89 years with the aim of achieving 100 </w:t>
      </w:r>
      <w:r w:rsidR="00F14F84">
        <w:rPr>
          <w:rFonts w:ascii="Times New Roman" w:hAnsi="Times New Roman" w:cs="Times New Roman"/>
        </w:rPr>
        <w:t xml:space="preserve">subjects per decade of age. Participants </w:t>
      </w:r>
      <w:r w:rsidRPr="006527E3">
        <w:rPr>
          <w:rFonts w:ascii="Times New Roman" w:hAnsi="Times New Roman" w:cs="Times New Roman"/>
        </w:rPr>
        <w:t>were then invited by letter</w:t>
      </w:r>
      <w:r w:rsidR="00AE687E" w:rsidRPr="006527E3">
        <w:rPr>
          <w:rFonts w:ascii="Times New Roman" w:hAnsi="Times New Roman" w:cs="Times New Roman"/>
        </w:rPr>
        <w:t>,</w:t>
      </w:r>
      <w:r w:rsidRPr="006527E3">
        <w:rPr>
          <w:rFonts w:ascii="Times New Roman" w:hAnsi="Times New Roman" w:cs="Times New Roman"/>
        </w:rPr>
        <w:t xml:space="preserve"> sent by their general practitioner (GP)</w:t>
      </w:r>
      <w:r w:rsidR="00AE687E" w:rsidRPr="006527E3">
        <w:rPr>
          <w:rFonts w:ascii="Times New Roman" w:hAnsi="Times New Roman" w:cs="Times New Roman"/>
        </w:rPr>
        <w:t>,</w:t>
      </w:r>
      <w:r w:rsidRPr="006527E3">
        <w:rPr>
          <w:rFonts w:ascii="Times New Roman" w:hAnsi="Times New Roman" w:cs="Times New Roman"/>
        </w:rPr>
        <w:t xml:space="preserve"> to attend Southampton General Hospital for bone densitomet</w:t>
      </w:r>
      <w:r w:rsidR="00AE687E" w:rsidRPr="006527E3">
        <w:rPr>
          <w:rFonts w:ascii="Times New Roman" w:hAnsi="Times New Roman" w:cs="Times New Roman"/>
        </w:rPr>
        <w:t>ry. Non-responders</w:t>
      </w:r>
      <w:r w:rsidRPr="006527E3">
        <w:rPr>
          <w:rFonts w:ascii="Times New Roman" w:hAnsi="Times New Roman" w:cs="Times New Roman"/>
        </w:rPr>
        <w:t xml:space="preserve"> were encouraged to participate in the study on two further occasions before being excluded.  Substitute subjects were then randomly recruited </w:t>
      </w:r>
      <w:r w:rsidR="00FC5470" w:rsidRPr="006527E3">
        <w:rPr>
          <w:rFonts w:ascii="Times New Roman" w:hAnsi="Times New Roman" w:cs="Times New Roman"/>
        </w:rPr>
        <w:t>in the age categories with subjects missing</w:t>
      </w:r>
      <w:r w:rsidRPr="006527E3">
        <w:rPr>
          <w:rFonts w:ascii="Times New Roman" w:hAnsi="Times New Roman" w:cs="Times New Roman"/>
        </w:rPr>
        <w:t xml:space="preserve">. Women who were pregnant at the time of recruitment were not scanned until after the birth of their </w:t>
      </w:r>
      <w:r w:rsidR="0048324C" w:rsidRPr="006527E3">
        <w:rPr>
          <w:rFonts w:ascii="Times New Roman" w:hAnsi="Times New Roman" w:cs="Times New Roman"/>
        </w:rPr>
        <w:t>child</w:t>
      </w:r>
      <w:r w:rsidRPr="006527E3">
        <w:rPr>
          <w:rFonts w:ascii="Times New Roman" w:hAnsi="Times New Roman" w:cs="Times New Roman"/>
        </w:rPr>
        <w:t>. The study was approved by the Sout</w:t>
      </w:r>
      <w:r w:rsidR="00F477E9" w:rsidRPr="006527E3">
        <w:rPr>
          <w:rFonts w:ascii="Times New Roman" w:hAnsi="Times New Roman" w:cs="Times New Roman"/>
        </w:rPr>
        <w:t>hampton Joint Ethics Committee.</w:t>
      </w:r>
      <w:r w:rsidR="00AE687E" w:rsidRPr="006527E3">
        <w:rPr>
          <w:rFonts w:ascii="Times New Roman" w:hAnsi="Times New Roman" w:cs="Times New Roman"/>
        </w:rPr>
        <w:t xml:space="preserve"> </w:t>
      </w:r>
    </w:p>
    <w:p w14:paraId="640556CD" w14:textId="77777777" w:rsidR="00AE687E" w:rsidRPr="006527E3" w:rsidRDefault="00AE687E" w:rsidP="006527E3">
      <w:pPr>
        <w:spacing w:after="120" w:line="360" w:lineRule="auto"/>
        <w:jc w:val="both"/>
        <w:rPr>
          <w:rFonts w:ascii="Times New Roman" w:hAnsi="Times New Roman" w:cs="Times New Roman"/>
          <w:i/>
        </w:rPr>
      </w:pPr>
      <w:r w:rsidRPr="006527E3">
        <w:rPr>
          <w:rFonts w:ascii="Times New Roman" w:hAnsi="Times New Roman" w:cs="Times New Roman"/>
          <w:i/>
        </w:rPr>
        <w:t>Baseline assessment</w:t>
      </w:r>
    </w:p>
    <w:p w14:paraId="3BDFD628" w14:textId="7F511149" w:rsidR="00EF1032" w:rsidRPr="006527E3" w:rsidRDefault="00F477E9" w:rsidP="006527E3">
      <w:pPr>
        <w:spacing w:after="120" w:line="360" w:lineRule="auto"/>
        <w:jc w:val="both"/>
        <w:rPr>
          <w:rFonts w:ascii="Times New Roman" w:hAnsi="Times New Roman" w:cs="Times New Roman"/>
        </w:rPr>
      </w:pPr>
      <w:r w:rsidRPr="006527E3">
        <w:rPr>
          <w:rFonts w:ascii="Times New Roman" w:hAnsi="Times New Roman" w:cs="Times New Roman"/>
        </w:rPr>
        <w:lastRenderedPageBreak/>
        <w:t>At the time of recruitment</w:t>
      </w:r>
      <w:r w:rsidR="00421DC8">
        <w:rPr>
          <w:rFonts w:ascii="Times New Roman" w:hAnsi="Times New Roman" w:cs="Times New Roman"/>
        </w:rPr>
        <w:t xml:space="preserve"> 1991-1993</w:t>
      </w:r>
      <w:r w:rsidRPr="006527E3">
        <w:rPr>
          <w:rFonts w:ascii="Times New Roman" w:hAnsi="Times New Roman" w:cs="Times New Roman"/>
        </w:rPr>
        <w:t xml:space="preserve"> a questionnaire was completed by an interviewer. </w:t>
      </w:r>
      <w:r w:rsidR="00AE687E" w:rsidRPr="006527E3">
        <w:rPr>
          <w:rFonts w:ascii="Times New Roman" w:hAnsi="Times New Roman" w:cs="Times New Roman"/>
        </w:rPr>
        <w:t>Information</w:t>
      </w:r>
      <w:r w:rsidRPr="006527E3">
        <w:rPr>
          <w:rFonts w:ascii="Times New Roman" w:hAnsi="Times New Roman" w:cs="Times New Roman"/>
        </w:rPr>
        <w:t xml:space="preserve"> recorded included age, height, weight, ethnic group, alcohol consumption,</w:t>
      </w:r>
      <w:r w:rsidR="00DF33C3" w:rsidRPr="006527E3">
        <w:rPr>
          <w:rFonts w:ascii="Times New Roman" w:hAnsi="Times New Roman" w:cs="Times New Roman"/>
        </w:rPr>
        <w:t xml:space="preserve"> smoking,</w:t>
      </w:r>
      <w:r w:rsidRPr="006527E3">
        <w:rPr>
          <w:rFonts w:ascii="Times New Roman" w:hAnsi="Times New Roman" w:cs="Times New Roman"/>
        </w:rPr>
        <w:t xml:space="preserve"> medical history, drug history and physical </w:t>
      </w:r>
      <w:r w:rsidR="00DF33C3" w:rsidRPr="006527E3">
        <w:rPr>
          <w:rFonts w:ascii="Times New Roman" w:hAnsi="Times New Roman" w:cs="Times New Roman"/>
        </w:rPr>
        <w:t xml:space="preserve">activity. </w:t>
      </w:r>
      <w:r w:rsidRPr="006527E3">
        <w:rPr>
          <w:rFonts w:ascii="Times New Roman" w:hAnsi="Times New Roman" w:cs="Times New Roman"/>
        </w:rPr>
        <w:t>Using the Lunar DPX+ densitometer (software version 3.4j</w:t>
      </w:r>
      <w:r w:rsidR="006335F7" w:rsidRPr="006527E3">
        <w:rPr>
          <w:rFonts w:ascii="Times New Roman" w:hAnsi="Times New Roman" w:cs="Times New Roman"/>
        </w:rPr>
        <w:t>, Lunar Corporation, Madison, Wisconsin, USA</w:t>
      </w:r>
      <w:r w:rsidRPr="006527E3">
        <w:rPr>
          <w:rFonts w:ascii="Times New Roman" w:hAnsi="Times New Roman" w:cs="Times New Roman"/>
        </w:rPr>
        <w:t>)</w:t>
      </w:r>
      <w:r w:rsidR="00AE687E" w:rsidRPr="006527E3">
        <w:rPr>
          <w:rFonts w:ascii="Times New Roman" w:hAnsi="Times New Roman" w:cs="Times New Roman"/>
        </w:rPr>
        <w:t xml:space="preserve">, with </w:t>
      </w:r>
      <w:r w:rsidRPr="006527E3">
        <w:rPr>
          <w:rFonts w:ascii="Times New Roman" w:hAnsi="Times New Roman" w:cs="Times New Roman"/>
        </w:rPr>
        <w:t xml:space="preserve">scanning and analysis protocols recommended by the manufacturer, measurements of the anteroposterior (AP) lumbar spine, right proximal femur and total body were </w:t>
      </w:r>
      <w:r w:rsidR="001F2FEB" w:rsidRPr="006527E3">
        <w:rPr>
          <w:rFonts w:ascii="Times New Roman" w:hAnsi="Times New Roman" w:cs="Times New Roman"/>
        </w:rPr>
        <w:t>obtained</w:t>
      </w:r>
      <w:r w:rsidR="00EF1032" w:rsidRPr="006527E3">
        <w:rPr>
          <w:rFonts w:ascii="Times New Roman" w:hAnsi="Times New Roman" w:cs="Times New Roman"/>
        </w:rPr>
        <w:t xml:space="preserve"> </w:t>
      </w:r>
      <w:r w:rsidR="00F758D5">
        <w:rPr>
          <w:rFonts w:ascii="Times New Roman" w:hAnsi="Times New Roman" w:cs="Times New Roman"/>
        </w:rPr>
        <w:t>[bone area (</w:t>
      </w:r>
      <w:r w:rsidR="00EF1032" w:rsidRPr="006527E3">
        <w:rPr>
          <w:rFonts w:ascii="Times New Roman" w:hAnsi="Times New Roman" w:cs="Times New Roman"/>
        </w:rPr>
        <w:t>BA</w:t>
      </w:r>
      <w:r w:rsidR="00F758D5">
        <w:rPr>
          <w:rFonts w:ascii="Times New Roman" w:hAnsi="Times New Roman" w:cs="Times New Roman"/>
        </w:rPr>
        <w:t>)</w:t>
      </w:r>
      <w:r w:rsidR="00EF1032" w:rsidRPr="006527E3">
        <w:rPr>
          <w:rFonts w:ascii="Times New Roman" w:hAnsi="Times New Roman" w:cs="Times New Roman"/>
        </w:rPr>
        <w:t>,</w:t>
      </w:r>
      <w:r w:rsidR="00F758D5">
        <w:rPr>
          <w:rFonts w:ascii="Times New Roman" w:hAnsi="Times New Roman" w:cs="Times New Roman"/>
        </w:rPr>
        <w:t xml:space="preserve"> bone mineral content (</w:t>
      </w:r>
      <w:r w:rsidR="00EF1032" w:rsidRPr="006527E3">
        <w:rPr>
          <w:rFonts w:ascii="Times New Roman" w:hAnsi="Times New Roman" w:cs="Times New Roman"/>
        </w:rPr>
        <w:t>BMC</w:t>
      </w:r>
      <w:r w:rsidR="00F758D5">
        <w:rPr>
          <w:rFonts w:ascii="Times New Roman" w:hAnsi="Times New Roman" w:cs="Times New Roman"/>
        </w:rPr>
        <w:t>)</w:t>
      </w:r>
      <w:r w:rsidR="00EF1032" w:rsidRPr="006527E3">
        <w:rPr>
          <w:rFonts w:ascii="Times New Roman" w:hAnsi="Times New Roman" w:cs="Times New Roman"/>
        </w:rPr>
        <w:t xml:space="preserve"> and </w:t>
      </w:r>
      <w:r w:rsidR="00F758D5">
        <w:rPr>
          <w:rFonts w:ascii="Times New Roman" w:hAnsi="Times New Roman" w:cs="Times New Roman"/>
        </w:rPr>
        <w:t>areal bone mineral density (</w:t>
      </w:r>
      <w:r w:rsidR="00EF1032" w:rsidRPr="006527E3">
        <w:rPr>
          <w:rFonts w:ascii="Times New Roman" w:hAnsi="Times New Roman" w:cs="Times New Roman"/>
        </w:rPr>
        <w:t>BMD</w:t>
      </w:r>
      <w:r w:rsidR="00F758D5">
        <w:rPr>
          <w:rFonts w:ascii="Times New Roman" w:hAnsi="Times New Roman" w:cs="Times New Roman"/>
        </w:rPr>
        <w:t>)</w:t>
      </w:r>
      <w:r w:rsidR="00EF1032" w:rsidRPr="006527E3">
        <w:rPr>
          <w:rFonts w:ascii="Times New Roman" w:hAnsi="Times New Roman" w:cs="Times New Roman"/>
        </w:rPr>
        <w:t xml:space="preserve"> except for whole body, at which site BA was not captured</w:t>
      </w:r>
      <w:r w:rsidR="00F758D5">
        <w:rPr>
          <w:rFonts w:ascii="Times New Roman" w:hAnsi="Times New Roman" w:cs="Times New Roman"/>
        </w:rPr>
        <w:t>]</w:t>
      </w:r>
      <w:r w:rsidR="00FC5470" w:rsidRPr="006527E3">
        <w:rPr>
          <w:rFonts w:ascii="Times New Roman" w:hAnsi="Times New Roman" w:cs="Times New Roman"/>
        </w:rPr>
        <w:t xml:space="preserve">. The densitometer was calibrated daily according to the manufacturer’s standard procedure. A weekly further check was made using the manufacturer’s aluminium spine phantom immersed in 15cm of water.  The </w:t>
      </w:r>
      <w:r w:rsidR="003E3D18" w:rsidRPr="006527E3">
        <w:rPr>
          <w:rFonts w:ascii="Times New Roman" w:hAnsi="Times New Roman" w:cs="Times New Roman"/>
        </w:rPr>
        <w:t>long-term</w:t>
      </w:r>
      <w:r w:rsidR="00FC5470" w:rsidRPr="006527E3">
        <w:rPr>
          <w:rFonts w:ascii="Times New Roman" w:hAnsi="Times New Roman" w:cs="Times New Roman"/>
        </w:rPr>
        <w:t xml:space="preserve"> precision (%CV) of the system over the duration of the study was 0.5%. All scans were examined by an experienced operator at the end of the study and technically unsatisfactory data </w:t>
      </w:r>
      <w:r w:rsidR="00AE687E" w:rsidRPr="006527E3">
        <w:rPr>
          <w:rFonts w:ascii="Times New Roman" w:hAnsi="Times New Roman" w:cs="Times New Roman"/>
        </w:rPr>
        <w:t>were</w:t>
      </w:r>
      <w:r w:rsidR="00FC5470" w:rsidRPr="006527E3">
        <w:rPr>
          <w:rFonts w:ascii="Times New Roman" w:hAnsi="Times New Roman" w:cs="Times New Roman"/>
        </w:rPr>
        <w:t xml:space="preserve"> excluded from the database. </w:t>
      </w:r>
    </w:p>
    <w:p w14:paraId="152794A6" w14:textId="77777777" w:rsidR="00AE687E" w:rsidRPr="006527E3" w:rsidRDefault="00AE687E" w:rsidP="006527E3">
      <w:pPr>
        <w:spacing w:after="120" w:line="360" w:lineRule="auto"/>
        <w:jc w:val="both"/>
        <w:rPr>
          <w:rFonts w:ascii="Times New Roman" w:hAnsi="Times New Roman" w:cs="Times New Roman"/>
          <w:i/>
        </w:rPr>
      </w:pPr>
      <w:r w:rsidRPr="006527E3">
        <w:rPr>
          <w:rFonts w:ascii="Times New Roman" w:hAnsi="Times New Roman" w:cs="Times New Roman"/>
          <w:i/>
        </w:rPr>
        <w:t>Follow-up assessments</w:t>
      </w:r>
    </w:p>
    <w:p w14:paraId="2A7E6F29" w14:textId="04FC484F" w:rsidR="003A34AC" w:rsidRPr="006527E3" w:rsidRDefault="00AE687E" w:rsidP="006527E3">
      <w:pPr>
        <w:spacing w:after="120" w:line="360" w:lineRule="auto"/>
        <w:jc w:val="both"/>
        <w:rPr>
          <w:rFonts w:ascii="Times New Roman" w:hAnsi="Times New Roman" w:cs="Times New Roman"/>
        </w:rPr>
      </w:pPr>
      <w:r w:rsidRPr="006527E3">
        <w:rPr>
          <w:rFonts w:ascii="Times New Roman" w:hAnsi="Times New Roman" w:cs="Times New Roman"/>
        </w:rPr>
        <w:t>A follow-</w:t>
      </w:r>
      <w:r w:rsidR="00917FBA" w:rsidRPr="006527E3">
        <w:rPr>
          <w:rFonts w:ascii="Times New Roman" w:hAnsi="Times New Roman" w:cs="Times New Roman"/>
        </w:rPr>
        <w:t>up study commenced in 1998</w:t>
      </w:r>
      <w:r w:rsidR="003A34AC" w:rsidRPr="006527E3">
        <w:rPr>
          <w:rFonts w:ascii="Times New Roman" w:hAnsi="Times New Roman" w:cs="Times New Roman"/>
        </w:rPr>
        <w:t xml:space="preserve"> on the 674 women for whom adequate baseline bone density measurements were available</w:t>
      </w:r>
      <w:r w:rsidR="006335F7" w:rsidRPr="006527E3">
        <w:rPr>
          <w:rFonts w:ascii="Times New Roman" w:hAnsi="Times New Roman" w:cs="Times New Roman"/>
        </w:rPr>
        <w:t xml:space="preserve">. Following renewed approval by the Southampton Joint Ethics Committee, postal questionnaires were sent out to the women who </w:t>
      </w:r>
      <w:r w:rsidR="00EF1032" w:rsidRPr="006527E3">
        <w:rPr>
          <w:rFonts w:ascii="Times New Roman" w:hAnsi="Times New Roman" w:cs="Times New Roman"/>
        </w:rPr>
        <w:t>had originally a</w:t>
      </w:r>
      <w:r w:rsidR="006335F7" w:rsidRPr="006527E3">
        <w:rPr>
          <w:rFonts w:ascii="Times New Roman" w:hAnsi="Times New Roman" w:cs="Times New Roman"/>
        </w:rPr>
        <w:t xml:space="preserve">ttended </w:t>
      </w:r>
      <w:r w:rsidR="00EF1032" w:rsidRPr="006527E3">
        <w:rPr>
          <w:rFonts w:ascii="Times New Roman" w:hAnsi="Times New Roman" w:cs="Times New Roman"/>
        </w:rPr>
        <w:t>a</w:t>
      </w:r>
      <w:r w:rsidR="006335F7" w:rsidRPr="006527E3">
        <w:rPr>
          <w:rFonts w:ascii="Times New Roman" w:hAnsi="Times New Roman" w:cs="Times New Roman"/>
        </w:rPr>
        <w:t xml:space="preserve"> DXA</w:t>
      </w:r>
      <w:r w:rsidR="00EF1032" w:rsidRPr="006527E3">
        <w:rPr>
          <w:rFonts w:ascii="Times New Roman" w:hAnsi="Times New Roman" w:cs="Times New Roman"/>
        </w:rPr>
        <w:t xml:space="preserve"> assessment at baseline</w:t>
      </w:r>
      <w:r w:rsidR="006335F7" w:rsidRPr="006527E3">
        <w:rPr>
          <w:rFonts w:ascii="Times New Roman" w:hAnsi="Times New Roman" w:cs="Times New Roman"/>
        </w:rPr>
        <w:t xml:space="preserve">. A validated questionnaire was used to gather data on </w:t>
      </w:r>
      <w:r w:rsidR="00F575D1" w:rsidRPr="006527E3">
        <w:rPr>
          <w:rFonts w:ascii="Times New Roman" w:hAnsi="Times New Roman" w:cs="Times New Roman"/>
        </w:rPr>
        <w:t xml:space="preserve">incident </w:t>
      </w:r>
      <w:r w:rsidR="006335F7" w:rsidRPr="006527E3">
        <w:rPr>
          <w:rFonts w:ascii="Times New Roman" w:hAnsi="Times New Roman" w:cs="Times New Roman"/>
        </w:rPr>
        <w:t>fracture</w:t>
      </w:r>
      <w:r w:rsidR="00F575D1" w:rsidRPr="006527E3">
        <w:rPr>
          <w:rFonts w:ascii="Times New Roman" w:hAnsi="Times New Roman" w:cs="Times New Roman"/>
        </w:rPr>
        <w:t>s</w:t>
      </w:r>
      <w:r w:rsidR="006335F7" w:rsidRPr="006527E3">
        <w:rPr>
          <w:rFonts w:ascii="Times New Roman" w:hAnsi="Times New Roman" w:cs="Times New Roman"/>
        </w:rPr>
        <w:t xml:space="preserve"> </w:t>
      </w:r>
      <w:r w:rsidR="001F2FEB" w:rsidRPr="006527E3">
        <w:rPr>
          <w:rFonts w:ascii="Times New Roman" w:hAnsi="Times New Roman" w:cs="Times New Roman"/>
        </w:rPr>
        <w:t>which occurred during</w:t>
      </w:r>
      <w:r w:rsidR="006335F7" w:rsidRPr="006527E3">
        <w:rPr>
          <w:rFonts w:ascii="Times New Roman" w:hAnsi="Times New Roman" w:cs="Times New Roman"/>
        </w:rPr>
        <w:t xml:space="preserve"> the 5-7 years</w:t>
      </w:r>
      <w:r w:rsidR="00EF1032" w:rsidRPr="006527E3">
        <w:rPr>
          <w:rFonts w:ascii="Times New Roman" w:hAnsi="Times New Roman" w:cs="Times New Roman"/>
        </w:rPr>
        <w:t xml:space="preserve"> between baseline DXA and follow-up</w:t>
      </w:r>
      <w:r w:rsidR="006335F7" w:rsidRPr="006527E3">
        <w:rPr>
          <w:rFonts w:ascii="Times New Roman" w:hAnsi="Times New Roman" w:cs="Times New Roman"/>
        </w:rPr>
        <w:t>.</w:t>
      </w:r>
      <w:r w:rsidR="00DF33C3" w:rsidRPr="006527E3">
        <w:rPr>
          <w:rFonts w:ascii="Times New Roman" w:hAnsi="Times New Roman" w:cs="Times New Roman"/>
        </w:rPr>
        <w:t xml:space="preserve"> </w:t>
      </w:r>
      <w:r w:rsidR="00F14F84">
        <w:rPr>
          <w:rFonts w:ascii="Times New Roman" w:hAnsi="Times New Roman" w:cs="Times New Roman"/>
        </w:rPr>
        <w:t>Participants</w:t>
      </w:r>
      <w:r w:rsidR="00DF33C3" w:rsidRPr="006527E3">
        <w:rPr>
          <w:rFonts w:ascii="Times New Roman" w:hAnsi="Times New Roman" w:cs="Times New Roman"/>
        </w:rPr>
        <w:t xml:space="preserve"> were encouraged to return the questionnaire regardless of whether or not they had suffered a fracture. </w:t>
      </w:r>
      <w:r w:rsidR="006335F7" w:rsidRPr="006527E3">
        <w:rPr>
          <w:rFonts w:ascii="Times New Roman" w:hAnsi="Times New Roman" w:cs="Times New Roman"/>
        </w:rPr>
        <w:t xml:space="preserve"> </w:t>
      </w:r>
      <w:r w:rsidR="00F14F84">
        <w:rPr>
          <w:rFonts w:ascii="Times New Roman" w:hAnsi="Times New Roman" w:cs="Times New Roman"/>
        </w:rPr>
        <w:t>Participants</w:t>
      </w:r>
      <w:r w:rsidR="00F14F84" w:rsidRPr="006527E3">
        <w:rPr>
          <w:rFonts w:ascii="Times New Roman" w:hAnsi="Times New Roman" w:cs="Times New Roman"/>
        </w:rPr>
        <w:t xml:space="preserve"> </w:t>
      </w:r>
      <w:r w:rsidR="003A34AC" w:rsidRPr="006527E3">
        <w:rPr>
          <w:rFonts w:ascii="Times New Roman" w:hAnsi="Times New Roman" w:cs="Times New Roman"/>
        </w:rPr>
        <w:t>listed fractures</w:t>
      </w:r>
      <w:r w:rsidR="008E1051" w:rsidRPr="006527E3">
        <w:rPr>
          <w:rFonts w:ascii="Times New Roman" w:hAnsi="Times New Roman" w:cs="Times New Roman"/>
        </w:rPr>
        <w:t xml:space="preserve"> and dates of fractures</w:t>
      </w:r>
      <w:r w:rsidR="003A34AC" w:rsidRPr="006527E3">
        <w:rPr>
          <w:rFonts w:ascii="Times New Roman" w:hAnsi="Times New Roman" w:cs="Times New Roman"/>
        </w:rPr>
        <w:t xml:space="preserve"> in the period since their DXA scan and </w:t>
      </w:r>
      <w:r w:rsidR="00F575D1" w:rsidRPr="006527E3">
        <w:rPr>
          <w:rFonts w:ascii="Times New Roman" w:hAnsi="Times New Roman" w:cs="Times New Roman"/>
        </w:rPr>
        <w:t>also in which hospital they were assessed. Data on medication use [</w:t>
      </w:r>
      <w:r w:rsidR="003A34AC" w:rsidRPr="006527E3">
        <w:rPr>
          <w:rFonts w:ascii="Times New Roman" w:hAnsi="Times New Roman" w:cs="Times New Roman"/>
        </w:rPr>
        <w:t>hormone replacement therapy, bisphosphonates (etidronate and alendronate), c</w:t>
      </w:r>
      <w:r w:rsidR="00F575D1" w:rsidRPr="006527E3">
        <w:rPr>
          <w:rFonts w:ascii="Times New Roman" w:hAnsi="Times New Roman" w:cs="Times New Roman"/>
        </w:rPr>
        <w:t>alcium supplements and steroids]</w:t>
      </w:r>
      <w:r w:rsidR="003A34AC" w:rsidRPr="006527E3">
        <w:rPr>
          <w:rFonts w:ascii="Times New Roman" w:hAnsi="Times New Roman" w:cs="Times New Roman"/>
        </w:rPr>
        <w:t xml:space="preserve"> w</w:t>
      </w:r>
      <w:r w:rsidR="00890DA5" w:rsidRPr="006527E3">
        <w:rPr>
          <w:rFonts w:ascii="Times New Roman" w:hAnsi="Times New Roman" w:cs="Times New Roman"/>
        </w:rPr>
        <w:t>ere</w:t>
      </w:r>
      <w:r w:rsidR="003A34AC" w:rsidRPr="006527E3">
        <w:rPr>
          <w:rFonts w:ascii="Times New Roman" w:hAnsi="Times New Roman" w:cs="Times New Roman"/>
        </w:rPr>
        <w:t xml:space="preserve"> collected. </w:t>
      </w:r>
      <w:r w:rsidR="003E3D18" w:rsidRPr="006527E3">
        <w:rPr>
          <w:rFonts w:ascii="Times New Roman" w:hAnsi="Times New Roman" w:cs="Times New Roman"/>
        </w:rPr>
        <w:t>A senior research nurse, who checked radiographs and radiology reports, and classified the fracture site, undertook fracture validation</w:t>
      </w:r>
      <w:r w:rsidR="003A34AC" w:rsidRPr="006527E3">
        <w:rPr>
          <w:rFonts w:ascii="Times New Roman" w:hAnsi="Times New Roman" w:cs="Times New Roman"/>
        </w:rPr>
        <w:t xml:space="preserve">. Vertebral fractures were classified as those with a definite clinical event with minimal trauma and at least a 20-25% reduction in anterior, middle or posterior height of any T4-L4 vertebra together with at least a 10-20% reduction of the projected vertebral area on visual inspection of a lateral </w:t>
      </w:r>
      <w:r w:rsidR="001F2FEB" w:rsidRPr="006527E3">
        <w:rPr>
          <w:rFonts w:ascii="Times New Roman" w:hAnsi="Times New Roman" w:cs="Times New Roman"/>
        </w:rPr>
        <w:t>radiograph</w:t>
      </w:r>
      <w:r w:rsidR="003A34AC" w:rsidRPr="006527E3">
        <w:rPr>
          <w:rFonts w:ascii="Times New Roman" w:hAnsi="Times New Roman" w:cs="Times New Roman"/>
        </w:rPr>
        <w:t>.</w:t>
      </w:r>
    </w:p>
    <w:p w14:paraId="4F7B3CFA" w14:textId="77777777" w:rsidR="00CB6737" w:rsidRPr="006527E3" w:rsidRDefault="00CB6737" w:rsidP="006527E3">
      <w:pPr>
        <w:spacing w:after="120" w:line="360" w:lineRule="auto"/>
        <w:jc w:val="both"/>
        <w:rPr>
          <w:rFonts w:ascii="Times New Roman" w:hAnsi="Times New Roman" w:cs="Times New Roman"/>
          <w:i/>
        </w:rPr>
      </w:pPr>
      <w:r w:rsidRPr="006527E3">
        <w:rPr>
          <w:rFonts w:ascii="Times New Roman" w:hAnsi="Times New Roman" w:cs="Times New Roman"/>
          <w:i/>
        </w:rPr>
        <w:t>Statistical analysis</w:t>
      </w:r>
    </w:p>
    <w:p w14:paraId="45DF2ECB" w14:textId="0DEEA4E2" w:rsidR="00320307" w:rsidRDefault="00587057" w:rsidP="006527E3">
      <w:pPr>
        <w:spacing w:after="120" w:line="360" w:lineRule="auto"/>
        <w:jc w:val="both"/>
        <w:rPr>
          <w:rFonts w:ascii="Times New Roman" w:hAnsi="Times New Roman" w:cs="Times New Roman"/>
        </w:rPr>
      </w:pPr>
      <w:r w:rsidRPr="00874C0D">
        <w:rPr>
          <w:rFonts w:ascii="Times New Roman" w:hAnsi="Times New Roman" w:cs="Times New Roman"/>
        </w:rPr>
        <w:t xml:space="preserve">To assess differences between </w:t>
      </w:r>
      <w:r w:rsidR="00421DC8" w:rsidRPr="00874C0D">
        <w:rPr>
          <w:rFonts w:ascii="Times New Roman" w:hAnsi="Times New Roman" w:cs="Times New Roman"/>
        </w:rPr>
        <w:t>groups</w:t>
      </w:r>
      <w:r w:rsidRPr="00874C0D">
        <w:rPr>
          <w:rFonts w:ascii="Times New Roman" w:hAnsi="Times New Roman" w:cs="Times New Roman"/>
        </w:rPr>
        <w:t>, T</w:t>
      </w:r>
      <w:r w:rsidR="00015C2F" w:rsidRPr="00874C0D">
        <w:rPr>
          <w:rFonts w:ascii="Times New Roman" w:hAnsi="Times New Roman" w:cs="Times New Roman"/>
        </w:rPr>
        <w:t>-</w:t>
      </w:r>
      <w:r w:rsidRPr="00874C0D">
        <w:rPr>
          <w:rFonts w:ascii="Times New Roman" w:hAnsi="Times New Roman" w:cs="Times New Roman"/>
        </w:rPr>
        <w:t xml:space="preserve">tests </w:t>
      </w:r>
      <w:r w:rsidR="00015C2F" w:rsidRPr="00874C0D">
        <w:rPr>
          <w:rFonts w:ascii="Times New Roman" w:hAnsi="Times New Roman" w:cs="Times New Roman"/>
        </w:rPr>
        <w:t>were</w:t>
      </w:r>
      <w:r w:rsidRPr="00874C0D">
        <w:rPr>
          <w:rFonts w:ascii="Times New Roman" w:hAnsi="Times New Roman" w:cs="Times New Roman"/>
        </w:rPr>
        <w:t xml:space="preserve"> used</w:t>
      </w:r>
      <w:r w:rsidRPr="006527E3">
        <w:rPr>
          <w:rFonts w:ascii="Times New Roman" w:hAnsi="Times New Roman" w:cs="Times New Roman"/>
        </w:rPr>
        <w:t xml:space="preserve"> for normally distributed variables</w:t>
      </w:r>
      <w:r w:rsidR="00F575D1" w:rsidRPr="006527E3">
        <w:rPr>
          <w:rFonts w:ascii="Times New Roman" w:hAnsi="Times New Roman" w:cs="Times New Roman"/>
        </w:rPr>
        <w:t>, Mann-Whitney U test for BMI (</w:t>
      </w:r>
      <w:r w:rsidRPr="006527E3">
        <w:rPr>
          <w:rFonts w:ascii="Times New Roman" w:hAnsi="Times New Roman" w:cs="Times New Roman"/>
        </w:rPr>
        <w:t xml:space="preserve">as the variable was not normally distributed) and </w:t>
      </w:r>
      <w:r w:rsidR="00585CBF" w:rsidRPr="006527E3">
        <w:rPr>
          <w:rFonts w:ascii="Times New Roman" w:hAnsi="Times New Roman" w:cs="Times New Roman"/>
        </w:rPr>
        <w:t xml:space="preserve">Pearson </w:t>
      </w:r>
      <w:r w:rsidRPr="006527E3">
        <w:rPr>
          <w:rFonts w:ascii="Times New Roman" w:hAnsi="Times New Roman" w:cs="Times New Roman"/>
        </w:rPr>
        <w:t>Chi</w:t>
      </w:r>
      <w:r w:rsidRPr="006527E3">
        <w:rPr>
          <w:rFonts w:ascii="Times New Roman" w:hAnsi="Times New Roman" w:cs="Times New Roman"/>
          <w:vertAlign w:val="superscript"/>
        </w:rPr>
        <w:t>2</w:t>
      </w:r>
      <w:r w:rsidRPr="006527E3">
        <w:rPr>
          <w:rFonts w:ascii="Times New Roman" w:hAnsi="Times New Roman" w:cs="Times New Roman"/>
        </w:rPr>
        <w:t xml:space="preserve"> test for categorical variables.</w:t>
      </w:r>
      <w:r w:rsidR="00F575D1" w:rsidRPr="006527E3">
        <w:rPr>
          <w:rFonts w:ascii="Times New Roman" w:hAnsi="Times New Roman" w:cs="Times New Roman"/>
        </w:rPr>
        <w:t xml:space="preserve"> </w:t>
      </w:r>
      <w:r w:rsidR="001D39A0" w:rsidRPr="006527E3">
        <w:rPr>
          <w:rFonts w:ascii="Times New Roman" w:hAnsi="Times New Roman" w:cs="Times New Roman"/>
        </w:rPr>
        <w:t xml:space="preserve">Cox proportional hazards models were used to explore the </w:t>
      </w:r>
      <w:r w:rsidR="00EF1032" w:rsidRPr="006527E3">
        <w:rPr>
          <w:rFonts w:ascii="Times New Roman" w:hAnsi="Times New Roman" w:cs="Times New Roman"/>
        </w:rPr>
        <w:t>time to</w:t>
      </w:r>
      <w:r w:rsidR="001D39A0" w:rsidRPr="006527E3">
        <w:rPr>
          <w:rFonts w:ascii="Times New Roman" w:hAnsi="Times New Roman" w:cs="Times New Roman"/>
        </w:rPr>
        <w:t xml:space="preserve"> </w:t>
      </w:r>
      <w:r w:rsidR="007C6869" w:rsidRPr="006527E3">
        <w:rPr>
          <w:rFonts w:ascii="Times New Roman" w:hAnsi="Times New Roman" w:cs="Times New Roman"/>
        </w:rPr>
        <w:t xml:space="preserve">first </w:t>
      </w:r>
      <w:r w:rsidR="001D39A0" w:rsidRPr="006527E3">
        <w:rPr>
          <w:rFonts w:ascii="Times New Roman" w:hAnsi="Times New Roman" w:cs="Times New Roman"/>
        </w:rPr>
        <w:t xml:space="preserve">incident fracture and results </w:t>
      </w:r>
      <w:r w:rsidRPr="006527E3">
        <w:rPr>
          <w:rFonts w:ascii="Times New Roman" w:hAnsi="Times New Roman" w:cs="Times New Roman"/>
        </w:rPr>
        <w:t>were</w:t>
      </w:r>
      <w:r w:rsidR="001D39A0" w:rsidRPr="006527E3">
        <w:rPr>
          <w:rFonts w:ascii="Times New Roman" w:hAnsi="Times New Roman" w:cs="Times New Roman"/>
        </w:rPr>
        <w:t xml:space="preserve"> expressed as </w:t>
      </w:r>
      <w:r w:rsidR="00EF1032" w:rsidRPr="006527E3">
        <w:rPr>
          <w:rFonts w:ascii="Times New Roman" w:hAnsi="Times New Roman" w:cs="Times New Roman"/>
        </w:rPr>
        <w:t xml:space="preserve">the </w:t>
      </w:r>
      <w:r w:rsidR="001D39A0" w:rsidRPr="006527E3">
        <w:rPr>
          <w:rFonts w:ascii="Times New Roman" w:hAnsi="Times New Roman" w:cs="Times New Roman"/>
        </w:rPr>
        <w:t>Hazard Ratio (HR) per</w:t>
      </w:r>
      <w:r w:rsidR="00EF1032" w:rsidRPr="006527E3">
        <w:rPr>
          <w:rFonts w:ascii="Times New Roman" w:hAnsi="Times New Roman" w:cs="Times New Roman"/>
        </w:rPr>
        <w:t xml:space="preserve"> 1 SD increase in the predictor</w:t>
      </w:r>
      <w:r w:rsidR="001D39A0" w:rsidRPr="006527E3">
        <w:rPr>
          <w:rFonts w:ascii="Times New Roman" w:hAnsi="Times New Roman" w:cs="Times New Roman"/>
        </w:rPr>
        <w:t xml:space="preserve"> and 95% </w:t>
      </w:r>
      <w:r w:rsidRPr="006527E3">
        <w:rPr>
          <w:rFonts w:ascii="Times New Roman" w:hAnsi="Times New Roman" w:cs="Times New Roman"/>
        </w:rPr>
        <w:t>confidence interval</w:t>
      </w:r>
      <w:r w:rsidR="001D39A0" w:rsidRPr="006527E3">
        <w:rPr>
          <w:rFonts w:ascii="Times New Roman" w:hAnsi="Times New Roman" w:cs="Times New Roman"/>
        </w:rPr>
        <w:t xml:space="preserve">. </w:t>
      </w:r>
      <w:r w:rsidR="000C6AF0" w:rsidRPr="006527E3">
        <w:rPr>
          <w:rFonts w:ascii="Times New Roman" w:hAnsi="Times New Roman" w:cs="Times New Roman"/>
        </w:rPr>
        <w:t xml:space="preserve">Outcomes included </w:t>
      </w:r>
      <w:r w:rsidR="00015C2F" w:rsidRPr="006527E3">
        <w:rPr>
          <w:rFonts w:ascii="Times New Roman" w:hAnsi="Times New Roman" w:cs="Times New Roman"/>
        </w:rPr>
        <w:t xml:space="preserve">any </w:t>
      </w:r>
      <w:r w:rsidR="00ED0E74">
        <w:rPr>
          <w:rFonts w:ascii="Times New Roman" w:hAnsi="Times New Roman" w:cs="Times New Roman"/>
        </w:rPr>
        <w:t xml:space="preserve">1) </w:t>
      </w:r>
      <w:r w:rsidR="00015C2F" w:rsidRPr="006527E3">
        <w:rPr>
          <w:rFonts w:ascii="Times New Roman" w:hAnsi="Times New Roman" w:cs="Times New Roman"/>
        </w:rPr>
        <w:t>fracture</w:t>
      </w:r>
      <w:r w:rsidR="00ED0E74">
        <w:rPr>
          <w:rFonts w:ascii="Times New Roman" w:hAnsi="Times New Roman" w:cs="Times New Roman"/>
        </w:rPr>
        <w:t>; 2)</w:t>
      </w:r>
      <w:r w:rsidR="000C6AF0" w:rsidRPr="006527E3">
        <w:rPr>
          <w:rFonts w:ascii="Times New Roman" w:hAnsi="Times New Roman" w:cs="Times New Roman"/>
        </w:rPr>
        <w:t xml:space="preserve"> the grouping of osteoporotic fractures (spine, hip, pelvis, distal radius</w:t>
      </w:r>
      <w:r w:rsidR="00ED0E74">
        <w:rPr>
          <w:rFonts w:ascii="Times New Roman" w:hAnsi="Times New Roman" w:cs="Times New Roman"/>
        </w:rPr>
        <w:t xml:space="preserve">/ </w:t>
      </w:r>
      <w:r w:rsidR="00EF1032" w:rsidRPr="006527E3">
        <w:rPr>
          <w:rFonts w:ascii="Times New Roman" w:hAnsi="Times New Roman" w:cs="Times New Roman"/>
        </w:rPr>
        <w:t>ulna, clavicle, scapula, rib</w:t>
      </w:r>
      <w:r w:rsidR="000C6AF0" w:rsidRPr="006527E3">
        <w:rPr>
          <w:rFonts w:ascii="Times New Roman" w:hAnsi="Times New Roman" w:cs="Times New Roman"/>
        </w:rPr>
        <w:t xml:space="preserve"> or humerus)</w:t>
      </w:r>
      <w:r w:rsidR="00ED0E74">
        <w:rPr>
          <w:rFonts w:ascii="Times New Roman" w:hAnsi="Times New Roman" w:cs="Times New Roman"/>
        </w:rPr>
        <w:t xml:space="preserve">; and 3) the grouping of major </w:t>
      </w:r>
      <w:r w:rsidR="00ED0E74">
        <w:rPr>
          <w:rFonts w:ascii="Times New Roman" w:hAnsi="Times New Roman" w:cs="Times New Roman"/>
        </w:rPr>
        <w:lastRenderedPageBreak/>
        <w:t>osteoporotic fracture (</w:t>
      </w:r>
      <w:r w:rsidR="00ED0E74" w:rsidRPr="006527E3">
        <w:rPr>
          <w:rFonts w:ascii="Times New Roman" w:hAnsi="Times New Roman" w:cs="Times New Roman"/>
        </w:rPr>
        <w:t xml:space="preserve">spine, hip, </w:t>
      </w:r>
      <w:r w:rsidR="00ED0E74">
        <w:rPr>
          <w:rFonts w:ascii="Times New Roman" w:hAnsi="Times New Roman" w:cs="Times New Roman"/>
        </w:rPr>
        <w:t xml:space="preserve">distal radius/ ulna </w:t>
      </w:r>
      <w:r w:rsidR="00ED0E74" w:rsidRPr="006527E3">
        <w:rPr>
          <w:rFonts w:ascii="Times New Roman" w:hAnsi="Times New Roman" w:cs="Times New Roman"/>
        </w:rPr>
        <w:t>or humerus</w:t>
      </w:r>
      <w:r w:rsidR="00ED0E74">
        <w:rPr>
          <w:rFonts w:ascii="Times New Roman" w:hAnsi="Times New Roman" w:cs="Times New Roman"/>
        </w:rPr>
        <w:t>)</w:t>
      </w:r>
      <w:r w:rsidR="000C6AF0" w:rsidRPr="006527E3">
        <w:rPr>
          <w:rFonts w:ascii="Times New Roman" w:hAnsi="Times New Roman" w:cs="Times New Roman"/>
        </w:rPr>
        <w:t xml:space="preserve">. </w:t>
      </w:r>
      <w:r w:rsidR="00015C2F" w:rsidRPr="006527E3">
        <w:rPr>
          <w:rFonts w:ascii="Times New Roman" w:hAnsi="Times New Roman" w:cs="Times New Roman"/>
        </w:rPr>
        <w:t>Covariates considered included</w:t>
      </w:r>
      <w:r w:rsidR="001D39A0" w:rsidRPr="006527E3">
        <w:rPr>
          <w:rFonts w:ascii="Times New Roman" w:hAnsi="Times New Roman" w:cs="Times New Roman"/>
        </w:rPr>
        <w:t xml:space="preserve"> age, BMI, alcohol consumption, smoking, HRT, medications and history of fracture. </w:t>
      </w:r>
      <w:r w:rsidR="00A3758C">
        <w:rPr>
          <w:rFonts w:ascii="Times New Roman" w:hAnsi="Times New Roman" w:cs="Times New Roman"/>
        </w:rPr>
        <w:t xml:space="preserve"> </w:t>
      </w:r>
    </w:p>
    <w:p w14:paraId="1E12F1C6" w14:textId="77777777" w:rsidR="00A3758C" w:rsidRPr="006527E3" w:rsidRDefault="00A3758C" w:rsidP="006527E3">
      <w:pPr>
        <w:spacing w:after="120" w:line="360" w:lineRule="auto"/>
        <w:jc w:val="both"/>
        <w:rPr>
          <w:rFonts w:ascii="Times New Roman" w:hAnsi="Times New Roman" w:cs="Times New Roman"/>
        </w:rPr>
      </w:pPr>
    </w:p>
    <w:p w14:paraId="57D1EC1B" w14:textId="77777777" w:rsidR="001D39A0" w:rsidRPr="006527E3" w:rsidRDefault="00CB6737" w:rsidP="006527E3">
      <w:pPr>
        <w:spacing w:after="120" w:line="360" w:lineRule="auto"/>
        <w:jc w:val="both"/>
        <w:rPr>
          <w:rFonts w:ascii="Times New Roman" w:hAnsi="Times New Roman" w:cs="Times New Roman"/>
          <w:b/>
        </w:rPr>
      </w:pPr>
      <w:r w:rsidRPr="006527E3">
        <w:rPr>
          <w:rFonts w:ascii="Times New Roman" w:hAnsi="Times New Roman" w:cs="Times New Roman"/>
          <w:b/>
        </w:rPr>
        <w:t>Results</w:t>
      </w:r>
    </w:p>
    <w:p w14:paraId="2B5BA3F9" w14:textId="77777777" w:rsidR="00F575D1" w:rsidRPr="006527E3" w:rsidRDefault="001A488E" w:rsidP="006527E3">
      <w:pPr>
        <w:spacing w:after="120" w:line="360" w:lineRule="auto"/>
        <w:jc w:val="both"/>
        <w:rPr>
          <w:rFonts w:ascii="Times New Roman" w:hAnsi="Times New Roman" w:cs="Times New Roman"/>
          <w:i/>
        </w:rPr>
      </w:pPr>
      <w:r w:rsidRPr="006527E3">
        <w:rPr>
          <w:rFonts w:ascii="Times New Roman" w:hAnsi="Times New Roman" w:cs="Times New Roman"/>
          <w:i/>
        </w:rPr>
        <w:t>P</w:t>
      </w:r>
      <w:r w:rsidR="00F575D1" w:rsidRPr="006527E3">
        <w:rPr>
          <w:rFonts w:ascii="Times New Roman" w:hAnsi="Times New Roman" w:cs="Times New Roman"/>
          <w:i/>
        </w:rPr>
        <w:t>articipants</w:t>
      </w:r>
    </w:p>
    <w:p w14:paraId="75AE4AF7" w14:textId="64111674" w:rsidR="00AE687E" w:rsidRPr="006527E3" w:rsidRDefault="00D33415" w:rsidP="006527E3">
      <w:pPr>
        <w:spacing w:after="120" w:line="360" w:lineRule="auto"/>
        <w:jc w:val="both"/>
        <w:rPr>
          <w:rFonts w:ascii="Times New Roman" w:hAnsi="Times New Roman" w:cs="Times New Roman"/>
        </w:rPr>
      </w:pPr>
      <w:r w:rsidRPr="006527E3">
        <w:rPr>
          <w:rFonts w:ascii="Times New Roman" w:hAnsi="Times New Roman" w:cs="Times New Roman"/>
        </w:rPr>
        <w:t>Original i</w:t>
      </w:r>
      <w:r w:rsidR="00AE687E" w:rsidRPr="006527E3">
        <w:rPr>
          <w:rFonts w:ascii="Times New Roman" w:hAnsi="Times New Roman" w:cs="Times New Roman"/>
        </w:rPr>
        <w:t xml:space="preserve">nvitations to participate were sent out to 1157 women. 702 </w:t>
      </w:r>
      <w:r w:rsidR="007C6869" w:rsidRPr="006527E3">
        <w:rPr>
          <w:rFonts w:ascii="Times New Roman" w:hAnsi="Times New Roman" w:cs="Times New Roman"/>
        </w:rPr>
        <w:t>participants</w:t>
      </w:r>
      <w:r w:rsidR="00AE687E" w:rsidRPr="006527E3">
        <w:rPr>
          <w:rFonts w:ascii="Times New Roman" w:hAnsi="Times New Roman" w:cs="Times New Roman"/>
        </w:rPr>
        <w:t xml:space="preserve"> responded and attended for </w:t>
      </w:r>
      <w:r w:rsidRPr="006527E3">
        <w:rPr>
          <w:rFonts w:ascii="Times New Roman" w:hAnsi="Times New Roman" w:cs="Times New Roman"/>
        </w:rPr>
        <w:t xml:space="preserve">DXA assessment between 1991 and </w:t>
      </w:r>
      <w:r w:rsidR="007C6869" w:rsidRPr="006527E3">
        <w:rPr>
          <w:rFonts w:ascii="Times New Roman" w:hAnsi="Times New Roman" w:cs="Times New Roman"/>
        </w:rPr>
        <w:t>1993. Of the</w:t>
      </w:r>
      <w:r w:rsidR="00AE687E" w:rsidRPr="006527E3">
        <w:rPr>
          <w:rFonts w:ascii="Times New Roman" w:hAnsi="Times New Roman" w:cs="Times New Roman"/>
        </w:rPr>
        <w:t xml:space="preserve">se individuals, nine </w:t>
      </w:r>
      <w:r w:rsidR="00F14F84">
        <w:rPr>
          <w:rFonts w:ascii="Times New Roman" w:hAnsi="Times New Roman" w:cs="Times New Roman"/>
        </w:rPr>
        <w:t>participants</w:t>
      </w:r>
      <w:r w:rsidR="00F14F84" w:rsidRPr="006527E3">
        <w:rPr>
          <w:rFonts w:ascii="Times New Roman" w:hAnsi="Times New Roman" w:cs="Times New Roman"/>
        </w:rPr>
        <w:t xml:space="preserve"> </w:t>
      </w:r>
      <w:r w:rsidR="00AE687E" w:rsidRPr="006527E3">
        <w:rPr>
          <w:rFonts w:ascii="Times New Roman" w:hAnsi="Times New Roman" w:cs="Times New Roman"/>
        </w:rPr>
        <w:t xml:space="preserve">were excluded on </w:t>
      </w:r>
      <w:r w:rsidRPr="006527E3">
        <w:rPr>
          <w:rFonts w:ascii="Times New Roman" w:hAnsi="Times New Roman" w:cs="Times New Roman"/>
        </w:rPr>
        <w:t>the basis of ethnicity</w:t>
      </w:r>
      <w:r w:rsidR="00AE687E" w:rsidRPr="006527E3">
        <w:rPr>
          <w:rFonts w:ascii="Times New Roman" w:hAnsi="Times New Roman" w:cs="Times New Roman"/>
        </w:rPr>
        <w:t>, and two</w:t>
      </w:r>
      <w:r w:rsidR="00F575D1" w:rsidRPr="006527E3">
        <w:rPr>
          <w:rFonts w:ascii="Times New Roman" w:hAnsi="Times New Roman" w:cs="Times New Roman"/>
        </w:rPr>
        <w:t xml:space="preserve"> individuals</w:t>
      </w:r>
      <w:r w:rsidR="00AE687E" w:rsidRPr="006527E3">
        <w:rPr>
          <w:rFonts w:ascii="Times New Roman" w:hAnsi="Times New Roman" w:cs="Times New Roman"/>
        </w:rPr>
        <w:t xml:space="preserve"> in the 80-89 </w:t>
      </w:r>
      <w:r w:rsidR="00F758D5">
        <w:rPr>
          <w:rFonts w:ascii="Times New Roman" w:hAnsi="Times New Roman" w:cs="Times New Roman"/>
        </w:rPr>
        <w:t xml:space="preserve">year </w:t>
      </w:r>
      <w:r w:rsidR="00AE687E" w:rsidRPr="006527E3">
        <w:rPr>
          <w:rFonts w:ascii="Times New Roman" w:hAnsi="Times New Roman" w:cs="Times New Roman"/>
        </w:rPr>
        <w:t xml:space="preserve">age group could not be scanned due to physical frailty or dementia.  Adequate scans could not be performed for technical reasons in a number of other cases leading to the elimination of 37 spine, 17 femur and 8 total body scans from the data set. </w:t>
      </w:r>
      <w:r w:rsidR="00F575D1" w:rsidRPr="006527E3">
        <w:rPr>
          <w:rFonts w:ascii="Times New Roman" w:hAnsi="Times New Roman" w:cs="Times New Roman"/>
        </w:rPr>
        <w:t>Of the 67</w:t>
      </w:r>
      <w:r w:rsidR="007C6869" w:rsidRPr="006527E3">
        <w:rPr>
          <w:rFonts w:ascii="Times New Roman" w:hAnsi="Times New Roman" w:cs="Times New Roman"/>
        </w:rPr>
        <w:t>4 women scanned between 1991</w:t>
      </w:r>
      <w:r w:rsidRPr="006527E3">
        <w:rPr>
          <w:rFonts w:ascii="Times New Roman" w:hAnsi="Times New Roman" w:cs="Times New Roman"/>
        </w:rPr>
        <w:t xml:space="preserve"> </w:t>
      </w:r>
      <w:r w:rsidR="007C6869" w:rsidRPr="006527E3">
        <w:rPr>
          <w:rFonts w:ascii="Times New Roman" w:hAnsi="Times New Roman" w:cs="Times New Roman"/>
        </w:rPr>
        <w:t xml:space="preserve">and </w:t>
      </w:r>
      <w:r w:rsidR="00F575D1" w:rsidRPr="006527E3">
        <w:rPr>
          <w:rFonts w:ascii="Times New Roman" w:hAnsi="Times New Roman" w:cs="Times New Roman"/>
        </w:rPr>
        <w:t xml:space="preserve">1993, </w:t>
      </w:r>
      <w:r w:rsidR="007C6869" w:rsidRPr="006527E3">
        <w:rPr>
          <w:rFonts w:ascii="Times New Roman" w:hAnsi="Times New Roman" w:cs="Times New Roman"/>
        </w:rPr>
        <w:t xml:space="preserve">a </w:t>
      </w:r>
      <w:r w:rsidR="00F575D1" w:rsidRPr="006527E3">
        <w:rPr>
          <w:rFonts w:ascii="Times New Roman" w:hAnsi="Times New Roman" w:cs="Times New Roman"/>
        </w:rPr>
        <w:t>questionnaire on fracture incidence</w:t>
      </w:r>
      <w:r w:rsidR="007C6869" w:rsidRPr="006527E3">
        <w:rPr>
          <w:rFonts w:ascii="Times New Roman" w:hAnsi="Times New Roman" w:cs="Times New Roman"/>
        </w:rPr>
        <w:t xml:space="preserve"> was returned by</w:t>
      </w:r>
      <w:r w:rsidR="00F575D1" w:rsidRPr="006527E3">
        <w:rPr>
          <w:rFonts w:ascii="Times New Roman" w:hAnsi="Times New Roman" w:cs="Times New Roman"/>
        </w:rPr>
        <w:t xml:space="preserve"> </w:t>
      </w:r>
      <w:r w:rsidR="007C6869" w:rsidRPr="006527E3">
        <w:rPr>
          <w:rFonts w:ascii="Times New Roman" w:hAnsi="Times New Roman" w:cs="Times New Roman"/>
        </w:rPr>
        <w:t xml:space="preserve">443 participants </w:t>
      </w:r>
      <w:r w:rsidR="00F575D1" w:rsidRPr="006527E3">
        <w:rPr>
          <w:rFonts w:ascii="Times New Roman" w:hAnsi="Times New Roman" w:cs="Times New Roman"/>
        </w:rPr>
        <w:t>(66% response rate).</w:t>
      </w:r>
    </w:p>
    <w:p w14:paraId="3A7ED8D2" w14:textId="77777777" w:rsidR="00F575D1" w:rsidRPr="006527E3" w:rsidRDefault="00D33415" w:rsidP="006527E3">
      <w:pPr>
        <w:spacing w:after="120" w:line="360" w:lineRule="auto"/>
        <w:jc w:val="both"/>
        <w:rPr>
          <w:rFonts w:ascii="Times New Roman" w:hAnsi="Times New Roman" w:cs="Times New Roman"/>
          <w:i/>
        </w:rPr>
      </w:pPr>
      <w:r w:rsidRPr="006527E3">
        <w:rPr>
          <w:rFonts w:ascii="Times New Roman" w:hAnsi="Times New Roman" w:cs="Times New Roman"/>
          <w:i/>
        </w:rPr>
        <w:t xml:space="preserve">Baseline characteristics </w:t>
      </w:r>
      <w:r w:rsidR="00E40CC8" w:rsidRPr="006527E3">
        <w:rPr>
          <w:rFonts w:ascii="Times New Roman" w:hAnsi="Times New Roman" w:cs="Times New Roman"/>
          <w:i/>
        </w:rPr>
        <w:t>at DXA visit of whole cohort and of those assessed at follow-up</w:t>
      </w:r>
    </w:p>
    <w:p w14:paraId="2F50CA21" w14:textId="6A7EE49E" w:rsidR="008204ED" w:rsidRPr="006527E3" w:rsidRDefault="001A488E" w:rsidP="006527E3">
      <w:pPr>
        <w:spacing w:after="120" w:line="360" w:lineRule="auto"/>
        <w:jc w:val="both"/>
        <w:rPr>
          <w:rFonts w:ascii="Times New Roman" w:hAnsi="Times New Roman" w:cs="Times New Roman"/>
        </w:rPr>
      </w:pPr>
      <w:r w:rsidRPr="006527E3">
        <w:rPr>
          <w:rFonts w:ascii="Times New Roman" w:hAnsi="Times New Roman" w:cs="Times New Roman"/>
        </w:rPr>
        <w:t>The baseline characteristics</w:t>
      </w:r>
      <w:r w:rsidR="00F14F84">
        <w:rPr>
          <w:rFonts w:ascii="Times New Roman" w:hAnsi="Times New Roman" w:cs="Times New Roman"/>
        </w:rPr>
        <w:t xml:space="preserve"> (</w:t>
      </w:r>
      <w:r w:rsidR="00F758D5">
        <w:rPr>
          <w:rFonts w:ascii="Times New Roman" w:hAnsi="Times New Roman" w:cs="Times New Roman"/>
        </w:rPr>
        <w:t xml:space="preserve">at </w:t>
      </w:r>
      <w:r w:rsidR="00F14F84">
        <w:rPr>
          <w:rFonts w:ascii="Times New Roman" w:hAnsi="Times New Roman" w:cs="Times New Roman"/>
        </w:rPr>
        <w:t>1991-1993</w:t>
      </w:r>
      <w:r w:rsidR="00F758D5">
        <w:rPr>
          <w:rFonts w:ascii="Times New Roman" w:hAnsi="Times New Roman" w:cs="Times New Roman"/>
        </w:rPr>
        <w:t xml:space="preserve"> DXA visit</w:t>
      </w:r>
      <w:r w:rsidR="00F14F84">
        <w:rPr>
          <w:rFonts w:ascii="Times New Roman" w:hAnsi="Times New Roman" w:cs="Times New Roman"/>
        </w:rPr>
        <w:t>)</w:t>
      </w:r>
      <w:r w:rsidRPr="006527E3">
        <w:rPr>
          <w:rFonts w:ascii="Times New Roman" w:hAnsi="Times New Roman" w:cs="Times New Roman"/>
        </w:rPr>
        <w:t xml:space="preserve"> of</w:t>
      </w:r>
      <w:r w:rsidR="00F14F84">
        <w:rPr>
          <w:rFonts w:ascii="Times New Roman" w:hAnsi="Times New Roman" w:cs="Times New Roman"/>
        </w:rPr>
        <w:t xml:space="preserve"> the subset followed up in 1998-</w:t>
      </w:r>
      <w:r w:rsidRPr="006527E3">
        <w:rPr>
          <w:rFonts w:ascii="Times New Roman" w:hAnsi="Times New Roman" w:cs="Times New Roman"/>
        </w:rPr>
        <w:t xml:space="preserve">1999 were similar to those </w:t>
      </w:r>
      <w:r w:rsidR="00301C04" w:rsidRPr="006527E3">
        <w:rPr>
          <w:rFonts w:ascii="Times New Roman" w:hAnsi="Times New Roman" w:cs="Times New Roman"/>
        </w:rPr>
        <w:t xml:space="preserve">of the whole cohort originally assessed by DXA. </w:t>
      </w:r>
      <w:r w:rsidR="00134E52" w:rsidRPr="006527E3">
        <w:rPr>
          <w:rFonts w:ascii="Times New Roman" w:hAnsi="Times New Roman" w:cs="Times New Roman"/>
        </w:rPr>
        <w:t xml:space="preserve">Overall, 55 of the 443 </w:t>
      </w:r>
      <w:r w:rsidR="00F14F84">
        <w:rPr>
          <w:rFonts w:ascii="Times New Roman" w:hAnsi="Times New Roman" w:cs="Times New Roman"/>
        </w:rPr>
        <w:t>participants</w:t>
      </w:r>
      <w:r w:rsidR="00F14F84" w:rsidRPr="006527E3">
        <w:rPr>
          <w:rFonts w:ascii="Times New Roman" w:hAnsi="Times New Roman" w:cs="Times New Roman"/>
        </w:rPr>
        <w:t xml:space="preserve"> </w:t>
      </w:r>
      <w:r w:rsidR="00134E52" w:rsidRPr="006527E3">
        <w:rPr>
          <w:rFonts w:ascii="Times New Roman" w:hAnsi="Times New Roman" w:cs="Times New Roman"/>
        </w:rPr>
        <w:t>assessed at follow</w:t>
      </w:r>
      <w:r w:rsidR="00F14F84">
        <w:rPr>
          <w:rFonts w:ascii="Times New Roman" w:hAnsi="Times New Roman" w:cs="Times New Roman"/>
        </w:rPr>
        <w:t>-up in 1998-</w:t>
      </w:r>
      <w:r w:rsidR="00134E52" w:rsidRPr="006527E3">
        <w:rPr>
          <w:rFonts w:ascii="Times New Roman" w:hAnsi="Times New Roman" w:cs="Times New Roman"/>
        </w:rPr>
        <w:t>1999 reported at least one fracture</w:t>
      </w:r>
      <w:r w:rsidR="001D0DF2" w:rsidRPr="006527E3">
        <w:rPr>
          <w:rFonts w:ascii="Times New Roman" w:hAnsi="Times New Roman" w:cs="Times New Roman"/>
        </w:rPr>
        <w:t xml:space="preserve">, with four </w:t>
      </w:r>
      <w:r w:rsidR="00F14F84">
        <w:rPr>
          <w:rFonts w:ascii="Times New Roman" w:hAnsi="Times New Roman" w:cs="Times New Roman"/>
        </w:rPr>
        <w:t>participants</w:t>
      </w:r>
      <w:r w:rsidR="00F14F84" w:rsidRPr="006527E3">
        <w:rPr>
          <w:rFonts w:ascii="Times New Roman" w:hAnsi="Times New Roman" w:cs="Times New Roman"/>
        </w:rPr>
        <w:t xml:space="preserve"> </w:t>
      </w:r>
      <w:r w:rsidR="001D0DF2" w:rsidRPr="006527E3">
        <w:rPr>
          <w:rFonts w:ascii="Times New Roman" w:hAnsi="Times New Roman" w:cs="Times New Roman"/>
        </w:rPr>
        <w:t>reporting two</w:t>
      </w:r>
      <w:r w:rsidR="00134E52" w:rsidRPr="006527E3">
        <w:rPr>
          <w:rFonts w:ascii="Times New Roman" w:hAnsi="Times New Roman" w:cs="Times New Roman"/>
        </w:rPr>
        <w:t xml:space="preserve"> fractures. </w:t>
      </w:r>
      <w:r w:rsidR="00D33415" w:rsidRPr="006527E3">
        <w:rPr>
          <w:rFonts w:ascii="Times New Roman" w:hAnsi="Times New Roman" w:cs="Times New Roman"/>
        </w:rPr>
        <w:t xml:space="preserve">Compared with the entire cohort who had undergone DXA assessment (n=674), those who had experienced a fracture during follow-up were older (mean age </w:t>
      </w:r>
      <w:r w:rsidR="009204F0" w:rsidRPr="006527E3">
        <w:rPr>
          <w:rFonts w:ascii="Times New Roman" w:hAnsi="Times New Roman" w:cs="Times New Roman"/>
        </w:rPr>
        <w:t>61.1 years</w:t>
      </w:r>
      <w:r w:rsidR="00D33415" w:rsidRPr="006527E3">
        <w:rPr>
          <w:rFonts w:ascii="Times New Roman" w:hAnsi="Times New Roman" w:cs="Times New Roman"/>
        </w:rPr>
        <w:t xml:space="preserve"> </w:t>
      </w:r>
      <w:r w:rsidR="009204F0" w:rsidRPr="006527E3">
        <w:rPr>
          <w:rFonts w:ascii="Times New Roman" w:hAnsi="Times New Roman" w:cs="Times New Roman"/>
        </w:rPr>
        <w:t>versus 52.</w:t>
      </w:r>
      <w:r w:rsidR="00587057" w:rsidRPr="006527E3">
        <w:rPr>
          <w:rFonts w:ascii="Times New Roman" w:hAnsi="Times New Roman" w:cs="Times New Roman"/>
        </w:rPr>
        <w:t>8</w:t>
      </w:r>
      <w:r w:rsidR="009204F0" w:rsidRPr="006527E3">
        <w:rPr>
          <w:rFonts w:ascii="Times New Roman" w:hAnsi="Times New Roman" w:cs="Times New Roman"/>
        </w:rPr>
        <w:t xml:space="preserve"> years</w:t>
      </w:r>
      <w:r w:rsidR="00587057" w:rsidRPr="006527E3">
        <w:rPr>
          <w:rFonts w:ascii="Times New Roman" w:hAnsi="Times New Roman" w:cs="Times New Roman"/>
        </w:rPr>
        <w:t>, p&lt;0.001) and</w:t>
      </w:r>
      <w:r w:rsidR="009204F0" w:rsidRPr="006527E3">
        <w:rPr>
          <w:rFonts w:ascii="Times New Roman" w:hAnsi="Times New Roman" w:cs="Times New Roman"/>
        </w:rPr>
        <w:t xml:space="preserve"> a </w:t>
      </w:r>
      <w:r w:rsidR="00F575D1" w:rsidRPr="006527E3">
        <w:rPr>
          <w:rFonts w:ascii="Times New Roman" w:hAnsi="Times New Roman" w:cs="Times New Roman"/>
        </w:rPr>
        <w:t>greater</w:t>
      </w:r>
      <w:r w:rsidR="009204F0" w:rsidRPr="006527E3">
        <w:rPr>
          <w:rFonts w:ascii="Times New Roman" w:hAnsi="Times New Roman" w:cs="Times New Roman"/>
        </w:rPr>
        <w:t xml:space="preserve"> proportion had undergone hysterectomy (30.9% </w:t>
      </w:r>
      <w:r w:rsidR="001D0DF2" w:rsidRPr="006527E3">
        <w:rPr>
          <w:rFonts w:ascii="Times New Roman" w:hAnsi="Times New Roman" w:cs="Times New Roman"/>
        </w:rPr>
        <w:t>versus</w:t>
      </w:r>
      <w:r w:rsidR="009204F0" w:rsidRPr="006527E3">
        <w:rPr>
          <w:rFonts w:ascii="Times New Roman" w:hAnsi="Times New Roman" w:cs="Times New Roman"/>
        </w:rPr>
        <w:t xml:space="preserve"> 16.</w:t>
      </w:r>
      <w:r w:rsidR="00587057" w:rsidRPr="006527E3">
        <w:rPr>
          <w:rFonts w:ascii="Times New Roman" w:hAnsi="Times New Roman" w:cs="Times New Roman"/>
        </w:rPr>
        <w:t>7</w:t>
      </w:r>
      <w:r w:rsidR="009204F0" w:rsidRPr="006527E3">
        <w:rPr>
          <w:rFonts w:ascii="Times New Roman" w:hAnsi="Times New Roman" w:cs="Times New Roman"/>
        </w:rPr>
        <w:t>%</w:t>
      </w:r>
      <w:r w:rsidR="00587057" w:rsidRPr="006527E3">
        <w:rPr>
          <w:rFonts w:ascii="Times New Roman" w:hAnsi="Times New Roman" w:cs="Times New Roman"/>
        </w:rPr>
        <w:t xml:space="preserve">, p=0.01). </w:t>
      </w:r>
      <w:r w:rsidR="00FA5960" w:rsidRPr="006527E3">
        <w:rPr>
          <w:rFonts w:ascii="Times New Roman" w:hAnsi="Times New Roman" w:cs="Times New Roman"/>
        </w:rPr>
        <w:t>The fracture group had lower BMC at the femoral neck (p&lt;0.001), lumbar spine (p&lt;0.001) and whole body (p=0.003)</w:t>
      </w:r>
      <w:r w:rsidR="001D0DF2" w:rsidRPr="006527E3">
        <w:rPr>
          <w:rFonts w:ascii="Times New Roman" w:hAnsi="Times New Roman" w:cs="Times New Roman"/>
        </w:rPr>
        <w:t>,</w:t>
      </w:r>
      <w:r w:rsidR="00FA5960" w:rsidRPr="006527E3">
        <w:rPr>
          <w:rFonts w:ascii="Times New Roman" w:hAnsi="Times New Roman" w:cs="Times New Roman"/>
        </w:rPr>
        <w:t xml:space="preserve"> in addition to a lower </w:t>
      </w:r>
      <w:r w:rsidR="00004078">
        <w:rPr>
          <w:rFonts w:ascii="Times New Roman" w:hAnsi="Times New Roman" w:cs="Times New Roman"/>
        </w:rPr>
        <w:t>a</w:t>
      </w:r>
      <w:r w:rsidR="00FA5960" w:rsidRPr="006527E3">
        <w:rPr>
          <w:rFonts w:ascii="Times New Roman" w:hAnsi="Times New Roman" w:cs="Times New Roman"/>
        </w:rPr>
        <w:t xml:space="preserve">BMD at all </w:t>
      </w:r>
      <w:r w:rsidR="007C27F0" w:rsidRPr="006527E3">
        <w:rPr>
          <w:rFonts w:ascii="Times New Roman" w:hAnsi="Times New Roman" w:cs="Times New Roman"/>
        </w:rPr>
        <w:t>three sites (p&lt;0.001).</w:t>
      </w:r>
      <w:r w:rsidR="00FA5960" w:rsidRPr="006527E3">
        <w:rPr>
          <w:rFonts w:ascii="Times New Roman" w:hAnsi="Times New Roman" w:cs="Times New Roman"/>
        </w:rPr>
        <w:t xml:space="preserve"> There were no differences between the </w:t>
      </w:r>
      <w:r w:rsidR="007C27F0" w:rsidRPr="006527E3">
        <w:rPr>
          <w:rFonts w:ascii="Times New Roman" w:hAnsi="Times New Roman" w:cs="Times New Roman"/>
        </w:rPr>
        <w:t>bone area of the lumbar spine or femoral neck.</w:t>
      </w:r>
      <w:r w:rsidRPr="006527E3">
        <w:rPr>
          <w:rFonts w:ascii="Times New Roman" w:hAnsi="Times New Roman" w:cs="Times New Roman"/>
        </w:rPr>
        <w:t xml:space="preserve"> </w:t>
      </w:r>
      <w:r w:rsidR="009204F0" w:rsidRPr="006527E3">
        <w:rPr>
          <w:rFonts w:ascii="Times New Roman" w:hAnsi="Times New Roman" w:cs="Times New Roman"/>
        </w:rPr>
        <w:t xml:space="preserve"> </w:t>
      </w:r>
      <w:r w:rsidRPr="006527E3">
        <w:rPr>
          <w:rFonts w:ascii="Times New Roman" w:hAnsi="Times New Roman" w:cs="Times New Roman"/>
        </w:rPr>
        <w:t>Table 1 summarises these comparisons.</w:t>
      </w:r>
    </w:p>
    <w:p w14:paraId="496725A9" w14:textId="77777777" w:rsidR="00D67574" w:rsidRPr="006527E3" w:rsidRDefault="00F575D1" w:rsidP="006527E3">
      <w:pPr>
        <w:spacing w:after="120" w:line="360" w:lineRule="auto"/>
        <w:jc w:val="both"/>
        <w:rPr>
          <w:rFonts w:ascii="Times New Roman" w:hAnsi="Times New Roman" w:cs="Times New Roman"/>
          <w:i/>
        </w:rPr>
      </w:pPr>
      <w:r w:rsidRPr="006527E3">
        <w:rPr>
          <w:rFonts w:ascii="Times New Roman" w:hAnsi="Times New Roman" w:cs="Times New Roman"/>
          <w:i/>
        </w:rPr>
        <w:t>Incident fractures</w:t>
      </w:r>
    </w:p>
    <w:p w14:paraId="151C9DC9" w14:textId="77777777" w:rsidR="00CD2916" w:rsidRPr="006527E3" w:rsidRDefault="00F575D1" w:rsidP="006527E3">
      <w:pPr>
        <w:spacing w:after="120" w:line="360" w:lineRule="auto"/>
        <w:jc w:val="both"/>
        <w:rPr>
          <w:rFonts w:ascii="Times New Roman" w:hAnsi="Times New Roman" w:cs="Times New Roman"/>
        </w:rPr>
      </w:pPr>
      <w:r w:rsidRPr="006527E3">
        <w:rPr>
          <w:rFonts w:ascii="Times New Roman" w:hAnsi="Times New Roman" w:cs="Times New Roman"/>
        </w:rPr>
        <w:t>The</w:t>
      </w:r>
      <w:r w:rsidR="00D67574" w:rsidRPr="006527E3">
        <w:rPr>
          <w:rFonts w:ascii="Times New Roman" w:hAnsi="Times New Roman" w:cs="Times New Roman"/>
        </w:rPr>
        <w:t xml:space="preserve"> number of fractures by site is presented</w:t>
      </w:r>
      <w:r w:rsidR="00A87B9C" w:rsidRPr="006527E3">
        <w:rPr>
          <w:rFonts w:ascii="Times New Roman" w:hAnsi="Times New Roman" w:cs="Times New Roman"/>
        </w:rPr>
        <w:t xml:space="preserve"> (n=55</w:t>
      </w:r>
      <w:r w:rsidRPr="006527E3">
        <w:rPr>
          <w:rFonts w:ascii="Times New Roman" w:hAnsi="Times New Roman" w:cs="Times New Roman"/>
        </w:rPr>
        <w:t>, first fractures only</w:t>
      </w:r>
      <w:r w:rsidR="00A87B9C" w:rsidRPr="006527E3">
        <w:rPr>
          <w:rFonts w:ascii="Times New Roman" w:hAnsi="Times New Roman" w:cs="Times New Roman"/>
        </w:rPr>
        <w:t>)</w:t>
      </w:r>
      <w:r w:rsidRPr="006527E3">
        <w:rPr>
          <w:rFonts w:ascii="Times New Roman" w:hAnsi="Times New Roman" w:cs="Times New Roman"/>
        </w:rPr>
        <w:t xml:space="preserve"> in Figure 1</w:t>
      </w:r>
      <w:r w:rsidR="00D67574" w:rsidRPr="006527E3">
        <w:rPr>
          <w:rFonts w:ascii="Times New Roman" w:hAnsi="Times New Roman" w:cs="Times New Roman"/>
        </w:rPr>
        <w:t xml:space="preserve">. </w:t>
      </w:r>
      <w:r w:rsidR="00A87B9C" w:rsidRPr="006527E3">
        <w:rPr>
          <w:rFonts w:ascii="Times New Roman" w:hAnsi="Times New Roman" w:cs="Times New Roman"/>
        </w:rPr>
        <w:t xml:space="preserve">Fractures of the distal ulna </w:t>
      </w:r>
      <w:r w:rsidR="00D67574" w:rsidRPr="006527E3">
        <w:rPr>
          <w:rFonts w:ascii="Times New Roman" w:hAnsi="Times New Roman" w:cs="Times New Roman"/>
        </w:rPr>
        <w:t>or radius were the most frequently observed</w:t>
      </w:r>
      <w:r w:rsidR="00A87B9C" w:rsidRPr="006527E3">
        <w:rPr>
          <w:rFonts w:ascii="Times New Roman" w:hAnsi="Times New Roman" w:cs="Times New Roman"/>
        </w:rPr>
        <w:t>, representing 21.8% of fractures</w:t>
      </w:r>
      <w:r w:rsidR="00D67574" w:rsidRPr="006527E3">
        <w:rPr>
          <w:rFonts w:ascii="Times New Roman" w:hAnsi="Times New Roman" w:cs="Times New Roman"/>
        </w:rPr>
        <w:t>, followed by fractures of the ankle</w:t>
      </w:r>
      <w:r w:rsidR="00A87B9C" w:rsidRPr="006527E3">
        <w:rPr>
          <w:rFonts w:ascii="Times New Roman" w:hAnsi="Times New Roman" w:cs="Times New Roman"/>
        </w:rPr>
        <w:t xml:space="preserve"> (14.5%)</w:t>
      </w:r>
      <w:r w:rsidR="00D67574" w:rsidRPr="006527E3">
        <w:rPr>
          <w:rFonts w:ascii="Times New Roman" w:hAnsi="Times New Roman" w:cs="Times New Roman"/>
        </w:rPr>
        <w:t xml:space="preserve"> and metatarsals</w:t>
      </w:r>
      <w:r w:rsidR="00A87B9C" w:rsidRPr="006527E3">
        <w:rPr>
          <w:rFonts w:ascii="Times New Roman" w:hAnsi="Times New Roman" w:cs="Times New Roman"/>
        </w:rPr>
        <w:t xml:space="preserve"> (10.9%)</w:t>
      </w:r>
      <w:r w:rsidR="00D67574" w:rsidRPr="006527E3">
        <w:rPr>
          <w:rFonts w:ascii="Times New Roman" w:hAnsi="Times New Roman" w:cs="Times New Roman"/>
        </w:rPr>
        <w:t>. 26 fractures were</w:t>
      </w:r>
      <w:r w:rsidR="00AE6400" w:rsidRPr="006527E3">
        <w:rPr>
          <w:rFonts w:ascii="Times New Roman" w:hAnsi="Times New Roman" w:cs="Times New Roman"/>
        </w:rPr>
        <w:t xml:space="preserve"> classified as</w:t>
      </w:r>
      <w:r w:rsidR="00D67574" w:rsidRPr="006527E3">
        <w:rPr>
          <w:rFonts w:ascii="Times New Roman" w:hAnsi="Times New Roman" w:cs="Times New Roman"/>
        </w:rPr>
        <w:t xml:space="preserve"> osteoporotic</w:t>
      </w:r>
      <w:r w:rsidR="00E36929" w:rsidRPr="006527E3">
        <w:rPr>
          <w:rFonts w:ascii="Times New Roman" w:hAnsi="Times New Roman" w:cs="Times New Roman"/>
        </w:rPr>
        <w:t>.</w:t>
      </w:r>
      <w:r w:rsidR="00801230" w:rsidRPr="006527E3">
        <w:rPr>
          <w:rFonts w:ascii="Times New Roman" w:hAnsi="Times New Roman" w:cs="Times New Roman"/>
        </w:rPr>
        <w:t xml:space="preserve"> </w:t>
      </w:r>
      <w:r w:rsidR="00AE6400" w:rsidRPr="006527E3">
        <w:rPr>
          <w:rFonts w:ascii="Times New Roman" w:hAnsi="Times New Roman" w:cs="Times New Roman"/>
        </w:rPr>
        <w:t>There were t</w:t>
      </w:r>
      <w:r w:rsidR="00801230" w:rsidRPr="006527E3">
        <w:rPr>
          <w:rFonts w:ascii="Times New Roman" w:hAnsi="Times New Roman" w:cs="Times New Roman"/>
        </w:rPr>
        <w:t>wo hip and two pelvic fractures,</w:t>
      </w:r>
      <w:r w:rsidR="00AE6400" w:rsidRPr="006527E3">
        <w:rPr>
          <w:rFonts w:ascii="Times New Roman" w:hAnsi="Times New Roman" w:cs="Times New Roman"/>
        </w:rPr>
        <w:t xml:space="preserve"> and</w:t>
      </w:r>
      <w:r w:rsidR="00801230" w:rsidRPr="006527E3">
        <w:rPr>
          <w:rFonts w:ascii="Times New Roman" w:hAnsi="Times New Roman" w:cs="Times New Roman"/>
        </w:rPr>
        <w:t xml:space="preserve"> one </w:t>
      </w:r>
      <w:r w:rsidR="00AE6400" w:rsidRPr="006527E3">
        <w:rPr>
          <w:rFonts w:ascii="Times New Roman" w:hAnsi="Times New Roman" w:cs="Times New Roman"/>
        </w:rPr>
        <w:t xml:space="preserve">documented </w:t>
      </w:r>
      <w:r w:rsidR="00801230" w:rsidRPr="006527E3">
        <w:rPr>
          <w:rFonts w:ascii="Times New Roman" w:hAnsi="Times New Roman" w:cs="Times New Roman"/>
        </w:rPr>
        <w:t>vertebral fracture.</w:t>
      </w:r>
    </w:p>
    <w:p w14:paraId="05DDF640" w14:textId="77777777" w:rsidR="006453A8" w:rsidRPr="006527E3" w:rsidRDefault="006453A8" w:rsidP="006527E3">
      <w:pPr>
        <w:spacing w:after="120" w:line="360" w:lineRule="auto"/>
        <w:jc w:val="both"/>
        <w:rPr>
          <w:rFonts w:ascii="Times New Roman" w:hAnsi="Times New Roman" w:cs="Times New Roman"/>
          <w:i/>
        </w:rPr>
      </w:pPr>
      <w:r w:rsidRPr="006527E3">
        <w:rPr>
          <w:rFonts w:ascii="Times New Roman" w:hAnsi="Times New Roman" w:cs="Times New Roman"/>
          <w:i/>
        </w:rPr>
        <w:t>DXA indices and risk of incident fracture</w:t>
      </w:r>
    </w:p>
    <w:p w14:paraId="2F3C9AA4" w14:textId="67C685A1" w:rsidR="008238A1" w:rsidRPr="006527E3" w:rsidRDefault="00841931" w:rsidP="006527E3">
      <w:pPr>
        <w:spacing w:after="120" w:line="360" w:lineRule="auto"/>
        <w:jc w:val="both"/>
        <w:rPr>
          <w:rFonts w:ascii="Times New Roman" w:hAnsi="Times New Roman" w:cs="Times New Roman"/>
        </w:rPr>
      </w:pPr>
      <w:r w:rsidRPr="006527E3">
        <w:rPr>
          <w:rFonts w:ascii="Times New Roman" w:hAnsi="Times New Roman" w:cs="Times New Roman"/>
        </w:rPr>
        <w:t>In fully adjusted models, t</w:t>
      </w:r>
      <w:r w:rsidR="009128D1" w:rsidRPr="006527E3">
        <w:rPr>
          <w:rFonts w:ascii="Times New Roman" w:hAnsi="Times New Roman" w:cs="Times New Roman"/>
        </w:rPr>
        <w:t xml:space="preserve">he </w:t>
      </w:r>
      <w:r w:rsidR="00237C04" w:rsidRPr="006527E3">
        <w:rPr>
          <w:rFonts w:ascii="Times New Roman" w:hAnsi="Times New Roman" w:cs="Times New Roman"/>
        </w:rPr>
        <w:t>HR</w:t>
      </w:r>
      <w:r w:rsidR="009128D1" w:rsidRPr="006527E3">
        <w:rPr>
          <w:rFonts w:ascii="Times New Roman" w:hAnsi="Times New Roman" w:cs="Times New Roman"/>
        </w:rPr>
        <w:t xml:space="preserve"> for </w:t>
      </w:r>
      <w:r w:rsidR="00037D18">
        <w:rPr>
          <w:rFonts w:ascii="Times New Roman" w:hAnsi="Times New Roman" w:cs="Times New Roman"/>
        </w:rPr>
        <w:t xml:space="preserve">any incident </w:t>
      </w:r>
      <w:r w:rsidR="009128D1" w:rsidRPr="006527E3">
        <w:rPr>
          <w:rFonts w:ascii="Times New Roman" w:hAnsi="Times New Roman" w:cs="Times New Roman"/>
        </w:rPr>
        <w:t>fracture per 1SD decrease in fe</w:t>
      </w:r>
      <w:r w:rsidRPr="006527E3">
        <w:rPr>
          <w:rFonts w:ascii="Times New Roman" w:hAnsi="Times New Roman" w:cs="Times New Roman"/>
        </w:rPr>
        <w:t>moral neck BMC</w:t>
      </w:r>
      <w:r w:rsidR="009128D1" w:rsidRPr="006527E3">
        <w:rPr>
          <w:rFonts w:ascii="Times New Roman" w:hAnsi="Times New Roman" w:cs="Times New Roman"/>
        </w:rPr>
        <w:t xml:space="preserve"> was 1.64</w:t>
      </w:r>
      <w:r w:rsidR="00DF74F0" w:rsidRPr="006527E3">
        <w:rPr>
          <w:rFonts w:ascii="Times New Roman" w:hAnsi="Times New Roman" w:cs="Times New Roman"/>
        </w:rPr>
        <w:t xml:space="preserve"> (95%CI: 1.19, 2.15</w:t>
      </w:r>
      <w:r w:rsidR="009128D1" w:rsidRPr="006527E3">
        <w:rPr>
          <w:rFonts w:ascii="Times New Roman" w:hAnsi="Times New Roman" w:cs="Times New Roman"/>
        </w:rPr>
        <w:t xml:space="preserve">), in comparison with 1.76 per 1SD decrease in femoral neck </w:t>
      </w:r>
      <w:r w:rsidR="00004078">
        <w:rPr>
          <w:rFonts w:ascii="Times New Roman" w:hAnsi="Times New Roman" w:cs="Times New Roman"/>
        </w:rPr>
        <w:t>a</w:t>
      </w:r>
      <w:r w:rsidR="009128D1" w:rsidRPr="006527E3">
        <w:rPr>
          <w:rFonts w:ascii="Times New Roman" w:hAnsi="Times New Roman" w:cs="Times New Roman"/>
        </w:rPr>
        <w:t>BMD</w:t>
      </w:r>
      <w:r w:rsidR="00922942" w:rsidRPr="006527E3">
        <w:rPr>
          <w:rFonts w:ascii="Times New Roman" w:hAnsi="Times New Roman" w:cs="Times New Roman"/>
        </w:rPr>
        <w:t xml:space="preserve"> (</w:t>
      </w:r>
      <w:r w:rsidR="00DF74F0" w:rsidRPr="006527E3">
        <w:rPr>
          <w:rFonts w:ascii="Times New Roman" w:hAnsi="Times New Roman" w:cs="Times New Roman"/>
        </w:rPr>
        <w:t>95%CI: 1.19, 2.60</w:t>
      </w:r>
      <w:r w:rsidR="00922942" w:rsidRPr="006527E3">
        <w:rPr>
          <w:rFonts w:ascii="Times New Roman" w:hAnsi="Times New Roman" w:cs="Times New Roman"/>
        </w:rPr>
        <w:t>)</w:t>
      </w:r>
      <w:r w:rsidR="00237C04" w:rsidRPr="006527E3">
        <w:rPr>
          <w:rFonts w:ascii="Times New Roman" w:hAnsi="Times New Roman" w:cs="Times New Roman"/>
        </w:rPr>
        <w:t xml:space="preserve">, summarised in Table </w:t>
      </w:r>
      <w:r w:rsidR="00037D18">
        <w:rPr>
          <w:rFonts w:ascii="Times New Roman" w:hAnsi="Times New Roman" w:cs="Times New Roman"/>
        </w:rPr>
        <w:t>2 and Figure 2a</w:t>
      </w:r>
      <w:r w:rsidR="00237C04" w:rsidRPr="006527E3">
        <w:rPr>
          <w:rFonts w:ascii="Times New Roman" w:hAnsi="Times New Roman" w:cs="Times New Roman"/>
        </w:rPr>
        <w:t>.</w:t>
      </w:r>
      <w:r w:rsidR="009128D1" w:rsidRPr="006527E3">
        <w:rPr>
          <w:rFonts w:ascii="Times New Roman" w:hAnsi="Times New Roman" w:cs="Times New Roman"/>
        </w:rPr>
        <w:t xml:space="preserve"> Very similar </w:t>
      </w:r>
      <w:r w:rsidR="00237C04" w:rsidRPr="006527E3">
        <w:rPr>
          <w:rFonts w:ascii="Times New Roman" w:hAnsi="Times New Roman" w:cs="Times New Roman"/>
        </w:rPr>
        <w:t>effect sizes</w:t>
      </w:r>
      <w:r w:rsidR="009128D1" w:rsidRPr="006527E3">
        <w:rPr>
          <w:rFonts w:ascii="Times New Roman" w:hAnsi="Times New Roman" w:cs="Times New Roman"/>
        </w:rPr>
        <w:t xml:space="preserve"> were </w:t>
      </w:r>
      <w:r w:rsidRPr="006527E3">
        <w:rPr>
          <w:rFonts w:ascii="Times New Roman" w:hAnsi="Times New Roman" w:cs="Times New Roman"/>
        </w:rPr>
        <w:t>observed</w:t>
      </w:r>
      <w:r w:rsidR="009128D1" w:rsidRPr="006527E3">
        <w:rPr>
          <w:rFonts w:ascii="Times New Roman" w:hAnsi="Times New Roman" w:cs="Times New Roman"/>
        </w:rPr>
        <w:t xml:space="preserve"> </w:t>
      </w:r>
      <w:r w:rsidRPr="006527E3">
        <w:rPr>
          <w:rFonts w:ascii="Times New Roman" w:hAnsi="Times New Roman" w:cs="Times New Roman"/>
        </w:rPr>
        <w:t>for</w:t>
      </w:r>
      <w:r w:rsidR="00922942" w:rsidRPr="006527E3">
        <w:rPr>
          <w:rFonts w:ascii="Times New Roman" w:hAnsi="Times New Roman" w:cs="Times New Roman"/>
        </w:rPr>
        <w:t xml:space="preserve"> lumbar spine BMC (1.61</w:t>
      </w:r>
      <w:r w:rsidR="00D50CF4" w:rsidRPr="006527E3">
        <w:rPr>
          <w:rFonts w:ascii="Times New Roman" w:hAnsi="Times New Roman" w:cs="Times New Roman"/>
        </w:rPr>
        <w:t>; 95%CI: 1.15, 2.26</w:t>
      </w:r>
      <w:r w:rsidR="00922942" w:rsidRPr="006527E3">
        <w:rPr>
          <w:rFonts w:ascii="Times New Roman" w:hAnsi="Times New Roman" w:cs="Times New Roman"/>
        </w:rPr>
        <w:t xml:space="preserve">) and </w:t>
      </w:r>
      <w:r w:rsidR="00004078">
        <w:rPr>
          <w:rFonts w:ascii="Times New Roman" w:hAnsi="Times New Roman" w:cs="Times New Roman"/>
        </w:rPr>
        <w:t>a</w:t>
      </w:r>
      <w:r w:rsidR="00922942" w:rsidRPr="006527E3">
        <w:rPr>
          <w:rFonts w:ascii="Times New Roman" w:hAnsi="Times New Roman" w:cs="Times New Roman"/>
        </w:rPr>
        <w:t>BMD (</w:t>
      </w:r>
      <w:r w:rsidR="00DF74F0" w:rsidRPr="006527E3">
        <w:rPr>
          <w:rFonts w:ascii="Times New Roman" w:hAnsi="Times New Roman" w:cs="Times New Roman"/>
        </w:rPr>
        <w:t>1</w:t>
      </w:r>
      <w:r w:rsidR="00922942" w:rsidRPr="006527E3">
        <w:rPr>
          <w:rFonts w:ascii="Times New Roman" w:hAnsi="Times New Roman" w:cs="Times New Roman"/>
        </w:rPr>
        <w:t>.76</w:t>
      </w:r>
      <w:r w:rsidR="00DF74F0" w:rsidRPr="006527E3">
        <w:rPr>
          <w:rFonts w:ascii="Times New Roman" w:hAnsi="Times New Roman" w:cs="Times New Roman"/>
        </w:rPr>
        <w:t>; 95%CI: 1.25, 2.49</w:t>
      </w:r>
      <w:r w:rsidR="00922942" w:rsidRPr="006527E3">
        <w:rPr>
          <w:rFonts w:ascii="Times New Roman" w:hAnsi="Times New Roman" w:cs="Times New Roman"/>
        </w:rPr>
        <w:t xml:space="preserve">). </w:t>
      </w:r>
      <w:r w:rsidR="00B242A2" w:rsidRPr="006527E3">
        <w:rPr>
          <w:rFonts w:ascii="Times New Roman" w:hAnsi="Times New Roman" w:cs="Times New Roman"/>
        </w:rPr>
        <w:t xml:space="preserve">Whole body BMC and </w:t>
      </w:r>
      <w:r w:rsidR="00004078">
        <w:rPr>
          <w:rFonts w:ascii="Times New Roman" w:hAnsi="Times New Roman" w:cs="Times New Roman"/>
        </w:rPr>
        <w:t>a</w:t>
      </w:r>
      <w:r w:rsidR="00B242A2" w:rsidRPr="006527E3">
        <w:rPr>
          <w:rFonts w:ascii="Times New Roman" w:hAnsi="Times New Roman" w:cs="Times New Roman"/>
        </w:rPr>
        <w:t xml:space="preserve">BMD were also predictors of fracture, </w:t>
      </w:r>
      <w:r w:rsidRPr="006527E3">
        <w:rPr>
          <w:rFonts w:ascii="Times New Roman" w:hAnsi="Times New Roman" w:cs="Times New Roman"/>
        </w:rPr>
        <w:t xml:space="preserve">with the </w:t>
      </w:r>
      <w:r w:rsidR="00237C04" w:rsidRPr="006527E3">
        <w:rPr>
          <w:rFonts w:ascii="Times New Roman" w:hAnsi="Times New Roman" w:cs="Times New Roman"/>
        </w:rPr>
        <w:t>HR/SD</w:t>
      </w:r>
      <w:r w:rsidRPr="006527E3">
        <w:rPr>
          <w:rFonts w:ascii="Times New Roman" w:hAnsi="Times New Roman" w:cs="Times New Roman"/>
        </w:rPr>
        <w:t xml:space="preserve"> for </w:t>
      </w:r>
      <w:r w:rsidR="001633E7" w:rsidRPr="006527E3">
        <w:rPr>
          <w:rFonts w:ascii="Times New Roman" w:hAnsi="Times New Roman" w:cs="Times New Roman"/>
        </w:rPr>
        <w:t xml:space="preserve">whole body BMC of </w:t>
      </w:r>
      <w:r w:rsidR="0036047D" w:rsidRPr="006527E3">
        <w:rPr>
          <w:rFonts w:ascii="Times New Roman" w:hAnsi="Times New Roman" w:cs="Times New Roman"/>
        </w:rPr>
        <w:t>1.64</w:t>
      </w:r>
      <w:r w:rsidR="00DF74F0" w:rsidRPr="006527E3">
        <w:rPr>
          <w:rFonts w:ascii="Times New Roman" w:hAnsi="Times New Roman" w:cs="Times New Roman"/>
        </w:rPr>
        <w:t xml:space="preserve"> </w:t>
      </w:r>
      <w:r w:rsidR="00DF74F0" w:rsidRPr="006527E3">
        <w:rPr>
          <w:rFonts w:ascii="Times New Roman" w:hAnsi="Times New Roman" w:cs="Times New Roman"/>
        </w:rPr>
        <w:lastRenderedPageBreak/>
        <w:t>(95%CI: 1.10, 2.44</w:t>
      </w:r>
      <w:r w:rsidR="0036047D" w:rsidRPr="006527E3">
        <w:rPr>
          <w:rFonts w:ascii="Times New Roman" w:hAnsi="Times New Roman" w:cs="Times New Roman"/>
        </w:rPr>
        <w:t xml:space="preserve">) and </w:t>
      </w:r>
      <w:r w:rsidR="00004078">
        <w:rPr>
          <w:rFonts w:ascii="Times New Roman" w:hAnsi="Times New Roman" w:cs="Times New Roman"/>
        </w:rPr>
        <w:t>a</w:t>
      </w:r>
      <w:r w:rsidR="0036047D" w:rsidRPr="006527E3">
        <w:rPr>
          <w:rFonts w:ascii="Times New Roman" w:hAnsi="Times New Roman" w:cs="Times New Roman"/>
        </w:rPr>
        <w:t xml:space="preserve">BMD </w:t>
      </w:r>
      <w:r w:rsidR="001633E7" w:rsidRPr="006527E3">
        <w:rPr>
          <w:rFonts w:ascii="Times New Roman" w:hAnsi="Times New Roman" w:cs="Times New Roman"/>
        </w:rPr>
        <w:t xml:space="preserve">of </w:t>
      </w:r>
      <w:r w:rsidR="0036047D" w:rsidRPr="006527E3">
        <w:rPr>
          <w:rFonts w:ascii="Times New Roman" w:hAnsi="Times New Roman" w:cs="Times New Roman"/>
        </w:rPr>
        <w:t>1.74 (</w:t>
      </w:r>
      <w:r w:rsidR="00DF74F0" w:rsidRPr="006527E3">
        <w:rPr>
          <w:rFonts w:ascii="Times New Roman" w:hAnsi="Times New Roman" w:cs="Times New Roman"/>
        </w:rPr>
        <w:t>95%CI: 1.23, 2.47</w:t>
      </w:r>
      <w:r w:rsidR="0036047D" w:rsidRPr="006527E3">
        <w:rPr>
          <w:rFonts w:ascii="Times New Roman" w:hAnsi="Times New Roman" w:cs="Times New Roman"/>
        </w:rPr>
        <w:t>) after full adjust</w:t>
      </w:r>
      <w:r w:rsidR="008238A1" w:rsidRPr="006527E3">
        <w:rPr>
          <w:rFonts w:ascii="Times New Roman" w:hAnsi="Times New Roman" w:cs="Times New Roman"/>
        </w:rPr>
        <w:t xml:space="preserve">ment for potential confounders. </w:t>
      </w:r>
      <w:r w:rsidR="00922942" w:rsidRPr="006527E3">
        <w:rPr>
          <w:rFonts w:ascii="Times New Roman" w:hAnsi="Times New Roman" w:cs="Times New Roman"/>
        </w:rPr>
        <w:t>Neither femoral neck nor lumbar spine area was a statistically significant predictor of fracture risk.</w:t>
      </w:r>
      <w:r w:rsidR="001633E7" w:rsidRPr="006527E3">
        <w:rPr>
          <w:rFonts w:ascii="Times New Roman" w:hAnsi="Times New Roman" w:cs="Times New Roman"/>
        </w:rPr>
        <w:t xml:space="preserve"> Similar relationships were observed for incident osteoporotic fracture (</w:t>
      </w:r>
      <w:r w:rsidR="00037D18">
        <w:rPr>
          <w:rFonts w:ascii="Times New Roman" w:hAnsi="Times New Roman" w:cs="Times New Roman"/>
        </w:rPr>
        <w:t>Table 3 and Figure 2b</w:t>
      </w:r>
      <w:r w:rsidR="001633E7" w:rsidRPr="006527E3">
        <w:rPr>
          <w:rFonts w:ascii="Times New Roman" w:hAnsi="Times New Roman" w:cs="Times New Roman"/>
        </w:rPr>
        <w:t>)</w:t>
      </w:r>
      <w:r w:rsidR="00EB3D0E">
        <w:rPr>
          <w:rFonts w:ascii="Times New Roman" w:hAnsi="Times New Roman" w:cs="Times New Roman"/>
        </w:rPr>
        <w:t>.</w:t>
      </w:r>
      <w:r w:rsidR="008238A1" w:rsidRPr="006527E3">
        <w:rPr>
          <w:rFonts w:ascii="Times New Roman" w:hAnsi="Times New Roman" w:cs="Times New Roman"/>
        </w:rPr>
        <w:t xml:space="preserve"> </w:t>
      </w:r>
      <w:r w:rsidR="00EB3D0E">
        <w:rPr>
          <w:rFonts w:ascii="Times New Roman" w:hAnsi="Times New Roman" w:cs="Times New Roman"/>
        </w:rPr>
        <w:t>A</w:t>
      </w:r>
      <w:r w:rsidR="008238A1" w:rsidRPr="006527E3">
        <w:rPr>
          <w:rFonts w:ascii="Times New Roman" w:hAnsi="Times New Roman" w:cs="Times New Roman"/>
        </w:rPr>
        <w:t xml:space="preserve">lthough the </w:t>
      </w:r>
      <w:r w:rsidR="00237C04" w:rsidRPr="006527E3">
        <w:rPr>
          <w:rFonts w:ascii="Times New Roman" w:hAnsi="Times New Roman" w:cs="Times New Roman"/>
        </w:rPr>
        <w:t>HR/SD</w:t>
      </w:r>
      <w:r w:rsidR="00EB3D0E">
        <w:rPr>
          <w:rFonts w:ascii="Times New Roman" w:hAnsi="Times New Roman" w:cs="Times New Roman"/>
        </w:rPr>
        <w:t xml:space="preserve"> point estimate</w:t>
      </w:r>
      <w:r w:rsidR="008238A1" w:rsidRPr="006527E3">
        <w:rPr>
          <w:rFonts w:ascii="Times New Roman" w:hAnsi="Times New Roman" w:cs="Times New Roman"/>
        </w:rPr>
        <w:t xml:space="preserve"> for femoral neck </w:t>
      </w:r>
      <w:r w:rsidR="00004078">
        <w:rPr>
          <w:rFonts w:ascii="Times New Roman" w:hAnsi="Times New Roman" w:cs="Times New Roman"/>
        </w:rPr>
        <w:t>a</w:t>
      </w:r>
      <w:r w:rsidR="008238A1" w:rsidRPr="006527E3">
        <w:rPr>
          <w:rFonts w:ascii="Times New Roman" w:hAnsi="Times New Roman" w:cs="Times New Roman"/>
        </w:rPr>
        <w:t>BMD</w:t>
      </w:r>
      <w:r w:rsidR="00DF74F0" w:rsidRPr="006527E3">
        <w:rPr>
          <w:rFonts w:ascii="Times New Roman" w:hAnsi="Times New Roman" w:cs="Times New Roman"/>
        </w:rPr>
        <w:t xml:space="preserve"> (3.34; 95%CI: </w:t>
      </w:r>
      <w:r w:rsidR="005F6258" w:rsidRPr="006527E3">
        <w:rPr>
          <w:rFonts w:ascii="Times New Roman" w:hAnsi="Times New Roman" w:cs="Times New Roman"/>
        </w:rPr>
        <w:t>1.82, 6.13</w:t>
      </w:r>
      <w:r w:rsidR="00D50CF4" w:rsidRPr="006527E3">
        <w:rPr>
          <w:rFonts w:ascii="Times New Roman" w:hAnsi="Times New Roman" w:cs="Times New Roman"/>
        </w:rPr>
        <w:t>)</w:t>
      </w:r>
      <w:r w:rsidR="008238A1" w:rsidRPr="006527E3">
        <w:rPr>
          <w:rFonts w:ascii="Times New Roman" w:hAnsi="Times New Roman" w:cs="Times New Roman"/>
        </w:rPr>
        <w:t xml:space="preserve"> was greater than that for femoral neck BMC</w:t>
      </w:r>
      <w:r w:rsidR="005F6258" w:rsidRPr="006527E3">
        <w:rPr>
          <w:rFonts w:ascii="Times New Roman" w:hAnsi="Times New Roman" w:cs="Times New Roman"/>
        </w:rPr>
        <w:t xml:space="preserve"> (1.94; 95%CI: 1.22, </w:t>
      </w:r>
      <w:r w:rsidR="00037D18" w:rsidRPr="00037D18">
        <w:rPr>
          <w:rFonts w:ascii="Times New Roman" w:hAnsi="Times New Roman" w:cs="Times New Roman"/>
        </w:rPr>
        <w:t>3.09)</w:t>
      </w:r>
      <w:r w:rsidR="00EB3D0E">
        <w:rPr>
          <w:rFonts w:ascii="Times New Roman" w:hAnsi="Times New Roman" w:cs="Times New Roman"/>
        </w:rPr>
        <w:t>, Figure 2b illustrates that the 95%CIs largely overlap</w:t>
      </w:r>
      <w:r w:rsidR="00037D18" w:rsidRPr="00037D18">
        <w:rPr>
          <w:rFonts w:ascii="Times New Roman" w:hAnsi="Times New Roman" w:cs="Times New Roman"/>
        </w:rPr>
        <w:t>.</w:t>
      </w:r>
      <w:r w:rsidR="00ED0E74">
        <w:rPr>
          <w:rFonts w:ascii="Times New Roman" w:hAnsi="Times New Roman" w:cs="Times New Roman"/>
        </w:rPr>
        <w:t xml:space="preserve"> Finally, the associations were similarly observed with major osteoporotic fracture as the outcome, albeit of weaker statistical significance, reflecting</w:t>
      </w:r>
      <w:r w:rsidR="00357931">
        <w:rPr>
          <w:rFonts w:ascii="Times New Roman" w:hAnsi="Times New Roman" w:cs="Times New Roman"/>
        </w:rPr>
        <w:t xml:space="preserve"> the smaller number of outcomes (Online</w:t>
      </w:r>
      <w:r w:rsidR="009D6846">
        <w:rPr>
          <w:rFonts w:ascii="Times New Roman" w:hAnsi="Times New Roman" w:cs="Times New Roman"/>
        </w:rPr>
        <w:t xml:space="preserve"> S</w:t>
      </w:r>
      <w:r w:rsidR="00357931">
        <w:rPr>
          <w:rFonts w:ascii="Times New Roman" w:hAnsi="Times New Roman" w:cs="Times New Roman"/>
        </w:rPr>
        <w:t>upplementary Table 1).</w:t>
      </w:r>
    </w:p>
    <w:p w14:paraId="4305518E" w14:textId="77777777" w:rsidR="00A74CAA" w:rsidRPr="006527E3" w:rsidRDefault="00A74CAA" w:rsidP="006527E3">
      <w:pPr>
        <w:spacing w:after="120" w:line="360" w:lineRule="auto"/>
        <w:jc w:val="both"/>
        <w:rPr>
          <w:rFonts w:ascii="Times New Roman" w:hAnsi="Times New Roman" w:cs="Times New Roman"/>
        </w:rPr>
      </w:pPr>
    </w:p>
    <w:p w14:paraId="3E169578" w14:textId="77777777" w:rsidR="00F42E7E" w:rsidRPr="0017129E" w:rsidRDefault="00DF33C3" w:rsidP="006527E3">
      <w:pPr>
        <w:spacing w:after="120" w:line="360" w:lineRule="auto"/>
        <w:jc w:val="both"/>
        <w:rPr>
          <w:rFonts w:ascii="Times New Roman" w:hAnsi="Times New Roman" w:cs="Times New Roman"/>
          <w:b/>
        </w:rPr>
      </w:pPr>
      <w:r w:rsidRPr="0017129E">
        <w:rPr>
          <w:rFonts w:ascii="Times New Roman" w:hAnsi="Times New Roman" w:cs="Times New Roman"/>
          <w:b/>
        </w:rPr>
        <w:t>Discussion</w:t>
      </w:r>
    </w:p>
    <w:p w14:paraId="0370F11E" w14:textId="32C68292" w:rsidR="004D7D05" w:rsidRPr="006527E3" w:rsidRDefault="00F42E7E" w:rsidP="006527E3">
      <w:pPr>
        <w:spacing w:after="120" w:line="360" w:lineRule="auto"/>
        <w:jc w:val="both"/>
        <w:rPr>
          <w:rFonts w:ascii="Times New Roman" w:hAnsi="Times New Roman" w:cs="Times New Roman"/>
        </w:rPr>
      </w:pPr>
      <w:r w:rsidRPr="0017129E">
        <w:rPr>
          <w:rFonts w:ascii="Times New Roman" w:hAnsi="Times New Roman" w:cs="Times New Roman"/>
        </w:rPr>
        <w:t xml:space="preserve">In this prospective study </w:t>
      </w:r>
      <w:r w:rsidR="0059397C" w:rsidRPr="0017129E">
        <w:rPr>
          <w:rFonts w:ascii="Times New Roman" w:hAnsi="Times New Roman" w:cs="Times New Roman"/>
        </w:rPr>
        <w:t xml:space="preserve">we </w:t>
      </w:r>
      <w:r w:rsidR="00CD485E" w:rsidRPr="0017129E">
        <w:rPr>
          <w:rFonts w:ascii="Times New Roman" w:hAnsi="Times New Roman" w:cs="Times New Roman"/>
        </w:rPr>
        <w:t>demonstrated</w:t>
      </w:r>
      <w:r w:rsidR="0059397C" w:rsidRPr="0017129E">
        <w:rPr>
          <w:rFonts w:ascii="Times New Roman" w:hAnsi="Times New Roman" w:cs="Times New Roman"/>
        </w:rPr>
        <w:t xml:space="preserve"> that</w:t>
      </w:r>
      <w:r w:rsidR="00004078">
        <w:rPr>
          <w:rFonts w:ascii="Times New Roman" w:hAnsi="Times New Roman" w:cs="Times New Roman"/>
        </w:rPr>
        <w:t>, using DXA,</w:t>
      </w:r>
      <w:r w:rsidR="0059397C" w:rsidRPr="0017129E">
        <w:rPr>
          <w:rFonts w:ascii="Times New Roman" w:hAnsi="Times New Roman" w:cs="Times New Roman"/>
        </w:rPr>
        <w:t xml:space="preserve"> b</w:t>
      </w:r>
      <w:r w:rsidRPr="0017129E">
        <w:rPr>
          <w:rFonts w:ascii="Times New Roman" w:hAnsi="Times New Roman" w:cs="Times New Roman"/>
        </w:rPr>
        <w:t xml:space="preserve">oth femoral neck and lumbar spine BMC and </w:t>
      </w:r>
      <w:r w:rsidR="00004078">
        <w:rPr>
          <w:rFonts w:ascii="Times New Roman" w:hAnsi="Times New Roman" w:cs="Times New Roman"/>
        </w:rPr>
        <w:t>a</w:t>
      </w:r>
      <w:r w:rsidRPr="0017129E">
        <w:rPr>
          <w:rFonts w:ascii="Times New Roman" w:hAnsi="Times New Roman" w:cs="Times New Roman"/>
        </w:rPr>
        <w:t xml:space="preserve">BMD were </w:t>
      </w:r>
      <w:r w:rsidR="004D7D05" w:rsidRPr="0017129E">
        <w:rPr>
          <w:rFonts w:ascii="Times New Roman" w:hAnsi="Times New Roman" w:cs="Times New Roman"/>
        </w:rPr>
        <w:t xml:space="preserve">similarly predictive of any </w:t>
      </w:r>
      <w:r w:rsidR="0059397C" w:rsidRPr="0017129E">
        <w:rPr>
          <w:rFonts w:ascii="Times New Roman" w:hAnsi="Times New Roman" w:cs="Times New Roman"/>
        </w:rPr>
        <w:t>incident</w:t>
      </w:r>
      <w:r w:rsidR="004D7D05" w:rsidRPr="0017129E">
        <w:rPr>
          <w:rFonts w:ascii="Times New Roman" w:hAnsi="Times New Roman" w:cs="Times New Roman"/>
        </w:rPr>
        <w:t xml:space="preserve"> </w:t>
      </w:r>
      <w:r w:rsidR="0059397C" w:rsidRPr="0017129E">
        <w:rPr>
          <w:rFonts w:ascii="Times New Roman" w:hAnsi="Times New Roman" w:cs="Times New Roman"/>
        </w:rPr>
        <w:t xml:space="preserve">fracture with </w:t>
      </w:r>
      <w:r w:rsidR="00CD485E" w:rsidRPr="0017129E">
        <w:rPr>
          <w:rFonts w:ascii="Times New Roman" w:hAnsi="Times New Roman" w:cs="Times New Roman"/>
        </w:rPr>
        <w:t>HR/SD of</w:t>
      </w:r>
      <w:r w:rsidR="0059397C" w:rsidRPr="0017129E">
        <w:rPr>
          <w:rFonts w:ascii="Times New Roman" w:hAnsi="Times New Roman" w:cs="Times New Roman"/>
        </w:rPr>
        <w:t xml:space="preserve"> </w:t>
      </w:r>
      <w:r w:rsidR="004D7D05" w:rsidRPr="0017129E">
        <w:rPr>
          <w:rFonts w:ascii="Times New Roman" w:hAnsi="Times New Roman" w:cs="Times New Roman"/>
        </w:rPr>
        <w:t>1.</w:t>
      </w:r>
      <w:r w:rsidR="00ED6E60" w:rsidRPr="0017129E">
        <w:rPr>
          <w:rFonts w:ascii="Times New Roman" w:hAnsi="Times New Roman" w:cs="Times New Roman"/>
        </w:rPr>
        <w:t>5</w:t>
      </w:r>
      <w:r w:rsidR="004D7D05" w:rsidRPr="0017129E">
        <w:rPr>
          <w:rFonts w:ascii="Times New Roman" w:hAnsi="Times New Roman" w:cs="Times New Roman"/>
        </w:rPr>
        <w:t>-1.8</w:t>
      </w:r>
      <w:r w:rsidR="00C673D2" w:rsidRPr="0017129E">
        <w:rPr>
          <w:rFonts w:ascii="Times New Roman" w:hAnsi="Times New Roman" w:cs="Times New Roman"/>
        </w:rPr>
        <w:t>, after adjustment for confounding factors</w:t>
      </w:r>
      <w:r w:rsidR="004D7D05" w:rsidRPr="0017129E">
        <w:rPr>
          <w:rFonts w:ascii="Times New Roman" w:hAnsi="Times New Roman" w:cs="Times New Roman"/>
        </w:rPr>
        <w:t xml:space="preserve">. </w:t>
      </w:r>
      <w:r w:rsidR="007B2C4A" w:rsidRPr="0017129E">
        <w:rPr>
          <w:rFonts w:ascii="Times New Roman" w:hAnsi="Times New Roman" w:cs="Times New Roman"/>
        </w:rPr>
        <w:t xml:space="preserve">With osteoporotic fracture as the outcome, the </w:t>
      </w:r>
      <w:r w:rsidR="00890C06" w:rsidRPr="0017129E">
        <w:rPr>
          <w:rFonts w:ascii="Times New Roman" w:hAnsi="Times New Roman" w:cs="Times New Roman"/>
        </w:rPr>
        <w:t>HR/SD</w:t>
      </w:r>
      <w:r w:rsidR="002833DE" w:rsidRPr="0017129E">
        <w:rPr>
          <w:rFonts w:ascii="Times New Roman" w:hAnsi="Times New Roman" w:cs="Times New Roman"/>
        </w:rPr>
        <w:t xml:space="preserve"> point estimate</w:t>
      </w:r>
      <w:r w:rsidR="007B2C4A" w:rsidRPr="0017129E">
        <w:rPr>
          <w:rFonts w:ascii="Times New Roman" w:hAnsi="Times New Roman" w:cs="Times New Roman"/>
        </w:rPr>
        <w:t xml:space="preserve"> for BMD </w:t>
      </w:r>
      <w:r w:rsidR="00CD485E" w:rsidRPr="0017129E">
        <w:rPr>
          <w:rFonts w:ascii="Times New Roman" w:hAnsi="Times New Roman" w:cs="Times New Roman"/>
        </w:rPr>
        <w:t xml:space="preserve">at the femoral neck </w:t>
      </w:r>
      <w:r w:rsidR="007B2C4A" w:rsidRPr="0017129E">
        <w:rPr>
          <w:rFonts w:ascii="Times New Roman" w:hAnsi="Times New Roman" w:cs="Times New Roman"/>
        </w:rPr>
        <w:t>was greater than that for BMC</w:t>
      </w:r>
      <w:r w:rsidR="00CD485E" w:rsidRPr="0017129E">
        <w:rPr>
          <w:rFonts w:ascii="Times New Roman" w:hAnsi="Times New Roman" w:cs="Times New Roman"/>
        </w:rPr>
        <w:t xml:space="preserve"> at that site,</w:t>
      </w:r>
      <w:r w:rsidR="007B2C4A" w:rsidRPr="0017129E">
        <w:rPr>
          <w:rFonts w:ascii="Times New Roman" w:hAnsi="Times New Roman" w:cs="Times New Roman"/>
        </w:rPr>
        <w:t xml:space="preserve"> </w:t>
      </w:r>
      <w:r w:rsidR="0058286D" w:rsidRPr="0017129E">
        <w:rPr>
          <w:rFonts w:ascii="Times New Roman" w:hAnsi="Times New Roman" w:cs="Times New Roman"/>
        </w:rPr>
        <w:t>but the</w:t>
      </w:r>
      <w:r w:rsidR="002833DE" w:rsidRPr="0017129E">
        <w:rPr>
          <w:rFonts w:ascii="Times New Roman" w:hAnsi="Times New Roman" w:cs="Times New Roman"/>
        </w:rPr>
        <w:t xml:space="preserve"> confidence intervals largely overlapped</w:t>
      </w:r>
      <w:r w:rsidR="00CD485E" w:rsidRPr="0017129E">
        <w:rPr>
          <w:rFonts w:ascii="Times New Roman" w:hAnsi="Times New Roman" w:cs="Times New Roman"/>
        </w:rPr>
        <w:t>, and were consistent with there being no difference</w:t>
      </w:r>
      <w:r w:rsidR="002833DE" w:rsidRPr="0017129E">
        <w:rPr>
          <w:rFonts w:ascii="Times New Roman" w:hAnsi="Times New Roman" w:cs="Times New Roman"/>
        </w:rPr>
        <w:t xml:space="preserve">. </w:t>
      </w:r>
      <w:r w:rsidR="00D95CD6">
        <w:rPr>
          <w:rFonts w:ascii="Times New Roman" w:hAnsi="Times New Roman" w:cs="Times New Roman"/>
        </w:rPr>
        <w:t>Conversely, BA</w:t>
      </w:r>
      <w:r w:rsidR="00ED6E60" w:rsidRPr="0017129E">
        <w:rPr>
          <w:rFonts w:ascii="Times New Roman" w:hAnsi="Times New Roman" w:cs="Times New Roman"/>
        </w:rPr>
        <w:t xml:space="preserve"> at the femoral neck </w:t>
      </w:r>
      <w:r w:rsidR="00CD485E" w:rsidRPr="0017129E">
        <w:rPr>
          <w:rFonts w:ascii="Times New Roman" w:hAnsi="Times New Roman" w:cs="Times New Roman"/>
        </w:rPr>
        <w:t>or</w:t>
      </w:r>
      <w:r w:rsidR="00ED6E60" w:rsidRPr="0017129E">
        <w:rPr>
          <w:rFonts w:ascii="Times New Roman" w:hAnsi="Times New Roman" w:cs="Times New Roman"/>
        </w:rPr>
        <w:t xml:space="preserve"> lumbar spine</w:t>
      </w:r>
      <w:r w:rsidR="004D7D05" w:rsidRPr="0017129E">
        <w:rPr>
          <w:rFonts w:ascii="Times New Roman" w:hAnsi="Times New Roman" w:cs="Times New Roman"/>
        </w:rPr>
        <w:t xml:space="preserve"> was not </w:t>
      </w:r>
      <w:r w:rsidR="00CD485E" w:rsidRPr="0017129E">
        <w:rPr>
          <w:rFonts w:ascii="Times New Roman" w:hAnsi="Times New Roman" w:cs="Times New Roman"/>
        </w:rPr>
        <w:t>found</w:t>
      </w:r>
      <w:r w:rsidR="00C673D2" w:rsidRPr="0017129E">
        <w:rPr>
          <w:rFonts w:ascii="Times New Roman" w:hAnsi="Times New Roman" w:cs="Times New Roman"/>
        </w:rPr>
        <w:t xml:space="preserve"> to be </w:t>
      </w:r>
      <w:r w:rsidR="004D7D05" w:rsidRPr="0017129E">
        <w:rPr>
          <w:rFonts w:ascii="Times New Roman" w:hAnsi="Times New Roman" w:cs="Times New Roman"/>
        </w:rPr>
        <w:t>a predictor of</w:t>
      </w:r>
      <w:r w:rsidR="00ED6E60" w:rsidRPr="0017129E">
        <w:rPr>
          <w:rFonts w:ascii="Times New Roman" w:hAnsi="Times New Roman" w:cs="Times New Roman"/>
        </w:rPr>
        <w:t xml:space="preserve"> </w:t>
      </w:r>
      <w:r w:rsidR="0058243F" w:rsidRPr="0017129E">
        <w:rPr>
          <w:rFonts w:ascii="Times New Roman" w:hAnsi="Times New Roman" w:cs="Times New Roman"/>
        </w:rPr>
        <w:t>fracture risk.</w:t>
      </w:r>
    </w:p>
    <w:p w14:paraId="61BF9ECA" w14:textId="255C6814" w:rsidR="00304457" w:rsidRDefault="00F65F61" w:rsidP="006527E3">
      <w:pPr>
        <w:spacing w:after="120" w:line="360" w:lineRule="auto"/>
        <w:jc w:val="both"/>
        <w:rPr>
          <w:rFonts w:ascii="Times New Roman" w:hAnsi="Times New Roman" w:cs="Times New Roman"/>
        </w:rPr>
      </w:pPr>
      <w:r w:rsidRPr="006527E3">
        <w:rPr>
          <w:rFonts w:ascii="Times New Roman" w:hAnsi="Times New Roman" w:cs="Times New Roman"/>
        </w:rPr>
        <w:t>O</w:t>
      </w:r>
      <w:r w:rsidR="00340327" w:rsidRPr="006527E3">
        <w:rPr>
          <w:rFonts w:ascii="Times New Roman" w:hAnsi="Times New Roman" w:cs="Times New Roman"/>
        </w:rPr>
        <w:t xml:space="preserve">ur </w:t>
      </w:r>
      <w:r w:rsidR="007B2C4A" w:rsidRPr="006527E3">
        <w:rPr>
          <w:rFonts w:ascii="Times New Roman" w:hAnsi="Times New Roman" w:cs="Times New Roman"/>
        </w:rPr>
        <w:t>results</w:t>
      </w:r>
      <w:r w:rsidR="00340327" w:rsidRPr="006527E3">
        <w:rPr>
          <w:rFonts w:ascii="Times New Roman" w:hAnsi="Times New Roman" w:cs="Times New Roman"/>
        </w:rPr>
        <w:t xml:space="preserve"> are strikingly similar to those reported by Cummings et al in 1994, which is the only </w:t>
      </w:r>
      <w:r w:rsidR="007954BF" w:rsidRPr="006527E3">
        <w:rPr>
          <w:rFonts w:ascii="Times New Roman" w:hAnsi="Times New Roman" w:cs="Times New Roman"/>
        </w:rPr>
        <w:t xml:space="preserve">prospective </w:t>
      </w:r>
      <w:r w:rsidR="00340327" w:rsidRPr="006527E3">
        <w:rPr>
          <w:rFonts w:ascii="Times New Roman" w:hAnsi="Times New Roman" w:cs="Times New Roman"/>
        </w:rPr>
        <w:t xml:space="preserve">study </w:t>
      </w:r>
      <w:r w:rsidRPr="006527E3">
        <w:rPr>
          <w:rFonts w:ascii="Times New Roman" w:hAnsi="Times New Roman" w:cs="Times New Roman"/>
        </w:rPr>
        <w:t xml:space="preserve">of which </w:t>
      </w:r>
      <w:r w:rsidR="00340327" w:rsidRPr="006527E3">
        <w:rPr>
          <w:rFonts w:ascii="Times New Roman" w:hAnsi="Times New Roman" w:cs="Times New Roman"/>
        </w:rPr>
        <w:t xml:space="preserve">we are aware </w:t>
      </w:r>
      <w:r w:rsidRPr="006527E3">
        <w:rPr>
          <w:rFonts w:ascii="Times New Roman" w:hAnsi="Times New Roman" w:cs="Times New Roman"/>
        </w:rPr>
        <w:t>to link</w:t>
      </w:r>
      <w:r w:rsidR="00340327" w:rsidRPr="006527E3">
        <w:rPr>
          <w:rFonts w:ascii="Times New Roman" w:hAnsi="Times New Roman" w:cs="Times New Roman"/>
        </w:rPr>
        <w:t xml:space="preserve"> </w:t>
      </w:r>
      <w:r w:rsidR="005139A2" w:rsidRPr="006527E3">
        <w:rPr>
          <w:rFonts w:ascii="Times New Roman" w:hAnsi="Times New Roman" w:cs="Times New Roman"/>
        </w:rPr>
        <w:t>measurement of</w:t>
      </w:r>
      <w:r w:rsidRPr="006527E3">
        <w:rPr>
          <w:rFonts w:ascii="Times New Roman" w:hAnsi="Times New Roman" w:cs="Times New Roman"/>
        </w:rPr>
        <w:t xml:space="preserve"> </w:t>
      </w:r>
      <w:r w:rsidR="00340327" w:rsidRPr="006527E3">
        <w:rPr>
          <w:rFonts w:ascii="Times New Roman" w:hAnsi="Times New Roman" w:cs="Times New Roman"/>
        </w:rPr>
        <w:t>BMC with fracture risk</w:t>
      </w:r>
      <w:r w:rsidRPr="006527E3">
        <w:rPr>
          <w:rFonts w:ascii="Times New Roman" w:hAnsi="Times New Roman" w:cs="Times New Roman"/>
        </w:rPr>
        <w:t>.</w:t>
      </w:r>
      <w:r w:rsidR="00AF7930" w:rsidRPr="006527E3">
        <w:rPr>
          <w:rFonts w:ascii="Times New Roman" w:hAnsi="Times New Roman" w:cs="Times New Roman"/>
        </w:rPr>
        <w:t xml:space="preserve"> </w:t>
      </w:r>
      <w:r w:rsidR="00340327" w:rsidRPr="006527E3">
        <w:rPr>
          <w:rFonts w:ascii="Times New Roman" w:hAnsi="Times New Roman" w:cs="Times New Roman"/>
        </w:rPr>
        <w:t xml:space="preserve">Our data, showing that a 1SD decrease in BMC at the femoral neck was associated with a </w:t>
      </w:r>
      <w:r w:rsidRPr="006527E3">
        <w:rPr>
          <w:rFonts w:ascii="Times New Roman" w:hAnsi="Times New Roman" w:cs="Times New Roman"/>
        </w:rPr>
        <w:t>1.94-</w:t>
      </w:r>
      <w:r w:rsidR="00DB7868" w:rsidRPr="006527E3">
        <w:rPr>
          <w:rFonts w:ascii="Times New Roman" w:hAnsi="Times New Roman" w:cs="Times New Roman"/>
        </w:rPr>
        <w:t>times</w:t>
      </w:r>
      <w:r w:rsidRPr="006527E3">
        <w:rPr>
          <w:rFonts w:ascii="Times New Roman" w:hAnsi="Times New Roman" w:cs="Times New Roman"/>
        </w:rPr>
        <w:t xml:space="preserve"> increased risk of </w:t>
      </w:r>
      <w:r w:rsidR="00340327" w:rsidRPr="006527E3">
        <w:rPr>
          <w:rFonts w:ascii="Times New Roman" w:hAnsi="Times New Roman" w:cs="Times New Roman"/>
        </w:rPr>
        <w:t xml:space="preserve">fragility fracture, and that a 1SD decrease in </w:t>
      </w:r>
      <w:r w:rsidR="00004078">
        <w:rPr>
          <w:rFonts w:ascii="Times New Roman" w:hAnsi="Times New Roman" w:cs="Times New Roman"/>
        </w:rPr>
        <w:t>a</w:t>
      </w:r>
      <w:r w:rsidR="00340327" w:rsidRPr="006527E3">
        <w:rPr>
          <w:rFonts w:ascii="Times New Roman" w:hAnsi="Times New Roman" w:cs="Times New Roman"/>
        </w:rPr>
        <w:t>BM</w:t>
      </w:r>
      <w:r w:rsidR="00AF7930" w:rsidRPr="006527E3">
        <w:rPr>
          <w:rFonts w:ascii="Times New Roman" w:hAnsi="Times New Roman" w:cs="Times New Roman"/>
        </w:rPr>
        <w:t>D</w:t>
      </w:r>
      <w:r w:rsidR="00340327" w:rsidRPr="006527E3">
        <w:rPr>
          <w:rFonts w:ascii="Times New Roman" w:hAnsi="Times New Roman" w:cs="Times New Roman"/>
        </w:rPr>
        <w:t xml:space="preserve"> at the femoral neck was associated with a</w:t>
      </w:r>
      <w:r w:rsidR="005D08EA" w:rsidRPr="006527E3">
        <w:rPr>
          <w:rFonts w:ascii="Times New Roman" w:hAnsi="Times New Roman" w:cs="Times New Roman"/>
        </w:rPr>
        <w:t xml:space="preserve"> hazard ratio of </w:t>
      </w:r>
      <w:r w:rsidR="00340327" w:rsidRPr="006527E3">
        <w:rPr>
          <w:rFonts w:ascii="Times New Roman" w:hAnsi="Times New Roman" w:cs="Times New Roman"/>
        </w:rPr>
        <w:t>3.34 for fragility fracture</w:t>
      </w:r>
      <w:r w:rsidR="007B2C4A" w:rsidRPr="006527E3">
        <w:rPr>
          <w:rFonts w:ascii="Times New Roman" w:hAnsi="Times New Roman" w:cs="Times New Roman"/>
        </w:rPr>
        <w:t xml:space="preserve"> </w:t>
      </w:r>
      <w:r w:rsidR="00AF7930" w:rsidRPr="006527E3">
        <w:rPr>
          <w:rFonts w:ascii="Times New Roman" w:hAnsi="Times New Roman" w:cs="Times New Roman"/>
        </w:rPr>
        <w:t>in fully adjusted models,</w:t>
      </w:r>
      <w:r w:rsidR="00340327" w:rsidRPr="006527E3">
        <w:rPr>
          <w:rFonts w:ascii="Times New Roman" w:hAnsi="Times New Roman" w:cs="Times New Roman"/>
        </w:rPr>
        <w:t xml:space="preserve"> </w:t>
      </w:r>
      <w:r w:rsidR="00AF7930" w:rsidRPr="006527E3">
        <w:rPr>
          <w:rFonts w:ascii="Times New Roman" w:hAnsi="Times New Roman" w:cs="Times New Roman"/>
        </w:rPr>
        <w:t xml:space="preserve">are </w:t>
      </w:r>
      <w:r w:rsidR="007B2C4A" w:rsidRPr="006527E3">
        <w:rPr>
          <w:rFonts w:ascii="Times New Roman" w:hAnsi="Times New Roman" w:cs="Times New Roman"/>
        </w:rPr>
        <w:t>consistent with</w:t>
      </w:r>
      <w:r w:rsidR="00AF7930" w:rsidRPr="006527E3">
        <w:rPr>
          <w:rFonts w:ascii="Times New Roman" w:hAnsi="Times New Roman" w:cs="Times New Roman"/>
        </w:rPr>
        <w:t xml:space="preserve"> this previous study. Cummings et al reported that each SD decrease in femoral neck BMC</w:t>
      </w:r>
      <w:r w:rsidR="00DB7868" w:rsidRPr="006527E3">
        <w:rPr>
          <w:rFonts w:ascii="Times New Roman" w:hAnsi="Times New Roman" w:cs="Times New Roman"/>
        </w:rPr>
        <w:t xml:space="preserve"> was associated with a 1.6-times (95%CI: 1.3, 2.1)</w:t>
      </w:r>
      <w:r w:rsidR="00AF7930" w:rsidRPr="006527E3">
        <w:rPr>
          <w:rFonts w:ascii="Times New Roman" w:hAnsi="Times New Roman" w:cs="Times New Roman"/>
        </w:rPr>
        <w:t xml:space="preserve"> increase</w:t>
      </w:r>
      <w:r w:rsidR="00DB7868" w:rsidRPr="006527E3">
        <w:rPr>
          <w:rFonts w:ascii="Times New Roman" w:hAnsi="Times New Roman" w:cs="Times New Roman"/>
        </w:rPr>
        <w:t xml:space="preserve"> in</w:t>
      </w:r>
      <w:r w:rsidR="00AF7930" w:rsidRPr="006527E3">
        <w:rPr>
          <w:rFonts w:ascii="Times New Roman" w:hAnsi="Times New Roman" w:cs="Times New Roman"/>
        </w:rPr>
        <w:t xml:space="preserve"> hip</w:t>
      </w:r>
      <w:r w:rsidRPr="006527E3">
        <w:rPr>
          <w:rFonts w:ascii="Times New Roman" w:hAnsi="Times New Roman" w:cs="Times New Roman"/>
        </w:rPr>
        <w:t xml:space="preserve"> fracture risk</w:t>
      </w:r>
      <w:r w:rsidR="00AF7930" w:rsidRPr="006527E3">
        <w:rPr>
          <w:rFonts w:ascii="Times New Roman" w:hAnsi="Times New Roman" w:cs="Times New Roman"/>
        </w:rPr>
        <w:t xml:space="preserve">, whilst each SD decrease in femoral neck </w:t>
      </w:r>
      <w:r w:rsidR="00004078">
        <w:rPr>
          <w:rFonts w:ascii="Times New Roman" w:hAnsi="Times New Roman" w:cs="Times New Roman"/>
        </w:rPr>
        <w:t>a</w:t>
      </w:r>
      <w:r w:rsidR="00AF7930" w:rsidRPr="006527E3">
        <w:rPr>
          <w:rFonts w:ascii="Times New Roman" w:hAnsi="Times New Roman" w:cs="Times New Roman"/>
        </w:rPr>
        <w:t>BMD</w:t>
      </w:r>
      <w:r w:rsidR="00DB7868" w:rsidRPr="006527E3">
        <w:rPr>
          <w:rFonts w:ascii="Times New Roman" w:hAnsi="Times New Roman" w:cs="Times New Roman"/>
        </w:rPr>
        <w:t xml:space="preserve"> was associated with</w:t>
      </w:r>
      <w:r w:rsidR="002833DE">
        <w:rPr>
          <w:rFonts w:ascii="Times New Roman" w:hAnsi="Times New Roman" w:cs="Times New Roman"/>
        </w:rPr>
        <w:t xml:space="preserve"> a 2.6-times (95%CI: 2.0, 3.5) </w:t>
      </w:r>
      <w:r w:rsidRPr="006527E3">
        <w:rPr>
          <w:rFonts w:ascii="Times New Roman" w:hAnsi="Times New Roman" w:cs="Times New Roman"/>
        </w:rPr>
        <w:t>hip fracture risk</w:t>
      </w:r>
      <w:r w:rsidR="00DB7868" w:rsidRPr="006527E3">
        <w:rPr>
          <w:rFonts w:ascii="Times New Roman" w:hAnsi="Times New Roman" w:cs="Times New Roman"/>
        </w:rPr>
        <w:t xml:space="preserve">. </w:t>
      </w:r>
      <w:r w:rsidR="00C65660">
        <w:rPr>
          <w:rFonts w:ascii="Times New Roman" w:hAnsi="Times New Roman" w:cs="Times New Roman"/>
        </w:rPr>
        <w:t xml:space="preserve">In the present study, although the point estimate for the HR/SD for </w:t>
      </w:r>
      <w:r w:rsidR="00004078">
        <w:rPr>
          <w:rFonts w:ascii="Times New Roman" w:hAnsi="Times New Roman" w:cs="Times New Roman"/>
        </w:rPr>
        <w:t>a</w:t>
      </w:r>
      <w:r w:rsidR="00304457" w:rsidRPr="006527E3">
        <w:rPr>
          <w:rFonts w:ascii="Times New Roman" w:hAnsi="Times New Roman" w:cs="Times New Roman"/>
        </w:rPr>
        <w:t>BMD</w:t>
      </w:r>
      <w:r w:rsidR="00C65660">
        <w:rPr>
          <w:rFonts w:ascii="Times New Roman" w:hAnsi="Times New Roman" w:cs="Times New Roman"/>
        </w:rPr>
        <w:t xml:space="preserve"> was greater than that for </w:t>
      </w:r>
      <w:r w:rsidR="00304457" w:rsidRPr="006527E3">
        <w:rPr>
          <w:rFonts w:ascii="Times New Roman" w:hAnsi="Times New Roman" w:cs="Times New Roman"/>
        </w:rPr>
        <w:t xml:space="preserve">BMC at the femoral neck </w:t>
      </w:r>
      <w:r w:rsidR="00C65660">
        <w:rPr>
          <w:rFonts w:ascii="Times New Roman" w:hAnsi="Times New Roman" w:cs="Times New Roman"/>
        </w:rPr>
        <w:t>in the prediction of</w:t>
      </w:r>
      <w:r w:rsidR="00304457" w:rsidRPr="006527E3">
        <w:rPr>
          <w:rFonts w:ascii="Times New Roman" w:hAnsi="Times New Roman" w:cs="Times New Roman"/>
        </w:rPr>
        <w:t xml:space="preserve"> fragility fracture</w:t>
      </w:r>
      <w:r w:rsidR="00C65660">
        <w:rPr>
          <w:rFonts w:ascii="Times New Roman" w:hAnsi="Times New Roman" w:cs="Times New Roman"/>
        </w:rPr>
        <w:t xml:space="preserve">s, the 95% confidence intervals overlapped to the extent that </w:t>
      </w:r>
      <w:r w:rsidR="000D1ECB">
        <w:rPr>
          <w:rFonts w:ascii="Times New Roman" w:hAnsi="Times New Roman" w:cs="Times New Roman"/>
        </w:rPr>
        <w:t>similarity</w:t>
      </w:r>
      <w:r w:rsidR="00C65660">
        <w:rPr>
          <w:rFonts w:ascii="Times New Roman" w:hAnsi="Times New Roman" w:cs="Times New Roman"/>
        </w:rPr>
        <w:t xml:space="preserve"> remains possible; </w:t>
      </w:r>
      <w:r w:rsidR="00304457" w:rsidRPr="006527E3">
        <w:rPr>
          <w:rFonts w:ascii="Times New Roman" w:hAnsi="Times New Roman" w:cs="Times New Roman"/>
        </w:rPr>
        <w:t>the</w:t>
      </w:r>
      <w:r w:rsidR="00DB7868" w:rsidRPr="006527E3">
        <w:rPr>
          <w:rFonts w:ascii="Times New Roman" w:hAnsi="Times New Roman" w:cs="Times New Roman"/>
        </w:rPr>
        <w:t xml:space="preserve"> effect sizes </w:t>
      </w:r>
      <w:r w:rsidR="00304457" w:rsidRPr="006527E3">
        <w:rPr>
          <w:rFonts w:ascii="Times New Roman" w:hAnsi="Times New Roman" w:cs="Times New Roman"/>
        </w:rPr>
        <w:t>at the femoral neck were rather similar when using all inc</w:t>
      </w:r>
      <w:r w:rsidR="007B2C4A" w:rsidRPr="006527E3">
        <w:rPr>
          <w:rFonts w:ascii="Times New Roman" w:hAnsi="Times New Roman" w:cs="Times New Roman"/>
        </w:rPr>
        <w:t xml:space="preserve">ident fractures as the outcome </w:t>
      </w:r>
      <w:r w:rsidR="00A96A17" w:rsidRPr="006527E3">
        <w:rPr>
          <w:rFonts w:ascii="Times New Roman" w:hAnsi="Times New Roman" w:cs="Times New Roman"/>
        </w:rPr>
        <w:t>(1.76 vs 1.64</w:t>
      </w:r>
      <w:r w:rsidR="007B2C4A" w:rsidRPr="006527E3">
        <w:rPr>
          <w:rFonts w:ascii="Times New Roman" w:hAnsi="Times New Roman" w:cs="Times New Roman"/>
        </w:rPr>
        <w:t xml:space="preserve"> respectively</w:t>
      </w:r>
      <w:r w:rsidR="00A96A17" w:rsidRPr="006527E3">
        <w:rPr>
          <w:rFonts w:ascii="Times New Roman" w:hAnsi="Times New Roman" w:cs="Times New Roman"/>
        </w:rPr>
        <w:t>)</w:t>
      </w:r>
      <w:r w:rsidR="00304457" w:rsidRPr="006527E3">
        <w:rPr>
          <w:rFonts w:ascii="Times New Roman" w:hAnsi="Times New Roman" w:cs="Times New Roman"/>
        </w:rPr>
        <w:t>. A</w:t>
      </w:r>
      <w:r w:rsidR="00D95CD6">
        <w:rPr>
          <w:rFonts w:ascii="Times New Roman" w:hAnsi="Times New Roman" w:cs="Times New Roman"/>
        </w:rPr>
        <w:t>n</w:t>
      </w:r>
      <w:r w:rsidR="00304457" w:rsidRPr="006527E3">
        <w:rPr>
          <w:rFonts w:ascii="Times New Roman" w:hAnsi="Times New Roman" w:cs="Times New Roman"/>
        </w:rPr>
        <w:t xml:space="preserve"> </w:t>
      </w:r>
      <w:r w:rsidR="0058286D" w:rsidRPr="006527E3">
        <w:rPr>
          <w:rFonts w:ascii="Times New Roman" w:hAnsi="Times New Roman" w:cs="Times New Roman"/>
        </w:rPr>
        <w:t>analogous</w:t>
      </w:r>
      <w:r w:rsidR="00304457" w:rsidRPr="006527E3">
        <w:rPr>
          <w:rFonts w:ascii="Times New Roman" w:hAnsi="Times New Roman" w:cs="Times New Roman"/>
        </w:rPr>
        <w:t xml:space="preserve"> pattern of similarity between </w:t>
      </w:r>
      <w:r w:rsidR="00DB7868" w:rsidRPr="006527E3">
        <w:rPr>
          <w:rFonts w:ascii="Times New Roman" w:hAnsi="Times New Roman" w:cs="Times New Roman"/>
        </w:rPr>
        <w:t>HR/SD</w:t>
      </w:r>
      <w:r w:rsidR="00304457" w:rsidRPr="006527E3">
        <w:rPr>
          <w:rFonts w:ascii="Times New Roman" w:hAnsi="Times New Roman" w:cs="Times New Roman"/>
        </w:rPr>
        <w:t xml:space="preserve"> for </w:t>
      </w:r>
      <w:r w:rsidR="00004078" w:rsidRPr="00640F29">
        <w:rPr>
          <w:rFonts w:ascii="Times New Roman" w:hAnsi="Times New Roman" w:cs="Times New Roman"/>
        </w:rPr>
        <w:t>a</w:t>
      </w:r>
      <w:r w:rsidR="00304457" w:rsidRPr="00640F29">
        <w:rPr>
          <w:rFonts w:ascii="Times New Roman" w:hAnsi="Times New Roman" w:cs="Times New Roman"/>
        </w:rPr>
        <w:t>BM</w:t>
      </w:r>
      <w:r w:rsidR="007B2C4A" w:rsidRPr="00640F29">
        <w:rPr>
          <w:rFonts w:ascii="Times New Roman" w:hAnsi="Times New Roman" w:cs="Times New Roman"/>
        </w:rPr>
        <w:t>D</w:t>
      </w:r>
      <w:r w:rsidR="00304457" w:rsidRPr="00640F29">
        <w:rPr>
          <w:rFonts w:ascii="Times New Roman" w:hAnsi="Times New Roman" w:cs="Times New Roman"/>
        </w:rPr>
        <w:t xml:space="preserve"> and BM</w:t>
      </w:r>
      <w:r w:rsidR="007B2C4A" w:rsidRPr="00640F29">
        <w:rPr>
          <w:rFonts w:ascii="Times New Roman" w:hAnsi="Times New Roman" w:cs="Times New Roman"/>
        </w:rPr>
        <w:t>C</w:t>
      </w:r>
      <w:r w:rsidR="00304457" w:rsidRPr="00640F29">
        <w:rPr>
          <w:rFonts w:ascii="Times New Roman" w:hAnsi="Times New Roman" w:cs="Times New Roman"/>
        </w:rPr>
        <w:t xml:space="preserve"> predicting all fractures was observed at both lumbar spine and whole body sites</w:t>
      </w:r>
      <w:r w:rsidR="00A96A17" w:rsidRPr="00640F29">
        <w:rPr>
          <w:rFonts w:ascii="Times New Roman" w:hAnsi="Times New Roman" w:cs="Times New Roman"/>
        </w:rPr>
        <w:t xml:space="preserve"> (ranging from 1.61 to 1.76)</w:t>
      </w:r>
      <w:r w:rsidR="00304457" w:rsidRPr="00640F29">
        <w:rPr>
          <w:rFonts w:ascii="Times New Roman" w:hAnsi="Times New Roman" w:cs="Times New Roman"/>
        </w:rPr>
        <w:t xml:space="preserve">, </w:t>
      </w:r>
      <w:r w:rsidR="007B2C4A" w:rsidRPr="00640F29">
        <w:rPr>
          <w:rFonts w:ascii="Times New Roman" w:hAnsi="Times New Roman" w:cs="Times New Roman"/>
        </w:rPr>
        <w:t>and</w:t>
      </w:r>
      <w:r w:rsidR="00304457" w:rsidRPr="00640F29">
        <w:rPr>
          <w:rFonts w:ascii="Times New Roman" w:hAnsi="Times New Roman" w:cs="Times New Roman"/>
        </w:rPr>
        <w:t xml:space="preserve"> with the </w:t>
      </w:r>
      <w:r w:rsidR="00053D5A" w:rsidRPr="00640F29">
        <w:rPr>
          <w:rFonts w:ascii="Times New Roman" w:hAnsi="Times New Roman" w:cs="Times New Roman"/>
        </w:rPr>
        <w:t xml:space="preserve">marginally </w:t>
      </w:r>
      <w:r w:rsidR="00304457" w:rsidRPr="00640F29">
        <w:rPr>
          <w:rFonts w:ascii="Times New Roman" w:hAnsi="Times New Roman" w:cs="Times New Roman"/>
        </w:rPr>
        <w:t xml:space="preserve">greater magnitude of the </w:t>
      </w:r>
      <w:r w:rsidR="00DB7868" w:rsidRPr="00640F29">
        <w:rPr>
          <w:rFonts w:ascii="Times New Roman" w:hAnsi="Times New Roman" w:cs="Times New Roman"/>
        </w:rPr>
        <w:t>HR/SD</w:t>
      </w:r>
      <w:r w:rsidR="00304457" w:rsidRPr="00640F29">
        <w:rPr>
          <w:rFonts w:ascii="Times New Roman" w:hAnsi="Times New Roman" w:cs="Times New Roman"/>
        </w:rPr>
        <w:t xml:space="preserve"> for </w:t>
      </w:r>
      <w:r w:rsidR="00004078" w:rsidRPr="00640F29">
        <w:rPr>
          <w:rFonts w:ascii="Times New Roman" w:hAnsi="Times New Roman" w:cs="Times New Roman"/>
        </w:rPr>
        <w:t>a</w:t>
      </w:r>
      <w:r w:rsidR="00304457" w:rsidRPr="00640F29">
        <w:rPr>
          <w:rFonts w:ascii="Times New Roman" w:hAnsi="Times New Roman" w:cs="Times New Roman"/>
        </w:rPr>
        <w:t>BMD than BMC</w:t>
      </w:r>
      <w:r w:rsidR="00053D5A" w:rsidRPr="00640F29">
        <w:rPr>
          <w:rFonts w:ascii="Times New Roman" w:hAnsi="Times New Roman" w:cs="Times New Roman"/>
        </w:rPr>
        <w:t xml:space="preserve"> </w:t>
      </w:r>
      <w:r w:rsidR="00304457" w:rsidRPr="00640F29">
        <w:rPr>
          <w:rFonts w:ascii="Times New Roman" w:hAnsi="Times New Roman" w:cs="Times New Roman"/>
        </w:rPr>
        <w:t>much less marked for these sites with fragility fracture as the outcome</w:t>
      </w:r>
      <w:r w:rsidR="00053D5A" w:rsidRPr="00640F29">
        <w:rPr>
          <w:rFonts w:ascii="Times New Roman" w:hAnsi="Times New Roman" w:cs="Times New Roman"/>
        </w:rPr>
        <w:t>, and again largely overlapping confidence intervals regardless of fracture outcome studied.</w:t>
      </w:r>
      <w:r w:rsidR="00304457" w:rsidRPr="00640F29">
        <w:rPr>
          <w:rFonts w:ascii="Times New Roman" w:hAnsi="Times New Roman" w:cs="Times New Roman"/>
        </w:rPr>
        <w:t xml:space="preserve"> </w:t>
      </w:r>
      <w:r w:rsidR="00103BBC">
        <w:rPr>
          <w:rFonts w:ascii="Times New Roman" w:hAnsi="Times New Roman" w:cs="Times New Roman"/>
        </w:rPr>
        <w:t>Overall</w:t>
      </w:r>
      <w:r w:rsidR="00640F29" w:rsidRPr="00640F29">
        <w:rPr>
          <w:rFonts w:ascii="Times New Roman" w:hAnsi="Times New Roman" w:cs="Times New Roman"/>
          <w:lang w:val="en-US"/>
        </w:rPr>
        <w:t>, although both total BMC and aBMD have predictive value, our findings support the international consensus that aBMD at the femoral neck is the preferred reference standard site for osteoporosis risk stratification</w:t>
      </w:r>
      <w:r w:rsidR="00640F29" w:rsidRPr="00640F29">
        <w:rPr>
          <w:rFonts w:ascii="Times New Roman" w:hAnsi="Times New Roman" w:cs="Times New Roman"/>
          <w:lang w:val="en-US"/>
        </w:rPr>
        <w:fldChar w:fldCharType="begin">
          <w:fldData xml:space="preserve">PEVuZE5vdGU+PENpdGU+PEF1dGhvcj5LYW5pczwvQXV0aG9yPjxZZWFyPjIwMTM8L1llYXI+PFJl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</w:fldData>
        </w:fldChar>
      </w:r>
      <w:r w:rsidR="00E52E53">
        <w:rPr>
          <w:rFonts w:ascii="Times New Roman" w:hAnsi="Times New Roman" w:cs="Times New Roman"/>
          <w:lang w:val="en-US"/>
        </w:rPr>
        <w:instrText xml:space="preserve"> ADDIN EN.CITE </w:instrText>
      </w:r>
      <w:r w:rsidR="00E52E53">
        <w:rPr>
          <w:rFonts w:ascii="Times New Roman" w:hAnsi="Times New Roman" w:cs="Times New Roman"/>
          <w:lang w:val="en-US"/>
        </w:rPr>
        <w:fldChar w:fldCharType="begin">
          <w:fldData xml:space="preserve">PEVuZE5vdGU+PENpdGU+PEF1dGhvcj5LYW5pczwvQXV0aG9yPjxZZWFyPjIwMTM8L1llYXI+PFJl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</w:fldData>
        </w:fldChar>
      </w:r>
      <w:r w:rsidR="00E52E53">
        <w:rPr>
          <w:rFonts w:ascii="Times New Roman" w:hAnsi="Times New Roman" w:cs="Times New Roman"/>
          <w:lang w:val="en-US"/>
        </w:rPr>
        <w:instrText xml:space="preserve"> ADDIN EN.CITE.DATA </w:instrText>
      </w:r>
      <w:r w:rsidR="00E52E53">
        <w:rPr>
          <w:rFonts w:ascii="Times New Roman" w:hAnsi="Times New Roman" w:cs="Times New Roman"/>
          <w:lang w:val="en-US"/>
        </w:rPr>
      </w:r>
      <w:r w:rsidR="00E52E53">
        <w:rPr>
          <w:rFonts w:ascii="Times New Roman" w:hAnsi="Times New Roman" w:cs="Times New Roman"/>
          <w:lang w:val="en-US"/>
        </w:rPr>
        <w:fldChar w:fldCharType="end"/>
      </w:r>
      <w:r w:rsidR="00640F29" w:rsidRPr="00640F29">
        <w:rPr>
          <w:rFonts w:ascii="Times New Roman" w:hAnsi="Times New Roman" w:cs="Times New Roman"/>
          <w:lang w:val="en-US"/>
        </w:rPr>
      </w:r>
      <w:r w:rsidR="00640F29" w:rsidRPr="00640F29">
        <w:rPr>
          <w:rFonts w:ascii="Times New Roman" w:hAnsi="Times New Roman" w:cs="Times New Roman"/>
          <w:lang w:val="en-US"/>
        </w:rPr>
        <w:fldChar w:fldCharType="separate"/>
      </w:r>
      <w:r w:rsidR="00E52E53">
        <w:rPr>
          <w:rFonts w:ascii="Times New Roman" w:hAnsi="Times New Roman" w:cs="Times New Roman"/>
          <w:noProof/>
          <w:lang w:val="en-US"/>
        </w:rPr>
        <w:t>[</w:t>
      </w:r>
      <w:hyperlink w:anchor="_ENREF_5" w:tooltip="Kanis, 2013 #6815" w:history="1">
        <w:r w:rsidR="00E52E53">
          <w:rPr>
            <w:rFonts w:ascii="Times New Roman" w:hAnsi="Times New Roman" w:cs="Times New Roman"/>
            <w:noProof/>
            <w:lang w:val="en-US"/>
          </w:rPr>
          <w:t>5-8</w:t>
        </w:r>
      </w:hyperlink>
      <w:r w:rsidR="00E52E53">
        <w:rPr>
          <w:rFonts w:ascii="Times New Roman" w:hAnsi="Times New Roman" w:cs="Times New Roman"/>
          <w:noProof/>
          <w:lang w:val="en-US"/>
        </w:rPr>
        <w:t>]</w:t>
      </w:r>
      <w:r w:rsidR="00640F29" w:rsidRPr="00640F29">
        <w:rPr>
          <w:rFonts w:ascii="Times New Roman" w:hAnsi="Times New Roman" w:cs="Times New Roman"/>
          <w:lang w:val="en-US"/>
        </w:rPr>
        <w:fldChar w:fldCharType="end"/>
      </w:r>
      <w:r w:rsidR="00640F29" w:rsidRPr="00640F29">
        <w:rPr>
          <w:rFonts w:ascii="Times New Roman" w:hAnsi="Times New Roman" w:cs="Times New Roman"/>
          <w:lang w:val="en-US"/>
        </w:rPr>
        <w:t>.</w:t>
      </w:r>
      <w:r w:rsidR="00F36F63">
        <w:rPr>
          <w:rFonts w:ascii="Times New Roman" w:hAnsi="Times New Roman" w:cs="Times New Roman"/>
          <w:lang w:val="en-US"/>
        </w:rPr>
        <w:t xml:space="preserve"> However, they also support the notion that associations with BMC, such as those </w:t>
      </w:r>
      <w:r w:rsidR="00F36F63">
        <w:rPr>
          <w:rFonts w:ascii="Times New Roman" w:hAnsi="Times New Roman" w:cs="Times New Roman"/>
          <w:lang w:val="en-US"/>
        </w:rPr>
        <w:lastRenderedPageBreak/>
        <w:t>documented between early growth and adult bone mass, are likely to have clinical relevance</w:t>
      </w:r>
      <w:r w:rsidR="00A80B3B">
        <w:rPr>
          <w:rFonts w:ascii="Times New Roman" w:hAnsi="Times New Roman" w:cs="Times New Roman"/>
          <w:lang w:val="en-US"/>
        </w:rPr>
        <w:fldChar w:fldCharType="begin">
          <w:fldData xml:space="preserve">PEVuZE5vdGU+PENpdGU+PEF1dGhvcj5CYWlyZDwvQXV0aG9yPjxZZWFyPjIwMTE8L1llYXI+PFJl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</w:fldData>
        </w:fldChar>
      </w:r>
      <w:r w:rsidR="00E52E53">
        <w:rPr>
          <w:rFonts w:ascii="Times New Roman" w:hAnsi="Times New Roman" w:cs="Times New Roman"/>
          <w:lang w:val="en-US"/>
        </w:rPr>
        <w:instrText xml:space="preserve"> ADDIN EN.CITE </w:instrText>
      </w:r>
      <w:r w:rsidR="00E52E53">
        <w:rPr>
          <w:rFonts w:ascii="Times New Roman" w:hAnsi="Times New Roman" w:cs="Times New Roman"/>
          <w:lang w:val="en-US"/>
        </w:rPr>
        <w:fldChar w:fldCharType="begin">
          <w:fldData xml:space="preserve">PEVuZE5vdGU+PENpdGU+PEF1dGhvcj5CYWlyZDwvQXV0aG9yPjxZZWFyPjIwMTE8L1llYXI+PFJl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</w:fldData>
        </w:fldChar>
      </w:r>
      <w:r w:rsidR="00E52E53">
        <w:rPr>
          <w:rFonts w:ascii="Times New Roman" w:hAnsi="Times New Roman" w:cs="Times New Roman"/>
          <w:lang w:val="en-US"/>
        </w:rPr>
        <w:instrText xml:space="preserve"> ADDIN EN.CITE.DATA </w:instrText>
      </w:r>
      <w:r w:rsidR="00E52E53">
        <w:rPr>
          <w:rFonts w:ascii="Times New Roman" w:hAnsi="Times New Roman" w:cs="Times New Roman"/>
          <w:lang w:val="en-US"/>
        </w:rPr>
      </w:r>
      <w:r w:rsidR="00E52E53">
        <w:rPr>
          <w:rFonts w:ascii="Times New Roman" w:hAnsi="Times New Roman" w:cs="Times New Roman"/>
          <w:lang w:val="en-US"/>
        </w:rPr>
        <w:fldChar w:fldCharType="end"/>
      </w:r>
      <w:r w:rsidR="00A80B3B">
        <w:rPr>
          <w:rFonts w:ascii="Times New Roman" w:hAnsi="Times New Roman" w:cs="Times New Roman"/>
          <w:lang w:val="en-US"/>
        </w:rPr>
      </w:r>
      <w:r w:rsidR="00A80B3B">
        <w:rPr>
          <w:rFonts w:ascii="Times New Roman" w:hAnsi="Times New Roman" w:cs="Times New Roman"/>
          <w:lang w:val="en-US"/>
        </w:rPr>
        <w:fldChar w:fldCharType="separate"/>
      </w:r>
      <w:r w:rsidR="00E52E53">
        <w:rPr>
          <w:rFonts w:ascii="Times New Roman" w:hAnsi="Times New Roman" w:cs="Times New Roman"/>
          <w:noProof/>
          <w:lang w:val="en-US"/>
        </w:rPr>
        <w:t>[</w:t>
      </w:r>
      <w:hyperlink w:anchor="_ENREF_9" w:tooltip="Baird, 2011 #7214" w:history="1">
        <w:r w:rsidR="00E52E53">
          <w:rPr>
            <w:rFonts w:ascii="Times New Roman" w:hAnsi="Times New Roman" w:cs="Times New Roman"/>
            <w:noProof/>
            <w:lang w:val="en-US"/>
          </w:rPr>
          <w:t>9</w:t>
        </w:r>
      </w:hyperlink>
      <w:r w:rsidR="00E52E53">
        <w:rPr>
          <w:rFonts w:ascii="Times New Roman" w:hAnsi="Times New Roman" w:cs="Times New Roman"/>
          <w:noProof/>
          <w:lang w:val="en-US"/>
        </w:rPr>
        <w:t>,</w:t>
      </w:r>
      <w:hyperlink w:anchor="_ENREF_10" w:tooltip="Harvey, 2014 #6674" w:history="1">
        <w:r w:rsidR="00E52E53">
          <w:rPr>
            <w:rFonts w:ascii="Times New Roman" w:hAnsi="Times New Roman" w:cs="Times New Roman"/>
            <w:noProof/>
            <w:lang w:val="en-US"/>
          </w:rPr>
          <w:t>10</w:t>
        </w:r>
      </w:hyperlink>
      <w:r w:rsidR="00E52E53">
        <w:rPr>
          <w:rFonts w:ascii="Times New Roman" w:hAnsi="Times New Roman" w:cs="Times New Roman"/>
          <w:noProof/>
          <w:lang w:val="en-US"/>
        </w:rPr>
        <w:t>]</w:t>
      </w:r>
      <w:r w:rsidR="00A80B3B">
        <w:rPr>
          <w:rFonts w:ascii="Times New Roman" w:hAnsi="Times New Roman" w:cs="Times New Roman"/>
          <w:lang w:val="en-US"/>
        </w:rPr>
        <w:fldChar w:fldCharType="end"/>
      </w:r>
      <w:r w:rsidR="00F36F63">
        <w:rPr>
          <w:rFonts w:ascii="Times New Roman" w:hAnsi="Times New Roman" w:cs="Times New Roman"/>
          <w:lang w:val="en-US"/>
        </w:rPr>
        <w:t>.</w:t>
      </w:r>
      <w:r w:rsidR="00640F29" w:rsidRPr="00640F29">
        <w:rPr>
          <w:rFonts w:ascii="Times New Roman" w:hAnsi="Times New Roman" w:cs="Times New Roman"/>
          <w:lang w:val="en-US"/>
        </w:rPr>
        <w:t xml:space="preserve"> </w:t>
      </w:r>
      <w:r w:rsidR="005C49AA" w:rsidRPr="00640F29">
        <w:rPr>
          <w:rFonts w:ascii="Times New Roman" w:hAnsi="Times New Roman" w:cs="Times New Roman"/>
        </w:rPr>
        <w:t xml:space="preserve">It is interesting that the predictive value of BA was substantially less than that of BMC or aBMD, given that BMC partially depends on bone size. Importantly, </w:t>
      </w:r>
      <w:r w:rsidR="0049294D" w:rsidRPr="00640F29">
        <w:rPr>
          <w:rFonts w:ascii="Times New Roman" w:hAnsi="Times New Roman" w:cs="Times New Roman"/>
        </w:rPr>
        <w:t xml:space="preserve">DXA </w:t>
      </w:r>
      <w:r w:rsidR="005C49AA" w:rsidRPr="00640F29">
        <w:rPr>
          <w:rFonts w:ascii="Times New Roman" w:hAnsi="Times New Roman" w:cs="Times New Roman"/>
        </w:rPr>
        <w:t xml:space="preserve">BA has contributions from bone width and length, but </w:t>
      </w:r>
      <w:r w:rsidR="0049294D" w:rsidRPr="00640F29">
        <w:rPr>
          <w:rFonts w:ascii="Times New Roman" w:hAnsi="Times New Roman" w:cs="Times New Roman"/>
        </w:rPr>
        <w:t xml:space="preserve">in reality </w:t>
      </w:r>
      <w:r w:rsidR="005C49AA" w:rsidRPr="00640F29">
        <w:rPr>
          <w:rFonts w:ascii="Times New Roman" w:hAnsi="Times New Roman" w:cs="Times New Roman"/>
        </w:rPr>
        <w:t xml:space="preserve">mineral is distributed over length, breadth and depth. </w:t>
      </w:r>
      <w:r w:rsidR="00F96F45" w:rsidRPr="00640F29">
        <w:rPr>
          <w:rFonts w:ascii="Times New Roman" w:hAnsi="Times New Roman" w:cs="Times New Roman"/>
        </w:rPr>
        <w:t xml:space="preserve">Indeed studies using </w:t>
      </w:r>
      <w:r w:rsidR="00324B6B">
        <w:rPr>
          <w:rFonts w:ascii="Times New Roman" w:hAnsi="Times New Roman" w:cs="Times New Roman"/>
        </w:rPr>
        <w:t>Q</w:t>
      </w:r>
      <w:r w:rsidR="00DD21E6">
        <w:rPr>
          <w:rFonts w:ascii="Times New Roman" w:hAnsi="Times New Roman" w:cs="Times New Roman"/>
        </w:rPr>
        <w:t>CT</w:t>
      </w:r>
      <w:r w:rsidR="00324B6B">
        <w:rPr>
          <w:rFonts w:ascii="Times New Roman" w:hAnsi="Times New Roman" w:cs="Times New Roman"/>
        </w:rPr>
        <w:t xml:space="preserve"> have demonstrated that cortical cross-sectional area at the femoral neck is lower in hip fracture patients than in non-fracture controls</w:t>
      </w:r>
      <w:r w:rsidR="00E40AD0">
        <w:rPr>
          <w:rFonts w:ascii="Times New Roman" w:hAnsi="Times New Roman" w:cs="Times New Roman"/>
        </w:rPr>
        <w:fldChar w:fldCharType="begin"/>
      </w:r>
      <w:r w:rsidR="00E52E53">
        <w:rPr>
          <w:rFonts w:ascii="Times New Roman" w:hAnsi="Times New Roman" w:cs="Times New Roman"/>
        </w:rPr>
        <w:instrText xml:space="preserve"> ADDIN EN.CITE &lt;EndNote&gt;&lt;Cite&gt;&lt;Author&gt;Museyko&lt;/Author&gt;&lt;Year&gt;2016&lt;/Year&gt;&lt;RecNum&gt;7300&lt;/RecNum&gt;&lt;DisplayText&gt;[11]&lt;/DisplayText&gt;&lt;record&gt;&lt;rec-number&gt;7300&lt;/rec-number&gt;&lt;foreign-keys&gt;&lt;key app="EN" db-id="p0w2r505hvs222essdtvfrfxer9w0spesp9e"&gt;7300&lt;/key&gt;&lt;/foreign-keys&gt;&lt;ref-type name="Journal Article"&gt;17&lt;/ref-type&gt;&lt;contributors&gt;&lt;authors&gt;&lt;author&gt;Museyko, O.&lt;/author&gt;&lt;author&gt;Bousson, V.&lt;/author&gt;&lt;author&gt;Adams, J.&lt;/author&gt;&lt;author&gt;Laredo, J. D.&lt;/author&gt;&lt;author&gt;Engelke, K.&lt;/author&gt;&lt;/authors&gt;&lt;/contributors&gt;&lt;auth-address&gt;Institute of Medical Physics (IMP), University of Erlangen, Henkestr. 91, 91052, Erlangen, Germany. oleg.museyko@imp.uni-erlangen.de.&amp;#xD;Service de Radiologie OsteoArticulaire, Hopital Lariboisiere, Paris, France.&amp;#xD;Clinical Radiology, The Royal Infirmary, University of Manchester, Manchester, UK.&amp;#xD;Institute of Medical Physics (IMP), University of Erlangen, Henkestr. 91, 91052, Erlangen, Germany.&lt;/auth-address&gt;&lt;titles&gt;&lt;title&gt;QCT of the proximal femur--which parameters should be measured to discriminate hip fracture?&lt;/title&gt;&lt;secondary-title&gt;Osteoporos Int&lt;/secondary-title&gt;&lt;alt-title&gt;Osteoporosis international : a journal established as result of cooperation between the European Foundation for Osteoporosis and the National Osteoporosis Foundation of the USA&lt;/alt-title&gt;&lt;/titles&gt;&lt;periodical&gt;&lt;full-title&gt;Osteoporos Int&lt;/full-title&gt;&lt;/periodical&gt;&lt;pages&gt;1137-47&lt;/pages&gt;&lt;volume&gt;27&lt;/volume&gt;&lt;number&gt;3&lt;/number&gt;&lt;edition&gt;2015/09/30&lt;/edition&gt;&lt;keywords&gt;&lt;keyword&gt;Bmd&lt;/keyword&gt;&lt;keyword&gt;Cortical bone&lt;/keyword&gt;&lt;keyword&gt;Femur neck geometry&lt;/keyword&gt;&lt;keyword&gt;Hip fracture discrimination&lt;/keyword&gt;&lt;keyword&gt;Qct&lt;/keyword&gt;&lt;/keywords&gt;&lt;dates&gt;&lt;year&gt;2016&lt;/year&gt;&lt;pub-dates&gt;&lt;date&gt;Mar&lt;/date&gt;&lt;/pub-dates&gt;&lt;/dates&gt;&lt;isbn&gt;0937-941x&lt;/isbn&gt;&lt;accession-num&gt;26415934&lt;/accession-num&gt;&lt;urls&gt;&lt;/urls&gt;&lt;electronic-resource-num&gt;10.1007/s00198-015-3324-6&lt;/electronic-resource-num&gt;&lt;remote-database-provider&gt;NLM&lt;/remote-database-provider&gt;&lt;language&gt;eng&lt;/language&gt;&lt;/record&gt;&lt;/Cite&gt;&lt;/EndNote&gt;</w:instrText>
      </w:r>
      <w:r w:rsidR="00E40AD0">
        <w:rPr>
          <w:rFonts w:ascii="Times New Roman" w:hAnsi="Times New Roman" w:cs="Times New Roman"/>
        </w:rPr>
        <w:fldChar w:fldCharType="separate"/>
      </w:r>
      <w:r w:rsidR="00E52E53">
        <w:rPr>
          <w:rFonts w:ascii="Times New Roman" w:hAnsi="Times New Roman" w:cs="Times New Roman"/>
          <w:noProof/>
        </w:rPr>
        <w:t>[</w:t>
      </w:r>
      <w:hyperlink w:anchor="_ENREF_11" w:tooltip="Museyko, 2016 #7300" w:history="1">
        <w:r w:rsidR="00E52E53">
          <w:rPr>
            <w:rFonts w:ascii="Times New Roman" w:hAnsi="Times New Roman" w:cs="Times New Roman"/>
            <w:noProof/>
          </w:rPr>
          <w:t>11</w:t>
        </w:r>
      </w:hyperlink>
      <w:r w:rsidR="00E52E53">
        <w:rPr>
          <w:rFonts w:ascii="Times New Roman" w:hAnsi="Times New Roman" w:cs="Times New Roman"/>
          <w:noProof/>
        </w:rPr>
        <w:t>]</w:t>
      </w:r>
      <w:r w:rsidR="00E40AD0">
        <w:rPr>
          <w:rFonts w:ascii="Times New Roman" w:hAnsi="Times New Roman" w:cs="Times New Roman"/>
        </w:rPr>
        <w:fldChar w:fldCharType="end"/>
      </w:r>
      <w:r w:rsidR="00324B6B">
        <w:rPr>
          <w:rFonts w:ascii="Times New Roman" w:hAnsi="Times New Roman" w:cs="Times New Roman"/>
        </w:rPr>
        <w:t>, and that tibial and radial cross-sectional area are predictive of incident fracture</w:t>
      </w:r>
      <w:r w:rsidR="00E40AD0">
        <w:rPr>
          <w:rFonts w:ascii="Times New Roman" w:hAnsi="Times New Roman" w:cs="Times New Roman"/>
        </w:rPr>
        <w:fldChar w:fldCharType="begin">
          <w:fldData xml:space="preserve">PEVuZE5vdGU+PENpdGU+PEF1dGhvcj5TaGV1PC9BdXRob3I+PFllYXI+MjAxMTwvWWVhcj48UmVj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</w:fldData>
        </w:fldChar>
      </w:r>
      <w:r w:rsidR="00E52E53">
        <w:rPr>
          <w:rFonts w:ascii="Times New Roman" w:hAnsi="Times New Roman" w:cs="Times New Roman"/>
        </w:rPr>
        <w:instrText xml:space="preserve"> ADDIN EN.CITE </w:instrText>
      </w:r>
      <w:r w:rsidR="00E52E53">
        <w:rPr>
          <w:rFonts w:ascii="Times New Roman" w:hAnsi="Times New Roman" w:cs="Times New Roman"/>
        </w:rPr>
        <w:fldChar w:fldCharType="begin">
          <w:fldData xml:space="preserve">PEVuZE5vdGU+PENpdGU+PEF1dGhvcj5TaGV1PC9BdXRob3I+PFllYXI+MjAxMTwvWWVhcj48UmVj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</w:fldData>
        </w:fldChar>
      </w:r>
      <w:r w:rsidR="00E52E53">
        <w:rPr>
          <w:rFonts w:ascii="Times New Roman" w:hAnsi="Times New Roman" w:cs="Times New Roman"/>
        </w:rPr>
        <w:instrText xml:space="preserve"> ADDIN EN.CITE.DATA </w:instrText>
      </w:r>
      <w:r w:rsidR="00E52E53">
        <w:rPr>
          <w:rFonts w:ascii="Times New Roman" w:hAnsi="Times New Roman" w:cs="Times New Roman"/>
        </w:rPr>
      </w:r>
      <w:r w:rsidR="00E52E53">
        <w:rPr>
          <w:rFonts w:ascii="Times New Roman" w:hAnsi="Times New Roman" w:cs="Times New Roman"/>
        </w:rPr>
        <w:fldChar w:fldCharType="end"/>
      </w:r>
      <w:r w:rsidR="00E40AD0">
        <w:rPr>
          <w:rFonts w:ascii="Times New Roman" w:hAnsi="Times New Roman" w:cs="Times New Roman"/>
        </w:rPr>
      </w:r>
      <w:r w:rsidR="00E40AD0">
        <w:rPr>
          <w:rFonts w:ascii="Times New Roman" w:hAnsi="Times New Roman" w:cs="Times New Roman"/>
        </w:rPr>
        <w:fldChar w:fldCharType="separate"/>
      </w:r>
      <w:r w:rsidR="00E52E53">
        <w:rPr>
          <w:rFonts w:ascii="Times New Roman" w:hAnsi="Times New Roman" w:cs="Times New Roman"/>
          <w:noProof/>
        </w:rPr>
        <w:t>[</w:t>
      </w:r>
      <w:hyperlink w:anchor="_ENREF_12" w:tooltip="Sheu, 2011 #7299" w:history="1">
        <w:r w:rsidR="00E52E53">
          <w:rPr>
            <w:rFonts w:ascii="Times New Roman" w:hAnsi="Times New Roman" w:cs="Times New Roman"/>
            <w:noProof/>
          </w:rPr>
          <w:t>12</w:t>
        </w:r>
      </w:hyperlink>
      <w:r w:rsidR="00E52E53">
        <w:rPr>
          <w:rFonts w:ascii="Times New Roman" w:hAnsi="Times New Roman" w:cs="Times New Roman"/>
          <w:noProof/>
        </w:rPr>
        <w:t>]</w:t>
      </w:r>
      <w:r w:rsidR="00E40AD0">
        <w:rPr>
          <w:rFonts w:ascii="Times New Roman" w:hAnsi="Times New Roman" w:cs="Times New Roman"/>
        </w:rPr>
        <w:fldChar w:fldCharType="end"/>
      </w:r>
      <w:r w:rsidR="00324B6B">
        <w:rPr>
          <w:rFonts w:ascii="Times New Roman" w:hAnsi="Times New Roman" w:cs="Times New Roman"/>
        </w:rPr>
        <w:t>.</w:t>
      </w:r>
      <w:r w:rsidR="00DD21E6">
        <w:rPr>
          <w:rFonts w:ascii="Times New Roman" w:hAnsi="Times New Roman" w:cs="Times New Roman"/>
        </w:rPr>
        <w:t xml:space="preserve"> </w:t>
      </w:r>
      <w:r w:rsidR="00640F29" w:rsidRPr="00640F29">
        <w:rPr>
          <w:rFonts w:ascii="Times New Roman" w:hAnsi="Times New Roman" w:cs="Times New Roman"/>
        </w:rPr>
        <w:t xml:space="preserve">Importantly with pQCT the measure of cross sectional area includes no contribution from bone length. In contrast bone area </w:t>
      </w:r>
      <w:r w:rsidR="00B07F29">
        <w:rPr>
          <w:rFonts w:ascii="Times New Roman" w:hAnsi="Times New Roman" w:cs="Times New Roman"/>
        </w:rPr>
        <w:t xml:space="preserve">measured by DXA </w:t>
      </w:r>
      <w:r w:rsidR="00640F29" w:rsidRPr="00640F29">
        <w:rPr>
          <w:rFonts w:ascii="Times New Roman" w:hAnsi="Times New Roman" w:cs="Times New Roman"/>
        </w:rPr>
        <w:t xml:space="preserve">depends on both width and length, attributes with likely opposing influences on </w:t>
      </w:r>
      <w:r w:rsidR="00E15E9A">
        <w:rPr>
          <w:rFonts w:ascii="Times New Roman" w:hAnsi="Times New Roman" w:cs="Times New Roman"/>
        </w:rPr>
        <w:t>fracture risk, since greater height leads to greater impact force in a fall</w:t>
      </w:r>
      <w:r w:rsidR="00640F29" w:rsidRPr="00640F29">
        <w:rPr>
          <w:rFonts w:ascii="Times New Roman" w:hAnsi="Times New Roman" w:cs="Times New Roman"/>
        </w:rPr>
        <w:t>.</w:t>
      </w:r>
      <w:r w:rsidR="00F312EB">
        <w:rPr>
          <w:rFonts w:ascii="Times New Roman" w:hAnsi="Times New Roman" w:cs="Times New Roman"/>
        </w:rPr>
        <w:t xml:space="preserve"> Such </w:t>
      </w:r>
      <w:r w:rsidR="008E7268">
        <w:rPr>
          <w:rFonts w:ascii="Times New Roman" w:hAnsi="Times New Roman" w:cs="Times New Roman"/>
        </w:rPr>
        <w:t xml:space="preserve">local </w:t>
      </w:r>
      <w:r w:rsidR="00F312EB">
        <w:rPr>
          <w:rFonts w:ascii="Times New Roman" w:hAnsi="Times New Roman" w:cs="Times New Roman"/>
        </w:rPr>
        <w:t xml:space="preserve">geometric </w:t>
      </w:r>
      <w:r w:rsidR="008E7268">
        <w:rPr>
          <w:rFonts w:ascii="Times New Roman" w:hAnsi="Times New Roman" w:cs="Times New Roman"/>
        </w:rPr>
        <w:t>considerations</w:t>
      </w:r>
      <w:r w:rsidR="00F312EB">
        <w:rPr>
          <w:rFonts w:ascii="Times New Roman" w:hAnsi="Times New Roman" w:cs="Times New Roman"/>
        </w:rPr>
        <w:t>, coupled with the skeleton’s adaption of size and shape to the increased loads imposed on it by a larger body size</w:t>
      </w:r>
      <w:r w:rsidR="004D2B80">
        <w:rPr>
          <w:rFonts w:ascii="Times New Roman" w:hAnsi="Times New Roman" w:cs="Times New Roman"/>
        </w:rPr>
        <w:fldChar w:fldCharType="begin"/>
      </w:r>
      <w:r w:rsidR="00E52E53">
        <w:rPr>
          <w:rFonts w:ascii="Times New Roman" w:hAnsi="Times New Roman" w:cs="Times New Roman"/>
        </w:rPr>
        <w:instrText xml:space="preserve"> ADDIN EN.CITE &lt;EndNote&gt;&lt;Cite&gt;&lt;Author&gt;Seeman&lt;/Author&gt;&lt;Year&gt;2008&lt;/Year&gt;&lt;RecNum&gt;6621&lt;/RecNum&gt;&lt;DisplayText&gt;[13]&lt;/DisplayText&gt;&lt;record&gt;&lt;rec-number&gt;6621&lt;/rec-number&gt;&lt;foreign-keys&gt;&lt;key app="EN" db-id="p0w2r505hvs222essdtvfrfxer9w0spesp9e"&gt;6621&lt;/key&gt;&lt;/foreign-keys&gt;&lt;ref-type name="Journal Article"&gt;17&lt;/ref-type&gt;&lt;contributors&gt;&lt;authors&gt;&lt;author&gt;Seeman, E.&lt;/author&gt;&lt;/authors&gt;&lt;/contributors&gt;&lt;auth-address&gt;Department of Endocrinology and Medicine, Austin Health, University ofMelbourne, Melbourne, Australia. egos@unimelb.edu.au&lt;/auth-address&gt;&lt;titles&gt;&lt;title&gt;Structural basis of growth-related gain and age-related loss of bone strength&lt;/title&gt;&lt;secondary-title&gt;Rheumatology (Oxford)&lt;/secondary-title&gt;&lt;alt-title&gt;Rheumatology (Oxford, England)&lt;/alt-title&gt;&lt;/titles&gt;&lt;periodical&gt;&lt;full-title&gt;Rheumatology (Oxford)&lt;/full-title&gt;&lt;/periodical&gt;&lt;pages&gt;iv2-8&lt;/pages&gt;&lt;volume&gt;47 Suppl 4&lt;/volume&gt;&lt;edition&gt;2008/07/02&lt;/edition&gt;&lt;keywords&gt;&lt;keyword&gt;Adolescent&lt;/keyword&gt;&lt;keyword&gt;Adult&lt;/keyword&gt;&lt;keyword&gt;Aged&lt;/keyword&gt;&lt;keyword&gt;Bone Density&lt;/keyword&gt;&lt;keyword&gt;Bone Development/ physiology&lt;/keyword&gt;&lt;keyword&gt;Bone Remodeling/physiology&lt;/keyword&gt;&lt;keyword&gt;Bone and Bones/ physiopathology&lt;/keyword&gt;&lt;keyword&gt;Child&lt;/keyword&gt;&lt;keyword&gt;Child, Preschool&lt;/keyword&gt;&lt;keyword&gt;Female&lt;/keyword&gt;&lt;keyword&gt;Humans&lt;/keyword&gt;&lt;keyword&gt;Infant&lt;/keyword&gt;&lt;keyword&gt;Male&lt;/keyword&gt;&lt;keyword&gt;Middle Aged&lt;/keyword&gt;&lt;keyword&gt;Osteoporosis/ physiopathology&lt;/keyword&gt;&lt;keyword&gt;Sex Factors&lt;/keyword&gt;&lt;/keywords&gt;&lt;dates&gt;&lt;year&gt;2008&lt;/year&gt;&lt;pub-dates&gt;&lt;date&gt;Jul&lt;/date&gt;&lt;/pub-dates&gt;&lt;/dates&gt;&lt;isbn&gt;1462-0332 (Electronic)&amp;#xD;1462-0324 (Linking)&lt;/isbn&gt;&lt;accession-num&gt;18556646&lt;/accession-num&gt;&lt;urls&gt;&lt;/urls&gt;&lt;custom2&gt;PMC2427165&lt;/custom2&gt;&lt;electronic-resource-num&gt;10.1093/rheumatology/ken177&lt;/electronic-resource-num&gt;&lt;remote-database-provider&gt;NLM&lt;/remote-database-provider&gt;&lt;language&gt;eng&lt;/language&gt;&lt;/record&gt;&lt;/Cite&gt;&lt;/EndNote&gt;</w:instrText>
      </w:r>
      <w:r w:rsidR="004D2B80">
        <w:rPr>
          <w:rFonts w:ascii="Times New Roman" w:hAnsi="Times New Roman" w:cs="Times New Roman"/>
        </w:rPr>
        <w:fldChar w:fldCharType="separate"/>
      </w:r>
      <w:r w:rsidR="00E52E53">
        <w:rPr>
          <w:rFonts w:ascii="Times New Roman" w:hAnsi="Times New Roman" w:cs="Times New Roman"/>
          <w:noProof/>
        </w:rPr>
        <w:t>[</w:t>
      </w:r>
      <w:hyperlink w:anchor="_ENREF_13" w:tooltip="Seeman, 2008 #6621" w:history="1">
        <w:r w:rsidR="00E52E53">
          <w:rPr>
            <w:rFonts w:ascii="Times New Roman" w:hAnsi="Times New Roman" w:cs="Times New Roman"/>
            <w:noProof/>
          </w:rPr>
          <w:t>13</w:t>
        </w:r>
      </w:hyperlink>
      <w:r w:rsidR="00E52E53">
        <w:rPr>
          <w:rFonts w:ascii="Times New Roman" w:hAnsi="Times New Roman" w:cs="Times New Roman"/>
          <w:noProof/>
        </w:rPr>
        <w:t>]</w:t>
      </w:r>
      <w:r w:rsidR="004D2B80">
        <w:rPr>
          <w:rFonts w:ascii="Times New Roman" w:hAnsi="Times New Roman" w:cs="Times New Roman"/>
        </w:rPr>
        <w:fldChar w:fldCharType="end"/>
      </w:r>
      <w:r w:rsidR="00F312EB">
        <w:rPr>
          <w:rFonts w:ascii="Times New Roman" w:hAnsi="Times New Roman" w:cs="Times New Roman"/>
        </w:rPr>
        <w:t xml:space="preserve">, may </w:t>
      </w:r>
      <w:r w:rsidR="0002763B">
        <w:rPr>
          <w:rFonts w:ascii="Times New Roman" w:hAnsi="Times New Roman" w:cs="Times New Roman"/>
        </w:rPr>
        <w:t>underlie</w:t>
      </w:r>
      <w:r w:rsidR="00F312EB">
        <w:rPr>
          <w:rFonts w:ascii="Times New Roman" w:hAnsi="Times New Roman" w:cs="Times New Roman"/>
        </w:rPr>
        <w:t xml:space="preserve"> the lack of observed associations between BA and incident fracture.</w:t>
      </w:r>
      <w:r w:rsidR="00640F29" w:rsidRPr="00640F29">
        <w:rPr>
          <w:rFonts w:ascii="Times New Roman" w:hAnsi="Times New Roman" w:cs="Times New Roman"/>
        </w:rPr>
        <w:t xml:space="preserve"> </w:t>
      </w:r>
    </w:p>
    <w:p w14:paraId="0CA3941D" w14:textId="2E70951D" w:rsidR="00E52E53" w:rsidRPr="006527E3" w:rsidRDefault="00E52E53" w:rsidP="00E52E53">
      <w:pPr>
        <w:spacing w:after="120" w:line="360" w:lineRule="auto"/>
        <w:jc w:val="both"/>
        <w:rPr>
          <w:rFonts w:ascii="Times New Roman" w:hAnsi="Times New Roman" w:cs="Times New Roman"/>
        </w:rPr>
      </w:pPr>
      <w:r>
        <w:rPr>
          <w:rFonts w:ascii="Times New Roman" w:hAnsi="Times New Roman" w:cs="Times New Roman"/>
        </w:rPr>
        <w:t>We studied a well-</w:t>
      </w:r>
      <w:r w:rsidRPr="006527E3">
        <w:rPr>
          <w:rFonts w:ascii="Times New Roman" w:hAnsi="Times New Roman" w:cs="Times New Roman"/>
        </w:rPr>
        <w:t>characterised cohort with validated fracture ascertainment, but there are several limitations that should be considered in the interpretation of our findings. Firstly, the age distribution of our population was rather older than that of the UK population as a whole, and selection bias towards a higher fracture risk cannot be excluded, reducing the potential generalizability of our findings. Secondly, we were not able to definitively classify fractures as low or high trauma, as we lacked information on fracture causation; instead we used the fracture site to infer fragility, an approach which is well-established in older adults</w:t>
      </w:r>
      <w:r>
        <w:rPr>
          <w:rFonts w:ascii="Times New Roman" w:hAnsi="Times New Roman" w:cs="Times New Roman"/>
        </w:rPr>
        <w:fldChar w:fldCharType="begin"/>
      </w:r>
      <w:r>
        <w:rPr>
          <w:rFonts w:ascii="Times New Roman" w:hAnsi="Times New Roman" w:cs="Times New Roman"/>
        </w:rPr>
        <w:instrText xml:space="preserve"> ADDIN EN.CITE &lt;EndNote&gt;&lt;Cite&gt;&lt;Author&gt;Kanis&lt;/Author&gt;&lt;Year&gt;2007&lt;/Year&gt;&lt;RecNum&gt;7083&lt;/RecNum&gt;&lt;DisplayText&gt;[14]&lt;/DisplayText&gt;&lt;record&gt;&lt;rec-number&gt;7083&lt;/rec-number&gt;&lt;foreign-keys&gt;&lt;key app="EN" db-id="p0w2r505hvs222essdtvfrfxer9w0spesp9e"&gt;7083&lt;/key&gt;&lt;/foreign-keys&gt;&lt;ref-type name="Report"&gt;27&lt;/ref-type&gt;&lt;contributors&gt;&lt;authors&gt;&lt;author&gt;Kanis, J. A.&lt;/author&gt;&lt;/authors&gt;&lt;tertiary-authors&gt;&lt;author&gt;WHO&lt;/author&gt;&lt;/tertiary-authors&gt;&lt;/contributors&gt;&lt;titles&gt;&lt;title&gt;Assessment of osteoporosis at the primary health care level&lt;/title&gt;&lt;secondary-title&gt;WHO Scientific Group Technical Report&lt;/secondary-title&gt;&lt;/titles&gt;&lt;dates&gt;&lt;year&gt;2007&lt;/year&gt;&lt;/dates&gt;&lt;pub-location&gt;Geneva&lt;/pub-location&gt;&lt;publisher&gt;World Health Organization&lt;/publisher&gt;&lt;urls&gt;&lt;/urls&gt;&lt;/record&gt;&lt;/Cite&gt;&lt;/EndNote&gt;</w:instrText>
      </w:r>
      <w:r>
        <w:rPr>
          <w:rFonts w:ascii="Times New Roman" w:hAnsi="Times New Roman" w:cs="Times New Roman"/>
        </w:rPr>
        <w:fldChar w:fldCharType="separate"/>
      </w:r>
      <w:r>
        <w:rPr>
          <w:rFonts w:ascii="Times New Roman" w:hAnsi="Times New Roman" w:cs="Times New Roman"/>
          <w:noProof/>
        </w:rPr>
        <w:t>[</w:t>
      </w:r>
      <w:hyperlink w:anchor="_ENREF_14" w:tooltip="Kanis, 2007 #7083" w:history="1">
        <w:r>
          <w:rPr>
            <w:rFonts w:ascii="Times New Roman" w:hAnsi="Times New Roman" w:cs="Times New Roman"/>
            <w:noProof/>
          </w:rPr>
          <w:t>14</w:t>
        </w:r>
      </w:hyperlink>
      <w:r>
        <w:rPr>
          <w:rFonts w:ascii="Times New Roman" w:hAnsi="Times New Roman" w:cs="Times New Roman"/>
          <w:noProof/>
        </w:rPr>
        <w:t>]</w:t>
      </w:r>
      <w:r>
        <w:rPr>
          <w:rFonts w:ascii="Times New Roman" w:hAnsi="Times New Roman" w:cs="Times New Roman"/>
        </w:rPr>
        <w:fldChar w:fldCharType="end"/>
      </w:r>
      <w:r w:rsidRPr="006527E3">
        <w:rPr>
          <w:rFonts w:ascii="Times New Roman" w:hAnsi="Times New Roman" w:cs="Times New Roman"/>
        </w:rPr>
        <w:t>. Thirdly, we obtained information on como</w:t>
      </w:r>
      <w:r>
        <w:rPr>
          <w:rFonts w:ascii="Times New Roman" w:hAnsi="Times New Roman" w:cs="Times New Roman"/>
        </w:rPr>
        <w:t>r</w:t>
      </w:r>
      <w:r w:rsidRPr="006527E3">
        <w:rPr>
          <w:rFonts w:ascii="Times New Roman" w:hAnsi="Times New Roman" w:cs="Times New Roman"/>
        </w:rPr>
        <w:t xml:space="preserve">bidities directly from participants, which may have led to inaccuracies compared with physician reporting. Overall this is likely to have simply reduced the precision of our results. </w:t>
      </w:r>
      <w:r>
        <w:rPr>
          <w:rFonts w:ascii="Times New Roman" w:hAnsi="Times New Roman" w:cs="Times New Roman"/>
        </w:rPr>
        <w:t xml:space="preserve">Fourthly, our measures of bone area are projectional and so are not necessarily representative of bone strength in physiological cross-section. </w:t>
      </w:r>
      <w:r w:rsidRPr="006527E3">
        <w:rPr>
          <w:rFonts w:ascii="Times New Roman" w:hAnsi="Times New Roman" w:cs="Times New Roman"/>
        </w:rPr>
        <w:t>Finally the DXA scanner used in the study was not able to assess whole body bone area, so this measure could not be included in the analysis.</w:t>
      </w:r>
    </w:p>
    <w:p w14:paraId="79786D1E" w14:textId="1DFFCB4D" w:rsidR="0096424F" w:rsidRPr="006527E3" w:rsidRDefault="00BC7A2F" w:rsidP="006527E3">
      <w:pPr>
        <w:spacing w:after="120" w:line="360" w:lineRule="auto"/>
        <w:jc w:val="both"/>
        <w:rPr>
          <w:rFonts w:ascii="Times New Roman" w:hAnsi="Times New Roman" w:cs="Times New Roman"/>
          <w:lang w:val="en-US"/>
        </w:rPr>
      </w:pPr>
      <w:r w:rsidRPr="006527E3">
        <w:rPr>
          <w:rFonts w:ascii="Times New Roman" w:hAnsi="Times New Roman" w:cs="Times New Roman"/>
          <w:lang w:val="en-US"/>
        </w:rPr>
        <w:t>In conclusion, we have demonstrated, in a prospective cohort, that both BMC and BMD</w:t>
      </w:r>
      <w:r w:rsidR="0000419B">
        <w:rPr>
          <w:rFonts w:ascii="Times New Roman" w:hAnsi="Times New Roman" w:cs="Times New Roman"/>
          <w:lang w:val="en-US"/>
        </w:rPr>
        <w:t>, but not BA,</w:t>
      </w:r>
      <w:r w:rsidRPr="006527E3">
        <w:rPr>
          <w:rFonts w:ascii="Times New Roman" w:hAnsi="Times New Roman" w:cs="Times New Roman"/>
          <w:lang w:val="en-US"/>
        </w:rPr>
        <w:t xml:space="preserve"> at the hip, lumbar spine and whole-body sites are predictive of incident fracture. </w:t>
      </w:r>
      <w:r w:rsidR="00906785" w:rsidRPr="006527E3">
        <w:rPr>
          <w:rFonts w:ascii="Times New Roman" w:hAnsi="Times New Roman" w:cs="Times New Roman"/>
          <w:lang w:val="en-US"/>
        </w:rPr>
        <w:t>Although</w:t>
      </w:r>
      <w:r w:rsidRPr="006527E3">
        <w:rPr>
          <w:rFonts w:ascii="Times New Roman" w:hAnsi="Times New Roman" w:cs="Times New Roman"/>
          <w:lang w:val="en-US"/>
        </w:rPr>
        <w:t xml:space="preserve"> the magnitude of </w:t>
      </w:r>
      <w:r w:rsidR="00DA4978" w:rsidRPr="006527E3">
        <w:rPr>
          <w:rFonts w:ascii="Times New Roman" w:hAnsi="Times New Roman" w:cs="Times New Roman"/>
          <w:lang w:val="en-US"/>
        </w:rPr>
        <w:t>predictive value</w:t>
      </w:r>
      <w:r w:rsidRPr="006527E3">
        <w:rPr>
          <w:rFonts w:ascii="Times New Roman" w:hAnsi="Times New Roman" w:cs="Times New Roman"/>
          <w:lang w:val="en-US"/>
        </w:rPr>
        <w:t xml:space="preserve"> for fragility fracture was greater for femoral neck BMD than BMC</w:t>
      </w:r>
      <w:r w:rsidR="00D20A5E">
        <w:rPr>
          <w:rFonts w:ascii="Times New Roman" w:hAnsi="Times New Roman" w:cs="Times New Roman"/>
          <w:lang w:val="en-US"/>
        </w:rPr>
        <w:t xml:space="preserve"> (albeit with partly overlapping confidence intervals), at all other sites</w:t>
      </w:r>
      <w:r w:rsidRPr="006527E3">
        <w:rPr>
          <w:rFonts w:ascii="Times New Roman" w:hAnsi="Times New Roman" w:cs="Times New Roman"/>
          <w:lang w:val="en-US"/>
        </w:rPr>
        <w:t xml:space="preserve"> the </w:t>
      </w:r>
      <w:r w:rsidR="0039287F">
        <w:rPr>
          <w:rFonts w:ascii="Times New Roman" w:hAnsi="Times New Roman" w:cs="Times New Roman"/>
          <w:lang w:val="en-US"/>
        </w:rPr>
        <w:t>point estimates</w:t>
      </w:r>
      <w:r w:rsidRPr="006527E3">
        <w:rPr>
          <w:rFonts w:ascii="Times New Roman" w:hAnsi="Times New Roman" w:cs="Times New Roman"/>
          <w:lang w:val="en-US"/>
        </w:rPr>
        <w:t xml:space="preserve"> appeared similar</w:t>
      </w:r>
      <w:r w:rsidR="0039287F">
        <w:rPr>
          <w:rFonts w:ascii="Times New Roman" w:hAnsi="Times New Roman" w:cs="Times New Roman"/>
          <w:lang w:val="en-US"/>
        </w:rPr>
        <w:t xml:space="preserve"> between BMC and BMD</w:t>
      </w:r>
      <w:r w:rsidRPr="006527E3">
        <w:rPr>
          <w:rFonts w:ascii="Times New Roman" w:hAnsi="Times New Roman" w:cs="Times New Roman"/>
          <w:lang w:val="en-US"/>
        </w:rPr>
        <w:t xml:space="preserve">. These findings support the international consensus on </w:t>
      </w:r>
      <w:r w:rsidR="0039287F">
        <w:rPr>
          <w:rFonts w:ascii="Times New Roman" w:hAnsi="Times New Roman" w:cs="Times New Roman"/>
          <w:lang w:val="en-US"/>
        </w:rPr>
        <w:t xml:space="preserve">the </w:t>
      </w:r>
      <w:r w:rsidRPr="006527E3">
        <w:rPr>
          <w:rFonts w:ascii="Times New Roman" w:hAnsi="Times New Roman" w:cs="Times New Roman"/>
          <w:lang w:val="en-US"/>
        </w:rPr>
        <w:t xml:space="preserve">use of femoral neck BMD as the </w:t>
      </w:r>
      <w:r w:rsidR="00DA4978" w:rsidRPr="006527E3">
        <w:rPr>
          <w:rFonts w:ascii="Times New Roman" w:hAnsi="Times New Roman" w:cs="Times New Roman"/>
          <w:lang w:val="en-US"/>
        </w:rPr>
        <w:t>reference</w:t>
      </w:r>
      <w:r w:rsidRPr="006527E3">
        <w:rPr>
          <w:rFonts w:ascii="Times New Roman" w:hAnsi="Times New Roman" w:cs="Times New Roman"/>
          <w:lang w:val="en-US"/>
        </w:rPr>
        <w:t xml:space="preserve"> </w:t>
      </w:r>
      <w:r w:rsidR="00797838">
        <w:rPr>
          <w:rFonts w:ascii="Times New Roman" w:hAnsi="Times New Roman" w:cs="Times New Roman"/>
          <w:lang w:val="en-US"/>
        </w:rPr>
        <w:t>measure for</w:t>
      </w:r>
      <w:r w:rsidRPr="006527E3">
        <w:rPr>
          <w:rFonts w:ascii="Times New Roman" w:hAnsi="Times New Roman" w:cs="Times New Roman"/>
          <w:lang w:val="en-US"/>
        </w:rPr>
        <w:t xml:space="preserve"> osteoporosis risk assessment, and </w:t>
      </w:r>
      <w:r w:rsidR="00812048">
        <w:rPr>
          <w:rFonts w:ascii="Times New Roman" w:hAnsi="Times New Roman" w:cs="Times New Roman"/>
          <w:lang w:val="en-US"/>
        </w:rPr>
        <w:t xml:space="preserve">additionally the clinical relevance of BMC-specific </w:t>
      </w:r>
      <w:r w:rsidR="00B32433">
        <w:rPr>
          <w:rFonts w:ascii="Times New Roman" w:hAnsi="Times New Roman" w:cs="Times New Roman"/>
          <w:lang w:val="en-US"/>
        </w:rPr>
        <w:t>associations</w:t>
      </w:r>
      <w:r w:rsidR="00812048">
        <w:rPr>
          <w:rFonts w:ascii="Times New Roman" w:hAnsi="Times New Roman" w:cs="Times New Roman"/>
          <w:lang w:val="en-US"/>
        </w:rPr>
        <w:t>.</w:t>
      </w:r>
    </w:p>
    <w:p w14:paraId="1BFF0F69" w14:textId="77777777" w:rsidR="00BD2888" w:rsidRPr="006527E3" w:rsidRDefault="00BD2888" w:rsidP="006527E3">
      <w:pPr>
        <w:spacing w:after="120" w:line="360" w:lineRule="auto"/>
        <w:jc w:val="both"/>
        <w:rPr>
          <w:rFonts w:ascii="Times New Roman" w:hAnsi="Times New Roman" w:cs="Times New Roman"/>
        </w:rPr>
      </w:pPr>
    </w:p>
    <w:p w14:paraId="2B6A8FD8" w14:textId="77777777" w:rsidR="00BD2888" w:rsidRPr="006527E3" w:rsidRDefault="00BD2888" w:rsidP="006527E3">
      <w:pPr>
        <w:spacing w:after="120" w:line="360" w:lineRule="auto"/>
        <w:jc w:val="both"/>
        <w:rPr>
          <w:rFonts w:ascii="Times New Roman" w:hAnsi="Times New Roman" w:cs="Times New Roman"/>
          <w:b/>
        </w:rPr>
      </w:pPr>
      <w:r w:rsidRPr="006527E3">
        <w:rPr>
          <w:rFonts w:ascii="Times New Roman" w:hAnsi="Times New Roman" w:cs="Times New Roman"/>
          <w:b/>
        </w:rPr>
        <w:t>Acknowledgements</w:t>
      </w:r>
    </w:p>
    <w:p w14:paraId="7830BAB5" w14:textId="77777777" w:rsidR="00357931" w:rsidRDefault="00BD2888" w:rsidP="0044256B">
      <w:pPr>
        <w:spacing w:after="120" w:line="360" w:lineRule="auto"/>
        <w:jc w:val="both"/>
        <w:rPr>
          <w:rFonts w:ascii="Times New Roman" w:hAnsi="Times New Roman" w:cs="Times New Roman"/>
        </w:rPr>
      </w:pPr>
      <w:r w:rsidRPr="006527E3">
        <w:rPr>
          <w:rFonts w:ascii="Times New Roman" w:hAnsi="Times New Roman" w:cs="Times New Roman"/>
        </w:rPr>
        <w:t xml:space="preserve">We thank Mrs G Strange and Mrs R Fifield for helping prepare the manuscript. EMC and NCH are joint first authors. This work was supported by grants from the Medical Research Council, British </w:t>
      </w:r>
      <w:r w:rsidRPr="006527E3">
        <w:rPr>
          <w:rFonts w:ascii="Times New Roman" w:hAnsi="Times New Roman" w:cs="Times New Roman"/>
        </w:rPr>
        <w:lastRenderedPageBreak/>
        <w:t xml:space="preserve">Heart Foundation, Arthritis Research UK, </w:t>
      </w:r>
      <w:r w:rsidR="00A14B8A" w:rsidRPr="006527E3">
        <w:rPr>
          <w:rFonts w:ascii="Times New Roman" w:hAnsi="Times New Roman" w:cs="Times New Roman"/>
        </w:rPr>
        <w:t xml:space="preserve">National Osteoporosis Society, </w:t>
      </w:r>
      <w:r w:rsidR="00CA1A7C" w:rsidRPr="006527E3">
        <w:rPr>
          <w:rFonts w:ascii="Times New Roman" w:hAnsi="Times New Roman" w:cs="Times New Roman"/>
        </w:rPr>
        <w:t xml:space="preserve">International Osteoporosis Foundation, </w:t>
      </w:r>
      <w:r w:rsidRPr="006527E3">
        <w:rPr>
          <w:rFonts w:ascii="Times New Roman" w:hAnsi="Times New Roman" w:cs="Times New Roman"/>
        </w:rPr>
        <w:t>National Institute for Health Research (NIHR) Southampton Biomedical Research Centre, University of Southampton and University Hospital Southampton NHS Foundation Trust, and NIHR Musculoskeletal Biomedical Research Unit, University of Oxford</w:t>
      </w:r>
      <w:r w:rsidR="00A14B8A" w:rsidRPr="006527E3">
        <w:rPr>
          <w:rFonts w:ascii="Times New Roman" w:hAnsi="Times New Roman" w:cs="Times New Roman"/>
        </w:rPr>
        <w:t>.</w:t>
      </w:r>
      <w:r w:rsidR="00E418A1" w:rsidRPr="006527E3">
        <w:rPr>
          <w:rFonts w:ascii="Times New Roman" w:hAnsi="Times New Roman" w:cs="Times New Roman"/>
        </w:rPr>
        <w:t xml:space="preserve"> The work leading to these results was supported by the European Union's Seventh Framework Programme (FP7/2007-2013), projects EarlyNutrition and ODIN under grant agreements numbers 289346 and 613977.</w:t>
      </w:r>
    </w:p>
    <w:p w14:paraId="321D167B" w14:textId="0A9C99A2" w:rsidR="00CC4DB7" w:rsidRPr="006527E3" w:rsidRDefault="00CC4DB7" w:rsidP="0044256B">
      <w:pPr>
        <w:spacing w:after="120" w:line="360" w:lineRule="auto"/>
        <w:jc w:val="both"/>
        <w:rPr>
          <w:rFonts w:ascii="Times New Roman" w:hAnsi="Times New Roman" w:cs="Times New Roman"/>
          <w:b/>
        </w:rPr>
      </w:pPr>
    </w:p>
    <w:p w14:paraId="20F42B53" w14:textId="77777777" w:rsidR="000E0147" w:rsidRPr="006527E3" w:rsidRDefault="00CC4DB7" w:rsidP="00C73222">
      <w:pPr>
        <w:spacing w:line="360" w:lineRule="auto"/>
        <w:jc w:val="both"/>
        <w:rPr>
          <w:rFonts w:ascii="Times New Roman" w:hAnsi="Times New Roman" w:cs="Times New Roman"/>
          <w:b/>
        </w:rPr>
      </w:pPr>
      <w:r w:rsidRPr="006527E3">
        <w:rPr>
          <w:rFonts w:ascii="Times New Roman" w:hAnsi="Times New Roman" w:cs="Times New Roman"/>
          <w:b/>
        </w:rPr>
        <w:t>References</w:t>
      </w:r>
    </w:p>
    <w:p w14:paraId="0762FE92" w14:textId="77777777" w:rsidR="00E52E53" w:rsidRPr="00E52E53" w:rsidRDefault="006D7D99" w:rsidP="00E52E53">
      <w:pPr>
        <w:spacing w:after="240" w:line="360" w:lineRule="auto"/>
        <w:rPr>
          <w:rFonts w:ascii="Times New Roman" w:hAnsi="Times New Roman" w:cs="Times New Roman"/>
          <w:noProof/>
        </w:rPr>
      </w:pPr>
      <w:r w:rsidRPr="006527E3">
        <w:rPr>
          <w:noProof/>
          <w:lang w:val="en-US"/>
        </w:rPr>
        <w:fldChar w:fldCharType="begin"/>
      </w:r>
      <w:r w:rsidR="00B1260E" w:rsidRPr="006527E3">
        <w:instrText xml:space="preserve"> ADDIN EN.REFLIST </w:instrText>
      </w:r>
      <w:r w:rsidRPr="006527E3">
        <w:rPr>
          <w:noProof/>
          <w:lang w:val="en-US"/>
        </w:rPr>
        <w:fldChar w:fldCharType="separate"/>
      </w:r>
      <w:bookmarkStart w:id="1" w:name="_ENREF_1"/>
      <w:r w:rsidR="00E52E53" w:rsidRPr="00E52E53">
        <w:rPr>
          <w:rFonts w:ascii="Times New Roman" w:hAnsi="Times New Roman" w:cs="Times New Roman"/>
          <w:noProof/>
        </w:rPr>
        <w:t>1. World Health Organisation. Assessment of fracture risk and its application to screening for postmenopausal osteoporosis (1994). WHO  Geneva</w:t>
      </w:r>
      <w:bookmarkEnd w:id="1"/>
    </w:p>
    <w:p w14:paraId="771C0CC2" w14:textId="77777777" w:rsidR="00E52E53" w:rsidRPr="00E52E53" w:rsidRDefault="00E52E53" w:rsidP="00E52E53">
      <w:pPr>
        <w:spacing w:after="240" w:line="360" w:lineRule="auto"/>
        <w:rPr>
          <w:rFonts w:ascii="Times New Roman" w:hAnsi="Times New Roman" w:cs="Times New Roman"/>
          <w:noProof/>
        </w:rPr>
      </w:pPr>
      <w:bookmarkStart w:id="2" w:name="_ENREF_2"/>
      <w:r w:rsidRPr="00E52E53">
        <w:rPr>
          <w:rFonts w:ascii="Times New Roman" w:hAnsi="Times New Roman" w:cs="Times New Roman"/>
          <w:noProof/>
        </w:rPr>
        <w:t>2. Marshall D, Johnell O, Wedel H (1996) Meta-analysis of how well measures of bone mineral density predict occurrence of osteoporotic fractures. BMJ 312 (7041):1254-1259</w:t>
      </w:r>
      <w:bookmarkEnd w:id="2"/>
    </w:p>
    <w:p w14:paraId="4BC3F0E6" w14:textId="77777777" w:rsidR="00E52E53" w:rsidRPr="00E52E53" w:rsidRDefault="00E52E53" w:rsidP="00E52E53">
      <w:pPr>
        <w:spacing w:after="240" w:line="360" w:lineRule="auto"/>
        <w:rPr>
          <w:rFonts w:ascii="Times New Roman" w:hAnsi="Times New Roman" w:cs="Times New Roman"/>
          <w:noProof/>
        </w:rPr>
      </w:pPr>
      <w:bookmarkStart w:id="3" w:name="_ENREF_3"/>
      <w:r w:rsidRPr="00E52E53">
        <w:rPr>
          <w:rFonts w:ascii="Times New Roman" w:hAnsi="Times New Roman" w:cs="Times New Roman"/>
          <w:noProof/>
        </w:rPr>
        <w:t>3. Cummings SR, Marcus R, Palermo L, Ensrud KE, Genant HK (1994) Does estimating volumetric bone density of the femoral neck improve the prediction of hip fracture? A prospective study. Study of Osteoporotic Fractures Research Group. J Bone Miner Res JID - 8610640 9 (9):1429-1432</w:t>
      </w:r>
      <w:bookmarkEnd w:id="3"/>
    </w:p>
    <w:p w14:paraId="34A4E506" w14:textId="77777777" w:rsidR="00E52E53" w:rsidRPr="00E52E53" w:rsidRDefault="00E52E53" w:rsidP="00E52E53">
      <w:pPr>
        <w:spacing w:after="240" w:line="360" w:lineRule="auto"/>
        <w:rPr>
          <w:rFonts w:ascii="Times New Roman" w:hAnsi="Times New Roman" w:cs="Times New Roman"/>
          <w:noProof/>
        </w:rPr>
      </w:pPr>
      <w:bookmarkStart w:id="4" w:name="_ENREF_4"/>
      <w:r w:rsidRPr="00E52E53">
        <w:rPr>
          <w:rFonts w:ascii="Times New Roman" w:hAnsi="Times New Roman" w:cs="Times New Roman"/>
          <w:noProof/>
        </w:rPr>
        <w:t>4. Dual Energy X Ray absorptiometry for bone mineral density and body composition assessment (2010)   (trans: Agency IAE). International Atomic Energy Agency, Vienna</w:t>
      </w:r>
      <w:bookmarkEnd w:id="4"/>
    </w:p>
    <w:p w14:paraId="0C0131BC" w14:textId="77777777" w:rsidR="00E52E53" w:rsidRPr="00E52E53" w:rsidRDefault="00E52E53" w:rsidP="00E52E53">
      <w:pPr>
        <w:spacing w:after="240" w:line="360" w:lineRule="auto"/>
        <w:rPr>
          <w:rFonts w:ascii="Times New Roman" w:hAnsi="Times New Roman" w:cs="Times New Roman"/>
          <w:noProof/>
        </w:rPr>
      </w:pPr>
      <w:bookmarkStart w:id="5" w:name="_ENREF_5"/>
      <w:r w:rsidRPr="00E52E53">
        <w:rPr>
          <w:rFonts w:ascii="Times New Roman" w:hAnsi="Times New Roman" w:cs="Times New Roman"/>
          <w:noProof/>
        </w:rPr>
        <w:t>5. Kanis JA, Adachi JD, Cooper C, Clark P, Cummings SR, Diaz-Curiel M, Harvey N, Hiligsmann M, Papaioannou A, Pierroz DD, Silverman SL, Szulc P (2013) Standardising the descriptive epidemiology of osteoporosis: recommendations from the Epidemiology and Quality of Life Working Group of IOF. Osteoporos Int 24 (11):2763-2764. doi:10.1007/s00198-013-2413-7</w:t>
      </w:r>
      <w:bookmarkEnd w:id="5"/>
    </w:p>
    <w:p w14:paraId="0527BF76" w14:textId="77777777" w:rsidR="00E52E53" w:rsidRPr="00E52E53" w:rsidRDefault="00E52E53" w:rsidP="00E52E53">
      <w:pPr>
        <w:spacing w:after="240" w:line="360" w:lineRule="auto"/>
        <w:rPr>
          <w:rFonts w:ascii="Times New Roman" w:hAnsi="Times New Roman" w:cs="Times New Roman"/>
          <w:noProof/>
        </w:rPr>
      </w:pPr>
      <w:bookmarkStart w:id="6" w:name="_ENREF_6"/>
      <w:r w:rsidRPr="00E52E53">
        <w:rPr>
          <w:rFonts w:ascii="Times New Roman" w:hAnsi="Times New Roman" w:cs="Times New Roman"/>
          <w:noProof/>
        </w:rPr>
        <w:t>6. Kanis JA, McCloskey E, Branco J, Brandi ML, Dennison E, Devogelaer JP, Ferrari S, Kaufman JM, Papapoulos S, Reginster JY, Rizzoli R (2014) Goal-directed treatment of osteoporosis in Europe. Osteoporos Int 25 (11):2533-2543. doi:10.1007/s00198-014-2787-1</w:t>
      </w:r>
      <w:bookmarkEnd w:id="6"/>
    </w:p>
    <w:p w14:paraId="0E1AF38A" w14:textId="77777777" w:rsidR="00E52E53" w:rsidRPr="00E52E53" w:rsidRDefault="00E52E53" w:rsidP="00E52E53">
      <w:pPr>
        <w:spacing w:after="240" w:line="360" w:lineRule="auto"/>
        <w:rPr>
          <w:rFonts w:ascii="Times New Roman" w:hAnsi="Times New Roman" w:cs="Times New Roman"/>
          <w:noProof/>
        </w:rPr>
      </w:pPr>
      <w:bookmarkStart w:id="7" w:name="_ENREF_7"/>
      <w:r w:rsidRPr="00E52E53">
        <w:rPr>
          <w:rFonts w:ascii="Times New Roman" w:hAnsi="Times New Roman" w:cs="Times New Roman"/>
          <w:noProof/>
        </w:rPr>
        <w:t>7. Kanis JA, Rizzoli R, Cooper C, Reginster JY (2014) Challenges for the development of bone-forming agents in Europe. Calcif Tissue Int 94 (5):469-473. doi:10.1007/s00223-014-9844-9</w:t>
      </w:r>
      <w:bookmarkEnd w:id="7"/>
    </w:p>
    <w:p w14:paraId="4685C535" w14:textId="77777777" w:rsidR="00E52E53" w:rsidRPr="00E52E53" w:rsidRDefault="00E52E53" w:rsidP="00E52E53">
      <w:pPr>
        <w:spacing w:after="240" w:line="360" w:lineRule="auto"/>
        <w:rPr>
          <w:rFonts w:ascii="Times New Roman" w:hAnsi="Times New Roman" w:cs="Times New Roman"/>
          <w:noProof/>
        </w:rPr>
      </w:pPr>
      <w:bookmarkStart w:id="8" w:name="_ENREF_8"/>
      <w:r w:rsidRPr="00E52E53">
        <w:rPr>
          <w:rFonts w:ascii="Times New Roman" w:hAnsi="Times New Roman" w:cs="Times New Roman"/>
          <w:noProof/>
        </w:rPr>
        <w:t>8. Kanis JA, McCloskey EV, Johansson H, Cooper C, Rizzoli R, Reginster JY (2013) European guidance for the diagnosis and management of osteoporosis in postmenopausal women. Osteoporos Int 24 (1):23-57. doi:10.1007/s00198-012-2074-y</w:t>
      </w:r>
      <w:bookmarkEnd w:id="8"/>
    </w:p>
    <w:p w14:paraId="260D6150" w14:textId="77777777" w:rsidR="00E52E53" w:rsidRPr="00E52E53" w:rsidRDefault="00E52E53" w:rsidP="00E52E53">
      <w:pPr>
        <w:spacing w:after="240" w:line="360" w:lineRule="auto"/>
        <w:rPr>
          <w:rFonts w:ascii="Times New Roman" w:hAnsi="Times New Roman" w:cs="Times New Roman"/>
          <w:noProof/>
        </w:rPr>
      </w:pPr>
      <w:bookmarkStart w:id="9" w:name="_ENREF_9"/>
      <w:r w:rsidRPr="00E52E53">
        <w:rPr>
          <w:rFonts w:ascii="Times New Roman" w:hAnsi="Times New Roman" w:cs="Times New Roman"/>
          <w:noProof/>
        </w:rPr>
        <w:lastRenderedPageBreak/>
        <w:t>9. Baird J, Kurshid MA, Kim M, Harvey N, Dennison E, Cooper C (2011) Does birthweight predict bone mass in adulthood? A systematic review and meta-analysis. Osteoporos Int 22 (5):1323-1334. doi:10.1007/s00198-010-1344-9</w:t>
      </w:r>
      <w:bookmarkEnd w:id="9"/>
    </w:p>
    <w:p w14:paraId="6DF1476F" w14:textId="77777777" w:rsidR="00E52E53" w:rsidRPr="00E52E53" w:rsidRDefault="00E52E53" w:rsidP="00E52E53">
      <w:pPr>
        <w:spacing w:after="240" w:line="360" w:lineRule="auto"/>
        <w:rPr>
          <w:rFonts w:ascii="Times New Roman" w:hAnsi="Times New Roman" w:cs="Times New Roman"/>
          <w:noProof/>
        </w:rPr>
      </w:pPr>
      <w:bookmarkStart w:id="10" w:name="_ENREF_10"/>
      <w:r w:rsidRPr="00E52E53">
        <w:rPr>
          <w:rFonts w:ascii="Times New Roman" w:hAnsi="Times New Roman" w:cs="Times New Roman"/>
          <w:noProof/>
        </w:rPr>
        <w:t>10. Harvey N, Dennison E, Cooper C (2014) Osteoporosis: a lifecourse approach. J Bone Miner Res 29 (9):1917-1925. doi:10.1002/jbmr.2286</w:t>
      </w:r>
      <w:bookmarkEnd w:id="10"/>
    </w:p>
    <w:p w14:paraId="61A81DB6" w14:textId="77777777" w:rsidR="00E52E53" w:rsidRPr="00E52E53" w:rsidRDefault="00E52E53" w:rsidP="00E52E53">
      <w:pPr>
        <w:spacing w:after="240" w:line="360" w:lineRule="auto"/>
        <w:rPr>
          <w:rFonts w:ascii="Times New Roman" w:hAnsi="Times New Roman" w:cs="Times New Roman"/>
          <w:noProof/>
        </w:rPr>
      </w:pPr>
      <w:bookmarkStart w:id="11" w:name="_ENREF_11"/>
      <w:r w:rsidRPr="00E52E53">
        <w:rPr>
          <w:rFonts w:ascii="Times New Roman" w:hAnsi="Times New Roman" w:cs="Times New Roman"/>
          <w:noProof/>
        </w:rPr>
        <w:t>11. Museyko O, Bousson V, Adams J, Laredo JD, Engelke K (2016) QCT of the proximal femur--which parameters should be measured to discriminate hip fracture? Osteoporos Int 27 (3):1137-1147. doi:10.1007/s00198-015-3324-6</w:t>
      </w:r>
      <w:bookmarkEnd w:id="11"/>
    </w:p>
    <w:p w14:paraId="2C295C0D" w14:textId="77777777" w:rsidR="00E52E53" w:rsidRPr="00E52E53" w:rsidRDefault="00E52E53" w:rsidP="00E52E53">
      <w:pPr>
        <w:spacing w:after="240" w:line="360" w:lineRule="auto"/>
        <w:rPr>
          <w:rFonts w:ascii="Times New Roman" w:hAnsi="Times New Roman" w:cs="Times New Roman"/>
          <w:noProof/>
        </w:rPr>
      </w:pPr>
      <w:bookmarkStart w:id="12" w:name="_ENREF_12"/>
      <w:r w:rsidRPr="00E52E53">
        <w:rPr>
          <w:rFonts w:ascii="Times New Roman" w:hAnsi="Times New Roman" w:cs="Times New Roman"/>
          <w:noProof/>
        </w:rPr>
        <w:t>12. Sheu Y, Zmuda JM, Boudreau RM, Petit MA, Ensrud KE, Bauer DC, Gordon CL, Orwoll ES, Cauley JA (2011) Bone strength measured by peripheral quantitative computed tomography and the risk of nonvertebral fractures: the osteoporotic fractures in men (MrOS) study. J Bone Miner Res 26 (1):63-71. doi:10.1002/jbmr.172</w:t>
      </w:r>
      <w:bookmarkEnd w:id="12"/>
    </w:p>
    <w:p w14:paraId="407785F3" w14:textId="77777777" w:rsidR="00E52E53" w:rsidRPr="00E52E53" w:rsidRDefault="00E52E53" w:rsidP="00E52E53">
      <w:pPr>
        <w:spacing w:after="240" w:line="360" w:lineRule="auto"/>
        <w:rPr>
          <w:rFonts w:ascii="Times New Roman" w:hAnsi="Times New Roman" w:cs="Times New Roman"/>
          <w:noProof/>
        </w:rPr>
      </w:pPr>
      <w:bookmarkStart w:id="13" w:name="_ENREF_13"/>
      <w:r w:rsidRPr="00E52E53">
        <w:rPr>
          <w:rFonts w:ascii="Times New Roman" w:hAnsi="Times New Roman" w:cs="Times New Roman"/>
          <w:noProof/>
        </w:rPr>
        <w:t>13. Seeman E (2008) Structural basis of growth-related gain and age-related loss of bone strength. Rheumatology (Oxford) 47 Suppl 4:iv2-8. doi:10.1093/rheumatology/ken177</w:t>
      </w:r>
      <w:bookmarkEnd w:id="13"/>
    </w:p>
    <w:p w14:paraId="6308E6B5" w14:textId="77777777" w:rsidR="00E52E53" w:rsidRPr="00E52E53" w:rsidRDefault="00E52E53" w:rsidP="00E52E53">
      <w:pPr>
        <w:spacing w:line="360" w:lineRule="auto"/>
        <w:rPr>
          <w:rFonts w:ascii="Times New Roman" w:hAnsi="Times New Roman" w:cs="Times New Roman"/>
          <w:noProof/>
        </w:rPr>
      </w:pPr>
      <w:bookmarkStart w:id="14" w:name="_ENREF_14"/>
      <w:r w:rsidRPr="00E52E53">
        <w:rPr>
          <w:rFonts w:ascii="Times New Roman" w:hAnsi="Times New Roman" w:cs="Times New Roman"/>
          <w:noProof/>
        </w:rPr>
        <w:t>14. Kanis JA (2007) Assessment of osteoporosis at the primary health care level. WHO Scientific Group Technical Report. World Health Organization, Geneva</w:t>
      </w:r>
      <w:bookmarkEnd w:id="14"/>
    </w:p>
    <w:p w14:paraId="79FFE669" w14:textId="445A9B69" w:rsidR="00E52E53" w:rsidRDefault="00E52E53" w:rsidP="00E52E53">
      <w:pPr>
        <w:spacing w:line="360" w:lineRule="auto"/>
        <w:rPr>
          <w:rFonts w:ascii="Times New Roman" w:hAnsi="Times New Roman" w:cs="Times New Roman"/>
          <w:noProof/>
          <w:lang w:val="en-US"/>
        </w:rPr>
      </w:pPr>
    </w:p>
    <w:p w14:paraId="0FCF2CB3" w14:textId="77777777" w:rsidR="00357931" w:rsidRDefault="006D7D99" w:rsidP="00593375">
      <w:pPr>
        <w:spacing w:line="360" w:lineRule="auto"/>
        <w:jc w:val="both"/>
        <w:rPr>
          <w:rFonts w:ascii="Times New Roman" w:hAnsi="Times New Roman" w:cs="Times New Roman"/>
        </w:rPr>
      </w:pPr>
      <w:r w:rsidRPr="006527E3">
        <w:rPr>
          <w:rFonts w:ascii="Times New Roman" w:hAnsi="Times New Roman" w:cs="Times New Roman"/>
        </w:rPr>
        <w:fldChar w:fldCharType="end"/>
      </w:r>
    </w:p>
    <w:p w14:paraId="063F1F38" w14:textId="77777777" w:rsidR="00357931" w:rsidRDefault="00357931">
      <w:pPr>
        <w:rPr>
          <w:rFonts w:ascii="Times New Roman" w:hAnsi="Times New Roman" w:cs="Times New Roman"/>
        </w:rPr>
      </w:pPr>
      <w:r>
        <w:rPr>
          <w:rFonts w:ascii="Times New Roman" w:hAnsi="Times New Roman" w:cs="Times New Roman"/>
        </w:rPr>
        <w:br w:type="page"/>
      </w:r>
    </w:p>
    <w:p w14:paraId="2835356D" w14:textId="19F27A00" w:rsidR="00301C04" w:rsidRPr="006527E3" w:rsidRDefault="00301C04" w:rsidP="00593375">
      <w:pPr>
        <w:spacing w:line="360" w:lineRule="auto"/>
        <w:jc w:val="both"/>
        <w:rPr>
          <w:rFonts w:ascii="Times New Roman" w:hAnsi="Times New Roman" w:cs="Times New Roman"/>
          <w:b/>
        </w:rPr>
      </w:pPr>
      <w:r w:rsidRPr="006527E3">
        <w:rPr>
          <w:rFonts w:ascii="Times New Roman" w:hAnsi="Times New Roman" w:cs="Times New Roman"/>
          <w:b/>
        </w:rPr>
        <w:lastRenderedPageBreak/>
        <w:t xml:space="preserve">Table 1: </w:t>
      </w:r>
      <w:r w:rsidRPr="006527E3">
        <w:rPr>
          <w:rFonts w:ascii="Times New Roman" w:hAnsi="Times New Roman" w:cs="Times New Roman"/>
        </w:rPr>
        <w:t>Baseline</w:t>
      </w:r>
      <w:r w:rsidRPr="006527E3">
        <w:rPr>
          <w:rFonts w:ascii="Times New Roman" w:hAnsi="Times New Roman" w:cs="Times New Roman"/>
          <w:b/>
        </w:rPr>
        <w:t xml:space="preserve"> c</w:t>
      </w:r>
      <w:r w:rsidRPr="006527E3">
        <w:rPr>
          <w:rFonts w:ascii="Times New Roman" w:hAnsi="Times New Roman" w:cs="Times New Roman"/>
        </w:rPr>
        <w:t>haracteristics of the population at DXA assessment.</w:t>
      </w:r>
    </w:p>
    <w:tbl>
      <w:tblPr>
        <w:tblStyle w:val="LightList1"/>
        <w:tblW w:w="9242" w:type="dxa"/>
        <w:tblBorders>
          <w:top w:val="single" w:sz="18" w:space="0" w:color="000000" w:themeColor="text1"/>
          <w:left w:val="none" w:sz="0" w:space="0" w:color="auto"/>
          <w:bottom w:val="single" w:sz="18" w:space="0" w:color="000000" w:themeColor="text1"/>
          <w:right w:val="none" w:sz="0" w:space="0" w:color="auto"/>
        </w:tblBorders>
        <w:tblLayout w:type="fixed"/>
        <w:tblLook w:val="04A0" w:firstRow="1" w:lastRow="0" w:firstColumn="1" w:lastColumn="0" w:noHBand="0" w:noVBand="1"/>
      </w:tblPr>
      <w:tblGrid>
        <w:gridCol w:w="2376"/>
        <w:gridCol w:w="1560"/>
        <w:gridCol w:w="1842"/>
        <w:gridCol w:w="142"/>
        <w:gridCol w:w="654"/>
        <w:gridCol w:w="1756"/>
        <w:gridCol w:w="912"/>
      </w:tblGrid>
      <w:tr w:rsidR="00301C04" w:rsidRPr="006527E3" w14:paraId="2D754AA7" w14:textId="77777777" w:rsidTr="00874C0D">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76" w:type="dxa"/>
            <w:tcBorders>
              <w:top w:val="single" w:sz="18" w:space="0" w:color="000000" w:themeColor="text1"/>
              <w:bottom w:val="single" w:sz="2" w:space="0" w:color="000000" w:themeColor="text1"/>
            </w:tcBorders>
            <w:shd w:val="clear" w:color="auto" w:fill="auto"/>
            <w:noWrap/>
            <w:hideMark/>
          </w:tcPr>
          <w:p w14:paraId="1C4F5504" w14:textId="77777777" w:rsidR="00301C04" w:rsidRPr="006527E3" w:rsidRDefault="00301C04" w:rsidP="00874C0D">
            <w:pPr>
              <w:rPr>
                <w:rFonts w:ascii="Times New Roman" w:eastAsia="Times New Roman" w:hAnsi="Times New Roman" w:cs="Times New Roman"/>
                <w:color w:val="000000" w:themeColor="text1"/>
                <w:sz w:val="18"/>
                <w:szCs w:val="18"/>
                <w:lang w:eastAsia="en-GB"/>
              </w:rPr>
            </w:pPr>
            <w:r w:rsidRPr="006527E3">
              <w:rPr>
                <w:rFonts w:ascii="Times New Roman" w:eastAsia="Times New Roman" w:hAnsi="Times New Roman" w:cs="Times New Roman"/>
                <w:color w:val="000000" w:themeColor="text1"/>
                <w:sz w:val="18"/>
                <w:szCs w:val="18"/>
                <w:lang w:eastAsia="en-GB"/>
              </w:rPr>
              <w:t>Characteristics</w:t>
            </w:r>
          </w:p>
        </w:tc>
        <w:tc>
          <w:tcPr>
            <w:tcW w:w="1560" w:type="dxa"/>
            <w:tcBorders>
              <w:top w:val="single" w:sz="18" w:space="0" w:color="000000" w:themeColor="text1"/>
              <w:bottom w:val="single" w:sz="2" w:space="0" w:color="000000" w:themeColor="text1"/>
            </w:tcBorders>
            <w:shd w:val="clear" w:color="auto" w:fill="auto"/>
            <w:noWrap/>
            <w:hideMark/>
          </w:tcPr>
          <w:p w14:paraId="2A7D39B2" w14:textId="77777777" w:rsidR="00301C04" w:rsidRPr="006527E3" w:rsidRDefault="00301C04" w:rsidP="00874C0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8"/>
                <w:szCs w:val="18"/>
                <w:lang w:eastAsia="en-GB"/>
              </w:rPr>
            </w:pPr>
            <w:r w:rsidRPr="006527E3">
              <w:rPr>
                <w:rFonts w:ascii="Times New Roman" w:eastAsia="Times New Roman" w:hAnsi="Times New Roman" w:cs="Times New Roman"/>
                <w:color w:val="000000" w:themeColor="text1"/>
                <w:sz w:val="18"/>
                <w:szCs w:val="18"/>
                <w:lang w:eastAsia="en-GB"/>
              </w:rPr>
              <w:t>All (n=674)</w:t>
            </w:r>
          </w:p>
        </w:tc>
        <w:tc>
          <w:tcPr>
            <w:tcW w:w="1842" w:type="dxa"/>
            <w:tcBorders>
              <w:top w:val="single" w:sz="18" w:space="0" w:color="000000" w:themeColor="text1"/>
              <w:bottom w:val="single" w:sz="2" w:space="0" w:color="000000" w:themeColor="text1"/>
            </w:tcBorders>
            <w:shd w:val="clear" w:color="auto" w:fill="auto"/>
            <w:noWrap/>
            <w:hideMark/>
          </w:tcPr>
          <w:p w14:paraId="211B20D5" w14:textId="77777777" w:rsidR="00301C04" w:rsidRPr="006527E3" w:rsidRDefault="00301C04" w:rsidP="00874C0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8"/>
                <w:szCs w:val="18"/>
                <w:lang w:eastAsia="en-GB"/>
              </w:rPr>
            </w:pPr>
            <w:r w:rsidRPr="006527E3">
              <w:rPr>
                <w:rFonts w:ascii="Times New Roman" w:eastAsia="Times New Roman" w:hAnsi="Times New Roman" w:cs="Times New Roman"/>
                <w:color w:val="000000" w:themeColor="text1"/>
                <w:sz w:val="18"/>
                <w:szCs w:val="18"/>
                <w:lang w:eastAsia="en-GB"/>
              </w:rPr>
              <w:t>All followed-up (n=443)</w:t>
            </w:r>
          </w:p>
        </w:tc>
        <w:tc>
          <w:tcPr>
            <w:tcW w:w="796" w:type="dxa"/>
            <w:gridSpan w:val="2"/>
            <w:tcBorders>
              <w:top w:val="single" w:sz="18" w:space="0" w:color="000000" w:themeColor="text1"/>
              <w:bottom w:val="single" w:sz="2" w:space="0" w:color="000000" w:themeColor="text1"/>
            </w:tcBorders>
            <w:shd w:val="clear" w:color="auto" w:fill="auto"/>
            <w:noWrap/>
            <w:hideMark/>
          </w:tcPr>
          <w:p w14:paraId="28C74394" w14:textId="77777777" w:rsidR="00301C04" w:rsidRPr="006527E3" w:rsidRDefault="00301C04" w:rsidP="00874C0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8"/>
                <w:szCs w:val="18"/>
                <w:lang w:eastAsia="en-GB"/>
              </w:rPr>
            </w:pPr>
            <w:r w:rsidRPr="006527E3">
              <w:rPr>
                <w:rFonts w:ascii="Times New Roman" w:eastAsia="Times New Roman" w:hAnsi="Times New Roman" w:cs="Times New Roman"/>
                <w:color w:val="000000" w:themeColor="text1"/>
                <w:sz w:val="18"/>
                <w:szCs w:val="18"/>
                <w:lang w:eastAsia="en-GB"/>
              </w:rPr>
              <w:t>p</w:t>
            </w:r>
            <w:r w:rsidRPr="006527E3">
              <w:rPr>
                <w:rFonts w:ascii="Times New Roman" w:eastAsia="Times New Roman" w:hAnsi="Times New Roman" w:cs="Times New Roman"/>
                <w:color w:val="000000" w:themeColor="text1"/>
                <w:sz w:val="18"/>
                <w:szCs w:val="18"/>
                <w:vertAlign w:val="superscript"/>
                <w:lang w:eastAsia="en-GB"/>
              </w:rPr>
              <w:t>a</w:t>
            </w:r>
            <w:r w:rsidRPr="006527E3">
              <w:rPr>
                <w:rFonts w:ascii="Times New Roman" w:eastAsia="Times New Roman" w:hAnsi="Times New Roman" w:cs="Times New Roman"/>
                <w:color w:val="000000" w:themeColor="text1"/>
                <w:sz w:val="18"/>
                <w:szCs w:val="18"/>
                <w:lang w:eastAsia="en-GB"/>
              </w:rPr>
              <w:t xml:space="preserve"> </w:t>
            </w:r>
          </w:p>
        </w:tc>
        <w:tc>
          <w:tcPr>
            <w:tcW w:w="1756" w:type="dxa"/>
            <w:tcBorders>
              <w:top w:val="single" w:sz="18" w:space="0" w:color="000000" w:themeColor="text1"/>
              <w:bottom w:val="single" w:sz="2" w:space="0" w:color="000000" w:themeColor="text1"/>
            </w:tcBorders>
            <w:shd w:val="clear" w:color="auto" w:fill="auto"/>
            <w:noWrap/>
            <w:hideMark/>
          </w:tcPr>
          <w:p w14:paraId="7F784114" w14:textId="77777777" w:rsidR="00301C04" w:rsidRPr="006527E3" w:rsidRDefault="00301C04" w:rsidP="00874C0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8"/>
                <w:szCs w:val="18"/>
                <w:lang w:eastAsia="en-GB"/>
              </w:rPr>
            </w:pPr>
            <w:r w:rsidRPr="006527E3">
              <w:rPr>
                <w:rFonts w:ascii="Times New Roman" w:eastAsia="Times New Roman" w:hAnsi="Times New Roman" w:cs="Times New Roman"/>
                <w:color w:val="000000" w:themeColor="text1"/>
                <w:sz w:val="18"/>
                <w:szCs w:val="18"/>
                <w:lang w:eastAsia="en-GB"/>
              </w:rPr>
              <w:t>Reported fracture during follow-up (n=55)</w:t>
            </w:r>
          </w:p>
        </w:tc>
        <w:tc>
          <w:tcPr>
            <w:tcW w:w="912" w:type="dxa"/>
            <w:tcBorders>
              <w:top w:val="single" w:sz="18" w:space="0" w:color="000000" w:themeColor="text1"/>
              <w:bottom w:val="single" w:sz="2" w:space="0" w:color="000000" w:themeColor="text1"/>
            </w:tcBorders>
            <w:shd w:val="clear" w:color="auto" w:fill="auto"/>
            <w:noWrap/>
            <w:hideMark/>
          </w:tcPr>
          <w:p w14:paraId="4365A4EF" w14:textId="77777777" w:rsidR="00301C04" w:rsidRPr="006527E3" w:rsidRDefault="00301C04" w:rsidP="00874C0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8"/>
                <w:szCs w:val="18"/>
                <w:lang w:eastAsia="en-GB"/>
              </w:rPr>
            </w:pPr>
            <w:r w:rsidRPr="006527E3">
              <w:rPr>
                <w:rFonts w:ascii="Times New Roman" w:eastAsia="Times New Roman" w:hAnsi="Times New Roman" w:cs="Times New Roman"/>
                <w:color w:val="000000" w:themeColor="text1"/>
                <w:sz w:val="18"/>
                <w:szCs w:val="18"/>
                <w:lang w:eastAsia="en-GB"/>
              </w:rPr>
              <w:t>p</w:t>
            </w:r>
            <w:r w:rsidRPr="006527E3">
              <w:rPr>
                <w:rFonts w:ascii="Times New Roman" w:eastAsia="Times New Roman" w:hAnsi="Times New Roman" w:cs="Times New Roman"/>
                <w:color w:val="000000" w:themeColor="text1"/>
                <w:sz w:val="18"/>
                <w:szCs w:val="18"/>
                <w:vertAlign w:val="superscript"/>
                <w:lang w:eastAsia="en-GB"/>
              </w:rPr>
              <w:t>b</w:t>
            </w:r>
          </w:p>
        </w:tc>
      </w:tr>
      <w:tr w:rsidR="00301C04" w:rsidRPr="006527E3" w14:paraId="3DD8C238" w14:textId="77777777" w:rsidTr="00874C0D">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76" w:type="dxa"/>
            <w:tcBorders>
              <w:top w:val="single" w:sz="2" w:space="0" w:color="000000" w:themeColor="text1"/>
              <w:left w:val="none" w:sz="0" w:space="0" w:color="auto"/>
              <w:bottom w:val="none" w:sz="0" w:space="0" w:color="auto"/>
            </w:tcBorders>
            <w:shd w:val="clear" w:color="auto" w:fill="auto"/>
            <w:noWrap/>
            <w:hideMark/>
          </w:tcPr>
          <w:p w14:paraId="07BDBCBE" w14:textId="77777777" w:rsidR="00301C04" w:rsidRPr="006527E3" w:rsidRDefault="00301C04" w:rsidP="00874C0D">
            <w:pPr>
              <w:spacing w:before="120"/>
              <w:rPr>
                <w:rFonts w:ascii="Times New Roman" w:eastAsia="Times New Roman" w:hAnsi="Times New Roman" w:cs="Times New Roman"/>
                <w:b w:val="0"/>
                <w:color w:val="000000"/>
                <w:sz w:val="18"/>
                <w:szCs w:val="18"/>
                <w:lang w:eastAsia="en-GB"/>
              </w:rPr>
            </w:pPr>
            <w:r w:rsidRPr="006527E3">
              <w:rPr>
                <w:rFonts w:ascii="Times New Roman" w:eastAsia="Times New Roman" w:hAnsi="Times New Roman" w:cs="Times New Roman"/>
                <w:b w:val="0"/>
                <w:color w:val="000000"/>
                <w:sz w:val="18"/>
                <w:szCs w:val="18"/>
                <w:lang w:eastAsia="en-GB"/>
              </w:rPr>
              <w:t>Age at scan: mean (SD)</w:t>
            </w:r>
          </w:p>
        </w:tc>
        <w:tc>
          <w:tcPr>
            <w:tcW w:w="1560" w:type="dxa"/>
            <w:tcBorders>
              <w:top w:val="single" w:sz="2" w:space="0" w:color="000000" w:themeColor="text1"/>
              <w:bottom w:val="none" w:sz="0" w:space="0" w:color="auto"/>
            </w:tcBorders>
            <w:shd w:val="clear" w:color="auto" w:fill="auto"/>
            <w:noWrap/>
            <w:hideMark/>
          </w:tcPr>
          <w:p w14:paraId="14FE70DC" w14:textId="77777777" w:rsidR="00301C04" w:rsidRPr="006527E3" w:rsidRDefault="00301C04" w:rsidP="00874C0D">
            <w:pPr>
              <w:spacing w:before="12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en-GB"/>
              </w:rPr>
            </w:pPr>
            <w:r w:rsidRPr="006527E3">
              <w:rPr>
                <w:rFonts w:ascii="Times New Roman" w:eastAsia="Times New Roman" w:hAnsi="Times New Roman" w:cs="Times New Roman"/>
                <w:color w:val="000000"/>
                <w:sz w:val="18"/>
                <w:szCs w:val="18"/>
                <w:lang w:eastAsia="en-GB"/>
              </w:rPr>
              <w:t>52.5 (17.6)</w:t>
            </w:r>
          </w:p>
        </w:tc>
        <w:tc>
          <w:tcPr>
            <w:tcW w:w="1984" w:type="dxa"/>
            <w:gridSpan w:val="2"/>
            <w:tcBorders>
              <w:top w:val="single" w:sz="2" w:space="0" w:color="000000" w:themeColor="text1"/>
              <w:bottom w:val="none" w:sz="0" w:space="0" w:color="auto"/>
            </w:tcBorders>
            <w:shd w:val="clear" w:color="auto" w:fill="auto"/>
            <w:noWrap/>
            <w:hideMark/>
          </w:tcPr>
          <w:p w14:paraId="003C655E" w14:textId="77777777" w:rsidR="00301C04" w:rsidRPr="006527E3" w:rsidRDefault="00301C04" w:rsidP="00874C0D">
            <w:pPr>
              <w:spacing w:before="12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en-GB"/>
              </w:rPr>
            </w:pPr>
            <w:r w:rsidRPr="006527E3">
              <w:rPr>
                <w:rFonts w:ascii="Times New Roman" w:eastAsia="Times New Roman" w:hAnsi="Times New Roman" w:cs="Times New Roman"/>
                <w:color w:val="000000"/>
                <w:sz w:val="18"/>
                <w:szCs w:val="18"/>
                <w:lang w:eastAsia="en-GB"/>
              </w:rPr>
              <w:t>52.8 (16.1)</w:t>
            </w:r>
          </w:p>
        </w:tc>
        <w:tc>
          <w:tcPr>
            <w:tcW w:w="654" w:type="dxa"/>
            <w:tcBorders>
              <w:top w:val="single" w:sz="2" w:space="0" w:color="000000" w:themeColor="text1"/>
              <w:bottom w:val="none" w:sz="0" w:space="0" w:color="auto"/>
            </w:tcBorders>
            <w:shd w:val="clear" w:color="auto" w:fill="auto"/>
            <w:noWrap/>
            <w:hideMark/>
          </w:tcPr>
          <w:p w14:paraId="28097887" w14:textId="77777777" w:rsidR="00301C04" w:rsidRPr="006527E3" w:rsidRDefault="00301C04" w:rsidP="00874C0D">
            <w:pPr>
              <w:spacing w:before="12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en-GB"/>
              </w:rPr>
            </w:pPr>
            <w:r w:rsidRPr="006527E3">
              <w:rPr>
                <w:rFonts w:ascii="Times New Roman" w:eastAsia="Times New Roman" w:hAnsi="Times New Roman" w:cs="Times New Roman"/>
                <w:color w:val="000000"/>
                <w:sz w:val="18"/>
                <w:szCs w:val="18"/>
                <w:lang w:eastAsia="en-GB"/>
              </w:rPr>
              <w:t>0.79</w:t>
            </w:r>
          </w:p>
        </w:tc>
        <w:tc>
          <w:tcPr>
            <w:tcW w:w="1756" w:type="dxa"/>
            <w:tcBorders>
              <w:top w:val="single" w:sz="2" w:space="0" w:color="000000" w:themeColor="text1"/>
              <w:bottom w:val="none" w:sz="0" w:space="0" w:color="auto"/>
            </w:tcBorders>
            <w:shd w:val="clear" w:color="auto" w:fill="auto"/>
            <w:noWrap/>
            <w:hideMark/>
          </w:tcPr>
          <w:p w14:paraId="0E61A16C" w14:textId="77777777" w:rsidR="00301C04" w:rsidRPr="006527E3" w:rsidRDefault="00301C04" w:rsidP="00874C0D">
            <w:pPr>
              <w:spacing w:before="12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en-GB"/>
              </w:rPr>
            </w:pPr>
            <w:r w:rsidRPr="006527E3">
              <w:rPr>
                <w:rFonts w:ascii="Times New Roman" w:eastAsia="Times New Roman" w:hAnsi="Times New Roman" w:cs="Times New Roman"/>
                <w:color w:val="000000"/>
                <w:sz w:val="18"/>
                <w:szCs w:val="18"/>
                <w:lang w:eastAsia="en-GB"/>
              </w:rPr>
              <w:t>61.1 (15.2)</w:t>
            </w:r>
          </w:p>
        </w:tc>
        <w:tc>
          <w:tcPr>
            <w:tcW w:w="912" w:type="dxa"/>
            <w:tcBorders>
              <w:top w:val="single" w:sz="2" w:space="0" w:color="000000" w:themeColor="text1"/>
              <w:bottom w:val="none" w:sz="0" w:space="0" w:color="auto"/>
              <w:right w:val="none" w:sz="0" w:space="0" w:color="auto"/>
            </w:tcBorders>
            <w:shd w:val="clear" w:color="auto" w:fill="auto"/>
            <w:noWrap/>
            <w:hideMark/>
          </w:tcPr>
          <w:p w14:paraId="527A6DF2" w14:textId="77777777" w:rsidR="00301C04" w:rsidRPr="006527E3" w:rsidRDefault="00301C04" w:rsidP="00874C0D">
            <w:pPr>
              <w:spacing w:before="12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en-GB"/>
              </w:rPr>
            </w:pPr>
            <w:r w:rsidRPr="006527E3">
              <w:rPr>
                <w:rFonts w:ascii="Times New Roman" w:eastAsia="Times New Roman" w:hAnsi="Times New Roman" w:cs="Times New Roman"/>
                <w:color w:val="000000"/>
                <w:sz w:val="18"/>
                <w:szCs w:val="18"/>
                <w:lang w:eastAsia="en-GB"/>
              </w:rPr>
              <w:t>&lt;0.001</w:t>
            </w:r>
          </w:p>
        </w:tc>
      </w:tr>
      <w:tr w:rsidR="00301C04" w:rsidRPr="006527E3" w14:paraId="648DCD90" w14:textId="77777777" w:rsidTr="00874C0D">
        <w:trPr>
          <w:trHeight w:val="300"/>
        </w:trPr>
        <w:tc>
          <w:tcPr>
            <w:cnfStyle w:val="001000000000" w:firstRow="0" w:lastRow="0" w:firstColumn="1" w:lastColumn="0" w:oddVBand="0" w:evenVBand="0" w:oddHBand="0" w:evenHBand="0" w:firstRowFirstColumn="0" w:firstRowLastColumn="0" w:lastRowFirstColumn="0" w:lastRowLastColumn="0"/>
            <w:tcW w:w="2376" w:type="dxa"/>
            <w:shd w:val="clear" w:color="auto" w:fill="auto"/>
            <w:noWrap/>
            <w:hideMark/>
          </w:tcPr>
          <w:p w14:paraId="3F9FA800" w14:textId="77777777" w:rsidR="00301C04" w:rsidRPr="006527E3" w:rsidRDefault="00301C04" w:rsidP="00874C0D">
            <w:pPr>
              <w:rPr>
                <w:rFonts w:ascii="Times New Roman" w:eastAsia="Times New Roman" w:hAnsi="Times New Roman" w:cs="Times New Roman"/>
                <w:b w:val="0"/>
                <w:color w:val="000000"/>
                <w:sz w:val="18"/>
                <w:szCs w:val="18"/>
                <w:lang w:eastAsia="en-GB"/>
              </w:rPr>
            </w:pPr>
            <w:r w:rsidRPr="006527E3">
              <w:rPr>
                <w:rFonts w:ascii="Times New Roman" w:eastAsia="Times New Roman" w:hAnsi="Times New Roman" w:cs="Times New Roman"/>
                <w:b w:val="0"/>
                <w:color w:val="000000"/>
                <w:sz w:val="18"/>
                <w:szCs w:val="18"/>
                <w:lang w:eastAsia="en-GB"/>
              </w:rPr>
              <w:t> </w:t>
            </w:r>
          </w:p>
        </w:tc>
        <w:tc>
          <w:tcPr>
            <w:tcW w:w="1560" w:type="dxa"/>
            <w:shd w:val="clear" w:color="auto" w:fill="auto"/>
            <w:noWrap/>
            <w:hideMark/>
          </w:tcPr>
          <w:p w14:paraId="6AFCD0AE" w14:textId="77777777" w:rsidR="00301C04" w:rsidRPr="006527E3" w:rsidRDefault="00301C04" w:rsidP="00874C0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en-GB"/>
              </w:rPr>
            </w:pPr>
          </w:p>
        </w:tc>
        <w:tc>
          <w:tcPr>
            <w:tcW w:w="1984" w:type="dxa"/>
            <w:gridSpan w:val="2"/>
            <w:shd w:val="clear" w:color="auto" w:fill="auto"/>
            <w:noWrap/>
            <w:hideMark/>
          </w:tcPr>
          <w:p w14:paraId="7FDE8464" w14:textId="77777777" w:rsidR="00301C04" w:rsidRPr="006527E3" w:rsidRDefault="00301C04" w:rsidP="00874C0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en-GB"/>
              </w:rPr>
            </w:pPr>
          </w:p>
        </w:tc>
        <w:tc>
          <w:tcPr>
            <w:tcW w:w="654" w:type="dxa"/>
            <w:shd w:val="clear" w:color="auto" w:fill="auto"/>
            <w:noWrap/>
            <w:hideMark/>
          </w:tcPr>
          <w:p w14:paraId="1689E0CC" w14:textId="77777777" w:rsidR="00301C04" w:rsidRPr="006527E3" w:rsidRDefault="00301C04" w:rsidP="00874C0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en-GB"/>
              </w:rPr>
            </w:pPr>
          </w:p>
        </w:tc>
        <w:tc>
          <w:tcPr>
            <w:tcW w:w="1756" w:type="dxa"/>
            <w:shd w:val="clear" w:color="auto" w:fill="auto"/>
            <w:noWrap/>
            <w:hideMark/>
          </w:tcPr>
          <w:p w14:paraId="4281BE50" w14:textId="77777777" w:rsidR="00301C04" w:rsidRPr="006527E3" w:rsidRDefault="00301C04" w:rsidP="00874C0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en-GB"/>
              </w:rPr>
            </w:pPr>
          </w:p>
        </w:tc>
        <w:tc>
          <w:tcPr>
            <w:tcW w:w="912" w:type="dxa"/>
            <w:shd w:val="clear" w:color="auto" w:fill="auto"/>
            <w:noWrap/>
            <w:hideMark/>
          </w:tcPr>
          <w:p w14:paraId="066ED27E" w14:textId="77777777" w:rsidR="00301C04" w:rsidRPr="006527E3" w:rsidRDefault="00301C04" w:rsidP="00874C0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en-GB"/>
              </w:rPr>
            </w:pPr>
          </w:p>
        </w:tc>
      </w:tr>
      <w:tr w:rsidR="00301C04" w:rsidRPr="006527E3" w14:paraId="0F04D3CF" w14:textId="77777777" w:rsidTr="00874C0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76" w:type="dxa"/>
            <w:tcBorders>
              <w:top w:val="none" w:sz="0" w:space="0" w:color="auto"/>
              <w:left w:val="none" w:sz="0" w:space="0" w:color="auto"/>
              <w:bottom w:val="none" w:sz="0" w:space="0" w:color="auto"/>
            </w:tcBorders>
            <w:shd w:val="clear" w:color="auto" w:fill="auto"/>
            <w:noWrap/>
            <w:hideMark/>
          </w:tcPr>
          <w:p w14:paraId="2F140A72" w14:textId="77777777" w:rsidR="00301C04" w:rsidRPr="006527E3" w:rsidRDefault="00301C04" w:rsidP="00874C0D">
            <w:pPr>
              <w:rPr>
                <w:rFonts w:ascii="Times New Roman" w:eastAsia="Times New Roman" w:hAnsi="Times New Roman" w:cs="Times New Roman"/>
                <w:b w:val="0"/>
                <w:color w:val="000000"/>
                <w:sz w:val="18"/>
                <w:szCs w:val="18"/>
                <w:lang w:eastAsia="en-GB"/>
              </w:rPr>
            </w:pPr>
            <w:r w:rsidRPr="006527E3">
              <w:rPr>
                <w:rFonts w:ascii="Times New Roman" w:eastAsia="Times New Roman" w:hAnsi="Times New Roman" w:cs="Times New Roman"/>
                <w:b w:val="0"/>
                <w:color w:val="000000"/>
                <w:sz w:val="18"/>
                <w:szCs w:val="18"/>
                <w:lang w:eastAsia="en-GB"/>
              </w:rPr>
              <w:t>Height (cm): mean (SD)</w:t>
            </w:r>
          </w:p>
        </w:tc>
        <w:tc>
          <w:tcPr>
            <w:tcW w:w="1560" w:type="dxa"/>
            <w:tcBorders>
              <w:top w:val="none" w:sz="0" w:space="0" w:color="auto"/>
              <w:bottom w:val="none" w:sz="0" w:space="0" w:color="auto"/>
            </w:tcBorders>
            <w:shd w:val="clear" w:color="auto" w:fill="auto"/>
            <w:noWrap/>
            <w:hideMark/>
          </w:tcPr>
          <w:p w14:paraId="2EE177EE" w14:textId="77777777" w:rsidR="00301C04" w:rsidRPr="006527E3" w:rsidRDefault="00301C04" w:rsidP="00874C0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en-GB"/>
              </w:rPr>
            </w:pPr>
            <w:r w:rsidRPr="006527E3">
              <w:rPr>
                <w:rFonts w:ascii="Times New Roman" w:eastAsia="Times New Roman" w:hAnsi="Times New Roman" w:cs="Times New Roman"/>
                <w:color w:val="000000"/>
                <w:sz w:val="18"/>
                <w:szCs w:val="18"/>
                <w:lang w:eastAsia="en-GB"/>
              </w:rPr>
              <w:t>160 (6.9)</w:t>
            </w:r>
          </w:p>
        </w:tc>
        <w:tc>
          <w:tcPr>
            <w:tcW w:w="1984" w:type="dxa"/>
            <w:gridSpan w:val="2"/>
            <w:tcBorders>
              <w:top w:val="none" w:sz="0" w:space="0" w:color="auto"/>
              <w:bottom w:val="none" w:sz="0" w:space="0" w:color="auto"/>
            </w:tcBorders>
            <w:shd w:val="clear" w:color="auto" w:fill="auto"/>
            <w:hideMark/>
          </w:tcPr>
          <w:p w14:paraId="1AC2A800" w14:textId="77777777" w:rsidR="00301C04" w:rsidRPr="006527E3" w:rsidRDefault="00301C04" w:rsidP="00874C0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en-GB"/>
              </w:rPr>
            </w:pPr>
            <w:r w:rsidRPr="006527E3">
              <w:rPr>
                <w:rFonts w:ascii="Times New Roman" w:eastAsia="Times New Roman" w:hAnsi="Times New Roman" w:cs="Times New Roman"/>
                <w:color w:val="000000"/>
                <w:sz w:val="18"/>
                <w:szCs w:val="18"/>
                <w:lang w:eastAsia="en-GB"/>
              </w:rPr>
              <w:t>160.3 (6.7)</w:t>
            </w:r>
          </w:p>
        </w:tc>
        <w:tc>
          <w:tcPr>
            <w:tcW w:w="654" w:type="dxa"/>
            <w:tcBorders>
              <w:top w:val="none" w:sz="0" w:space="0" w:color="auto"/>
              <w:bottom w:val="none" w:sz="0" w:space="0" w:color="auto"/>
            </w:tcBorders>
            <w:shd w:val="clear" w:color="auto" w:fill="auto"/>
            <w:hideMark/>
          </w:tcPr>
          <w:p w14:paraId="38B3C6DE" w14:textId="77777777" w:rsidR="00301C04" w:rsidRPr="006527E3" w:rsidRDefault="00301C04" w:rsidP="00874C0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en-GB"/>
              </w:rPr>
            </w:pPr>
            <w:r w:rsidRPr="006527E3">
              <w:rPr>
                <w:rFonts w:ascii="Times New Roman" w:eastAsia="Times New Roman" w:hAnsi="Times New Roman" w:cs="Times New Roman"/>
                <w:color w:val="000000"/>
                <w:sz w:val="18"/>
                <w:szCs w:val="18"/>
                <w:lang w:eastAsia="en-GB"/>
              </w:rPr>
              <w:t>0.44</w:t>
            </w:r>
          </w:p>
        </w:tc>
        <w:tc>
          <w:tcPr>
            <w:tcW w:w="1756" w:type="dxa"/>
            <w:tcBorders>
              <w:top w:val="none" w:sz="0" w:space="0" w:color="auto"/>
              <w:bottom w:val="none" w:sz="0" w:space="0" w:color="auto"/>
            </w:tcBorders>
            <w:shd w:val="clear" w:color="auto" w:fill="auto"/>
            <w:hideMark/>
          </w:tcPr>
          <w:p w14:paraId="63E0F555" w14:textId="77777777" w:rsidR="00301C04" w:rsidRPr="006527E3" w:rsidRDefault="00301C04" w:rsidP="00874C0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en-GB"/>
              </w:rPr>
            </w:pPr>
            <w:r w:rsidRPr="006527E3">
              <w:rPr>
                <w:rFonts w:ascii="Times New Roman" w:eastAsia="Times New Roman" w:hAnsi="Times New Roman" w:cs="Times New Roman"/>
                <w:color w:val="000000"/>
                <w:sz w:val="18"/>
                <w:szCs w:val="18"/>
                <w:lang w:eastAsia="en-GB"/>
              </w:rPr>
              <w:t>158.9 (6.1)</w:t>
            </w:r>
          </w:p>
        </w:tc>
        <w:tc>
          <w:tcPr>
            <w:tcW w:w="912" w:type="dxa"/>
            <w:tcBorders>
              <w:top w:val="none" w:sz="0" w:space="0" w:color="auto"/>
              <w:bottom w:val="none" w:sz="0" w:space="0" w:color="auto"/>
              <w:right w:val="none" w:sz="0" w:space="0" w:color="auto"/>
            </w:tcBorders>
            <w:shd w:val="clear" w:color="auto" w:fill="auto"/>
            <w:noWrap/>
            <w:hideMark/>
          </w:tcPr>
          <w:p w14:paraId="4830B10B" w14:textId="77777777" w:rsidR="00301C04" w:rsidRPr="006527E3" w:rsidRDefault="00301C04" w:rsidP="00874C0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en-GB"/>
              </w:rPr>
            </w:pPr>
            <w:r w:rsidRPr="006527E3">
              <w:rPr>
                <w:rFonts w:ascii="Times New Roman" w:eastAsia="Times New Roman" w:hAnsi="Times New Roman" w:cs="Times New Roman"/>
                <w:color w:val="000000"/>
                <w:sz w:val="18"/>
                <w:szCs w:val="18"/>
                <w:lang w:eastAsia="en-GB"/>
              </w:rPr>
              <w:t>0.24</w:t>
            </w:r>
          </w:p>
        </w:tc>
      </w:tr>
      <w:tr w:rsidR="00301C04" w:rsidRPr="006527E3" w14:paraId="063CD6D0" w14:textId="77777777" w:rsidTr="00874C0D">
        <w:trPr>
          <w:trHeight w:val="300"/>
        </w:trPr>
        <w:tc>
          <w:tcPr>
            <w:cnfStyle w:val="001000000000" w:firstRow="0" w:lastRow="0" w:firstColumn="1" w:lastColumn="0" w:oddVBand="0" w:evenVBand="0" w:oddHBand="0" w:evenHBand="0" w:firstRowFirstColumn="0" w:firstRowLastColumn="0" w:lastRowFirstColumn="0" w:lastRowLastColumn="0"/>
            <w:tcW w:w="2376" w:type="dxa"/>
            <w:shd w:val="clear" w:color="auto" w:fill="auto"/>
            <w:noWrap/>
            <w:hideMark/>
          </w:tcPr>
          <w:p w14:paraId="473E5363" w14:textId="77777777" w:rsidR="00301C04" w:rsidRPr="006527E3" w:rsidRDefault="00301C04" w:rsidP="00874C0D">
            <w:pPr>
              <w:rPr>
                <w:rFonts w:ascii="Times New Roman" w:eastAsia="Times New Roman" w:hAnsi="Times New Roman" w:cs="Times New Roman"/>
                <w:b w:val="0"/>
                <w:color w:val="000000"/>
                <w:sz w:val="18"/>
                <w:szCs w:val="18"/>
                <w:lang w:eastAsia="en-GB"/>
              </w:rPr>
            </w:pPr>
            <w:r w:rsidRPr="006527E3">
              <w:rPr>
                <w:rFonts w:ascii="Times New Roman" w:eastAsia="Times New Roman" w:hAnsi="Times New Roman" w:cs="Times New Roman"/>
                <w:b w:val="0"/>
                <w:color w:val="000000"/>
                <w:sz w:val="18"/>
                <w:szCs w:val="18"/>
                <w:lang w:eastAsia="en-GB"/>
              </w:rPr>
              <w:t>Weight (kg): mean (SD)</w:t>
            </w:r>
          </w:p>
        </w:tc>
        <w:tc>
          <w:tcPr>
            <w:tcW w:w="1560" w:type="dxa"/>
            <w:shd w:val="clear" w:color="auto" w:fill="auto"/>
            <w:noWrap/>
            <w:hideMark/>
          </w:tcPr>
          <w:p w14:paraId="3D11D6BB" w14:textId="77777777" w:rsidR="00301C04" w:rsidRPr="006527E3" w:rsidRDefault="00301C04" w:rsidP="00874C0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en-GB"/>
              </w:rPr>
            </w:pPr>
            <w:r w:rsidRPr="006527E3">
              <w:rPr>
                <w:rFonts w:ascii="Times New Roman" w:eastAsia="Times New Roman" w:hAnsi="Times New Roman" w:cs="Times New Roman"/>
                <w:color w:val="000000"/>
                <w:sz w:val="18"/>
                <w:szCs w:val="18"/>
                <w:lang w:eastAsia="en-GB"/>
              </w:rPr>
              <w:t>66.0 (12.6)</w:t>
            </w:r>
          </w:p>
        </w:tc>
        <w:tc>
          <w:tcPr>
            <w:tcW w:w="1984" w:type="dxa"/>
            <w:gridSpan w:val="2"/>
            <w:shd w:val="clear" w:color="auto" w:fill="auto"/>
            <w:noWrap/>
            <w:hideMark/>
          </w:tcPr>
          <w:p w14:paraId="70678EA2" w14:textId="77777777" w:rsidR="00301C04" w:rsidRPr="006527E3" w:rsidRDefault="00301C04" w:rsidP="00874C0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en-GB"/>
              </w:rPr>
            </w:pPr>
            <w:r w:rsidRPr="006527E3">
              <w:rPr>
                <w:rFonts w:ascii="Times New Roman" w:eastAsia="Times New Roman" w:hAnsi="Times New Roman" w:cs="Times New Roman"/>
                <w:color w:val="000000"/>
                <w:sz w:val="18"/>
                <w:szCs w:val="18"/>
                <w:lang w:eastAsia="en-GB"/>
              </w:rPr>
              <w:t>67.1 (12.6)</w:t>
            </w:r>
          </w:p>
        </w:tc>
        <w:tc>
          <w:tcPr>
            <w:tcW w:w="654" w:type="dxa"/>
            <w:shd w:val="clear" w:color="auto" w:fill="auto"/>
            <w:noWrap/>
            <w:hideMark/>
          </w:tcPr>
          <w:p w14:paraId="4FD7E0BA" w14:textId="77777777" w:rsidR="00301C04" w:rsidRPr="006527E3" w:rsidRDefault="00301C04" w:rsidP="00874C0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en-GB"/>
              </w:rPr>
            </w:pPr>
            <w:r w:rsidRPr="006527E3">
              <w:rPr>
                <w:rFonts w:ascii="Times New Roman" w:eastAsia="Times New Roman" w:hAnsi="Times New Roman" w:cs="Times New Roman"/>
                <w:color w:val="000000"/>
                <w:sz w:val="18"/>
                <w:szCs w:val="18"/>
                <w:lang w:eastAsia="en-GB"/>
              </w:rPr>
              <w:t>0.19</w:t>
            </w:r>
          </w:p>
        </w:tc>
        <w:tc>
          <w:tcPr>
            <w:tcW w:w="1756" w:type="dxa"/>
            <w:shd w:val="clear" w:color="auto" w:fill="auto"/>
            <w:noWrap/>
            <w:hideMark/>
          </w:tcPr>
          <w:p w14:paraId="27D50D6C" w14:textId="77777777" w:rsidR="00301C04" w:rsidRPr="006527E3" w:rsidRDefault="00301C04" w:rsidP="00874C0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en-GB"/>
              </w:rPr>
            </w:pPr>
            <w:r w:rsidRPr="006527E3">
              <w:rPr>
                <w:rFonts w:ascii="Times New Roman" w:eastAsia="Times New Roman" w:hAnsi="Times New Roman" w:cs="Times New Roman"/>
                <w:color w:val="000000"/>
                <w:sz w:val="18"/>
                <w:szCs w:val="18"/>
                <w:lang w:eastAsia="en-GB"/>
              </w:rPr>
              <w:t>66.8 (12.0)</w:t>
            </w:r>
          </w:p>
        </w:tc>
        <w:tc>
          <w:tcPr>
            <w:tcW w:w="912" w:type="dxa"/>
            <w:shd w:val="clear" w:color="auto" w:fill="auto"/>
            <w:noWrap/>
            <w:hideMark/>
          </w:tcPr>
          <w:p w14:paraId="3370B782" w14:textId="77777777" w:rsidR="00301C04" w:rsidRPr="006527E3" w:rsidRDefault="00301C04" w:rsidP="00874C0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en-GB"/>
              </w:rPr>
            </w:pPr>
            <w:r w:rsidRPr="006527E3">
              <w:rPr>
                <w:rFonts w:ascii="Times New Roman" w:eastAsia="Times New Roman" w:hAnsi="Times New Roman" w:cs="Times New Roman"/>
                <w:color w:val="000000"/>
                <w:sz w:val="18"/>
                <w:szCs w:val="18"/>
                <w:lang w:eastAsia="en-GB"/>
              </w:rPr>
              <w:t>0.65</w:t>
            </w:r>
          </w:p>
        </w:tc>
      </w:tr>
      <w:tr w:rsidR="00301C04" w:rsidRPr="006527E3" w14:paraId="4CBDE95C" w14:textId="77777777" w:rsidTr="00874C0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76" w:type="dxa"/>
            <w:tcBorders>
              <w:top w:val="none" w:sz="0" w:space="0" w:color="auto"/>
              <w:left w:val="none" w:sz="0" w:space="0" w:color="auto"/>
              <w:bottom w:val="none" w:sz="0" w:space="0" w:color="auto"/>
            </w:tcBorders>
            <w:shd w:val="clear" w:color="auto" w:fill="auto"/>
            <w:noWrap/>
            <w:hideMark/>
          </w:tcPr>
          <w:p w14:paraId="6709A235" w14:textId="77777777" w:rsidR="00301C04" w:rsidRPr="006527E3" w:rsidRDefault="00301C04" w:rsidP="00874C0D">
            <w:pPr>
              <w:rPr>
                <w:rFonts w:ascii="Times New Roman" w:eastAsia="Times New Roman" w:hAnsi="Times New Roman" w:cs="Times New Roman"/>
                <w:b w:val="0"/>
                <w:color w:val="000000"/>
                <w:sz w:val="18"/>
                <w:szCs w:val="18"/>
                <w:lang w:eastAsia="en-GB"/>
              </w:rPr>
            </w:pPr>
            <w:r w:rsidRPr="006527E3">
              <w:rPr>
                <w:rFonts w:ascii="Times New Roman" w:eastAsia="Times New Roman" w:hAnsi="Times New Roman" w:cs="Times New Roman"/>
                <w:b w:val="0"/>
                <w:color w:val="000000"/>
                <w:sz w:val="18"/>
                <w:szCs w:val="18"/>
                <w:lang w:eastAsia="en-GB"/>
              </w:rPr>
              <w:t>BMI: median (IQR)</w:t>
            </w:r>
          </w:p>
        </w:tc>
        <w:tc>
          <w:tcPr>
            <w:tcW w:w="1560" w:type="dxa"/>
            <w:tcBorders>
              <w:top w:val="none" w:sz="0" w:space="0" w:color="auto"/>
              <w:bottom w:val="none" w:sz="0" w:space="0" w:color="auto"/>
            </w:tcBorders>
            <w:shd w:val="clear" w:color="auto" w:fill="auto"/>
            <w:noWrap/>
            <w:hideMark/>
          </w:tcPr>
          <w:p w14:paraId="77A0B161" w14:textId="77777777" w:rsidR="00301C04" w:rsidRPr="006527E3" w:rsidRDefault="00301C04" w:rsidP="00874C0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en-GB"/>
              </w:rPr>
            </w:pPr>
            <w:r w:rsidRPr="006527E3">
              <w:rPr>
                <w:rFonts w:ascii="Times New Roman" w:eastAsia="Times New Roman" w:hAnsi="Times New Roman" w:cs="Times New Roman"/>
                <w:color w:val="000000"/>
                <w:sz w:val="18"/>
                <w:szCs w:val="18"/>
                <w:lang w:eastAsia="en-GB"/>
              </w:rPr>
              <w:t>24.9 (22.4-28.5)</w:t>
            </w:r>
          </w:p>
        </w:tc>
        <w:tc>
          <w:tcPr>
            <w:tcW w:w="1984" w:type="dxa"/>
            <w:gridSpan w:val="2"/>
            <w:tcBorders>
              <w:top w:val="none" w:sz="0" w:space="0" w:color="auto"/>
              <w:bottom w:val="none" w:sz="0" w:space="0" w:color="auto"/>
            </w:tcBorders>
            <w:shd w:val="clear" w:color="auto" w:fill="auto"/>
            <w:noWrap/>
            <w:hideMark/>
          </w:tcPr>
          <w:p w14:paraId="6AC1C62E" w14:textId="77777777" w:rsidR="00301C04" w:rsidRPr="006527E3" w:rsidRDefault="00301C04" w:rsidP="00874C0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en-GB"/>
              </w:rPr>
            </w:pPr>
            <w:r w:rsidRPr="006527E3">
              <w:rPr>
                <w:rFonts w:ascii="Times New Roman" w:eastAsia="Times New Roman" w:hAnsi="Times New Roman" w:cs="Times New Roman"/>
                <w:color w:val="000000"/>
                <w:sz w:val="18"/>
                <w:szCs w:val="18"/>
                <w:lang w:eastAsia="en-GB"/>
              </w:rPr>
              <w:t>25.1 (22.6-28.8)</w:t>
            </w:r>
          </w:p>
        </w:tc>
        <w:tc>
          <w:tcPr>
            <w:tcW w:w="654" w:type="dxa"/>
            <w:tcBorders>
              <w:top w:val="none" w:sz="0" w:space="0" w:color="auto"/>
              <w:bottom w:val="none" w:sz="0" w:space="0" w:color="auto"/>
            </w:tcBorders>
            <w:shd w:val="clear" w:color="auto" w:fill="auto"/>
            <w:noWrap/>
            <w:hideMark/>
          </w:tcPr>
          <w:p w14:paraId="26DCBAF0" w14:textId="77777777" w:rsidR="00301C04" w:rsidRPr="006527E3" w:rsidRDefault="00301C04" w:rsidP="00874C0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en-GB"/>
              </w:rPr>
            </w:pPr>
            <w:r w:rsidRPr="006527E3">
              <w:rPr>
                <w:rFonts w:ascii="Times New Roman" w:eastAsia="Times New Roman" w:hAnsi="Times New Roman" w:cs="Times New Roman"/>
                <w:color w:val="000000"/>
                <w:sz w:val="18"/>
                <w:szCs w:val="18"/>
                <w:lang w:eastAsia="en-GB"/>
              </w:rPr>
              <w:t>0.26</w:t>
            </w:r>
          </w:p>
        </w:tc>
        <w:tc>
          <w:tcPr>
            <w:tcW w:w="1756" w:type="dxa"/>
            <w:tcBorders>
              <w:top w:val="none" w:sz="0" w:space="0" w:color="auto"/>
              <w:bottom w:val="none" w:sz="0" w:space="0" w:color="auto"/>
            </w:tcBorders>
            <w:shd w:val="clear" w:color="auto" w:fill="auto"/>
            <w:noWrap/>
            <w:hideMark/>
          </w:tcPr>
          <w:p w14:paraId="7CFC560F" w14:textId="77777777" w:rsidR="00301C04" w:rsidRPr="006527E3" w:rsidRDefault="00301C04" w:rsidP="00874C0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en-GB"/>
              </w:rPr>
            </w:pPr>
            <w:r w:rsidRPr="006527E3">
              <w:rPr>
                <w:rFonts w:ascii="Times New Roman" w:eastAsia="Times New Roman" w:hAnsi="Times New Roman" w:cs="Times New Roman"/>
                <w:color w:val="000000"/>
                <w:sz w:val="18"/>
                <w:szCs w:val="18"/>
                <w:lang w:eastAsia="en-GB"/>
              </w:rPr>
              <w:t>25.8 (23.2-28.7)</w:t>
            </w:r>
          </w:p>
        </w:tc>
        <w:tc>
          <w:tcPr>
            <w:tcW w:w="912" w:type="dxa"/>
            <w:tcBorders>
              <w:top w:val="none" w:sz="0" w:space="0" w:color="auto"/>
              <w:bottom w:val="none" w:sz="0" w:space="0" w:color="auto"/>
              <w:right w:val="none" w:sz="0" w:space="0" w:color="auto"/>
            </w:tcBorders>
            <w:shd w:val="clear" w:color="auto" w:fill="auto"/>
            <w:noWrap/>
            <w:hideMark/>
          </w:tcPr>
          <w:p w14:paraId="777E8B96" w14:textId="77777777" w:rsidR="00301C04" w:rsidRPr="006527E3" w:rsidRDefault="00301C04" w:rsidP="00874C0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en-GB"/>
              </w:rPr>
            </w:pPr>
            <w:r w:rsidRPr="006527E3">
              <w:rPr>
                <w:rFonts w:ascii="Times New Roman" w:eastAsia="Times New Roman" w:hAnsi="Times New Roman" w:cs="Times New Roman"/>
                <w:color w:val="000000"/>
                <w:sz w:val="18"/>
                <w:szCs w:val="18"/>
                <w:lang w:eastAsia="en-GB"/>
              </w:rPr>
              <w:t>0.18</w:t>
            </w:r>
          </w:p>
        </w:tc>
      </w:tr>
      <w:tr w:rsidR="00301C04" w:rsidRPr="006527E3" w14:paraId="304F15ED" w14:textId="77777777" w:rsidTr="00874C0D">
        <w:trPr>
          <w:trHeight w:val="300"/>
        </w:trPr>
        <w:tc>
          <w:tcPr>
            <w:cnfStyle w:val="001000000000" w:firstRow="0" w:lastRow="0" w:firstColumn="1" w:lastColumn="0" w:oddVBand="0" w:evenVBand="0" w:oddHBand="0" w:evenHBand="0" w:firstRowFirstColumn="0" w:firstRowLastColumn="0" w:lastRowFirstColumn="0" w:lastRowLastColumn="0"/>
            <w:tcW w:w="2376" w:type="dxa"/>
            <w:shd w:val="clear" w:color="auto" w:fill="auto"/>
            <w:noWrap/>
            <w:hideMark/>
          </w:tcPr>
          <w:p w14:paraId="2CAE4F9B" w14:textId="77777777" w:rsidR="00301C04" w:rsidRPr="006527E3" w:rsidRDefault="00301C04" w:rsidP="00874C0D">
            <w:pPr>
              <w:rPr>
                <w:rFonts w:ascii="Times New Roman" w:eastAsia="Times New Roman" w:hAnsi="Times New Roman" w:cs="Times New Roman"/>
                <w:b w:val="0"/>
                <w:color w:val="000000"/>
                <w:sz w:val="18"/>
                <w:szCs w:val="18"/>
                <w:lang w:eastAsia="en-GB"/>
              </w:rPr>
            </w:pPr>
            <w:r w:rsidRPr="006527E3">
              <w:rPr>
                <w:rFonts w:ascii="Times New Roman" w:eastAsia="Times New Roman" w:hAnsi="Times New Roman" w:cs="Times New Roman"/>
                <w:b w:val="0"/>
                <w:color w:val="000000"/>
                <w:sz w:val="18"/>
                <w:szCs w:val="18"/>
                <w:lang w:eastAsia="en-GB"/>
              </w:rPr>
              <w:t>Ever pregnant:  N (%)</w:t>
            </w:r>
          </w:p>
        </w:tc>
        <w:tc>
          <w:tcPr>
            <w:tcW w:w="1560" w:type="dxa"/>
            <w:shd w:val="clear" w:color="auto" w:fill="auto"/>
            <w:noWrap/>
            <w:hideMark/>
          </w:tcPr>
          <w:p w14:paraId="3630B757" w14:textId="77777777" w:rsidR="00301C04" w:rsidRPr="006527E3" w:rsidRDefault="00301C04" w:rsidP="00874C0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en-GB"/>
              </w:rPr>
            </w:pPr>
            <w:r w:rsidRPr="006527E3">
              <w:rPr>
                <w:rFonts w:ascii="Times New Roman" w:eastAsia="Times New Roman" w:hAnsi="Times New Roman" w:cs="Times New Roman"/>
                <w:color w:val="000000"/>
                <w:sz w:val="18"/>
                <w:szCs w:val="18"/>
                <w:lang w:eastAsia="en-GB"/>
              </w:rPr>
              <w:t>509 (75.5)</w:t>
            </w:r>
          </w:p>
        </w:tc>
        <w:tc>
          <w:tcPr>
            <w:tcW w:w="1984" w:type="dxa"/>
            <w:gridSpan w:val="2"/>
            <w:shd w:val="clear" w:color="auto" w:fill="auto"/>
            <w:noWrap/>
            <w:hideMark/>
          </w:tcPr>
          <w:p w14:paraId="05F649C5" w14:textId="77777777" w:rsidR="00301C04" w:rsidRPr="006527E3" w:rsidRDefault="00301C04" w:rsidP="00874C0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en-GB"/>
              </w:rPr>
            </w:pPr>
            <w:r w:rsidRPr="006527E3">
              <w:rPr>
                <w:rFonts w:ascii="Times New Roman" w:eastAsia="Times New Roman" w:hAnsi="Times New Roman" w:cs="Times New Roman"/>
                <w:color w:val="000000"/>
                <w:sz w:val="18"/>
                <w:szCs w:val="18"/>
                <w:lang w:eastAsia="en-GB"/>
              </w:rPr>
              <w:t>346 (78.1)</w:t>
            </w:r>
          </w:p>
        </w:tc>
        <w:tc>
          <w:tcPr>
            <w:tcW w:w="654" w:type="dxa"/>
            <w:shd w:val="clear" w:color="auto" w:fill="auto"/>
            <w:noWrap/>
            <w:hideMark/>
          </w:tcPr>
          <w:p w14:paraId="5478B0C7" w14:textId="77777777" w:rsidR="00301C04" w:rsidRPr="006527E3" w:rsidRDefault="00301C04" w:rsidP="00874C0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en-GB"/>
              </w:rPr>
            </w:pPr>
            <w:r w:rsidRPr="006527E3">
              <w:rPr>
                <w:rFonts w:ascii="Times New Roman" w:eastAsia="Times New Roman" w:hAnsi="Times New Roman" w:cs="Times New Roman"/>
                <w:color w:val="000000"/>
                <w:sz w:val="18"/>
                <w:szCs w:val="18"/>
                <w:lang w:eastAsia="en-GB"/>
              </w:rPr>
              <w:t>0.32</w:t>
            </w:r>
          </w:p>
        </w:tc>
        <w:tc>
          <w:tcPr>
            <w:tcW w:w="1756" w:type="dxa"/>
            <w:shd w:val="clear" w:color="auto" w:fill="auto"/>
            <w:noWrap/>
            <w:hideMark/>
          </w:tcPr>
          <w:p w14:paraId="3522B48F" w14:textId="77777777" w:rsidR="00301C04" w:rsidRPr="006527E3" w:rsidRDefault="00301C04" w:rsidP="00874C0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en-GB"/>
              </w:rPr>
            </w:pPr>
            <w:r w:rsidRPr="006527E3">
              <w:rPr>
                <w:rFonts w:ascii="Times New Roman" w:eastAsia="Times New Roman" w:hAnsi="Times New Roman" w:cs="Times New Roman"/>
                <w:color w:val="000000"/>
                <w:sz w:val="18"/>
                <w:szCs w:val="18"/>
                <w:lang w:eastAsia="en-GB"/>
              </w:rPr>
              <w:t>43 (78.2)</w:t>
            </w:r>
          </w:p>
        </w:tc>
        <w:tc>
          <w:tcPr>
            <w:tcW w:w="912" w:type="dxa"/>
            <w:shd w:val="clear" w:color="auto" w:fill="auto"/>
            <w:noWrap/>
            <w:hideMark/>
          </w:tcPr>
          <w:p w14:paraId="0F75ABDE" w14:textId="77777777" w:rsidR="00301C04" w:rsidRPr="006527E3" w:rsidRDefault="00301C04" w:rsidP="00874C0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en-GB"/>
              </w:rPr>
            </w:pPr>
            <w:r w:rsidRPr="006527E3">
              <w:rPr>
                <w:rFonts w:ascii="Times New Roman" w:eastAsia="Times New Roman" w:hAnsi="Times New Roman" w:cs="Times New Roman"/>
                <w:color w:val="000000"/>
                <w:sz w:val="18"/>
                <w:szCs w:val="18"/>
                <w:lang w:eastAsia="en-GB"/>
              </w:rPr>
              <w:t>0.66</w:t>
            </w:r>
          </w:p>
        </w:tc>
      </w:tr>
      <w:tr w:rsidR="00301C04" w:rsidRPr="006527E3" w14:paraId="25DE6E19" w14:textId="77777777" w:rsidTr="00874C0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76" w:type="dxa"/>
            <w:tcBorders>
              <w:top w:val="none" w:sz="0" w:space="0" w:color="auto"/>
              <w:left w:val="none" w:sz="0" w:space="0" w:color="auto"/>
              <w:bottom w:val="none" w:sz="0" w:space="0" w:color="auto"/>
            </w:tcBorders>
            <w:shd w:val="clear" w:color="auto" w:fill="auto"/>
            <w:noWrap/>
            <w:hideMark/>
          </w:tcPr>
          <w:p w14:paraId="6508FA5D" w14:textId="77777777" w:rsidR="00301C04" w:rsidRPr="006527E3" w:rsidRDefault="00301C04" w:rsidP="00874C0D">
            <w:pPr>
              <w:rPr>
                <w:rFonts w:ascii="Times New Roman" w:eastAsia="Times New Roman" w:hAnsi="Times New Roman" w:cs="Times New Roman"/>
                <w:b w:val="0"/>
                <w:color w:val="000000"/>
                <w:sz w:val="18"/>
                <w:szCs w:val="18"/>
                <w:lang w:eastAsia="en-GB"/>
              </w:rPr>
            </w:pPr>
            <w:r w:rsidRPr="006527E3">
              <w:rPr>
                <w:rFonts w:ascii="Times New Roman" w:eastAsia="Times New Roman" w:hAnsi="Times New Roman" w:cs="Times New Roman"/>
                <w:b w:val="0"/>
                <w:color w:val="000000"/>
                <w:sz w:val="18"/>
                <w:szCs w:val="18"/>
                <w:lang w:eastAsia="en-GB"/>
              </w:rPr>
              <w:t>Hysterectomy: N (%)</w:t>
            </w:r>
          </w:p>
        </w:tc>
        <w:tc>
          <w:tcPr>
            <w:tcW w:w="1560" w:type="dxa"/>
            <w:tcBorders>
              <w:top w:val="none" w:sz="0" w:space="0" w:color="auto"/>
              <w:bottom w:val="none" w:sz="0" w:space="0" w:color="auto"/>
            </w:tcBorders>
            <w:shd w:val="clear" w:color="auto" w:fill="auto"/>
            <w:noWrap/>
            <w:hideMark/>
          </w:tcPr>
          <w:p w14:paraId="2479B6C0" w14:textId="77777777" w:rsidR="00301C04" w:rsidRPr="006527E3" w:rsidRDefault="00301C04" w:rsidP="00874C0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en-GB"/>
              </w:rPr>
            </w:pPr>
            <w:r w:rsidRPr="006527E3">
              <w:rPr>
                <w:rFonts w:ascii="Times New Roman" w:eastAsia="Times New Roman" w:hAnsi="Times New Roman" w:cs="Times New Roman"/>
                <w:color w:val="000000"/>
                <w:sz w:val="18"/>
                <w:szCs w:val="18"/>
                <w:lang w:eastAsia="en-GB"/>
              </w:rPr>
              <w:t>109 (16.2)</w:t>
            </w:r>
          </w:p>
        </w:tc>
        <w:tc>
          <w:tcPr>
            <w:tcW w:w="1984" w:type="dxa"/>
            <w:gridSpan w:val="2"/>
            <w:tcBorders>
              <w:top w:val="none" w:sz="0" w:space="0" w:color="auto"/>
              <w:bottom w:val="none" w:sz="0" w:space="0" w:color="auto"/>
            </w:tcBorders>
            <w:shd w:val="clear" w:color="auto" w:fill="auto"/>
            <w:noWrap/>
            <w:hideMark/>
          </w:tcPr>
          <w:p w14:paraId="6C64ABFA" w14:textId="77777777" w:rsidR="00301C04" w:rsidRPr="006527E3" w:rsidRDefault="00301C04" w:rsidP="00874C0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en-GB"/>
              </w:rPr>
            </w:pPr>
            <w:r w:rsidRPr="006527E3">
              <w:rPr>
                <w:rFonts w:ascii="Times New Roman" w:eastAsia="Times New Roman" w:hAnsi="Times New Roman" w:cs="Times New Roman"/>
                <w:color w:val="000000"/>
                <w:sz w:val="18"/>
                <w:szCs w:val="18"/>
                <w:lang w:eastAsia="en-GB"/>
              </w:rPr>
              <w:t>74 (16.7)</w:t>
            </w:r>
          </w:p>
        </w:tc>
        <w:tc>
          <w:tcPr>
            <w:tcW w:w="654" w:type="dxa"/>
            <w:tcBorders>
              <w:top w:val="none" w:sz="0" w:space="0" w:color="auto"/>
              <w:bottom w:val="none" w:sz="0" w:space="0" w:color="auto"/>
            </w:tcBorders>
            <w:shd w:val="clear" w:color="auto" w:fill="auto"/>
            <w:noWrap/>
            <w:hideMark/>
          </w:tcPr>
          <w:p w14:paraId="6D2699EB" w14:textId="77777777" w:rsidR="00301C04" w:rsidRPr="006527E3" w:rsidRDefault="00301C04" w:rsidP="00874C0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en-GB"/>
              </w:rPr>
            </w:pPr>
            <w:r w:rsidRPr="006527E3">
              <w:rPr>
                <w:rFonts w:ascii="Times New Roman" w:eastAsia="Times New Roman" w:hAnsi="Times New Roman" w:cs="Times New Roman"/>
                <w:color w:val="000000"/>
                <w:sz w:val="18"/>
                <w:szCs w:val="18"/>
                <w:lang w:eastAsia="en-GB"/>
              </w:rPr>
              <w:t>0.81</w:t>
            </w:r>
          </w:p>
        </w:tc>
        <w:tc>
          <w:tcPr>
            <w:tcW w:w="1756" w:type="dxa"/>
            <w:tcBorders>
              <w:top w:val="none" w:sz="0" w:space="0" w:color="auto"/>
              <w:bottom w:val="none" w:sz="0" w:space="0" w:color="auto"/>
            </w:tcBorders>
            <w:shd w:val="clear" w:color="auto" w:fill="auto"/>
            <w:noWrap/>
            <w:hideMark/>
          </w:tcPr>
          <w:p w14:paraId="7CEBAF33" w14:textId="77777777" w:rsidR="00301C04" w:rsidRPr="006527E3" w:rsidRDefault="00301C04" w:rsidP="00874C0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en-GB"/>
              </w:rPr>
            </w:pPr>
            <w:r w:rsidRPr="006527E3">
              <w:rPr>
                <w:rFonts w:ascii="Times New Roman" w:eastAsia="Times New Roman" w:hAnsi="Times New Roman" w:cs="Times New Roman"/>
                <w:color w:val="000000"/>
                <w:sz w:val="18"/>
                <w:szCs w:val="18"/>
                <w:lang w:eastAsia="en-GB"/>
              </w:rPr>
              <w:t>17 (30.9)</w:t>
            </w:r>
          </w:p>
        </w:tc>
        <w:tc>
          <w:tcPr>
            <w:tcW w:w="912" w:type="dxa"/>
            <w:tcBorders>
              <w:top w:val="none" w:sz="0" w:space="0" w:color="auto"/>
              <w:bottom w:val="none" w:sz="0" w:space="0" w:color="auto"/>
              <w:right w:val="none" w:sz="0" w:space="0" w:color="auto"/>
            </w:tcBorders>
            <w:shd w:val="clear" w:color="auto" w:fill="auto"/>
            <w:noWrap/>
            <w:hideMark/>
          </w:tcPr>
          <w:p w14:paraId="78AD27D7" w14:textId="77777777" w:rsidR="00301C04" w:rsidRPr="006527E3" w:rsidRDefault="00301C04" w:rsidP="00874C0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en-GB"/>
              </w:rPr>
            </w:pPr>
            <w:r w:rsidRPr="006527E3">
              <w:rPr>
                <w:rFonts w:ascii="Times New Roman" w:eastAsia="Times New Roman" w:hAnsi="Times New Roman" w:cs="Times New Roman"/>
                <w:color w:val="000000"/>
                <w:sz w:val="18"/>
                <w:szCs w:val="18"/>
                <w:lang w:eastAsia="en-GB"/>
              </w:rPr>
              <w:t>0.005</w:t>
            </w:r>
          </w:p>
        </w:tc>
      </w:tr>
      <w:tr w:rsidR="00301C04" w:rsidRPr="006527E3" w14:paraId="1B86092C" w14:textId="77777777" w:rsidTr="00874C0D">
        <w:trPr>
          <w:trHeight w:val="300"/>
        </w:trPr>
        <w:tc>
          <w:tcPr>
            <w:cnfStyle w:val="001000000000" w:firstRow="0" w:lastRow="0" w:firstColumn="1" w:lastColumn="0" w:oddVBand="0" w:evenVBand="0" w:oddHBand="0" w:evenHBand="0" w:firstRowFirstColumn="0" w:firstRowLastColumn="0" w:lastRowFirstColumn="0" w:lastRowLastColumn="0"/>
            <w:tcW w:w="2376" w:type="dxa"/>
            <w:shd w:val="clear" w:color="auto" w:fill="auto"/>
            <w:noWrap/>
            <w:hideMark/>
          </w:tcPr>
          <w:p w14:paraId="61328CD2" w14:textId="77777777" w:rsidR="00301C04" w:rsidRPr="006527E3" w:rsidRDefault="00301C04" w:rsidP="00874C0D">
            <w:pPr>
              <w:rPr>
                <w:rFonts w:ascii="Times New Roman" w:eastAsia="Times New Roman" w:hAnsi="Times New Roman" w:cs="Times New Roman"/>
                <w:b w:val="0"/>
                <w:color w:val="000000"/>
                <w:sz w:val="18"/>
                <w:szCs w:val="18"/>
                <w:lang w:eastAsia="en-GB"/>
              </w:rPr>
            </w:pPr>
            <w:r w:rsidRPr="006527E3">
              <w:rPr>
                <w:rFonts w:ascii="Times New Roman" w:eastAsia="Times New Roman" w:hAnsi="Times New Roman" w:cs="Times New Roman"/>
                <w:b w:val="0"/>
                <w:color w:val="000000"/>
                <w:sz w:val="18"/>
                <w:szCs w:val="18"/>
                <w:lang w:eastAsia="en-GB"/>
              </w:rPr>
              <w:t>Pill &gt;5 years: N (%)</w:t>
            </w:r>
          </w:p>
        </w:tc>
        <w:tc>
          <w:tcPr>
            <w:tcW w:w="1560" w:type="dxa"/>
            <w:shd w:val="clear" w:color="auto" w:fill="auto"/>
            <w:noWrap/>
            <w:hideMark/>
          </w:tcPr>
          <w:p w14:paraId="6B514906" w14:textId="77777777" w:rsidR="00301C04" w:rsidRPr="006527E3" w:rsidRDefault="00301C04" w:rsidP="00874C0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en-GB"/>
              </w:rPr>
            </w:pPr>
            <w:r w:rsidRPr="006527E3">
              <w:rPr>
                <w:rFonts w:ascii="Times New Roman" w:eastAsia="Times New Roman" w:hAnsi="Times New Roman" w:cs="Times New Roman"/>
                <w:color w:val="000000"/>
                <w:sz w:val="18"/>
                <w:szCs w:val="18"/>
                <w:lang w:eastAsia="en-GB"/>
              </w:rPr>
              <w:t>158 (23.4)</w:t>
            </w:r>
          </w:p>
        </w:tc>
        <w:tc>
          <w:tcPr>
            <w:tcW w:w="1984" w:type="dxa"/>
            <w:gridSpan w:val="2"/>
            <w:shd w:val="clear" w:color="auto" w:fill="auto"/>
            <w:noWrap/>
            <w:hideMark/>
          </w:tcPr>
          <w:p w14:paraId="286B6B3C" w14:textId="77777777" w:rsidR="00301C04" w:rsidRPr="006527E3" w:rsidRDefault="00301C04" w:rsidP="00874C0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en-GB"/>
              </w:rPr>
            </w:pPr>
            <w:r w:rsidRPr="006527E3">
              <w:rPr>
                <w:rFonts w:ascii="Times New Roman" w:eastAsia="Times New Roman" w:hAnsi="Times New Roman" w:cs="Times New Roman"/>
                <w:color w:val="000000"/>
                <w:sz w:val="18"/>
                <w:szCs w:val="18"/>
                <w:lang w:eastAsia="en-GB"/>
              </w:rPr>
              <w:t>111 (25.1)</w:t>
            </w:r>
          </w:p>
        </w:tc>
        <w:tc>
          <w:tcPr>
            <w:tcW w:w="654" w:type="dxa"/>
            <w:shd w:val="clear" w:color="auto" w:fill="auto"/>
            <w:noWrap/>
            <w:hideMark/>
          </w:tcPr>
          <w:p w14:paraId="3BFDA09C" w14:textId="77777777" w:rsidR="00301C04" w:rsidRPr="006527E3" w:rsidRDefault="00301C04" w:rsidP="00874C0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en-GB"/>
              </w:rPr>
            </w:pPr>
            <w:r w:rsidRPr="006527E3">
              <w:rPr>
                <w:rFonts w:ascii="Times New Roman" w:eastAsia="Times New Roman" w:hAnsi="Times New Roman" w:cs="Times New Roman"/>
                <w:color w:val="000000"/>
                <w:sz w:val="18"/>
                <w:szCs w:val="18"/>
                <w:lang w:eastAsia="en-GB"/>
              </w:rPr>
              <w:t>0.65</w:t>
            </w:r>
          </w:p>
        </w:tc>
        <w:tc>
          <w:tcPr>
            <w:tcW w:w="1756" w:type="dxa"/>
            <w:shd w:val="clear" w:color="auto" w:fill="auto"/>
            <w:noWrap/>
            <w:hideMark/>
          </w:tcPr>
          <w:p w14:paraId="0C0742E9" w14:textId="77777777" w:rsidR="00301C04" w:rsidRPr="006527E3" w:rsidRDefault="00301C04" w:rsidP="00874C0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en-GB"/>
              </w:rPr>
            </w:pPr>
            <w:r w:rsidRPr="006527E3">
              <w:rPr>
                <w:rFonts w:ascii="Times New Roman" w:eastAsia="Times New Roman" w:hAnsi="Times New Roman" w:cs="Times New Roman"/>
                <w:color w:val="000000"/>
                <w:sz w:val="18"/>
                <w:szCs w:val="18"/>
                <w:lang w:eastAsia="en-GB"/>
              </w:rPr>
              <w:t>4 (7.3)</w:t>
            </w:r>
          </w:p>
        </w:tc>
        <w:tc>
          <w:tcPr>
            <w:tcW w:w="912" w:type="dxa"/>
            <w:shd w:val="clear" w:color="auto" w:fill="auto"/>
            <w:noWrap/>
            <w:hideMark/>
          </w:tcPr>
          <w:p w14:paraId="0D9EAE01" w14:textId="77777777" w:rsidR="00301C04" w:rsidRPr="006527E3" w:rsidRDefault="00301C04" w:rsidP="00874C0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en-GB"/>
              </w:rPr>
            </w:pPr>
            <w:r w:rsidRPr="006527E3">
              <w:rPr>
                <w:rFonts w:ascii="Times New Roman" w:eastAsia="Times New Roman" w:hAnsi="Times New Roman" w:cs="Times New Roman"/>
                <w:color w:val="000000"/>
                <w:sz w:val="18"/>
                <w:szCs w:val="18"/>
                <w:lang w:eastAsia="en-GB"/>
              </w:rPr>
              <w:t>0.008</w:t>
            </w:r>
          </w:p>
        </w:tc>
      </w:tr>
      <w:tr w:rsidR="00301C04" w:rsidRPr="006527E3" w14:paraId="15497FE3" w14:textId="77777777" w:rsidTr="00874C0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76" w:type="dxa"/>
            <w:tcBorders>
              <w:top w:val="none" w:sz="0" w:space="0" w:color="auto"/>
              <w:left w:val="none" w:sz="0" w:space="0" w:color="auto"/>
              <w:bottom w:val="none" w:sz="0" w:space="0" w:color="auto"/>
            </w:tcBorders>
            <w:shd w:val="clear" w:color="auto" w:fill="auto"/>
            <w:noWrap/>
            <w:hideMark/>
          </w:tcPr>
          <w:p w14:paraId="001AA84B" w14:textId="77777777" w:rsidR="00301C04" w:rsidRPr="006527E3" w:rsidRDefault="00301C04" w:rsidP="00874C0D">
            <w:pPr>
              <w:rPr>
                <w:rFonts w:ascii="Times New Roman" w:eastAsia="Times New Roman" w:hAnsi="Times New Roman" w:cs="Times New Roman"/>
                <w:b w:val="0"/>
                <w:color w:val="000000"/>
                <w:sz w:val="18"/>
                <w:szCs w:val="18"/>
                <w:lang w:eastAsia="en-GB"/>
              </w:rPr>
            </w:pPr>
            <w:r w:rsidRPr="006527E3">
              <w:rPr>
                <w:rFonts w:ascii="Times New Roman" w:eastAsia="Times New Roman" w:hAnsi="Times New Roman" w:cs="Times New Roman"/>
                <w:b w:val="0"/>
                <w:color w:val="000000"/>
                <w:sz w:val="18"/>
                <w:szCs w:val="18"/>
                <w:lang w:eastAsia="en-GB"/>
              </w:rPr>
              <w:t> </w:t>
            </w:r>
          </w:p>
        </w:tc>
        <w:tc>
          <w:tcPr>
            <w:tcW w:w="1560" w:type="dxa"/>
            <w:tcBorders>
              <w:top w:val="none" w:sz="0" w:space="0" w:color="auto"/>
              <w:bottom w:val="none" w:sz="0" w:space="0" w:color="auto"/>
            </w:tcBorders>
            <w:shd w:val="clear" w:color="auto" w:fill="auto"/>
            <w:noWrap/>
            <w:hideMark/>
          </w:tcPr>
          <w:p w14:paraId="19B6E76B" w14:textId="77777777" w:rsidR="00301C04" w:rsidRPr="006527E3" w:rsidRDefault="00301C04" w:rsidP="00874C0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en-GB"/>
              </w:rPr>
            </w:pPr>
            <w:r w:rsidRPr="006527E3">
              <w:rPr>
                <w:rFonts w:ascii="Times New Roman" w:eastAsia="Times New Roman" w:hAnsi="Times New Roman" w:cs="Times New Roman"/>
                <w:color w:val="000000"/>
                <w:sz w:val="18"/>
                <w:szCs w:val="18"/>
                <w:lang w:eastAsia="en-GB"/>
              </w:rPr>
              <w:t> </w:t>
            </w:r>
          </w:p>
        </w:tc>
        <w:tc>
          <w:tcPr>
            <w:tcW w:w="1984" w:type="dxa"/>
            <w:gridSpan w:val="2"/>
            <w:tcBorders>
              <w:top w:val="none" w:sz="0" w:space="0" w:color="auto"/>
              <w:bottom w:val="none" w:sz="0" w:space="0" w:color="auto"/>
            </w:tcBorders>
            <w:shd w:val="clear" w:color="auto" w:fill="auto"/>
            <w:noWrap/>
            <w:hideMark/>
          </w:tcPr>
          <w:p w14:paraId="18D8A0C2" w14:textId="77777777" w:rsidR="00301C04" w:rsidRPr="006527E3" w:rsidRDefault="00301C04" w:rsidP="00874C0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en-GB"/>
              </w:rPr>
            </w:pPr>
            <w:r w:rsidRPr="006527E3">
              <w:rPr>
                <w:rFonts w:ascii="Times New Roman" w:eastAsia="Times New Roman" w:hAnsi="Times New Roman" w:cs="Times New Roman"/>
                <w:color w:val="000000"/>
                <w:sz w:val="18"/>
                <w:szCs w:val="18"/>
                <w:lang w:eastAsia="en-GB"/>
              </w:rPr>
              <w:t> </w:t>
            </w:r>
          </w:p>
        </w:tc>
        <w:tc>
          <w:tcPr>
            <w:tcW w:w="654" w:type="dxa"/>
            <w:tcBorders>
              <w:top w:val="none" w:sz="0" w:space="0" w:color="auto"/>
              <w:bottom w:val="none" w:sz="0" w:space="0" w:color="auto"/>
            </w:tcBorders>
            <w:shd w:val="clear" w:color="auto" w:fill="auto"/>
            <w:noWrap/>
            <w:hideMark/>
          </w:tcPr>
          <w:p w14:paraId="499BECC0" w14:textId="77777777" w:rsidR="00301C04" w:rsidRPr="006527E3" w:rsidRDefault="00301C04" w:rsidP="00874C0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en-GB"/>
              </w:rPr>
            </w:pPr>
            <w:r w:rsidRPr="006527E3">
              <w:rPr>
                <w:rFonts w:ascii="Times New Roman" w:eastAsia="Times New Roman" w:hAnsi="Times New Roman" w:cs="Times New Roman"/>
                <w:color w:val="000000"/>
                <w:sz w:val="18"/>
                <w:szCs w:val="18"/>
                <w:lang w:eastAsia="en-GB"/>
              </w:rPr>
              <w:t> </w:t>
            </w:r>
          </w:p>
        </w:tc>
        <w:tc>
          <w:tcPr>
            <w:tcW w:w="1756" w:type="dxa"/>
            <w:tcBorders>
              <w:top w:val="none" w:sz="0" w:space="0" w:color="auto"/>
              <w:bottom w:val="none" w:sz="0" w:space="0" w:color="auto"/>
            </w:tcBorders>
            <w:shd w:val="clear" w:color="auto" w:fill="auto"/>
            <w:noWrap/>
            <w:hideMark/>
          </w:tcPr>
          <w:p w14:paraId="7DD66F93" w14:textId="77777777" w:rsidR="00301C04" w:rsidRPr="006527E3" w:rsidRDefault="00301C04" w:rsidP="00874C0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en-GB"/>
              </w:rPr>
            </w:pPr>
            <w:r w:rsidRPr="006527E3">
              <w:rPr>
                <w:rFonts w:ascii="Times New Roman" w:eastAsia="Times New Roman" w:hAnsi="Times New Roman" w:cs="Times New Roman"/>
                <w:color w:val="000000"/>
                <w:sz w:val="18"/>
                <w:szCs w:val="18"/>
                <w:lang w:eastAsia="en-GB"/>
              </w:rPr>
              <w:t> </w:t>
            </w:r>
          </w:p>
        </w:tc>
        <w:tc>
          <w:tcPr>
            <w:tcW w:w="912" w:type="dxa"/>
            <w:tcBorders>
              <w:top w:val="none" w:sz="0" w:space="0" w:color="auto"/>
              <w:bottom w:val="none" w:sz="0" w:space="0" w:color="auto"/>
              <w:right w:val="none" w:sz="0" w:space="0" w:color="auto"/>
            </w:tcBorders>
            <w:shd w:val="clear" w:color="auto" w:fill="auto"/>
            <w:noWrap/>
            <w:hideMark/>
          </w:tcPr>
          <w:p w14:paraId="2683470D" w14:textId="77777777" w:rsidR="00301C04" w:rsidRPr="006527E3" w:rsidRDefault="00301C04" w:rsidP="00874C0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en-GB"/>
              </w:rPr>
            </w:pPr>
            <w:r w:rsidRPr="006527E3">
              <w:rPr>
                <w:rFonts w:ascii="Times New Roman" w:eastAsia="Times New Roman" w:hAnsi="Times New Roman" w:cs="Times New Roman"/>
                <w:color w:val="000000"/>
                <w:sz w:val="18"/>
                <w:szCs w:val="18"/>
                <w:lang w:eastAsia="en-GB"/>
              </w:rPr>
              <w:t> </w:t>
            </w:r>
          </w:p>
        </w:tc>
      </w:tr>
      <w:tr w:rsidR="00301C04" w:rsidRPr="006527E3" w14:paraId="7F659884" w14:textId="77777777" w:rsidTr="00874C0D">
        <w:trPr>
          <w:trHeight w:val="300"/>
        </w:trPr>
        <w:tc>
          <w:tcPr>
            <w:cnfStyle w:val="001000000000" w:firstRow="0" w:lastRow="0" w:firstColumn="1" w:lastColumn="0" w:oddVBand="0" w:evenVBand="0" w:oddHBand="0" w:evenHBand="0" w:firstRowFirstColumn="0" w:firstRowLastColumn="0" w:lastRowFirstColumn="0" w:lastRowLastColumn="0"/>
            <w:tcW w:w="2376" w:type="dxa"/>
            <w:shd w:val="clear" w:color="auto" w:fill="auto"/>
            <w:noWrap/>
            <w:hideMark/>
          </w:tcPr>
          <w:p w14:paraId="3FBBE9DA" w14:textId="77777777" w:rsidR="00301C04" w:rsidRPr="006527E3" w:rsidRDefault="00301C04" w:rsidP="00874C0D">
            <w:pPr>
              <w:rPr>
                <w:rFonts w:ascii="Times New Roman" w:eastAsia="Times New Roman" w:hAnsi="Times New Roman" w:cs="Times New Roman"/>
                <w:b w:val="0"/>
                <w:color w:val="000000"/>
                <w:sz w:val="18"/>
                <w:szCs w:val="18"/>
                <w:lang w:eastAsia="en-GB"/>
              </w:rPr>
            </w:pPr>
            <w:r w:rsidRPr="006527E3">
              <w:rPr>
                <w:rFonts w:ascii="Times New Roman" w:eastAsia="Times New Roman" w:hAnsi="Times New Roman" w:cs="Times New Roman"/>
                <w:b w:val="0"/>
                <w:i/>
                <w:color w:val="000000"/>
                <w:sz w:val="18"/>
                <w:szCs w:val="18"/>
                <w:lang w:eastAsia="en-GB"/>
              </w:rPr>
              <w:t xml:space="preserve">Bone characteristics </w:t>
            </w:r>
          </w:p>
        </w:tc>
        <w:tc>
          <w:tcPr>
            <w:tcW w:w="1560" w:type="dxa"/>
            <w:shd w:val="clear" w:color="auto" w:fill="auto"/>
            <w:noWrap/>
            <w:hideMark/>
          </w:tcPr>
          <w:p w14:paraId="2707277D" w14:textId="77777777" w:rsidR="00301C04" w:rsidRPr="006527E3" w:rsidRDefault="00301C04" w:rsidP="00874C0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en-GB"/>
              </w:rPr>
            </w:pPr>
          </w:p>
        </w:tc>
        <w:tc>
          <w:tcPr>
            <w:tcW w:w="1984" w:type="dxa"/>
            <w:gridSpan w:val="2"/>
            <w:shd w:val="clear" w:color="auto" w:fill="auto"/>
            <w:noWrap/>
            <w:hideMark/>
          </w:tcPr>
          <w:p w14:paraId="5882B156" w14:textId="77777777" w:rsidR="00301C04" w:rsidRPr="006527E3" w:rsidRDefault="00301C04" w:rsidP="00874C0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en-GB"/>
              </w:rPr>
            </w:pPr>
          </w:p>
        </w:tc>
        <w:tc>
          <w:tcPr>
            <w:tcW w:w="654" w:type="dxa"/>
            <w:shd w:val="clear" w:color="auto" w:fill="auto"/>
            <w:noWrap/>
            <w:hideMark/>
          </w:tcPr>
          <w:p w14:paraId="28DA22A9" w14:textId="77777777" w:rsidR="00301C04" w:rsidRPr="006527E3" w:rsidRDefault="00301C04" w:rsidP="00874C0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en-GB"/>
              </w:rPr>
            </w:pPr>
          </w:p>
        </w:tc>
        <w:tc>
          <w:tcPr>
            <w:tcW w:w="1756" w:type="dxa"/>
            <w:shd w:val="clear" w:color="auto" w:fill="auto"/>
            <w:noWrap/>
            <w:hideMark/>
          </w:tcPr>
          <w:p w14:paraId="53706EE2" w14:textId="77777777" w:rsidR="00301C04" w:rsidRPr="006527E3" w:rsidRDefault="00301C04" w:rsidP="00874C0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en-GB"/>
              </w:rPr>
            </w:pPr>
          </w:p>
        </w:tc>
        <w:tc>
          <w:tcPr>
            <w:tcW w:w="912" w:type="dxa"/>
            <w:shd w:val="clear" w:color="auto" w:fill="auto"/>
            <w:noWrap/>
            <w:hideMark/>
          </w:tcPr>
          <w:p w14:paraId="1B5AA481" w14:textId="77777777" w:rsidR="00301C04" w:rsidRPr="006527E3" w:rsidRDefault="00301C04" w:rsidP="00874C0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en-GB"/>
              </w:rPr>
            </w:pPr>
          </w:p>
        </w:tc>
      </w:tr>
      <w:tr w:rsidR="00301C04" w:rsidRPr="006527E3" w14:paraId="7A7C3463" w14:textId="77777777" w:rsidTr="00874C0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76" w:type="dxa"/>
            <w:tcBorders>
              <w:top w:val="none" w:sz="0" w:space="0" w:color="auto"/>
              <w:left w:val="none" w:sz="0" w:space="0" w:color="auto"/>
              <w:bottom w:val="none" w:sz="0" w:space="0" w:color="auto"/>
            </w:tcBorders>
            <w:shd w:val="clear" w:color="auto" w:fill="auto"/>
            <w:noWrap/>
            <w:hideMark/>
          </w:tcPr>
          <w:p w14:paraId="7798EDDF" w14:textId="77777777" w:rsidR="00301C04" w:rsidRPr="006527E3" w:rsidRDefault="00301C04" w:rsidP="00874C0D">
            <w:pPr>
              <w:rPr>
                <w:rFonts w:ascii="Times New Roman" w:eastAsia="Times New Roman" w:hAnsi="Times New Roman" w:cs="Times New Roman"/>
                <w:b w:val="0"/>
                <w:color w:val="000000"/>
                <w:sz w:val="18"/>
                <w:szCs w:val="18"/>
                <w:lang w:eastAsia="en-GB"/>
              </w:rPr>
            </w:pPr>
            <w:r w:rsidRPr="006527E3">
              <w:rPr>
                <w:rFonts w:ascii="Times New Roman" w:eastAsia="Times New Roman" w:hAnsi="Times New Roman" w:cs="Times New Roman"/>
                <w:b w:val="0"/>
                <w:i/>
                <w:color w:val="000000"/>
                <w:sz w:val="18"/>
                <w:szCs w:val="18"/>
                <w:lang w:eastAsia="en-GB"/>
              </w:rPr>
              <w:t>Area (cm</w:t>
            </w:r>
            <w:r w:rsidRPr="006527E3">
              <w:rPr>
                <w:rFonts w:ascii="Times New Roman" w:eastAsia="Times New Roman" w:hAnsi="Times New Roman" w:cs="Times New Roman"/>
                <w:b w:val="0"/>
                <w:i/>
                <w:color w:val="000000"/>
                <w:sz w:val="18"/>
                <w:szCs w:val="18"/>
                <w:vertAlign w:val="superscript"/>
                <w:lang w:eastAsia="en-GB"/>
              </w:rPr>
              <w:t>2</w:t>
            </w:r>
            <w:r w:rsidRPr="006527E3">
              <w:rPr>
                <w:rFonts w:ascii="Times New Roman" w:eastAsia="Times New Roman" w:hAnsi="Times New Roman" w:cs="Times New Roman"/>
                <w:b w:val="0"/>
                <w:i/>
                <w:color w:val="000000"/>
                <w:sz w:val="18"/>
                <w:szCs w:val="18"/>
                <w:lang w:eastAsia="en-GB"/>
              </w:rPr>
              <w:t>): mean (SD)</w:t>
            </w:r>
          </w:p>
        </w:tc>
        <w:tc>
          <w:tcPr>
            <w:tcW w:w="1560" w:type="dxa"/>
            <w:tcBorders>
              <w:top w:val="none" w:sz="0" w:space="0" w:color="auto"/>
              <w:bottom w:val="none" w:sz="0" w:space="0" w:color="auto"/>
            </w:tcBorders>
            <w:shd w:val="clear" w:color="auto" w:fill="auto"/>
            <w:noWrap/>
            <w:hideMark/>
          </w:tcPr>
          <w:p w14:paraId="40EA6FD5" w14:textId="77777777" w:rsidR="00301C04" w:rsidRPr="006527E3" w:rsidRDefault="00301C04" w:rsidP="00874C0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en-GB"/>
              </w:rPr>
            </w:pPr>
          </w:p>
        </w:tc>
        <w:tc>
          <w:tcPr>
            <w:tcW w:w="1984" w:type="dxa"/>
            <w:gridSpan w:val="2"/>
            <w:tcBorders>
              <w:top w:val="none" w:sz="0" w:space="0" w:color="auto"/>
              <w:bottom w:val="none" w:sz="0" w:space="0" w:color="auto"/>
            </w:tcBorders>
            <w:shd w:val="clear" w:color="auto" w:fill="auto"/>
            <w:noWrap/>
            <w:hideMark/>
          </w:tcPr>
          <w:p w14:paraId="7CD126E7" w14:textId="77777777" w:rsidR="00301C04" w:rsidRPr="006527E3" w:rsidRDefault="00301C04" w:rsidP="00874C0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en-GB"/>
              </w:rPr>
            </w:pPr>
          </w:p>
        </w:tc>
        <w:tc>
          <w:tcPr>
            <w:tcW w:w="654" w:type="dxa"/>
            <w:tcBorders>
              <w:top w:val="none" w:sz="0" w:space="0" w:color="auto"/>
              <w:bottom w:val="none" w:sz="0" w:space="0" w:color="auto"/>
            </w:tcBorders>
            <w:shd w:val="clear" w:color="auto" w:fill="auto"/>
            <w:noWrap/>
            <w:hideMark/>
          </w:tcPr>
          <w:p w14:paraId="7ECE54AA" w14:textId="77777777" w:rsidR="00301C04" w:rsidRPr="006527E3" w:rsidRDefault="00301C04" w:rsidP="00874C0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en-GB"/>
              </w:rPr>
            </w:pPr>
          </w:p>
        </w:tc>
        <w:tc>
          <w:tcPr>
            <w:tcW w:w="1756" w:type="dxa"/>
            <w:tcBorders>
              <w:top w:val="none" w:sz="0" w:space="0" w:color="auto"/>
              <w:bottom w:val="none" w:sz="0" w:space="0" w:color="auto"/>
            </w:tcBorders>
            <w:shd w:val="clear" w:color="auto" w:fill="auto"/>
            <w:noWrap/>
            <w:hideMark/>
          </w:tcPr>
          <w:p w14:paraId="4C92FB90" w14:textId="77777777" w:rsidR="00301C04" w:rsidRPr="006527E3" w:rsidRDefault="00301C04" w:rsidP="00874C0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en-GB"/>
              </w:rPr>
            </w:pPr>
          </w:p>
        </w:tc>
        <w:tc>
          <w:tcPr>
            <w:tcW w:w="912" w:type="dxa"/>
            <w:tcBorders>
              <w:top w:val="none" w:sz="0" w:space="0" w:color="auto"/>
              <w:bottom w:val="none" w:sz="0" w:space="0" w:color="auto"/>
              <w:right w:val="none" w:sz="0" w:space="0" w:color="auto"/>
            </w:tcBorders>
            <w:shd w:val="clear" w:color="auto" w:fill="auto"/>
            <w:noWrap/>
            <w:hideMark/>
          </w:tcPr>
          <w:p w14:paraId="3DC99C41" w14:textId="77777777" w:rsidR="00301C04" w:rsidRPr="006527E3" w:rsidRDefault="00301C04" w:rsidP="00874C0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en-GB"/>
              </w:rPr>
            </w:pPr>
          </w:p>
        </w:tc>
      </w:tr>
      <w:tr w:rsidR="00301C04" w:rsidRPr="006527E3" w14:paraId="6609FF5B" w14:textId="77777777" w:rsidTr="00874C0D">
        <w:trPr>
          <w:trHeight w:val="300"/>
        </w:trPr>
        <w:tc>
          <w:tcPr>
            <w:cnfStyle w:val="001000000000" w:firstRow="0" w:lastRow="0" w:firstColumn="1" w:lastColumn="0" w:oddVBand="0" w:evenVBand="0" w:oddHBand="0" w:evenHBand="0" w:firstRowFirstColumn="0" w:firstRowLastColumn="0" w:lastRowFirstColumn="0" w:lastRowLastColumn="0"/>
            <w:tcW w:w="2376" w:type="dxa"/>
            <w:shd w:val="clear" w:color="auto" w:fill="auto"/>
            <w:noWrap/>
            <w:hideMark/>
          </w:tcPr>
          <w:p w14:paraId="09F2C4D0" w14:textId="77777777" w:rsidR="00301C04" w:rsidRPr="006527E3" w:rsidRDefault="00301C04" w:rsidP="00874C0D">
            <w:pPr>
              <w:rPr>
                <w:rFonts w:ascii="Times New Roman" w:eastAsia="Times New Roman" w:hAnsi="Times New Roman" w:cs="Times New Roman"/>
                <w:b w:val="0"/>
                <w:color w:val="000000"/>
                <w:sz w:val="18"/>
                <w:szCs w:val="18"/>
                <w:lang w:eastAsia="en-GB"/>
              </w:rPr>
            </w:pPr>
            <w:r w:rsidRPr="006527E3">
              <w:rPr>
                <w:rFonts w:ascii="Times New Roman" w:eastAsia="Times New Roman" w:hAnsi="Times New Roman" w:cs="Times New Roman"/>
                <w:b w:val="0"/>
                <w:color w:val="000000"/>
                <w:sz w:val="18"/>
                <w:szCs w:val="18"/>
                <w:lang w:eastAsia="en-GB"/>
              </w:rPr>
              <w:t>Femoral neck</w:t>
            </w:r>
          </w:p>
        </w:tc>
        <w:tc>
          <w:tcPr>
            <w:tcW w:w="1560" w:type="dxa"/>
            <w:shd w:val="clear" w:color="auto" w:fill="auto"/>
            <w:noWrap/>
            <w:hideMark/>
          </w:tcPr>
          <w:p w14:paraId="41750301" w14:textId="77777777" w:rsidR="00301C04" w:rsidRPr="006527E3" w:rsidRDefault="00301C04" w:rsidP="00874C0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en-GB"/>
              </w:rPr>
            </w:pPr>
            <w:r w:rsidRPr="006527E3">
              <w:rPr>
                <w:rFonts w:ascii="Times New Roman" w:eastAsia="Times New Roman" w:hAnsi="Times New Roman" w:cs="Times New Roman"/>
                <w:color w:val="000000"/>
                <w:sz w:val="18"/>
                <w:szCs w:val="18"/>
                <w:lang w:eastAsia="en-GB"/>
              </w:rPr>
              <w:t>4.76 (0.49)</w:t>
            </w:r>
          </w:p>
        </w:tc>
        <w:tc>
          <w:tcPr>
            <w:tcW w:w="1984" w:type="dxa"/>
            <w:gridSpan w:val="2"/>
            <w:shd w:val="clear" w:color="auto" w:fill="auto"/>
            <w:noWrap/>
            <w:hideMark/>
          </w:tcPr>
          <w:p w14:paraId="410113FB" w14:textId="77777777" w:rsidR="00301C04" w:rsidRPr="006527E3" w:rsidRDefault="00301C04" w:rsidP="00874C0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en-GB"/>
              </w:rPr>
            </w:pPr>
            <w:r w:rsidRPr="006527E3">
              <w:rPr>
                <w:rFonts w:ascii="Times New Roman" w:eastAsia="Times New Roman" w:hAnsi="Times New Roman" w:cs="Times New Roman"/>
                <w:color w:val="000000"/>
                <w:sz w:val="18"/>
                <w:szCs w:val="18"/>
                <w:lang w:eastAsia="en-GB"/>
              </w:rPr>
              <w:t>4.76 (0.49)</w:t>
            </w:r>
          </w:p>
        </w:tc>
        <w:tc>
          <w:tcPr>
            <w:tcW w:w="654" w:type="dxa"/>
            <w:shd w:val="clear" w:color="auto" w:fill="auto"/>
            <w:noWrap/>
            <w:hideMark/>
          </w:tcPr>
          <w:p w14:paraId="61685D1F" w14:textId="77777777" w:rsidR="00301C04" w:rsidRPr="006527E3" w:rsidRDefault="00301C04" w:rsidP="00874C0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en-GB"/>
              </w:rPr>
            </w:pPr>
            <w:r w:rsidRPr="006527E3">
              <w:rPr>
                <w:rFonts w:ascii="Times New Roman" w:eastAsia="Times New Roman" w:hAnsi="Times New Roman" w:cs="Times New Roman"/>
                <w:color w:val="000000"/>
                <w:sz w:val="18"/>
                <w:szCs w:val="18"/>
                <w:lang w:eastAsia="en-GB"/>
              </w:rPr>
              <w:t>0.94</w:t>
            </w:r>
          </w:p>
        </w:tc>
        <w:tc>
          <w:tcPr>
            <w:tcW w:w="1756" w:type="dxa"/>
            <w:shd w:val="clear" w:color="auto" w:fill="auto"/>
            <w:noWrap/>
            <w:hideMark/>
          </w:tcPr>
          <w:p w14:paraId="7BC95F66" w14:textId="77777777" w:rsidR="00301C04" w:rsidRPr="006527E3" w:rsidRDefault="00301C04" w:rsidP="00874C0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en-GB"/>
              </w:rPr>
            </w:pPr>
            <w:r w:rsidRPr="006527E3">
              <w:rPr>
                <w:rFonts w:ascii="Times New Roman" w:eastAsia="Times New Roman" w:hAnsi="Times New Roman" w:cs="Times New Roman"/>
                <w:color w:val="000000"/>
                <w:sz w:val="18"/>
                <w:szCs w:val="18"/>
                <w:lang w:eastAsia="en-GB"/>
              </w:rPr>
              <w:t>4.78 (0.52)</w:t>
            </w:r>
          </w:p>
        </w:tc>
        <w:tc>
          <w:tcPr>
            <w:tcW w:w="912" w:type="dxa"/>
            <w:shd w:val="clear" w:color="auto" w:fill="auto"/>
            <w:noWrap/>
            <w:hideMark/>
          </w:tcPr>
          <w:p w14:paraId="775DD6E5" w14:textId="77777777" w:rsidR="00301C04" w:rsidRPr="006527E3" w:rsidRDefault="00301C04" w:rsidP="00874C0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en-GB"/>
              </w:rPr>
            </w:pPr>
            <w:r w:rsidRPr="006527E3">
              <w:rPr>
                <w:rFonts w:ascii="Times New Roman" w:eastAsia="Times New Roman" w:hAnsi="Times New Roman" w:cs="Times New Roman"/>
                <w:color w:val="000000"/>
                <w:sz w:val="18"/>
                <w:szCs w:val="18"/>
                <w:lang w:eastAsia="en-GB"/>
              </w:rPr>
              <w:t>0.77</w:t>
            </w:r>
          </w:p>
        </w:tc>
      </w:tr>
      <w:tr w:rsidR="00301C04" w:rsidRPr="006527E3" w14:paraId="6EFDCE4C" w14:textId="77777777" w:rsidTr="00874C0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76" w:type="dxa"/>
            <w:tcBorders>
              <w:top w:val="none" w:sz="0" w:space="0" w:color="auto"/>
              <w:left w:val="none" w:sz="0" w:space="0" w:color="auto"/>
              <w:bottom w:val="none" w:sz="0" w:space="0" w:color="auto"/>
            </w:tcBorders>
            <w:shd w:val="clear" w:color="auto" w:fill="auto"/>
            <w:noWrap/>
            <w:hideMark/>
          </w:tcPr>
          <w:p w14:paraId="2896431E" w14:textId="77777777" w:rsidR="00301C04" w:rsidRPr="006527E3" w:rsidRDefault="00301C04" w:rsidP="00874C0D">
            <w:pPr>
              <w:rPr>
                <w:rFonts w:ascii="Times New Roman" w:eastAsia="Times New Roman" w:hAnsi="Times New Roman" w:cs="Times New Roman"/>
                <w:b w:val="0"/>
                <w:color w:val="000000"/>
                <w:sz w:val="18"/>
                <w:szCs w:val="18"/>
                <w:lang w:eastAsia="en-GB"/>
              </w:rPr>
            </w:pPr>
            <w:r w:rsidRPr="006527E3">
              <w:rPr>
                <w:rFonts w:ascii="Times New Roman" w:eastAsia="Times New Roman" w:hAnsi="Times New Roman" w:cs="Times New Roman"/>
                <w:b w:val="0"/>
                <w:color w:val="000000"/>
                <w:sz w:val="18"/>
                <w:szCs w:val="18"/>
                <w:lang w:eastAsia="en-GB"/>
              </w:rPr>
              <w:t>Lumbar spine</w:t>
            </w:r>
          </w:p>
        </w:tc>
        <w:tc>
          <w:tcPr>
            <w:tcW w:w="1560" w:type="dxa"/>
            <w:tcBorders>
              <w:top w:val="none" w:sz="0" w:space="0" w:color="auto"/>
              <w:bottom w:val="none" w:sz="0" w:space="0" w:color="auto"/>
            </w:tcBorders>
            <w:shd w:val="clear" w:color="auto" w:fill="auto"/>
            <w:noWrap/>
            <w:hideMark/>
          </w:tcPr>
          <w:p w14:paraId="27998F72" w14:textId="77777777" w:rsidR="00301C04" w:rsidRPr="006527E3" w:rsidRDefault="00301C04" w:rsidP="00874C0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en-GB"/>
              </w:rPr>
            </w:pPr>
            <w:r w:rsidRPr="006527E3">
              <w:rPr>
                <w:rFonts w:ascii="Times New Roman" w:eastAsia="Times New Roman" w:hAnsi="Times New Roman" w:cs="Times New Roman"/>
                <w:color w:val="000000"/>
                <w:sz w:val="18"/>
                <w:szCs w:val="18"/>
                <w:lang w:eastAsia="en-GB"/>
              </w:rPr>
              <w:t>53.78 (5.18)</w:t>
            </w:r>
          </w:p>
        </w:tc>
        <w:tc>
          <w:tcPr>
            <w:tcW w:w="1984" w:type="dxa"/>
            <w:gridSpan w:val="2"/>
            <w:tcBorders>
              <w:top w:val="none" w:sz="0" w:space="0" w:color="auto"/>
              <w:bottom w:val="none" w:sz="0" w:space="0" w:color="auto"/>
            </w:tcBorders>
            <w:shd w:val="clear" w:color="auto" w:fill="auto"/>
            <w:noWrap/>
            <w:hideMark/>
          </w:tcPr>
          <w:p w14:paraId="4920CF12" w14:textId="77777777" w:rsidR="00301C04" w:rsidRPr="006527E3" w:rsidRDefault="00301C04" w:rsidP="00874C0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en-GB"/>
              </w:rPr>
            </w:pPr>
            <w:r w:rsidRPr="006527E3">
              <w:rPr>
                <w:rFonts w:ascii="Times New Roman" w:eastAsia="Times New Roman" w:hAnsi="Times New Roman" w:cs="Times New Roman"/>
                <w:color w:val="000000"/>
                <w:sz w:val="18"/>
                <w:szCs w:val="18"/>
                <w:lang w:eastAsia="en-GB"/>
              </w:rPr>
              <w:t>54.07 (5.19)</w:t>
            </w:r>
          </w:p>
        </w:tc>
        <w:tc>
          <w:tcPr>
            <w:tcW w:w="654" w:type="dxa"/>
            <w:tcBorders>
              <w:top w:val="none" w:sz="0" w:space="0" w:color="auto"/>
              <w:bottom w:val="none" w:sz="0" w:space="0" w:color="auto"/>
            </w:tcBorders>
            <w:shd w:val="clear" w:color="auto" w:fill="auto"/>
            <w:noWrap/>
            <w:hideMark/>
          </w:tcPr>
          <w:p w14:paraId="0AB4CA65" w14:textId="77777777" w:rsidR="00301C04" w:rsidRPr="006527E3" w:rsidRDefault="00301C04" w:rsidP="00874C0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en-GB"/>
              </w:rPr>
            </w:pPr>
            <w:r w:rsidRPr="006527E3">
              <w:rPr>
                <w:rFonts w:ascii="Times New Roman" w:eastAsia="Times New Roman" w:hAnsi="Times New Roman" w:cs="Times New Roman"/>
                <w:color w:val="000000"/>
                <w:sz w:val="18"/>
                <w:szCs w:val="18"/>
                <w:lang w:eastAsia="en-GB"/>
              </w:rPr>
              <w:t>0.37</w:t>
            </w:r>
          </w:p>
        </w:tc>
        <w:tc>
          <w:tcPr>
            <w:tcW w:w="1756" w:type="dxa"/>
            <w:tcBorders>
              <w:top w:val="none" w:sz="0" w:space="0" w:color="auto"/>
              <w:bottom w:val="none" w:sz="0" w:space="0" w:color="auto"/>
            </w:tcBorders>
            <w:shd w:val="clear" w:color="auto" w:fill="auto"/>
            <w:noWrap/>
            <w:hideMark/>
          </w:tcPr>
          <w:p w14:paraId="54C54AE6" w14:textId="77777777" w:rsidR="00301C04" w:rsidRPr="006527E3" w:rsidRDefault="00301C04" w:rsidP="00874C0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en-GB"/>
              </w:rPr>
            </w:pPr>
            <w:r w:rsidRPr="006527E3">
              <w:rPr>
                <w:rFonts w:ascii="Times New Roman" w:eastAsia="Times New Roman" w:hAnsi="Times New Roman" w:cs="Times New Roman"/>
                <w:color w:val="000000"/>
                <w:sz w:val="18"/>
                <w:szCs w:val="18"/>
                <w:lang w:eastAsia="en-GB"/>
              </w:rPr>
              <w:t>53.33 (4.87)</w:t>
            </w:r>
          </w:p>
        </w:tc>
        <w:tc>
          <w:tcPr>
            <w:tcW w:w="912" w:type="dxa"/>
            <w:tcBorders>
              <w:top w:val="none" w:sz="0" w:space="0" w:color="auto"/>
              <w:bottom w:val="none" w:sz="0" w:space="0" w:color="auto"/>
              <w:right w:val="none" w:sz="0" w:space="0" w:color="auto"/>
            </w:tcBorders>
            <w:shd w:val="clear" w:color="auto" w:fill="auto"/>
            <w:noWrap/>
            <w:hideMark/>
          </w:tcPr>
          <w:p w14:paraId="2FD73AF6" w14:textId="77777777" w:rsidR="00301C04" w:rsidRPr="006527E3" w:rsidRDefault="00301C04" w:rsidP="00874C0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en-GB"/>
              </w:rPr>
            </w:pPr>
            <w:r w:rsidRPr="006527E3">
              <w:rPr>
                <w:rFonts w:ascii="Times New Roman" w:eastAsia="Times New Roman" w:hAnsi="Times New Roman" w:cs="Times New Roman"/>
                <w:color w:val="000000"/>
                <w:sz w:val="18"/>
                <w:szCs w:val="18"/>
                <w:lang w:eastAsia="en-GB"/>
              </w:rPr>
              <w:t>0.55</w:t>
            </w:r>
          </w:p>
        </w:tc>
      </w:tr>
      <w:tr w:rsidR="00301C04" w:rsidRPr="006527E3" w14:paraId="4C95E83A" w14:textId="77777777" w:rsidTr="00874C0D">
        <w:trPr>
          <w:trHeight w:val="300"/>
        </w:trPr>
        <w:tc>
          <w:tcPr>
            <w:cnfStyle w:val="001000000000" w:firstRow="0" w:lastRow="0" w:firstColumn="1" w:lastColumn="0" w:oddVBand="0" w:evenVBand="0" w:oddHBand="0" w:evenHBand="0" w:firstRowFirstColumn="0" w:firstRowLastColumn="0" w:lastRowFirstColumn="0" w:lastRowLastColumn="0"/>
            <w:tcW w:w="2376" w:type="dxa"/>
            <w:shd w:val="clear" w:color="auto" w:fill="auto"/>
            <w:noWrap/>
            <w:hideMark/>
          </w:tcPr>
          <w:p w14:paraId="19E03F22" w14:textId="77777777" w:rsidR="00301C04" w:rsidRPr="006527E3" w:rsidRDefault="00301C04" w:rsidP="00874C0D">
            <w:pPr>
              <w:rPr>
                <w:rFonts w:ascii="Times New Roman" w:eastAsia="Times New Roman" w:hAnsi="Times New Roman" w:cs="Times New Roman"/>
                <w:b w:val="0"/>
                <w:color w:val="000000"/>
                <w:sz w:val="18"/>
                <w:szCs w:val="18"/>
                <w:lang w:eastAsia="en-GB"/>
              </w:rPr>
            </w:pPr>
            <w:r w:rsidRPr="006527E3">
              <w:rPr>
                <w:rFonts w:ascii="Times New Roman" w:eastAsia="Times New Roman" w:hAnsi="Times New Roman" w:cs="Times New Roman"/>
                <w:b w:val="0"/>
                <w:color w:val="000000"/>
                <w:sz w:val="18"/>
                <w:szCs w:val="18"/>
                <w:lang w:eastAsia="en-GB"/>
              </w:rPr>
              <w:t> </w:t>
            </w:r>
          </w:p>
        </w:tc>
        <w:tc>
          <w:tcPr>
            <w:tcW w:w="1560" w:type="dxa"/>
            <w:shd w:val="clear" w:color="auto" w:fill="auto"/>
            <w:noWrap/>
            <w:hideMark/>
          </w:tcPr>
          <w:p w14:paraId="4AE2C934" w14:textId="77777777" w:rsidR="00301C04" w:rsidRPr="006527E3" w:rsidRDefault="00301C04" w:rsidP="00874C0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en-GB"/>
              </w:rPr>
            </w:pPr>
          </w:p>
        </w:tc>
        <w:tc>
          <w:tcPr>
            <w:tcW w:w="1984" w:type="dxa"/>
            <w:gridSpan w:val="2"/>
            <w:shd w:val="clear" w:color="auto" w:fill="auto"/>
            <w:noWrap/>
            <w:hideMark/>
          </w:tcPr>
          <w:p w14:paraId="794D9F29" w14:textId="77777777" w:rsidR="00301C04" w:rsidRPr="006527E3" w:rsidRDefault="00301C04" w:rsidP="00874C0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en-GB"/>
              </w:rPr>
            </w:pPr>
          </w:p>
        </w:tc>
        <w:tc>
          <w:tcPr>
            <w:tcW w:w="654" w:type="dxa"/>
            <w:shd w:val="clear" w:color="auto" w:fill="auto"/>
            <w:noWrap/>
            <w:hideMark/>
          </w:tcPr>
          <w:p w14:paraId="31DFEED7" w14:textId="77777777" w:rsidR="00301C04" w:rsidRPr="006527E3" w:rsidRDefault="00301C04" w:rsidP="00874C0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en-GB"/>
              </w:rPr>
            </w:pPr>
          </w:p>
        </w:tc>
        <w:tc>
          <w:tcPr>
            <w:tcW w:w="1756" w:type="dxa"/>
            <w:shd w:val="clear" w:color="auto" w:fill="auto"/>
            <w:noWrap/>
            <w:hideMark/>
          </w:tcPr>
          <w:p w14:paraId="76DA8D30" w14:textId="77777777" w:rsidR="00301C04" w:rsidRPr="006527E3" w:rsidRDefault="00301C04" w:rsidP="00874C0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en-GB"/>
              </w:rPr>
            </w:pPr>
          </w:p>
        </w:tc>
        <w:tc>
          <w:tcPr>
            <w:tcW w:w="912" w:type="dxa"/>
            <w:shd w:val="clear" w:color="auto" w:fill="auto"/>
            <w:noWrap/>
            <w:hideMark/>
          </w:tcPr>
          <w:p w14:paraId="39675789" w14:textId="77777777" w:rsidR="00301C04" w:rsidRPr="006527E3" w:rsidRDefault="00301C04" w:rsidP="00874C0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en-GB"/>
              </w:rPr>
            </w:pPr>
          </w:p>
        </w:tc>
      </w:tr>
      <w:tr w:rsidR="00301C04" w:rsidRPr="006527E3" w14:paraId="74900EDB" w14:textId="77777777" w:rsidTr="00874C0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76" w:type="dxa"/>
            <w:tcBorders>
              <w:top w:val="none" w:sz="0" w:space="0" w:color="auto"/>
              <w:left w:val="none" w:sz="0" w:space="0" w:color="auto"/>
              <w:bottom w:val="none" w:sz="0" w:space="0" w:color="auto"/>
            </w:tcBorders>
            <w:shd w:val="clear" w:color="auto" w:fill="auto"/>
            <w:noWrap/>
            <w:hideMark/>
          </w:tcPr>
          <w:p w14:paraId="2DFAE186" w14:textId="77777777" w:rsidR="00301C04" w:rsidRPr="006527E3" w:rsidRDefault="00301C04" w:rsidP="00874C0D">
            <w:pPr>
              <w:rPr>
                <w:rFonts w:ascii="Times New Roman" w:eastAsia="Times New Roman" w:hAnsi="Times New Roman" w:cs="Times New Roman"/>
                <w:b w:val="0"/>
                <w:color w:val="000000"/>
                <w:sz w:val="18"/>
                <w:szCs w:val="18"/>
                <w:lang w:eastAsia="en-GB"/>
              </w:rPr>
            </w:pPr>
            <w:r w:rsidRPr="006527E3">
              <w:rPr>
                <w:rFonts w:ascii="Times New Roman" w:eastAsia="Times New Roman" w:hAnsi="Times New Roman" w:cs="Times New Roman"/>
                <w:b w:val="0"/>
                <w:i/>
                <w:color w:val="000000"/>
                <w:sz w:val="18"/>
                <w:szCs w:val="18"/>
                <w:lang w:eastAsia="en-GB"/>
              </w:rPr>
              <w:t>BMC (g): mean (SD)</w:t>
            </w:r>
          </w:p>
        </w:tc>
        <w:tc>
          <w:tcPr>
            <w:tcW w:w="1560" w:type="dxa"/>
            <w:tcBorders>
              <w:top w:val="none" w:sz="0" w:space="0" w:color="auto"/>
              <w:bottom w:val="none" w:sz="0" w:space="0" w:color="auto"/>
            </w:tcBorders>
            <w:shd w:val="clear" w:color="auto" w:fill="auto"/>
            <w:noWrap/>
            <w:hideMark/>
          </w:tcPr>
          <w:p w14:paraId="0CAA8D1A" w14:textId="77777777" w:rsidR="00301C04" w:rsidRPr="006527E3" w:rsidRDefault="00301C04" w:rsidP="00874C0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en-GB"/>
              </w:rPr>
            </w:pPr>
          </w:p>
        </w:tc>
        <w:tc>
          <w:tcPr>
            <w:tcW w:w="1984" w:type="dxa"/>
            <w:gridSpan w:val="2"/>
            <w:tcBorders>
              <w:top w:val="none" w:sz="0" w:space="0" w:color="auto"/>
              <w:bottom w:val="none" w:sz="0" w:space="0" w:color="auto"/>
            </w:tcBorders>
            <w:shd w:val="clear" w:color="auto" w:fill="auto"/>
            <w:noWrap/>
            <w:hideMark/>
          </w:tcPr>
          <w:p w14:paraId="05F3D380" w14:textId="77777777" w:rsidR="00301C04" w:rsidRPr="006527E3" w:rsidRDefault="00301C04" w:rsidP="00874C0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en-GB"/>
              </w:rPr>
            </w:pPr>
          </w:p>
        </w:tc>
        <w:tc>
          <w:tcPr>
            <w:tcW w:w="654" w:type="dxa"/>
            <w:tcBorders>
              <w:top w:val="none" w:sz="0" w:space="0" w:color="auto"/>
              <w:bottom w:val="none" w:sz="0" w:space="0" w:color="auto"/>
            </w:tcBorders>
            <w:shd w:val="clear" w:color="auto" w:fill="auto"/>
            <w:noWrap/>
            <w:hideMark/>
          </w:tcPr>
          <w:p w14:paraId="760579B0" w14:textId="77777777" w:rsidR="00301C04" w:rsidRPr="006527E3" w:rsidRDefault="00301C04" w:rsidP="00874C0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en-GB"/>
              </w:rPr>
            </w:pPr>
          </w:p>
        </w:tc>
        <w:tc>
          <w:tcPr>
            <w:tcW w:w="1756" w:type="dxa"/>
            <w:tcBorders>
              <w:top w:val="none" w:sz="0" w:space="0" w:color="auto"/>
              <w:bottom w:val="none" w:sz="0" w:space="0" w:color="auto"/>
            </w:tcBorders>
            <w:shd w:val="clear" w:color="auto" w:fill="auto"/>
            <w:noWrap/>
            <w:hideMark/>
          </w:tcPr>
          <w:p w14:paraId="4B1A4AE0" w14:textId="77777777" w:rsidR="00301C04" w:rsidRPr="006527E3" w:rsidRDefault="00301C04" w:rsidP="00874C0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en-GB"/>
              </w:rPr>
            </w:pPr>
          </w:p>
        </w:tc>
        <w:tc>
          <w:tcPr>
            <w:tcW w:w="912" w:type="dxa"/>
            <w:tcBorders>
              <w:top w:val="none" w:sz="0" w:space="0" w:color="auto"/>
              <w:bottom w:val="none" w:sz="0" w:space="0" w:color="auto"/>
              <w:right w:val="none" w:sz="0" w:space="0" w:color="auto"/>
            </w:tcBorders>
            <w:shd w:val="clear" w:color="auto" w:fill="auto"/>
            <w:noWrap/>
            <w:hideMark/>
          </w:tcPr>
          <w:p w14:paraId="4AB7499E" w14:textId="77777777" w:rsidR="00301C04" w:rsidRPr="006527E3" w:rsidRDefault="00301C04" w:rsidP="00874C0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en-GB"/>
              </w:rPr>
            </w:pPr>
          </w:p>
        </w:tc>
      </w:tr>
      <w:tr w:rsidR="00301C04" w:rsidRPr="006527E3" w14:paraId="4C98A85E" w14:textId="77777777" w:rsidTr="00874C0D">
        <w:trPr>
          <w:trHeight w:val="315"/>
        </w:trPr>
        <w:tc>
          <w:tcPr>
            <w:cnfStyle w:val="001000000000" w:firstRow="0" w:lastRow="0" w:firstColumn="1" w:lastColumn="0" w:oddVBand="0" w:evenVBand="0" w:oddHBand="0" w:evenHBand="0" w:firstRowFirstColumn="0" w:firstRowLastColumn="0" w:lastRowFirstColumn="0" w:lastRowLastColumn="0"/>
            <w:tcW w:w="2376" w:type="dxa"/>
            <w:shd w:val="clear" w:color="auto" w:fill="auto"/>
            <w:noWrap/>
            <w:hideMark/>
          </w:tcPr>
          <w:p w14:paraId="5596ED4E" w14:textId="77777777" w:rsidR="00301C04" w:rsidRPr="006527E3" w:rsidRDefault="00301C04" w:rsidP="00874C0D">
            <w:pPr>
              <w:rPr>
                <w:rFonts w:ascii="Times New Roman" w:eastAsia="Times New Roman" w:hAnsi="Times New Roman" w:cs="Times New Roman"/>
                <w:b w:val="0"/>
                <w:color w:val="000000"/>
                <w:sz w:val="18"/>
                <w:szCs w:val="18"/>
                <w:lang w:eastAsia="en-GB"/>
              </w:rPr>
            </w:pPr>
            <w:r w:rsidRPr="006527E3">
              <w:rPr>
                <w:rFonts w:ascii="Times New Roman" w:eastAsia="Times New Roman" w:hAnsi="Times New Roman" w:cs="Times New Roman"/>
                <w:b w:val="0"/>
                <w:color w:val="000000"/>
                <w:sz w:val="18"/>
                <w:szCs w:val="18"/>
                <w:lang w:eastAsia="en-GB"/>
              </w:rPr>
              <w:t>Femoral neck</w:t>
            </w:r>
          </w:p>
        </w:tc>
        <w:tc>
          <w:tcPr>
            <w:tcW w:w="1560" w:type="dxa"/>
            <w:shd w:val="clear" w:color="auto" w:fill="auto"/>
            <w:noWrap/>
            <w:hideMark/>
          </w:tcPr>
          <w:p w14:paraId="1A1AAC05" w14:textId="77777777" w:rsidR="00301C04" w:rsidRPr="006527E3" w:rsidRDefault="00301C04" w:rsidP="00874C0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en-GB"/>
              </w:rPr>
            </w:pPr>
            <w:r w:rsidRPr="006527E3">
              <w:rPr>
                <w:rFonts w:ascii="Times New Roman" w:eastAsia="Times New Roman" w:hAnsi="Times New Roman" w:cs="Times New Roman"/>
                <w:color w:val="000000"/>
                <w:sz w:val="18"/>
                <w:szCs w:val="18"/>
                <w:lang w:eastAsia="en-GB"/>
              </w:rPr>
              <w:t>4.38 (0.88)</w:t>
            </w:r>
          </w:p>
        </w:tc>
        <w:tc>
          <w:tcPr>
            <w:tcW w:w="1984" w:type="dxa"/>
            <w:gridSpan w:val="2"/>
            <w:shd w:val="clear" w:color="auto" w:fill="auto"/>
            <w:noWrap/>
            <w:hideMark/>
          </w:tcPr>
          <w:p w14:paraId="0C45F7C3" w14:textId="77777777" w:rsidR="00301C04" w:rsidRPr="006527E3" w:rsidRDefault="00301C04" w:rsidP="00874C0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en-GB"/>
              </w:rPr>
            </w:pPr>
            <w:r w:rsidRPr="006527E3">
              <w:rPr>
                <w:rFonts w:ascii="Times New Roman" w:eastAsia="Times New Roman" w:hAnsi="Times New Roman" w:cs="Times New Roman"/>
                <w:color w:val="000000"/>
                <w:sz w:val="18"/>
                <w:szCs w:val="18"/>
                <w:lang w:eastAsia="en-GB"/>
              </w:rPr>
              <w:t>4.45 (0.87)</w:t>
            </w:r>
          </w:p>
        </w:tc>
        <w:tc>
          <w:tcPr>
            <w:tcW w:w="654" w:type="dxa"/>
            <w:shd w:val="clear" w:color="auto" w:fill="auto"/>
            <w:noWrap/>
            <w:hideMark/>
          </w:tcPr>
          <w:p w14:paraId="733EB34D" w14:textId="77777777" w:rsidR="00301C04" w:rsidRPr="006527E3" w:rsidRDefault="00301C04" w:rsidP="00874C0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en-GB"/>
              </w:rPr>
            </w:pPr>
            <w:r w:rsidRPr="006527E3">
              <w:rPr>
                <w:rFonts w:ascii="Times New Roman" w:eastAsia="Times New Roman" w:hAnsi="Times New Roman" w:cs="Times New Roman"/>
                <w:color w:val="000000"/>
                <w:sz w:val="18"/>
                <w:szCs w:val="18"/>
                <w:lang w:eastAsia="en-GB"/>
              </w:rPr>
              <w:t>0.2</w:t>
            </w:r>
          </w:p>
        </w:tc>
        <w:tc>
          <w:tcPr>
            <w:tcW w:w="1756" w:type="dxa"/>
            <w:shd w:val="clear" w:color="auto" w:fill="auto"/>
            <w:noWrap/>
            <w:hideMark/>
          </w:tcPr>
          <w:p w14:paraId="47718B68" w14:textId="77777777" w:rsidR="00301C04" w:rsidRPr="006527E3" w:rsidRDefault="00301C04" w:rsidP="00874C0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en-GB"/>
              </w:rPr>
            </w:pPr>
            <w:r w:rsidRPr="006527E3">
              <w:rPr>
                <w:rFonts w:ascii="Times New Roman" w:eastAsia="Times New Roman" w:hAnsi="Times New Roman" w:cs="Times New Roman"/>
                <w:color w:val="000000"/>
                <w:sz w:val="18"/>
                <w:szCs w:val="18"/>
                <w:lang w:eastAsia="en-GB"/>
              </w:rPr>
              <w:t>3.99 (0.73)</w:t>
            </w:r>
          </w:p>
        </w:tc>
        <w:tc>
          <w:tcPr>
            <w:tcW w:w="912" w:type="dxa"/>
            <w:shd w:val="clear" w:color="auto" w:fill="auto"/>
            <w:noWrap/>
            <w:hideMark/>
          </w:tcPr>
          <w:p w14:paraId="69FDE720" w14:textId="77777777" w:rsidR="00301C04" w:rsidRPr="006527E3" w:rsidRDefault="00301C04" w:rsidP="00874C0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en-GB"/>
              </w:rPr>
            </w:pPr>
            <w:r w:rsidRPr="006527E3">
              <w:rPr>
                <w:rFonts w:ascii="Times New Roman" w:eastAsia="Times New Roman" w:hAnsi="Times New Roman" w:cs="Times New Roman"/>
                <w:color w:val="000000"/>
                <w:sz w:val="18"/>
                <w:szCs w:val="18"/>
                <w:lang w:eastAsia="en-GB"/>
              </w:rPr>
              <w:t>0.002</w:t>
            </w:r>
          </w:p>
        </w:tc>
      </w:tr>
      <w:tr w:rsidR="00301C04" w:rsidRPr="006527E3" w14:paraId="0A113AA4" w14:textId="77777777" w:rsidTr="00874C0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76" w:type="dxa"/>
            <w:tcBorders>
              <w:top w:val="none" w:sz="0" w:space="0" w:color="auto"/>
              <w:left w:val="none" w:sz="0" w:space="0" w:color="auto"/>
              <w:bottom w:val="none" w:sz="0" w:space="0" w:color="auto"/>
            </w:tcBorders>
            <w:shd w:val="clear" w:color="auto" w:fill="auto"/>
            <w:noWrap/>
            <w:hideMark/>
          </w:tcPr>
          <w:p w14:paraId="177FEDA6" w14:textId="77777777" w:rsidR="00301C04" w:rsidRPr="006527E3" w:rsidRDefault="00301C04" w:rsidP="00874C0D">
            <w:pPr>
              <w:rPr>
                <w:rFonts w:ascii="Times New Roman" w:eastAsia="Times New Roman" w:hAnsi="Times New Roman" w:cs="Times New Roman"/>
                <w:b w:val="0"/>
                <w:i/>
                <w:color w:val="000000"/>
                <w:sz w:val="18"/>
                <w:szCs w:val="18"/>
                <w:lang w:eastAsia="en-GB"/>
              </w:rPr>
            </w:pPr>
            <w:r w:rsidRPr="006527E3">
              <w:rPr>
                <w:rFonts w:ascii="Times New Roman" w:eastAsia="Times New Roman" w:hAnsi="Times New Roman" w:cs="Times New Roman"/>
                <w:b w:val="0"/>
                <w:color w:val="000000"/>
                <w:sz w:val="18"/>
                <w:szCs w:val="18"/>
                <w:lang w:eastAsia="en-GB"/>
              </w:rPr>
              <w:t>Lumbar spine</w:t>
            </w:r>
          </w:p>
        </w:tc>
        <w:tc>
          <w:tcPr>
            <w:tcW w:w="1560" w:type="dxa"/>
            <w:tcBorders>
              <w:top w:val="none" w:sz="0" w:space="0" w:color="auto"/>
              <w:bottom w:val="none" w:sz="0" w:space="0" w:color="auto"/>
            </w:tcBorders>
            <w:shd w:val="clear" w:color="auto" w:fill="auto"/>
            <w:noWrap/>
            <w:hideMark/>
          </w:tcPr>
          <w:p w14:paraId="21CCC86E" w14:textId="77777777" w:rsidR="00301C04" w:rsidRPr="006527E3" w:rsidRDefault="00301C04" w:rsidP="00874C0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en-GB"/>
              </w:rPr>
            </w:pPr>
            <w:r w:rsidRPr="006527E3">
              <w:rPr>
                <w:rFonts w:ascii="Times New Roman" w:eastAsia="Times New Roman" w:hAnsi="Times New Roman" w:cs="Times New Roman"/>
                <w:color w:val="000000"/>
                <w:sz w:val="18"/>
                <w:szCs w:val="18"/>
                <w:lang w:eastAsia="en-GB"/>
              </w:rPr>
              <w:t>61.60 (13.79)</w:t>
            </w:r>
          </w:p>
        </w:tc>
        <w:tc>
          <w:tcPr>
            <w:tcW w:w="1984" w:type="dxa"/>
            <w:gridSpan w:val="2"/>
            <w:tcBorders>
              <w:top w:val="none" w:sz="0" w:space="0" w:color="auto"/>
              <w:bottom w:val="none" w:sz="0" w:space="0" w:color="auto"/>
            </w:tcBorders>
            <w:shd w:val="clear" w:color="auto" w:fill="auto"/>
            <w:noWrap/>
            <w:hideMark/>
          </w:tcPr>
          <w:p w14:paraId="4831F69B" w14:textId="77777777" w:rsidR="00301C04" w:rsidRPr="006527E3" w:rsidRDefault="00301C04" w:rsidP="00874C0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en-GB"/>
              </w:rPr>
            </w:pPr>
            <w:r w:rsidRPr="006527E3">
              <w:rPr>
                <w:rFonts w:ascii="Times New Roman" w:eastAsia="Times New Roman" w:hAnsi="Times New Roman" w:cs="Times New Roman"/>
                <w:color w:val="000000"/>
                <w:sz w:val="18"/>
                <w:szCs w:val="18"/>
                <w:lang w:eastAsia="en-GB"/>
              </w:rPr>
              <w:t>62.50 (13.74)</w:t>
            </w:r>
          </w:p>
        </w:tc>
        <w:tc>
          <w:tcPr>
            <w:tcW w:w="654" w:type="dxa"/>
            <w:tcBorders>
              <w:top w:val="none" w:sz="0" w:space="0" w:color="auto"/>
              <w:bottom w:val="none" w:sz="0" w:space="0" w:color="auto"/>
            </w:tcBorders>
            <w:shd w:val="clear" w:color="auto" w:fill="auto"/>
            <w:noWrap/>
            <w:hideMark/>
          </w:tcPr>
          <w:p w14:paraId="3FCE7F8F" w14:textId="77777777" w:rsidR="00301C04" w:rsidRPr="006527E3" w:rsidRDefault="00301C04" w:rsidP="00874C0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en-GB"/>
              </w:rPr>
            </w:pPr>
            <w:r w:rsidRPr="006527E3">
              <w:rPr>
                <w:rFonts w:ascii="Times New Roman" w:eastAsia="Times New Roman" w:hAnsi="Times New Roman" w:cs="Times New Roman"/>
                <w:color w:val="000000"/>
                <w:sz w:val="18"/>
                <w:szCs w:val="18"/>
                <w:lang w:eastAsia="en-GB"/>
              </w:rPr>
              <w:t>0.3</w:t>
            </w:r>
          </w:p>
        </w:tc>
        <w:tc>
          <w:tcPr>
            <w:tcW w:w="1756" w:type="dxa"/>
            <w:tcBorders>
              <w:top w:val="none" w:sz="0" w:space="0" w:color="auto"/>
              <w:bottom w:val="none" w:sz="0" w:space="0" w:color="auto"/>
            </w:tcBorders>
            <w:shd w:val="clear" w:color="auto" w:fill="auto"/>
            <w:noWrap/>
            <w:hideMark/>
          </w:tcPr>
          <w:p w14:paraId="70007653" w14:textId="77777777" w:rsidR="00301C04" w:rsidRPr="006527E3" w:rsidRDefault="00301C04" w:rsidP="00874C0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en-GB"/>
              </w:rPr>
            </w:pPr>
            <w:r w:rsidRPr="006527E3">
              <w:rPr>
                <w:rFonts w:ascii="Times New Roman" w:eastAsia="Times New Roman" w:hAnsi="Times New Roman" w:cs="Times New Roman"/>
                <w:color w:val="000000"/>
                <w:sz w:val="18"/>
                <w:szCs w:val="18"/>
                <w:lang w:eastAsia="en-GB"/>
              </w:rPr>
              <w:t>55.28 (12.87)</w:t>
            </w:r>
          </w:p>
        </w:tc>
        <w:tc>
          <w:tcPr>
            <w:tcW w:w="912" w:type="dxa"/>
            <w:tcBorders>
              <w:top w:val="none" w:sz="0" w:space="0" w:color="auto"/>
              <w:bottom w:val="none" w:sz="0" w:space="0" w:color="auto"/>
              <w:right w:val="none" w:sz="0" w:space="0" w:color="auto"/>
            </w:tcBorders>
            <w:shd w:val="clear" w:color="auto" w:fill="auto"/>
            <w:noWrap/>
            <w:hideMark/>
          </w:tcPr>
          <w:p w14:paraId="5CC84523" w14:textId="77777777" w:rsidR="00301C04" w:rsidRPr="006527E3" w:rsidRDefault="00301C04" w:rsidP="00874C0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en-GB"/>
              </w:rPr>
            </w:pPr>
            <w:r w:rsidRPr="006527E3">
              <w:rPr>
                <w:rFonts w:ascii="Times New Roman" w:eastAsia="Times New Roman" w:hAnsi="Times New Roman" w:cs="Times New Roman"/>
                <w:color w:val="000000"/>
                <w:sz w:val="18"/>
                <w:szCs w:val="18"/>
                <w:lang w:eastAsia="en-GB"/>
              </w:rPr>
              <w:t>0.001</w:t>
            </w:r>
          </w:p>
        </w:tc>
      </w:tr>
      <w:tr w:rsidR="00301C04" w:rsidRPr="006527E3" w14:paraId="58272A43" w14:textId="77777777" w:rsidTr="00874C0D">
        <w:trPr>
          <w:trHeight w:val="315"/>
        </w:trPr>
        <w:tc>
          <w:tcPr>
            <w:cnfStyle w:val="001000000000" w:firstRow="0" w:lastRow="0" w:firstColumn="1" w:lastColumn="0" w:oddVBand="0" w:evenVBand="0" w:oddHBand="0" w:evenHBand="0" w:firstRowFirstColumn="0" w:firstRowLastColumn="0" w:lastRowFirstColumn="0" w:lastRowLastColumn="0"/>
            <w:tcW w:w="2376" w:type="dxa"/>
            <w:shd w:val="clear" w:color="auto" w:fill="auto"/>
            <w:noWrap/>
            <w:hideMark/>
          </w:tcPr>
          <w:p w14:paraId="520360C5" w14:textId="77777777" w:rsidR="00301C04" w:rsidRPr="006527E3" w:rsidRDefault="00301C04" w:rsidP="00874C0D">
            <w:pPr>
              <w:rPr>
                <w:rFonts w:ascii="Times New Roman" w:eastAsia="Times New Roman" w:hAnsi="Times New Roman" w:cs="Times New Roman"/>
                <w:b w:val="0"/>
                <w:i/>
                <w:color w:val="000000"/>
                <w:sz w:val="18"/>
                <w:szCs w:val="18"/>
                <w:lang w:eastAsia="en-GB"/>
              </w:rPr>
            </w:pPr>
            <w:r w:rsidRPr="006527E3">
              <w:rPr>
                <w:rFonts w:ascii="Times New Roman" w:eastAsia="Times New Roman" w:hAnsi="Times New Roman" w:cs="Times New Roman"/>
                <w:b w:val="0"/>
                <w:color w:val="000000"/>
                <w:sz w:val="18"/>
                <w:szCs w:val="18"/>
                <w:lang w:eastAsia="en-GB"/>
              </w:rPr>
              <w:t>Whole body</w:t>
            </w:r>
          </w:p>
        </w:tc>
        <w:tc>
          <w:tcPr>
            <w:tcW w:w="1560" w:type="dxa"/>
            <w:shd w:val="clear" w:color="auto" w:fill="auto"/>
            <w:noWrap/>
            <w:hideMark/>
          </w:tcPr>
          <w:p w14:paraId="66A4526F" w14:textId="77777777" w:rsidR="00301C04" w:rsidRPr="006527E3" w:rsidRDefault="00301C04" w:rsidP="00874C0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en-GB"/>
              </w:rPr>
            </w:pPr>
            <w:r w:rsidRPr="006527E3">
              <w:rPr>
                <w:rFonts w:ascii="Times New Roman" w:eastAsia="Times New Roman" w:hAnsi="Times New Roman" w:cs="Times New Roman"/>
                <w:color w:val="000000"/>
                <w:sz w:val="18"/>
                <w:szCs w:val="18"/>
                <w:lang w:eastAsia="en-GB"/>
              </w:rPr>
              <w:t>2540.0 (476.7)</w:t>
            </w:r>
          </w:p>
        </w:tc>
        <w:tc>
          <w:tcPr>
            <w:tcW w:w="1984" w:type="dxa"/>
            <w:gridSpan w:val="2"/>
            <w:shd w:val="clear" w:color="auto" w:fill="auto"/>
            <w:noWrap/>
            <w:hideMark/>
          </w:tcPr>
          <w:p w14:paraId="48FB699B" w14:textId="77777777" w:rsidR="00301C04" w:rsidRPr="006527E3" w:rsidRDefault="00301C04" w:rsidP="00874C0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en-GB"/>
              </w:rPr>
            </w:pPr>
            <w:r w:rsidRPr="006527E3">
              <w:rPr>
                <w:rFonts w:ascii="Times New Roman" w:eastAsia="Times New Roman" w:hAnsi="Times New Roman" w:cs="Times New Roman"/>
                <w:color w:val="000000"/>
                <w:sz w:val="18"/>
                <w:szCs w:val="18"/>
                <w:lang w:eastAsia="en-GB"/>
              </w:rPr>
              <w:t>2581.8 (471.1)</w:t>
            </w:r>
          </w:p>
        </w:tc>
        <w:tc>
          <w:tcPr>
            <w:tcW w:w="654" w:type="dxa"/>
            <w:shd w:val="clear" w:color="auto" w:fill="auto"/>
            <w:noWrap/>
            <w:hideMark/>
          </w:tcPr>
          <w:p w14:paraId="700F2DC2" w14:textId="77777777" w:rsidR="00301C04" w:rsidRPr="006527E3" w:rsidRDefault="00301C04" w:rsidP="00874C0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en-GB"/>
              </w:rPr>
            </w:pPr>
            <w:r w:rsidRPr="006527E3">
              <w:rPr>
                <w:rFonts w:ascii="Times New Roman" w:eastAsia="Times New Roman" w:hAnsi="Times New Roman" w:cs="Times New Roman"/>
                <w:color w:val="000000"/>
                <w:sz w:val="18"/>
                <w:szCs w:val="18"/>
                <w:lang w:eastAsia="en-GB"/>
              </w:rPr>
              <w:t>0.15</w:t>
            </w:r>
          </w:p>
        </w:tc>
        <w:tc>
          <w:tcPr>
            <w:tcW w:w="1756" w:type="dxa"/>
            <w:shd w:val="clear" w:color="auto" w:fill="auto"/>
            <w:noWrap/>
            <w:hideMark/>
          </w:tcPr>
          <w:p w14:paraId="115B4C23" w14:textId="77777777" w:rsidR="00301C04" w:rsidRPr="006527E3" w:rsidRDefault="00301C04" w:rsidP="00874C0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en-GB"/>
              </w:rPr>
            </w:pPr>
            <w:r w:rsidRPr="006527E3">
              <w:rPr>
                <w:rFonts w:ascii="Times New Roman" w:eastAsia="Times New Roman" w:hAnsi="Times New Roman" w:cs="Times New Roman"/>
                <w:color w:val="000000"/>
                <w:sz w:val="18"/>
                <w:szCs w:val="18"/>
                <w:lang w:eastAsia="en-GB"/>
              </w:rPr>
              <w:t>2376.6 (528.2)</w:t>
            </w:r>
          </w:p>
        </w:tc>
        <w:tc>
          <w:tcPr>
            <w:tcW w:w="912" w:type="dxa"/>
            <w:shd w:val="clear" w:color="auto" w:fill="auto"/>
            <w:noWrap/>
            <w:hideMark/>
          </w:tcPr>
          <w:p w14:paraId="76849A7A" w14:textId="77777777" w:rsidR="00301C04" w:rsidRPr="006527E3" w:rsidRDefault="00301C04" w:rsidP="00874C0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en-GB"/>
              </w:rPr>
            </w:pPr>
            <w:r w:rsidRPr="006527E3">
              <w:rPr>
                <w:rFonts w:ascii="Times New Roman" w:eastAsia="Times New Roman" w:hAnsi="Times New Roman" w:cs="Times New Roman"/>
                <w:color w:val="000000"/>
                <w:sz w:val="18"/>
                <w:szCs w:val="18"/>
                <w:lang w:eastAsia="en-GB"/>
              </w:rPr>
              <w:t>0.02</w:t>
            </w:r>
          </w:p>
        </w:tc>
      </w:tr>
      <w:tr w:rsidR="00301C04" w:rsidRPr="006527E3" w14:paraId="4C5BCF00" w14:textId="77777777" w:rsidTr="00874C0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76" w:type="dxa"/>
            <w:tcBorders>
              <w:top w:val="none" w:sz="0" w:space="0" w:color="auto"/>
              <w:left w:val="none" w:sz="0" w:space="0" w:color="auto"/>
              <w:bottom w:val="none" w:sz="0" w:space="0" w:color="auto"/>
            </w:tcBorders>
            <w:shd w:val="clear" w:color="auto" w:fill="auto"/>
            <w:noWrap/>
            <w:hideMark/>
          </w:tcPr>
          <w:p w14:paraId="718D3490" w14:textId="77777777" w:rsidR="00301C04" w:rsidRPr="006527E3" w:rsidRDefault="00301C04" w:rsidP="00874C0D">
            <w:pPr>
              <w:rPr>
                <w:rFonts w:ascii="Times New Roman" w:eastAsia="Times New Roman" w:hAnsi="Times New Roman" w:cs="Times New Roman"/>
                <w:b w:val="0"/>
                <w:color w:val="000000"/>
                <w:sz w:val="18"/>
                <w:szCs w:val="18"/>
                <w:lang w:eastAsia="en-GB"/>
              </w:rPr>
            </w:pPr>
            <w:r w:rsidRPr="006527E3">
              <w:rPr>
                <w:rFonts w:ascii="Times New Roman" w:eastAsia="Times New Roman" w:hAnsi="Times New Roman" w:cs="Times New Roman"/>
                <w:b w:val="0"/>
                <w:color w:val="000000"/>
                <w:sz w:val="18"/>
                <w:szCs w:val="18"/>
                <w:lang w:eastAsia="en-GB"/>
              </w:rPr>
              <w:t> </w:t>
            </w:r>
          </w:p>
        </w:tc>
        <w:tc>
          <w:tcPr>
            <w:tcW w:w="1560" w:type="dxa"/>
            <w:tcBorders>
              <w:top w:val="none" w:sz="0" w:space="0" w:color="auto"/>
              <w:bottom w:val="none" w:sz="0" w:space="0" w:color="auto"/>
            </w:tcBorders>
            <w:shd w:val="clear" w:color="auto" w:fill="auto"/>
            <w:noWrap/>
            <w:hideMark/>
          </w:tcPr>
          <w:p w14:paraId="51266B8D" w14:textId="77777777" w:rsidR="00301C04" w:rsidRPr="006527E3" w:rsidRDefault="00301C04" w:rsidP="00874C0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en-GB"/>
              </w:rPr>
            </w:pPr>
          </w:p>
        </w:tc>
        <w:tc>
          <w:tcPr>
            <w:tcW w:w="1984" w:type="dxa"/>
            <w:gridSpan w:val="2"/>
            <w:tcBorders>
              <w:top w:val="none" w:sz="0" w:space="0" w:color="auto"/>
              <w:bottom w:val="none" w:sz="0" w:space="0" w:color="auto"/>
            </w:tcBorders>
            <w:shd w:val="clear" w:color="auto" w:fill="auto"/>
            <w:noWrap/>
            <w:hideMark/>
          </w:tcPr>
          <w:p w14:paraId="49F8E826" w14:textId="77777777" w:rsidR="00301C04" w:rsidRPr="006527E3" w:rsidRDefault="00301C04" w:rsidP="00874C0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en-GB"/>
              </w:rPr>
            </w:pPr>
          </w:p>
        </w:tc>
        <w:tc>
          <w:tcPr>
            <w:tcW w:w="654" w:type="dxa"/>
            <w:tcBorders>
              <w:top w:val="none" w:sz="0" w:space="0" w:color="auto"/>
              <w:bottom w:val="none" w:sz="0" w:space="0" w:color="auto"/>
            </w:tcBorders>
            <w:shd w:val="clear" w:color="auto" w:fill="auto"/>
            <w:noWrap/>
            <w:hideMark/>
          </w:tcPr>
          <w:p w14:paraId="6CEED12B" w14:textId="77777777" w:rsidR="00301C04" w:rsidRPr="006527E3" w:rsidRDefault="00301C04" w:rsidP="00874C0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en-GB"/>
              </w:rPr>
            </w:pPr>
          </w:p>
        </w:tc>
        <w:tc>
          <w:tcPr>
            <w:tcW w:w="1756" w:type="dxa"/>
            <w:tcBorders>
              <w:top w:val="none" w:sz="0" w:space="0" w:color="auto"/>
              <w:bottom w:val="none" w:sz="0" w:space="0" w:color="auto"/>
            </w:tcBorders>
            <w:shd w:val="clear" w:color="auto" w:fill="auto"/>
            <w:noWrap/>
            <w:hideMark/>
          </w:tcPr>
          <w:p w14:paraId="20DB56E2" w14:textId="77777777" w:rsidR="00301C04" w:rsidRPr="006527E3" w:rsidRDefault="00301C04" w:rsidP="00874C0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en-GB"/>
              </w:rPr>
            </w:pPr>
          </w:p>
        </w:tc>
        <w:tc>
          <w:tcPr>
            <w:tcW w:w="912" w:type="dxa"/>
            <w:tcBorders>
              <w:top w:val="none" w:sz="0" w:space="0" w:color="auto"/>
              <w:bottom w:val="none" w:sz="0" w:space="0" w:color="auto"/>
              <w:right w:val="none" w:sz="0" w:space="0" w:color="auto"/>
            </w:tcBorders>
            <w:shd w:val="clear" w:color="auto" w:fill="auto"/>
            <w:noWrap/>
          </w:tcPr>
          <w:p w14:paraId="19A0E41C" w14:textId="77777777" w:rsidR="00301C04" w:rsidRPr="006527E3" w:rsidRDefault="00301C04" w:rsidP="00874C0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en-GB"/>
              </w:rPr>
            </w:pPr>
          </w:p>
        </w:tc>
      </w:tr>
      <w:tr w:rsidR="00301C04" w:rsidRPr="006527E3" w14:paraId="4F02A7A0" w14:textId="77777777" w:rsidTr="00874C0D">
        <w:trPr>
          <w:trHeight w:val="300"/>
        </w:trPr>
        <w:tc>
          <w:tcPr>
            <w:cnfStyle w:val="001000000000" w:firstRow="0" w:lastRow="0" w:firstColumn="1" w:lastColumn="0" w:oddVBand="0" w:evenVBand="0" w:oddHBand="0" w:evenHBand="0" w:firstRowFirstColumn="0" w:firstRowLastColumn="0" w:lastRowFirstColumn="0" w:lastRowLastColumn="0"/>
            <w:tcW w:w="2376" w:type="dxa"/>
            <w:shd w:val="clear" w:color="auto" w:fill="auto"/>
            <w:noWrap/>
            <w:hideMark/>
          </w:tcPr>
          <w:p w14:paraId="7921221E" w14:textId="77777777" w:rsidR="00301C04" w:rsidRPr="006527E3" w:rsidRDefault="00301C04" w:rsidP="00874C0D">
            <w:pPr>
              <w:rPr>
                <w:rFonts w:ascii="Times New Roman" w:eastAsia="Times New Roman" w:hAnsi="Times New Roman" w:cs="Times New Roman"/>
                <w:b w:val="0"/>
                <w:color w:val="000000"/>
                <w:sz w:val="18"/>
                <w:szCs w:val="18"/>
                <w:lang w:eastAsia="en-GB"/>
              </w:rPr>
            </w:pPr>
            <w:r w:rsidRPr="006527E3">
              <w:rPr>
                <w:rFonts w:ascii="Times New Roman" w:eastAsia="Times New Roman" w:hAnsi="Times New Roman" w:cs="Times New Roman"/>
                <w:b w:val="0"/>
                <w:i/>
                <w:color w:val="000000"/>
                <w:sz w:val="18"/>
                <w:szCs w:val="18"/>
                <w:lang w:eastAsia="en-GB"/>
              </w:rPr>
              <w:t>BMD (g/cm</w:t>
            </w:r>
            <w:r w:rsidRPr="006527E3">
              <w:rPr>
                <w:rFonts w:ascii="Times New Roman" w:eastAsia="Times New Roman" w:hAnsi="Times New Roman" w:cs="Times New Roman"/>
                <w:b w:val="0"/>
                <w:i/>
                <w:color w:val="000000"/>
                <w:sz w:val="18"/>
                <w:szCs w:val="18"/>
                <w:vertAlign w:val="superscript"/>
                <w:lang w:eastAsia="en-GB"/>
              </w:rPr>
              <w:t>2</w:t>
            </w:r>
            <w:r w:rsidRPr="006527E3">
              <w:rPr>
                <w:rFonts w:ascii="Times New Roman" w:eastAsia="Times New Roman" w:hAnsi="Times New Roman" w:cs="Times New Roman"/>
                <w:b w:val="0"/>
                <w:i/>
                <w:color w:val="000000"/>
                <w:sz w:val="18"/>
                <w:szCs w:val="18"/>
                <w:lang w:eastAsia="en-GB"/>
              </w:rPr>
              <w:t>): mean (SD)</w:t>
            </w:r>
          </w:p>
        </w:tc>
        <w:tc>
          <w:tcPr>
            <w:tcW w:w="1560" w:type="dxa"/>
            <w:shd w:val="clear" w:color="auto" w:fill="auto"/>
            <w:noWrap/>
            <w:hideMark/>
          </w:tcPr>
          <w:p w14:paraId="0726C10D" w14:textId="77777777" w:rsidR="00301C04" w:rsidRPr="006527E3" w:rsidRDefault="00301C04" w:rsidP="00874C0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en-GB"/>
              </w:rPr>
            </w:pPr>
          </w:p>
        </w:tc>
        <w:tc>
          <w:tcPr>
            <w:tcW w:w="1984" w:type="dxa"/>
            <w:gridSpan w:val="2"/>
            <w:shd w:val="clear" w:color="auto" w:fill="auto"/>
            <w:noWrap/>
            <w:hideMark/>
          </w:tcPr>
          <w:p w14:paraId="74C8D5C7" w14:textId="77777777" w:rsidR="00301C04" w:rsidRPr="006527E3" w:rsidRDefault="00301C04" w:rsidP="00874C0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en-GB"/>
              </w:rPr>
            </w:pPr>
          </w:p>
        </w:tc>
        <w:tc>
          <w:tcPr>
            <w:tcW w:w="654" w:type="dxa"/>
            <w:shd w:val="clear" w:color="auto" w:fill="auto"/>
            <w:noWrap/>
            <w:hideMark/>
          </w:tcPr>
          <w:p w14:paraId="57BE2D20" w14:textId="77777777" w:rsidR="00301C04" w:rsidRPr="006527E3" w:rsidRDefault="00301C04" w:rsidP="00874C0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en-GB"/>
              </w:rPr>
            </w:pPr>
          </w:p>
        </w:tc>
        <w:tc>
          <w:tcPr>
            <w:tcW w:w="1756" w:type="dxa"/>
            <w:shd w:val="clear" w:color="auto" w:fill="auto"/>
            <w:noWrap/>
            <w:hideMark/>
          </w:tcPr>
          <w:p w14:paraId="35D60BF4" w14:textId="77777777" w:rsidR="00301C04" w:rsidRPr="006527E3" w:rsidRDefault="00301C04" w:rsidP="00874C0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en-GB"/>
              </w:rPr>
            </w:pPr>
          </w:p>
        </w:tc>
        <w:tc>
          <w:tcPr>
            <w:tcW w:w="912" w:type="dxa"/>
            <w:shd w:val="clear" w:color="auto" w:fill="auto"/>
            <w:noWrap/>
          </w:tcPr>
          <w:p w14:paraId="6F95559F" w14:textId="77777777" w:rsidR="00301C04" w:rsidRPr="006527E3" w:rsidRDefault="00301C04" w:rsidP="00874C0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en-GB"/>
              </w:rPr>
            </w:pPr>
          </w:p>
        </w:tc>
      </w:tr>
      <w:tr w:rsidR="00301C04" w:rsidRPr="006527E3" w14:paraId="7FAFC282" w14:textId="77777777" w:rsidTr="00874C0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76" w:type="dxa"/>
            <w:tcBorders>
              <w:top w:val="none" w:sz="0" w:space="0" w:color="auto"/>
              <w:left w:val="none" w:sz="0" w:space="0" w:color="auto"/>
              <w:bottom w:val="none" w:sz="0" w:space="0" w:color="auto"/>
            </w:tcBorders>
            <w:shd w:val="clear" w:color="auto" w:fill="auto"/>
            <w:noWrap/>
            <w:hideMark/>
          </w:tcPr>
          <w:p w14:paraId="33E59080" w14:textId="77777777" w:rsidR="00301C04" w:rsidRPr="006527E3" w:rsidRDefault="00301C04" w:rsidP="00874C0D">
            <w:pPr>
              <w:rPr>
                <w:rFonts w:ascii="Times New Roman" w:eastAsia="Times New Roman" w:hAnsi="Times New Roman" w:cs="Times New Roman"/>
                <w:b w:val="0"/>
                <w:color w:val="000000"/>
                <w:sz w:val="18"/>
                <w:szCs w:val="18"/>
                <w:lang w:eastAsia="en-GB"/>
              </w:rPr>
            </w:pPr>
            <w:r w:rsidRPr="006527E3">
              <w:rPr>
                <w:rFonts w:ascii="Times New Roman" w:eastAsia="Times New Roman" w:hAnsi="Times New Roman" w:cs="Times New Roman"/>
                <w:b w:val="0"/>
                <w:color w:val="000000"/>
                <w:sz w:val="18"/>
                <w:szCs w:val="18"/>
                <w:lang w:eastAsia="en-GB"/>
              </w:rPr>
              <w:t>Femoral neck</w:t>
            </w:r>
          </w:p>
        </w:tc>
        <w:tc>
          <w:tcPr>
            <w:tcW w:w="1560" w:type="dxa"/>
            <w:tcBorders>
              <w:top w:val="none" w:sz="0" w:space="0" w:color="auto"/>
              <w:bottom w:val="none" w:sz="0" w:space="0" w:color="auto"/>
            </w:tcBorders>
            <w:shd w:val="clear" w:color="auto" w:fill="auto"/>
            <w:noWrap/>
            <w:hideMark/>
          </w:tcPr>
          <w:p w14:paraId="08E53D25" w14:textId="77777777" w:rsidR="00301C04" w:rsidRPr="006527E3" w:rsidRDefault="00301C04" w:rsidP="00874C0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en-GB"/>
              </w:rPr>
            </w:pPr>
            <w:r w:rsidRPr="006527E3">
              <w:rPr>
                <w:rFonts w:ascii="Times New Roman" w:eastAsia="Times New Roman" w:hAnsi="Times New Roman" w:cs="Times New Roman"/>
                <w:color w:val="000000"/>
                <w:sz w:val="18"/>
                <w:szCs w:val="18"/>
                <w:lang w:eastAsia="en-GB"/>
              </w:rPr>
              <w:t>0.92 (0.16)</w:t>
            </w:r>
          </w:p>
        </w:tc>
        <w:tc>
          <w:tcPr>
            <w:tcW w:w="1984" w:type="dxa"/>
            <w:gridSpan w:val="2"/>
            <w:tcBorders>
              <w:top w:val="none" w:sz="0" w:space="0" w:color="auto"/>
              <w:bottom w:val="none" w:sz="0" w:space="0" w:color="auto"/>
            </w:tcBorders>
            <w:shd w:val="clear" w:color="auto" w:fill="auto"/>
            <w:noWrap/>
            <w:hideMark/>
          </w:tcPr>
          <w:p w14:paraId="5D676239" w14:textId="77777777" w:rsidR="00301C04" w:rsidRPr="006527E3" w:rsidRDefault="00301C04" w:rsidP="00874C0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en-GB"/>
              </w:rPr>
            </w:pPr>
            <w:r w:rsidRPr="006527E3">
              <w:rPr>
                <w:rFonts w:ascii="Times New Roman" w:eastAsia="Times New Roman" w:hAnsi="Times New Roman" w:cs="Times New Roman"/>
                <w:color w:val="000000"/>
                <w:sz w:val="18"/>
                <w:szCs w:val="18"/>
                <w:lang w:eastAsia="en-GB"/>
              </w:rPr>
              <w:t>0.93 (0.16)</w:t>
            </w:r>
          </w:p>
        </w:tc>
        <w:tc>
          <w:tcPr>
            <w:tcW w:w="654" w:type="dxa"/>
            <w:tcBorders>
              <w:top w:val="none" w:sz="0" w:space="0" w:color="auto"/>
              <w:bottom w:val="none" w:sz="0" w:space="0" w:color="auto"/>
            </w:tcBorders>
            <w:shd w:val="clear" w:color="auto" w:fill="auto"/>
            <w:noWrap/>
            <w:hideMark/>
          </w:tcPr>
          <w:p w14:paraId="622FFDDF" w14:textId="77777777" w:rsidR="00301C04" w:rsidRPr="006527E3" w:rsidRDefault="00301C04" w:rsidP="00874C0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en-GB"/>
              </w:rPr>
            </w:pPr>
            <w:r w:rsidRPr="006527E3">
              <w:rPr>
                <w:rFonts w:ascii="Times New Roman" w:eastAsia="Times New Roman" w:hAnsi="Times New Roman" w:cs="Times New Roman"/>
                <w:color w:val="000000"/>
                <w:sz w:val="18"/>
                <w:szCs w:val="18"/>
                <w:lang w:eastAsia="en-GB"/>
              </w:rPr>
              <w:t>0.15</w:t>
            </w:r>
          </w:p>
        </w:tc>
        <w:tc>
          <w:tcPr>
            <w:tcW w:w="1756" w:type="dxa"/>
            <w:tcBorders>
              <w:top w:val="none" w:sz="0" w:space="0" w:color="auto"/>
              <w:bottom w:val="none" w:sz="0" w:space="0" w:color="auto"/>
            </w:tcBorders>
            <w:shd w:val="clear" w:color="auto" w:fill="auto"/>
            <w:noWrap/>
            <w:hideMark/>
          </w:tcPr>
          <w:p w14:paraId="662B33B1" w14:textId="77777777" w:rsidR="00301C04" w:rsidRPr="006527E3" w:rsidRDefault="00301C04" w:rsidP="00874C0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en-GB"/>
              </w:rPr>
            </w:pPr>
            <w:r w:rsidRPr="006527E3">
              <w:rPr>
                <w:rFonts w:ascii="Times New Roman" w:eastAsia="Times New Roman" w:hAnsi="Times New Roman" w:cs="Times New Roman"/>
                <w:color w:val="000000"/>
                <w:sz w:val="18"/>
                <w:szCs w:val="18"/>
                <w:lang w:eastAsia="en-GB"/>
              </w:rPr>
              <w:t>0.84 (0.16)</w:t>
            </w:r>
          </w:p>
        </w:tc>
        <w:tc>
          <w:tcPr>
            <w:tcW w:w="912" w:type="dxa"/>
            <w:tcBorders>
              <w:top w:val="none" w:sz="0" w:space="0" w:color="auto"/>
              <w:bottom w:val="none" w:sz="0" w:space="0" w:color="auto"/>
              <w:right w:val="none" w:sz="0" w:space="0" w:color="auto"/>
            </w:tcBorders>
            <w:shd w:val="clear" w:color="auto" w:fill="auto"/>
            <w:noWrap/>
            <w:hideMark/>
          </w:tcPr>
          <w:p w14:paraId="226B0BC8" w14:textId="77777777" w:rsidR="00301C04" w:rsidRPr="006527E3" w:rsidRDefault="00301C04" w:rsidP="00874C0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en-GB"/>
              </w:rPr>
            </w:pPr>
            <w:r w:rsidRPr="006527E3">
              <w:rPr>
                <w:rFonts w:ascii="Times New Roman" w:eastAsia="Times New Roman" w:hAnsi="Times New Roman" w:cs="Times New Roman"/>
                <w:color w:val="000000"/>
                <w:sz w:val="18"/>
                <w:szCs w:val="18"/>
                <w:lang w:eastAsia="en-GB"/>
              </w:rPr>
              <w:t>&lt;0.001</w:t>
            </w:r>
          </w:p>
        </w:tc>
      </w:tr>
      <w:tr w:rsidR="00301C04" w:rsidRPr="006527E3" w14:paraId="180FFB05" w14:textId="77777777" w:rsidTr="00874C0D">
        <w:trPr>
          <w:trHeight w:val="315"/>
        </w:trPr>
        <w:tc>
          <w:tcPr>
            <w:cnfStyle w:val="001000000000" w:firstRow="0" w:lastRow="0" w:firstColumn="1" w:lastColumn="0" w:oddVBand="0" w:evenVBand="0" w:oddHBand="0" w:evenHBand="0" w:firstRowFirstColumn="0" w:firstRowLastColumn="0" w:lastRowFirstColumn="0" w:lastRowLastColumn="0"/>
            <w:tcW w:w="2376" w:type="dxa"/>
            <w:shd w:val="clear" w:color="auto" w:fill="auto"/>
            <w:noWrap/>
            <w:hideMark/>
          </w:tcPr>
          <w:p w14:paraId="14C5E0AD" w14:textId="77777777" w:rsidR="00301C04" w:rsidRPr="006527E3" w:rsidRDefault="00301C04" w:rsidP="00874C0D">
            <w:pPr>
              <w:rPr>
                <w:rFonts w:ascii="Times New Roman" w:eastAsia="Times New Roman" w:hAnsi="Times New Roman" w:cs="Times New Roman"/>
                <w:b w:val="0"/>
                <w:i/>
                <w:color w:val="000000"/>
                <w:sz w:val="18"/>
                <w:szCs w:val="18"/>
                <w:lang w:eastAsia="en-GB"/>
              </w:rPr>
            </w:pPr>
            <w:r w:rsidRPr="006527E3">
              <w:rPr>
                <w:rFonts w:ascii="Times New Roman" w:eastAsia="Times New Roman" w:hAnsi="Times New Roman" w:cs="Times New Roman"/>
                <w:b w:val="0"/>
                <w:color w:val="000000"/>
                <w:sz w:val="18"/>
                <w:szCs w:val="18"/>
                <w:lang w:eastAsia="en-GB"/>
              </w:rPr>
              <w:t>Lumbar spine</w:t>
            </w:r>
          </w:p>
        </w:tc>
        <w:tc>
          <w:tcPr>
            <w:tcW w:w="1560" w:type="dxa"/>
            <w:shd w:val="clear" w:color="auto" w:fill="auto"/>
            <w:noWrap/>
            <w:hideMark/>
          </w:tcPr>
          <w:p w14:paraId="0649129C" w14:textId="77777777" w:rsidR="00301C04" w:rsidRPr="006527E3" w:rsidRDefault="00301C04" w:rsidP="00874C0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en-GB"/>
              </w:rPr>
            </w:pPr>
            <w:r w:rsidRPr="006527E3">
              <w:rPr>
                <w:rFonts w:ascii="Times New Roman" w:eastAsia="Times New Roman" w:hAnsi="Times New Roman" w:cs="Times New Roman"/>
                <w:color w:val="000000"/>
                <w:sz w:val="18"/>
                <w:szCs w:val="18"/>
                <w:lang w:eastAsia="en-GB"/>
              </w:rPr>
              <w:t>1.14 (0.19)</w:t>
            </w:r>
          </w:p>
        </w:tc>
        <w:tc>
          <w:tcPr>
            <w:tcW w:w="1984" w:type="dxa"/>
            <w:gridSpan w:val="2"/>
            <w:shd w:val="clear" w:color="auto" w:fill="auto"/>
            <w:noWrap/>
            <w:hideMark/>
          </w:tcPr>
          <w:p w14:paraId="3C5BA245" w14:textId="77777777" w:rsidR="00301C04" w:rsidRPr="006527E3" w:rsidRDefault="00301C04" w:rsidP="00874C0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en-GB"/>
              </w:rPr>
            </w:pPr>
            <w:r w:rsidRPr="006527E3">
              <w:rPr>
                <w:rFonts w:ascii="Times New Roman" w:eastAsia="Times New Roman" w:hAnsi="Times New Roman" w:cs="Times New Roman"/>
                <w:color w:val="000000"/>
                <w:sz w:val="18"/>
                <w:szCs w:val="18"/>
                <w:lang w:eastAsia="en-GB"/>
              </w:rPr>
              <w:t>1.15 (0.19)</w:t>
            </w:r>
          </w:p>
        </w:tc>
        <w:tc>
          <w:tcPr>
            <w:tcW w:w="654" w:type="dxa"/>
            <w:shd w:val="clear" w:color="auto" w:fill="auto"/>
            <w:noWrap/>
            <w:hideMark/>
          </w:tcPr>
          <w:p w14:paraId="226D025E" w14:textId="77777777" w:rsidR="00301C04" w:rsidRPr="006527E3" w:rsidRDefault="00301C04" w:rsidP="00874C0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en-GB"/>
              </w:rPr>
            </w:pPr>
            <w:r w:rsidRPr="006527E3">
              <w:rPr>
                <w:rFonts w:ascii="Times New Roman" w:eastAsia="Times New Roman" w:hAnsi="Times New Roman" w:cs="Times New Roman"/>
                <w:color w:val="000000"/>
                <w:sz w:val="18"/>
                <w:szCs w:val="18"/>
                <w:lang w:eastAsia="en-GB"/>
              </w:rPr>
              <w:t>0.34</w:t>
            </w:r>
          </w:p>
        </w:tc>
        <w:tc>
          <w:tcPr>
            <w:tcW w:w="1756" w:type="dxa"/>
            <w:shd w:val="clear" w:color="auto" w:fill="auto"/>
            <w:noWrap/>
            <w:hideMark/>
          </w:tcPr>
          <w:p w14:paraId="4B0086B2" w14:textId="77777777" w:rsidR="00301C04" w:rsidRPr="006527E3" w:rsidRDefault="00301C04" w:rsidP="00874C0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en-GB"/>
              </w:rPr>
            </w:pPr>
            <w:r w:rsidRPr="006527E3">
              <w:rPr>
                <w:rFonts w:ascii="Times New Roman" w:eastAsia="Times New Roman" w:hAnsi="Times New Roman" w:cs="Times New Roman"/>
                <w:color w:val="000000"/>
                <w:sz w:val="18"/>
                <w:szCs w:val="18"/>
                <w:lang w:eastAsia="en-GB"/>
              </w:rPr>
              <w:t>1.03 (0.19)</w:t>
            </w:r>
          </w:p>
        </w:tc>
        <w:tc>
          <w:tcPr>
            <w:tcW w:w="912" w:type="dxa"/>
            <w:shd w:val="clear" w:color="auto" w:fill="auto"/>
            <w:noWrap/>
            <w:hideMark/>
          </w:tcPr>
          <w:p w14:paraId="6E3C3D7E" w14:textId="77777777" w:rsidR="00301C04" w:rsidRPr="006527E3" w:rsidRDefault="00301C04" w:rsidP="00874C0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en-GB"/>
              </w:rPr>
            </w:pPr>
            <w:r w:rsidRPr="006527E3">
              <w:rPr>
                <w:rFonts w:ascii="Times New Roman" w:eastAsia="Times New Roman" w:hAnsi="Times New Roman" w:cs="Times New Roman"/>
                <w:color w:val="000000"/>
                <w:sz w:val="18"/>
                <w:szCs w:val="18"/>
                <w:lang w:eastAsia="en-GB"/>
              </w:rPr>
              <w:t>&lt;0.001</w:t>
            </w:r>
          </w:p>
        </w:tc>
      </w:tr>
      <w:tr w:rsidR="00301C04" w:rsidRPr="006527E3" w14:paraId="4FC2D99A" w14:textId="77777777" w:rsidTr="00874C0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76" w:type="dxa"/>
            <w:tcBorders>
              <w:top w:val="none" w:sz="0" w:space="0" w:color="auto"/>
              <w:left w:val="none" w:sz="0" w:space="0" w:color="auto"/>
              <w:bottom w:val="none" w:sz="0" w:space="0" w:color="auto"/>
            </w:tcBorders>
            <w:shd w:val="clear" w:color="auto" w:fill="auto"/>
            <w:noWrap/>
            <w:hideMark/>
          </w:tcPr>
          <w:p w14:paraId="381DA630" w14:textId="77777777" w:rsidR="00301C04" w:rsidRPr="006527E3" w:rsidRDefault="00301C04" w:rsidP="00874C0D">
            <w:pPr>
              <w:rPr>
                <w:rFonts w:ascii="Times New Roman" w:eastAsia="Times New Roman" w:hAnsi="Times New Roman" w:cs="Times New Roman"/>
                <w:b w:val="0"/>
                <w:color w:val="000000"/>
                <w:sz w:val="18"/>
                <w:szCs w:val="18"/>
                <w:lang w:eastAsia="en-GB"/>
              </w:rPr>
            </w:pPr>
            <w:r w:rsidRPr="006527E3">
              <w:rPr>
                <w:rFonts w:ascii="Times New Roman" w:eastAsia="Times New Roman" w:hAnsi="Times New Roman" w:cs="Times New Roman"/>
                <w:b w:val="0"/>
                <w:color w:val="000000"/>
                <w:sz w:val="18"/>
                <w:szCs w:val="18"/>
                <w:lang w:eastAsia="en-GB"/>
              </w:rPr>
              <w:t>Whole body</w:t>
            </w:r>
          </w:p>
        </w:tc>
        <w:tc>
          <w:tcPr>
            <w:tcW w:w="1560" w:type="dxa"/>
            <w:tcBorders>
              <w:top w:val="none" w:sz="0" w:space="0" w:color="auto"/>
              <w:bottom w:val="none" w:sz="0" w:space="0" w:color="auto"/>
            </w:tcBorders>
            <w:shd w:val="clear" w:color="auto" w:fill="auto"/>
            <w:noWrap/>
            <w:hideMark/>
          </w:tcPr>
          <w:p w14:paraId="647D6231" w14:textId="77777777" w:rsidR="00301C04" w:rsidRPr="006527E3" w:rsidRDefault="00301C04" w:rsidP="00874C0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en-GB"/>
              </w:rPr>
            </w:pPr>
            <w:r w:rsidRPr="006527E3">
              <w:rPr>
                <w:rFonts w:ascii="Times New Roman" w:eastAsia="Times New Roman" w:hAnsi="Times New Roman" w:cs="Times New Roman"/>
                <w:color w:val="000000"/>
                <w:sz w:val="18"/>
                <w:szCs w:val="18"/>
                <w:lang w:eastAsia="en-GB"/>
              </w:rPr>
              <w:t>1.13 (0.11)</w:t>
            </w:r>
          </w:p>
        </w:tc>
        <w:tc>
          <w:tcPr>
            <w:tcW w:w="1984" w:type="dxa"/>
            <w:gridSpan w:val="2"/>
            <w:tcBorders>
              <w:top w:val="none" w:sz="0" w:space="0" w:color="auto"/>
              <w:bottom w:val="none" w:sz="0" w:space="0" w:color="auto"/>
            </w:tcBorders>
            <w:shd w:val="clear" w:color="auto" w:fill="auto"/>
            <w:noWrap/>
            <w:hideMark/>
          </w:tcPr>
          <w:p w14:paraId="392CDB13" w14:textId="77777777" w:rsidR="00301C04" w:rsidRPr="006527E3" w:rsidRDefault="00301C04" w:rsidP="00874C0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en-GB"/>
              </w:rPr>
            </w:pPr>
            <w:r w:rsidRPr="006527E3">
              <w:rPr>
                <w:rFonts w:ascii="Times New Roman" w:eastAsia="Times New Roman" w:hAnsi="Times New Roman" w:cs="Times New Roman"/>
                <w:color w:val="000000"/>
                <w:sz w:val="18"/>
                <w:szCs w:val="18"/>
                <w:lang w:eastAsia="en-GB"/>
              </w:rPr>
              <w:t>1.14 (0.11)</w:t>
            </w:r>
          </w:p>
        </w:tc>
        <w:tc>
          <w:tcPr>
            <w:tcW w:w="654" w:type="dxa"/>
            <w:tcBorders>
              <w:top w:val="none" w:sz="0" w:space="0" w:color="auto"/>
              <w:bottom w:val="none" w:sz="0" w:space="0" w:color="auto"/>
            </w:tcBorders>
            <w:shd w:val="clear" w:color="auto" w:fill="auto"/>
            <w:noWrap/>
            <w:hideMark/>
          </w:tcPr>
          <w:p w14:paraId="08DD499D" w14:textId="77777777" w:rsidR="00301C04" w:rsidRPr="006527E3" w:rsidRDefault="00301C04" w:rsidP="00874C0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en-GB"/>
              </w:rPr>
            </w:pPr>
            <w:r w:rsidRPr="006527E3">
              <w:rPr>
                <w:rFonts w:ascii="Times New Roman" w:eastAsia="Times New Roman" w:hAnsi="Times New Roman" w:cs="Times New Roman"/>
                <w:color w:val="000000"/>
                <w:sz w:val="18"/>
                <w:szCs w:val="18"/>
                <w:lang w:eastAsia="en-GB"/>
              </w:rPr>
              <w:t>0.15</w:t>
            </w:r>
          </w:p>
        </w:tc>
        <w:tc>
          <w:tcPr>
            <w:tcW w:w="1756" w:type="dxa"/>
            <w:tcBorders>
              <w:top w:val="none" w:sz="0" w:space="0" w:color="auto"/>
              <w:bottom w:val="none" w:sz="0" w:space="0" w:color="auto"/>
            </w:tcBorders>
            <w:shd w:val="clear" w:color="auto" w:fill="auto"/>
            <w:noWrap/>
            <w:hideMark/>
          </w:tcPr>
          <w:p w14:paraId="2C5DBA1E" w14:textId="77777777" w:rsidR="00301C04" w:rsidRPr="006527E3" w:rsidRDefault="00301C04" w:rsidP="00874C0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en-GB"/>
              </w:rPr>
            </w:pPr>
            <w:r w:rsidRPr="006527E3">
              <w:rPr>
                <w:rFonts w:ascii="Times New Roman" w:eastAsia="Times New Roman" w:hAnsi="Times New Roman" w:cs="Times New Roman"/>
                <w:color w:val="000000"/>
                <w:sz w:val="18"/>
                <w:szCs w:val="18"/>
                <w:lang w:eastAsia="en-GB"/>
              </w:rPr>
              <w:t>1.08 (0.13)</w:t>
            </w:r>
          </w:p>
        </w:tc>
        <w:tc>
          <w:tcPr>
            <w:tcW w:w="912" w:type="dxa"/>
            <w:tcBorders>
              <w:top w:val="none" w:sz="0" w:space="0" w:color="auto"/>
              <w:bottom w:val="none" w:sz="0" w:space="0" w:color="auto"/>
              <w:right w:val="none" w:sz="0" w:space="0" w:color="auto"/>
            </w:tcBorders>
            <w:shd w:val="clear" w:color="auto" w:fill="auto"/>
            <w:noWrap/>
          </w:tcPr>
          <w:p w14:paraId="22B9DF93" w14:textId="77777777" w:rsidR="00301C04" w:rsidRPr="006527E3" w:rsidRDefault="00301C04" w:rsidP="00874C0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en-GB"/>
              </w:rPr>
            </w:pPr>
            <w:r w:rsidRPr="006527E3">
              <w:rPr>
                <w:rFonts w:ascii="Times New Roman" w:eastAsia="Times New Roman" w:hAnsi="Times New Roman" w:cs="Times New Roman"/>
                <w:color w:val="000000"/>
                <w:sz w:val="18"/>
                <w:szCs w:val="18"/>
                <w:lang w:eastAsia="en-GB"/>
              </w:rPr>
              <w:t>0.001</w:t>
            </w:r>
          </w:p>
        </w:tc>
      </w:tr>
    </w:tbl>
    <w:p w14:paraId="0122C290" w14:textId="77777777" w:rsidR="00E67E7B" w:rsidRDefault="00E67E7B" w:rsidP="00301C04">
      <w:pPr>
        <w:spacing w:after="0" w:line="360" w:lineRule="auto"/>
        <w:jc w:val="both"/>
        <w:rPr>
          <w:rFonts w:ascii="Times New Roman" w:hAnsi="Times New Roman" w:cs="Times New Roman"/>
          <w:vertAlign w:val="superscript"/>
        </w:rPr>
      </w:pPr>
    </w:p>
    <w:p w14:paraId="2D8ECB15" w14:textId="77777777" w:rsidR="00301C04" w:rsidRPr="006527E3" w:rsidRDefault="00301C04" w:rsidP="00301C04">
      <w:pPr>
        <w:spacing w:after="0" w:line="360" w:lineRule="auto"/>
        <w:jc w:val="both"/>
        <w:rPr>
          <w:rFonts w:ascii="Times New Roman" w:hAnsi="Times New Roman" w:cs="Times New Roman"/>
        </w:rPr>
      </w:pPr>
      <w:r w:rsidRPr="006527E3">
        <w:rPr>
          <w:rFonts w:ascii="Times New Roman" w:hAnsi="Times New Roman" w:cs="Times New Roman"/>
          <w:vertAlign w:val="superscript"/>
        </w:rPr>
        <w:t>a</w:t>
      </w:r>
      <w:r w:rsidRPr="006527E3">
        <w:rPr>
          <w:rFonts w:ascii="Times New Roman" w:hAnsi="Times New Roman" w:cs="Times New Roman"/>
        </w:rPr>
        <w:t xml:space="preserve">p-value for comparison of baseline participant characteristics at DXA assessment between full cohort and subset who underwent follow-up;  </w:t>
      </w:r>
      <w:r w:rsidRPr="006527E3">
        <w:rPr>
          <w:rFonts w:ascii="Times New Roman" w:hAnsi="Times New Roman" w:cs="Times New Roman"/>
          <w:vertAlign w:val="superscript"/>
        </w:rPr>
        <w:t>a</w:t>
      </w:r>
      <w:r w:rsidRPr="006527E3">
        <w:rPr>
          <w:rFonts w:ascii="Times New Roman" w:hAnsi="Times New Roman" w:cs="Times New Roman"/>
        </w:rPr>
        <w:t>p-value for comparison of baseline participant characteristics at DXA assessment between full cohort and subset who reported a fracture during the follow-up.  (T-test for normally distributed variables, Mann-Whitney test for BMI (not normally distributed), Chi</w:t>
      </w:r>
      <w:r w:rsidRPr="006527E3">
        <w:rPr>
          <w:rFonts w:ascii="Times New Roman" w:hAnsi="Times New Roman" w:cs="Times New Roman"/>
          <w:vertAlign w:val="superscript"/>
        </w:rPr>
        <w:t>2</w:t>
      </w:r>
      <w:r w:rsidRPr="006527E3">
        <w:rPr>
          <w:rFonts w:ascii="Times New Roman" w:hAnsi="Times New Roman" w:cs="Times New Roman"/>
        </w:rPr>
        <w:t xml:space="preserve"> test used for categorical variables).</w:t>
      </w:r>
    </w:p>
    <w:p w14:paraId="5A11A405" w14:textId="77777777" w:rsidR="00237C04" w:rsidRPr="006527E3" w:rsidRDefault="00237C04">
      <w:pPr>
        <w:rPr>
          <w:rFonts w:ascii="Times New Roman" w:hAnsi="Times New Roman" w:cs="Times New Roman"/>
        </w:rPr>
      </w:pPr>
      <w:r w:rsidRPr="006527E3">
        <w:rPr>
          <w:rFonts w:ascii="Times New Roman" w:hAnsi="Times New Roman" w:cs="Times New Roman"/>
        </w:rPr>
        <w:br w:type="page"/>
      </w:r>
    </w:p>
    <w:p w14:paraId="71CE2C6B" w14:textId="77777777" w:rsidR="00237C04" w:rsidRPr="006527E3" w:rsidRDefault="00237C04" w:rsidP="00237C04">
      <w:pPr>
        <w:spacing w:line="360" w:lineRule="auto"/>
        <w:jc w:val="both"/>
        <w:rPr>
          <w:rFonts w:ascii="Times New Roman" w:hAnsi="Times New Roman" w:cs="Times New Roman"/>
        </w:rPr>
      </w:pPr>
      <w:r w:rsidRPr="006527E3">
        <w:rPr>
          <w:rFonts w:ascii="Times New Roman" w:hAnsi="Times New Roman" w:cs="Times New Roman"/>
          <w:b/>
        </w:rPr>
        <w:lastRenderedPageBreak/>
        <w:t xml:space="preserve">Table </w:t>
      </w:r>
      <w:r w:rsidR="00037D18">
        <w:rPr>
          <w:rFonts w:ascii="Times New Roman" w:hAnsi="Times New Roman" w:cs="Times New Roman"/>
          <w:b/>
        </w:rPr>
        <w:t>2</w:t>
      </w:r>
      <w:r w:rsidRPr="006527E3">
        <w:rPr>
          <w:rFonts w:ascii="Times New Roman" w:hAnsi="Times New Roman" w:cs="Times New Roman"/>
          <w:b/>
        </w:rPr>
        <w:t xml:space="preserve">: </w:t>
      </w:r>
      <w:r w:rsidRPr="006527E3">
        <w:rPr>
          <w:rFonts w:ascii="Times New Roman" w:hAnsi="Times New Roman" w:cs="Times New Roman"/>
        </w:rPr>
        <w:t xml:space="preserve">Hazard ratio per 1 SD decrease in predictor) for DXA indices (femoral neck, lumbar spine and whole body BMC, BMD and area) and </w:t>
      </w:r>
      <w:r w:rsidR="00037D18">
        <w:rPr>
          <w:rFonts w:ascii="Times New Roman" w:hAnsi="Times New Roman" w:cs="Times New Roman"/>
        </w:rPr>
        <w:t xml:space="preserve">any </w:t>
      </w:r>
      <w:r w:rsidRPr="006527E3">
        <w:rPr>
          <w:rFonts w:ascii="Times New Roman" w:hAnsi="Times New Roman" w:cs="Times New Roman"/>
        </w:rPr>
        <w:t>incident fracture.</w:t>
      </w:r>
    </w:p>
    <w:tbl>
      <w:tblPr>
        <w:tblW w:w="5340" w:type="pct"/>
        <w:tblLayout w:type="fixed"/>
        <w:tblLook w:val="04A0" w:firstRow="1" w:lastRow="0" w:firstColumn="1" w:lastColumn="0" w:noHBand="0" w:noVBand="1"/>
      </w:tblPr>
      <w:tblGrid>
        <w:gridCol w:w="1215"/>
        <w:gridCol w:w="962"/>
        <w:gridCol w:w="962"/>
        <w:gridCol w:w="963"/>
        <w:gridCol w:w="961"/>
        <w:gridCol w:w="963"/>
        <w:gridCol w:w="961"/>
        <w:gridCol w:w="963"/>
        <w:gridCol w:w="961"/>
        <w:gridCol w:w="959"/>
      </w:tblGrid>
      <w:tr w:rsidR="008A295F" w:rsidRPr="006527E3" w14:paraId="2BACB544" w14:textId="77777777" w:rsidTr="008A295F">
        <w:trPr>
          <w:trHeight w:val="315"/>
        </w:trPr>
        <w:tc>
          <w:tcPr>
            <w:tcW w:w="615" w:type="pct"/>
            <w:tcBorders>
              <w:top w:val="single" w:sz="18" w:space="0" w:color="auto"/>
              <w:left w:val="nil"/>
              <w:bottom w:val="nil"/>
              <w:right w:val="nil"/>
            </w:tcBorders>
            <w:shd w:val="clear" w:color="auto" w:fill="auto"/>
            <w:noWrap/>
            <w:vAlign w:val="bottom"/>
            <w:hideMark/>
          </w:tcPr>
          <w:p w14:paraId="0D8AE9E1" w14:textId="77777777" w:rsidR="008A295F" w:rsidRPr="006527E3" w:rsidRDefault="008A295F" w:rsidP="00874C0D">
            <w:pPr>
              <w:spacing w:after="0" w:line="240" w:lineRule="auto"/>
              <w:rPr>
                <w:rFonts w:ascii="Times New Roman" w:eastAsia="Times New Roman" w:hAnsi="Times New Roman" w:cs="Times New Roman"/>
                <w:color w:val="000000"/>
                <w:sz w:val="15"/>
                <w:szCs w:val="15"/>
                <w:lang w:eastAsia="en-GB"/>
              </w:rPr>
            </w:pPr>
          </w:p>
        </w:tc>
        <w:tc>
          <w:tcPr>
            <w:tcW w:w="1462" w:type="pct"/>
            <w:gridSpan w:val="3"/>
            <w:tcBorders>
              <w:top w:val="single" w:sz="18" w:space="0" w:color="auto"/>
              <w:left w:val="nil"/>
              <w:bottom w:val="nil"/>
              <w:right w:val="nil"/>
            </w:tcBorders>
            <w:shd w:val="clear" w:color="auto" w:fill="auto"/>
            <w:noWrap/>
            <w:vAlign w:val="center"/>
            <w:hideMark/>
          </w:tcPr>
          <w:p w14:paraId="253B0A85" w14:textId="77777777" w:rsidR="008A295F" w:rsidRPr="006527E3" w:rsidRDefault="008A295F" w:rsidP="008A295F">
            <w:pPr>
              <w:spacing w:after="0" w:line="240" w:lineRule="auto"/>
              <w:jc w:val="center"/>
              <w:rPr>
                <w:rFonts w:ascii="Times New Roman" w:eastAsia="Times New Roman" w:hAnsi="Times New Roman" w:cs="Times New Roman"/>
                <w:b/>
                <w:bCs/>
                <w:color w:val="000000"/>
                <w:sz w:val="15"/>
                <w:szCs w:val="15"/>
                <w:lang w:eastAsia="en-GB"/>
              </w:rPr>
            </w:pPr>
            <w:r w:rsidRPr="006527E3">
              <w:rPr>
                <w:rFonts w:ascii="Times New Roman" w:eastAsia="Times New Roman" w:hAnsi="Times New Roman" w:cs="Times New Roman"/>
                <w:b/>
                <w:bCs/>
                <w:color w:val="000000"/>
                <w:sz w:val="15"/>
                <w:szCs w:val="15"/>
                <w:lang w:eastAsia="en-GB"/>
              </w:rPr>
              <w:t>Unadjusted</w:t>
            </w:r>
          </w:p>
        </w:tc>
        <w:tc>
          <w:tcPr>
            <w:tcW w:w="1462" w:type="pct"/>
            <w:gridSpan w:val="3"/>
            <w:tcBorders>
              <w:top w:val="single" w:sz="18" w:space="0" w:color="auto"/>
              <w:left w:val="nil"/>
              <w:bottom w:val="nil"/>
              <w:right w:val="nil"/>
            </w:tcBorders>
            <w:shd w:val="clear" w:color="auto" w:fill="auto"/>
            <w:noWrap/>
            <w:vAlign w:val="center"/>
            <w:hideMark/>
          </w:tcPr>
          <w:p w14:paraId="650F697B" w14:textId="77777777" w:rsidR="008A295F" w:rsidRPr="006527E3" w:rsidRDefault="008A295F" w:rsidP="008A295F">
            <w:pPr>
              <w:spacing w:after="0" w:line="240" w:lineRule="auto"/>
              <w:jc w:val="center"/>
              <w:rPr>
                <w:rFonts w:ascii="Times New Roman" w:eastAsia="Times New Roman" w:hAnsi="Times New Roman" w:cs="Times New Roman"/>
                <w:b/>
                <w:bCs/>
                <w:color w:val="000000"/>
                <w:sz w:val="15"/>
                <w:szCs w:val="15"/>
                <w:lang w:eastAsia="en-GB"/>
              </w:rPr>
            </w:pPr>
            <w:r w:rsidRPr="006527E3">
              <w:rPr>
                <w:rFonts w:ascii="Times New Roman" w:eastAsia="Times New Roman" w:hAnsi="Times New Roman" w:cs="Times New Roman"/>
                <w:b/>
                <w:bCs/>
                <w:color w:val="000000"/>
                <w:sz w:val="15"/>
                <w:szCs w:val="15"/>
                <w:lang w:eastAsia="en-GB"/>
              </w:rPr>
              <w:t>Adjusted for age</w:t>
            </w:r>
          </w:p>
        </w:tc>
        <w:tc>
          <w:tcPr>
            <w:tcW w:w="1461" w:type="pct"/>
            <w:gridSpan w:val="3"/>
            <w:tcBorders>
              <w:top w:val="single" w:sz="18" w:space="0" w:color="auto"/>
              <w:left w:val="nil"/>
              <w:bottom w:val="nil"/>
              <w:right w:val="nil"/>
            </w:tcBorders>
            <w:shd w:val="clear" w:color="auto" w:fill="auto"/>
            <w:noWrap/>
            <w:vAlign w:val="center"/>
            <w:hideMark/>
          </w:tcPr>
          <w:p w14:paraId="1B4E735F" w14:textId="77777777" w:rsidR="008A295F" w:rsidRPr="006527E3" w:rsidRDefault="008A295F" w:rsidP="008A295F">
            <w:pPr>
              <w:spacing w:after="0" w:line="240" w:lineRule="auto"/>
              <w:jc w:val="center"/>
              <w:rPr>
                <w:rFonts w:ascii="Times New Roman" w:eastAsia="Times New Roman" w:hAnsi="Times New Roman" w:cs="Times New Roman"/>
                <w:color w:val="000000"/>
                <w:sz w:val="15"/>
                <w:szCs w:val="15"/>
                <w:lang w:eastAsia="en-GB"/>
              </w:rPr>
            </w:pPr>
            <w:r w:rsidRPr="006527E3">
              <w:rPr>
                <w:rFonts w:ascii="Times New Roman" w:eastAsia="Times New Roman" w:hAnsi="Times New Roman" w:cs="Times New Roman"/>
                <w:b/>
                <w:bCs/>
                <w:color w:val="000000"/>
                <w:sz w:val="15"/>
                <w:szCs w:val="15"/>
                <w:lang w:eastAsia="en-GB"/>
              </w:rPr>
              <w:t>Fully adjusted HR/SD</w:t>
            </w:r>
            <w:r w:rsidRPr="006527E3">
              <w:rPr>
                <w:rFonts w:ascii="Times New Roman" w:eastAsia="Times New Roman" w:hAnsi="Times New Roman" w:cs="Times New Roman"/>
                <w:b/>
                <w:bCs/>
                <w:color w:val="000000"/>
                <w:sz w:val="15"/>
                <w:szCs w:val="15"/>
                <w:vertAlign w:val="superscript"/>
                <w:lang w:eastAsia="en-GB"/>
              </w:rPr>
              <w:t>‡</w:t>
            </w:r>
          </w:p>
        </w:tc>
      </w:tr>
      <w:tr w:rsidR="00237C04" w:rsidRPr="006527E3" w14:paraId="5A402AA3" w14:textId="77777777" w:rsidTr="008A295F">
        <w:trPr>
          <w:trHeight w:val="315"/>
        </w:trPr>
        <w:tc>
          <w:tcPr>
            <w:tcW w:w="615" w:type="pct"/>
            <w:tcBorders>
              <w:top w:val="single" w:sz="8" w:space="0" w:color="auto"/>
              <w:left w:val="nil"/>
              <w:bottom w:val="single" w:sz="8" w:space="0" w:color="auto"/>
              <w:right w:val="nil"/>
            </w:tcBorders>
            <w:shd w:val="clear" w:color="auto" w:fill="auto"/>
            <w:noWrap/>
            <w:vAlign w:val="bottom"/>
            <w:hideMark/>
          </w:tcPr>
          <w:p w14:paraId="1BB2BC8F" w14:textId="77777777" w:rsidR="00237C04" w:rsidRPr="006527E3" w:rsidRDefault="00237C04" w:rsidP="00874C0D">
            <w:pPr>
              <w:spacing w:after="0" w:line="240" w:lineRule="auto"/>
              <w:jc w:val="center"/>
              <w:rPr>
                <w:rFonts w:ascii="Times New Roman" w:eastAsia="Times New Roman" w:hAnsi="Times New Roman" w:cs="Times New Roman"/>
                <w:b/>
                <w:bCs/>
                <w:color w:val="000000"/>
                <w:sz w:val="15"/>
                <w:szCs w:val="15"/>
                <w:lang w:eastAsia="en-GB"/>
              </w:rPr>
            </w:pPr>
            <w:r w:rsidRPr="006527E3">
              <w:rPr>
                <w:rFonts w:ascii="Times New Roman" w:eastAsia="Times New Roman" w:hAnsi="Times New Roman" w:cs="Times New Roman"/>
                <w:b/>
                <w:bCs/>
                <w:color w:val="000000"/>
                <w:sz w:val="15"/>
                <w:szCs w:val="15"/>
                <w:lang w:eastAsia="en-GB"/>
              </w:rPr>
              <w:t>Predictor</w:t>
            </w:r>
          </w:p>
        </w:tc>
        <w:tc>
          <w:tcPr>
            <w:tcW w:w="487" w:type="pct"/>
            <w:tcBorders>
              <w:top w:val="single" w:sz="8" w:space="0" w:color="auto"/>
              <w:left w:val="single" w:sz="4" w:space="0" w:color="auto"/>
              <w:bottom w:val="single" w:sz="8" w:space="0" w:color="auto"/>
              <w:right w:val="nil"/>
            </w:tcBorders>
            <w:shd w:val="clear" w:color="auto" w:fill="auto"/>
            <w:noWrap/>
            <w:vAlign w:val="bottom"/>
            <w:hideMark/>
          </w:tcPr>
          <w:p w14:paraId="32F87F09" w14:textId="77777777" w:rsidR="00237C04" w:rsidRPr="006527E3" w:rsidRDefault="00237C04" w:rsidP="00874C0D">
            <w:pPr>
              <w:spacing w:after="0" w:line="240" w:lineRule="auto"/>
              <w:jc w:val="center"/>
              <w:rPr>
                <w:rFonts w:ascii="Times New Roman" w:eastAsia="Times New Roman" w:hAnsi="Times New Roman" w:cs="Times New Roman"/>
                <w:b/>
                <w:bCs/>
                <w:color w:val="000000"/>
                <w:sz w:val="15"/>
                <w:szCs w:val="15"/>
                <w:lang w:eastAsia="en-GB"/>
              </w:rPr>
            </w:pPr>
            <w:r w:rsidRPr="006527E3">
              <w:rPr>
                <w:rFonts w:ascii="Times New Roman" w:eastAsia="Times New Roman" w:hAnsi="Times New Roman" w:cs="Times New Roman"/>
                <w:b/>
                <w:bCs/>
                <w:color w:val="000000"/>
                <w:sz w:val="15"/>
                <w:szCs w:val="15"/>
                <w:lang w:eastAsia="en-GB"/>
              </w:rPr>
              <w:t>HR/SD</w:t>
            </w:r>
            <w:r w:rsidRPr="006527E3">
              <w:rPr>
                <w:rFonts w:ascii="Times New Roman" w:eastAsia="Times New Roman" w:hAnsi="Times New Roman" w:cs="Times New Roman"/>
                <w:b/>
                <w:bCs/>
                <w:color w:val="000000"/>
                <w:sz w:val="15"/>
                <w:szCs w:val="15"/>
                <w:vertAlign w:val="superscript"/>
                <w:lang w:eastAsia="en-GB"/>
              </w:rPr>
              <w:t>†</w:t>
            </w:r>
          </w:p>
        </w:tc>
        <w:tc>
          <w:tcPr>
            <w:tcW w:w="487" w:type="pct"/>
            <w:tcBorders>
              <w:top w:val="single" w:sz="8" w:space="0" w:color="auto"/>
              <w:left w:val="nil"/>
              <w:bottom w:val="single" w:sz="8" w:space="0" w:color="auto"/>
              <w:right w:val="nil"/>
            </w:tcBorders>
            <w:shd w:val="clear" w:color="auto" w:fill="auto"/>
            <w:noWrap/>
            <w:vAlign w:val="bottom"/>
            <w:hideMark/>
          </w:tcPr>
          <w:p w14:paraId="022E41E2" w14:textId="77777777" w:rsidR="00237C04" w:rsidRPr="006527E3" w:rsidRDefault="00237C04" w:rsidP="00874C0D">
            <w:pPr>
              <w:spacing w:after="0" w:line="240" w:lineRule="auto"/>
              <w:jc w:val="center"/>
              <w:rPr>
                <w:rFonts w:ascii="Times New Roman" w:eastAsia="Times New Roman" w:hAnsi="Times New Roman" w:cs="Times New Roman"/>
                <w:b/>
                <w:bCs/>
                <w:color w:val="000000"/>
                <w:sz w:val="15"/>
                <w:szCs w:val="15"/>
                <w:lang w:eastAsia="en-GB"/>
              </w:rPr>
            </w:pPr>
            <w:r w:rsidRPr="006527E3">
              <w:rPr>
                <w:rFonts w:ascii="Times New Roman" w:eastAsia="Times New Roman" w:hAnsi="Times New Roman" w:cs="Times New Roman"/>
                <w:b/>
                <w:bCs/>
                <w:color w:val="000000"/>
                <w:sz w:val="15"/>
                <w:szCs w:val="15"/>
                <w:lang w:eastAsia="en-GB"/>
              </w:rPr>
              <w:t>95%CI</w:t>
            </w:r>
          </w:p>
        </w:tc>
        <w:tc>
          <w:tcPr>
            <w:tcW w:w="488" w:type="pct"/>
            <w:tcBorders>
              <w:top w:val="single" w:sz="8" w:space="0" w:color="auto"/>
              <w:left w:val="nil"/>
              <w:bottom w:val="single" w:sz="8" w:space="0" w:color="auto"/>
              <w:right w:val="nil"/>
            </w:tcBorders>
            <w:shd w:val="clear" w:color="auto" w:fill="auto"/>
            <w:noWrap/>
            <w:vAlign w:val="bottom"/>
            <w:hideMark/>
          </w:tcPr>
          <w:p w14:paraId="43A224C3" w14:textId="77777777" w:rsidR="00237C04" w:rsidRPr="006527E3" w:rsidRDefault="00237C04" w:rsidP="00874C0D">
            <w:pPr>
              <w:spacing w:after="0" w:line="240" w:lineRule="auto"/>
              <w:jc w:val="center"/>
              <w:rPr>
                <w:rFonts w:ascii="Times New Roman" w:eastAsia="Times New Roman" w:hAnsi="Times New Roman" w:cs="Times New Roman"/>
                <w:b/>
                <w:bCs/>
                <w:color w:val="000000"/>
                <w:sz w:val="15"/>
                <w:szCs w:val="15"/>
                <w:lang w:eastAsia="en-GB"/>
              </w:rPr>
            </w:pPr>
            <w:r w:rsidRPr="006527E3">
              <w:rPr>
                <w:rFonts w:ascii="Times New Roman" w:eastAsia="Times New Roman" w:hAnsi="Times New Roman" w:cs="Times New Roman"/>
                <w:b/>
                <w:bCs/>
                <w:color w:val="000000"/>
                <w:sz w:val="15"/>
                <w:szCs w:val="15"/>
                <w:lang w:eastAsia="en-GB"/>
              </w:rPr>
              <w:t>p-value</w:t>
            </w:r>
          </w:p>
        </w:tc>
        <w:tc>
          <w:tcPr>
            <w:tcW w:w="487" w:type="pct"/>
            <w:tcBorders>
              <w:top w:val="single" w:sz="8" w:space="0" w:color="auto"/>
              <w:left w:val="single" w:sz="4" w:space="0" w:color="auto"/>
              <w:bottom w:val="single" w:sz="8" w:space="0" w:color="auto"/>
              <w:right w:val="nil"/>
            </w:tcBorders>
            <w:shd w:val="clear" w:color="auto" w:fill="auto"/>
            <w:noWrap/>
            <w:vAlign w:val="bottom"/>
            <w:hideMark/>
          </w:tcPr>
          <w:p w14:paraId="3E692662" w14:textId="77777777" w:rsidR="00237C04" w:rsidRPr="006527E3" w:rsidRDefault="00237C04" w:rsidP="00874C0D">
            <w:pPr>
              <w:spacing w:after="0" w:line="240" w:lineRule="auto"/>
              <w:jc w:val="center"/>
              <w:rPr>
                <w:rFonts w:ascii="Times New Roman" w:eastAsia="Times New Roman" w:hAnsi="Times New Roman" w:cs="Times New Roman"/>
                <w:b/>
                <w:bCs/>
                <w:color w:val="000000"/>
                <w:sz w:val="15"/>
                <w:szCs w:val="15"/>
                <w:lang w:eastAsia="en-GB"/>
              </w:rPr>
            </w:pPr>
            <w:r w:rsidRPr="006527E3">
              <w:rPr>
                <w:rFonts w:ascii="Times New Roman" w:eastAsia="Times New Roman" w:hAnsi="Times New Roman" w:cs="Times New Roman"/>
                <w:b/>
                <w:bCs/>
                <w:color w:val="000000"/>
                <w:sz w:val="15"/>
                <w:szCs w:val="15"/>
                <w:lang w:eastAsia="en-GB"/>
              </w:rPr>
              <w:t>HR/SD</w:t>
            </w:r>
            <w:r w:rsidRPr="006527E3">
              <w:rPr>
                <w:rFonts w:ascii="Times New Roman" w:eastAsia="Times New Roman" w:hAnsi="Times New Roman" w:cs="Times New Roman"/>
                <w:b/>
                <w:bCs/>
                <w:color w:val="000000"/>
                <w:sz w:val="15"/>
                <w:szCs w:val="15"/>
                <w:vertAlign w:val="superscript"/>
                <w:lang w:eastAsia="en-GB"/>
              </w:rPr>
              <w:t>†</w:t>
            </w:r>
          </w:p>
        </w:tc>
        <w:tc>
          <w:tcPr>
            <w:tcW w:w="488" w:type="pct"/>
            <w:tcBorders>
              <w:top w:val="single" w:sz="8" w:space="0" w:color="auto"/>
              <w:left w:val="nil"/>
              <w:bottom w:val="single" w:sz="8" w:space="0" w:color="auto"/>
              <w:right w:val="nil"/>
            </w:tcBorders>
            <w:shd w:val="clear" w:color="auto" w:fill="auto"/>
            <w:noWrap/>
            <w:vAlign w:val="bottom"/>
            <w:hideMark/>
          </w:tcPr>
          <w:p w14:paraId="62F24A67" w14:textId="77777777" w:rsidR="00237C04" w:rsidRPr="006527E3" w:rsidRDefault="00237C04" w:rsidP="00874C0D">
            <w:pPr>
              <w:spacing w:after="0" w:line="240" w:lineRule="auto"/>
              <w:jc w:val="center"/>
              <w:rPr>
                <w:rFonts w:ascii="Times New Roman" w:eastAsia="Times New Roman" w:hAnsi="Times New Roman" w:cs="Times New Roman"/>
                <w:b/>
                <w:bCs/>
                <w:color w:val="000000"/>
                <w:sz w:val="15"/>
                <w:szCs w:val="15"/>
                <w:lang w:eastAsia="en-GB"/>
              </w:rPr>
            </w:pPr>
            <w:r w:rsidRPr="006527E3">
              <w:rPr>
                <w:rFonts w:ascii="Times New Roman" w:eastAsia="Times New Roman" w:hAnsi="Times New Roman" w:cs="Times New Roman"/>
                <w:b/>
                <w:bCs/>
                <w:color w:val="000000"/>
                <w:sz w:val="15"/>
                <w:szCs w:val="15"/>
                <w:lang w:eastAsia="en-GB"/>
              </w:rPr>
              <w:t>95%CI</w:t>
            </w:r>
          </w:p>
        </w:tc>
        <w:tc>
          <w:tcPr>
            <w:tcW w:w="487" w:type="pct"/>
            <w:tcBorders>
              <w:top w:val="single" w:sz="8" w:space="0" w:color="auto"/>
              <w:left w:val="nil"/>
              <w:bottom w:val="single" w:sz="8" w:space="0" w:color="auto"/>
              <w:right w:val="nil"/>
            </w:tcBorders>
            <w:shd w:val="clear" w:color="auto" w:fill="auto"/>
            <w:noWrap/>
            <w:vAlign w:val="bottom"/>
            <w:hideMark/>
          </w:tcPr>
          <w:p w14:paraId="041D323B" w14:textId="77777777" w:rsidR="00237C04" w:rsidRPr="006527E3" w:rsidRDefault="00237C04" w:rsidP="00874C0D">
            <w:pPr>
              <w:spacing w:after="0" w:line="240" w:lineRule="auto"/>
              <w:jc w:val="center"/>
              <w:rPr>
                <w:rFonts w:ascii="Times New Roman" w:eastAsia="Times New Roman" w:hAnsi="Times New Roman" w:cs="Times New Roman"/>
                <w:b/>
                <w:bCs/>
                <w:color w:val="000000"/>
                <w:sz w:val="15"/>
                <w:szCs w:val="15"/>
                <w:lang w:eastAsia="en-GB"/>
              </w:rPr>
            </w:pPr>
            <w:r w:rsidRPr="006527E3">
              <w:rPr>
                <w:rFonts w:ascii="Times New Roman" w:eastAsia="Times New Roman" w:hAnsi="Times New Roman" w:cs="Times New Roman"/>
                <w:b/>
                <w:bCs/>
                <w:color w:val="000000"/>
                <w:sz w:val="15"/>
                <w:szCs w:val="15"/>
                <w:lang w:eastAsia="en-GB"/>
              </w:rPr>
              <w:t>p-value</w:t>
            </w:r>
          </w:p>
        </w:tc>
        <w:tc>
          <w:tcPr>
            <w:tcW w:w="488" w:type="pct"/>
            <w:tcBorders>
              <w:top w:val="single" w:sz="8" w:space="0" w:color="auto"/>
              <w:left w:val="single" w:sz="4" w:space="0" w:color="auto"/>
              <w:bottom w:val="single" w:sz="8" w:space="0" w:color="auto"/>
              <w:right w:val="nil"/>
            </w:tcBorders>
            <w:shd w:val="clear" w:color="auto" w:fill="auto"/>
            <w:noWrap/>
            <w:vAlign w:val="bottom"/>
            <w:hideMark/>
          </w:tcPr>
          <w:p w14:paraId="6F1CA89E" w14:textId="77777777" w:rsidR="00237C04" w:rsidRPr="006527E3" w:rsidRDefault="00237C04" w:rsidP="00874C0D">
            <w:pPr>
              <w:spacing w:after="0" w:line="240" w:lineRule="auto"/>
              <w:jc w:val="center"/>
              <w:rPr>
                <w:rFonts w:ascii="Times New Roman" w:eastAsia="Times New Roman" w:hAnsi="Times New Roman" w:cs="Times New Roman"/>
                <w:b/>
                <w:bCs/>
                <w:color w:val="000000"/>
                <w:sz w:val="15"/>
                <w:szCs w:val="15"/>
                <w:lang w:eastAsia="en-GB"/>
              </w:rPr>
            </w:pPr>
            <w:r w:rsidRPr="006527E3">
              <w:rPr>
                <w:rFonts w:ascii="Times New Roman" w:eastAsia="Times New Roman" w:hAnsi="Times New Roman" w:cs="Times New Roman"/>
                <w:b/>
                <w:bCs/>
                <w:color w:val="000000"/>
                <w:sz w:val="15"/>
                <w:szCs w:val="15"/>
                <w:lang w:eastAsia="en-GB"/>
              </w:rPr>
              <w:t>HR/SD</w:t>
            </w:r>
            <w:r w:rsidRPr="006527E3">
              <w:rPr>
                <w:rFonts w:ascii="Times New Roman" w:eastAsia="Times New Roman" w:hAnsi="Times New Roman" w:cs="Times New Roman"/>
                <w:b/>
                <w:bCs/>
                <w:color w:val="000000"/>
                <w:sz w:val="15"/>
                <w:szCs w:val="15"/>
                <w:vertAlign w:val="superscript"/>
                <w:lang w:eastAsia="en-GB"/>
              </w:rPr>
              <w:t>†</w:t>
            </w:r>
          </w:p>
        </w:tc>
        <w:tc>
          <w:tcPr>
            <w:tcW w:w="487" w:type="pct"/>
            <w:tcBorders>
              <w:top w:val="single" w:sz="8" w:space="0" w:color="auto"/>
              <w:left w:val="nil"/>
              <w:bottom w:val="single" w:sz="8" w:space="0" w:color="auto"/>
              <w:right w:val="nil"/>
            </w:tcBorders>
            <w:shd w:val="clear" w:color="auto" w:fill="auto"/>
            <w:noWrap/>
            <w:vAlign w:val="bottom"/>
            <w:hideMark/>
          </w:tcPr>
          <w:p w14:paraId="397DB587" w14:textId="77777777" w:rsidR="00237C04" w:rsidRPr="006527E3" w:rsidRDefault="00237C04" w:rsidP="00874C0D">
            <w:pPr>
              <w:spacing w:after="0" w:line="240" w:lineRule="auto"/>
              <w:jc w:val="center"/>
              <w:rPr>
                <w:rFonts w:ascii="Times New Roman" w:eastAsia="Times New Roman" w:hAnsi="Times New Roman" w:cs="Times New Roman"/>
                <w:b/>
                <w:bCs/>
                <w:color w:val="000000"/>
                <w:sz w:val="15"/>
                <w:szCs w:val="15"/>
                <w:lang w:eastAsia="en-GB"/>
              </w:rPr>
            </w:pPr>
            <w:r w:rsidRPr="006527E3">
              <w:rPr>
                <w:rFonts w:ascii="Times New Roman" w:eastAsia="Times New Roman" w:hAnsi="Times New Roman" w:cs="Times New Roman"/>
                <w:b/>
                <w:bCs/>
                <w:color w:val="000000"/>
                <w:sz w:val="15"/>
                <w:szCs w:val="15"/>
                <w:lang w:eastAsia="en-GB"/>
              </w:rPr>
              <w:t>95%CI</w:t>
            </w:r>
          </w:p>
        </w:tc>
        <w:tc>
          <w:tcPr>
            <w:tcW w:w="486" w:type="pct"/>
            <w:tcBorders>
              <w:top w:val="single" w:sz="8" w:space="0" w:color="auto"/>
              <w:left w:val="nil"/>
              <w:bottom w:val="single" w:sz="8" w:space="0" w:color="auto"/>
              <w:right w:val="nil"/>
            </w:tcBorders>
            <w:shd w:val="clear" w:color="auto" w:fill="auto"/>
            <w:noWrap/>
            <w:vAlign w:val="bottom"/>
            <w:hideMark/>
          </w:tcPr>
          <w:p w14:paraId="26A9C6E6" w14:textId="77777777" w:rsidR="00237C04" w:rsidRPr="006527E3" w:rsidRDefault="00237C04" w:rsidP="00874C0D">
            <w:pPr>
              <w:spacing w:after="0" w:line="240" w:lineRule="auto"/>
              <w:jc w:val="center"/>
              <w:rPr>
                <w:rFonts w:ascii="Times New Roman" w:eastAsia="Times New Roman" w:hAnsi="Times New Roman" w:cs="Times New Roman"/>
                <w:b/>
                <w:bCs/>
                <w:color w:val="000000"/>
                <w:sz w:val="15"/>
                <w:szCs w:val="15"/>
                <w:lang w:eastAsia="en-GB"/>
              </w:rPr>
            </w:pPr>
            <w:r w:rsidRPr="006527E3">
              <w:rPr>
                <w:rFonts w:ascii="Times New Roman" w:eastAsia="Times New Roman" w:hAnsi="Times New Roman" w:cs="Times New Roman"/>
                <w:b/>
                <w:bCs/>
                <w:color w:val="000000"/>
                <w:sz w:val="15"/>
                <w:szCs w:val="15"/>
                <w:lang w:eastAsia="en-GB"/>
              </w:rPr>
              <w:t>p-value</w:t>
            </w:r>
          </w:p>
        </w:tc>
      </w:tr>
      <w:tr w:rsidR="00237C04" w:rsidRPr="006527E3" w14:paraId="254A3F45" w14:textId="77777777" w:rsidTr="008A295F">
        <w:trPr>
          <w:trHeight w:val="300"/>
        </w:trPr>
        <w:tc>
          <w:tcPr>
            <w:tcW w:w="615" w:type="pct"/>
            <w:tcBorders>
              <w:top w:val="nil"/>
              <w:left w:val="nil"/>
              <w:bottom w:val="nil"/>
              <w:right w:val="nil"/>
            </w:tcBorders>
            <w:shd w:val="clear" w:color="auto" w:fill="auto"/>
            <w:noWrap/>
            <w:vAlign w:val="bottom"/>
            <w:hideMark/>
          </w:tcPr>
          <w:p w14:paraId="6AB09B2F" w14:textId="77777777" w:rsidR="00237C04" w:rsidRPr="006527E3" w:rsidRDefault="00237C04" w:rsidP="00874C0D">
            <w:pPr>
              <w:spacing w:after="0" w:line="240" w:lineRule="auto"/>
              <w:rPr>
                <w:rFonts w:ascii="Times New Roman" w:eastAsia="Times New Roman" w:hAnsi="Times New Roman" w:cs="Times New Roman"/>
                <w:b/>
                <w:bCs/>
                <w:color w:val="000000"/>
                <w:sz w:val="15"/>
                <w:szCs w:val="15"/>
                <w:lang w:eastAsia="en-GB"/>
              </w:rPr>
            </w:pPr>
            <w:r w:rsidRPr="006527E3">
              <w:rPr>
                <w:rFonts w:ascii="Times New Roman" w:eastAsia="Times New Roman" w:hAnsi="Times New Roman" w:cs="Times New Roman"/>
                <w:b/>
                <w:bCs/>
                <w:color w:val="000000"/>
                <w:sz w:val="15"/>
                <w:szCs w:val="15"/>
                <w:lang w:eastAsia="en-GB"/>
              </w:rPr>
              <w:t>Femoral neck</w:t>
            </w:r>
          </w:p>
        </w:tc>
        <w:tc>
          <w:tcPr>
            <w:tcW w:w="487" w:type="pct"/>
            <w:tcBorders>
              <w:top w:val="nil"/>
              <w:left w:val="single" w:sz="4" w:space="0" w:color="auto"/>
              <w:bottom w:val="nil"/>
              <w:right w:val="nil"/>
            </w:tcBorders>
            <w:shd w:val="clear" w:color="auto" w:fill="auto"/>
            <w:noWrap/>
            <w:vAlign w:val="bottom"/>
            <w:hideMark/>
          </w:tcPr>
          <w:p w14:paraId="143E5077" w14:textId="77777777" w:rsidR="00237C04" w:rsidRPr="006527E3" w:rsidRDefault="00237C04" w:rsidP="00874C0D">
            <w:pPr>
              <w:spacing w:after="0" w:line="240" w:lineRule="auto"/>
              <w:rPr>
                <w:rFonts w:ascii="Times New Roman" w:eastAsia="Times New Roman" w:hAnsi="Times New Roman" w:cs="Times New Roman"/>
                <w:color w:val="000000"/>
                <w:sz w:val="15"/>
                <w:szCs w:val="15"/>
                <w:lang w:eastAsia="en-GB"/>
              </w:rPr>
            </w:pPr>
            <w:r w:rsidRPr="006527E3">
              <w:rPr>
                <w:rFonts w:ascii="Times New Roman" w:eastAsia="Times New Roman" w:hAnsi="Times New Roman" w:cs="Times New Roman"/>
                <w:color w:val="000000"/>
                <w:sz w:val="15"/>
                <w:szCs w:val="15"/>
                <w:lang w:eastAsia="en-GB"/>
              </w:rPr>
              <w:t> </w:t>
            </w:r>
          </w:p>
        </w:tc>
        <w:tc>
          <w:tcPr>
            <w:tcW w:w="487" w:type="pct"/>
            <w:tcBorders>
              <w:top w:val="nil"/>
              <w:left w:val="nil"/>
              <w:bottom w:val="nil"/>
              <w:right w:val="nil"/>
            </w:tcBorders>
            <w:shd w:val="clear" w:color="auto" w:fill="auto"/>
            <w:noWrap/>
            <w:vAlign w:val="bottom"/>
            <w:hideMark/>
          </w:tcPr>
          <w:p w14:paraId="35A19868" w14:textId="77777777" w:rsidR="00237C04" w:rsidRPr="006527E3" w:rsidRDefault="00237C04" w:rsidP="00874C0D">
            <w:pPr>
              <w:spacing w:after="0" w:line="240" w:lineRule="auto"/>
              <w:rPr>
                <w:rFonts w:ascii="Times New Roman" w:eastAsia="Times New Roman" w:hAnsi="Times New Roman" w:cs="Times New Roman"/>
                <w:color w:val="000000"/>
                <w:sz w:val="15"/>
                <w:szCs w:val="15"/>
                <w:lang w:eastAsia="en-GB"/>
              </w:rPr>
            </w:pPr>
          </w:p>
        </w:tc>
        <w:tc>
          <w:tcPr>
            <w:tcW w:w="488" w:type="pct"/>
            <w:tcBorders>
              <w:top w:val="nil"/>
              <w:left w:val="nil"/>
              <w:bottom w:val="nil"/>
              <w:right w:val="nil"/>
            </w:tcBorders>
            <w:shd w:val="clear" w:color="auto" w:fill="auto"/>
            <w:noWrap/>
            <w:vAlign w:val="bottom"/>
            <w:hideMark/>
          </w:tcPr>
          <w:p w14:paraId="1360A9F2" w14:textId="77777777" w:rsidR="00237C04" w:rsidRPr="006527E3" w:rsidRDefault="00237C04" w:rsidP="00874C0D">
            <w:pPr>
              <w:spacing w:after="0" w:line="240" w:lineRule="auto"/>
              <w:rPr>
                <w:rFonts w:ascii="Times New Roman" w:eastAsia="Times New Roman" w:hAnsi="Times New Roman" w:cs="Times New Roman"/>
                <w:color w:val="000000"/>
                <w:sz w:val="15"/>
                <w:szCs w:val="15"/>
                <w:lang w:eastAsia="en-GB"/>
              </w:rPr>
            </w:pPr>
          </w:p>
        </w:tc>
        <w:tc>
          <w:tcPr>
            <w:tcW w:w="487" w:type="pct"/>
            <w:tcBorders>
              <w:top w:val="nil"/>
              <w:left w:val="single" w:sz="4" w:space="0" w:color="auto"/>
              <w:bottom w:val="nil"/>
              <w:right w:val="nil"/>
            </w:tcBorders>
            <w:shd w:val="clear" w:color="auto" w:fill="auto"/>
            <w:noWrap/>
            <w:vAlign w:val="bottom"/>
            <w:hideMark/>
          </w:tcPr>
          <w:p w14:paraId="7E646C6C" w14:textId="77777777" w:rsidR="00237C04" w:rsidRPr="006527E3" w:rsidRDefault="00237C04" w:rsidP="00874C0D">
            <w:pPr>
              <w:spacing w:after="0" w:line="240" w:lineRule="auto"/>
              <w:rPr>
                <w:rFonts w:ascii="Times New Roman" w:eastAsia="Times New Roman" w:hAnsi="Times New Roman" w:cs="Times New Roman"/>
                <w:color w:val="000000"/>
                <w:sz w:val="15"/>
                <w:szCs w:val="15"/>
                <w:lang w:eastAsia="en-GB"/>
              </w:rPr>
            </w:pPr>
            <w:r w:rsidRPr="006527E3">
              <w:rPr>
                <w:rFonts w:ascii="Times New Roman" w:eastAsia="Times New Roman" w:hAnsi="Times New Roman" w:cs="Times New Roman"/>
                <w:color w:val="000000"/>
                <w:sz w:val="15"/>
                <w:szCs w:val="15"/>
                <w:lang w:eastAsia="en-GB"/>
              </w:rPr>
              <w:t> </w:t>
            </w:r>
          </w:p>
        </w:tc>
        <w:tc>
          <w:tcPr>
            <w:tcW w:w="488" w:type="pct"/>
            <w:tcBorders>
              <w:top w:val="nil"/>
              <w:left w:val="nil"/>
              <w:bottom w:val="nil"/>
              <w:right w:val="nil"/>
            </w:tcBorders>
            <w:shd w:val="clear" w:color="auto" w:fill="auto"/>
            <w:noWrap/>
            <w:vAlign w:val="bottom"/>
            <w:hideMark/>
          </w:tcPr>
          <w:p w14:paraId="6DA05E52" w14:textId="77777777" w:rsidR="00237C04" w:rsidRPr="006527E3" w:rsidRDefault="00237C04" w:rsidP="00874C0D">
            <w:pPr>
              <w:spacing w:after="0" w:line="240" w:lineRule="auto"/>
              <w:rPr>
                <w:rFonts w:ascii="Times New Roman" w:eastAsia="Times New Roman" w:hAnsi="Times New Roman" w:cs="Times New Roman"/>
                <w:color w:val="000000"/>
                <w:sz w:val="15"/>
                <w:szCs w:val="15"/>
                <w:lang w:eastAsia="en-GB"/>
              </w:rPr>
            </w:pPr>
          </w:p>
        </w:tc>
        <w:tc>
          <w:tcPr>
            <w:tcW w:w="487" w:type="pct"/>
            <w:tcBorders>
              <w:top w:val="nil"/>
              <w:left w:val="nil"/>
              <w:bottom w:val="nil"/>
              <w:right w:val="nil"/>
            </w:tcBorders>
            <w:shd w:val="clear" w:color="auto" w:fill="auto"/>
            <w:noWrap/>
            <w:vAlign w:val="bottom"/>
            <w:hideMark/>
          </w:tcPr>
          <w:p w14:paraId="3C4F6FFE" w14:textId="77777777" w:rsidR="00237C04" w:rsidRPr="006527E3" w:rsidRDefault="00237C04" w:rsidP="00874C0D">
            <w:pPr>
              <w:spacing w:after="0" w:line="240" w:lineRule="auto"/>
              <w:rPr>
                <w:rFonts w:ascii="Times New Roman" w:eastAsia="Times New Roman" w:hAnsi="Times New Roman" w:cs="Times New Roman"/>
                <w:color w:val="000000"/>
                <w:sz w:val="15"/>
                <w:szCs w:val="15"/>
                <w:lang w:eastAsia="en-GB"/>
              </w:rPr>
            </w:pPr>
          </w:p>
        </w:tc>
        <w:tc>
          <w:tcPr>
            <w:tcW w:w="488" w:type="pct"/>
            <w:tcBorders>
              <w:top w:val="nil"/>
              <w:left w:val="single" w:sz="4" w:space="0" w:color="auto"/>
              <w:bottom w:val="nil"/>
              <w:right w:val="nil"/>
            </w:tcBorders>
            <w:shd w:val="clear" w:color="auto" w:fill="auto"/>
            <w:noWrap/>
            <w:vAlign w:val="bottom"/>
            <w:hideMark/>
          </w:tcPr>
          <w:p w14:paraId="4E883505" w14:textId="77777777" w:rsidR="00237C04" w:rsidRPr="006527E3" w:rsidRDefault="00237C04" w:rsidP="00874C0D">
            <w:pPr>
              <w:spacing w:after="0" w:line="240" w:lineRule="auto"/>
              <w:rPr>
                <w:rFonts w:ascii="Times New Roman" w:eastAsia="Times New Roman" w:hAnsi="Times New Roman" w:cs="Times New Roman"/>
                <w:color w:val="000000"/>
                <w:sz w:val="15"/>
                <w:szCs w:val="15"/>
                <w:lang w:eastAsia="en-GB"/>
              </w:rPr>
            </w:pPr>
            <w:r w:rsidRPr="006527E3">
              <w:rPr>
                <w:rFonts w:ascii="Times New Roman" w:eastAsia="Times New Roman" w:hAnsi="Times New Roman" w:cs="Times New Roman"/>
                <w:color w:val="000000"/>
                <w:sz w:val="15"/>
                <w:szCs w:val="15"/>
                <w:lang w:eastAsia="en-GB"/>
              </w:rPr>
              <w:t> </w:t>
            </w:r>
          </w:p>
        </w:tc>
        <w:tc>
          <w:tcPr>
            <w:tcW w:w="487" w:type="pct"/>
            <w:tcBorders>
              <w:top w:val="nil"/>
              <w:left w:val="nil"/>
              <w:bottom w:val="nil"/>
              <w:right w:val="nil"/>
            </w:tcBorders>
            <w:shd w:val="clear" w:color="auto" w:fill="auto"/>
            <w:noWrap/>
            <w:vAlign w:val="bottom"/>
            <w:hideMark/>
          </w:tcPr>
          <w:p w14:paraId="5A66E12C" w14:textId="77777777" w:rsidR="00237C04" w:rsidRPr="006527E3" w:rsidRDefault="00237C04" w:rsidP="00874C0D">
            <w:pPr>
              <w:spacing w:after="0" w:line="240" w:lineRule="auto"/>
              <w:rPr>
                <w:rFonts w:ascii="Times New Roman" w:eastAsia="Times New Roman" w:hAnsi="Times New Roman" w:cs="Times New Roman"/>
                <w:color w:val="000000"/>
                <w:sz w:val="15"/>
                <w:szCs w:val="15"/>
                <w:lang w:eastAsia="en-GB"/>
              </w:rPr>
            </w:pPr>
          </w:p>
        </w:tc>
        <w:tc>
          <w:tcPr>
            <w:tcW w:w="486" w:type="pct"/>
            <w:tcBorders>
              <w:top w:val="nil"/>
              <w:left w:val="nil"/>
              <w:bottom w:val="nil"/>
              <w:right w:val="nil"/>
            </w:tcBorders>
            <w:shd w:val="clear" w:color="auto" w:fill="auto"/>
            <w:noWrap/>
            <w:vAlign w:val="bottom"/>
            <w:hideMark/>
          </w:tcPr>
          <w:p w14:paraId="37D94574" w14:textId="77777777" w:rsidR="00237C04" w:rsidRPr="006527E3" w:rsidRDefault="00237C04" w:rsidP="00874C0D">
            <w:pPr>
              <w:spacing w:after="0" w:line="240" w:lineRule="auto"/>
              <w:rPr>
                <w:rFonts w:ascii="Times New Roman" w:eastAsia="Times New Roman" w:hAnsi="Times New Roman" w:cs="Times New Roman"/>
                <w:color w:val="000000"/>
                <w:sz w:val="15"/>
                <w:szCs w:val="15"/>
                <w:lang w:eastAsia="en-GB"/>
              </w:rPr>
            </w:pPr>
          </w:p>
        </w:tc>
      </w:tr>
      <w:tr w:rsidR="00237C04" w:rsidRPr="006527E3" w14:paraId="2E6670A6" w14:textId="77777777" w:rsidTr="008A295F">
        <w:trPr>
          <w:trHeight w:val="300"/>
        </w:trPr>
        <w:tc>
          <w:tcPr>
            <w:tcW w:w="615" w:type="pct"/>
            <w:tcBorders>
              <w:top w:val="nil"/>
              <w:left w:val="nil"/>
              <w:bottom w:val="nil"/>
              <w:right w:val="nil"/>
            </w:tcBorders>
            <w:shd w:val="clear" w:color="auto" w:fill="auto"/>
            <w:noWrap/>
            <w:vAlign w:val="bottom"/>
            <w:hideMark/>
          </w:tcPr>
          <w:p w14:paraId="2C6A0286" w14:textId="77777777" w:rsidR="00237C04" w:rsidRPr="006527E3" w:rsidRDefault="00237C04" w:rsidP="00874C0D">
            <w:pPr>
              <w:spacing w:after="0" w:line="240" w:lineRule="auto"/>
              <w:rPr>
                <w:rFonts w:ascii="Times New Roman" w:eastAsia="Times New Roman" w:hAnsi="Times New Roman" w:cs="Times New Roman"/>
                <w:color w:val="000000"/>
                <w:sz w:val="15"/>
                <w:szCs w:val="15"/>
                <w:lang w:eastAsia="en-GB"/>
              </w:rPr>
            </w:pPr>
            <w:r w:rsidRPr="006527E3">
              <w:rPr>
                <w:rFonts w:ascii="Times New Roman" w:eastAsia="Times New Roman" w:hAnsi="Times New Roman" w:cs="Times New Roman"/>
                <w:color w:val="000000"/>
                <w:sz w:val="15"/>
                <w:szCs w:val="15"/>
                <w:lang w:eastAsia="en-GB"/>
              </w:rPr>
              <w:t>Area</w:t>
            </w:r>
          </w:p>
        </w:tc>
        <w:tc>
          <w:tcPr>
            <w:tcW w:w="487" w:type="pct"/>
            <w:tcBorders>
              <w:top w:val="nil"/>
              <w:left w:val="single" w:sz="4" w:space="0" w:color="auto"/>
              <w:bottom w:val="nil"/>
              <w:right w:val="nil"/>
            </w:tcBorders>
            <w:shd w:val="clear" w:color="auto" w:fill="auto"/>
            <w:noWrap/>
            <w:vAlign w:val="bottom"/>
            <w:hideMark/>
          </w:tcPr>
          <w:p w14:paraId="79EF9AF4" w14:textId="77777777" w:rsidR="00237C04" w:rsidRPr="006527E3" w:rsidRDefault="00237C04" w:rsidP="00874C0D">
            <w:pPr>
              <w:spacing w:after="0" w:line="240" w:lineRule="auto"/>
              <w:jc w:val="center"/>
              <w:rPr>
                <w:rFonts w:ascii="Times New Roman" w:eastAsia="Times New Roman" w:hAnsi="Times New Roman" w:cs="Times New Roman"/>
                <w:color w:val="000000"/>
                <w:sz w:val="15"/>
                <w:szCs w:val="15"/>
                <w:lang w:eastAsia="en-GB"/>
              </w:rPr>
            </w:pPr>
            <w:r w:rsidRPr="006527E3">
              <w:rPr>
                <w:rFonts w:ascii="Times New Roman" w:eastAsia="Times New Roman" w:hAnsi="Times New Roman" w:cs="Times New Roman"/>
                <w:color w:val="000000"/>
                <w:sz w:val="15"/>
                <w:szCs w:val="15"/>
                <w:lang w:eastAsia="en-GB"/>
              </w:rPr>
              <w:t>0.99</w:t>
            </w:r>
          </w:p>
        </w:tc>
        <w:tc>
          <w:tcPr>
            <w:tcW w:w="487" w:type="pct"/>
            <w:tcBorders>
              <w:top w:val="nil"/>
              <w:left w:val="nil"/>
              <w:bottom w:val="nil"/>
              <w:right w:val="nil"/>
            </w:tcBorders>
            <w:shd w:val="clear" w:color="auto" w:fill="auto"/>
            <w:noWrap/>
            <w:vAlign w:val="bottom"/>
            <w:hideMark/>
          </w:tcPr>
          <w:p w14:paraId="78187F65" w14:textId="77777777" w:rsidR="00237C04" w:rsidRPr="006527E3" w:rsidRDefault="00237C04" w:rsidP="00874C0D">
            <w:pPr>
              <w:spacing w:after="0" w:line="240" w:lineRule="auto"/>
              <w:jc w:val="center"/>
              <w:rPr>
                <w:rFonts w:ascii="Times New Roman" w:eastAsia="Times New Roman" w:hAnsi="Times New Roman" w:cs="Times New Roman"/>
                <w:color w:val="000000"/>
                <w:sz w:val="15"/>
                <w:szCs w:val="15"/>
                <w:lang w:eastAsia="en-GB"/>
              </w:rPr>
            </w:pPr>
            <w:r w:rsidRPr="006527E3">
              <w:rPr>
                <w:rFonts w:ascii="Times New Roman" w:eastAsia="Times New Roman" w:hAnsi="Times New Roman" w:cs="Times New Roman"/>
                <w:color w:val="000000"/>
                <w:sz w:val="15"/>
                <w:szCs w:val="15"/>
                <w:lang w:eastAsia="en-GB"/>
              </w:rPr>
              <w:t>0.76, 1.29</w:t>
            </w:r>
          </w:p>
        </w:tc>
        <w:tc>
          <w:tcPr>
            <w:tcW w:w="488" w:type="pct"/>
            <w:tcBorders>
              <w:top w:val="nil"/>
              <w:left w:val="nil"/>
              <w:bottom w:val="nil"/>
              <w:right w:val="nil"/>
            </w:tcBorders>
            <w:shd w:val="clear" w:color="auto" w:fill="auto"/>
            <w:noWrap/>
            <w:vAlign w:val="bottom"/>
            <w:hideMark/>
          </w:tcPr>
          <w:p w14:paraId="5EDC302A" w14:textId="77777777" w:rsidR="00237C04" w:rsidRPr="006527E3" w:rsidRDefault="00237C04" w:rsidP="00874C0D">
            <w:pPr>
              <w:spacing w:after="0" w:line="240" w:lineRule="auto"/>
              <w:jc w:val="center"/>
              <w:rPr>
                <w:rFonts w:ascii="Times New Roman" w:eastAsia="Times New Roman" w:hAnsi="Times New Roman" w:cs="Times New Roman"/>
                <w:color w:val="000000"/>
                <w:sz w:val="15"/>
                <w:szCs w:val="15"/>
                <w:lang w:eastAsia="en-GB"/>
              </w:rPr>
            </w:pPr>
            <w:r w:rsidRPr="006527E3">
              <w:rPr>
                <w:rFonts w:ascii="Times New Roman" w:eastAsia="Times New Roman" w:hAnsi="Times New Roman" w:cs="Times New Roman"/>
                <w:color w:val="000000"/>
                <w:sz w:val="15"/>
                <w:szCs w:val="15"/>
                <w:lang w:eastAsia="en-GB"/>
              </w:rPr>
              <w:t>0.93</w:t>
            </w:r>
          </w:p>
        </w:tc>
        <w:tc>
          <w:tcPr>
            <w:tcW w:w="487" w:type="pct"/>
            <w:tcBorders>
              <w:top w:val="nil"/>
              <w:left w:val="single" w:sz="4" w:space="0" w:color="auto"/>
              <w:bottom w:val="nil"/>
              <w:right w:val="nil"/>
            </w:tcBorders>
            <w:shd w:val="clear" w:color="auto" w:fill="auto"/>
            <w:noWrap/>
            <w:vAlign w:val="bottom"/>
            <w:hideMark/>
          </w:tcPr>
          <w:p w14:paraId="40309971" w14:textId="77777777" w:rsidR="00237C04" w:rsidRPr="006527E3" w:rsidRDefault="00237C04" w:rsidP="00874C0D">
            <w:pPr>
              <w:spacing w:after="0" w:line="240" w:lineRule="auto"/>
              <w:jc w:val="center"/>
              <w:rPr>
                <w:rFonts w:ascii="Times New Roman" w:eastAsia="Times New Roman" w:hAnsi="Times New Roman" w:cs="Times New Roman"/>
                <w:color w:val="000000"/>
                <w:sz w:val="15"/>
                <w:szCs w:val="15"/>
                <w:lang w:eastAsia="en-GB"/>
              </w:rPr>
            </w:pPr>
            <w:r w:rsidRPr="006527E3">
              <w:rPr>
                <w:rFonts w:ascii="Times New Roman" w:eastAsia="Times New Roman" w:hAnsi="Times New Roman" w:cs="Times New Roman"/>
                <w:color w:val="000000"/>
                <w:sz w:val="15"/>
                <w:szCs w:val="15"/>
                <w:lang w:eastAsia="en-GB"/>
              </w:rPr>
              <w:t>1.1</w:t>
            </w:r>
          </w:p>
        </w:tc>
        <w:tc>
          <w:tcPr>
            <w:tcW w:w="488" w:type="pct"/>
            <w:tcBorders>
              <w:top w:val="nil"/>
              <w:left w:val="nil"/>
              <w:bottom w:val="nil"/>
              <w:right w:val="nil"/>
            </w:tcBorders>
            <w:shd w:val="clear" w:color="auto" w:fill="auto"/>
            <w:noWrap/>
            <w:vAlign w:val="bottom"/>
            <w:hideMark/>
          </w:tcPr>
          <w:p w14:paraId="237B6A41" w14:textId="77777777" w:rsidR="00237C04" w:rsidRPr="006527E3" w:rsidRDefault="00237C04" w:rsidP="00874C0D">
            <w:pPr>
              <w:spacing w:after="0" w:line="240" w:lineRule="auto"/>
              <w:jc w:val="center"/>
              <w:rPr>
                <w:rFonts w:ascii="Times New Roman" w:eastAsia="Times New Roman" w:hAnsi="Times New Roman" w:cs="Times New Roman"/>
                <w:color w:val="000000"/>
                <w:sz w:val="15"/>
                <w:szCs w:val="15"/>
                <w:lang w:eastAsia="en-GB"/>
              </w:rPr>
            </w:pPr>
            <w:r w:rsidRPr="006527E3">
              <w:rPr>
                <w:rFonts w:ascii="Times New Roman" w:eastAsia="Times New Roman" w:hAnsi="Times New Roman" w:cs="Times New Roman"/>
                <w:color w:val="000000"/>
                <w:sz w:val="15"/>
                <w:szCs w:val="15"/>
                <w:lang w:eastAsia="en-GB"/>
              </w:rPr>
              <w:t>0.85, 1.42</w:t>
            </w:r>
          </w:p>
        </w:tc>
        <w:tc>
          <w:tcPr>
            <w:tcW w:w="487" w:type="pct"/>
            <w:tcBorders>
              <w:top w:val="nil"/>
              <w:left w:val="nil"/>
              <w:bottom w:val="nil"/>
              <w:right w:val="nil"/>
            </w:tcBorders>
            <w:shd w:val="clear" w:color="auto" w:fill="auto"/>
            <w:noWrap/>
            <w:vAlign w:val="bottom"/>
            <w:hideMark/>
          </w:tcPr>
          <w:p w14:paraId="50A81029" w14:textId="77777777" w:rsidR="00237C04" w:rsidRPr="006527E3" w:rsidRDefault="00237C04" w:rsidP="00874C0D">
            <w:pPr>
              <w:spacing w:after="0" w:line="240" w:lineRule="auto"/>
              <w:jc w:val="center"/>
              <w:rPr>
                <w:rFonts w:ascii="Times New Roman" w:eastAsia="Times New Roman" w:hAnsi="Times New Roman" w:cs="Times New Roman"/>
                <w:color w:val="000000"/>
                <w:sz w:val="15"/>
                <w:szCs w:val="15"/>
                <w:lang w:eastAsia="en-GB"/>
              </w:rPr>
            </w:pPr>
            <w:r w:rsidRPr="006527E3">
              <w:rPr>
                <w:rFonts w:ascii="Times New Roman" w:eastAsia="Times New Roman" w:hAnsi="Times New Roman" w:cs="Times New Roman"/>
                <w:color w:val="000000"/>
                <w:sz w:val="15"/>
                <w:szCs w:val="15"/>
                <w:lang w:eastAsia="en-GB"/>
              </w:rPr>
              <w:t>0.47</w:t>
            </w:r>
          </w:p>
        </w:tc>
        <w:tc>
          <w:tcPr>
            <w:tcW w:w="488" w:type="pct"/>
            <w:tcBorders>
              <w:top w:val="nil"/>
              <w:left w:val="single" w:sz="4" w:space="0" w:color="auto"/>
              <w:bottom w:val="nil"/>
              <w:right w:val="nil"/>
            </w:tcBorders>
            <w:shd w:val="clear" w:color="auto" w:fill="auto"/>
            <w:noWrap/>
            <w:vAlign w:val="bottom"/>
            <w:hideMark/>
          </w:tcPr>
          <w:p w14:paraId="5A80D8D9" w14:textId="77777777" w:rsidR="00237C04" w:rsidRPr="006527E3" w:rsidRDefault="00237C04" w:rsidP="00874C0D">
            <w:pPr>
              <w:spacing w:after="0" w:line="240" w:lineRule="auto"/>
              <w:jc w:val="center"/>
              <w:rPr>
                <w:rFonts w:ascii="Times New Roman" w:eastAsia="Times New Roman" w:hAnsi="Times New Roman" w:cs="Times New Roman"/>
                <w:color w:val="000000"/>
                <w:sz w:val="15"/>
                <w:szCs w:val="15"/>
                <w:lang w:eastAsia="en-GB"/>
              </w:rPr>
            </w:pPr>
            <w:r w:rsidRPr="006527E3">
              <w:rPr>
                <w:rFonts w:ascii="Times New Roman" w:eastAsia="Times New Roman" w:hAnsi="Times New Roman" w:cs="Times New Roman"/>
                <w:color w:val="000000"/>
                <w:sz w:val="15"/>
                <w:szCs w:val="15"/>
                <w:lang w:eastAsia="en-GB"/>
              </w:rPr>
              <w:t>1.15</w:t>
            </w:r>
          </w:p>
        </w:tc>
        <w:tc>
          <w:tcPr>
            <w:tcW w:w="487" w:type="pct"/>
            <w:tcBorders>
              <w:top w:val="nil"/>
              <w:left w:val="nil"/>
              <w:bottom w:val="nil"/>
              <w:right w:val="nil"/>
            </w:tcBorders>
            <w:shd w:val="clear" w:color="auto" w:fill="auto"/>
            <w:noWrap/>
            <w:vAlign w:val="bottom"/>
            <w:hideMark/>
          </w:tcPr>
          <w:p w14:paraId="1C0BE283" w14:textId="77777777" w:rsidR="00237C04" w:rsidRPr="006527E3" w:rsidRDefault="00237C04" w:rsidP="00874C0D">
            <w:pPr>
              <w:spacing w:after="0" w:line="240" w:lineRule="auto"/>
              <w:jc w:val="center"/>
              <w:rPr>
                <w:rFonts w:ascii="Times New Roman" w:eastAsia="Times New Roman" w:hAnsi="Times New Roman" w:cs="Times New Roman"/>
                <w:color w:val="000000"/>
                <w:sz w:val="15"/>
                <w:szCs w:val="15"/>
                <w:lang w:eastAsia="en-GB"/>
              </w:rPr>
            </w:pPr>
            <w:r w:rsidRPr="006527E3">
              <w:rPr>
                <w:rFonts w:ascii="Times New Roman" w:eastAsia="Times New Roman" w:hAnsi="Times New Roman" w:cs="Times New Roman"/>
                <w:color w:val="000000"/>
                <w:sz w:val="15"/>
                <w:szCs w:val="15"/>
                <w:lang w:eastAsia="en-GB"/>
              </w:rPr>
              <w:t>0.88, 1.50</w:t>
            </w:r>
          </w:p>
        </w:tc>
        <w:tc>
          <w:tcPr>
            <w:tcW w:w="486" w:type="pct"/>
            <w:tcBorders>
              <w:top w:val="nil"/>
              <w:left w:val="nil"/>
              <w:bottom w:val="nil"/>
              <w:right w:val="nil"/>
            </w:tcBorders>
            <w:shd w:val="clear" w:color="auto" w:fill="auto"/>
            <w:noWrap/>
            <w:vAlign w:val="bottom"/>
            <w:hideMark/>
          </w:tcPr>
          <w:p w14:paraId="0EFD81BA" w14:textId="77777777" w:rsidR="00237C04" w:rsidRPr="006527E3" w:rsidRDefault="00237C04" w:rsidP="00874C0D">
            <w:pPr>
              <w:spacing w:after="0" w:line="240" w:lineRule="auto"/>
              <w:jc w:val="center"/>
              <w:rPr>
                <w:rFonts w:ascii="Times New Roman" w:eastAsia="Times New Roman" w:hAnsi="Times New Roman" w:cs="Times New Roman"/>
                <w:color w:val="000000"/>
                <w:sz w:val="15"/>
                <w:szCs w:val="15"/>
                <w:lang w:eastAsia="en-GB"/>
              </w:rPr>
            </w:pPr>
            <w:r w:rsidRPr="006527E3">
              <w:rPr>
                <w:rFonts w:ascii="Times New Roman" w:eastAsia="Times New Roman" w:hAnsi="Times New Roman" w:cs="Times New Roman"/>
                <w:color w:val="000000"/>
                <w:sz w:val="15"/>
                <w:szCs w:val="15"/>
                <w:lang w:eastAsia="en-GB"/>
              </w:rPr>
              <w:t>0.32</w:t>
            </w:r>
          </w:p>
        </w:tc>
      </w:tr>
      <w:tr w:rsidR="00237C04" w:rsidRPr="006527E3" w14:paraId="7EDDB39F" w14:textId="77777777" w:rsidTr="008A295F">
        <w:trPr>
          <w:trHeight w:val="300"/>
        </w:trPr>
        <w:tc>
          <w:tcPr>
            <w:tcW w:w="615" w:type="pct"/>
            <w:tcBorders>
              <w:top w:val="nil"/>
              <w:left w:val="nil"/>
              <w:bottom w:val="nil"/>
              <w:right w:val="nil"/>
            </w:tcBorders>
            <w:shd w:val="clear" w:color="auto" w:fill="auto"/>
            <w:noWrap/>
            <w:vAlign w:val="bottom"/>
            <w:hideMark/>
          </w:tcPr>
          <w:p w14:paraId="2AFC4D00" w14:textId="77777777" w:rsidR="00237C04" w:rsidRPr="006527E3" w:rsidRDefault="00237C04" w:rsidP="00874C0D">
            <w:pPr>
              <w:spacing w:after="0" w:line="240" w:lineRule="auto"/>
              <w:rPr>
                <w:rFonts w:ascii="Times New Roman" w:eastAsia="Times New Roman" w:hAnsi="Times New Roman" w:cs="Times New Roman"/>
                <w:color w:val="000000"/>
                <w:sz w:val="15"/>
                <w:szCs w:val="15"/>
                <w:lang w:eastAsia="en-GB"/>
              </w:rPr>
            </w:pPr>
            <w:r w:rsidRPr="006527E3">
              <w:rPr>
                <w:rFonts w:ascii="Times New Roman" w:eastAsia="Times New Roman" w:hAnsi="Times New Roman" w:cs="Times New Roman"/>
                <w:color w:val="000000"/>
                <w:sz w:val="15"/>
                <w:szCs w:val="15"/>
                <w:lang w:eastAsia="en-GB"/>
              </w:rPr>
              <w:t>BMC</w:t>
            </w:r>
          </w:p>
        </w:tc>
        <w:tc>
          <w:tcPr>
            <w:tcW w:w="487" w:type="pct"/>
            <w:tcBorders>
              <w:top w:val="nil"/>
              <w:left w:val="single" w:sz="4" w:space="0" w:color="auto"/>
              <w:bottom w:val="nil"/>
              <w:right w:val="nil"/>
            </w:tcBorders>
            <w:shd w:val="clear" w:color="auto" w:fill="auto"/>
            <w:noWrap/>
            <w:vAlign w:val="bottom"/>
            <w:hideMark/>
          </w:tcPr>
          <w:p w14:paraId="2C22B16C" w14:textId="77777777" w:rsidR="00237C04" w:rsidRPr="006527E3" w:rsidRDefault="00237C04" w:rsidP="00874C0D">
            <w:pPr>
              <w:spacing w:after="0" w:line="240" w:lineRule="auto"/>
              <w:jc w:val="center"/>
              <w:rPr>
                <w:rFonts w:ascii="Times New Roman" w:eastAsia="Times New Roman" w:hAnsi="Times New Roman" w:cs="Times New Roman"/>
                <w:color w:val="000000"/>
                <w:sz w:val="15"/>
                <w:szCs w:val="15"/>
                <w:lang w:eastAsia="en-GB"/>
              </w:rPr>
            </w:pPr>
            <w:r w:rsidRPr="006527E3">
              <w:rPr>
                <w:rFonts w:ascii="Times New Roman" w:eastAsia="Times New Roman" w:hAnsi="Times New Roman" w:cs="Times New Roman"/>
                <w:color w:val="000000"/>
                <w:sz w:val="15"/>
                <w:szCs w:val="15"/>
                <w:lang w:eastAsia="en-GB"/>
              </w:rPr>
              <w:t>1.82</w:t>
            </w:r>
          </w:p>
        </w:tc>
        <w:tc>
          <w:tcPr>
            <w:tcW w:w="487" w:type="pct"/>
            <w:tcBorders>
              <w:top w:val="nil"/>
              <w:left w:val="nil"/>
              <w:bottom w:val="nil"/>
              <w:right w:val="nil"/>
            </w:tcBorders>
            <w:shd w:val="clear" w:color="auto" w:fill="auto"/>
            <w:noWrap/>
            <w:vAlign w:val="bottom"/>
            <w:hideMark/>
          </w:tcPr>
          <w:p w14:paraId="49FD4D75" w14:textId="77777777" w:rsidR="00237C04" w:rsidRPr="006527E3" w:rsidRDefault="00237C04" w:rsidP="00874C0D">
            <w:pPr>
              <w:spacing w:after="0" w:line="240" w:lineRule="auto"/>
              <w:jc w:val="center"/>
              <w:rPr>
                <w:rFonts w:ascii="Times New Roman" w:eastAsia="Times New Roman" w:hAnsi="Times New Roman" w:cs="Times New Roman"/>
                <w:color w:val="000000"/>
                <w:sz w:val="15"/>
                <w:szCs w:val="15"/>
                <w:lang w:eastAsia="en-GB"/>
              </w:rPr>
            </w:pPr>
            <w:r w:rsidRPr="006527E3">
              <w:rPr>
                <w:rFonts w:ascii="Times New Roman" w:eastAsia="Times New Roman" w:hAnsi="Times New Roman" w:cs="Times New Roman"/>
                <w:color w:val="000000"/>
                <w:sz w:val="15"/>
                <w:szCs w:val="15"/>
                <w:lang w:eastAsia="en-GB"/>
              </w:rPr>
              <w:t>1.38, 2.41</w:t>
            </w:r>
          </w:p>
        </w:tc>
        <w:tc>
          <w:tcPr>
            <w:tcW w:w="488" w:type="pct"/>
            <w:tcBorders>
              <w:top w:val="nil"/>
              <w:left w:val="nil"/>
              <w:bottom w:val="nil"/>
              <w:right w:val="nil"/>
            </w:tcBorders>
            <w:shd w:val="clear" w:color="auto" w:fill="auto"/>
            <w:noWrap/>
            <w:vAlign w:val="bottom"/>
            <w:hideMark/>
          </w:tcPr>
          <w:p w14:paraId="15915773" w14:textId="77777777" w:rsidR="00237C04" w:rsidRPr="006527E3" w:rsidRDefault="00237C04" w:rsidP="00874C0D">
            <w:pPr>
              <w:spacing w:after="0" w:line="240" w:lineRule="auto"/>
              <w:jc w:val="center"/>
              <w:rPr>
                <w:rFonts w:ascii="Times New Roman" w:eastAsia="Times New Roman" w:hAnsi="Times New Roman" w:cs="Times New Roman"/>
                <w:color w:val="000000"/>
                <w:sz w:val="15"/>
                <w:szCs w:val="15"/>
                <w:lang w:eastAsia="en-GB"/>
              </w:rPr>
            </w:pPr>
            <w:r w:rsidRPr="006527E3">
              <w:rPr>
                <w:rFonts w:ascii="Times New Roman" w:eastAsia="Times New Roman" w:hAnsi="Times New Roman" w:cs="Times New Roman"/>
                <w:color w:val="000000"/>
                <w:sz w:val="15"/>
                <w:szCs w:val="15"/>
                <w:lang w:eastAsia="en-GB"/>
              </w:rPr>
              <w:t>&lt;0.001</w:t>
            </w:r>
          </w:p>
        </w:tc>
        <w:tc>
          <w:tcPr>
            <w:tcW w:w="487" w:type="pct"/>
            <w:tcBorders>
              <w:top w:val="nil"/>
              <w:left w:val="single" w:sz="4" w:space="0" w:color="auto"/>
              <w:bottom w:val="nil"/>
              <w:right w:val="nil"/>
            </w:tcBorders>
            <w:shd w:val="clear" w:color="auto" w:fill="auto"/>
            <w:noWrap/>
            <w:vAlign w:val="bottom"/>
            <w:hideMark/>
          </w:tcPr>
          <w:p w14:paraId="03D4975F" w14:textId="77777777" w:rsidR="00237C04" w:rsidRPr="006527E3" w:rsidRDefault="00237C04" w:rsidP="00874C0D">
            <w:pPr>
              <w:spacing w:after="0" w:line="240" w:lineRule="auto"/>
              <w:jc w:val="center"/>
              <w:rPr>
                <w:rFonts w:ascii="Times New Roman" w:eastAsia="Times New Roman" w:hAnsi="Times New Roman" w:cs="Times New Roman"/>
                <w:color w:val="000000"/>
                <w:sz w:val="15"/>
                <w:szCs w:val="15"/>
                <w:lang w:eastAsia="en-GB"/>
              </w:rPr>
            </w:pPr>
            <w:r w:rsidRPr="006527E3">
              <w:rPr>
                <w:rFonts w:ascii="Times New Roman" w:eastAsia="Times New Roman" w:hAnsi="Times New Roman" w:cs="Times New Roman"/>
                <w:color w:val="000000"/>
                <w:sz w:val="15"/>
                <w:szCs w:val="15"/>
                <w:lang w:eastAsia="en-GB"/>
              </w:rPr>
              <w:t>1.58</w:t>
            </w:r>
          </w:p>
        </w:tc>
        <w:tc>
          <w:tcPr>
            <w:tcW w:w="488" w:type="pct"/>
            <w:tcBorders>
              <w:top w:val="nil"/>
              <w:left w:val="nil"/>
              <w:bottom w:val="nil"/>
              <w:right w:val="nil"/>
            </w:tcBorders>
            <w:shd w:val="clear" w:color="auto" w:fill="auto"/>
            <w:noWrap/>
            <w:vAlign w:val="bottom"/>
            <w:hideMark/>
          </w:tcPr>
          <w:p w14:paraId="0DBFBAA8" w14:textId="77777777" w:rsidR="00237C04" w:rsidRPr="006527E3" w:rsidRDefault="00237C04" w:rsidP="00874C0D">
            <w:pPr>
              <w:spacing w:after="0" w:line="240" w:lineRule="auto"/>
              <w:jc w:val="center"/>
              <w:rPr>
                <w:rFonts w:ascii="Times New Roman" w:eastAsia="Times New Roman" w:hAnsi="Times New Roman" w:cs="Times New Roman"/>
                <w:color w:val="000000"/>
                <w:sz w:val="15"/>
                <w:szCs w:val="15"/>
                <w:lang w:eastAsia="en-GB"/>
              </w:rPr>
            </w:pPr>
            <w:r w:rsidRPr="006527E3">
              <w:rPr>
                <w:rFonts w:ascii="Times New Roman" w:eastAsia="Times New Roman" w:hAnsi="Times New Roman" w:cs="Times New Roman"/>
                <w:color w:val="000000"/>
                <w:sz w:val="15"/>
                <w:szCs w:val="15"/>
                <w:lang w:eastAsia="en-GB"/>
              </w:rPr>
              <w:t>1.16, 2.15</w:t>
            </w:r>
          </w:p>
        </w:tc>
        <w:tc>
          <w:tcPr>
            <w:tcW w:w="487" w:type="pct"/>
            <w:tcBorders>
              <w:top w:val="nil"/>
              <w:left w:val="nil"/>
              <w:bottom w:val="nil"/>
              <w:right w:val="nil"/>
            </w:tcBorders>
            <w:shd w:val="clear" w:color="auto" w:fill="auto"/>
            <w:noWrap/>
            <w:vAlign w:val="bottom"/>
            <w:hideMark/>
          </w:tcPr>
          <w:p w14:paraId="0F6879C7" w14:textId="77777777" w:rsidR="00237C04" w:rsidRPr="006527E3" w:rsidRDefault="00237C04" w:rsidP="00874C0D">
            <w:pPr>
              <w:spacing w:after="0" w:line="240" w:lineRule="auto"/>
              <w:jc w:val="center"/>
              <w:rPr>
                <w:rFonts w:ascii="Times New Roman" w:eastAsia="Times New Roman" w:hAnsi="Times New Roman" w:cs="Times New Roman"/>
                <w:color w:val="000000"/>
                <w:sz w:val="15"/>
                <w:szCs w:val="15"/>
                <w:lang w:eastAsia="en-GB"/>
              </w:rPr>
            </w:pPr>
            <w:r w:rsidRPr="006527E3">
              <w:rPr>
                <w:rFonts w:ascii="Times New Roman" w:eastAsia="Times New Roman" w:hAnsi="Times New Roman" w:cs="Times New Roman"/>
                <w:color w:val="000000"/>
                <w:sz w:val="15"/>
                <w:szCs w:val="15"/>
                <w:lang w:eastAsia="en-GB"/>
              </w:rPr>
              <w:t>0.004</w:t>
            </w:r>
          </w:p>
        </w:tc>
        <w:tc>
          <w:tcPr>
            <w:tcW w:w="488" w:type="pct"/>
            <w:tcBorders>
              <w:top w:val="nil"/>
              <w:left w:val="single" w:sz="4" w:space="0" w:color="auto"/>
              <w:bottom w:val="nil"/>
              <w:right w:val="nil"/>
            </w:tcBorders>
            <w:shd w:val="clear" w:color="auto" w:fill="auto"/>
            <w:noWrap/>
            <w:vAlign w:val="bottom"/>
            <w:hideMark/>
          </w:tcPr>
          <w:p w14:paraId="36148A5B" w14:textId="77777777" w:rsidR="00237C04" w:rsidRPr="006527E3" w:rsidRDefault="00237C04" w:rsidP="00874C0D">
            <w:pPr>
              <w:spacing w:after="0" w:line="240" w:lineRule="auto"/>
              <w:jc w:val="center"/>
              <w:rPr>
                <w:rFonts w:ascii="Times New Roman" w:eastAsia="Times New Roman" w:hAnsi="Times New Roman" w:cs="Times New Roman"/>
                <w:color w:val="000000"/>
                <w:sz w:val="15"/>
                <w:szCs w:val="15"/>
                <w:lang w:eastAsia="en-GB"/>
              </w:rPr>
            </w:pPr>
            <w:r w:rsidRPr="006527E3">
              <w:rPr>
                <w:rFonts w:ascii="Times New Roman" w:eastAsia="Times New Roman" w:hAnsi="Times New Roman" w:cs="Times New Roman"/>
                <w:color w:val="000000"/>
                <w:sz w:val="15"/>
                <w:szCs w:val="15"/>
                <w:lang w:eastAsia="en-GB"/>
              </w:rPr>
              <w:t>1.64</w:t>
            </w:r>
          </w:p>
        </w:tc>
        <w:tc>
          <w:tcPr>
            <w:tcW w:w="487" w:type="pct"/>
            <w:tcBorders>
              <w:top w:val="nil"/>
              <w:left w:val="nil"/>
              <w:bottom w:val="nil"/>
              <w:right w:val="nil"/>
            </w:tcBorders>
            <w:shd w:val="clear" w:color="auto" w:fill="auto"/>
            <w:noWrap/>
            <w:vAlign w:val="bottom"/>
            <w:hideMark/>
          </w:tcPr>
          <w:p w14:paraId="4D0C8E57" w14:textId="77777777" w:rsidR="00237C04" w:rsidRPr="006527E3" w:rsidRDefault="00237C04" w:rsidP="00874C0D">
            <w:pPr>
              <w:spacing w:after="0" w:line="240" w:lineRule="auto"/>
              <w:jc w:val="center"/>
              <w:rPr>
                <w:rFonts w:ascii="Times New Roman" w:eastAsia="Times New Roman" w:hAnsi="Times New Roman" w:cs="Times New Roman"/>
                <w:color w:val="000000"/>
                <w:sz w:val="15"/>
                <w:szCs w:val="15"/>
                <w:lang w:eastAsia="en-GB"/>
              </w:rPr>
            </w:pPr>
            <w:r w:rsidRPr="006527E3">
              <w:rPr>
                <w:rFonts w:ascii="Times New Roman" w:eastAsia="Times New Roman" w:hAnsi="Times New Roman" w:cs="Times New Roman"/>
                <w:color w:val="000000"/>
                <w:sz w:val="15"/>
                <w:szCs w:val="15"/>
                <w:lang w:eastAsia="en-GB"/>
              </w:rPr>
              <w:t>1.19, 2.26</w:t>
            </w:r>
          </w:p>
        </w:tc>
        <w:tc>
          <w:tcPr>
            <w:tcW w:w="486" w:type="pct"/>
            <w:tcBorders>
              <w:top w:val="nil"/>
              <w:left w:val="nil"/>
              <w:bottom w:val="nil"/>
              <w:right w:val="nil"/>
            </w:tcBorders>
            <w:shd w:val="clear" w:color="auto" w:fill="auto"/>
            <w:noWrap/>
            <w:vAlign w:val="bottom"/>
            <w:hideMark/>
          </w:tcPr>
          <w:p w14:paraId="75BD6BCE" w14:textId="77777777" w:rsidR="00237C04" w:rsidRPr="006527E3" w:rsidRDefault="00237C04" w:rsidP="00874C0D">
            <w:pPr>
              <w:spacing w:after="0" w:line="240" w:lineRule="auto"/>
              <w:jc w:val="center"/>
              <w:rPr>
                <w:rFonts w:ascii="Times New Roman" w:eastAsia="Times New Roman" w:hAnsi="Times New Roman" w:cs="Times New Roman"/>
                <w:color w:val="000000"/>
                <w:sz w:val="15"/>
                <w:szCs w:val="15"/>
                <w:lang w:eastAsia="en-GB"/>
              </w:rPr>
            </w:pPr>
            <w:r w:rsidRPr="006527E3">
              <w:rPr>
                <w:rFonts w:ascii="Times New Roman" w:eastAsia="Times New Roman" w:hAnsi="Times New Roman" w:cs="Times New Roman"/>
                <w:color w:val="000000"/>
                <w:sz w:val="15"/>
                <w:szCs w:val="15"/>
                <w:lang w:eastAsia="en-GB"/>
              </w:rPr>
              <w:t>0.002</w:t>
            </w:r>
          </w:p>
        </w:tc>
      </w:tr>
      <w:tr w:rsidR="00237C04" w:rsidRPr="006527E3" w14:paraId="45434E2C" w14:textId="77777777" w:rsidTr="008A295F">
        <w:trPr>
          <w:trHeight w:val="300"/>
        </w:trPr>
        <w:tc>
          <w:tcPr>
            <w:tcW w:w="615" w:type="pct"/>
            <w:tcBorders>
              <w:top w:val="nil"/>
              <w:left w:val="nil"/>
              <w:bottom w:val="nil"/>
              <w:right w:val="nil"/>
            </w:tcBorders>
            <w:shd w:val="clear" w:color="auto" w:fill="auto"/>
            <w:noWrap/>
            <w:vAlign w:val="bottom"/>
            <w:hideMark/>
          </w:tcPr>
          <w:p w14:paraId="1A40C949" w14:textId="77777777" w:rsidR="00237C04" w:rsidRPr="006527E3" w:rsidRDefault="00237C04" w:rsidP="00874C0D">
            <w:pPr>
              <w:spacing w:after="0" w:line="240" w:lineRule="auto"/>
              <w:rPr>
                <w:rFonts w:ascii="Times New Roman" w:eastAsia="Times New Roman" w:hAnsi="Times New Roman" w:cs="Times New Roman"/>
                <w:color w:val="000000"/>
                <w:sz w:val="15"/>
                <w:szCs w:val="15"/>
                <w:lang w:eastAsia="en-GB"/>
              </w:rPr>
            </w:pPr>
            <w:r w:rsidRPr="006527E3">
              <w:rPr>
                <w:rFonts w:ascii="Times New Roman" w:eastAsia="Times New Roman" w:hAnsi="Times New Roman" w:cs="Times New Roman"/>
                <w:color w:val="000000"/>
                <w:sz w:val="15"/>
                <w:szCs w:val="15"/>
                <w:lang w:eastAsia="en-GB"/>
              </w:rPr>
              <w:t>BMD</w:t>
            </w:r>
          </w:p>
        </w:tc>
        <w:tc>
          <w:tcPr>
            <w:tcW w:w="487" w:type="pct"/>
            <w:tcBorders>
              <w:top w:val="nil"/>
              <w:left w:val="single" w:sz="4" w:space="0" w:color="auto"/>
              <w:bottom w:val="nil"/>
              <w:right w:val="nil"/>
            </w:tcBorders>
            <w:shd w:val="clear" w:color="auto" w:fill="auto"/>
            <w:noWrap/>
            <w:vAlign w:val="bottom"/>
            <w:hideMark/>
          </w:tcPr>
          <w:p w14:paraId="4276A600" w14:textId="77777777" w:rsidR="00237C04" w:rsidRPr="006527E3" w:rsidRDefault="00237C04" w:rsidP="00874C0D">
            <w:pPr>
              <w:spacing w:after="0" w:line="240" w:lineRule="auto"/>
              <w:jc w:val="center"/>
              <w:rPr>
                <w:rFonts w:ascii="Times New Roman" w:eastAsia="Times New Roman" w:hAnsi="Times New Roman" w:cs="Times New Roman"/>
                <w:color w:val="000000"/>
                <w:sz w:val="15"/>
                <w:szCs w:val="15"/>
                <w:lang w:eastAsia="en-GB"/>
              </w:rPr>
            </w:pPr>
            <w:r w:rsidRPr="006527E3">
              <w:rPr>
                <w:rFonts w:ascii="Times New Roman" w:eastAsia="Times New Roman" w:hAnsi="Times New Roman" w:cs="Times New Roman"/>
                <w:color w:val="000000"/>
                <w:sz w:val="15"/>
                <w:szCs w:val="15"/>
                <w:lang w:eastAsia="en-GB"/>
              </w:rPr>
              <w:t>2.04</w:t>
            </w:r>
          </w:p>
        </w:tc>
        <w:tc>
          <w:tcPr>
            <w:tcW w:w="487" w:type="pct"/>
            <w:tcBorders>
              <w:top w:val="nil"/>
              <w:left w:val="nil"/>
              <w:bottom w:val="nil"/>
              <w:right w:val="nil"/>
            </w:tcBorders>
            <w:shd w:val="clear" w:color="auto" w:fill="auto"/>
            <w:noWrap/>
            <w:vAlign w:val="bottom"/>
            <w:hideMark/>
          </w:tcPr>
          <w:p w14:paraId="5CCB157B" w14:textId="77777777" w:rsidR="00237C04" w:rsidRPr="006527E3" w:rsidRDefault="00237C04" w:rsidP="00874C0D">
            <w:pPr>
              <w:spacing w:after="0" w:line="240" w:lineRule="auto"/>
              <w:jc w:val="center"/>
              <w:rPr>
                <w:rFonts w:ascii="Times New Roman" w:eastAsia="Times New Roman" w:hAnsi="Times New Roman" w:cs="Times New Roman"/>
                <w:color w:val="000000"/>
                <w:sz w:val="15"/>
                <w:szCs w:val="15"/>
                <w:lang w:eastAsia="en-GB"/>
              </w:rPr>
            </w:pPr>
            <w:r w:rsidRPr="006527E3">
              <w:rPr>
                <w:rFonts w:ascii="Times New Roman" w:eastAsia="Times New Roman" w:hAnsi="Times New Roman" w:cs="Times New Roman"/>
                <w:color w:val="000000"/>
                <w:sz w:val="15"/>
                <w:szCs w:val="15"/>
                <w:lang w:eastAsia="en-GB"/>
              </w:rPr>
              <w:t>1.51, 2.77</w:t>
            </w:r>
          </w:p>
        </w:tc>
        <w:tc>
          <w:tcPr>
            <w:tcW w:w="488" w:type="pct"/>
            <w:tcBorders>
              <w:top w:val="nil"/>
              <w:left w:val="nil"/>
              <w:bottom w:val="nil"/>
              <w:right w:val="nil"/>
            </w:tcBorders>
            <w:shd w:val="clear" w:color="auto" w:fill="auto"/>
            <w:noWrap/>
            <w:vAlign w:val="bottom"/>
            <w:hideMark/>
          </w:tcPr>
          <w:p w14:paraId="7603F476" w14:textId="77777777" w:rsidR="00237C04" w:rsidRPr="006527E3" w:rsidRDefault="00237C04" w:rsidP="00874C0D">
            <w:pPr>
              <w:spacing w:after="0" w:line="240" w:lineRule="auto"/>
              <w:jc w:val="center"/>
              <w:rPr>
                <w:rFonts w:ascii="Times New Roman" w:eastAsia="Times New Roman" w:hAnsi="Times New Roman" w:cs="Times New Roman"/>
                <w:color w:val="000000"/>
                <w:sz w:val="15"/>
                <w:szCs w:val="15"/>
                <w:lang w:eastAsia="en-GB"/>
              </w:rPr>
            </w:pPr>
            <w:r w:rsidRPr="006527E3">
              <w:rPr>
                <w:rFonts w:ascii="Times New Roman" w:eastAsia="Times New Roman" w:hAnsi="Times New Roman" w:cs="Times New Roman"/>
                <w:color w:val="000000"/>
                <w:sz w:val="15"/>
                <w:szCs w:val="15"/>
                <w:lang w:eastAsia="en-GB"/>
              </w:rPr>
              <w:t>&lt;0.001</w:t>
            </w:r>
          </w:p>
        </w:tc>
        <w:tc>
          <w:tcPr>
            <w:tcW w:w="487" w:type="pct"/>
            <w:tcBorders>
              <w:top w:val="nil"/>
              <w:left w:val="single" w:sz="4" w:space="0" w:color="auto"/>
              <w:bottom w:val="nil"/>
              <w:right w:val="nil"/>
            </w:tcBorders>
            <w:shd w:val="clear" w:color="auto" w:fill="auto"/>
            <w:noWrap/>
            <w:vAlign w:val="bottom"/>
            <w:hideMark/>
          </w:tcPr>
          <w:p w14:paraId="10C63879" w14:textId="77777777" w:rsidR="00237C04" w:rsidRPr="006527E3" w:rsidRDefault="00237C04" w:rsidP="00874C0D">
            <w:pPr>
              <w:spacing w:after="0" w:line="240" w:lineRule="auto"/>
              <w:jc w:val="center"/>
              <w:rPr>
                <w:rFonts w:ascii="Times New Roman" w:eastAsia="Times New Roman" w:hAnsi="Times New Roman" w:cs="Times New Roman"/>
                <w:color w:val="000000"/>
                <w:sz w:val="15"/>
                <w:szCs w:val="15"/>
                <w:lang w:eastAsia="en-GB"/>
              </w:rPr>
            </w:pPr>
            <w:r w:rsidRPr="006527E3">
              <w:rPr>
                <w:rFonts w:ascii="Times New Roman" w:eastAsia="Times New Roman" w:hAnsi="Times New Roman" w:cs="Times New Roman"/>
                <w:color w:val="000000"/>
                <w:sz w:val="15"/>
                <w:szCs w:val="15"/>
                <w:lang w:eastAsia="en-GB"/>
              </w:rPr>
              <w:t>1.72</w:t>
            </w:r>
          </w:p>
        </w:tc>
        <w:tc>
          <w:tcPr>
            <w:tcW w:w="488" w:type="pct"/>
            <w:tcBorders>
              <w:top w:val="nil"/>
              <w:left w:val="nil"/>
              <w:bottom w:val="nil"/>
              <w:right w:val="nil"/>
            </w:tcBorders>
            <w:shd w:val="clear" w:color="auto" w:fill="auto"/>
            <w:noWrap/>
            <w:vAlign w:val="bottom"/>
            <w:hideMark/>
          </w:tcPr>
          <w:p w14:paraId="1F713920" w14:textId="77777777" w:rsidR="00237C04" w:rsidRPr="006527E3" w:rsidRDefault="00237C04" w:rsidP="00874C0D">
            <w:pPr>
              <w:spacing w:after="0" w:line="240" w:lineRule="auto"/>
              <w:jc w:val="center"/>
              <w:rPr>
                <w:rFonts w:ascii="Times New Roman" w:eastAsia="Times New Roman" w:hAnsi="Times New Roman" w:cs="Times New Roman"/>
                <w:color w:val="000000"/>
                <w:sz w:val="15"/>
                <w:szCs w:val="15"/>
                <w:lang w:eastAsia="en-GB"/>
              </w:rPr>
            </w:pPr>
            <w:r w:rsidRPr="006527E3">
              <w:rPr>
                <w:rFonts w:ascii="Times New Roman" w:eastAsia="Times New Roman" w:hAnsi="Times New Roman" w:cs="Times New Roman"/>
                <w:color w:val="000000"/>
                <w:sz w:val="15"/>
                <w:szCs w:val="15"/>
                <w:lang w:eastAsia="en-GB"/>
              </w:rPr>
              <w:t>1.18, 2.51</w:t>
            </w:r>
          </w:p>
        </w:tc>
        <w:tc>
          <w:tcPr>
            <w:tcW w:w="487" w:type="pct"/>
            <w:tcBorders>
              <w:top w:val="nil"/>
              <w:left w:val="nil"/>
              <w:bottom w:val="nil"/>
              <w:right w:val="nil"/>
            </w:tcBorders>
            <w:shd w:val="clear" w:color="auto" w:fill="auto"/>
            <w:noWrap/>
            <w:vAlign w:val="bottom"/>
            <w:hideMark/>
          </w:tcPr>
          <w:p w14:paraId="55A938D2" w14:textId="77777777" w:rsidR="00237C04" w:rsidRPr="006527E3" w:rsidRDefault="00237C04" w:rsidP="00874C0D">
            <w:pPr>
              <w:spacing w:after="0" w:line="240" w:lineRule="auto"/>
              <w:jc w:val="center"/>
              <w:rPr>
                <w:rFonts w:ascii="Times New Roman" w:eastAsia="Times New Roman" w:hAnsi="Times New Roman" w:cs="Times New Roman"/>
                <w:color w:val="000000"/>
                <w:sz w:val="15"/>
                <w:szCs w:val="15"/>
                <w:lang w:eastAsia="en-GB"/>
              </w:rPr>
            </w:pPr>
            <w:r w:rsidRPr="006527E3">
              <w:rPr>
                <w:rFonts w:ascii="Times New Roman" w:eastAsia="Times New Roman" w:hAnsi="Times New Roman" w:cs="Times New Roman"/>
                <w:color w:val="000000"/>
                <w:sz w:val="15"/>
                <w:szCs w:val="15"/>
                <w:lang w:eastAsia="en-GB"/>
              </w:rPr>
              <w:t>0.005</w:t>
            </w:r>
          </w:p>
        </w:tc>
        <w:tc>
          <w:tcPr>
            <w:tcW w:w="488" w:type="pct"/>
            <w:tcBorders>
              <w:top w:val="nil"/>
              <w:left w:val="single" w:sz="4" w:space="0" w:color="auto"/>
              <w:bottom w:val="nil"/>
              <w:right w:val="nil"/>
            </w:tcBorders>
            <w:shd w:val="clear" w:color="auto" w:fill="auto"/>
            <w:noWrap/>
            <w:vAlign w:val="bottom"/>
            <w:hideMark/>
          </w:tcPr>
          <w:p w14:paraId="57F5B2F8" w14:textId="77777777" w:rsidR="00237C04" w:rsidRPr="006527E3" w:rsidRDefault="00237C04" w:rsidP="00874C0D">
            <w:pPr>
              <w:spacing w:after="0" w:line="240" w:lineRule="auto"/>
              <w:jc w:val="center"/>
              <w:rPr>
                <w:rFonts w:ascii="Times New Roman" w:eastAsia="Times New Roman" w:hAnsi="Times New Roman" w:cs="Times New Roman"/>
                <w:color w:val="000000"/>
                <w:sz w:val="15"/>
                <w:szCs w:val="15"/>
                <w:lang w:eastAsia="en-GB"/>
              </w:rPr>
            </w:pPr>
            <w:r w:rsidRPr="006527E3">
              <w:rPr>
                <w:rFonts w:ascii="Times New Roman" w:eastAsia="Times New Roman" w:hAnsi="Times New Roman" w:cs="Times New Roman"/>
                <w:color w:val="000000"/>
                <w:sz w:val="15"/>
                <w:szCs w:val="15"/>
                <w:lang w:eastAsia="en-GB"/>
              </w:rPr>
              <w:t>1.76</w:t>
            </w:r>
          </w:p>
        </w:tc>
        <w:tc>
          <w:tcPr>
            <w:tcW w:w="487" w:type="pct"/>
            <w:tcBorders>
              <w:top w:val="nil"/>
              <w:left w:val="nil"/>
              <w:bottom w:val="nil"/>
              <w:right w:val="nil"/>
            </w:tcBorders>
            <w:shd w:val="clear" w:color="auto" w:fill="auto"/>
            <w:noWrap/>
            <w:vAlign w:val="bottom"/>
            <w:hideMark/>
          </w:tcPr>
          <w:p w14:paraId="07DFB667" w14:textId="77777777" w:rsidR="00237C04" w:rsidRPr="006527E3" w:rsidRDefault="00237C04" w:rsidP="00874C0D">
            <w:pPr>
              <w:spacing w:after="0" w:line="240" w:lineRule="auto"/>
              <w:jc w:val="center"/>
              <w:rPr>
                <w:rFonts w:ascii="Times New Roman" w:eastAsia="Times New Roman" w:hAnsi="Times New Roman" w:cs="Times New Roman"/>
                <w:color w:val="000000"/>
                <w:sz w:val="15"/>
                <w:szCs w:val="15"/>
                <w:lang w:eastAsia="en-GB"/>
              </w:rPr>
            </w:pPr>
            <w:r w:rsidRPr="006527E3">
              <w:rPr>
                <w:rFonts w:ascii="Times New Roman" w:eastAsia="Times New Roman" w:hAnsi="Times New Roman" w:cs="Times New Roman"/>
                <w:color w:val="000000"/>
                <w:sz w:val="15"/>
                <w:szCs w:val="15"/>
                <w:lang w:eastAsia="en-GB"/>
              </w:rPr>
              <w:t>1.19, 2.60</w:t>
            </w:r>
          </w:p>
        </w:tc>
        <w:tc>
          <w:tcPr>
            <w:tcW w:w="486" w:type="pct"/>
            <w:tcBorders>
              <w:top w:val="nil"/>
              <w:left w:val="nil"/>
              <w:bottom w:val="nil"/>
              <w:right w:val="nil"/>
            </w:tcBorders>
            <w:shd w:val="clear" w:color="auto" w:fill="auto"/>
            <w:noWrap/>
            <w:vAlign w:val="bottom"/>
            <w:hideMark/>
          </w:tcPr>
          <w:p w14:paraId="2C654CE2" w14:textId="77777777" w:rsidR="00237C04" w:rsidRPr="006527E3" w:rsidRDefault="00237C04" w:rsidP="00874C0D">
            <w:pPr>
              <w:spacing w:after="0" w:line="240" w:lineRule="auto"/>
              <w:jc w:val="center"/>
              <w:rPr>
                <w:rFonts w:ascii="Times New Roman" w:eastAsia="Times New Roman" w:hAnsi="Times New Roman" w:cs="Times New Roman"/>
                <w:color w:val="000000"/>
                <w:sz w:val="15"/>
                <w:szCs w:val="15"/>
                <w:lang w:eastAsia="en-GB"/>
              </w:rPr>
            </w:pPr>
            <w:r w:rsidRPr="006527E3">
              <w:rPr>
                <w:rFonts w:ascii="Times New Roman" w:eastAsia="Times New Roman" w:hAnsi="Times New Roman" w:cs="Times New Roman"/>
                <w:color w:val="000000"/>
                <w:sz w:val="15"/>
                <w:szCs w:val="15"/>
                <w:lang w:eastAsia="en-GB"/>
              </w:rPr>
              <w:t>0.005</w:t>
            </w:r>
          </w:p>
        </w:tc>
      </w:tr>
      <w:tr w:rsidR="00237C04" w:rsidRPr="006527E3" w14:paraId="411F12C1" w14:textId="77777777" w:rsidTr="008A295F">
        <w:trPr>
          <w:trHeight w:val="300"/>
        </w:trPr>
        <w:tc>
          <w:tcPr>
            <w:tcW w:w="615" w:type="pct"/>
            <w:tcBorders>
              <w:top w:val="nil"/>
              <w:left w:val="nil"/>
              <w:bottom w:val="nil"/>
              <w:right w:val="nil"/>
            </w:tcBorders>
            <w:shd w:val="clear" w:color="auto" w:fill="auto"/>
            <w:noWrap/>
            <w:vAlign w:val="bottom"/>
            <w:hideMark/>
          </w:tcPr>
          <w:p w14:paraId="421AC02E" w14:textId="77777777" w:rsidR="00237C04" w:rsidRPr="006527E3" w:rsidRDefault="00237C04" w:rsidP="00874C0D">
            <w:pPr>
              <w:spacing w:after="0" w:line="240" w:lineRule="auto"/>
              <w:rPr>
                <w:rFonts w:ascii="Times New Roman" w:eastAsia="Times New Roman" w:hAnsi="Times New Roman" w:cs="Times New Roman"/>
                <w:b/>
                <w:bCs/>
                <w:color w:val="000000"/>
                <w:sz w:val="15"/>
                <w:szCs w:val="15"/>
                <w:lang w:eastAsia="en-GB"/>
              </w:rPr>
            </w:pPr>
            <w:r w:rsidRPr="006527E3">
              <w:rPr>
                <w:rFonts w:ascii="Times New Roman" w:eastAsia="Times New Roman" w:hAnsi="Times New Roman" w:cs="Times New Roman"/>
                <w:b/>
                <w:bCs/>
                <w:color w:val="000000"/>
                <w:sz w:val="15"/>
                <w:szCs w:val="15"/>
                <w:lang w:eastAsia="en-GB"/>
              </w:rPr>
              <w:t>Lumbar spine</w:t>
            </w:r>
          </w:p>
        </w:tc>
        <w:tc>
          <w:tcPr>
            <w:tcW w:w="487" w:type="pct"/>
            <w:tcBorders>
              <w:top w:val="nil"/>
              <w:left w:val="single" w:sz="4" w:space="0" w:color="auto"/>
              <w:bottom w:val="nil"/>
              <w:right w:val="nil"/>
            </w:tcBorders>
            <w:shd w:val="clear" w:color="auto" w:fill="auto"/>
            <w:noWrap/>
            <w:vAlign w:val="bottom"/>
            <w:hideMark/>
          </w:tcPr>
          <w:p w14:paraId="174B8885" w14:textId="77777777" w:rsidR="00237C04" w:rsidRPr="006527E3" w:rsidRDefault="00237C04" w:rsidP="00874C0D">
            <w:pPr>
              <w:spacing w:after="0" w:line="240" w:lineRule="auto"/>
              <w:jc w:val="center"/>
              <w:rPr>
                <w:rFonts w:ascii="Times New Roman" w:eastAsia="Times New Roman" w:hAnsi="Times New Roman" w:cs="Times New Roman"/>
                <w:color w:val="000000"/>
                <w:sz w:val="15"/>
                <w:szCs w:val="15"/>
                <w:lang w:eastAsia="en-GB"/>
              </w:rPr>
            </w:pPr>
            <w:r w:rsidRPr="006527E3">
              <w:rPr>
                <w:rFonts w:ascii="Times New Roman" w:eastAsia="Times New Roman" w:hAnsi="Times New Roman" w:cs="Times New Roman"/>
                <w:color w:val="000000"/>
                <w:sz w:val="15"/>
                <w:szCs w:val="15"/>
                <w:lang w:eastAsia="en-GB"/>
              </w:rPr>
              <w:t> </w:t>
            </w:r>
          </w:p>
        </w:tc>
        <w:tc>
          <w:tcPr>
            <w:tcW w:w="487" w:type="pct"/>
            <w:tcBorders>
              <w:top w:val="nil"/>
              <w:left w:val="nil"/>
              <w:bottom w:val="nil"/>
              <w:right w:val="nil"/>
            </w:tcBorders>
            <w:shd w:val="clear" w:color="auto" w:fill="auto"/>
            <w:noWrap/>
            <w:vAlign w:val="bottom"/>
            <w:hideMark/>
          </w:tcPr>
          <w:p w14:paraId="47C107B2" w14:textId="77777777" w:rsidR="00237C04" w:rsidRPr="006527E3" w:rsidRDefault="00237C04" w:rsidP="00874C0D">
            <w:pPr>
              <w:spacing w:after="0" w:line="240" w:lineRule="auto"/>
              <w:jc w:val="center"/>
              <w:rPr>
                <w:rFonts w:ascii="Times New Roman" w:eastAsia="Times New Roman" w:hAnsi="Times New Roman" w:cs="Times New Roman"/>
                <w:color w:val="000000"/>
                <w:sz w:val="15"/>
                <w:szCs w:val="15"/>
                <w:lang w:eastAsia="en-GB"/>
              </w:rPr>
            </w:pPr>
          </w:p>
        </w:tc>
        <w:tc>
          <w:tcPr>
            <w:tcW w:w="488" w:type="pct"/>
            <w:tcBorders>
              <w:top w:val="nil"/>
              <w:left w:val="nil"/>
              <w:bottom w:val="nil"/>
              <w:right w:val="nil"/>
            </w:tcBorders>
            <w:shd w:val="clear" w:color="auto" w:fill="auto"/>
            <w:noWrap/>
            <w:vAlign w:val="bottom"/>
            <w:hideMark/>
          </w:tcPr>
          <w:p w14:paraId="5351060A" w14:textId="77777777" w:rsidR="00237C04" w:rsidRPr="006527E3" w:rsidRDefault="00237C04" w:rsidP="00874C0D">
            <w:pPr>
              <w:spacing w:after="0" w:line="240" w:lineRule="auto"/>
              <w:jc w:val="center"/>
              <w:rPr>
                <w:rFonts w:ascii="Times New Roman" w:eastAsia="Times New Roman" w:hAnsi="Times New Roman" w:cs="Times New Roman"/>
                <w:color w:val="000000"/>
                <w:sz w:val="15"/>
                <w:szCs w:val="15"/>
                <w:lang w:eastAsia="en-GB"/>
              </w:rPr>
            </w:pPr>
          </w:p>
        </w:tc>
        <w:tc>
          <w:tcPr>
            <w:tcW w:w="487" w:type="pct"/>
            <w:tcBorders>
              <w:top w:val="nil"/>
              <w:left w:val="single" w:sz="4" w:space="0" w:color="auto"/>
              <w:bottom w:val="nil"/>
              <w:right w:val="nil"/>
            </w:tcBorders>
            <w:shd w:val="clear" w:color="auto" w:fill="auto"/>
            <w:noWrap/>
            <w:vAlign w:val="bottom"/>
            <w:hideMark/>
          </w:tcPr>
          <w:p w14:paraId="66618752" w14:textId="77777777" w:rsidR="00237C04" w:rsidRPr="006527E3" w:rsidRDefault="00237C04" w:rsidP="00874C0D">
            <w:pPr>
              <w:spacing w:after="0" w:line="240" w:lineRule="auto"/>
              <w:jc w:val="center"/>
              <w:rPr>
                <w:rFonts w:ascii="Times New Roman" w:eastAsia="Times New Roman" w:hAnsi="Times New Roman" w:cs="Times New Roman"/>
                <w:color w:val="000000"/>
                <w:sz w:val="15"/>
                <w:szCs w:val="15"/>
                <w:lang w:eastAsia="en-GB"/>
              </w:rPr>
            </w:pPr>
            <w:r w:rsidRPr="006527E3">
              <w:rPr>
                <w:rFonts w:ascii="Times New Roman" w:eastAsia="Times New Roman" w:hAnsi="Times New Roman" w:cs="Times New Roman"/>
                <w:color w:val="000000"/>
                <w:sz w:val="15"/>
                <w:szCs w:val="15"/>
                <w:lang w:eastAsia="en-GB"/>
              </w:rPr>
              <w:t> </w:t>
            </w:r>
          </w:p>
        </w:tc>
        <w:tc>
          <w:tcPr>
            <w:tcW w:w="488" w:type="pct"/>
            <w:tcBorders>
              <w:top w:val="nil"/>
              <w:left w:val="nil"/>
              <w:bottom w:val="nil"/>
              <w:right w:val="nil"/>
            </w:tcBorders>
            <w:shd w:val="clear" w:color="auto" w:fill="auto"/>
            <w:noWrap/>
            <w:vAlign w:val="bottom"/>
            <w:hideMark/>
          </w:tcPr>
          <w:p w14:paraId="46913EE3" w14:textId="77777777" w:rsidR="00237C04" w:rsidRPr="006527E3" w:rsidRDefault="00237C04" w:rsidP="00874C0D">
            <w:pPr>
              <w:spacing w:after="0" w:line="240" w:lineRule="auto"/>
              <w:jc w:val="center"/>
              <w:rPr>
                <w:rFonts w:ascii="Times New Roman" w:eastAsia="Times New Roman" w:hAnsi="Times New Roman" w:cs="Times New Roman"/>
                <w:color w:val="000000"/>
                <w:sz w:val="15"/>
                <w:szCs w:val="15"/>
                <w:lang w:eastAsia="en-GB"/>
              </w:rPr>
            </w:pPr>
          </w:p>
        </w:tc>
        <w:tc>
          <w:tcPr>
            <w:tcW w:w="487" w:type="pct"/>
            <w:tcBorders>
              <w:top w:val="nil"/>
              <w:left w:val="nil"/>
              <w:bottom w:val="nil"/>
              <w:right w:val="nil"/>
            </w:tcBorders>
            <w:shd w:val="clear" w:color="auto" w:fill="auto"/>
            <w:noWrap/>
            <w:vAlign w:val="bottom"/>
            <w:hideMark/>
          </w:tcPr>
          <w:p w14:paraId="4D266C19" w14:textId="77777777" w:rsidR="00237C04" w:rsidRPr="006527E3" w:rsidRDefault="00237C04" w:rsidP="00874C0D">
            <w:pPr>
              <w:spacing w:after="0" w:line="240" w:lineRule="auto"/>
              <w:jc w:val="center"/>
              <w:rPr>
                <w:rFonts w:ascii="Times New Roman" w:eastAsia="Times New Roman" w:hAnsi="Times New Roman" w:cs="Times New Roman"/>
                <w:color w:val="000000"/>
                <w:sz w:val="15"/>
                <w:szCs w:val="15"/>
                <w:lang w:eastAsia="en-GB"/>
              </w:rPr>
            </w:pPr>
          </w:p>
        </w:tc>
        <w:tc>
          <w:tcPr>
            <w:tcW w:w="488" w:type="pct"/>
            <w:tcBorders>
              <w:top w:val="nil"/>
              <w:left w:val="single" w:sz="4" w:space="0" w:color="auto"/>
              <w:bottom w:val="nil"/>
              <w:right w:val="nil"/>
            </w:tcBorders>
            <w:shd w:val="clear" w:color="auto" w:fill="auto"/>
            <w:noWrap/>
            <w:vAlign w:val="bottom"/>
            <w:hideMark/>
          </w:tcPr>
          <w:p w14:paraId="560DC88F" w14:textId="77777777" w:rsidR="00237C04" w:rsidRPr="006527E3" w:rsidRDefault="00237C04" w:rsidP="00874C0D">
            <w:pPr>
              <w:spacing w:after="0" w:line="240" w:lineRule="auto"/>
              <w:jc w:val="center"/>
              <w:rPr>
                <w:rFonts w:ascii="Times New Roman" w:eastAsia="Times New Roman" w:hAnsi="Times New Roman" w:cs="Times New Roman"/>
                <w:color w:val="000000"/>
                <w:sz w:val="15"/>
                <w:szCs w:val="15"/>
                <w:lang w:eastAsia="en-GB"/>
              </w:rPr>
            </w:pPr>
            <w:r w:rsidRPr="006527E3">
              <w:rPr>
                <w:rFonts w:ascii="Times New Roman" w:eastAsia="Times New Roman" w:hAnsi="Times New Roman" w:cs="Times New Roman"/>
                <w:color w:val="000000"/>
                <w:sz w:val="15"/>
                <w:szCs w:val="15"/>
                <w:lang w:eastAsia="en-GB"/>
              </w:rPr>
              <w:t> </w:t>
            </w:r>
          </w:p>
        </w:tc>
        <w:tc>
          <w:tcPr>
            <w:tcW w:w="487" w:type="pct"/>
            <w:tcBorders>
              <w:top w:val="nil"/>
              <w:left w:val="nil"/>
              <w:bottom w:val="nil"/>
              <w:right w:val="nil"/>
            </w:tcBorders>
            <w:shd w:val="clear" w:color="auto" w:fill="auto"/>
            <w:noWrap/>
            <w:vAlign w:val="bottom"/>
            <w:hideMark/>
          </w:tcPr>
          <w:p w14:paraId="69D3E8BE" w14:textId="77777777" w:rsidR="00237C04" w:rsidRPr="006527E3" w:rsidRDefault="00237C04" w:rsidP="00874C0D">
            <w:pPr>
              <w:spacing w:after="0" w:line="240" w:lineRule="auto"/>
              <w:jc w:val="center"/>
              <w:rPr>
                <w:rFonts w:ascii="Times New Roman" w:eastAsia="Times New Roman" w:hAnsi="Times New Roman" w:cs="Times New Roman"/>
                <w:color w:val="000000"/>
                <w:sz w:val="15"/>
                <w:szCs w:val="15"/>
                <w:lang w:eastAsia="en-GB"/>
              </w:rPr>
            </w:pPr>
          </w:p>
        </w:tc>
        <w:tc>
          <w:tcPr>
            <w:tcW w:w="486" w:type="pct"/>
            <w:tcBorders>
              <w:top w:val="nil"/>
              <w:left w:val="nil"/>
              <w:bottom w:val="nil"/>
              <w:right w:val="nil"/>
            </w:tcBorders>
            <w:shd w:val="clear" w:color="auto" w:fill="auto"/>
            <w:noWrap/>
            <w:vAlign w:val="bottom"/>
            <w:hideMark/>
          </w:tcPr>
          <w:p w14:paraId="0194B637" w14:textId="77777777" w:rsidR="00237C04" w:rsidRPr="006527E3" w:rsidRDefault="00237C04" w:rsidP="00874C0D">
            <w:pPr>
              <w:spacing w:after="0" w:line="240" w:lineRule="auto"/>
              <w:jc w:val="center"/>
              <w:rPr>
                <w:rFonts w:ascii="Times New Roman" w:eastAsia="Times New Roman" w:hAnsi="Times New Roman" w:cs="Times New Roman"/>
                <w:color w:val="000000"/>
                <w:sz w:val="15"/>
                <w:szCs w:val="15"/>
                <w:lang w:eastAsia="en-GB"/>
              </w:rPr>
            </w:pPr>
          </w:p>
        </w:tc>
      </w:tr>
      <w:tr w:rsidR="00237C04" w:rsidRPr="006527E3" w14:paraId="5058DFDD" w14:textId="77777777" w:rsidTr="008A295F">
        <w:trPr>
          <w:trHeight w:val="300"/>
        </w:trPr>
        <w:tc>
          <w:tcPr>
            <w:tcW w:w="615" w:type="pct"/>
            <w:tcBorders>
              <w:top w:val="nil"/>
              <w:left w:val="nil"/>
              <w:bottom w:val="nil"/>
              <w:right w:val="nil"/>
            </w:tcBorders>
            <w:shd w:val="clear" w:color="auto" w:fill="auto"/>
            <w:noWrap/>
            <w:vAlign w:val="bottom"/>
            <w:hideMark/>
          </w:tcPr>
          <w:p w14:paraId="601F477C" w14:textId="77777777" w:rsidR="00237C04" w:rsidRPr="006527E3" w:rsidRDefault="00237C04" w:rsidP="00874C0D">
            <w:pPr>
              <w:spacing w:after="0" w:line="240" w:lineRule="auto"/>
              <w:rPr>
                <w:rFonts w:ascii="Times New Roman" w:eastAsia="Times New Roman" w:hAnsi="Times New Roman" w:cs="Times New Roman"/>
                <w:color w:val="000000"/>
                <w:sz w:val="15"/>
                <w:szCs w:val="15"/>
                <w:lang w:eastAsia="en-GB"/>
              </w:rPr>
            </w:pPr>
            <w:r w:rsidRPr="006527E3">
              <w:rPr>
                <w:rFonts w:ascii="Times New Roman" w:eastAsia="Times New Roman" w:hAnsi="Times New Roman" w:cs="Times New Roman"/>
                <w:color w:val="000000"/>
                <w:sz w:val="15"/>
                <w:szCs w:val="15"/>
                <w:lang w:eastAsia="en-GB"/>
              </w:rPr>
              <w:t>Area</w:t>
            </w:r>
          </w:p>
        </w:tc>
        <w:tc>
          <w:tcPr>
            <w:tcW w:w="487" w:type="pct"/>
            <w:tcBorders>
              <w:top w:val="nil"/>
              <w:left w:val="single" w:sz="4" w:space="0" w:color="auto"/>
              <w:bottom w:val="nil"/>
              <w:right w:val="nil"/>
            </w:tcBorders>
            <w:shd w:val="clear" w:color="auto" w:fill="auto"/>
            <w:noWrap/>
            <w:vAlign w:val="bottom"/>
            <w:hideMark/>
          </w:tcPr>
          <w:p w14:paraId="2B064F64" w14:textId="77777777" w:rsidR="00237C04" w:rsidRPr="006527E3" w:rsidRDefault="00237C04" w:rsidP="00874C0D">
            <w:pPr>
              <w:spacing w:after="0" w:line="240" w:lineRule="auto"/>
              <w:jc w:val="center"/>
              <w:rPr>
                <w:rFonts w:ascii="Times New Roman" w:eastAsia="Times New Roman" w:hAnsi="Times New Roman" w:cs="Times New Roman"/>
                <w:color w:val="000000"/>
                <w:sz w:val="15"/>
                <w:szCs w:val="15"/>
                <w:lang w:eastAsia="en-GB"/>
              </w:rPr>
            </w:pPr>
            <w:r w:rsidRPr="006527E3">
              <w:rPr>
                <w:rFonts w:ascii="Times New Roman" w:eastAsia="Times New Roman" w:hAnsi="Times New Roman" w:cs="Times New Roman"/>
                <w:color w:val="000000"/>
                <w:sz w:val="15"/>
                <w:szCs w:val="15"/>
                <w:lang w:eastAsia="en-GB"/>
              </w:rPr>
              <w:t>1.19</w:t>
            </w:r>
          </w:p>
        </w:tc>
        <w:tc>
          <w:tcPr>
            <w:tcW w:w="487" w:type="pct"/>
            <w:tcBorders>
              <w:top w:val="nil"/>
              <w:left w:val="nil"/>
              <w:bottom w:val="nil"/>
              <w:right w:val="nil"/>
            </w:tcBorders>
            <w:shd w:val="clear" w:color="auto" w:fill="auto"/>
            <w:noWrap/>
            <w:vAlign w:val="bottom"/>
            <w:hideMark/>
          </w:tcPr>
          <w:p w14:paraId="2C208606" w14:textId="77777777" w:rsidR="00237C04" w:rsidRPr="006527E3" w:rsidRDefault="00237C04" w:rsidP="00874C0D">
            <w:pPr>
              <w:spacing w:after="0" w:line="240" w:lineRule="auto"/>
              <w:jc w:val="center"/>
              <w:rPr>
                <w:rFonts w:ascii="Times New Roman" w:eastAsia="Times New Roman" w:hAnsi="Times New Roman" w:cs="Times New Roman"/>
                <w:color w:val="000000"/>
                <w:sz w:val="15"/>
                <w:szCs w:val="15"/>
                <w:lang w:eastAsia="en-GB"/>
              </w:rPr>
            </w:pPr>
            <w:r w:rsidRPr="006527E3">
              <w:rPr>
                <w:rFonts w:ascii="Times New Roman" w:eastAsia="Times New Roman" w:hAnsi="Times New Roman" w:cs="Times New Roman"/>
                <w:color w:val="000000"/>
                <w:sz w:val="15"/>
                <w:szCs w:val="15"/>
                <w:lang w:eastAsia="en-GB"/>
              </w:rPr>
              <w:t>0.90, 1.57</w:t>
            </w:r>
          </w:p>
        </w:tc>
        <w:tc>
          <w:tcPr>
            <w:tcW w:w="488" w:type="pct"/>
            <w:tcBorders>
              <w:top w:val="nil"/>
              <w:left w:val="nil"/>
              <w:bottom w:val="nil"/>
              <w:right w:val="nil"/>
            </w:tcBorders>
            <w:shd w:val="clear" w:color="auto" w:fill="auto"/>
            <w:noWrap/>
            <w:vAlign w:val="bottom"/>
            <w:hideMark/>
          </w:tcPr>
          <w:p w14:paraId="76C24DB9" w14:textId="77777777" w:rsidR="00237C04" w:rsidRPr="006527E3" w:rsidRDefault="00237C04" w:rsidP="00874C0D">
            <w:pPr>
              <w:spacing w:after="0" w:line="240" w:lineRule="auto"/>
              <w:jc w:val="center"/>
              <w:rPr>
                <w:rFonts w:ascii="Times New Roman" w:eastAsia="Times New Roman" w:hAnsi="Times New Roman" w:cs="Times New Roman"/>
                <w:color w:val="000000"/>
                <w:sz w:val="15"/>
                <w:szCs w:val="15"/>
                <w:lang w:eastAsia="en-GB"/>
              </w:rPr>
            </w:pPr>
            <w:r w:rsidRPr="006527E3">
              <w:rPr>
                <w:rFonts w:ascii="Times New Roman" w:eastAsia="Times New Roman" w:hAnsi="Times New Roman" w:cs="Times New Roman"/>
                <w:color w:val="000000"/>
                <w:sz w:val="15"/>
                <w:szCs w:val="15"/>
                <w:lang w:eastAsia="en-GB"/>
              </w:rPr>
              <w:t>0.22</w:t>
            </w:r>
          </w:p>
        </w:tc>
        <w:tc>
          <w:tcPr>
            <w:tcW w:w="487" w:type="pct"/>
            <w:tcBorders>
              <w:top w:val="nil"/>
              <w:left w:val="single" w:sz="4" w:space="0" w:color="auto"/>
              <w:bottom w:val="nil"/>
              <w:right w:val="nil"/>
            </w:tcBorders>
            <w:shd w:val="clear" w:color="auto" w:fill="auto"/>
            <w:noWrap/>
            <w:vAlign w:val="bottom"/>
            <w:hideMark/>
          </w:tcPr>
          <w:p w14:paraId="172C9F3B" w14:textId="77777777" w:rsidR="00237C04" w:rsidRPr="006527E3" w:rsidRDefault="00237C04" w:rsidP="00874C0D">
            <w:pPr>
              <w:spacing w:after="0" w:line="240" w:lineRule="auto"/>
              <w:jc w:val="center"/>
              <w:rPr>
                <w:rFonts w:ascii="Times New Roman" w:eastAsia="Times New Roman" w:hAnsi="Times New Roman" w:cs="Times New Roman"/>
                <w:color w:val="000000"/>
                <w:sz w:val="15"/>
                <w:szCs w:val="15"/>
                <w:lang w:eastAsia="en-GB"/>
              </w:rPr>
            </w:pPr>
            <w:r w:rsidRPr="006527E3">
              <w:rPr>
                <w:rFonts w:ascii="Times New Roman" w:eastAsia="Times New Roman" w:hAnsi="Times New Roman" w:cs="Times New Roman"/>
                <w:color w:val="000000"/>
                <w:sz w:val="15"/>
                <w:szCs w:val="15"/>
                <w:lang w:eastAsia="en-GB"/>
              </w:rPr>
              <w:t>1.1</w:t>
            </w:r>
          </w:p>
        </w:tc>
        <w:tc>
          <w:tcPr>
            <w:tcW w:w="488" w:type="pct"/>
            <w:tcBorders>
              <w:top w:val="nil"/>
              <w:left w:val="nil"/>
              <w:bottom w:val="nil"/>
              <w:right w:val="nil"/>
            </w:tcBorders>
            <w:shd w:val="clear" w:color="auto" w:fill="auto"/>
            <w:noWrap/>
            <w:vAlign w:val="bottom"/>
            <w:hideMark/>
          </w:tcPr>
          <w:p w14:paraId="25E55900" w14:textId="77777777" w:rsidR="00237C04" w:rsidRPr="006527E3" w:rsidRDefault="00237C04" w:rsidP="00874C0D">
            <w:pPr>
              <w:spacing w:after="0" w:line="240" w:lineRule="auto"/>
              <w:jc w:val="center"/>
              <w:rPr>
                <w:rFonts w:ascii="Times New Roman" w:eastAsia="Times New Roman" w:hAnsi="Times New Roman" w:cs="Times New Roman"/>
                <w:color w:val="000000"/>
                <w:sz w:val="15"/>
                <w:szCs w:val="15"/>
                <w:lang w:eastAsia="en-GB"/>
              </w:rPr>
            </w:pPr>
            <w:r w:rsidRPr="006527E3">
              <w:rPr>
                <w:rFonts w:ascii="Times New Roman" w:eastAsia="Times New Roman" w:hAnsi="Times New Roman" w:cs="Times New Roman"/>
                <w:color w:val="000000"/>
                <w:sz w:val="15"/>
                <w:szCs w:val="15"/>
                <w:lang w:eastAsia="en-GB"/>
              </w:rPr>
              <w:t>0.84, 1.44</w:t>
            </w:r>
          </w:p>
        </w:tc>
        <w:tc>
          <w:tcPr>
            <w:tcW w:w="487" w:type="pct"/>
            <w:tcBorders>
              <w:top w:val="nil"/>
              <w:left w:val="nil"/>
              <w:bottom w:val="nil"/>
              <w:right w:val="nil"/>
            </w:tcBorders>
            <w:shd w:val="clear" w:color="auto" w:fill="auto"/>
            <w:noWrap/>
            <w:vAlign w:val="bottom"/>
            <w:hideMark/>
          </w:tcPr>
          <w:p w14:paraId="6A94222D" w14:textId="77777777" w:rsidR="00237C04" w:rsidRPr="006527E3" w:rsidRDefault="00237C04" w:rsidP="00874C0D">
            <w:pPr>
              <w:spacing w:after="0" w:line="240" w:lineRule="auto"/>
              <w:jc w:val="center"/>
              <w:rPr>
                <w:rFonts w:ascii="Times New Roman" w:eastAsia="Times New Roman" w:hAnsi="Times New Roman" w:cs="Times New Roman"/>
                <w:color w:val="000000"/>
                <w:sz w:val="15"/>
                <w:szCs w:val="15"/>
                <w:lang w:eastAsia="en-GB"/>
              </w:rPr>
            </w:pPr>
            <w:r w:rsidRPr="006527E3">
              <w:rPr>
                <w:rFonts w:ascii="Times New Roman" w:eastAsia="Times New Roman" w:hAnsi="Times New Roman" w:cs="Times New Roman"/>
                <w:color w:val="000000"/>
                <w:sz w:val="15"/>
                <w:szCs w:val="15"/>
                <w:lang w:eastAsia="en-GB"/>
              </w:rPr>
              <w:t>0.49</w:t>
            </w:r>
          </w:p>
        </w:tc>
        <w:tc>
          <w:tcPr>
            <w:tcW w:w="488" w:type="pct"/>
            <w:tcBorders>
              <w:top w:val="nil"/>
              <w:left w:val="single" w:sz="4" w:space="0" w:color="auto"/>
              <w:bottom w:val="nil"/>
              <w:right w:val="nil"/>
            </w:tcBorders>
            <w:shd w:val="clear" w:color="auto" w:fill="auto"/>
            <w:noWrap/>
            <w:vAlign w:val="bottom"/>
            <w:hideMark/>
          </w:tcPr>
          <w:p w14:paraId="4FEFF5A2" w14:textId="77777777" w:rsidR="00237C04" w:rsidRPr="006527E3" w:rsidRDefault="00237C04" w:rsidP="00874C0D">
            <w:pPr>
              <w:spacing w:after="0" w:line="240" w:lineRule="auto"/>
              <w:jc w:val="center"/>
              <w:rPr>
                <w:rFonts w:ascii="Times New Roman" w:eastAsia="Times New Roman" w:hAnsi="Times New Roman" w:cs="Times New Roman"/>
                <w:color w:val="000000"/>
                <w:sz w:val="15"/>
                <w:szCs w:val="15"/>
                <w:lang w:eastAsia="en-GB"/>
              </w:rPr>
            </w:pPr>
            <w:r w:rsidRPr="006527E3">
              <w:rPr>
                <w:rFonts w:ascii="Times New Roman" w:eastAsia="Times New Roman" w:hAnsi="Times New Roman" w:cs="Times New Roman"/>
                <w:color w:val="000000"/>
                <w:sz w:val="15"/>
                <w:szCs w:val="15"/>
                <w:lang w:eastAsia="en-GB"/>
              </w:rPr>
              <w:t>1.14</w:t>
            </w:r>
          </w:p>
        </w:tc>
        <w:tc>
          <w:tcPr>
            <w:tcW w:w="487" w:type="pct"/>
            <w:tcBorders>
              <w:top w:val="nil"/>
              <w:left w:val="nil"/>
              <w:bottom w:val="nil"/>
              <w:right w:val="nil"/>
            </w:tcBorders>
            <w:shd w:val="clear" w:color="auto" w:fill="auto"/>
            <w:noWrap/>
            <w:vAlign w:val="bottom"/>
            <w:hideMark/>
          </w:tcPr>
          <w:p w14:paraId="43AF2729" w14:textId="77777777" w:rsidR="00237C04" w:rsidRPr="006527E3" w:rsidRDefault="00237C04" w:rsidP="00874C0D">
            <w:pPr>
              <w:spacing w:after="0" w:line="240" w:lineRule="auto"/>
              <w:jc w:val="center"/>
              <w:rPr>
                <w:rFonts w:ascii="Times New Roman" w:eastAsia="Times New Roman" w:hAnsi="Times New Roman" w:cs="Times New Roman"/>
                <w:color w:val="000000"/>
                <w:sz w:val="15"/>
                <w:szCs w:val="15"/>
                <w:lang w:eastAsia="en-GB"/>
              </w:rPr>
            </w:pPr>
            <w:r w:rsidRPr="006527E3">
              <w:rPr>
                <w:rFonts w:ascii="Times New Roman" w:eastAsia="Times New Roman" w:hAnsi="Times New Roman" w:cs="Times New Roman"/>
                <w:color w:val="000000"/>
                <w:sz w:val="15"/>
                <w:szCs w:val="15"/>
                <w:lang w:eastAsia="en-GB"/>
              </w:rPr>
              <w:t>0.87, 1.51</w:t>
            </w:r>
          </w:p>
        </w:tc>
        <w:tc>
          <w:tcPr>
            <w:tcW w:w="486" w:type="pct"/>
            <w:tcBorders>
              <w:top w:val="nil"/>
              <w:left w:val="nil"/>
              <w:bottom w:val="nil"/>
              <w:right w:val="nil"/>
            </w:tcBorders>
            <w:shd w:val="clear" w:color="auto" w:fill="auto"/>
            <w:noWrap/>
            <w:vAlign w:val="bottom"/>
            <w:hideMark/>
          </w:tcPr>
          <w:p w14:paraId="317E2B88" w14:textId="77777777" w:rsidR="00237C04" w:rsidRPr="006527E3" w:rsidRDefault="00237C04" w:rsidP="00874C0D">
            <w:pPr>
              <w:spacing w:after="0" w:line="240" w:lineRule="auto"/>
              <w:jc w:val="center"/>
              <w:rPr>
                <w:rFonts w:ascii="Times New Roman" w:eastAsia="Times New Roman" w:hAnsi="Times New Roman" w:cs="Times New Roman"/>
                <w:color w:val="000000"/>
                <w:sz w:val="15"/>
                <w:szCs w:val="15"/>
                <w:lang w:eastAsia="en-GB"/>
              </w:rPr>
            </w:pPr>
            <w:r w:rsidRPr="006527E3">
              <w:rPr>
                <w:rFonts w:ascii="Times New Roman" w:eastAsia="Times New Roman" w:hAnsi="Times New Roman" w:cs="Times New Roman"/>
                <w:color w:val="000000"/>
                <w:sz w:val="15"/>
                <w:szCs w:val="15"/>
                <w:lang w:eastAsia="en-GB"/>
              </w:rPr>
              <w:t>0.35</w:t>
            </w:r>
          </w:p>
        </w:tc>
      </w:tr>
      <w:tr w:rsidR="00237C04" w:rsidRPr="006527E3" w14:paraId="3598AE41" w14:textId="77777777" w:rsidTr="008A295F">
        <w:trPr>
          <w:trHeight w:val="300"/>
        </w:trPr>
        <w:tc>
          <w:tcPr>
            <w:tcW w:w="615" w:type="pct"/>
            <w:tcBorders>
              <w:top w:val="nil"/>
              <w:left w:val="nil"/>
              <w:bottom w:val="nil"/>
              <w:right w:val="nil"/>
            </w:tcBorders>
            <w:shd w:val="clear" w:color="auto" w:fill="auto"/>
            <w:noWrap/>
            <w:vAlign w:val="bottom"/>
            <w:hideMark/>
          </w:tcPr>
          <w:p w14:paraId="7C910ADB" w14:textId="77777777" w:rsidR="00237C04" w:rsidRPr="006527E3" w:rsidRDefault="00237C04" w:rsidP="00874C0D">
            <w:pPr>
              <w:spacing w:after="0" w:line="240" w:lineRule="auto"/>
              <w:rPr>
                <w:rFonts w:ascii="Times New Roman" w:eastAsia="Times New Roman" w:hAnsi="Times New Roman" w:cs="Times New Roman"/>
                <w:color w:val="000000"/>
                <w:sz w:val="15"/>
                <w:szCs w:val="15"/>
                <w:lang w:eastAsia="en-GB"/>
              </w:rPr>
            </w:pPr>
            <w:r w:rsidRPr="006527E3">
              <w:rPr>
                <w:rFonts w:ascii="Times New Roman" w:eastAsia="Times New Roman" w:hAnsi="Times New Roman" w:cs="Times New Roman"/>
                <w:color w:val="000000"/>
                <w:sz w:val="15"/>
                <w:szCs w:val="15"/>
                <w:lang w:eastAsia="en-GB"/>
              </w:rPr>
              <w:t>BMC</w:t>
            </w:r>
          </w:p>
        </w:tc>
        <w:tc>
          <w:tcPr>
            <w:tcW w:w="487" w:type="pct"/>
            <w:tcBorders>
              <w:top w:val="nil"/>
              <w:left w:val="single" w:sz="4" w:space="0" w:color="auto"/>
              <w:bottom w:val="nil"/>
              <w:right w:val="nil"/>
            </w:tcBorders>
            <w:shd w:val="clear" w:color="auto" w:fill="auto"/>
            <w:noWrap/>
            <w:vAlign w:val="bottom"/>
            <w:hideMark/>
          </w:tcPr>
          <w:p w14:paraId="635A7123" w14:textId="77777777" w:rsidR="00237C04" w:rsidRPr="006527E3" w:rsidRDefault="00237C04" w:rsidP="00874C0D">
            <w:pPr>
              <w:spacing w:after="0" w:line="240" w:lineRule="auto"/>
              <w:jc w:val="center"/>
              <w:rPr>
                <w:rFonts w:ascii="Times New Roman" w:eastAsia="Times New Roman" w:hAnsi="Times New Roman" w:cs="Times New Roman"/>
                <w:color w:val="000000"/>
                <w:sz w:val="15"/>
                <w:szCs w:val="15"/>
                <w:lang w:eastAsia="en-GB"/>
              </w:rPr>
            </w:pPr>
            <w:r w:rsidRPr="006527E3">
              <w:rPr>
                <w:rFonts w:ascii="Times New Roman" w:eastAsia="Times New Roman" w:hAnsi="Times New Roman" w:cs="Times New Roman"/>
                <w:color w:val="000000"/>
                <w:sz w:val="15"/>
                <w:szCs w:val="15"/>
                <w:lang w:eastAsia="en-GB"/>
              </w:rPr>
              <w:t>1.85</w:t>
            </w:r>
          </w:p>
        </w:tc>
        <w:tc>
          <w:tcPr>
            <w:tcW w:w="487" w:type="pct"/>
            <w:tcBorders>
              <w:top w:val="nil"/>
              <w:left w:val="nil"/>
              <w:bottom w:val="nil"/>
              <w:right w:val="nil"/>
            </w:tcBorders>
            <w:shd w:val="clear" w:color="auto" w:fill="auto"/>
            <w:noWrap/>
            <w:vAlign w:val="bottom"/>
            <w:hideMark/>
          </w:tcPr>
          <w:p w14:paraId="1FB3360A" w14:textId="77777777" w:rsidR="00237C04" w:rsidRPr="006527E3" w:rsidRDefault="00237C04" w:rsidP="00874C0D">
            <w:pPr>
              <w:spacing w:after="0" w:line="240" w:lineRule="auto"/>
              <w:jc w:val="center"/>
              <w:rPr>
                <w:rFonts w:ascii="Times New Roman" w:eastAsia="Times New Roman" w:hAnsi="Times New Roman" w:cs="Times New Roman"/>
                <w:color w:val="000000"/>
                <w:sz w:val="15"/>
                <w:szCs w:val="15"/>
                <w:lang w:eastAsia="en-GB"/>
              </w:rPr>
            </w:pPr>
            <w:r w:rsidRPr="006527E3">
              <w:rPr>
                <w:rFonts w:ascii="Times New Roman" w:eastAsia="Times New Roman" w:hAnsi="Times New Roman" w:cs="Times New Roman"/>
                <w:color w:val="000000"/>
                <w:sz w:val="15"/>
                <w:szCs w:val="15"/>
                <w:lang w:eastAsia="en-GB"/>
              </w:rPr>
              <w:t>1.38, 2.49</w:t>
            </w:r>
          </w:p>
        </w:tc>
        <w:tc>
          <w:tcPr>
            <w:tcW w:w="488" w:type="pct"/>
            <w:tcBorders>
              <w:top w:val="nil"/>
              <w:left w:val="nil"/>
              <w:bottom w:val="nil"/>
              <w:right w:val="nil"/>
            </w:tcBorders>
            <w:shd w:val="clear" w:color="auto" w:fill="auto"/>
            <w:noWrap/>
            <w:vAlign w:val="bottom"/>
            <w:hideMark/>
          </w:tcPr>
          <w:p w14:paraId="392CEDCF" w14:textId="77777777" w:rsidR="00237C04" w:rsidRPr="006527E3" w:rsidRDefault="00237C04" w:rsidP="00874C0D">
            <w:pPr>
              <w:spacing w:after="0" w:line="240" w:lineRule="auto"/>
              <w:jc w:val="center"/>
              <w:rPr>
                <w:rFonts w:ascii="Times New Roman" w:eastAsia="Times New Roman" w:hAnsi="Times New Roman" w:cs="Times New Roman"/>
                <w:color w:val="000000"/>
                <w:sz w:val="15"/>
                <w:szCs w:val="15"/>
                <w:lang w:eastAsia="en-GB"/>
              </w:rPr>
            </w:pPr>
            <w:r w:rsidRPr="006527E3">
              <w:rPr>
                <w:rFonts w:ascii="Times New Roman" w:eastAsia="Times New Roman" w:hAnsi="Times New Roman" w:cs="Times New Roman"/>
                <w:color w:val="000000"/>
                <w:sz w:val="15"/>
                <w:szCs w:val="15"/>
                <w:lang w:eastAsia="en-GB"/>
              </w:rPr>
              <w:t>&lt;0.001</w:t>
            </w:r>
          </w:p>
        </w:tc>
        <w:tc>
          <w:tcPr>
            <w:tcW w:w="487" w:type="pct"/>
            <w:tcBorders>
              <w:top w:val="nil"/>
              <w:left w:val="single" w:sz="4" w:space="0" w:color="auto"/>
              <w:bottom w:val="nil"/>
              <w:right w:val="nil"/>
            </w:tcBorders>
            <w:shd w:val="clear" w:color="auto" w:fill="auto"/>
            <w:noWrap/>
            <w:vAlign w:val="bottom"/>
            <w:hideMark/>
          </w:tcPr>
          <w:p w14:paraId="0BABDF51" w14:textId="77777777" w:rsidR="00237C04" w:rsidRPr="006527E3" w:rsidRDefault="00237C04" w:rsidP="00874C0D">
            <w:pPr>
              <w:spacing w:after="0" w:line="240" w:lineRule="auto"/>
              <w:jc w:val="center"/>
              <w:rPr>
                <w:rFonts w:ascii="Times New Roman" w:eastAsia="Times New Roman" w:hAnsi="Times New Roman" w:cs="Times New Roman"/>
                <w:color w:val="000000"/>
                <w:sz w:val="15"/>
                <w:szCs w:val="15"/>
                <w:lang w:eastAsia="en-GB"/>
              </w:rPr>
            </w:pPr>
            <w:r w:rsidRPr="006527E3">
              <w:rPr>
                <w:rFonts w:ascii="Times New Roman" w:eastAsia="Times New Roman" w:hAnsi="Times New Roman" w:cs="Times New Roman"/>
                <w:color w:val="000000"/>
                <w:sz w:val="15"/>
                <w:szCs w:val="15"/>
                <w:lang w:eastAsia="en-GB"/>
              </w:rPr>
              <w:t>1.53</w:t>
            </w:r>
          </w:p>
        </w:tc>
        <w:tc>
          <w:tcPr>
            <w:tcW w:w="488" w:type="pct"/>
            <w:tcBorders>
              <w:top w:val="nil"/>
              <w:left w:val="nil"/>
              <w:bottom w:val="nil"/>
              <w:right w:val="nil"/>
            </w:tcBorders>
            <w:shd w:val="clear" w:color="auto" w:fill="auto"/>
            <w:noWrap/>
            <w:vAlign w:val="bottom"/>
            <w:hideMark/>
          </w:tcPr>
          <w:p w14:paraId="5BA2D3FB" w14:textId="77777777" w:rsidR="00237C04" w:rsidRPr="006527E3" w:rsidRDefault="00237C04" w:rsidP="00874C0D">
            <w:pPr>
              <w:spacing w:after="0" w:line="240" w:lineRule="auto"/>
              <w:jc w:val="center"/>
              <w:rPr>
                <w:rFonts w:ascii="Times New Roman" w:eastAsia="Times New Roman" w:hAnsi="Times New Roman" w:cs="Times New Roman"/>
                <w:color w:val="000000"/>
                <w:sz w:val="15"/>
                <w:szCs w:val="15"/>
                <w:lang w:eastAsia="en-GB"/>
              </w:rPr>
            </w:pPr>
            <w:r w:rsidRPr="006527E3">
              <w:rPr>
                <w:rFonts w:ascii="Times New Roman" w:eastAsia="Times New Roman" w:hAnsi="Times New Roman" w:cs="Times New Roman"/>
                <w:color w:val="000000"/>
                <w:sz w:val="15"/>
                <w:szCs w:val="15"/>
                <w:lang w:eastAsia="en-GB"/>
              </w:rPr>
              <w:t>1.11, 2.11</w:t>
            </w:r>
          </w:p>
        </w:tc>
        <w:tc>
          <w:tcPr>
            <w:tcW w:w="487" w:type="pct"/>
            <w:tcBorders>
              <w:top w:val="nil"/>
              <w:left w:val="nil"/>
              <w:bottom w:val="nil"/>
              <w:right w:val="nil"/>
            </w:tcBorders>
            <w:shd w:val="clear" w:color="auto" w:fill="auto"/>
            <w:noWrap/>
            <w:vAlign w:val="bottom"/>
            <w:hideMark/>
          </w:tcPr>
          <w:p w14:paraId="10AB2ECF" w14:textId="77777777" w:rsidR="00237C04" w:rsidRPr="006527E3" w:rsidRDefault="00237C04" w:rsidP="00874C0D">
            <w:pPr>
              <w:spacing w:after="0" w:line="240" w:lineRule="auto"/>
              <w:jc w:val="center"/>
              <w:rPr>
                <w:rFonts w:ascii="Times New Roman" w:eastAsia="Times New Roman" w:hAnsi="Times New Roman" w:cs="Times New Roman"/>
                <w:color w:val="000000"/>
                <w:sz w:val="15"/>
                <w:szCs w:val="15"/>
                <w:lang w:eastAsia="en-GB"/>
              </w:rPr>
            </w:pPr>
            <w:r w:rsidRPr="006527E3">
              <w:rPr>
                <w:rFonts w:ascii="Times New Roman" w:eastAsia="Times New Roman" w:hAnsi="Times New Roman" w:cs="Times New Roman"/>
                <w:color w:val="000000"/>
                <w:sz w:val="15"/>
                <w:szCs w:val="15"/>
                <w:lang w:eastAsia="en-GB"/>
              </w:rPr>
              <w:t>0.01</w:t>
            </w:r>
          </w:p>
        </w:tc>
        <w:tc>
          <w:tcPr>
            <w:tcW w:w="488" w:type="pct"/>
            <w:tcBorders>
              <w:top w:val="nil"/>
              <w:left w:val="single" w:sz="4" w:space="0" w:color="auto"/>
              <w:bottom w:val="nil"/>
              <w:right w:val="nil"/>
            </w:tcBorders>
            <w:shd w:val="clear" w:color="auto" w:fill="auto"/>
            <w:noWrap/>
            <w:vAlign w:val="bottom"/>
            <w:hideMark/>
          </w:tcPr>
          <w:p w14:paraId="122F80E3" w14:textId="77777777" w:rsidR="00237C04" w:rsidRPr="006527E3" w:rsidRDefault="00237C04" w:rsidP="00874C0D">
            <w:pPr>
              <w:spacing w:after="0" w:line="240" w:lineRule="auto"/>
              <w:jc w:val="center"/>
              <w:rPr>
                <w:rFonts w:ascii="Times New Roman" w:eastAsia="Times New Roman" w:hAnsi="Times New Roman" w:cs="Times New Roman"/>
                <w:color w:val="000000"/>
                <w:sz w:val="15"/>
                <w:szCs w:val="15"/>
                <w:lang w:eastAsia="en-GB"/>
              </w:rPr>
            </w:pPr>
            <w:r w:rsidRPr="006527E3">
              <w:rPr>
                <w:rFonts w:ascii="Times New Roman" w:eastAsia="Times New Roman" w:hAnsi="Times New Roman" w:cs="Times New Roman"/>
                <w:color w:val="000000"/>
                <w:sz w:val="15"/>
                <w:szCs w:val="15"/>
                <w:lang w:eastAsia="en-GB"/>
              </w:rPr>
              <w:t>1.61</w:t>
            </w:r>
          </w:p>
        </w:tc>
        <w:tc>
          <w:tcPr>
            <w:tcW w:w="487" w:type="pct"/>
            <w:tcBorders>
              <w:top w:val="nil"/>
              <w:left w:val="nil"/>
              <w:bottom w:val="nil"/>
              <w:right w:val="nil"/>
            </w:tcBorders>
            <w:shd w:val="clear" w:color="auto" w:fill="auto"/>
            <w:noWrap/>
            <w:vAlign w:val="bottom"/>
            <w:hideMark/>
          </w:tcPr>
          <w:p w14:paraId="43703518" w14:textId="77777777" w:rsidR="00237C04" w:rsidRPr="006527E3" w:rsidRDefault="00237C04" w:rsidP="00874C0D">
            <w:pPr>
              <w:spacing w:after="0" w:line="240" w:lineRule="auto"/>
              <w:jc w:val="center"/>
              <w:rPr>
                <w:rFonts w:ascii="Times New Roman" w:eastAsia="Times New Roman" w:hAnsi="Times New Roman" w:cs="Times New Roman"/>
                <w:color w:val="000000"/>
                <w:sz w:val="15"/>
                <w:szCs w:val="15"/>
                <w:lang w:eastAsia="en-GB"/>
              </w:rPr>
            </w:pPr>
            <w:r w:rsidRPr="006527E3">
              <w:rPr>
                <w:rFonts w:ascii="Times New Roman" w:eastAsia="Times New Roman" w:hAnsi="Times New Roman" w:cs="Times New Roman"/>
                <w:color w:val="000000"/>
                <w:sz w:val="15"/>
                <w:szCs w:val="15"/>
                <w:lang w:eastAsia="en-GB"/>
              </w:rPr>
              <w:t>1.15, 2.26</w:t>
            </w:r>
          </w:p>
        </w:tc>
        <w:tc>
          <w:tcPr>
            <w:tcW w:w="486" w:type="pct"/>
            <w:tcBorders>
              <w:top w:val="nil"/>
              <w:left w:val="nil"/>
              <w:bottom w:val="nil"/>
              <w:right w:val="nil"/>
            </w:tcBorders>
            <w:shd w:val="clear" w:color="auto" w:fill="auto"/>
            <w:noWrap/>
            <w:vAlign w:val="bottom"/>
            <w:hideMark/>
          </w:tcPr>
          <w:p w14:paraId="42B1AF23" w14:textId="77777777" w:rsidR="00237C04" w:rsidRPr="006527E3" w:rsidRDefault="00237C04" w:rsidP="00874C0D">
            <w:pPr>
              <w:spacing w:after="0" w:line="240" w:lineRule="auto"/>
              <w:jc w:val="center"/>
              <w:rPr>
                <w:rFonts w:ascii="Times New Roman" w:eastAsia="Times New Roman" w:hAnsi="Times New Roman" w:cs="Times New Roman"/>
                <w:color w:val="000000"/>
                <w:sz w:val="15"/>
                <w:szCs w:val="15"/>
                <w:lang w:eastAsia="en-GB"/>
              </w:rPr>
            </w:pPr>
            <w:r w:rsidRPr="006527E3">
              <w:rPr>
                <w:rFonts w:ascii="Times New Roman" w:eastAsia="Times New Roman" w:hAnsi="Times New Roman" w:cs="Times New Roman"/>
                <w:color w:val="000000"/>
                <w:sz w:val="15"/>
                <w:szCs w:val="15"/>
                <w:lang w:eastAsia="en-GB"/>
              </w:rPr>
              <w:t>0.006</w:t>
            </w:r>
          </w:p>
        </w:tc>
      </w:tr>
      <w:tr w:rsidR="00237C04" w:rsidRPr="006527E3" w14:paraId="7B138FA9" w14:textId="77777777" w:rsidTr="008A295F">
        <w:trPr>
          <w:trHeight w:val="300"/>
        </w:trPr>
        <w:tc>
          <w:tcPr>
            <w:tcW w:w="615" w:type="pct"/>
            <w:tcBorders>
              <w:top w:val="nil"/>
              <w:left w:val="nil"/>
              <w:bottom w:val="nil"/>
              <w:right w:val="nil"/>
            </w:tcBorders>
            <w:shd w:val="clear" w:color="auto" w:fill="auto"/>
            <w:noWrap/>
            <w:vAlign w:val="bottom"/>
            <w:hideMark/>
          </w:tcPr>
          <w:p w14:paraId="3D61B39A" w14:textId="77777777" w:rsidR="00237C04" w:rsidRPr="006527E3" w:rsidRDefault="00237C04" w:rsidP="00874C0D">
            <w:pPr>
              <w:spacing w:after="0" w:line="240" w:lineRule="auto"/>
              <w:rPr>
                <w:rFonts w:ascii="Times New Roman" w:eastAsia="Times New Roman" w:hAnsi="Times New Roman" w:cs="Times New Roman"/>
                <w:color w:val="000000"/>
                <w:sz w:val="15"/>
                <w:szCs w:val="15"/>
                <w:lang w:eastAsia="en-GB"/>
              </w:rPr>
            </w:pPr>
            <w:r w:rsidRPr="006527E3">
              <w:rPr>
                <w:rFonts w:ascii="Times New Roman" w:eastAsia="Times New Roman" w:hAnsi="Times New Roman" w:cs="Times New Roman"/>
                <w:color w:val="000000"/>
                <w:sz w:val="15"/>
                <w:szCs w:val="15"/>
                <w:lang w:eastAsia="en-GB"/>
              </w:rPr>
              <w:t>BMD</w:t>
            </w:r>
          </w:p>
        </w:tc>
        <w:tc>
          <w:tcPr>
            <w:tcW w:w="487" w:type="pct"/>
            <w:tcBorders>
              <w:top w:val="nil"/>
              <w:left w:val="single" w:sz="4" w:space="0" w:color="auto"/>
              <w:bottom w:val="nil"/>
              <w:right w:val="nil"/>
            </w:tcBorders>
            <w:shd w:val="clear" w:color="auto" w:fill="auto"/>
            <w:noWrap/>
            <w:vAlign w:val="bottom"/>
            <w:hideMark/>
          </w:tcPr>
          <w:p w14:paraId="6833F96E" w14:textId="77777777" w:rsidR="00237C04" w:rsidRPr="006527E3" w:rsidRDefault="00237C04" w:rsidP="00874C0D">
            <w:pPr>
              <w:spacing w:after="0" w:line="240" w:lineRule="auto"/>
              <w:jc w:val="center"/>
              <w:rPr>
                <w:rFonts w:ascii="Times New Roman" w:eastAsia="Times New Roman" w:hAnsi="Times New Roman" w:cs="Times New Roman"/>
                <w:color w:val="000000"/>
                <w:sz w:val="15"/>
                <w:szCs w:val="15"/>
                <w:lang w:eastAsia="en-GB"/>
              </w:rPr>
            </w:pPr>
            <w:r w:rsidRPr="006527E3">
              <w:rPr>
                <w:rFonts w:ascii="Times New Roman" w:eastAsia="Times New Roman" w:hAnsi="Times New Roman" w:cs="Times New Roman"/>
                <w:color w:val="000000"/>
                <w:sz w:val="15"/>
                <w:szCs w:val="15"/>
                <w:lang w:eastAsia="en-GB"/>
              </w:rPr>
              <w:t>1.97</w:t>
            </w:r>
          </w:p>
        </w:tc>
        <w:tc>
          <w:tcPr>
            <w:tcW w:w="487" w:type="pct"/>
            <w:tcBorders>
              <w:top w:val="nil"/>
              <w:left w:val="nil"/>
              <w:bottom w:val="nil"/>
              <w:right w:val="nil"/>
            </w:tcBorders>
            <w:shd w:val="clear" w:color="auto" w:fill="auto"/>
            <w:noWrap/>
            <w:vAlign w:val="bottom"/>
            <w:hideMark/>
          </w:tcPr>
          <w:p w14:paraId="2CF4CCAD" w14:textId="77777777" w:rsidR="00237C04" w:rsidRPr="006527E3" w:rsidRDefault="00237C04" w:rsidP="00874C0D">
            <w:pPr>
              <w:spacing w:after="0" w:line="240" w:lineRule="auto"/>
              <w:jc w:val="center"/>
              <w:rPr>
                <w:rFonts w:ascii="Times New Roman" w:eastAsia="Times New Roman" w:hAnsi="Times New Roman" w:cs="Times New Roman"/>
                <w:color w:val="000000"/>
                <w:sz w:val="15"/>
                <w:szCs w:val="15"/>
                <w:lang w:eastAsia="en-GB"/>
              </w:rPr>
            </w:pPr>
            <w:r w:rsidRPr="006527E3">
              <w:rPr>
                <w:rFonts w:ascii="Times New Roman" w:eastAsia="Times New Roman" w:hAnsi="Times New Roman" w:cs="Times New Roman"/>
                <w:color w:val="000000"/>
                <w:sz w:val="15"/>
                <w:szCs w:val="15"/>
                <w:lang w:eastAsia="en-GB"/>
              </w:rPr>
              <w:t>1.49, 2.60</w:t>
            </w:r>
          </w:p>
        </w:tc>
        <w:tc>
          <w:tcPr>
            <w:tcW w:w="488" w:type="pct"/>
            <w:tcBorders>
              <w:top w:val="nil"/>
              <w:left w:val="nil"/>
              <w:bottom w:val="nil"/>
              <w:right w:val="nil"/>
            </w:tcBorders>
            <w:shd w:val="clear" w:color="auto" w:fill="auto"/>
            <w:noWrap/>
            <w:vAlign w:val="bottom"/>
            <w:hideMark/>
          </w:tcPr>
          <w:p w14:paraId="465CC8E9" w14:textId="77777777" w:rsidR="00237C04" w:rsidRPr="006527E3" w:rsidRDefault="00237C04" w:rsidP="00874C0D">
            <w:pPr>
              <w:spacing w:after="0" w:line="240" w:lineRule="auto"/>
              <w:jc w:val="center"/>
              <w:rPr>
                <w:rFonts w:ascii="Times New Roman" w:eastAsia="Times New Roman" w:hAnsi="Times New Roman" w:cs="Times New Roman"/>
                <w:color w:val="000000"/>
                <w:sz w:val="15"/>
                <w:szCs w:val="15"/>
                <w:lang w:eastAsia="en-GB"/>
              </w:rPr>
            </w:pPr>
            <w:r w:rsidRPr="006527E3">
              <w:rPr>
                <w:rFonts w:ascii="Times New Roman" w:eastAsia="Times New Roman" w:hAnsi="Times New Roman" w:cs="Times New Roman"/>
                <w:color w:val="000000"/>
                <w:sz w:val="15"/>
                <w:szCs w:val="15"/>
                <w:lang w:eastAsia="en-GB"/>
              </w:rPr>
              <w:t>&lt;0.001</w:t>
            </w:r>
          </w:p>
        </w:tc>
        <w:tc>
          <w:tcPr>
            <w:tcW w:w="487" w:type="pct"/>
            <w:tcBorders>
              <w:top w:val="nil"/>
              <w:left w:val="single" w:sz="4" w:space="0" w:color="auto"/>
              <w:bottom w:val="nil"/>
              <w:right w:val="nil"/>
            </w:tcBorders>
            <w:shd w:val="clear" w:color="auto" w:fill="auto"/>
            <w:noWrap/>
            <w:vAlign w:val="bottom"/>
            <w:hideMark/>
          </w:tcPr>
          <w:p w14:paraId="70947818" w14:textId="77777777" w:rsidR="00237C04" w:rsidRPr="006527E3" w:rsidRDefault="00237C04" w:rsidP="00874C0D">
            <w:pPr>
              <w:spacing w:after="0" w:line="240" w:lineRule="auto"/>
              <w:jc w:val="center"/>
              <w:rPr>
                <w:rFonts w:ascii="Times New Roman" w:eastAsia="Times New Roman" w:hAnsi="Times New Roman" w:cs="Times New Roman"/>
                <w:color w:val="000000"/>
                <w:sz w:val="15"/>
                <w:szCs w:val="15"/>
                <w:lang w:eastAsia="en-GB"/>
              </w:rPr>
            </w:pPr>
            <w:r w:rsidRPr="006527E3">
              <w:rPr>
                <w:rFonts w:ascii="Times New Roman" w:eastAsia="Times New Roman" w:hAnsi="Times New Roman" w:cs="Times New Roman"/>
                <w:color w:val="000000"/>
                <w:sz w:val="15"/>
                <w:szCs w:val="15"/>
                <w:lang w:eastAsia="en-GB"/>
              </w:rPr>
              <w:t>1.67</w:t>
            </w:r>
          </w:p>
        </w:tc>
        <w:tc>
          <w:tcPr>
            <w:tcW w:w="488" w:type="pct"/>
            <w:tcBorders>
              <w:top w:val="nil"/>
              <w:left w:val="nil"/>
              <w:bottom w:val="nil"/>
              <w:right w:val="nil"/>
            </w:tcBorders>
            <w:shd w:val="clear" w:color="auto" w:fill="auto"/>
            <w:noWrap/>
            <w:vAlign w:val="bottom"/>
            <w:hideMark/>
          </w:tcPr>
          <w:p w14:paraId="0AD02EAD" w14:textId="77777777" w:rsidR="00237C04" w:rsidRPr="006527E3" w:rsidRDefault="00237C04" w:rsidP="00874C0D">
            <w:pPr>
              <w:spacing w:after="0" w:line="240" w:lineRule="auto"/>
              <w:jc w:val="center"/>
              <w:rPr>
                <w:rFonts w:ascii="Times New Roman" w:eastAsia="Times New Roman" w:hAnsi="Times New Roman" w:cs="Times New Roman"/>
                <w:color w:val="000000"/>
                <w:sz w:val="15"/>
                <w:szCs w:val="15"/>
                <w:lang w:eastAsia="en-GB"/>
              </w:rPr>
            </w:pPr>
            <w:r w:rsidRPr="006527E3">
              <w:rPr>
                <w:rFonts w:ascii="Times New Roman" w:eastAsia="Times New Roman" w:hAnsi="Times New Roman" w:cs="Times New Roman"/>
                <w:color w:val="000000"/>
                <w:sz w:val="15"/>
                <w:szCs w:val="15"/>
                <w:lang w:eastAsia="en-GB"/>
              </w:rPr>
              <w:t>1.21, 2.31</w:t>
            </w:r>
          </w:p>
        </w:tc>
        <w:tc>
          <w:tcPr>
            <w:tcW w:w="487" w:type="pct"/>
            <w:tcBorders>
              <w:top w:val="nil"/>
              <w:left w:val="nil"/>
              <w:bottom w:val="nil"/>
              <w:right w:val="nil"/>
            </w:tcBorders>
            <w:shd w:val="clear" w:color="auto" w:fill="auto"/>
            <w:noWrap/>
            <w:vAlign w:val="bottom"/>
            <w:hideMark/>
          </w:tcPr>
          <w:p w14:paraId="6F9B635C" w14:textId="77777777" w:rsidR="00237C04" w:rsidRPr="006527E3" w:rsidRDefault="00237C04" w:rsidP="00874C0D">
            <w:pPr>
              <w:spacing w:after="0" w:line="240" w:lineRule="auto"/>
              <w:jc w:val="center"/>
              <w:rPr>
                <w:rFonts w:ascii="Times New Roman" w:eastAsia="Times New Roman" w:hAnsi="Times New Roman" w:cs="Times New Roman"/>
                <w:color w:val="000000"/>
                <w:sz w:val="15"/>
                <w:szCs w:val="15"/>
                <w:lang w:eastAsia="en-GB"/>
              </w:rPr>
            </w:pPr>
            <w:r w:rsidRPr="006527E3">
              <w:rPr>
                <w:rFonts w:ascii="Times New Roman" w:eastAsia="Times New Roman" w:hAnsi="Times New Roman" w:cs="Times New Roman"/>
                <w:color w:val="000000"/>
                <w:sz w:val="15"/>
                <w:szCs w:val="15"/>
                <w:lang w:eastAsia="en-GB"/>
              </w:rPr>
              <w:t>0.002</w:t>
            </w:r>
          </w:p>
        </w:tc>
        <w:tc>
          <w:tcPr>
            <w:tcW w:w="488" w:type="pct"/>
            <w:tcBorders>
              <w:top w:val="nil"/>
              <w:left w:val="single" w:sz="4" w:space="0" w:color="auto"/>
              <w:bottom w:val="nil"/>
              <w:right w:val="nil"/>
            </w:tcBorders>
            <w:shd w:val="clear" w:color="auto" w:fill="auto"/>
            <w:noWrap/>
            <w:vAlign w:val="bottom"/>
            <w:hideMark/>
          </w:tcPr>
          <w:p w14:paraId="373FA953" w14:textId="77777777" w:rsidR="00237C04" w:rsidRPr="006527E3" w:rsidRDefault="00237C04" w:rsidP="00874C0D">
            <w:pPr>
              <w:spacing w:after="0" w:line="240" w:lineRule="auto"/>
              <w:jc w:val="center"/>
              <w:rPr>
                <w:rFonts w:ascii="Times New Roman" w:eastAsia="Times New Roman" w:hAnsi="Times New Roman" w:cs="Times New Roman"/>
                <w:color w:val="000000"/>
                <w:sz w:val="15"/>
                <w:szCs w:val="15"/>
                <w:lang w:eastAsia="en-GB"/>
              </w:rPr>
            </w:pPr>
            <w:r w:rsidRPr="006527E3">
              <w:rPr>
                <w:rFonts w:ascii="Times New Roman" w:eastAsia="Times New Roman" w:hAnsi="Times New Roman" w:cs="Times New Roman"/>
                <w:color w:val="000000"/>
                <w:sz w:val="15"/>
                <w:szCs w:val="15"/>
                <w:lang w:eastAsia="en-GB"/>
              </w:rPr>
              <w:t>1.76</w:t>
            </w:r>
          </w:p>
        </w:tc>
        <w:tc>
          <w:tcPr>
            <w:tcW w:w="487" w:type="pct"/>
            <w:tcBorders>
              <w:top w:val="nil"/>
              <w:left w:val="nil"/>
              <w:bottom w:val="nil"/>
              <w:right w:val="nil"/>
            </w:tcBorders>
            <w:shd w:val="clear" w:color="auto" w:fill="auto"/>
            <w:noWrap/>
            <w:vAlign w:val="bottom"/>
            <w:hideMark/>
          </w:tcPr>
          <w:p w14:paraId="204F9405" w14:textId="77777777" w:rsidR="00237C04" w:rsidRPr="006527E3" w:rsidRDefault="00237C04" w:rsidP="00874C0D">
            <w:pPr>
              <w:spacing w:after="0" w:line="240" w:lineRule="auto"/>
              <w:jc w:val="center"/>
              <w:rPr>
                <w:rFonts w:ascii="Times New Roman" w:eastAsia="Times New Roman" w:hAnsi="Times New Roman" w:cs="Times New Roman"/>
                <w:color w:val="000000"/>
                <w:sz w:val="15"/>
                <w:szCs w:val="15"/>
                <w:lang w:eastAsia="en-GB"/>
              </w:rPr>
            </w:pPr>
            <w:r w:rsidRPr="006527E3">
              <w:rPr>
                <w:rFonts w:ascii="Times New Roman" w:eastAsia="Times New Roman" w:hAnsi="Times New Roman" w:cs="Times New Roman"/>
                <w:color w:val="000000"/>
                <w:sz w:val="15"/>
                <w:szCs w:val="15"/>
                <w:lang w:eastAsia="en-GB"/>
              </w:rPr>
              <w:t>1.25, 2.49</w:t>
            </w:r>
          </w:p>
        </w:tc>
        <w:tc>
          <w:tcPr>
            <w:tcW w:w="486" w:type="pct"/>
            <w:tcBorders>
              <w:top w:val="nil"/>
              <w:left w:val="nil"/>
              <w:bottom w:val="nil"/>
              <w:right w:val="nil"/>
            </w:tcBorders>
            <w:shd w:val="clear" w:color="auto" w:fill="auto"/>
            <w:noWrap/>
            <w:vAlign w:val="bottom"/>
            <w:hideMark/>
          </w:tcPr>
          <w:p w14:paraId="27EE4681" w14:textId="77777777" w:rsidR="00237C04" w:rsidRPr="006527E3" w:rsidRDefault="00237C04" w:rsidP="00874C0D">
            <w:pPr>
              <w:spacing w:after="0" w:line="240" w:lineRule="auto"/>
              <w:jc w:val="center"/>
              <w:rPr>
                <w:rFonts w:ascii="Times New Roman" w:eastAsia="Times New Roman" w:hAnsi="Times New Roman" w:cs="Times New Roman"/>
                <w:color w:val="000000"/>
                <w:sz w:val="15"/>
                <w:szCs w:val="15"/>
                <w:lang w:eastAsia="en-GB"/>
              </w:rPr>
            </w:pPr>
            <w:r w:rsidRPr="006527E3">
              <w:rPr>
                <w:rFonts w:ascii="Times New Roman" w:eastAsia="Times New Roman" w:hAnsi="Times New Roman" w:cs="Times New Roman"/>
                <w:color w:val="000000"/>
                <w:sz w:val="15"/>
                <w:szCs w:val="15"/>
                <w:lang w:eastAsia="en-GB"/>
              </w:rPr>
              <w:t>0.001</w:t>
            </w:r>
          </w:p>
        </w:tc>
      </w:tr>
      <w:tr w:rsidR="00237C04" w:rsidRPr="006527E3" w14:paraId="28D52A16" w14:textId="77777777" w:rsidTr="008A295F">
        <w:trPr>
          <w:trHeight w:val="300"/>
        </w:trPr>
        <w:tc>
          <w:tcPr>
            <w:tcW w:w="615" w:type="pct"/>
            <w:tcBorders>
              <w:top w:val="nil"/>
              <w:left w:val="nil"/>
              <w:bottom w:val="nil"/>
              <w:right w:val="nil"/>
            </w:tcBorders>
            <w:shd w:val="clear" w:color="auto" w:fill="auto"/>
            <w:noWrap/>
            <w:vAlign w:val="bottom"/>
            <w:hideMark/>
          </w:tcPr>
          <w:p w14:paraId="387B4D91" w14:textId="77777777" w:rsidR="00237C04" w:rsidRPr="006527E3" w:rsidRDefault="00237C04" w:rsidP="00874C0D">
            <w:pPr>
              <w:spacing w:after="0" w:line="240" w:lineRule="auto"/>
              <w:rPr>
                <w:rFonts w:ascii="Times New Roman" w:eastAsia="Times New Roman" w:hAnsi="Times New Roman" w:cs="Times New Roman"/>
                <w:b/>
                <w:bCs/>
                <w:color w:val="000000"/>
                <w:sz w:val="15"/>
                <w:szCs w:val="15"/>
                <w:lang w:eastAsia="en-GB"/>
              </w:rPr>
            </w:pPr>
            <w:r w:rsidRPr="006527E3">
              <w:rPr>
                <w:rFonts w:ascii="Times New Roman" w:eastAsia="Times New Roman" w:hAnsi="Times New Roman" w:cs="Times New Roman"/>
                <w:b/>
                <w:bCs/>
                <w:color w:val="000000"/>
                <w:sz w:val="15"/>
                <w:szCs w:val="15"/>
                <w:lang w:eastAsia="en-GB"/>
              </w:rPr>
              <w:t>Whole body</w:t>
            </w:r>
          </w:p>
        </w:tc>
        <w:tc>
          <w:tcPr>
            <w:tcW w:w="487" w:type="pct"/>
            <w:tcBorders>
              <w:top w:val="nil"/>
              <w:left w:val="single" w:sz="4" w:space="0" w:color="auto"/>
              <w:bottom w:val="nil"/>
              <w:right w:val="nil"/>
            </w:tcBorders>
            <w:shd w:val="clear" w:color="auto" w:fill="auto"/>
            <w:noWrap/>
            <w:vAlign w:val="bottom"/>
            <w:hideMark/>
          </w:tcPr>
          <w:p w14:paraId="6D5B8139" w14:textId="77777777" w:rsidR="00237C04" w:rsidRPr="006527E3" w:rsidRDefault="00237C04" w:rsidP="00874C0D">
            <w:pPr>
              <w:spacing w:after="0" w:line="240" w:lineRule="auto"/>
              <w:jc w:val="center"/>
              <w:rPr>
                <w:rFonts w:ascii="Times New Roman" w:eastAsia="Times New Roman" w:hAnsi="Times New Roman" w:cs="Times New Roman"/>
                <w:color w:val="000000"/>
                <w:sz w:val="15"/>
                <w:szCs w:val="15"/>
                <w:lang w:eastAsia="en-GB"/>
              </w:rPr>
            </w:pPr>
            <w:r w:rsidRPr="006527E3">
              <w:rPr>
                <w:rFonts w:ascii="Times New Roman" w:eastAsia="Times New Roman" w:hAnsi="Times New Roman" w:cs="Times New Roman"/>
                <w:color w:val="000000"/>
                <w:sz w:val="15"/>
                <w:szCs w:val="15"/>
                <w:lang w:eastAsia="en-GB"/>
              </w:rPr>
              <w:t> </w:t>
            </w:r>
          </w:p>
        </w:tc>
        <w:tc>
          <w:tcPr>
            <w:tcW w:w="487" w:type="pct"/>
            <w:tcBorders>
              <w:top w:val="nil"/>
              <w:left w:val="nil"/>
              <w:bottom w:val="nil"/>
              <w:right w:val="nil"/>
            </w:tcBorders>
            <w:shd w:val="clear" w:color="auto" w:fill="auto"/>
            <w:noWrap/>
            <w:vAlign w:val="bottom"/>
            <w:hideMark/>
          </w:tcPr>
          <w:p w14:paraId="6A7967D5" w14:textId="77777777" w:rsidR="00237C04" w:rsidRPr="006527E3" w:rsidRDefault="00237C04" w:rsidP="00874C0D">
            <w:pPr>
              <w:spacing w:after="0" w:line="240" w:lineRule="auto"/>
              <w:jc w:val="center"/>
              <w:rPr>
                <w:rFonts w:ascii="Times New Roman" w:eastAsia="Times New Roman" w:hAnsi="Times New Roman" w:cs="Times New Roman"/>
                <w:color w:val="000000"/>
                <w:sz w:val="15"/>
                <w:szCs w:val="15"/>
                <w:lang w:eastAsia="en-GB"/>
              </w:rPr>
            </w:pPr>
          </w:p>
        </w:tc>
        <w:tc>
          <w:tcPr>
            <w:tcW w:w="488" w:type="pct"/>
            <w:tcBorders>
              <w:top w:val="nil"/>
              <w:left w:val="nil"/>
              <w:bottom w:val="nil"/>
              <w:right w:val="nil"/>
            </w:tcBorders>
            <w:shd w:val="clear" w:color="auto" w:fill="auto"/>
            <w:noWrap/>
            <w:vAlign w:val="bottom"/>
            <w:hideMark/>
          </w:tcPr>
          <w:p w14:paraId="4E914798" w14:textId="77777777" w:rsidR="00237C04" w:rsidRPr="006527E3" w:rsidRDefault="00237C04" w:rsidP="00874C0D">
            <w:pPr>
              <w:spacing w:after="0" w:line="240" w:lineRule="auto"/>
              <w:jc w:val="center"/>
              <w:rPr>
                <w:rFonts w:ascii="Times New Roman" w:eastAsia="Times New Roman" w:hAnsi="Times New Roman" w:cs="Times New Roman"/>
                <w:color w:val="000000"/>
                <w:sz w:val="15"/>
                <w:szCs w:val="15"/>
                <w:lang w:eastAsia="en-GB"/>
              </w:rPr>
            </w:pPr>
          </w:p>
        </w:tc>
        <w:tc>
          <w:tcPr>
            <w:tcW w:w="487" w:type="pct"/>
            <w:tcBorders>
              <w:top w:val="nil"/>
              <w:left w:val="single" w:sz="4" w:space="0" w:color="auto"/>
              <w:bottom w:val="nil"/>
              <w:right w:val="nil"/>
            </w:tcBorders>
            <w:shd w:val="clear" w:color="auto" w:fill="auto"/>
            <w:noWrap/>
            <w:vAlign w:val="bottom"/>
            <w:hideMark/>
          </w:tcPr>
          <w:p w14:paraId="36747DAB" w14:textId="77777777" w:rsidR="00237C04" w:rsidRPr="006527E3" w:rsidRDefault="00237C04" w:rsidP="00874C0D">
            <w:pPr>
              <w:spacing w:after="0" w:line="240" w:lineRule="auto"/>
              <w:jc w:val="center"/>
              <w:rPr>
                <w:rFonts w:ascii="Times New Roman" w:eastAsia="Times New Roman" w:hAnsi="Times New Roman" w:cs="Times New Roman"/>
                <w:color w:val="000000"/>
                <w:sz w:val="15"/>
                <w:szCs w:val="15"/>
                <w:lang w:eastAsia="en-GB"/>
              </w:rPr>
            </w:pPr>
            <w:r w:rsidRPr="006527E3">
              <w:rPr>
                <w:rFonts w:ascii="Times New Roman" w:eastAsia="Times New Roman" w:hAnsi="Times New Roman" w:cs="Times New Roman"/>
                <w:color w:val="000000"/>
                <w:sz w:val="15"/>
                <w:szCs w:val="15"/>
                <w:lang w:eastAsia="en-GB"/>
              </w:rPr>
              <w:t> </w:t>
            </w:r>
          </w:p>
        </w:tc>
        <w:tc>
          <w:tcPr>
            <w:tcW w:w="488" w:type="pct"/>
            <w:tcBorders>
              <w:top w:val="nil"/>
              <w:left w:val="nil"/>
              <w:bottom w:val="nil"/>
              <w:right w:val="nil"/>
            </w:tcBorders>
            <w:shd w:val="clear" w:color="auto" w:fill="auto"/>
            <w:noWrap/>
            <w:vAlign w:val="bottom"/>
            <w:hideMark/>
          </w:tcPr>
          <w:p w14:paraId="2E05CEBB" w14:textId="77777777" w:rsidR="00237C04" w:rsidRPr="006527E3" w:rsidRDefault="00237C04" w:rsidP="00874C0D">
            <w:pPr>
              <w:spacing w:after="0" w:line="240" w:lineRule="auto"/>
              <w:jc w:val="center"/>
              <w:rPr>
                <w:rFonts w:ascii="Times New Roman" w:eastAsia="Times New Roman" w:hAnsi="Times New Roman" w:cs="Times New Roman"/>
                <w:color w:val="000000"/>
                <w:sz w:val="15"/>
                <w:szCs w:val="15"/>
                <w:lang w:eastAsia="en-GB"/>
              </w:rPr>
            </w:pPr>
          </w:p>
        </w:tc>
        <w:tc>
          <w:tcPr>
            <w:tcW w:w="487" w:type="pct"/>
            <w:tcBorders>
              <w:top w:val="nil"/>
              <w:left w:val="nil"/>
              <w:bottom w:val="nil"/>
              <w:right w:val="nil"/>
            </w:tcBorders>
            <w:shd w:val="clear" w:color="auto" w:fill="auto"/>
            <w:noWrap/>
            <w:vAlign w:val="bottom"/>
            <w:hideMark/>
          </w:tcPr>
          <w:p w14:paraId="2FD8ABF5" w14:textId="77777777" w:rsidR="00237C04" w:rsidRPr="006527E3" w:rsidRDefault="00237C04" w:rsidP="00874C0D">
            <w:pPr>
              <w:spacing w:after="0" w:line="240" w:lineRule="auto"/>
              <w:jc w:val="center"/>
              <w:rPr>
                <w:rFonts w:ascii="Times New Roman" w:eastAsia="Times New Roman" w:hAnsi="Times New Roman" w:cs="Times New Roman"/>
                <w:color w:val="000000"/>
                <w:sz w:val="15"/>
                <w:szCs w:val="15"/>
                <w:lang w:eastAsia="en-GB"/>
              </w:rPr>
            </w:pPr>
          </w:p>
        </w:tc>
        <w:tc>
          <w:tcPr>
            <w:tcW w:w="488" w:type="pct"/>
            <w:tcBorders>
              <w:top w:val="nil"/>
              <w:left w:val="single" w:sz="4" w:space="0" w:color="auto"/>
              <w:bottom w:val="nil"/>
              <w:right w:val="nil"/>
            </w:tcBorders>
            <w:shd w:val="clear" w:color="auto" w:fill="auto"/>
            <w:noWrap/>
            <w:vAlign w:val="bottom"/>
            <w:hideMark/>
          </w:tcPr>
          <w:p w14:paraId="2649AF8C" w14:textId="77777777" w:rsidR="00237C04" w:rsidRPr="006527E3" w:rsidRDefault="00237C04" w:rsidP="00874C0D">
            <w:pPr>
              <w:spacing w:after="0" w:line="240" w:lineRule="auto"/>
              <w:jc w:val="center"/>
              <w:rPr>
                <w:rFonts w:ascii="Times New Roman" w:eastAsia="Times New Roman" w:hAnsi="Times New Roman" w:cs="Times New Roman"/>
                <w:color w:val="000000"/>
                <w:sz w:val="15"/>
                <w:szCs w:val="15"/>
                <w:lang w:eastAsia="en-GB"/>
              </w:rPr>
            </w:pPr>
            <w:r w:rsidRPr="006527E3">
              <w:rPr>
                <w:rFonts w:ascii="Times New Roman" w:eastAsia="Times New Roman" w:hAnsi="Times New Roman" w:cs="Times New Roman"/>
                <w:color w:val="000000"/>
                <w:sz w:val="15"/>
                <w:szCs w:val="15"/>
                <w:lang w:eastAsia="en-GB"/>
              </w:rPr>
              <w:t> </w:t>
            </w:r>
          </w:p>
        </w:tc>
        <w:tc>
          <w:tcPr>
            <w:tcW w:w="487" w:type="pct"/>
            <w:tcBorders>
              <w:top w:val="nil"/>
              <w:left w:val="nil"/>
              <w:bottom w:val="nil"/>
              <w:right w:val="nil"/>
            </w:tcBorders>
            <w:shd w:val="clear" w:color="auto" w:fill="auto"/>
            <w:noWrap/>
            <w:vAlign w:val="bottom"/>
            <w:hideMark/>
          </w:tcPr>
          <w:p w14:paraId="73E043A8" w14:textId="77777777" w:rsidR="00237C04" w:rsidRPr="006527E3" w:rsidRDefault="00237C04" w:rsidP="00874C0D">
            <w:pPr>
              <w:spacing w:after="0" w:line="240" w:lineRule="auto"/>
              <w:jc w:val="center"/>
              <w:rPr>
                <w:rFonts w:ascii="Times New Roman" w:eastAsia="Times New Roman" w:hAnsi="Times New Roman" w:cs="Times New Roman"/>
                <w:color w:val="000000"/>
                <w:sz w:val="15"/>
                <w:szCs w:val="15"/>
                <w:lang w:eastAsia="en-GB"/>
              </w:rPr>
            </w:pPr>
          </w:p>
        </w:tc>
        <w:tc>
          <w:tcPr>
            <w:tcW w:w="486" w:type="pct"/>
            <w:tcBorders>
              <w:top w:val="nil"/>
              <w:left w:val="nil"/>
              <w:bottom w:val="nil"/>
              <w:right w:val="nil"/>
            </w:tcBorders>
            <w:shd w:val="clear" w:color="auto" w:fill="auto"/>
            <w:noWrap/>
            <w:vAlign w:val="bottom"/>
            <w:hideMark/>
          </w:tcPr>
          <w:p w14:paraId="7D906DE7" w14:textId="77777777" w:rsidR="00237C04" w:rsidRPr="006527E3" w:rsidRDefault="00237C04" w:rsidP="00874C0D">
            <w:pPr>
              <w:spacing w:after="0" w:line="240" w:lineRule="auto"/>
              <w:jc w:val="center"/>
              <w:rPr>
                <w:rFonts w:ascii="Times New Roman" w:eastAsia="Times New Roman" w:hAnsi="Times New Roman" w:cs="Times New Roman"/>
                <w:color w:val="000000"/>
                <w:sz w:val="15"/>
                <w:szCs w:val="15"/>
                <w:lang w:eastAsia="en-GB"/>
              </w:rPr>
            </w:pPr>
          </w:p>
        </w:tc>
      </w:tr>
      <w:tr w:rsidR="00237C04" w:rsidRPr="006527E3" w14:paraId="78A68F69" w14:textId="77777777" w:rsidTr="008A295F">
        <w:trPr>
          <w:trHeight w:val="300"/>
        </w:trPr>
        <w:tc>
          <w:tcPr>
            <w:tcW w:w="615" w:type="pct"/>
            <w:tcBorders>
              <w:top w:val="nil"/>
              <w:left w:val="nil"/>
              <w:bottom w:val="nil"/>
              <w:right w:val="nil"/>
            </w:tcBorders>
            <w:shd w:val="clear" w:color="auto" w:fill="auto"/>
            <w:noWrap/>
            <w:vAlign w:val="bottom"/>
            <w:hideMark/>
          </w:tcPr>
          <w:p w14:paraId="14BC4884" w14:textId="77777777" w:rsidR="00237C04" w:rsidRPr="006527E3" w:rsidRDefault="00237C04" w:rsidP="00874C0D">
            <w:pPr>
              <w:spacing w:after="0" w:line="240" w:lineRule="auto"/>
              <w:rPr>
                <w:rFonts w:ascii="Times New Roman" w:eastAsia="Times New Roman" w:hAnsi="Times New Roman" w:cs="Times New Roman"/>
                <w:color w:val="000000"/>
                <w:sz w:val="15"/>
                <w:szCs w:val="15"/>
                <w:lang w:eastAsia="en-GB"/>
              </w:rPr>
            </w:pPr>
            <w:r w:rsidRPr="006527E3">
              <w:rPr>
                <w:rFonts w:ascii="Times New Roman" w:eastAsia="Times New Roman" w:hAnsi="Times New Roman" w:cs="Times New Roman"/>
                <w:color w:val="000000"/>
                <w:sz w:val="15"/>
                <w:szCs w:val="15"/>
                <w:lang w:eastAsia="en-GB"/>
              </w:rPr>
              <w:t>BMC</w:t>
            </w:r>
          </w:p>
        </w:tc>
        <w:tc>
          <w:tcPr>
            <w:tcW w:w="487" w:type="pct"/>
            <w:tcBorders>
              <w:top w:val="nil"/>
              <w:left w:val="single" w:sz="4" w:space="0" w:color="auto"/>
              <w:bottom w:val="nil"/>
              <w:right w:val="nil"/>
            </w:tcBorders>
            <w:shd w:val="clear" w:color="auto" w:fill="auto"/>
            <w:noWrap/>
            <w:vAlign w:val="bottom"/>
            <w:hideMark/>
          </w:tcPr>
          <w:p w14:paraId="16369E1D" w14:textId="77777777" w:rsidR="00237C04" w:rsidRPr="006527E3" w:rsidRDefault="00237C04" w:rsidP="00874C0D">
            <w:pPr>
              <w:spacing w:after="0" w:line="240" w:lineRule="auto"/>
              <w:jc w:val="center"/>
              <w:rPr>
                <w:rFonts w:ascii="Times New Roman" w:eastAsia="Times New Roman" w:hAnsi="Times New Roman" w:cs="Times New Roman"/>
                <w:color w:val="000000"/>
                <w:sz w:val="15"/>
                <w:szCs w:val="15"/>
                <w:lang w:eastAsia="en-GB"/>
              </w:rPr>
            </w:pPr>
            <w:r w:rsidRPr="006527E3">
              <w:rPr>
                <w:rFonts w:ascii="Times New Roman" w:eastAsia="Times New Roman" w:hAnsi="Times New Roman" w:cs="Times New Roman"/>
                <w:color w:val="000000"/>
                <w:sz w:val="15"/>
                <w:szCs w:val="15"/>
                <w:lang w:eastAsia="en-GB"/>
              </w:rPr>
              <w:t>1.71</w:t>
            </w:r>
          </w:p>
        </w:tc>
        <w:tc>
          <w:tcPr>
            <w:tcW w:w="487" w:type="pct"/>
            <w:tcBorders>
              <w:top w:val="nil"/>
              <w:left w:val="nil"/>
              <w:bottom w:val="nil"/>
              <w:right w:val="nil"/>
            </w:tcBorders>
            <w:shd w:val="clear" w:color="auto" w:fill="auto"/>
            <w:noWrap/>
            <w:vAlign w:val="bottom"/>
            <w:hideMark/>
          </w:tcPr>
          <w:p w14:paraId="485C6DD1" w14:textId="77777777" w:rsidR="00237C04" w:rsidRPr="006527E3" w:rsidRDefault="00237C04" w:rsidP="00874C0D">
            <w:pPr>
              <w:spacing w:after="0" w:line="240" w:lineRule="auto"/>
              <w:jc w:val="center"/>
              <w:rPr>
                <w:rFonts w:ascii="Times New Roman" w:eastAsia="Times New Roman" w:hAnsi="Times New Roman" w:cs="Times New Roman"/>
                <w:color w:val="000000"/>
                <w:sz w:val="15"/>
                <w:szCs w:val="15"/>
                <w:lang w:eastAsia="en-GB"/>
              </w:rPr>
            </w:pPr>
            <w:r w:rsidRPr="006527E3">
              <w:rPr>
                <w:rFonts w:ascii="Times New Roman" w:eastAsia="Times New Roman" w:hAnsi="Times New Roman" w:cs="Times New Roman"/>
                <w:color w:val="000000"/>
                <w:sz w:val="15"/>
                <w:szCs w:val="15"/>
                <w:lang w:eastAsia="en-GB"/>
              </w:rPr>
              <w:t>1.27, 2.31</w:t>
            </w:r>
          </w:p>
        </w:tc>
        <w:tc>
          <w:tcPr>
            <w:tcW w:w="488" w:type="pct"/>
            <w:tcBorders>
              <w:top w:val="nil"/>
              <w:left w:val="nil"/>
              <w:bottom w:val="nil"/>
              <w:right w:val="nil"/>
            </w:tcBorders>
            <w:shd w:val="clear" w:color="auto" w:fill="auto"/>
            <w:noWrap/>
            <w:vAlign w:val="bottom"/>
            <w:hideMark/>
          </w:tcPr>
          <w:p w14:paraId="1CEDB602" w14:textId="77777777" w:rsidR="00237C04" w:rsidRPr="006527E3" w:rsidRDefault="00237C04" w:rsidP="00874C0D">
            <w:pPr>
              <w:spacing w:after="0" w:line="240" w:lineRule="auto"/>
              <w:jc w:val="center"/>
              <w:rPr>
                <w:rFonts w:ascii="Times New Roman" w:eastAsia="Times New Roman" w:hAnsi="Times New Roman" w:cs="Times New Roman"/>
                <w:color w:val="000000"/>
                <w:sz w:val="15"/>
                <w:szCs w:val="15"/>
                <w:lang w:eastAsia="en-GB"/>
              </w:rPr>
            </w:pPr>
            <w:r w:rsidRPr="006527E3">
              <w:rPr>
                <w:rFonts w:ascii="Times New Roman" w:eastAsia="Times New Roman" w:hAnsi="Times New Roman" w:cs="Times New Roman"/>
                <w:color w:val="000000"/>
                <w:sz w:val="15"/>
                <w:szCs w:val="15"/>
                <w:lang w:eastAsia="en-GB"/>
              </w:rPr>
              <w:t>&lt;0.001</w:t>
            </w:r>
          </w:p>
        </w:tc>
        <w:tc>
          <w:tcPr>
            <w:tcW w:w="487" w:type="pct"/>
            <w:tcBorders>
              <w:top w:val="nil"/>
              <w:left w:val="single" w:sz="4" w:space="0" w:color="auto"/>
              <w:bottom w:val="nil"/>
              <w:right w:val="nil"/>
            </w:tcBorders>
            <w:shd w:val="clear" w:color="auto" w:fill="auto"/>
            <w:noWrap/>
            <w:vAlign w:val="bottom"/>
            <w:hideMark/>
          </w:tcPr>
          <w:p w14:paraId="666C1E5A" w14:textId="77777777" w:rsidR="00237C04" w:rsidRPr="006527E3" w:rsidRDefault="00237C04" w:rsidP="00874C0D">
            <w:pPr>
              <w:spacing w:after="0" w:line="240" w:lineRule="auto"/>
              <w:jc w:val="center"/>
              <w:rPr>
                <w:rFonts w:ascii="Times New Roman" w:eastAsia="Times New Roman" w:hAnsi="Times New Roman" w:cs="Times New Roman"/>
                <w:color w:val="000000"/>
                <w:sz w:val="15"/>
                <w:szCs w:val="15"/>
                <w:lang w:eastAsia="en-GB"/>
              </w:rPr>
            </w:pPr>
            <w:r w:rsidRPr="006527E3">
              <w:rPr>
                <w:rFonts w:ascii="Times New Roman" w:eastAsia="Times New Roman" w:hAnsi="Times New Roman" w:cs="Times New Roman"/>
                <w:color w:val="000000"/>
                <w:sz w:val="15"/>
                <w:szCs w:val="15"/>
                <w:lang w:eastAsia="en-GB"/>
              </w:rPr>
              <w:t>1.4</w:t>
            </w:r>
          </w:p>
        </w:tc>
        <w:tc>
          <w:tcPr>
            <w:tcW w:w="488" w:type="pct"/>
            <w:tcBorders>
              <w:top w:val="nil"/>
              <w:left w:val="nil"/>
              <w:bottom w:val="nil"/>
              <w:right w:val="nil"/>
            </w:tcBorders>
            <w:shd w:val="clear" w:color="auto" w:fill="auto"/>
            <w:noWrap/>
            <w:vAlign w:val="bottom"/>
            <w:hideMark/>
          </w:tcPr>
          <w:p w14:paraId="5CD5424D" w14:textId="77777777" w:rsidR="00237C04" w:rsidRPr="006527E3" w:rsidRDefault="00237C04" w:rsidP="00874C0D">
            <w:pPr>
              <w:spacing w:after="0" w:line="240" w:lineRule="auto"/>
              <w:jc w:val="center"/>
              <w:rPr>
                <w:rFonts w:ascii="Times New Roman" w:eastAsia="Times New Roman" w:hAnsi="Times New Roman" w:cs="Times New Roman"/>
                <w:color w:val="000000"/>
                <w:sz w:val="15"/>
                <w:szCs w:val="15"/>
                <w:lang w:eastAsia="en-GB"/>
              </w:rPr>
            </w:pPr>
            <w:r w:rsidRPr="006527E3">
              <w:rPr>
                <w:rFonts w:ascii="Times New Roman" w:eastAsia="Times New Roman" w:hAnsi="Times New Roman" w:cs="Times New Roman"/>
                <w:color w:val="000000"/>
                <w:sz w:val="15"/>
                <w:szCs w:val="15"/>
                <w:lang w:eastAsia="en-GB"/>
              </w:rPr>
              <w:t>1.01, 1.94</w:t>
            </w:r>
          </w:p>
        </w:tc>
        <w:tc>
          <w:tcPr>
            <w:tcW w:w="487" w:type="pct"/>
            <w:tcBorders>
              <w:top w:val="nil"/>
              <w:left w:val="nil"/>
              <w:bottom w:val="nil"/>
              <w:right w:val="nil"/>
            </w:tcBorders>
            <w:shd w:val="clear" w:color="auto" w:fill="auto"/>
            <w:noWrap/>
            <w:vAlign w:val="bottom"/>
            <w:hideMark/>
          </w:tcPr>
          <w:p w14:paraId="7C5D7B7B" w14:textId="77777777" w:rsidR="00237C04" w:rsidRPr="006527E3" w:rsidRDefault="00237C04" w:rsidP="00874C0D">
            <w:pPr>
              <w:spacing w:after="0" w:line="240" w:lineRule="auto"/>
              <w:jc w:val="center"/>
              <w:rPr>
                <w:rFonts w:ascii="Times New Roman" w:eastAsia="Times New Roman" w:hAnsi="Times New Roman" w:cs="Times New Roman"/>
                <w:color w:val="000000"/>
                <w:sz w:val="15"/>
                <w:szCs w:val="15"/>
                <w:lang w:eastAsia="en-GB"/>
              </w:rPr>
            </w:pPr>
            <w:r w:rsidRPr="006527E3">
              <w:rPr>
                <w:rFonts w:ascii="Times New Roman" w:eastAsia="Times New Roman" w:hAnsi="Times New Roman" w:cs="Times New Roman"/>
                <w:color w:val="000000"/>
                <w:sz w:val="15"/>
                <w:szCs w:val="15"/>
                <w:lang w:eastAsia="en-GB"/>
              </w:rPr>
              <w:t>0.04</w:t>
            </w:r>
          </w:p>
        </w:tc>
        <w:tc>
          <w:tcPr>
            <w:tcW w:w="488" w:type="pct"/>
            <w:tcBorders>
              <w:top w:val="nil"/>
              <w:left w:val="single" w:sz="4" w:space="0" w:color="auto"/>
              <w:bottom w:val="nil"/>
              <w:right w:val="nil"/>
            </w:tcBorders>
            <w:shd w:val="clear" w:color="auto" w:fill="auto"/>
            <w:noWrap/>
            <w:vAlign w:val="bottom"/>
            <w:hideMark/>
          </w:tcPr>
          <w:p w14:paraId="29571306" w14:textId="77777777" w:rsidR="00237C04" w:rsidRPr="006527E3" w:rsidRDefault="00237C04" w:rsidP="00874C0D">
            <w:pPr>
              <w:spacing w:after="0" w:line="240" w:lineRule="auto"/>
              <w:jc w:val="center"/>
              <w:rPr>
                <w:rFonts w:ascii="Times New Roman" w:eastAsia="Times New Roman" w:hAnsi="Times New Roman" w:cs="Times New Roman"/>
                <w:color w:val="000000"/>
                <w:sz w:val="15"/>
                <w:szCs w:val="15"/>
                <w:lang w:eastAsia="en-GB"/>
              </w:rPr>
            </w:pPr>
            <w:r w:rsidRPr="006527E3">
              <w:rPr>
                <w:rFonts w:ascii="Times New Roman" w:eastAsia="Times New Roman" w:hAnsi="Times New Roman" w:cs="Times New Roman"/>
                <w:color w:val="000000"/>
                <w:sz w:val="15"/>
                <w:szCs w:val="15"/>
                <w:lang w:eastAsia="en-GB"/>
              </w:rPr>
              <w:t>1.64</w:t>
            </w:r>
          </w:p>
        </w:tc>
        <w:tc>
          <w:tcPr>
            <w:tcW w:w="487" w:type="pct"/>
            <w:tcBorders>
              <w:top w:val="nil"/>
              <w:left w:val="nil"/>
              <w:bottom w:val="nil"/>
              <w:right w:val="nil"/>
            </w:tcBorders>
            <w:shd w:val="clear" w:color="auto" w:fill="auto"/>
            <w:noWrap/>
            <w:vAlign w:val="bottom"/>
            <w:hideMark/>
          </w:tcPr>
          <w:p w14:paraId="0C81920B" w14:textId="77777777" w:rsidR="00237C04" w:rsidRPr="006527E3" w:rsidRDefault="00237C04" w:rsidP="00874C0D">
            <w:pPr>
              <w:spacing w:after="0" w:line="240" w:lineRule="auto"/>
              <w:jc w:val="center"/>
              <w:rPr>
                <w:rFonts w:ascii="Times New Roman" w:eastAsia="Times New Roman" w:hAnsi="Times New Roman" w:cs="Times New Roman"/>
                <w:color w:val="000000"/>
                <w:sz w:val="15"/>
                <w:szCs w:val="15"/>
                <w:lang w:eastAsia="en-GB"/>
              </w:rPr>
            </w:pPr>
            <w:r w:rsidRPr="006527E3">
              <w:rPr>
                <w:rFonts w:ascii="Times New Roman" w:eastAsia="Times New Roman" w:hAnsi="Times New Roman" w:cs="Times New Roman"/>
                <w:color w:val="000000"/>
                <w:sz w:val="15"/>
                <w:szCs w:val="15"/>
                <w:lang w:eastAsia="en-GB"/>
              </w:rPr>
              <w:t>1.10, 2.44</w:t>
            </w:r>
          </w:p>
        </w:tc>
        <w:tc>
          <w:tcPr>
            <w:tcW w:w="486" w:type="pct"/>
            <w:tcBorders>
              <w:top w:val="nil"/>
              <w:left w:val="nil"/>
              <w:bottom w:val="nil"/>
              <w:right w:val="nil"/>
            </w:tcBorders>
            <w:shd w:val="clear" w:color="auto" w:fill="auto"/>
            <w:noWrap/>
            <w:vAlign w:val="bottom"/>
            <w:hideMark/>
          </w:tcPr>
          <w:p w14:paraId="61CC60B3" w14:textId="77777777" w:rsidR="00237C04" w:rsidRPr="006527E3" w:rsidRDefault="00237C04" w:rsidP="00874C0D">
            <w:pPr>
              <w:spacing w:after="0" w:line="240" w:lineRule="auto"/>
              <w:jc w:val="center"/>
              <w:rPr>
                <w:rFonts w:ascii="Times New Roman" w:eastAsia="Times New Roman" w:hAnsi="Times New Roman" w:cs="Times New Roman"/>
                <w:color w:val="000000"/>
                <w:sz w:val="15"/>
                <w:szCs w:val="15"/>
                <w:lang w:eastAsia="en-GB"/>
              </w:rPr>
            </w:pPr>
            <w:r w:rsidRPr="006527E3">
              <w:rPr>
                <w:rFonts w:ascii="Times New Roman" w:eastAsia="Times New Roman" w:hAnsi="Times New Roman" w:cs="Times New Roman"/>
                <w:color w:val="000000"/>
                <w:sz w:val="15"/>
                <w:szCs w:val="15"/>
                <w:lang w:eastAsia="en-GB"/>
              </w:rPr>
              <w:t>0.02</w:t>
            </w:r>
          </w:p>
        </w:tc>
      </w:tr>
      <w:tr w:rsidR="00237C04" w:rsidRPr="006527E3" w14:paraId="1EFD163A" w14:textId="77777777" w:rsidTr="008A295F">
        <w:trPr>
          <w:trHeight w:val="300"/>
        </w:trPr>
        <w:tc>
          <w:tcPr>
            <w:tcW w:w="615" w:type="pct"/>
            <w:tcBorders>
              <w:top w:val="nil"/>
              <w:left w:val="nil"/>
              <w:bottom w:val="nil"/>
              <w:right w:val="nil"/>
            </w:tcBorders>
            <w:shd w:val="clear" w:color="auto" w:fill="auto"/>
            <w:noWrap/>
            <w:vAlign w:val="bottom"/>
            <w:hideMark/>
          </w:tcPr>
          <w:p w14:paraId="28D8ADED" w14:textId="77777777" w:rsidR="00237C04" w:rsidRPr="006527E3" w:rsidRDefault="00237C04" w:rsidP="00874C0D">
            <w:pPr>
              <w:spacing w:after="0" w:line="240" w:lineRule="auto"/>
              <w:rPr>
                <w:rFonts w:ascii="Times New Roman" w:eastAsia="Times New Roman" w:hAnsi="Times New Roman" w:cs="Times New Roman"/>
                <w:color w:val="000000"/>
                <w:sz w:val="15"/>
                <w:szCs w:val="15"/>
                <w:lang w:eastAsia="en-GB"/>
              </w:rPr>
            </w:pPr>
            <w:r w:rsidRPr="006527E3">
              <w:rPr>
                <w:rFonts w:ascii="Times New Roman" w:eastAsia="Times New Roman" w:hAnsi="Times New Roman" w:cs="Times New Roman"/>
                <w:color w:val="000000"/>
                <w:sz w:val="15"/>
                <w:szCs w:val="15"/>
                <w:lang w:eastAsia="en-GB"/>
              </w:rPr>
              <w:t xml:space="preserve">BMD </w:t>
            </w:r>
          </w:p>
        </w:tc>
        <w:tc>
          <w:tcPr>
            <w:tcW w:w="487" w:type="pct"/>
            <w:tcBorders>
              <w:top w:val="nil"/>
              <w:left w:val="single" w:sz="4" w:space="0" w:color="auto"/>
              <w:bottom w:val="nil"/>
              <w:right w:val="nil"/>
            </w:tcBorders>
            <w:shd w:val="clear" w:color="auto" w:fill="auto"/>
            <w:noWrap/>
            <w:vAlign w:val="bottom"/>
            <w:hideMark/>
          </w:tcPr>
          <w:p w14:paraId="1B951D77" w14:textId="77777777" w:rsidR="00237C04" w:rsidRPr="006527E3" w:rsidRDefault="00237C04" w:rsidP="00874C0D">
            <w:pPr>
              <w:spacing w:after="0" w:line="240" w:lineRule="auto"/>
              <w:jc w:val="center"/>
              <w:rPr>
                <w:rFonts w:ascii="Times New Roman" w:eastAsia="Times New Roman" w:hAnsi="Times New Roman" w:cs="Times New Roman"/>
                <w:color w:val="000000"/>
                <w:sz w:val="15"/>
                <w:szCs w:val="15"/>
                <w:lang w:eastAsia="en-GB"/>
              </w:rPr>
            </w:pPr>
            <w:r w:rsidRPr="006527E3">
              <w:rPr>
                <w:rFonts w:ascii="Times New Roman" w:eastAsia="Times New Roman" w:hAnsi="Times New Roman" w:cs="Times New Roman"/>
                <w:color w:val="000000"/>
                <w:sz w:val="15"/>
                <w:szCs w:val="15"/>
                <w:lang w:eastAsia="en-GB"/>
              </w:rPr>
              <w:t>1.79</w:t>
            </w:r>
          </w:p>
        </w:tc>
        <w:tc>
          <w:tcPr>
            <w:tcW w:w="487" w:type="pct"/>
            <w:tcBorders>
              <w:top w:val="nil"/>
              <w:left w:val="nil"/>
              <w:bottom w:val="nil"/>
              <w:right w:val="nil"/>
            </w:tcBorders>
            <w:shd w:val="clear" w:color="auto" w:fill="auto"/>
            <w:noWrap/>
            <w:vAlign w:val="bottom"/>
            <w:hideMark/>
          </w:tcPr>
          <w:p w14:paraId="429812D5" w14:textId="77777777" w:rsidR="00237C04" w:rsidRPr="006527E3" w:rsidRDefault="00237C04" w:rsidP="00874C0D">
            <w:pPr>
              <w:spacing w:after="0" w:line="240" w:lineRule="auto"/>
              <w:jc w:val="center"/>
              <w:rPr>
                <w:rFonts w:ascii="Times New Roman" w:eastAsia="Times New Roman" w:hAnsi="Times New Roman" w:cs="Times New Roman"/>
                <w:color w:val="000000"/>
                <w:sz w:val="15"/>
                <w:szCs w:val="15"/>
                <w:lang w:eastAsia="en-GB"/>
              </w:rPr>
            </w:pPr>
            <w:r w:rsidRPr="006527E3">
              <w:rPr>
                <w:rFonts w:ascii="Times New Roman" w:eastAsia="Times New Roman" w:hAnsi="Times New Roman" w:cs="Times New Roman"/>
                <w:color w:val="000000"/>
                <w:sz w:val="15"/>
                <w:szCs w:val="15"/>
                <w:lang w:eastAsia="en-GB"/>
              </w:rPr>
              <w:t>1.40, 2.29</w:t>
            </w:r>
          </w:p>
        </w:tc>
        <w:tc>
          <w:tcPr>
            <w:tcW w:w="488" w:type="pct"/>
            <w:tcBorders>
              <w:top w:val="nil"/>
              <w:left w:val="nil"/>
              <w:bottom w:val="nil"/>
              <w:right w:val="nil"/>
            </w:tcBorders>
            <w:shd w:val="clear" w:color="auto" w:fill="auto"/>
            <w:noWrap/>
            <w:vAlign w:val="bottom"/>
            <w:hideMark/>
          </w:tcPr>
          <w:p w14:paraId="5F173C7C" w14:textId="77777777" w:rsidR="00237C04" w:rsidRPr="006527E3" w:rsidRDefault="00237C04" w:rsidP="00874C0D">
            <w:pPr>
              <w:spacing w:after="0" w:line="240" w:lineRule="auto"/>
              <w:jc w:val="center"/>
              <w:rPr>
                <w:rFonts w:ascii="Times New Roman" w:eastAsia="Times New Roman" w:hAnsi="Times New Roman" w:cs="Times New Roman"/>
                <w:color w:val="000000"/>
                <w:sz w:val="15"/>
                <w:szCs w:val="15"/>
                <w:lang w:eastAsia="en-GB"/>
              </w:rPr>
            </w:pPr>
            <w:r w:rsidRPr="006527E3">
              <w:rPr>
                <w:rFonts w:ascii="Times New Roman" w:eastAsia="Times New Roman" w:hAnsi="Times New Roman" w:cs="Times New Roman"/>
                <w:color w:val="000000"/>
                <w:sz w:val="15"/>
                <w:szCs w:val="15"/>
                <w:lang w:eastAsia="en-GB"/>
              </w:rPr>
              <w:t>&lt;0.001</w:t>
            </w:r>
          </w:p>
        </w:tc>
        <w:tc>
          <w:tcPr>
            <w:tcW w:w="487" w:type="pct"/>
            <w:tcBorders>
              <w:top w:val="nil"/>
              <w:left w:val="single" w:sz="4" w:space="0" w:color="auto"/>
              <w:bottom w:val="nil"/>
              <w:right w:val="nil"/>
            </w:tcBorders>
            <w:shd w:val="clear" w:color="auto" w:fill="auto"/>
            <w:noWrap/>
            <w:vAlign w:val="bottom"/>
            <w:hideMark/>
          </w:tcPr>
          <w:p w14:paraId="1978495A" w14:textId="77777777" w:rsidR="00237C04" w:rsidRPr="006527E3" w:rsidRDefault="00237C04" w:rsidP="00874C0D">
            <w:pPr>
              <w:spacing w:after="0" w:line="240" w:lineRule="auto"/>
              <w:jc w:val="center"/>
              <w:rPr>
                <w:rFonts w:ascii="Times New Roman" w:eastAsia="Times New Roman" w:hAnsi="Times New Roman" w:cs="Times New Roman"/>
                <w:color w:val="000000"/>
                <w:sz w:val="15"/>
                <w:szCs w:val="15"/>
                <w:lang w:eastAsia="en-GB"/>
              </w:rPr>
            </w:pPr>
            <w:r w:rsidRPr="006527E3">
              <w:rPr>
                <w:rFonts w:ascii="Times New Roman" w:eastAsia="Times New Roman" w:hAnsi="Times New Roman" w:cs="Times New Roman"/>
                <w:color w:val="000000"/>
                <w:sz w:val="15"/>
                <w:szCs w:val="15"/>
                <w:lang w:eastAsia="en-GB"/>
              </w:rPr>
              <w:t>1.53</w:t>
            </w:r>
          </w:p>
        </w:tc>
        <w:tc>
          <w:tcPr>
            <w:tcW w:w="488" w:type="pct"/>
            <w:tcBorders>
              <w:top w:val="nil"/>
              <w:left w:val="nil"/>
              <w:bottom w:val="nil"/>
              <w:right w:val="nil"/>
            </w:tcBorders>
            <w:shd w:val="clear" w:color="auto" w:fill="auto"/>
            <w:noWrap/>
            <w:vAlign w:val="bottom"/>
            <w:hideMark/>
          </w:tcPr>
          <w:p w14:paraId="36A2AF2D" w14:textId="77777777" w:rsidR="00237C04" w:rsidRPr="006527E3" w:rsidRDefault="00237C04" w:rsidP="00874C0D">
            <w:pPr>
              <w:spacing w:after="0" w:line="240" w:lineRule="auto"/>
              <w:jc w:val="center"/>
              <w:rPr>
                <w:rFonts w:ascii="Times New Roman" w:eastAsia="Times New Roman" w:hAnsi="Times New Roman" w:cs="Times New Roman"/>
                <w:color w:val="000000"/>
                <w:sz w:val="15"/>
                <w:szCs w:val="15"/>
                <w:lang w:eastAsia="en-GB"/>
              </w:rPr>
            </w:pPr>
            <w:r w:rsidRPr="006527E3">
              <w:rPr>
                <w:rFonts w:ascii="Times New Roman" w:eastAsia="Times New Roman" w:hAnsi="Times New Roman" w:cs="Times New Roman"/>
                <w:color w:val="000000"/>
                <w:sz w:val="15"/>
                <w:szCs w:val="15"/>
                <w:lang w:eastAsia="en-GB"/>
              </w:rPr>
              <w:t>1.13, 2.06</w:t>
            </w:r>
          </w:p>
        </w:tc>
        <w:tc>
          <w:tcPr>
            <w:tcW w:w="487" w:type="pct"/>
            <w:tcBorders>
              <w:top w:val="nil"/>
              <w:left w:val="nil"/>
              <w:bottom w:val="nil"/>
              <w:right w:val="nil"/>
            </w:tcBorders>
            <w:shd w:val="clear" w:color="auto" w:fill="auto"/>
            <w:noWrap/>
            <w:vAlign w:val="bottom"/>
            <w:hideMark/>
          </w:tcPr>
          <w:p w14:paraId="1A273501" w14:textId="77777777" w:rsidR="00237C04" w:rsidRPr="006527E3" w:rsidRDefault="00237C04" w:rsidP="00874C0D">
            <w:pPr>
              <w:spacing w:after="0" w:line="240" w:lineRule="auto"/>
              <w:jc w:val="center"/>
              <w:rPr>
                <w:rFonts w:ascii="Times New Roman" w:eastAsia="Times New Roman" w:hAnsi="Times New Roman" w:cs="Times New Roman"/>
                <w:color w:val="000000"/>
                <w:sz w:val="15"/>
                <w:szCs w:val="15"/>
                <w:lang w:eastAsia="en-GB"/>
              </w:rPr>
            </w:pPr>
            <w:r w:rsidRPr="006527E3">
              <w:rPr>
                <w:rFonts w:ascii="Times New Roman" w:eastAsia="Times New Roman" w:hAnsi="Times New Roman" w:cs="Times New Roman"/>
                <w:color w:val="000000"/>
                <w:sz w:val="15"/>
                <w:szCs w:val="15"/>
                <w:lang w:eastAsia="en-GB"/>
              </w:rPr>
              <w:t>0.006</w:t>
            </w:r>
          </w:p>
        </w:tc>
        <w:tc>
          <w:tcPr>
            <w:tcW w:w="488" w:type="pct"/>
            <w:tcBorders>
              <w:top w:val="nil"/>
              <w:left w:val="single" w:sz="4" w:space="0" w:color="auto"/>
              <w:bottom w:val="nil"/>
              <w:right w:val="nil"/>
            </w:tcBorders>
            <w:shd w:val="clear" w:color="auto" w:fill="auto"/>
            <w:noWrap/>
            <w:vAlign w:val="bottom"/>
            <w:hideMark/>
          </w:tcPr>
          <w:p w14:paraId="6D29312A" w14:textId="77777777" w:rsidR="00237C04" w:rsidRPr="006527E3" w:rsidRDefault="00237C04" w:rsidP="00874C0D">
            <w:pPr>
              <w:spacing w:after="0" w:line="240" w:lineRule="auto"/>
              <w:jc w:val="center"/>
              <w:rPr>
                <w:rFonts w:ascii="Times New Roman" w:eastAsia="Times New Roman" w:hAnsi="Times New Roman" w:cs="Times New Roman"/>
                <w:color w:val="000000"/>
                <w:sz w:val="15"/>
                <w:szCs w:val="15"/>
                <w:lang w:eastAsia="en-GB"/>
              </w:rPr>
            </w:pPr>
            <w:r w:rsidRPr="006527E3">
              <w:rPr>
                <w:rFonts w:ascii="Times New Roman" w:eastAsia="Times New Roman" w:hAnsi="Times New Roman" w:cs="Times New Roman"/>
                <w:color w:val="000000"/>
                <w:sz w:val="15"/>
                <w:szCs w:val="15"/>
                <w:lang w:eastAsia="en-GB"/>
              </w:rPr>
              <w:t>1.74</w:t>
            </w:r>
          </w:p>
        </w:tc>
        <w:tc>
          <w:tcPr>
            <w:tcW w:w="487" w:type="pct"/>
            <w:tcBorders>
              <w:top w:val="nil"/>
              <w:left w:val="nil"/>
              <w:bottom w:val="nil"/>
              <w:right w:val="nil"/>
            </w:tcBorders>
            <w:shd w:val="clear" w:color="auto" w:fill="auto"/>
            <w:noWrap/>
            <w:vAlign w:val="bottom"/>
            <w:hideMark/>
          </w:tcPr>
          <w:p w14:paraId="6050153D" w14:textId="77777777" w:rsidR="00237C04" w:rsidRPr="006527E3" w:rsidRDefault="00237C04" w:rsidP="00874C0D">
            <w:pPr>
              <w:spacing w:after="0" w:line="240" w:lineRule="auto"/>
              <w:jc w:val="center"/>
              <w:rPr>
                <w:rFonts w:ascii="Times New Roman" w:eastAsia="Times New Roman" w:hAnsi="Times New Roman" w:cs="Times New Roman"/>
                <w:color w:val="000000"/>
                <w:sz w:val="15"/>
                <w:szCs w:val="15"/>
                <w:lang w:eastAsia="en-GB"/>
              </w:rPr>
            </w:pPr>
            <w:r w:rsidRPr="006527E3">
              <w:rPr>
                <w:rFonts w:ascii="Times New Roman" w:eastAsia="Times New Roman" w:hAnsi="Times New Roman" w:cs="Times New Roman"/>
                <w:color w:val="000000"/>
                <w:sz w:val="15"/>
                <w:szCs w:val="15"/>
                <w:lang w:eastAsia="en-GB"/>
              </w:rPr>
              <w:t>1.23, 2.47</w:t>
            </w:r>
          </w:p>
        </w:tc>
        <w:tc>
          <w:tcPr>
            <w:tcW w:w="486" w:type="pct"/>
            <w:tcBorders>
              <w:top w:val="nil"/>
              <w:left w:val="nil"/>
              <w:bottom w:val="nil"/>
              <w:right w:val="nil"/>
            </w:tcBorders>
            <w:shd w:val="clear" w:color="auto" w:fill="auto"/>
            <w:noWrap/>
            <w:vAlign w:val="bottom"/>
            <w:hideMark/>
          </w:tcPr>
          <w:p w14:paraId="7B4B9E19" w14:textId="77777777" w:rsidR="00237C04" w:rsidRPr="006527E3" w:rsidRDefault="00237C04" w:rsidP="00874C0D">
            <w:pPr>
              <w:spacing w:after="0" w:line="240" w:lineRule="auto"/>
              <w:jc w:val="center"/>
              <w:rPr>
                <w:rFonts w:ascii="Times New Roman" w:eastAsia="Times New Roman" w:hAnsi="Times New Roman" w:cs="Times New Roman"/>
                <w:color w:val="000000"/>
                <w:sz w:val="15"/>
                <w:szCs w:val="15"/>
                <w:lang w:eastAsia="en-GB"/>
              </w:rPr>
            </w:pPr>
            <w:r w:rsidRPr="006527E3">
              <w:rPr>
                <w:rFonts w:ascii="Times New Roman" w:eastAsia="Times New Roman" w:hAnsi="Times New Roman" w:cs="Times New Roman"/>
                <w:color w:val="000000"/>
                <w:sz w:val="15"/>
                <w:szCs w:val="15"/>
                <w:lang w:eastAsia="en-GB"/>
              </w:rPr>
              <w:t>0.002</w:t>
            </w:r>
          </w:p>
        </w:tc>
      </w:tr>
      <w:tr w:rsidR="00237C04" w:rsidRPr="006527E3" w14:paraId="65F94AAB" w14:textId="77777777" w:rsidTr="008A295F">
        <w:trPr>
          <w:trHeight w:val="315"/>
        </w:trPr>
        <w:tc>
          <w:tcPr>
            <w:tcW w:w="615" w:type="pct"/>
            <w:tcBorders>
              <w:top w:val="nil"/>
              <w:left w:val="nil"/>
              <w:bottom w:val="single" w:sz="18" w:space="0" w:color="auto"/>
              <w:right w:val="nil"/>
            </w:tcBorders>
            <w:shd w:val="clear" w:color="auto" w:fill="auto"/>
            <w:noWrap/>
            <w:vAlign w:val="bottom"/>
            <w:hideMark/>
          </w:tcPr>
          <w:p w14:paraId="6E4A6D55" w14:textId="77777777" w:rsidR="00237C04" w:rsidRPr="006527E3" w:rsidRDefault="00237C04" w:rsidP="00874C0D">
            <w:pPr>
              <w:spacing w:after="0" w:line="240" w:lineRule="auto"/>
              <w:rPr>
                <w:rFonts w:ascii="Times New Roman" w:eastAsia="Times New Roman" w:hAnsi="Times New Roman" w:cs="Times New Roman"/>
                <w:color w:val="000000"/>
                <w:sz w:val="15"/>
                <w:szCs w:val="15"/>
                <w:lang w:eastAsia="en-GB"/>
              </w:rPr>
            </w:pPr>
            <w:r w:rsidRPr="006527E3">
              <w:rPr>
                <w:rFonts w:ascii="Times New Roman" w:eastAsia="Times New Roman" w:hAnsi="Times New Roman" w:cs="Times New Roman"/>
                <w:color w:val="000000"/>
                <w:sz w:val="15"/>
                <w:szCs w:val="15"/>
                <w:lang w:eastAsia="en-GB"/>
              </w:rPr>
              <w:t> </w:t>
            </w:r>
          </w:p>
        </w:tc>
        <w:tc>
          <w:tcPr>
            <w:tcW w:w="487" w:type="pct"/>
            <w:tcBorders>
              <w:top w:val="nil"/>
              <w:left w:val="single" w:sz="4" w:space="0" w:color="auto"/>
              <w:bottom w:val="single" w:sz="18" w:space="0" w:color="auto"/>
              <w:right w:val="nil"/>
            </w:tcBorders>
            <w:shd w:val="clear" w:color="auto" w:fill="auto"/>
            <w:noWrap/>
            <w:vAlign w:val="bottom"/>
            <w:hideMark/>
          </w:tcPr>
          <w:p w14:paraId="385153E9" w14:textId="77777777" w:rsidR="00237C04" w:rsidRPr="006527E3" w:rsidRDefault="00237C04" w:rsidP="00874C0D">
            <w:pPr>
              <w:spacing w:after="0" w:line="240" w:lineRule="auto"/>
              <w:rPr>
                <w:rFonts w:ascii="Times New Roman" w:eastAsia="Times New Roman" w:hAnsi="Times New Roman" w:cs="Times New Roman"/>
                <w:color w:val="000000"/>
                <w:sz w:val="15"/>
                <w:szCs w:val="15"/>
                <w:lang w:eastAsia="en-GB"/>
              </w:rPr>
            </w:pPr>
            <w:r w:rsidRPr="006527E3">
              <w:rPr>
                <w:rFonts w:ascii="Times New Roman" w:eastAsia="Times New Roman" w:hAnsi="Times New Roman" w:cs="Times New Roman"/>
                <w:color w:val="000000"/>
                <w:sz w:val="15"/>
                <w:szCs w:val="15"/>
                <w:lang w:eastAsia="en-GB"/>
              </w:rPr>
              <w:t> </w:t>
            </w:r>
          </w:p>
        </w:tc>
        <w:tc>
          <w:tcPr>
            <w:tcW w:w="487" w:type="pct"/>
            <w:tcBorders>
              <w:top w:val="nil"/>
              <w:left w:val="nil"/>
              <w:bottom w:val="single" w:sz="18" w:space="0" w:color="auto"/>
              <w:right w:val="nil"/>
            </w:tcBorders>
            <w:shd w:val="clear" w:color="auto" w:fill="auto"/>
            <w:noWrap/>
            <w:vAlign w:val="bottom"/>
            <w:hideMark/>
          </w:tcPr>
          <w:p w14:paraId="230CD934" w14:textId="77777777" w:rsidR="00237C04" w:rsidRPr="006527E3" w:rsidRDefault="00237C04" w:rsidP="00874C0D">
            <w:pPr>
              <w:spacing w:after="0" w:line="240" w:lineRule="auto"/>
              <w:rPr>
                <w:rFonts w:ascii="Times New Roman" w:eastAsia="Times New Roman" w:hAnsi="Times New Roman" w:cs="Times New Roman"/>
                <w:color w:val="000000"/>
                <w:sz w:val="15"/>
                <w:szCs w:val="15"/>
                <w:lang w:eastAsia="en-GB"/>
              </w:rPr>
            </w:pPr>
            <w:r w:rsidRPr="006527E3">
              <w:rPr>
                <w:rFonts w:ascii="Times New Roman" w:eastAsia="Times New Roman" w:hAnsi="Times New Roman" w:cs="Times New Roman"/>
                <w:color w:val="000000"/>
                <w:sz w:val="15"/>
                <w:szCs w:val="15"/>
                <w:lang w:eastAsia="en-GB"/>
              </w:rPr>
              <w:t> </w:t>
            </w:r>
          </w:p>
        </w:tc>
        <w:tc>
          <w:tcPr>
            <w:tcW w:w="488" w:type="pct"/>
            <w:tcBorders>
              <w:top w:val="nil"/>
              <w:left w:val="nil"/>
              <w:bottom w:val="single" w:sz="18" w:space="0" w:color="auto"/>
              <w:right w:val="nil"/>
            </w:tcBorders>
            <w:shd w:val="clear" w:color="auto" w:fill="auto"/>
            <w:noWrap/>
            <w:vAlign w:val="bottom"/>
            <w:hideMark/>
          </w:tcPr>
          <w:p w14:paraId="3EF56546" w14:textId="77777777" w:rsidR="00237C04" w:rsidRPr="006527E3" w:rsidRDefault="00237C04" w:rsidP="00874C0D">
            <w:pPr>
              <w:spacing w:after="0" w:line="240" w:lineRule="auto"/>
              <w:rPr>
                <w:rFonts w:ascii="Times New Roman" w:eastAsia="Times New Roman" w:hAnsi="Times New Roman" w:cs="Times New Roman"/>
                <w:color w:val="000000"/>
                <w:sz w:val="15"/>
                <w:szCs w:val="15"/>
                <w:lang w:eastAsia="en-GB"/>
              </w:rPr>
            </w:pPr>
            <w:r w:rsidRPr="006527E3">
              <w:rPr>
                <w:rFonts w:ascii="Times New Roman" w:eastAsia="Times New Roman" w:hAnsi="Times New Roman" w:cs="Times New Roman"/>
                <w:color w:val="000000"/>
                <w:sz w:val="15"/>
                <w:szCs w:val="15"/>
                <w:lang w:eastAsia="en-GB"/>
              </w:rPr>
              <w:t> </w:t>
            </w:r>
          </w:p>
        </w:tc>
        <w:tc>
          <w:tcPr>
            <w:tcW w:w="487" w:type="pct"/>
            <w:tcBorders>
              <w:top w:val="nil"/>
              <w:left w:val="single" w:sz="4" w:space="0" w:color="auto"/>
              <w:bottom w:val="single" w:sz="18" w:space="0" w:color="auto"/>
              <w:right w:val="nil"/>
            </w:tcBorders>
            <w:shd w:val="clear" w:color="auto" w:fill="auto"/>
            <w:noWrap/>
            <w:vAlign w:val="bottom"/>
            <w:hideMark/>
          </w:tcPr>
          <w:p w14:paraId="673B0FE9" w14:textId="77777777" w:rsidR="00237C04" w:rsidRPr="006527E3" w:rsidRDefault="00237C04" w:rsidP="00874C0D">
            <w:pPr>
              <w:spacing w:after="0" w:line="240" w:lineRule="auto"/>
              <w:rPr>
                <w:rFonts w:ascii="Times New Roman" w:eastAsia="Times New Roman" w:hAnsi="Times New Roman" w:cs="Times New Roman"/>
                <w:color w:val="000000"/>
                <w:sz w:val="15"/>
                <w:szCs w:val="15"/>
                <w:lang w:eastAsia="en-GB"/>
              </w:rPr>
            </w:pPr>
            <w:r w:rsidRPr="006527E3">
              <w:rPr>
                <w:rFonts w:ascii="Times New Roman" w:eastAsia="Times New Roman" w:hAnsi="Times New Roman" w:cs="Times New Roman"/>
                <w:color w:val="000000"/>
                <w:sz w:val="15"/>
                <w:szCs w:val="15"/>
                <w:lang w:eastAsia="en-GB"/>
              </w:rPr>
              <w:t> </w:t>
            </w:r>
          </w:p>
        </w:tc>
        <w:tc>
          <w:tcPr>
            <w:tcW w:w="488" w:type="pct"/>
            <w:tcBorders>
              <w:top w:val="nil"/>
              <w:left w:val="nil"/>
              <w:bottom w:val="single" w:sz="18" w:space="0" w:color="auto"/>
              <w:right w:val="nil"/>
            </w:tcBorders>
            <w:shd w:val="clear" w:color="auto" w:fill="auto"/>
            <w:noWrap/>
            <w:vAlign w:val="bottom"/>
            <w:hideMark/>
          </w:tcPr>
          <w:p w14:paraId="5FDE438C" w14:textId="77777777" w:rsidR="00237C04" w:rsidRPr="006527E3" w:rsidRDefault="00237C04" w:rsidP="00874C0D">
            <w:pPr>
              <w:spacing w:after="0" w:line="240" w:lineRule="auto"/>
              <w:rPr>
                <w:rFonts w:ascii="Times New Roman" w:eastAsia="Times New Roman" w:hAnsi="Times New Roman" w:cs="Times New Roman"/>
                <w:color w:val="000000"/>
                <w:sz w:val="15"/>
                <w:szCs w:val="15"/>
                <w:lang w:eastAsia="en-GB"/>
              </w:rPr>
            </w:pPr>
            <w:r w:rsidRPr="006527E3">
              <w:rPr>
                <w:rFonts w:ascii="Times New Roman" w:eastAsia="Times New Roman" w:hAnsi="Times New Roman" w:cs="Times New Roman"/>
                <w:color w:val="000000"/>
                <w:sz w:val="15"/>
                <w:szCs w:val="15"/>
                <w:lang w:eastAsia="en-GB"/>
              </w:rPr>
              <w:t> </w:t>
            </w:r>
          </w:p>
        </w:tc>
        <w:tc>
          <w:tcPr>
            <w:tcW w:w="487" w:type="pct"/>
            <w:tcBorders>
              <w:top w:val="nil"/>
              <w:left w:val="nil"/>
              <w:bottom w:val="single" w:sz="18" w:space="0" w:color="auto"/>
              <w:right w:val="nil"/>
            </w:tcBorders>
            <w:shd w:val="clear" w:color="auto" w:fill="auto"/>
            <w:noWrap/>
            <w:vAlign w:val="bottom"/>
            <w:hideMark/>
          </w:tcPr>
          <w:p w14:paraId="6CD22CE5" w14:textId="77777777" w:rsidR="00237C04" w:rsidRPr="006527E3" w:rsidRDefault="00237C04" w:rsidP="00874C0D">
            <w:pPr>
              <w:spacing w:after="0" w:line="240" w:lineRule="auto"/>
              <w:rPr>
                <w:rFonts w:ascii="Times New Roman" w:eastAsia="Times New Roman" w:hAnsi="Times New Roman" w:cs="Times New Roman"/>
                <w:color w:val="000000"/>
                <w:sz w:val="15"/>
                <w:szCs w:val="15"/>
                <w:lang w:eastAsia="en-GB"/>
              </w:rPr>
            </w:pPr>
            <w:r w:rsidRPr="006527E3">
              <w:rPr>
                <w:rFonts w:ascii="Times New Roman" w:eastAsia="Times New Roman" w:hAnsi="Times New Roman" w:cs="Times New Roman"/>
                <w:color w:val="000000"/>
                <w:sz w:val="15"/>
                <w:szCs w:val="15"/>
                <w:lang w:eastAsia="en-GB"/>
              </w:rPr>
              <w:t> </w:t>
            </w:r>
          </w:p>
        </w:tc>
        <w:tc>
          <w:tcPr>
            <w:tcW w:w="488" w:type="pct"/>
            <w:tcBorders>
              <w:top w:val="nil"/>
              <w:left w:val="single" w:sz="4" w:space="0" w:color="auto"/>
              <w:bottom w:val="single" w:sz="18" w:space="0" w:color="auto"/>
              <w:right w:val="nil"/>
            </w:tcBorders>
            <w:shd w:val="clear" w:color="auto" w:fill="auto"/>
            <w:noWrap/>
            <w:vAlign w:val="bottom"/>
            <w:hideMark/>
          </w:tcPr>
          <w:p w14:paraId="561141A1" w14:textId="77777777" w:rsidR="00237C04" w:rsidRPr="006527E3" w:rsidRDefault="00237C04" w:rsidP="00874C0D">
            <w:pPr>
              <w:spacing w:after="0" w:line="240" w:lineRule="auto"/>
              <w:rPr>
                <w:rFonts w:ascii="Times New Roman" w:eastAsia="Times New Roman" w:hAnsi="Times New Roman" w:cs="Times New Roman"/>
                <w:color w:val="000000"/>
                <w:sz w:val="15"/>
                <w:szCs w:val="15"/>
                <w:lang w:eastAsia="en-GB"/>
              </w:rPr>
            </w:pPr>
            <w:r w:rsidRPr="006527E3">
              <w:rPr>
                <w:rFonts w:ascii="Times New Roman" w:eastAsia="Times New Roman" w:hAnsi="Times New Roman" w:cs="Times New Roman"/>
                <w:color w:val="000000"/>
                <w:sz w:val="15"/>
                <w:szCs w:val="15"/>
                <w:lang w:eastAsia="en-GB"/>
              </w:rPr>
              <w:t> </w:t>
            </w:r>
          </w:p>
        </w:tc>
        <w:tc>
          <w:tcPr>
            <w:tcW w:w="487" w:type="pct"/>
            <w:tcBorders>
              <w:top w:val="nil"/>
              <w:left w:val="nil"/>
              <w:bottom w:val="single" w:sz="18" w:space="0" w:color="auto"/>
              <w:right w:val="nil"/>
            </w:tcBorders>
            <w:shd w:val="clear" w:color="auto" w:fill="auto"/>
            <w:noWrap/>
            <w:vAlign w:val="bottom"/>
            <w:hideMark/>
          </w:tcPr>
          <w:p w14:paraId="6F0FA1D1" w14:textId="77777777" w:rsidR="00237C04" w:rsidRPr="006527E3" w:rsidRDefault="00237C04" w:rsidP="00874C0D">
            <w:pPr>
              <w:spacing w:after="0" w:line="240" w:lineRule="auto"/>
              <w:rPr>
                <w:rFonts w:ascii="Times New Roman" w:eastAsia="Times New Roman" w:hAnsi="Times New Roman" w:cs="Times New Roman"/>
                <w:color w:val="000000"/>
                <w:sz w:val="15"/>
                <w:szCs w:val="15"/>
                <w:lang w:eastAsia="en-GB"/>
              </w:rPr>
            </w:pPr>
            <w:r w:rsidRPr="006527E3">
              <w:rPr>
                <w:rFonts w:ascii="Times New Roman" w:eastAsia="Times New Roman" w:hAnsi="Times New Roman" w:cs="Times New Roman"/>
                <w:color w:val="000000"/>
                <w:sz w:val="15"/>
                <w:szCs w:val="15"/>
                <w:lang w:eastAsia="en-GB"/>
              </w:rPr>
              <w:t> </w:t>
            </w:r>
          </w:p>
        </w:tc>
        <w:tc>
          <w:tcPr>
            <w:tcW w:w="486" w:type="pct"/>
            <w:tcBorders>
              <w:top w:val="nil"/>
              <w:left w:val="nil"/>
              <w:bottom w:val="single" w:sz="18" w:space="0" w:color="auto"/>
              <w:right w:val="nil"/>
            </w:tcBorders>
            <w:shd w:val="clear" w:color="auto" w:fill="auto"/>
            <w:noWrap/>
            <w:vAlign w:val="bottom"/>
            <w:hideMark/>
          </w:tcPr>
          <w:p w14:paraId="45BFB115" w14:textId="77777777" w:rsidR="00237C04" w:rsidRPr="006527E3" w:rsidRDefault="00237C04" w:rsidP="00874C0D">
            <w:pPr>
              <w:spacing w:after="0" w:line="240" w:lineRule="auto"/>
              <w:rPr>
                <w:rFonts w:ascii="Times New Roman" w:eastAsia="Times New Roman" w:hAnsi="Times New Roman" w:cs="Times New Roman"/>
                <w:color w:val="000000"/>
                <w:sz w:val="15"/>
                <w:szCs w:val="15"/>
                <w:lang w:eastAsia="en-GB"/>
              </w:rPr>
            </w:pPr>
            <w:r w:rsidRPr="006527E3">
              <w:rPr>
                <w:rFonts w:ascii="Times New Roman" w:eastAsia="Times New Roman" w:hAnsi="Times New Roman" w:cs="Times New Roman"/>
                <w:color w:val="000000"/>
                <w:sz w:val="15"/>
                <w:szCs w:val="15"/>
                <w:lang w:eastAsia="en-GB"/>
              </w:rPr>
              <w:t> </w:t>
            </w:r>
          </w:p>
        </w:tc>
      </w:tr>
    </w:tbl>
    <w:p w14:paraId="27B26C5F" w14:textId="77777777" w:rsidR="00237C04" w:rsidRPr="00E67E7B" w:rsidRDefault="00237C04" w:rsidP="00237C04">
      <w:pPr>
        <w:spacing w:line="360" w:lineRule="auto"/>
        <w:jc w:val="both"/>
        <w:rPr>
          <w:rFonts w:ascii="Times New Roman" w:hAnsi="Times New Roman" w:cs="Times New Roman"/>
        </w:rPr>
      </w:pPr>
      <w:r w:rsidRPr="00E67E7B">
        <w:rPr>
          <w:rFonts w:ascii="Times New Roman" w:hAnsi="Times New Roman" w:cs="Times New Roman"/>
        </w:rPr>
        <w:fldChar w:fldCharType="begin"/>
      </w:r>
      <w:r w:rsidRPr="00E67E7B">
        <w:rPr>
          <w:rFonts w:ascii="Times New Roman" w:hAnsi="Times New Roman" w:cs="Times New Roman"/>
        </w:rPr>
        <w:instrText xml:space="preserve"> LINK Excel.Sheet.12 "C:\\Users\\beth.curtis\\Documents\\Fracture prediction BMC\\fracture predict BMC.xlsx" Sheet3!R19C1:R36C10 \a \f 4 \h  \* MERGEFORMAT </w:instrText>
      </w:r>
      <w:r w:rsidRPr="00E67E7B">
        <w:rPr>
          <w:rFonts w:ascii="Times New Roman" w:hAnsi="Times New Roman" w:cs="Times New Roman"/>
        </w:rPr>
        <w:fldChar w:fldCharType="separate"/>
      </w:r>
    </w:p>
    <w:p w14:paraId="02F441B9" w14:textId="77777777" w:rsidR="00237C04" w:rsidRPr="00E67E7B" w:rsidRDefault="00237C04" w:rsidP="00237C04">
      <w:pPr>
        <w:spacing w:line="360" w:lineRule="auto"/>
        <w:jc w:val="both"/>
        <w:rPr>
          <w:rFonts w:ascii="Times New Roman" w:hAnsi="Times New Roman" w:cs="Times New Roman"/>
        </w:rPr>
      </w:pPr>
      <w:r w:rsidRPr="00E67E7B">
        <w:rPr>
          <w:rFonts w:ascii="Times New Roman" w:hAnsi="Times New Roman" w:cs="Times New Roman"/>
        </w:rPr>
        <w:fldChar w:fldCharType="end"/>
      </w:r>
      <w:r w:rsidRPr="00E67E7B">
        <w:rPr>
          <w:rFonts w:ascii="Times New Roman" w:eastAsia="Times New Roman" w:hAnsi="Times New Roman" w:cs="Times New Roman"/>
          <w:b/>
          <w:bCs/>
          <w:color w:val="000000"/>
          <w:vertAlign w:val="superscript"/>
          <w:lang w:eastAsia="en-GB"/>
        </w:rPr>
        <w:t>†</w:t>
      </w:r>
      <w:r w:rsidRPr="00E67E7B">
        <w:rPr>
          <w:rFonts w:ascii="Times New Roman" w:hAnsi="Times New Roman" w:cs="Times New Roman"/>
        </w:rPr>
        <w:t xml:space="preserve">HR for </w:t>
      </w:r>
      <w:r w:rsidR="00037D18">
        <w:rPr>
          <w:rFonts w:ascii="Times New Roman" w:hAnsi="Times New Roman" w:cs="Times New Roman"/>
        </w:rPr>
        <w:t>any</w:t>
      </w:r>
      <w:r w:rsidRPr="00E67E7B">
        <w:rPr>
          <w:rFonts w:ascii="Times New Roman" w:hAnsi="Times New Roman" w:cs="Times New Roman"/>
        </w:rPr>
        <w:t xml:space="preserve"> fracture per 1 SD decrease in the predictor; </w:t>
      </w:r>
      <w:r w:rsidRPr="00E67E7B">
        <w:rPr>
          <w:rFonts w:ascii="Times New Roman" w:eastAsia="Times New Roman" w:hAnsi="Times New Roman" w:cs="Times New Roman"/>
          <w:bCs/>
          <w:color w:val="000000"/>
          <w:vertAlign w:val="superscript"/>
          <w:lang w:eastAsia="en-GB"/>
        </w:rPr>
        <w:t>‡</w:t>
      </w:r>
      <w:r w:rsidRPr="00E67E7B">
        <w:rPr>
          <w:rFonts w:ascii="Times New Roman" w:hAnsi="Times New Roman" w:cs="Times New Roman"/>
        </w:rPr>
        <w:t>Adjusted for age, BMI, alcohol, smoking, HRT, previous fractures, medication</w:t>
      </w:r>
    </w:p>
    <w:p w14:paraId="6F89F513" w14:textId="77777777" w:rsidR="00237C04" w:rsidRPr="006527E3" w:rsidRDefault="00237C04">
      <w:pPr>
        <w:rPr>
          <w:rFonts w:ascii="Times New Roman" w:hAnsi="Times New Roman" w:cs="Times New Roman"/>
          <w:b/>
        </w:rPr>
      </w:pPr>
      <w:r w:rsidRPr="006527E3">
        <w:rPr>
          <w:rFonts w:ascii="Times New Roman" w:hAnsi="Times New Roman" w:cs="Times New Roman"/>
          <w:b/>
        </w:rPr>
        <w:br w:type="page"/>
      </w:r>
    </w:p>
    <w:p w14:paraId="1A8BD3D1" w14:textId="77777777" w:rsidR="00237C04" w:rsidRPr="006527E3" w:rsidRDefault="00237C04" w:rsidP="00237C04">
      <w:pPr>
        <w:spacing w:line="360" w:lineRule="auto"/>
        <w:jc w:val="both"/>
        <w:rPr>
          <w:rFonts w:ascii="Times New Roman" w:hAnsi="Times New Roman" w:cs="Times New Roman"/>
        </w:rPr>
      </w:pPr>
      <w:r w:rsidRPr="006527E3">
        <w:rPr>
          <w:rFonts w:ascii="Times New Roman" w:hAnsi="Times New Roman" w:cs="Times New Roman"/>
          <w:b/>
        </w:rPr>
        <w:lastRenderedPageBreak/>
        <w:t xml:space="preserve">Table </w:t>
      </w:r>
      <w:r w:rsidR="00037D18">
        <w:rPr>
          <w:rFonts w:ascii="Times New Roman" w:hAnsi="Times New Roman" w:cs="Times New Roman"/>
          <w:b/>
        </w:rPr>
        <w:t>3</w:t>
      </w:r>
      <w:r w:rsidRPr="006527E3">
        <w:rPr>
          <w:rFonts w:ascii="Times New Roman" w:hAnsi="Times New Roman" w:cs="Times New Roman"/>
          <w:b/>
        </w:rPr>
        <w:t xml:space="preserve">: </w:t>
      </w:r>
      <w:r w:rsidRPr="006527E3">
        <w:rPr>
          <w:rFonts w:ascii="Times New Roman" w:hAnsi="Times New Roman" w:cs="Times New Roman"/>
        </w:rPr>
        <w:t>Gradient of risk (hazard ratio per 1 SD decrease in predictor) for DXA indices (femoral neck, lumbar spine and whole body BMC, BMD and area) and incident osteoporotic fracture.</w:t>
      </w:r>
    </w:p>
    <w:tbl>
      <w:tblPr>
        <w:tblW w:w="5361" w:type="pct"/>
        <w:tblLayout w:type="fixed"/>
        <w:tblLook w:val="04A0" w:firstRow="1" w:lastRow="0" w:firstColumn="1" w:lastColumn="0" w:noHBand="0" w:noVBand="1"/>
      </w:tblPr>
      <w:tblGrid>
        <w:gridCol w:w="1224"/>
        <w:gridCol w:w="965"/>
        <w:gridCol w:w="965"/>
        <w:gridCol w:w="967"/>
        <w:gridCol w:w="965"/>
        <w:gridCol w:w="965"/>
        <w:gridCol w:w="969"/>
        <w:gridCol w:w="965"/>
        <w:gridCol w:w="965"/>
        <w:gridCol w:w="959"/>
      </w:tblGrid>
      <w:tr w:rsidR="008A295F" w:rsidRPr="006527E3" w14:paraId="71682B52" w14:textId="77777777" w:rsidTr="008A295F">
        <w:trPr>
          <w:trHeight w:val="300"/>
        </w:trPr>
        <w:tc>
          <w:tcPr>
            <w:tcW w:w="617" w:type="pct"/>
            <w:tcBorders>
              <w:top w:val="single" w:sz="18" w:space="0" w:color="auto"/>
              <w:left w:val="nil"/>
              <w:bottom w:val="single" w:sz="4" w:space="0" w:color="auto"/>
              <w:right w:val="nil"/>
            </w:tcBorders>
            <w:shd w:val="clear" w:color="auto" w:fill="auto"/>
            <w:noWrap/>
            <w:vAlign w:val="bottom"/>
            <w:hideMark/>
          </w:tcPr>
          <w:p w14:paraId="0149B15A" w14:textId="77777777" w:rsidR="008A295F" w:rsidRPr="006527E3" w:rsidRDefault="008A295F" w:rsidP="00874C0D">
            <w:pPr>
              <w:spacing w:after="0" w:line="240" w:lineRule="auto"/>
              <w:rPr>
                <w:rFonts w:ascii="Times New Roman" w:eastAsia="Times New Roman" w:hAnsi="Times New Roman" w:cs="Times New Roman"/>
                <w:color w:val="000000"/>
                <w:sz w:val="15"/>
                <w:szCs w:val="15"/>
                <w:lang w:eastAsia="en-GB"/>
              </w:rPr>
            </w:pPr>
          </w:p>
        </w:tc>
        <w:tc>
          <w:tcPr>
            <w:tcW w:w="1462" w:type="pct"/>
            <w:gridSpan w:val="3"/>
            <w:tcBorders>
              <w:top w:val="single" w:sz="18" w:space="0" w:color="auto"/>
              <w:left w:val="nil"/>
              <w:bottom w:val="single" w:sz="4" w:space="0" w:color="auto"/>
              <w:right w:val="nil"/>
            </w:tcBorders>
            <w:shd w:val="clear" w:color="auto" w:fill="auto"/>
            <w:noWrap/>
            <w:vAlign w:val="center"/>
            <w:hideMark/>
          </w:tcPr>
          <w:p w14:paraId="0325748F" w14:textId="77777777" w:rsidR="008A295F" w:rsidRPr="006527E3" w:rsidRDefault="008A295F" w:rsidP="008A295F">
            <w:pPr>
              <w:spacing w:after="0" w:line="240" w:lineRule="auto"/>
              <w:jc w:val="center"/>
              <w:rPr>
                <w:rFonts w:ascii="Times New Roman" w:eastAsia="Times New Roman" w:hAnsi="Times New Roman" w:cs="Times New Roman"/>
                <w:b/>
                <w:bCs/>
                <w:color w:val="000000"/>
                <w:sz w:val="15"/>
                <w:szCs w:val="15"/>
                <w:lang w:eastAsia="en-GB"/>
              </w:rPr>
            </w:pPr>
            <w:r w:rsidRPr="006527E3">
              <w:rPr>
                <w:rFonts w:ascii="Times New Roman" w:eastAsia="Times New Roman" w:hAnsi="Times New Roman" w:cs="Times New Roman"/>
                <w:b/>
                <w:bCs/>
                <w:color w:val="000000"/>
                <w:sz w:val="15"/>
                <w:szCs w:val="15"/>
                <w:lang w:eastAsia="en-GB"/>
              </w:rPr>
              <w:t>Unadjusted</w:t>
            </w:r>
          </w:p>
        </w:tc>
        <w:tc>
          <w:tcPr>
            <w:tcW w:w="1463" w:type="pct"/>
            <w:gridSpan w:val="3"/>
            <w:tcBorders>
              <w:top w:val="single" w:sz="18" w:space="0" w:color="auto"/>
              <w:left w:val="nil"/>
              <w:bottom w:val="single" w:sz="4" w:space="0" w:color="auto"/>
              <w:right w:val="nil"/>
            </w:tcBorders>
            <w:shd w:val="clear" w:color="auto" w:fill="auto"/>
            <w:noWrap/>
            <w:vAlign w:val="center"/>
            <w:hideMark/>
          </w:tcPr>
          <w:p w14:paraId="4EF54187" w14:textId="77777777" w:rsidR="008A295F" w:rsidRPr="006527E3" w:rsidRDefault="008A295F" w:rsidP="008A295F">
            <w:pPr>
              <w:spacing w:after="0" w:line="240" w:lineRule="auto"/>
              <w:jc w:val="center"/>
              <w:rPr>
                <w:rFonts w:ascii="Times New Roman" w:eastAsia="Times New Roman" w:hAnsi="Times New Roman" w:cs="Times New Roman"/>
                <w:b/>
                <w:bCs/>
                <w:color w:val="000000"/>
                <w:sz w:val="15"/>
                <w:szCs w:val="15"/>
                <w:lang w:eastAsia="en-GB"/>
              </w:rPr>
            </w:pPr>
            <w:r w:rsidRPr="006527E3">
              <w:rPr>
                <w:rFonts w:ascii="Times New Roman" w:eastAsia="Times New Roman" w:hAnsi="Times New Roman" w:cs="Times New Roman"/>
                <w:b/>
                <w:bCs/>
                <w:color w:val="000000"/>
                <w:sz w:val="15"/>
                <w:szCs w:val="15"/>
                <w:lang w:eastAsia="en-GB"/>
              </w:rPr>
              <w:t>Adjusted for age</w:t>
            </w:r>
          </w:p>
        </w:tc>
        <w:tc>
          <w:tcPr>
            <w:tcW w:w="1458" w:type="pct"/>
            <w:gridSpan w:val="3"/>
            <w:tcBorders>
              <w:top w:val="single" w:sz="18" w:space="0" w:color="auto"/>
              <w:left w:val="nil"/>
              <w:bottom w:val="single" w:sz="4" w:space="0" w:color="auto"/>
              <w:right w:val="nil"/>
            </w:tcBorders>
            <w:shd w:val="clear" w:color="auto" w:fill="auto"/>
            <w:noWrap/>
            <w:vAlign w:val="center"/>
            <w:hideMark/>
          </w:tcPr>
          <w:p w14:paraId="31DFCA7F" w14:textId="77777777" w:rsidR="008A295F" w:rsidRPr="006527E3" w:rsidRDefault="008A295F" w:rsidP="008A295F">
            <w:pPr>
              <w:spacing w:after="0" w:line="240" w:lineRule="auto"/>
              <w:jc w:val="center"/>
              <w:rPr>
                <w:rFonts w:ascii="Times New Roman" w:eastAsia="Times New Roman" w:hAnsi="Times New Roman" w:cs="Times New Roman"/>
                <w:color w:val="000000"/>
                <w:sz w:val="15"/>
                <w:szCs w:val="15"/>
                <w:lang w:eastAsia="en-GB"/>
              </w:rPr>
            </w:pPr>
            <w:r w:rsidRPr="006527E3">
              <w:rPr>
                <w:rFonts w:ascii="Times New Roman" w:eastAsia="Times New Roman" w:hAnsi="Times New Roman" w:cs="Times New Roman"/>
                <w:b/>
                <w:bCs/>
                <w:color w:val="000000"/>
                <w:sz w:val="15"/>
                <w:szCs w:val="15"/>
                <w:lang w:eastAsia="en-GB"/>
              </w:rPr>
              <w:t>Fully adjusted GR</w:t>
            </w:r>
            <w:r w:rsidRPr="006527E3">
              <w:rPr>
                <w:rFonts w:ascii="Times New Roman" w:eastAsia="Times New Roman" w:hAnsi="Times New Roman" w:cs="Times New Roman"/>
                <w:b/>
                <w:bCs/>
                <w:color w:val="000000"/>
                <w:sz w:val="15"/>
                <w:szCs w:val="15"/>
                <w:vertAlign w:val="superscript"/>
                <w:lang w:eastAsia="en-GB"/>
              </w:rPr>
              <w:t>‡</w:t>
            </w:r>
          </w:p>
        </w:tc>
      </w:tr>
      <w:tr w:rsidR="00237C04" w:rsidRPr="006527E3" w14:paraId="58152564" w14:textId="77777777" w:rsidTr="008A295F">
        <w:trPr>
          <w:trHeight w:val="315"/>
        </w:trPr>
        <w:tc>
          <w:tcPr>
            <w:tcW w:w="617" w:type="pct"/>
            <w:tcBorders>
              <w:top w:val="single" w:sz="4" w:space="0" w:color="auto"/>
              <w:left w:val="nil"/>
              <w:bottom w:val="single" w:sz="8" w:space="0" w:color="auto"/>
              <w:right w:val="nil"/>
            </w:tcBorders>
            <w:shd w:val="clear" w:color="auto" w:fill="auto"/>
            <w:noWrap/>
            <w:vAlign w:val="bottom"/>
            <w:hideMark/>
          </w:tcPr>
          <w:p w14:paraId="4452EA0A" w14:textId="77777777" w:rsidR="00237C04" w:rsidRPr="006527E3" w:rsidRDefault="00237C04" w:rsidP="00874C0D">
            <w:pPr>
              <w:spacing w:after="0" w:line="240" w:lineRule="auto"/>
              <w:jc w:val="center"/>
              <w:rPr>
                <w:rFonts w:ascii="Times New Roman" w:eastAsia="Times New Roman" w:hAnsi="Times New Roman" w:cs="Times New Roman"/>
                <w:b/>
                <w:bCs/>
                <w:color w:val="000000"/>
                <w:sz w:val="15"/>
                <w:szCs w:val="15"/>
                <w:lang w:eastAsia="en-GB"/>
              </w:rPr>
            </w:pPr>
            <w:r w:rsidRPr="006527E3">
              <w:rPr>
                <w:rFonts w:ascii="Times New Roman" w:eastAsia="Times New Roman" w:hAnsi="Times New Roman" w:cs="Times New Roman"/>
                <w:b/>
                <w:bCs/>
                <w:color w:val="000000"/>
                <w:sz w:val="15"/>
                <w:szCs w:val="15"/>
                <w:lang w:eastAsia="en-GB"/>
              </w:rPr>
              <w:t>Predictor</w:t>
            </w:r>
          </w:p>
        </w:tc>
        <w:tc>
          <w:tcPr>
            <w:tcW w:w="487" w:type="pct"/>
            <w:tcBorders>
              <w:top w:val="single" w:sz="4" w:space="0" w:color="auto"/>
              <w:left w:val="single" w:sz="4" w:space="0" w:color="auto"/>
              <w:bottom w:val="single" w:sz="8" w:space="0" w:color="auto"/>
              <w:right w:val="nil"/>
            </w:tcBorders>
            <w:shd w:val="clear" w:color="auto" w:fill="auto"/>
            <w:noWrap/>
            <w:vAlign w:val="bottom"/>
            <w:hideMark/>
          </w:tcPr>
          <w:p w14:paraId="3BE96836" w14:textId="77777777" w:rsidR="00237C04" w:rsidRPr="006527E3" w:rsidRDefault="00237C04" w:rsidP="00237C04">
            <w:pPr>
              <w:spacing w:after="0" w:line="240" w:lineRule="auto"/>
              <w:jc w:val="center"/>
              <w:rPr>
                <w:rFonts w:ascii="Times New Roman" w:eastAsia="Times New Roman" w:hAnsi="Times New Roman" w:cs="Times New Roman"/>
                <w:b/>
                <w:bCs/>
                <w:color w:val="000000"/>
                <w:sz w:val="15"/>
                <w:szCs w:val="15"/>
                <w:lang w:eastAsia="en-GB"/>
              </w:rPr>
            </w:pPr>
            <w:r w:rsidRPr="006527E3">
              <w:rPr>
                <w:rFonts w:ascii="Times New Roman" w:eastAsia="Times New Roman" w:hAnsi="Times New Roman" w:cs="Times New Roman"/>
                <w:b/>
                <w:bCs/>
                <w:color w:val="000000"/>
                <w:sz w:val="15"/>
                <w:szCs w:val="15"/>
                <w:lang w:eastAsia="en-GB"/>
              </w:rPr>
              <w:t>HR/SD</w:t>
            </w:r>
            <w:r w:rsidRPr="006527E3">
              <w:rPr>
                <w:rFonts w:ascii="Times New Roman" w:eastAsia="Times New Roman" w:hAnsi="Times New Roman" w:cs="Times New Roman"/>
                <w:b/>
                <w:bCs/>
                <w:color w:val="000000"/>
                <w:sz w:val="15"/>
                <w:szCs w:val="15"/>
                <w:vertAlign w:val="superscript"/>
                <w:lang w:eastAsia="en-GB"/>
              </w:rPr>
              <w:t>†</w:t>
            </w:r>
          </w:p>
        </w:tc>
        <w:tc>
          <w:tcPr>
            <w:tcW w:w="487" w:type="pct"/>
            <w:tcBorders>
              <w:top w:val="single" w:sz="4" w:space="0" w:color="auto"/>
              <w:left w:val="nil"/>
              <w:bottom w:val="single" w:sz="8" w:space="0" w:color="auto"/>
              <w:right w:val="nil"/>
            </w:tcBorders>
            <w:shd w:val="clear" w:color="auto" w:fill="auto"/>
            <w:noWrap/>
            <w:vAlign w:val="bottom"/>
            <w:hideMark/>
          </w:tcPr>
          <w:p w14:paraId="044FACA6" w14:textId="77777777" w:rsidR="00237C04" w:rsidRPr="006527E3" w:rsidRDefault="00237C04" w:rsidP="00874C0D">
            <w:pPr>
              <w:spacing w:after="0" w:line="240" w:lineRule="auto"/>
              <w:jc w:val="center"/>
              <w:rPr>
                <w:rFonts w:ascii="Times New Roman" w:eastAsia="Times New Roman" w:hAnsi="Times New Roman" w:cs="Times New Roman"/>
                <w:b/>
                <w:bCs/>
                <w:color w:val="000000"/>
                <w:sz w:val="15"/>
                <w:szCs w:val="15"/>
                <w:lang w:eastAsia="en-GB"/>
              </w:rPr>
            </w:pPr>
            <w:r w:rsidRPr="006527E3">
              <w:rPr>
                <w:rFonts w:ascii="Times New Roman" w:eastAsia="Times New Roman" w:hAnsi="Times New Roman" w:cs="Times New Roman"/>
                <w:b/>
                <w:bCs/>
                <w:color w:val="000000"/>
                <w:sz w:val="15"/>
                <w:szCs w:val="15"/>
                <w:lang w:eastAsia="en-GB"/>
              </w:rPr>
              <w:t>95%CI</w:t>
            </w:r>
          </w:p>
        </w:tc>
        <w:tc>
          <w:tcPr>
            <w:tcW w:w="488" w:type="pct"/>
            <w:tcBorders>
              <w:top w:val="single" w:sz="4" w:space="0" w:color="auto"/>
              <w:left w:val="nil"/>
              <w:bottom w:val="single" w:sz="8" w:space="0" w:color="auto"/>
              <w:right w:val="nil"/>
            </w:tcBorders>
            <w:shd w:val="clear" w:color="auto" w:fill="auto"/>
            <w:noWrap/>
            <w:vAlign w:val="bottom"/>
            <w:hideMark/>
          </w:tcPr>
          <w:p w14:paraId="7F9F0549" w14:textId="77777777" w:rsidR="00237C04" w:rsidRPr="006527E3" w:rsidRDefault="00237C04" w:rsidP="00874C0D">
            <w:pPr>
              <w:spacing w:after="0" w:line="240" w:lineRule="auto"/>
              <w:jc w:val="center"/>
              <w:rPr>
                <w:rFonts w:ascii="Times New Roman" w:eastAsia="Times New Roman" w:hAnsi="Times New Roman" w:cs="Times New Roman"/>
                <w:b/>
                <w:bCs/>
                <w:color w:val="000000"/>
                <w:sz w:val="15"/>
                <w:szCs w:val="15"/>
                <w:lang w:eastAsia="en-GB"/>
              </w:rPr>
            </w:pPr>
            <w:r w:rsidRPr="006527E3">
              <w:rPr>
                <w:rFonts w:ascii="Times New Roman" w:eastAsia="Times New Roman" w:hAnsi="Times New Roman" w:cs="Times New Roman"/>
                <w:b/>
                <w:bCs/>
                <w:color w:val="000000"/>
                <w:sz w:val="15"/>
                <w:szCs w:val="15"/>
                <w:lang w:eastAsia="en-GB"/>
              </w:rPr>
              <w:t>p-value</w:t>
            </w:r>
          </w:p>
        </w:tc>
        <w:tc>
          <w:tcPr>
            <w:tcW w:w="487" w:type="pct"/>
            <w:tcBorders>
              <w:top w:val="single" w:sz="4" w:space="0" w:color="auto"/>
              <w:left w:val="single" w:sz="4" w:space="0" w:color="auto"/>
              <w:bottom w:val="single" w:sz="8" w:space="0" w:color="auto"/>
              <w:right w:val="nil"/>
            </w:tcBorders>
            <w:shd w:val="clear" w:color="auto" w:fill="auto"/>
            <w:noWrap/>
            <w:vAlign w:val="bottom"/>
            <w:hideMark/>
          </w:tcPr>
          <w:p w14:paraId="129ACF70" w14:textId="77777777" w:rsidR="00237C04" w:rsidRPr="006527E3" w:rsidRDefault="00237C04" w:rsidP="00237C04">
            <w:pPr>
              <w:spacing w:after="0" w:line="240" w:lineRule="auto"/>
              <w:jc w:val="center"/>
              <w:rPr>
                <w:rFonts w:ascii="Times New Roman" w:eastAsia="Times New Roman" w:hAnsi="Times New Roman" w:cs="Times New Roman"/>
                <w:b/>
                <w:bCs/>
                <w:color w:val="000000"/>
                <w:sz w:val="15"/>
                <w:szCs w:val="15"/>
                <w:lang w:eastAsia="en-GB"/>
              </w:rPr>
            </w:pPr>
            <w:r w:rsidRPr="006527E3">
              <w:rPr>
                <w:rFonts w:ascii="Times New Roman" w:eastAsia="Times New Roman" w:hAnsi="Times New Roman" w:cs="Times New Roman"/>
                <w:b/>
                <w:bCs/>
                <w:color w:val="000000"/>
                <w:sz w:val="15"/>
                <w:szCs w:val="15"/>
                <w:lang w:eastAsia="en-GB"/>
              </w:rPr>
              <w:t>HR/SD</w:t>
            </w:r>
            <w:r w:rsidRPr="006527E3">
              <w:rPr>
                <w:rFonts w:ascii="Times New Roman" w:eastAsia="Times New Roman" w:hAnsi="Times New Roman" w:cs="Times New Roman"/>
                <w:b/>
                <w:bCs/>
                <w:color w:val="000000"/>
                <w:sz w:val="15"/>
                <w:szCs w:val="15"/>
                <w:vertAlign w:val="superscript"/>
                <w:lang w:eastAsia="en-GB"/>
              </w:rPr>
              <w:t>†</w:t>
            </w:r>
          </w:p>
        </w:tc>
        <w:tc>
          <w:tcPr>
            <w:tcW w:w="487" w:type="pct"/>
            <w:tcBorders>
              <w:top w:val="single" w:sz="4" w:space="0" w:color="auto"/>
              <w:left w:val="nil"/>
              <w:bottom w:val="single" w:sz="8" w:space="0" w:color="auto"/>
              <w:right w:val="nil"/>
            </w:tcBorders>
            <w:shd w:val="clear" w:color="auto" w:fill="auto"/>
            <w:noWrap/>
            <w:vAlign w:val="bottom"/>
            <w:hideMark/>
          </w:tcPr>
          <w:p w14:paraId="5814B05C" w14:textId="77777777" w:rsidR="00237C04" w:rsidRPr="006527E3" w:rsidRDefault="00237C04" w:rsidP="00874C0D">
            <w:pPr>
              <w:spacing w:after="0" w:line="240" w:lineRule="auto"/>
              <w:jc w:val="center"/>
              <w:rPr>
                <w:rFonts w:ascii="Times New Roman" w:eastAsia="Times New Roman" w:hAnsi="Times New Roman" w:cs="Times New Roman"/>
                <w:b/>
                <w:bCs/>
                <w:color w:val="000000"/>
                <w:sz w:val="15"/>
                <w:szCs w:val="15"/>
                <w:lang w:eastAsia="en-GB"/>
              </w:rPr>
            </w:pPr>
            <w:r w:rsidRPr="006527E3">
              <w:rPr>
                <w:rFonts w:ascii="Times New Roman" w:eastAsia="Times New Roman" w:hAnsi="Times New Roman" w:cs="Times New Roman"/>
                <w:b/>
                <w:bCs/>
                <w:color w:val="000000"/>
                <w:sz w:val="15"/>
                <w:szCs w:val="15"/>
                <w:lang w:eastAsia="en-GB"/>
              </w:rPr>
              <w:t>95%CI</w:t>
            </w:r>
          </w:p>
        </w:tc>
        <w:tc>
          <w:tcPr>
            <w:tcW w:w="488" w:type="pct"/>
            <w:tcBorders>
              <w:top w:val="single" w:sz="4" w:space="0" w:color="auto"/>
              <w:left w:val="nil"/>
              <w:bottom w:val="single" w:sz="8" w:space="0" w:color="auto"/>
              <w:right w:val="nil"/>
            </w:tcBorders>
            <w:shd w:val="clear" w:color="auto" w:fill="auto"/>
            <w:noWrap/>
            <w:vAlign w:val="bottom"/>
            <w:hideMark/>
          </w:tcPr>
          <w:p w14:paraId="2CBEADDD" w14:textId="77777777" w:rsidR="00237C04" w:rsidRPr="006527E3" w:rsidRDefault="00237C04" w:rsidP="00874C0D">
            <w:pPr>
              <w:spacing w:after="0" w:line="240" w:lineRule="auto"/>
              <w:jc w:val="center"/>
              <w:rPr>
                <w:rFonts w:ascii="Times New Roman" w:eastAsia="Times New Roman" w:hAnsi="Times New Roman" w:cs="Times New Roman"/>
                <w:b/>
                <w:bCs/>
                <w:color w:val="000000"/>
                <w:sz w:val="15"/>
                <w:szCs w:val="15"/>
                <w:lang w:eastAsia="en-GB"/>
              </w:rPr>
            </w:pPr>
            <w:r w:rsidRPr="006527E3">
              <w:rPr>
                <w:rFonts w:ascii="Times New Roman" w:eastAsia="Times New Roman" w:hAnsi="Times New Roman" w:cs="Times New Roman"/>
                <w:b/>
                <w:bCs/>
                <w:color w:val="000000"/>
                <w:sz w:val="15"/>
                <w:szCs w:val="15"/>
                <w:lang w:eastAsia="en-GB"/>
              </w:rPr>
              <w:t>p-value</w:t>
            </w:r>
          </w:p>
        </w:tc>
        <w:tc>
          <w:tcPr>
            <w:tcW w:w="487" w:type="pct"/>
            <w:tcBorders>
              <w:top w:val="single" w:sz="4" w:space="0" w:color="auto"/>
              <w:left w:val="single" w:sz="4" w:space="0" w:color="auto"/>
              <w:bottom w:val="single" w:sz="8" w:space="0" w:color="auto"/>
              <w:right w:val="nil"/>
            </w:tcBorders>
            <w:shd w:val="clear" w:color="auto" w:fill="auto"/>
            <w:noWrap/>
            <w:vAlign w:val="bottom"/>
            <w:hideMark/>
          </w:tcPr>
          <w:p w14:paraId="2A20B51A" w14:textId="77777777" w:rsidR="00237C04" w:rsidRPr="006527E3" w:rsidRDefault="00237C04" w:rsidP="00874C0D">
            <w:pPr>
              <w:spacing w:after="0" w:line="240" w:lineRule="auto"/>
              <w:jc w:val="center"/>
              <w:rPr>
                <w:rFonts w:ascii="Times New Roman" w:eastAsia="Times New Roman" w:hAnsi="Times New Roman" w:cs="Times New Roman"/>
                <w:b/>
                <w:bCs/>
                <w:color w:val="000000"/>
                <w:sz w:val="15"/>
                <w:szCs w:val="15"/>
                <w:lang w:eastAsia="en-GB"/>
              </w:rPr>
            </w:pPr>
            <w:r w:rsidRPr="006527E3">
              <w:rPr>
                <w:rFonts w:ascii="Times New Roman" w:eastAsia="Times New Roman" w:hAnsi="Times New Roman" w:cs="Times New Roman"/>
                <w:b/>
                <w:bCs/>
                <w:color w:val="000000"/>
                <w:sz w:val="15"/>
                <w:szCs w:val="15"/>
                <w:lang w:eastAsia="en-GB"/>
              </w:rPr>
              <w:t>HR/SD</w:t>
            </w:r>
            <w:r w:rsidRPr="006527E3">
              <w:rPr>
                <w:rFonts w:ascii="Times New Roman" w:eastAsia="Times New Roman" w:hAnsi="Times New Roman" w:cs="Times New Roman"/>
                <w:b/>
                <w:bCs/>
                <w:color w:val="000000"/>
                <w:sz w:val="15"/>
                <w:szCs w:val="15"/>
                <w:vertAlign w:val="superscript"/>
                <w:lang w:eastAsia="en-GB"/>
              </w:rPr>
              <w:t>††</w:t>
            </w:r>
          </w:p>
        </w:tc>
        <w:tc>
          <w:tcPr>
            <w:tcW w:w="487" w:type="pct"/>
            <w:tcBorders>
              <w:top w:val="single" w:sz="4" w:space="0" w:color="auto"/>
              <w:left w:val="nil"/>
              <w:bottom w:val="single" w:sz="8" w:space="0" w:color="auto"/>
              <w:right w:val="nil"/>
            </w:tcBorders>
            <w:shd w:val="clear" w:color="auto" w:fill="auto"/>
            <w:noWrap/>
            <w:vAlign w:val="bottom"/>
            <w:hideMark/>
          </w:tcPr>
          <w:p w14:paraId="43D07AAA" w14:textId="77777777" w:rsidR="00237C04" w:rsidRPr="006527E3" w:rsidRDefault="00237C04" w:rsidP="00874C0D">
            <w:pPr>
              <w:spacing w:after="0" w:line="240" w:lineRule="auto"/>
              <w:jc w:val="center"/>
              <w:rPr>
                <w:rFonts w:ascii="Times New Roman" w:eastAsia="Times New Roman" w:hAnsi="Times New Roman" w:cs="Times New Roman"/>
                <w:b/>
                <w:bCs/>
                <w:color w:val="000000"/>
                <w:sz w:val="15"/>
                <w:szCs w:val="15"/>
                <w:lang w:eastAsia="en-GB"/>
              </w:rPr>
            </w:pPr>
            <w:r w:rsidRPr="006527E3">
              <w:rPr>
                <w:rFonts w:ascii="Times New Roman" w:eastAsia="Times New Roman" w:hAnsi="Times New Roman" w:cs="Times New Roman"/>
                <w:b/>
                <w:bCs/>
                <w:color w:val="000000"/>
                <w:sz w:val="15"/>
                <w:szCs w:val="15"/>
                <w:lang w:eastAsia="en-GB"/>
              </w:rPr>
              <w:t>95%CI</w:t>
            </w:r>
          </w:p>
        </w:tc>
        <w:tc>
          <w:tcPr>
            <w:tcW w:w="484" w:type="pct"/>
            <w:tcBorders>
              <w:top w:val="single" w:sz="4" w:space="0" w:color="auto"/>
              <w:left w:val="nil"/>
              <w:bottom w:val="single" w:sz="8" w:space="0" w:color="auto"/>
              <w:right w:val="nil"/>
            </w:tcBorders>
            <w:shd w:val="clear" w:color="auto" w:fill="auto"/>
            <w:noWrap/>
            <w:vAlign w:val="bottom"/>
            <w:hideMark/>
          </w:tcPr>
          <w:p w14:paraId="2FFEABE4" w14:textId="77777777" w:rsidR="00237C04" w:rsidRPr="006527E3" w:rsidRDefault="00237C04" w:rsidP="00874C0D">
            <w:pPr>
              <w:spacing w:after="0" w:line="240" w:lineRule="auto"/>
              <w:jc w:val="center"/>
              <w:rPr>
                <w:rFonts w:ascii="Times New Roman" w:eastAsia="Times New Roman" w:hAnsi="Times New Roman" w:cs="Times New Roman"/>
                <w:b/>
                <w:bCs/>
                <w:color w:val="000000"/>
                <w:sz w:val="15"/>
                <w:szCs w:val="15"/>
                <w:lang w:eastAsia="en-GB"/>
              </w:rPr>
            </w:pPr>
            <w:r w:rsidRPr="006527E3">
              <w:rPr>
                <w:rFonts w:ascii="Times New Roman" w:eastAsia="Times New Roman" w:hAnsi="Times New Roman" w:cs="Times New Roman"/>
                <w:b/>
                <w:bCs/>
                <w:color w:val="000000"/>
                <w:sz w:val="15"/>
                <w:szCs w:val="15"/>
                <w:lang w:eastAsia="en-GB"/>
              </w:rPr>
              <w:t>p-value</w:t>
            </w:r>
          </w:p>
        </w:tc>
      </w:tr>
      <w:tr w:rsidR="00237C04" w:rsidRPr="006527E3" w14:paraId="1C9E3D1A" w14:textId="77777777" w:rsidTr="008A295F">
        <w:trPr>
          <w:trHeight w:val="300"/>
        </w:trPr>
        <w:tc>
          <w:tcPr>
            <w:tcW w:w="617" w:type="pct"/>
            <w:tcBorders>
              <w:top w:val="nil"/>
              <w:left w:val="nil"/>
              <w:bottom w:val="nil"/>
              <w:right w:val="nil"/>
            </w:tcBorders>
            <w:shd w:val="clear" w:color="auto" w:fill="auto"/>
            <w:noWrap/>
            <w:vAlign w:val="bottom"/>
            <w:hideMark/>
          </w:tcPr>
          <w:p w14:paraId="3E4845D2" w14:textId="77777777" w:rsidR="00237C04" w:rsidRPr="006527E3" w:rsidRDefault="00237C04" w:rsidP="00874C0D">
            <w:pPr>
              <w:spacing w:after="0" w:line="240" w:lineRule="auto"/>
              <w:rPr>
                <w:rFonts w:ascii="Times New Roman" w:eastAsia="Times New Roman" w:hAnsi="Times New Roman" w:cs="Times New Roman"/>
                <w:b/>
                <w:bCs/>
                <w:color w:val="000000"/>
                <w:sz w:val="15"/>
                <w:szCs w:val="15"/>
                <w:lang w:eastAsia="en-GB"/>
              </w:rPr>
            </w:pPr>
            <w:r w:rsidRPr="006527E3">
              <w:rPr>
                <w:rFonts w:ascii="Times New Roman" w:eastAsia="Times New Roman" w:hAnsi="Times New Roman" w:cs="Times New Roman"/>
                <w:b/>
                <w:bCs/>
                <w:color w:val="000000"/>
                <w:sz w:val="15"/>
                <w:szCs w:val="15"/>
                <w:lang w:eastAsia="en-GB"/>
              </w:rPr>
              <w:t>Femoral neck</w:t>
            </w:r>
          </w:p>
        </w:tc>
        <w:tc>
          <w:tcPr>
            <w:tcW w:w="487" w:type="pct"/>
            <w:tcBorders>
              <w:top w:val="nil"/>
              <w:left w:val="single" w:sz="4" w:space="0" w:color="auto"/>
              <w:bottom w:val="nil"/>
              <w:right w:val="nil"/>
            </w:tcBorders>
            <w:shd w:val="clear" w:color="auto" w:fill="auto"/>
            <w:noWrap/>
            <w:vAlign w:val="bottom"/>
            <w:hideMark/>
          </w:tcPr>
          <w:p w14:paraId="75AB509E" w14:textId="77777777" w:rsidR="00237C04" w:rsidRPr="006527E3" w:rsidRDefault="00237C04" w:rsidP="00874C0D">
            <w:pPr>
              <w:spacing w:after="0" w:line="240" w:lineRule="auto"/>
              <w:rPr>
                <w:rFonts w:ascii="Times New Roman" w:eastAsia="Times New Roman" w:hAnsi="Times New Roman" w:cs="Times New Roman"/>
                <w:color w:val="000000"/>
                <w:sz w:val="15"/>
                <w:szCs w:val="15"/>
                <w:lang w:eastAsia="en-GB"/>
              </w:rPr>
            </w:pPr>
            <w:r w:rsidRPr="006527E3">
              <w:rPr>
                <w:rFonts w:ascii="Times New Roman" w:eastAsia="Times New Roman" w:hAnsi="Times New Roman" w:cs="Times New Roman"/>
                <w:color w:val="000000"/>
                <w:sz w:val="15"/>
                <w:szCs w:val="15"/>
                <w:lang w:eastAsia="en-GB"/>
              </w:rPr>
              <w:t> </w:t>
            </w:r>
          </w:p>
        </w:tc>
        <w:tc>
          <w:tcPr>
            <w:tcW w:w="487" w:type="pct"/>
            <w:tcBorders>
              <w:top w:val="nil"/>
              <w:left w:val="nil"/>
              <w:bottom w:val="nil"/>
              <w:right w:val="nil"/>
            </w:tcBorders>
            <w:shd w:val="clear" w:color="auto" w:fill="auto"/>
            <w:noWrap/>
            <w:vAlign w:val="bottom"/>
            <w:hideMark/>
          </w:tcPr>
          <w:p w14:paraId="4840BA9A" w14:textId="77777777" w:rsidR="00237C04" w:rsidRPr="006527E3" w:rsidRDefault="00237C04" w:rsidP="00874C0D">
            <w:pPr>
              <w:spacing w:after="0" w:line="240" w:lineRule="auto"/>
              <w:rPr>
                <w:rFonts w:ascii="Times New Roman" w:eastAsia="Times New Roman" w:hAnsi="Times New Roman" w:cs="Times New Roman"/>
                <w:color w:val="000000"/>
                <w:sz w:val="15"/>
                <w:szCs w:val="15"/>
                <w:lang w:eastAsia="en-GB"/>
              </w:rPr>
            </w:pPr>
          </w:p>
        </w:tc>
        <w:tc>
          <w:tcPr>
            <w:tcW w:w="488" w:type="pct"/>
            <w:tcBorders>
              <w:top w:val="nil"/>
              <w:left w:val="nil"/>
              <w:bottom w:val="nil"/>
              <w:right w:val="nil"/>
            </w:tcBorders>
            <w:shd w:val="clear" w:color="auto" w:fill="auto"/>
            <w:noWrap/>
            <w:vAlign w:val="bottom"/>
            <w:hideMark/>
          </w:tcPr>
          <w:p w14:paraId="764393DD" w14:textId="77777777" w:rsidR="00237C04" w:rsidRPr="006527E3" w:rsidRDefault="00237C04" w:rsidP="00874C0D">
            <w:pPr>
              <w:spacing w:after="0" w:line="240" w:lineRule="auto"/>
              <w:rPr>
                <w:rFonts w:ascii="Times New Roman" w:eastAsia="Times New Roman" w:hAnsi="Times New Roman" w:cs="Times New Roman"/>
                <w:color w:val="000000"/>
                <w:sz w:val="15"/>
                <w:szCs w:val="15"/>
                <w:lang w:eastAsia="en-GB"/>
              </w:rPr>
            </w:pPr>
          </w:p>
        </w:tc>
        <w:tc>
          <w:tcPr>
            <w:tcW w:w="487" w:type="pct"/>
            <w:tcBorders>
              <w:top w:val="nil"/>
              <w:left w:val="single" w:sz="4" w:space="0" w:color="auto"/>
              <w:bottom w:val="nil"/>
              <w:right w:val="nil"/>
            </w:tcBorders>
            <w:shd w:val="clear" w:color="auto" w:fill="auto"/>
            <w:noWrap/>
            <w:vAlign w:val="bottom"/>
            <w:hideMark/>
          </w:tcPr>
          <w:p w14:paraId="198C7109" w14:textId="77777777" w:rsidR="00237C04" w:rsidRPr="006527E3" w:rsidRDefault="00237C04" w:rsidP="00874C0D">
            <w:pPr>
              <w:spacing w:after="0" w:line="240" w:lineRule="auto"/>
              <w:rPr>
                <w:rFonts w:ascii="Times New Roman" w:eastAsia="Times New Roman" w:hAnsi="Times New Roman" w:cs="Times New Roman"/>
                <w:color w:val="000000"/>
                <w:sz w:val="15"/>
                <w:szCs w:val="15"/>
                <w:lang w:eastAsia="en-GB"/>
              </w:rPr>
            </w:pPr>
            <w:r w:rsidRPr="006527E3">
              <w:rPr>
                <w:rFonts w:ascii="Times New Roman" w:eastAsia="Times New Roman" w:hAnsi="Times New Roman" w:cs="Times New Roman"/>
                <w:color w:val="000000"/>
                <w:sz w:val="15"/>
                <w:szCs w:val="15"/>
                <w:lang w:eastAsia="en-GB"/>
              </w:rPr>
              <w:t> </w:t>
            </w:r>
          </w:p>
        </w:tc>
        <w:tc>
          <w:tcPr>
            <w:tcW w:w="487" w:type="pct"/>
            <w:tcBorders>
              <w:top w:val="nil"/>
              <w:left w:val="nil"/>
              <w:bottom w:val="nil"/>
              <w:right w:val="nil"/>
            </w:tcBorders>
            <w:shd w:val="clear" w:color="auto" w:fill="auto"/>
            <w:noWrap/>
            <w:vAlign w:val="bottom"/>
            <w:hideMark/>
          </w:tcPr>
          <w:p w14:paraId="3BD9218A" w14:textId="77777777" w:rsidR="00237C04" w:rsidRPr="006527E3" w:rsidRDefault="00237C04" w:rsidP="00874C0D">
            <w:pPr>
              <w:spacing w:after="0" w:line="240" w:lineRule="auto"/>
              <w:rPr>
                <w:rFonts w:ascii="Times New Roman" w:eastAsia="Times New Roman" w:hAnsi="Times New Roman" w:cs="Times New Roman"/>
                <w:color w:val="000000"/>
                <w:sz w:val="15"/>
                <w:szCs w:val="15"/>
                <w:lang w:eastAsia="en-GB"/>
              </w:rPr>
            </w:pPr>
          </w:p>
        </w:tc>
        <w:tc>
          <w:tcPr>
            <w:tcW w:w="488" w:type="pct"/>
            <w:tcBorders>
              <w:top w:val="nil"/>
              <w:left w:val="nil"/>
              <w:bottom w:val="nil"/>
              <w:right w:val="nil"/>
            </w:tcBorders>
            <w:shd w:val="clear" w:color="auto" w:fill="auto"/>
            <w:noWrap/>
            <w:vAlign w:val="bottom"/>
            <w:hideMark/>
          </w:tcPr>
          <w:p w14:paraId="13E8789D" w14:textId="77777777" w:rsidR="00237C04" w:rsidRPr="006527E3" w:rsidRDefault="00237C04" w:rsidP="00874C0D">
            <w:pPr>
              <w:spacing w:after="0" w:line="240" w:lineRule="auto"/>
              <w:rPr>
                <w:rFonts w:ascii="Times New Roman" w:eastAsia="Times New Roman" w:hAnsi="Times New Roman" w:cs="Times New Roman"/>
                <w:color w:val="000000"/>
                <w:sz w:val="15"/>
                <w:szCs w:val="15"/>
                <w:lang w:eastAsia="en-GB"/>
              </w:rPr>
            </w:pPr>
          </w:p>
        </w:tc>
        <w:tc>
          <w:tcPr>
            <w:tcW w:w="487" w:type="pct"/>
            <w:tcBorders>
              <w:top w:val="nil"/>
              <w:left w:val="single" w:sz="4" w:space="0" w:color="auto"/>
              <w:bottom w:val="nil"/>
              <w:right w:val="nil"/>
            </w:tcBorders>
            <w:shd w:val="clear" w:color="auto" w:fill="auto"/>
            <w:noWrap/>
            <w:vAlign w:val="bottom"/>
            <w:hideMark/>
          </w:tcPr>
          <w:p w14:paraId="5867CB77" w14:textId="77777777" w:rsidR="00237C04" w:rsidRPr="006527E3" w:rsidRDefault="00237C04" w:rsidP="00874C0D">
            <w:pPr>
              <w:spacing w:after="0" w:line="240" w:lineRule="auto"/>
              <w:rPr>
                <w:rFonts w:ascii="Times New Roman" w:eastAsia="Times New Roman" w:hAnsi="Times New Roman" w:cs="Times New Roman"/>
                <w:color w:val="000000"/>
                <w:sz w:val="15"/>
                <w:szCs w:val="15"/>
                <w:lang w:eastAsia="en-GB"/>
              </w:rPr>
            </w:pPr>
            <w:r w:rsidRPr="006527E3">
              <w:rPr>
                <w:rFonts w:ascii="Times New Roman" w:eastAsia="Times New Roman" w:hAnsi="Times New Roman" w:cs="Times New Roman"/>
                <w:color w:val="000000"/>
                <w:sz w:val="15"/>
                <w:szCs w:val="15"/>
                <w:lang w:eastAsia="en-GB"/>
              </w:rPr>
              <w:t> </w:t>
            </w:r>
          </w:p>
        </w:tc>
        <w:tc>
          <w:tcPr>
            <w:tcW w:w="487" w:type="pct"/>
            <w:tcBorders>
              <w:top w:val="nil"/>
              <w:left w:val="nil"/>
              <w:bottom w:val="nil"/>
              <w:right w:val="nil"/>
            </w:tcBorders>
            <w:shd w:val="clear" w:color="auto" w:fill="auto"/>
            <w:noWrap/>
            <w:vAlign w:val="bottom"/>
            <w:hideMark/>
          </w:tcPr>
          <w:p w14:paraId="20F5896C" w14:textId="77777777" w:rsidR="00237C04" w:rsidRPr="006527E3" w:rsidRDefault="00237C04" w:rsidP="00874C0D">
            <w:pPr>
              <w:spacing w:after="0" w:line="240" w:lineRule="auto"/>
              <w:rPr>
                <w:rFonts w:ascii="Times New Roman" w:eastAsia="Times New Roman" w:hAnsi="Times New Roman" w:cs="Times New Roman"/>
                <w:color w:val="000000"/>
                <w:sz w:val="15"/>
                <w:szCs w:val="15"/>
                <w:lang w:eastAsia="en-GB"/>
              </w:rPr>
            </w:pPr>
          </w:p>
        </w:tc>
        <w:tc>
          <w:tcPr>
            <w:tcW w:w="484" w:type="pct"/>
            <w:tcBorders>
              <w:top w:val="nil"/>
              <w:left w:val="nil"/>
              <w:bottom w:val="nil"/>
              <w:right w:val="nil"/>
            </w:tcBorders>
            <w:shd w:val="clear" w:color="auto" w:fill="auto"/>
            <w:noWrap/>
            <w:vAlign w:val="bottom"/>
            <w:hideMark/>
          </w:tcPr>
          <w:p w14:paraId="06A5AB03" w14:textId="77777777" w:rsidR="00237C04" w:rsidRPr="006527E3" w:rsidRDefault="00237C04" w:rsidP="00874C0D">
            <w:pPr>
              <w:spacing w:after="0" w:line="240" w:lineRule="auto"/>
              <w:rPr>
                <w:rFonts w:ascii="Times New Roman" w:eastAsia="Times New Roman" w:hAnsi="Times New Roman" w:cs="Times New Roman"/>
                <w:color w:val="000000"/>
                <w:sz w:val="15"/>
                <w:szCs w:val="15"/>
                <w:lang w:eastAsia="en-GB"/>
              </w:rPr>
            </w:pPr>
          </w:p>
        </w:tc>
      </w:tr>
      <w:tr w:rsidR="00237C04" w:rsidRPr="006527E3" w14:paraId="27827F67" w14:textId="77777777" w:rsidTr="008A295F">
        <w:trPr>
          <w:trHeight w:val="300"/>
        </w:trPr>
        <w:tc>
          <w:tcPr>
            <w:tcW w:w="617" w:type="pct"/>
            <w:tcBorders>
              <w:top w:val="nil"/>
              <w:left w:val="nil"/>
              <w:bottom w:val="nil"/>
              <w:right w:val="nil"/>
            </w:tcBorders>
            <w:shd w:val="clear" w:color="auto" w:fill="auto"/>
            <w:noWrap/>
            <w:vAlign w:val="bottom"/>
            <w:hideMark/>
          </w:tcPr>
          <w:p w14:paraId="7D9ACBF5" w14:textId="77777777" w:rsidR="00237C04" w:rsidRPr="006527E3" w:rsidRDefault="00237C04" w:rsidP="00874C0D">
            <w:pPr>
              <w:spacing w:after="0" w:line="240" w:lineRule="auto"/>
              <w:rPr>
                <w:rFonts w:ascii="Times New Roman" w:eastAsia="Times New Roman" w:hAnsi="Times New Roman" w:cs="Times New Roman"/>
                <w:color w:val="000000"/>
                <w:sz w:val="15"/>
                <w:szCs w:val="15"/>
                <w:lang w:eastAsia="en-GB"/>
              </w:rPr>
            </w:pPr>
            <w:r w:rsidRPr="006527E3">
              <w:rPr>
                <w:rFonts w:ascii="Times New Roman" w:eastAsia="Times New Roman" w:hAnsi="Times New Roman" w:cs="Times New Roman"/>
                <w:color w:val="000000"/>
                <w:sz w:val="15"/>
                <w:szCs w:val="15"/>
                <w:lang w:eastAsia="en-GB"/>
              </w:rPr>
              <w:t>Area</w:t>
            </w:r>
          </w:p>
        </w:tc>
        <w:tc>
          <w:tcPr>
            <w:tcW w:w="487" w:type="pct"/>
            <w:tcBorders>
              <w:top w:val="nil"/>
              <w:left w:val="single" w:sz="4" w:space="0" w:color="auto"/>
              <w:bottom w:val="nil"/>
              <w:right w:val="nil"/>
            </w:tcBorders>
            <w:shd w:val="clear" w:color="auto" w:fill="auto"/>
            <w:noWrap/>
            <w:vAlign w:val="bottom"/>
            <w:hideMark/>
          </w:tcPr>
          <w:p w14:paraId="368F7B14" w14:textId="77777777" w:rsidR="00237C04" w:rsidRPr="006527E3" w:rsidRDefault="00237C04" w:rsidP="00874C0D">
            <w:pPr>
              <w:spacing w:after="0" w:line="240" w:lineRule="auto"/>
              <w:jc w:val="center"/>
              <w:rPr>
                <w:rFonts w:ascii="Times New Roman" w:eastAsia="Times New Roman" w:hAnsi="Times New Roman" w:cs="Times New Roman"/>
                <w:color w:val="000000"/>
                <w:sz w:val="15"/>
                <w:szCs w:val="15"/>
                <w:lang w:eastAsia="en-GB"/>
              </w:rPr>
            </w:pPr>
            <w:r w:rsidRPr="006527E3">
              <w:rPr>
                <w:rFonts w:ascii="Times New Roman" w:eastAsia="Times New Roman" w:hAnsi="Times New Roman" w:cs="Times New Roman"/>
                <w:color w:val="000000"/>
                <w:sz w:val="15"/>
                <w:szCs w:val="15"/>
                <w:lang w:eastAsia="en-GB"/>
              </w:rPr>
              <w:t>0.77</w:t>
            </w:r>
          </w:p>
        </w:tc>
        <w:tc>
          <w:tcPr>
            <w:tcW w:w="487" w:type="pct"/>
            <w:tcBorders>
              <w:top w:val="nil"/>
              <w:left w:val="nil"/>
              <w:bottom w:val="nil"/>
              <w:right w:val="nil"/>
            </w:tcBorders>
            <w:shd w:val="clear" w:color="auto" w:fill="auto"/>
            <w:noWrap/>
            <w:vAlign w:val="bottom"/>
            <w:hideMark/>
          </w:tcPr>
          <w:p w14:paraId="39717885" w14:textId="77777777" w:rsidR="00237C04" w:rsidRPr="006527E3" w:rsidRDefault="00237C04" w:rsidP="00874C0D">
            <w:pPr>
              <w:spacing w:after="0" w:line="240" w:lineRule="auto"/>
              <w:jc w:val="center"/>
              <w:rPr>
                <w:rFonts w:ascii="Times New Roman" w:eastAsia="Times New Roman" w:hAnsi="Times New Roman" w:cs="Times New Roman"/>
                <w:color w:val="000000"/>
                <w:sz w:val="15"/>
                <w:szCs w:val="15"/>
                <w:lang w:eastAsia="en-GB"/>
              </w:rPr>
            </w:pPr>
            <w:r w:rsidRPr="006527E3">
              <w:rPr>
                <w:rFonts w:ascii="Times New Roman" w:eastAsia="Times New Roman" w:hAnsi="Times New Roman" w:cs="Times New Roman"/>
                <w:color w:val="000000"/>
                <w:sz w:val="15"/>
                <w:szCs w:val="15"/>
                <w:lang w:eastAsia="en-GB"/>
              </w:rPr>
              <w:t>0.51, 1.17</w:t>
            </w:r>
          </w:p>
        </w:tc>
        <w:tc>
          <w:tcPr>
            <w:tcW w:w="488" w:type="pct"/>
            <w:tcBorders>
              <w:top w:val="nil"/>
              <w:left w:val="nil"/>
              <w:bottom w:val="nil"/>
              <w:right w:val="nil"/>
            </w:tcBorders>
            <w:shd w:val="clear" w:color="auto" w:fill="auto"/>
            <w:noWrap/>
            <w:vAlign w:val="bottom"/>
            <w:hideMark/>
          </w:tcPr>
          <w:p w14:paraId="51296061" w14:textId="77777777" w:rsidR="00237C04" w:rsidRPr="006527E3" w:rsidRDefault="00237C04" w:rsidP="00874C0D">
            <w:pPr>
              <w:spacing w:after="0" w:line="240" w:lineRule="auto"/>
              <w:jc w:val="center"/>
              <w:rPr>
                <w:rFonts w:ascii="Times New Roman" w:eastAsia="Times New Roman" w:hAnsi="Times New Roman" w:cs="Times New Roman"/>
                <w:color w:val="000000"/>
                <w:sz w:val="15"/>
                <w:szCs w:val="15"/>
                <w:lang w:eastAsia="en-GB"/>
              </w:rPr>
            </w:pPr>
            <w:r w:rsidRPr="006527E3">
              <w:rPr>
                <w:rFonts w:ascii="Times New Roman" w:eastAsia="Times New Roman" w:hAnsi="Times New Roman" w:cs="Times New Roman"/>
                <w:color w:val="000000"/>
                <w:sz w:val="15"/>
                <w:szCs w:val="15"/>
                <w:lang w:eastAsia="en-GB"/>
              </w:rPr>
              <w:t>0.223</w:t>
            </w:r>
          </w:p>
        </w:tc>
        <w:tc>
          <w:tcPr>
            <w:tcW w:w="487" w:type="pct"/>
            <w:tcBorders>
              <w:top w:val="nil"/>
              <w:left w:val="single" w:sz="4" w:space="0" w:color="auto"/>
              <w:bottom w:val="nil"/>
              <w:right w:val="nil"/>
            </w:tcBorders>
            <w:shd w:val="clear" w:color="auto" w:fill="auto"/>
            <w:noWrap/>
            <w:vAlign w:val="bottom"/>
            <w:hideMark/>
          </w:tcPr>
          <w:p w14:paraId="3B634FD1" w14:textId="77777777" w:rsidR="00237C04" w:rsidRPr="006527E3" w:rsidRDefault="00237C04" w:rsidP="00874C0D">
            <w:pPr>
              <w:spacing w:after="0" w:line="240" w:lineRule="auto"/>
              <w:jc w:val="center"/>
              <w:rPr>
                <w:rFonts w:ascii="Times New Roman" w:eastAsia="Times New Roman" w:hAnsi="Times New Roman" w:cs="Times New Roman"/>
                <w:color w:val="000000"/>
                <w:sz w:val="15"/>
                <w:szCs w:val="15"/>
                <w:lang w:eastAsia="en-GB"/>
              </w:rPr>
            </w:pPr>
            <w:r w:rsidRPr="006527E3">
              <w:rPr>
                <w:rFonts w:ascii="Times New Roman" w:eastAsia="Times New Roman" w:hAnsi="Times New Roman" w:cs="Times New Roman"/>
                <w:color w:val="000000"/>
                <w:sz w:val="15"/>
                <w:szCs w:val="15"/>
                <w:lang w:eastAsia="en-GB"/>
              </w:rPr>
              <w:t>0.9</w:t>
            </w:r>
          </w:p>
        </w:tc>
        <w:tc>
          <w:tcPr>
            <w:tcW w:w="487" w:type="pct"/>
            <w:tcBorders>
              <w:top w:val="nil"/>
              <w:left w:val="nil"/>
              <w:bottom w:val="nil"/>
              <w:right w:val="nil"/>
            </w:tcBorders>
            <w:shd w:val="clear" w:color="auto" w:fill="auto"/>
            <w:noWrap/>
            <w:vAlign w:val="bottom"/>
            <w:hideMark/>
          </w:tcPr>
          <w:p w14:paraId="6BF9D1F3" w14:textId="77777777" w:rsidR="00237C04" w:rsidRPr="006527E3" w:rsidRDefault="00237C04" w:rsidP="00874C0D">
            <w:pPr>
              <w:spacing w:after="0" w:line="240" w:lineRule="auto"/>
              <w:jc w:val="center"/>
              <w:rPr>
                <w:rFonts w:ascii="Times New Roman" w:eastAsia="Times New Roman" w:hAnsi="Times New Roman" w:cs="Times New Roman"/>
                <w:color w:val="000000"/>
                <w:sz w:val="15"/>
                <w:szCs w:val="15"/>
                <w:lang w:eastAsia="en-GB"/>
              </w:rPr>
            </w:pPr>
            <w:r w:rsidRPr="006527E3">
              <w:rPr>
                <w:rFonts w:ascii="Times New Roman" w:eastAsia="Times New Roman" w:hAnsi="Times New Roman" w:cs="Times New Roman"/>
                <w:color w:val="000000"/>
                <w:sz w:val="15"/>
                <w:szCs w:val="15"/>
                <w:lang w:eastAsia="en-GB"/>
              </w:rPr>
              <w:t>0.60, 1.34</w:t>
            </w:r>
          </w:p>
        </w:tc>
        <w:tc>
          <w:tcPr>
            <w:tcW w:w="488" w:type="pct"/>
            <w:tcBorders>
              <w:top w:val="nil"/>
              <w:left w:val="nil"/>
              <w:bottom w:val="nil"/>
              <w:right w:val="nil"/>
            </w:tcBorders>
            <w:shd w:val="clear" w:color="auto" w:fill="auto"/>
            <w:noWrap/>
            <w:vAlign w:val="bottom"/>
            <w:hideMark/>
          </w:tcPr>
          <w:p w14:paraId="69F84CFD" w14:textId="77777777" w:rsidR="00237C04" w:rsidRPr="006527E3" w:rsidRDefault="00237C04" w:rsidP="00874C0D">
            <w:pPr>
              <w:spacing w:after="0" w:line="240" w:lineRule="auto"/>
              <w:jc w:val="center"/>
              <w:rPr>
                <w:rFonts w:ascii="Times New Roman" w:eastAsia="Times New Roman" w:hAnsi="Times New Roman" w:cs="Times New Roman"/>
                <w:color w:val="000000"/>
                <w:sz w:val="15"/>
                <w:szCs w:val="15"/>
                <w:lang w:eastAsia="en-GB"/>
              </w:rPr>
            </w:pPr>
            <w:r w:rsidRPr="006527E3">
              <w:rPr>
                <w:rFonts w:ascii="Times New Roman" w:eastAsia="Times New Roman" w:hAnsi="Times New Roman" w:cs="Times New Roman"/>
                <w:color w:val="000000"/>
                <w:sz w:val="15"/>
                <w:szCs w:val="15"/>
                <w:lang w:eastAsia="en-GB"/>
              </w:rPr>
              <w:t>0.59</w:t>
            </w:r>
          </w:p>
        </w:tc>
        <w:tc>
          <w:tcPr>
            <w:tcW w:w="487" w:type="pct"/>
            <w:tcBorders>
              <w:top w:val="nil"/>
              <w:left w:val="single" w:sz="4" w:space="0" w:color="auto"/>
              <w:bottom w:val="nil"/>
              <w:right w:val="nil"/>
            </w:tcBorders>
            <w:shd w:val="clear" w:color="auto" w:fill="auto"/>
            <w:noWrap/>
            <w:vAlign w:val="bottom"/>
            <w:hideMark/>
          </w:tcPr>
          <w:p w14:paraId="75AE6D88" w14:textId="77777777" w:rsidR="00237C04" w:rsidRPr="006527E3" w:rsidRDefault="00237C04" w:rsidP="00874C0D">
            <w:pPr>
              <w:spacing w:after="0" w:line="240" w:lineRule="auto"/>
              <w:jc w:val="center"/>
              <w:rPr>
                <w:rFonts w:ascii="Times New Roman" w:eastAsia="Times New Roman" w:hAnsi="Times New Roman" w:cs="Times New Roman"/>
                <w:color w:val="000000"/>
                <w:sz w:val="15"/>
                <w:szCs w:val="15"/>
                <w:lang w:eastAsia="en-GB"/>
              </w:rPr>
            </w:pPr>
            <w:r w:rsidRPr="006527E3">
              <w:rPr>
                <w:rFonts w:ascii="Times New Roman" w:eastAsia="Times New Roman" w:hAnsi="Times New Roman" w:cs="Times New Roman"/>
                <w:color w:val="000000"/>
                <w:sz w:val="15"/>
                <w:szCs w:val="15"/>
                <w:lang w:eastAsia="en-GB"/>
              </w:rPr>
              <w:t>0.92</w:t>
            </w:r>
          </w:p>
        </w:tc>
        <w:tc>
          <w:tcPr>
            <w:tcW w:w="487" w:type="pct"/>
            <w:tcBorders>
              <w:top w:val="nil"/>
              <w:left w:val="nil"/>
              <w:bottom w:val="nil"/>
              <w:right w:val="nil"/>
            </w:tcBorders>
            <w:shd w:val="clear" w:color="auto" w:fill="auto"/>
            <w:noWrap/>
            <w:vAlign w:val="bottom"/>
            <w:hideMark/>
          </w:tcPr>
          <w:p w14:paraId="3FAD02A0" w14:textId="77777777" w:rsidR="00237C04" w:rsidRPr="006527E3" w:rsidRDefault="00237C04" w:rsidP="00874C0D">
            <w:pPr>
              <w:spacing w:after="0" w:line="240" w:lineRule="auto"/>
              <w:jc w:val="center"/>
              <w:rPr>
                <w:rFonts w:ascii="Times New Roman" w:eastAsia="Times New Roman" w:hAnsi="Times New Roman" w:cs="Times New Roman"/>
                <w:color w:val="000000"/>
                <w:sz w:val="15"/>
                <w:szCs w:val="15"/>
                <w:lang w:eastAsia="en-GB"/>
              </w:rPr>
            </w:pPr>
            <w:r w:rsidRPr="006527E3">
              <w:rPr>
                <w:rFonts w:ascii="Times New Roman" w:eastAsia="Times New Roman" w:hAnsi="Times New Roman" w:cs="Times New Roman"/>
                <w:color w:val="000000"/>
                <w:sz w:val="15"/>
                <w:szCs w:val="15"/>
                <w:lang w:eastAsia="en-GB"/>
              </w:rPr>
              <w:t>0.61, 1.36</w:t>
            </w:r>
          </w:p>
        </w:tc>
        <w:tc>
          <w:tcPr>
            <w:tcW w:w="484" w:type="pct"/>
            <w:tcBorders>
              <w:top w:val="nil"/>
              <w:left w:val="nil"/>
              <w:bottom w:val="nil"/>
              <w:right w:val="nil"/>
            </w:tcBorders>
            <w:shd w:val="clear" w:color="auto" w:fill="auto"/>
            <w:noWrap/>
            <w:vAlign w:val="bottom"/>
            <w:hideMark/>
          </w:tcPr>
          <w:p w14:paraId="6B4A96A7" w14:textId="77777777" w:rsidR="00237C04" w:rsidRPr="006527E3" w:rsidRDefault="00237C04" w:rsidP="00874C0D">
            <w:pPr>
              <w:spacing w:after="0" w:line="240" w:lineRule="auto"/>
              <w:jc w:val="center"/>
              <w:rPr>
                <w:rFonts w:ascii="Times New Roman" w:eastAsia="Times New Roman" w:hAnsi="Times New Roman" w:cs="Times New Roman"/>
                <w:color w:val="000000"/>
                <w:sz w:val="15"/>
                <w:szCs w:val="15"/>
                <w:lang w:eastAsia="en-GB"/>
              </w:rPr>
            </w:pPr>
            <w:r w:rsidRPr="006527E3">
              <w:rPr>
                <w:rFonts w:ascii="Times New Roman" w:eastAsia="Times New Roman" w:hAnsi="Times New Roman" w:cs="Times New Roman"/>
                <w:color w:val="000000"/>
                <w:sz w:val="15"/>
                <w:szCs w:val="15"/>
                <w:lang w:eastAsia="en-GB"/>
              </w:rPr>
              <w:t>0.67</w:t>
            </w:r>
          </w:p>
        </w:tc>
      </w:tr>
      <w:tr w:rsidR="00237C04" w:rsidRPr="006527E3" w14:paraId="1593296B" w14:textId="77777777" w:rsidTr="008A295F">
        <w:trPr>
          <w:trHeight w:val="300"/>
        </w:trPr>
        <w:tc>
          <w:tcPr>
            <w:tcW w:w="617" w:type="pct"/>
            <w:tcBorders>
              <w:top w:val="nil"/>
              <w:left w:val="nil"/>
              <w:bottom w:val="nil"/>
              <w:right w:val="nil"/>
            </w:tcBorders>
            <w:shd w:val="clear" w:color="auto" w:fill="auto"/>
            <w:noWrap/>
            <w:vAlign w:val="bottom"/>
            <w:hideMark/>
          </w:tcPr>
          <w:p w14:paraId="545E5A46" w14:textId="77777777" w:rsidR="00237C04" w:rsidRPr="006527E3" w:rsidRDefault="00237C04" w:rsidP="00874C0D">
            <w:pPr>
              <w:spacing w:after="0" w:line="240" w:lineRule="auto"/>
              <w:rPr>
                <w:rFonts w:ascii="Times New Roman" w:eastAsia="Times New Roman" w:hAnsi="Times New Roman" w:cs="Times New Roman"/>
                <w:color w:val="000000"/>
                <w:sz w:val="15"/>
                <w:szCs w:val="15"/>
                <w:lang w:eastAsia="en-GB"/>
              </w:rPr>
            </w:pPr>
            <w:r w:rsidRPr="006527E3">
              <w:rPr>
                <w:rFonts w:ascii="Times New Roman" w:eastAsia="Times New Roman" w:hAnsi="Times New Roman" w:cs="Times New Roman"/>
                <w:color w:val="000000"/>
                <w:sz w:val="15"/>
                <w:szCs w:val="15"/>
                <w:lang w:eastAsia="en-GB"/>
              </w:rPr>
              <w:t>BMC</w:t>
            </w:r>
          </w:p>
        </w:tc>
        <w:tc>
          <w:tcPr>
            <w:tcW w:w="487" w:type="pct"/>
            <w:tcBorders>
              <w:top w:val="nil"/>
              <w:left w:val="single" w:sz="4" w:space="0" w:color="auto"/>
              <w:bottom w:val="nil"/>
              <w:right w:val="nil"/>
            </w:tcBorders>
            <w:shd w:val="clear" w:color="auto" w:fill="auto"/>
            <w:noWrap/>
            <w:vAlign w:val="bottom"/>
            <w:hideMark/>
          </w:tcPr>
          <w:p w14:paraId="42BA10B0" w14:textId="77777777" w:rsidR="00237C04" w:rsidRPr="006527E3" w:rsidRDefault="00237C04" w:rsidP="00874C0D">
            <w:pPr>
              <w:spacing w:after="0" w:line="240" w:lineRule="auto"/>
              <w:jc w:val="center"/>
              <w:rPr>
                <w:rFonts w:ascii="Times New Roman" w:eastAsia="Times New Roman" w:hAnsi="Times New Roman" w:cs="Times New Roman"/>
                <w:color w:val="000000"/>
                <w:sz w:val="15"/>
                <w:szCs w:val="15"/>
                <w:lang w:eastAsia="en-GB"/>
              </w:rPr>
            </w:pPr>
            <w:r w:rsidRPr="006527E3">
              <w:rPr>
                <w:rFonts w:ascii="Times New Roman" w:eastAsia="Times New Roman" w:hAnsi="Times New Roman" w:cs="Times New Roman"/>
                <w:color w:val="000000"/>
                <w:sz w:val="15"/>
                <w:szCs w:val="15"/>
                <w:lang w:eastAsia="en-GB"/>
              </w:rPr>
              <w:t>2.2</w:t>
            </w:r>
          </w:p>
        </w:tc>
        <w:tc>
          <w:tcPr>
            <w:tcW w:w="487" w:type="pct"/>
            <w:tcBorders>
              <w:top w:val="nil"/>
              <w:left w:val="nil"/>
              <w:bottom w:val="nil"/>
              <w:right w:val="nil"/>
            </w:tcBorders>
            <w:shd w:val="clear" w:color="auto" w:fill="auto"/>
            <w:noWrap/>
            <w:vAlign w:val="bottom"/>
            <w:hideMark/>
          </w:tcPr>
          <w:p w14:paraId="771F00EF" w14:textId="77777777" w:rsidR="00237C04" w:rsidRPr="006527E3" w:rsidRDefault="00237C04" w:rsidP="00874C0D">
            <w:pPr>
              <w:spacing w:after="0" w:line="240" w:lineRule="auto"/>
              <w:jc w:val="center"/>
              <w:rPr>
                <w:rFonts w:ascii="Times New Roman" w:eastAsia="Times New Roman" w:hAnsi="Times New Roman" w:cs="Times New Roman"/>
                <w:color w:val="000000"/>
                <w:sz w:val="15"/>
                <w:szCs w:val="15"/>
                <w:lang w:eastAsia="en-GB"/>
              </w:rPr>
            </w:pPr>
            <w:r w:rsidRPr="006527E3">
              <w:rPr>
                <w:rFonts w:ascii="Times New Roman" w:eastAsia="Times New Roman" w:hAnsi="Times New Roman" w:cs="Times New Roman"/>
                <w:color w:val="000000"/>
                <w:sz w:val="15"/>
                <w:szCs w:val="15"/>
                <w:lang w:eastAsia="en-GB"/>
              </w:rPr>
              <w:t>1.47, 3.28</w:t>
            </w:r>
          </w:p>
        </w:tc>
        <w:tc>
          <w:tcPr>
            <w:tcW w:w="488" w:type="pct"/>
            <w:tcBorders>
              <w:top w:val="nil"/>
              <w:left w:val="nil"/>
              <w:bottom w:val="nil"/>
              <w:right w:val="nil"/>
            </w:tcBorders>
            <w:shd w:val="clear" w:color="auto" w:fill="auto"/>
            <w:noWrap/>
            <w:vAlign w:val="bottom"/>
            <w:hideMark/>
          </w:tcPr>
          <w:p w14:paraId="7B73B839" w14:textId="77777777" w:rsidR="00237C04" w:rsidRPr="006527E3" w:rsidRDefault="00237C04" w:rsidP="00874C0D">
            <w:pPr>
              <w:spacing w:after="0" w:line="240" w:lineRule="auto"/>
              <w:jc w:val="center"/>
              <w:rPr>
                <w:rFonts w:ascii="Times New Roman" w:eastAsia="Times New Roman" w:hAnsi="Times New Roman" w:cs="Times New Roman"/>
                <w:color w:val="000000"/>
                <w:sz w:val="15"/>
                <w:szCs w:val="15"/>
                <w:lang w:eastAsia="en-GB"/>
              </w:rPr>
            </w:pPr>
            <w:r w:rsidRPr="006527E3">
              <w:rPr>
                <w:rFonts w:ascii="Times New Roman" w:eastAsia="Times New Roman" w:hAnsi="Times New Roman" w:cs="Times New Roman"/>
                <w:color w:val="000000"/>
                <w:sz w:val="15"/>
                <w:szCs w:val="15"/>
                <w:lang w:eastAsia="en-GB"/>
              </w:rPr>
              <w:t>&lt;0.001</w:t>
            </w:r>
          </w:p>
        </w:tc>
        <w:tc>
          <w:tcPr>
            <w:tcW w:w="487" w:type="pct"/>
            <w:tcBorders>
              <w:top w:val="nil"/>
              <w:left w:val="single" w:sz="4" w:space="0" w:color="auto"/>
              <w:bottom w:val="nil"/>
              <w:right w:val="nil"/>
            </w:tcBorders>
            <w:shd w:val="clear" w:color="auto" w:fill="auto"/>
            <w:noWrap/>
            <w:vAlign w:val="bottom"/>
            <w:hideMark/>
          </w:tcPr>
          <w:p w14:paraId="216F5606" w14:textId="77777777" w:rsidR="00237C04" w:rsidRPr="006527E3" w:rsidRDefault="00237C04" w:rsidP="00874C0D">
            <w:pPr>
              <w:spacing w:after="0" w:line="240" w:lineRule="auto"/>
              <w:jc w:val="center"/>
              <w:rPr>
                <w:rFonts w:ascii="Times New Roman" w:eastAsia="Times New Roman" w:hAnsi="Times New Roman" w:cs="Times New Roman"/>
                <w:color w:val="000000"/>
                <w:sz w:val="15"/>
                <w:szCs w:val="15"/>
                <w:lang w:eastAsia="en-GB"/>
              </w:rPr>
            </w:pPr>
            <w:r w:rsidRPr="006527E3">
              <w:rPr>
                <w:rFonts w:ascii="Times New Roman" w:eastAsia="Times New Roman" w:hAnsi="Times New Roman" w:cs="Times New Roman"/>
                <w:color w:val="000000"/>
                <w:sz w:val="15"/>
                <w:szCs w:val="15"/>
                <w:lang w:eastAsia="en-GB"/>
              </w:rPr>
              <w:t>1.9</w:t>
            </w:r>
          </w:p>
        </w:tc>
        <w:tc>
          <w:tcPr>
            <w:tcW w:w="487" w:type="pct"/>
            <w:tcBorders>
              <w:top w:val="nil"/>
              <w:left w:val="nil"/>
              <w:bottom w:val="nil"/>
              <w:right w:val="nil"/>
            </w:tcBorders>
            <w:shd w:val="clear" w:color="auto" w:fill="auto"/>
            <w:noWrap/>
            <w:vAlign w:val="bottom"/>
            <w:hideMark/>
          </w:tcPr>
          <w:p w14:paraId="4743ECA3" w14:textId="77777777" w:rsidR="00237C04" w:rsidRPr="006527E3" w:rsidRDefault="00237C04" w:rsidP="00874C0D">
            <w:pPr>
              <w:spacing w:after="0" w:line="240" w:lineRule="auto"/>
              <w:jc w:val="center"/>
              <w:rPr>
                <w:rFonts w:ascii="Times New Roman" w:eastAsia="Times New Roman" w:hAnsi="Times New Roman" w:cs="Times New Roman"/>
                <w:color w:val="000000"/>
                <w:sz w:val="15"/>
                <w:szCs w:val="15"/>
                <w:lang w:eastAsia="en-GB"/>
              </w:rPr>
            </w:pPr>
            <w:r w:rsidRPr="006527E3">
              <w:rPr>
                <w:rFonts w:ascii="Times New Roman" w:eastAsia="Times New Roman" w:hAnsi="Times New Roman" w:cs="Times New Roman"/>
                <w:color w:val="000000"/>
                <w:sz w:val="15"/>
                <w:szCs w:val="15"/>
                <w:lang w:eastAsia="en-GB"/>
              </w:rPr>
              <w:t>1.21, 2.99</w:t>
            </w:r>
          </w:p>
        </w:tc>
        <w:tc>
          <w:tcPr>
            <w:tcW w:w="488" w:type="pct"/>
            <w:tcBorders>
              <w:top w:val="nil"/>
              <w:left w:val="nil"/>
              <w:bottom w:val="nil"/>
              <w:right w:val="nil"/>
            </w:tcBorders>
            <w:shd w:val="clear" w:color="auto" w:fill="auto"/>
            <w:noWrap/>
            <w:vAlign w:val="bottom"/>
            <w:hideMark/>
          </w:tcPr>
          <w:p w14:paraId="13D9F57F" w14:textId="77777777" w:rsidR="00237C04" w:rsidRPr="006527E3" w:rsidRDefault="00237C04" w:rsidP="00874C0D">
            <w:pPr>
              <w:spacing w:after="0" w:line="240" w:lineRule="auto"/>
              <w:jc w:val="center"/>
              <w:rPr>
                <w:rFonts w:ascii="Times New Roman" w:eastAsia="Times New Roman" w:hAnsi="Times New Roman" w:cs="Times New Roman"/>
                <w:color w:val="000000"/>
                <w:sz w:val="15"/>
                <w:szCs w:val="15"/>
                <w:lang w:eastAsia="en-GB"/>
              </w:rPr>
            </w:pPr>
            <w:r w:rsidRPr="006527E3">
              <w:rPr>
                <w:rFonts w:ascii="Times New Roman" w:eastAsia="Times New Roman" w:hAnsi="Times New Roman" w:cs="Times New Roman"/>
                <w:color w:val="000000"/>
                <w:sz w:val="15"/>
                <w:szCs w:val="15"/>
                <w:lang w:eastAsia="en-GB"/>
              </w:rPr>
              <w:t>0.006</w:t>
            </w:r>
          </w:p>
        </w:tc>
        <w:tc>
          <w:tcPr>
            <w:tcW w:w="487" w:type="pct"/>
            <w:tcBorders>
              <w:top w:val="nil"/>
              <w:left w:val="single" w:sz="4" w:space="0" w:color="auto"/>
              <w:bottom w:val="nil"/>
              <w:right w:val="nil"/>
            </w:tcBorders>
            <w:shd w:val="clear" w:color="auto" w:fill="auto"/>
            <w:noWrap/>
            <w:vAlign w:val="bottom"/>
            <w:hideMark/>
          </w:tcPr>
          <w:p w14:paraId="2BABB92B" w14:textId="77777777" w:rsidR="00237C04" w:rsidRPr="006527E3" w:rsidRDefault="00237C04" w:rsidP="00874C0D">
            <w:pPr>
              <w:spacing w:after="0" w:line="240" w:lineRule="auto"/>
              <w:jc w:val="center"/>
              <w:rPr>
                <w:rFonts w:ascii="Times New Roman" w:eastAsia="Times New Roman" w:hAnsi="Times New Roman" w:cs="Times New Roman"/>
                <w:color w:val="000000"/>
                <w:sz w:val="15"/>
                <w:szCs w:val="15"/>
                <w:lang w:eastAsia="en-GB"/>
              </w:rPr>
            </w:pPr>
            <w:r w:rsidRPr="006527E3">
              <w:rPr>
                <w:rFonts w:ascii="Times New Roman" w:eastAsia="Times New Roman" w:hAnsi="Times New Roman" w:cs="Times New Roman"/>
                <w:color w:val="000000"/>
                <w:sz w:val="15"/>
                <w:szCs w:val="15"/>
                <w:lang w:eastAsia="en-GB"/>
              </w:rPr>
              <w:t>1.94</w:t>
            </w:r>
          </w:p>
        </w:tc>
        <w:tc>
          <w:tcPr>
            <w:tcW w:w="487" w:type="pct"/>
            <w:tcBorders>
              <w:top w:val="nil"/>
              <w:left w:val="nil"/>
              <w:bottom w:val="nil"/>
              <w:right w:val="nil"/>
            </w:tcBorders>
            <w:shd w:val="clear" w:color="auto" w:fill="auto"/>
            <w:noWrap/>
            <w:vAlign w:val="bottom"/>
            <w:hideMark/>
          </w:tcPr>
          <w:p w14:paraId="75EB6AA7" w14:textId="77777777" w:rsidR="00237C04" w:rsidRPr="006527E3" w:rsidRDefault="00237C04" w:rsidP="00874C0D">
            <w:pPr>
              <w:spacing w:after="0" w:line="240" w:lineRule="auto"/>
              <w:jc w:val="center"/>
              <w:rPr>
                <w:rFonts w:ascii="Times New Roman" w:eastAsia="Times New Roman" w:hAnsi="Times New Roman" w:cs="Times New Roman"/>
                <w:color w:val="000000"/>
                <w:sz w:val="15"/>
                <w:szCs w:val="15"/>
                <w:lang w:eastAsia="en-GB"/>
              </w:rPr>
            </w:pPr>
            <w:r w:rsidRPr="006527E3">
              <w:rPr>
                <w:rFonts w:ascii="Times New Roman" w:eastAsia="Times New Roman" w:hAnsi="Times New Roman" w:cs="Times New Roman"/>
                <w:color w:val="000000"/>
                <w:sz w:val="15"/>
                <w:szCs w:val="15"/>
                <w:lang w:eastAsia="en-GB"/>
              </w:rPr>
              <w:t>1.22, 3.09</w:t>
            </w:r>
          </w:p>
        </w:tc>
        <w:tc>
          <w:tcPr>
            <w:tcW w:w="484" w:type="pct"/>
            <w:tcBorders>
              <w:top w:val="nil"/>
              <w:left w:val="nil"/>
              <w:bottom w:val="nil"/>
              <w:right w:val="nil"/>
            </w:tcBorders>
            <w:shd w:val="clear" w:color="auto" w:fill="auto"/>
            <w:noWrap/>
            <w:vAlign w:val="bottom"/>
            <w:hideMark/>
          </w:tcPr>
          <w:p w14:paraId="6367862C" w14:textId="77777777" w:rsidR="00237C04" w:rsidRPr="006527E3" w:rsidRDefault="00237C04" w:rsidP="00874C0D">
            <w:pPr>
              <w:spacing w:after="0" w:line="240" w:lineRule="auto"/>
              <w:jc w:val="center"/>
              <w:rPr>
                <w:rFonts w:ascii="Times New Roman" w:eastAsia="Times New Roman" w:hAnsi="Times New Roman" w:cs="Times New Roman"/>
                <w:color w:val="000000"/>
                <w:sz w:val="15"/>
                <w:szCs w:val="15"/>
                <w:lang w:eastAsia="en-GB"/>
              </w:rPr>
            </w:pPr>
            <w:r w:rsidRPr="006527E3">
              <w:rPr>
                <w:rFonts w:ascii="Times New Roman" w:eastAsia="Times New Roman" w:hAnsi="Times New Roman" w:cs="Times New Roman"/>
                <w:color w:val="000000"/>
                <w:sz w:val="15"/>
                <w:szCs w:val="15"/>
                <w:lang w:eastAsia="en-GB"/>
              </w:rPr>
              <w:t>0.005</w:t>
            </w:r>
          </w:p>
        </w:tc>
      </w:tr>
      <w:tr w:rsidR="00237C04" w:rsidRPr="006527E3" w14:paraId="3C179185" w14:textId="77777777" w:rsidTr="008A295F">
        <w:trPr>
          <w:trHeight w:val="300"/>
        </w:trPr>
        <w:tc>
          <w:tcPr>
            <w:tcW w:w="617" w:type="pct"/>
            <w:tcBorders>
              <w:top w:val="nil"/>
              <w:left w:val="nil"/>
              <w:bottom w:val="nil"/>
              <w:right w:val="nil"/>
            </w:tcBorders>
            <w:shd w:val="clear" w:color="auto" w:fill="auto"/>
            <w:noWrap/>
            <w:vAlign w:val="bottom"/>
            <w:hideMark/>
          </w:tcPr>
          <w:p w14:paraId="49A8A2C5" w14:textId="77777777" w:rsidR="00237C04" w:rsidRPr="006527E3" w:rsidRDefault="00237C04" w:rsidP="00874C0D">
            <w:pPr>
              <w:spacing w:after="0" w:line="240" w:lineRule="auto"/>
              <w:rPr>
                <w:rFonts w:ascii="Times New Roman" w:eastAsia="Times New Roman" w:hAnsi="Times New Roman" w:cs="Times New Roman"/>
                <w:color w:val="000000"/>
                <w:sz w:val="15"/>
                <w:szCs w:val="15"/>
                <w:lang w:eastAsia="en-GB"/>
              </w:rPr>
            </w:pPr>
            <w:r w:rsidRPr="006527E3">
              <w:rPr>
                <w:rFonts w:ascii="Times New Roman" w:eastAsia="Times New Roman" w:hAnsi="Times New Roman" w:cs="Times New Roman"/>
                <w:color w:val="000000"/>
                <w:sz w:val="15"/>
                <w:szCs w:val="15"/>
                <w:lang w:eastAsia="en-GB"/>
              </w:rPr>
              <w:t>BMD</w:t>
            </w:r>
          </w:p>
        </w:tc>
        <w:tc>
          <w:tcPr>
            <w:tcW w:w="487" w:type="pct"/>
            <w:tcBorders>
              <w:top w:val="nil"/>
              <w:left w:val="single" w:sz="4" w:space="0" w:color="auto"/>
              <w:bottom w:val="nil"/>
              <w:right w:val="nil"/>
            </w:tcBorders>
            <w:shd w:val="clear" w:color="auto" w:fill="auto"/>
            <w:noWrap/>
            <w:vAlign w:val="bottom"/>
            <w:hideMark/>
          </w:tcPr>
          <w:p w14:paraId="6579428B" w14:textId="77777777" w:rsidR="00237C04" w:rsidRPr="006527E3" w:rsidRDefault="00237C04" w:rsidP="00874C0D">
            <w:pPr>
              <w:spacing w:after="0" w:line="240" w:lineRule="auto"/>
              <w:jc w:val="center"/>
              <w:rPr>
                <w:rFonts w:ascii="Times New Roman" w:eastAsia="Times New Roman" w:hAnsi="Times New Roman" w:cs="Times New Roman"/>
                <w:color w:val="000000"/>
                <w:sz w:val="15"/>
                <w:szCs w:val="15"/>
                <w:lang w:eastAsia="en-GB"/>
              </w:rPr>
            </w:pPr>
            <w:r w:rsidRPr="006527E3">
              <w:rPr>
                <w:rFonts w:ascii="Times New Roman" w:eastAsia="Times New Roman" w:hAnsi="Times New Roman" w:cs="Times New Roman"/>
                <w:color w:val="000000"/>
                <w:sz w:val="15"/>
                <w:szCs w:val="15"/>
                <w:lang w:eastAsia="en-GB"/>
              </w:rPr>
              <w:t>3.32</w:t>
            </w:r>
          </w:p>
        </w:tc>
        <w:tc>
          <w:tcPr>
            <w:tcW w:w="487" w:type="pct"/>
            <w:tcBorders>
              <w:top w:val="nil"/>
              <w:left w:val="nil"/>
              <w:bottom w:val="nil"/>
              <w:right w:val="nil"/>
            </w:tcBorders>
            <w:shd w:val="clear" w:color="auto" w:fill="auto"/>
            <w:noWrap/>
            <w:vAlign w:val="bottom"/>
            <w:hideMark/>
          </w:tcPr>
          <w:p w14:paraId="77FACCAC" w14:textId="77777777" w:rsidR="00237C04" w:rsidRPr="006527E3" w:rsidRDefault="00237C04" w:rsidP="00874C0D">
            <w:pPr>
              <w:spacing w:after="0" w:line="240" w:lineRule="auto"/>
              <w:jc w:val="center"/>
              <w:rPr>
                <w:rFonts w:ascii="Times New Roman" w:eastAsia="Times New Roman" w:hAnsi="Times New Roman" w:cs="Times New Roman"/>
                <w:color w:val="000000"/>
                <w:sz w:val="15"/>
                <w:szCs w:val="15"/>
                <w:lang w:eastAsia="en-GB"/>
              </w:rPr>
            </w:pPr>
            <w:r w:rsidRPr="006527E3">
              <w:rPr>
                <w:rFonts w:ascii="Times New Roman" w:eastAsia="Times New Roman" w:hAnsi="Times New Roman" w:cs="Times New Roman"/>
                <w:color w:val="000000"/>
                <w:sz w:val="15"/>
                <w:szCs w:val="15"/>
                <w:lang w:eastAsia="en-GB"/>
              </w:rPr>
              <w:t>2.05, 5.38</w:t>
            </w:r>
          </w:p>
        </w:tc>
        <w:tc>
          <w:tcPr>
            <w:tcW w:w="488" w:type="pct"/>
            <w:tcBorders>
              <w:top w:val="nil"/>
              <w:left w:val="nil"/>
              <w:bottom w:val="nil"/>
              <w:right w:val="nil"/>
            </w:tcBorders>
            <w:shd w:val="clear" w:color="auto" w:fill="auto"/>
            <w:noWrap/>
            <w:vAlign w:val="bottom"/>
            <w:hideMark/>
          </w:tcPr>
          <w:p w14:paraId="6B8ADE30" w14:textId="77777777" w:rsidR="00237C04" w:rsidRPr="006527E3" w:rsidRDefault="00237C04" w:rsidP="00874C0D">
            <w:pPr>
              <w:spacing w:after="0" w:line="240" w:lineRule="auto"/>
              <w:jc w:val="center"/>
              <w:rPr>
                <w:rFonts w:ascii="Times New Roman" w:eastAsia="Times New Roman" w:hAnsi="Times New Roman" w:cs="Times New Roman"/>
                <w:color w:val="000000"/>
                <w:sz w:val="15"/>
                <w:szCs w:val="15"/>
                <w:lang w:eastAsia="en-GB"/>
              </w:rPr>
            </w:pPr>
            <w:r w:rsidRPr="006527E3">
              <w:rPr>
                <w:rFonts w:ascii="Times New Roman" w:eastAsia="Times New Roman" w:hAnsi="Times New Roman" w:cs="Times New Roman"/>
                <w:color w:val="000000"/>
                <w:sz w:val="15"/>
                <w:szCs w:val="15"/>
                <w:lang w:eastAsia="en-GB"/>
              </w:rPr>
              <w:t>&lt;0.001</w:t>
            </w:r>
          </w:p>
        </w:tc>
        <w:tc>
          <w:tcPr>
            <w:tcW w:w="487" w:type="pct"/>
            <w:tcBorders>
              <w:top w:val="nil"/>
              <w:left w:val="single" w:sz="4" w:space="0" w:color="auto"/>
              <w:bottom w:val="nil"/>
              <w:right w:val="nil"/>
            </w:tcBorders>
            <w:shd w:val="clear" w:color="auto" w:fill="auto"/>
            <w:noWrap/>
            <w:vAlign w:val="bottom"/>
            <w:hideMark/>
          </w:tcPr>
          <w:p w14:paraId="497AD372" w14:textId="77777777" w:rsidR="00237C04" w:rsidRPr="006527E3" w:rsidRDefault="00237C04" w:rsidP="00874C0D">
            <w:pPr>
              <w:spacing w:after="0" w:line="240" w:lineRule="auto"/>
              <w:jc w:val="center"/>
              <w:rPr>
                <w:rFonts w:ascii="Times New Roman" w:eastAsia="Times New Roman" w:hAnsi="Times New Roman" w:cs="Times New Roman"/>
                <w:color w:val="000000"/>
                <w:sz w:val="15"/>
                <w:szCs w:val="15"/>
                <w:lang w:eastAsia="en-GB"/>
              </w:rPr>
            </w:pPr>
            <w:r w:rsidRPr="006527E3">
              <w:rPr>
                <w:rFonts w:ascii="Times New Roman" w:eastAsia="Times New Roman" w:hAnsi="Times New Roman" w:cs="Times New Roman"/>
                <w:color w:val="000000"/>
                <w:sz w:val="15"/>
                <w:szCs w:val="15"/>
                <w:lang w:eastAsia="en-GB"/>
              </w:rPr>
              <w:t>3.16</w:t>
            </w:r>
          </w:p>
        </w:tc>
        <w:tc>
          <w:tcPr>
            <w:tcW w:w="487" w:type="pct"/>
            <w:tcBorders>
              <w:top w:val="nil"/>
              <w:left w:val="nil"/>
              <w:bottom w:val="nil"/>
              <w:right w:val="nil"/>
            </w:tcBorders>
            <w:shd w:val="clear" w:color="auto" w:fill="auto"/>
            <w:noWrap/>
            <w:vAlign w:val="bottom"/>
            <w:hideMark/>
          </w:tcPr>
          <w:p w14:paraId="080E8792" w14:textId="77777777" w:rsidR="00237C04" w:rsidRPr="006527E3" w:rsidRDefault="00237C04" w:rsidP="00874C0D">
            <w:pPr>
              <w:spacing w:after="0" w:line="240" w:lineRule="auto"/>
              <w:jc w:val="center"/>
              <w:rPr>
                <w:rFonts w:ascii="Times New Roman" w:eastAsia="Times New Roman" w:hAnsi="Times New Roman" w:cs="Times New Roman"/>
                <w:color w:val="000000"/>
                <w:sz w:val="15"/>
                <w:szCs w:val="15"/>
                <w:lang w:eastAsia="en-GB"/>
              </w:rPr>
            </w:pPr>
            <w:r w:rsidRPr="006527E3">
              <w:rPr>
                <w:rFonts w:ascii="Times New Roman" w:eastAsia="Times New Roman" w:hAnsi="Times New Roman" w:cs="Times New Roman"/>
                <w:color w:val="000000"/>
                <w:sz w:val="15"/>
                <w:szCs w:val="15"/>
                <w:lang w:eastAsia="en-GB"/>
              </w:rPr>
              <w:t>1.76, 5.66</w:t>
            </w:r>
          </w:p>
        </w:tc>
        <w:tc>
          <w:tcPr>
            <w:tcW w:w="488" w:type="pct"/>
            <w:tcBorders>
              <w:top w:val="nil"/>
              <w:left w:val="nil"/>
              <w:bottom w:val="nil"/>
              <w:right w:val="nil"/>
            </w:tcBorders>
            <w:shd w:val="clear" w:color="auto" w:fill="auto"/>
            <w:noWrap/>
            <w:vAlign w:val="bottom"/>
            <w:hideMark/>
          </w:tcPr>
          <w:p w14:paraId="3073A6A2" w14:textId="77777777" w:rsidR="00237C04" w:rsidRPr="006527E3" w:rsidRDefault="00237C04" w:rsidP="00874C0D">
            <w:pPr>
              <w:spacing w:after="0" w:line="240" w:lineRule="auto"/>
              <w:jc w:val="center"/>
              <w:rPr>
                <w:rFonts w:ascii="Times New Roman" w:eastAsia="Times New Roman" w:hAnsi="Times New Roman" w:cs="Times New Roman"/>
                <w:color w:val="000000"/>
                <w:sz w:val="15"/>
                <w:szCs w:val="15"/>
                <w:lang w:eastAsia="en-GB"/>
              </w:rPr>
            </w:pPr>
            <w:r w:rsidRPr="006527E3">
              <w:rPr>
                <w:rFonts w:ascii="Times New Roman" w:eastAsia="Times New Roman" w:hAnsi="Times New Roman" w:cs="Times New Roman"/>
                <w:color w:val="000000"/>
                <w:sz w:val="15"/>
                <w:szCs w:val="15"/>
                <w:lang w:eastAsia="en-GB"/>
              </w:rPr>
              <w:t>&lt;0.001</w:t>
            </w:r>
          </w:p>
        </w:tc>
        <w:tc>
          <w:tcPr>
            <w:tcW w:w="487" w:type="pct"/>
            <w:tcBorders>
              <w:top w:val="nil"/>
              <w:left w:val="single" w:sz="4" w:space="0" w:color="auto"/>
              <w:bottom w:val="nil"/>
              <w:right w:val="nil"/>
            </w:tcBorders>
            <w:shd w:val="clear" w:color="auto" w:fill="auto"/>
            <w:noWrap/>
            <w:vAlign w:val="bottom"/>
            <w:hideMark/>
          </w:tcPr>
          <w:p w14:paraId="5FCC7056" w14:textId="77777777" w:rsidR="00237C04" w:rsidRPr="006527E3" w:rsidRDefault="00237C04" w:rsidP="00874C0D">
            <w:pPr>
              <w:spacing w:after="0" w:line="240" w:lineRule="auto"/>
              <w:jc w:val="center"/>
              <w:rPr>
                <w:rFonts w:ascii="Times New Roman" w:eastAsia="Times New Roman" w:hAnsi="Times New Roman" w:cs="Times New Roman"/>
                <w:color w:val="000000"/>
                <w:sz w:val="15"/>
                <w:szCs w:val="15"/>
                <w:lang w:eastAsia="en-GB"/>
              </w:rPr>
            </w:pPr>
            <w:r w:rsidRPr="006527E3">
              <w:rPr>
                <w:rFonts w:ascii="Times New Roman" w:eastAsia="Times New Roman" w:hAnsi="Times New Roman" w:cs="Times New Roman"/>
                <w:color w:val="000000"/>
                <w:sz w:val="15"/>
                <w:szCs w:val="15"/>
                <w:lang w:eastAsia="en-GB"/>
              </w:rPr>
              <w:t>3.34</w:t>
            </w:r>
          </w:p>
        </w:tc>
        <w:tc>
          <w:tcPr>
            <w:tcW w:w="487" w:type="pct"/>
            <w:tcBorders>
              <w:top w:val="nil"/>
              <w:left w:val="nil"/>
              <w:bottom w:val="nil"/>
              <w:right w:val="nil"/>
            </w:tcBorders>
            <w:shd w:val="clear" w:color="auto" w:fill="auto"/>
            <w:noWrap/>
            <w:vAlign w:val="bottom"/>
            <w:hideMark/>
          </w:tcPr>
          <w:p w14:paraId="40FE8B21" w14:textId="77777777" w:rsidR="00237C04" w:rsidRPr="006527E3" w:rsidRDefault="00237C04" w:rsidP="00874C0D">
            <w:pPr>
              <w:spacing w:after="0" w:line="240" w:lineRule="auto"/>
              <w:jc w:val="center"/>
              <w:rPr>
                <w:rFonts w:ascii="Times New Roman" w:eastAsia="Times New Roman" w:hAnsi="Times New Roman" w:cs="Times New Roman"/>
                <w:color w:val="000000"/>
                <w:sz w:val="15"/>
                <w:szCs w:val="15"/>
                <w:lang w:eastAsia="en-GB"/>
              </w:rPr>
            </w:pPr>
            <w:r w:rsidRPr="006527E3">
              <w:rPr>
                <w:rFonts w:ascii="Times New Roman" w:eastAsia="Times New Roman" w:hAnsi="Times New Roman" w:cs="Times New Roman"/>
                <w:color w:val="000000"/>
                <w:sz w:val="15"/>
                <w:szCs w:val="15"/>
                <w:lang w:eastAsia="en-GB"/>
              </w:rPr>
              <w:t>1.82, 6.13</w:t>
            </w:r>
          </w:p>
        </w:tc>
        <w:tc>
          <w:tcPr>
            <w:tcW w:w="484" w:type="pct"/>
            <w:tcBorders>
              <w:top w:val="nil"/>
              <w:left w:val="nil"/>
              <w:bottom w:val="nil"/>
              <w:right w:val="nil"/>
            </w:tcBorders>
            <w:shd w:val="clear" w:color="auto" w:fill="auto"/>
            <w:noWrap/>
            <w:vAlign w:val="bottom"/>
            <w:hideMark/>
          </w:tcPr>
          <w:p w14:paraId="002C3C72" w14:textId="77777777" w:rsidR="00237C04" w:rsidRPr="006527E3" w:rsidRDefault="00237C04" w:rsidP="00874C0D">
            <w:pPr>
              <w:spacing w:after="0" w:line="240" w:lineRule="auto"/>
              <w:jc w:val="center"/>
              <w:rPr>
                <w:rFonts w:ascii="Times New Roman" w:eastAsia="Times New Roman" w:hAnsi="Times New Roman" w:cs="Times New Roman"/>
                <w:color w:val="000000"/>
                <w:sz w:val="15"/>
                <w:szCs w:val="15"/>
                <w:lang w:eastAsia="en-GB"/>
              </w:rPr>
            </w:pPr>
            <w:r w:rsidRPr="006527E3">
              <w:rPr>
                <w:rFonts w:ascii="Times New Roman" w:eastAsia="Times New Roman" w:hAnsi="Times New Roman" w:cs="Times New Roman"/>
                <w:color w:val="000000"/>
                <w:sz w:val="15"/>
                <w:szCs w:val="15"/>
                <w:lang w:eastAsia="en-GB"/>
              </w:rPr>
              <w:t>&lt;0.001</w:t>
            </w:r>
          </w:p>
        </w:tc>
      </w:tr>
      <w:tr w:rsidR="00237C04" w:rsidRPr="006527E3" w14:paraId="6610D44E" w14:textId="77777777" w:rsidTr="008A295F">
        <w:trPr>
          <w:trHeight w:val="300"/>
        </w:trPr>
        <w:tc>
          <w:tcPr>
            <w:tcW w:w="617" w:type="pct"/>
            <w:tcBorders>
              <w:top w:val="nil"/>
              <w:left w:val="nil"/>
              <w:bottom w:val="nil"/>
              <w:right w:val="nil"/>
            </w:tcBorders>
            <w:shd w:val="clear" w:color="auto" w:fill="auto"/>
            <w:noWrap/>
            <w:vAlign w:val="bottom"/>
            <w:hideMark/>
          </w:tcPr>
          <w:p w14:paraId="6F366652" w14:textId="77777777" w:rsidR="00237C04" w:rsidRPr="006527E3" w:rsidRDefault="00237C04" w:rsidP="00874C0D">
            <w:pPr>
              <w:spacing w:after="0" w:line="240" w:lineRule="auto"/>
              <w:rPr>
                <w:rFonts w:ascii="Times New Roman" w:eastAsia="Times New Roman" w:hAnsi="Times New Roman" w:cs="Times New Roman"/>
                <w:b/>
                <w:bCs/>
                <w:color w:val="000000"/>
                <w:sz w:val="15"/>
                <w:szCs w:val="15"/>
                <w:lang w:eastAsia="en-GB"/>
              </w:rPr>
            </w:pPr>
            <w:r w:rsidRPr="006527E3">
              <w:rPr>
                <w:rFonts w:ascii="Times New Roman" w:eastAsia="Times New Roman" w:hAnsi="Times New Roman" w:cs="Times New Roman"/>
                <w:b/>
                <w:bCs/>
                <w:color w:val="000000"/>
                <w:sz w:val="15"/>
                <w:szCs w:val="15"/>
                <w:lang w:eastAsia="en-GB"/>
              </w:rPr>
              <w:t>Lumbar spine</w:t>
            </w:r>
          </w:p>
        </w:tc>
        <w:tc>
          <w:tcPr>
            <w:tcW w:w="487" w:type="pct"/>
            <w:tcBorders>
              <w:top w:val="nil"/>
              <w:left w:val="single" w:sz="4" w:space="0" w:color="auto"/>
              <w:bottom w:val="nil"/>
              <w:right w:val="nil"/>
            </w:tcBorders>
            <w:shd w:val="clear" w:color="auto" w:fill="auto"/>
            <w:noWrap/>
            <w:vAlign w:val="bottom"/>
            <w:hideMark/>
          </w:tcPr>
          <w:p w14:paraId="15003933" w14:textId="77777777" w:rsidR="00237C04" w:rsidRPr="006527E3" w:rsidRDefault="00237C04" w:rsidP="00874C0D">
            <w:pPr>
              <w:spacing w:after="0" w:line="240" w:lineRule="auto"/>
              <w:jc w:val="center"/>
              <w:rPr>
                <w:rFonts w:ascii="Times New Roman" w:eastAsia="Times New Roman" w:hAnsi="Times New Roman" w:cs="Times New Roman"/>
                <w:color w:val="000000"/>
                <w:sz w:val="15"/>
                <w:szCs w:val="15"/>
                <w:lang w:eastAsia="en-GB"/>
              </w:rPr>
            </w:pPr>
            <w:r w:rsidRPr="006527E3">
              <w:rPr>
                <w:rFonts w:ascii="Times New Roman" w:eastAsia="Times New Roman" w:hAnsi="Times New Roman" w:cs="Times New Roman"/>
                <w:color w:val="000000"/>
                <w:sz w:val="15"/>
                <w:szCs w:val="15"/>
                <w:lang w:eastAsia="en-GB"/>
              </w:rPr>
              <w:t> </w:t>
            </w:r>
          </w:p>
        </w:tc>
        <w:tc>
          <w:tcPr>
            <w:tcW w:w="487" w:type="pct"/>
            <w:tcBorders>
              <w:top w:val="nil"/>
              <w:left w:val="nil"/>
              <w:bottom w:val="nil"/>
              <w:right w:val="nil"/>
            </w:tcBorders>
            <w:shd w:val="clear" w:color="auto" w:fill="auto"/>
            <w:noWrap/>
            <w:vAlign w:val="bottom"/>
            <w:hideMark/>
          </w:tcPr>
          <w:p w14:paraId="449F1219" w14:textId="77777777" w:rsidR="00237C04" w:rsidRPr="006527E3" w:rsidRDefault="00237C04" w:rsidP="00874C0D">
            <w:pPr>
              <w:spacing w:after="0" w:line="240" w:lineRule="auto"/>
              <w:jc w:val="center"/>
              <w:rPr>
                <w:rFonts w:ascii="Times New Roman" w:eastAsia="Times New Roman" w:hAnsi="Times New Roman" w:cs="Times New Roman"/>
                <w:color w:val="000000"/>
                <w:sz w:val="15"/>
                <w:szCs w:val="15"/>
                <w:lang w:eastAsia="en-GB"/>
              </w:rPr>
            </w:pPr>
          </w:p>
        </w:tc>
        <w:tc>
          <w:tcPr>
            <w:tcW w:w="488" w:type="pct"/>
            <w:tcBorders>
              <w:top w:val="nil"/>
              <w:left w:val="nil"/>
              <w:bottom w:val="nil"/>
              <w:right w:val="nil"/>
            </w:tcBorders>
            <w:shd w:val="clear" w:color="auto" w:fill="auto"/>
            <w:noWrap/>
            <w:vAlign w:val="bottom"/>
            <w:hideMark/>
          </w:tcPr>
          <w:p w14:paraId="2586283E" w14:textId="77777777" w:rsidR="00237C04" w:rsidRPr="006527E3" w:rsidRDefault="00237C04" w:rsidP="00874C0D">
            <w:pPr>
              <w:spacing w:after="0" w:line="240" w:lineRule="auto"/>
              <w:jc w:val="center"/>
              <w:rPr>
                <w:rFonts w:ascii="Times New Roman" w:eastAsia="Times New Roman" w:hAnsi="Times New Roman" w:cs="Times New Roman"/>
                <w:color w:val="000000"/>
                <w:sz w:val="15"/>
                <w:szCs w:val="15"/>
                <w:lang w:eastAsia="en-GB"/>
              </w:rPr>
            </w:pPr>
          </w:p>
        </w:tc>
        <w:tc>
          <w:tcPr>
            <w:tcW w:w="487" w:type="pct"/>
            <w:tcBorders>
              <w:top w:val="nil"/>
              <w:left w:val="single" w:sz="4" w:space="0" w:color="auto"/>
              <w:bottom w:val="nil"/>
              <w:right w:val="nil"/>
            </w:tcBorders>
            <w:shd w:val="clear" w:color="auto" w:fill="auto"/>
            <w:noWrap/>
            <w:vAlign w:val="bottom"/>
            <w:hideMark/>
          </w:tcPr>
          <w:p w14:paraId="26C2A03A" w14:textId="77777777" w:rsidR="00237C04" w:rsidRPr="006527E3" w:rsidRDefault="00237C04" w:rsidP="00874C0D">
            <w:pPr>
              <w:spacing w:after="0" w:line="240" w:lineRule="auto"/>
              <w:jc w:val="center"/>
              <w:rPr>
                <w:rFonts w:ascii="Times New Roman" w:eastAsia="Times New Roman" w:hAnsi="Times New Roman" w:cs="Times New Roman"/>
                <w:color w:val="000000"/>
                <w:sz w:val="15"/>
                <w:szCs w:val="15"/>
                <w:lang w:eastAsia="en-GB"/>
              </w:rPr>
            </w:pPr>
            <w:r w:rsidRPr="006527E3">
              <w:rPr>
                <w:rFonts w:ascii="Times New Roman" w:eastAsia="Times New Roman" w:hAnsi="Times New Roman" w:cs="Times New Roman"/>
                <w:color w:val="000000"/>
                <w:sz w:val="15"/>
                <w:szCs w:val="15"/>
                <w:lang w:eastAsia="en-GB"/>
              </w:rPr>
              <w:t> </w:t>
            </w:r>
          </w:p>
        </w:tc>
        <w:tc>
          <w:tcPr>
            <w:tcW w:w="487" w:type="pct"/>
            <w:tcBorders>
              <w:top w:val="nil"/>
              <w:left w:val="nil"/>
              <w:bottom w:val="nil"/>
              <w:right w:val="nil"/>
            </w:tcBorders>
            <w:shd w:val="clear" w:color="auto" w:fill="auto"/>
            <w:noWrap/>
            <w:vAlign w:val="bottom"/>
            <w:hideMark/>
          </w:tcPr>
          <w:p w14:paraId="13899269" w14:textId="77777777" w:rsidR="00237C04" w:rsidRPr="006527E3" w:rsidRDefault="00237C04" w:rsidP="00874C0D">
            <w:pPr>
              <w:spacing w:after="0" w:line="240" w:lineRule="auto"/>
              <w:jc w:val="center"/>
              <w:rPr>
                <w:rFonts w:ascii="Times New Roman" w:eastAsia="Times New Roman" w:hAnsi="Times New Roman" w:cs="Times New Roman"/>
                <w:color w:val="000000"/>
                <w:sz w:val="15"/>
                <w:szCs w:val="15"/>
                <w:lang w:eastAsia="en-GB"/>
              </w:rPr>
            </w:pPr>
          </w:p>
        </w:tc>
        <w:tc>
          <w:tcPr>
            <w:tcW w:w="488" w:type="pct"/>
            <w:tcBorders>
              <w:top w:val="nil"/>
              <w:left w:val="nil"/>
              <w:bottom w:val="nil"/>
              <w:right w:val="nil"/>
            </w:tcBorders>
            <w:shd w:val="clear" w:color="auto" w:fill="auto"/>
            <w:noWrap/>
            <w:vAlign w:val="bottom"/>
            <w:hideMark/>
          </w:tcPr>
          <w:p w14:paraId="1FC2889C" w14:textId="77777777" w:rsidR="00237C04" w:rsidRPr="006527E3" w:rsidRDefault="00237C04" w:rsidP="00874C0D">
            <w:pPr>
              <w:spacing w:after="0" w:line="240" w:lineRule="auto"/>
              <w:jc w:val="center"/>
              <w:rPr>
                <w:rFonts w:ascii="Times New Roman" w:eastAsia="Times New Roman" w:hAnsi="Times New Roman" w:cs="Times New Roman"/>
                <w:color w:val="000000"/>
                <w:sz w:val="15"/>
                <w:szCs w:val="15"/>
                <w:lang w:eastAsia="en-GB"/>
              </w:rPr>
            </w:pPr>
          </w:p>
        </w:tc>
        <w:tc>
          <w:tcPr>
            <w:tcW w:w="487" w:type="pct"/>
            <w:tcBorders>
              <w:top w:val="nil"/>
              <w:left w:val="single" w:sz="4" w:space="0" w:color="auto"/>
              <w:bottom w:val="nil"/>
              <w:right w:val="nil"/>
            </w:tcBorders>
            <w:shd w:val="clear" w:color="auto" w:fill="auto"/>
            <w:noWrap/>
            <w:vAlign w:val="bottom"/>
            <w:hideMark/>
          </w:tcPr>
          <w:p w14:paraId="04FF8093" w14:textId="77777777" w:rsidR="00237C04" w:rsidRPr="006527E3" w:rsidRDefault="00237C04" w:rsidP="00874C0D">
            <w:pPr>
              <w:spacing w:after="0" w:line="240" w:lineRule="auto"/>
              <w:jc w:val="center"/>
              <w:rPr>
                <w:rFonts w:ascii="Times New Roman" w:eastAsia="Times New Roman" w:hAnsi="Times New Roman" w:cs="Times New Roman"/>
                <w:color w:val="000000"/>
                <w:sz w:val="15"/>
                <w:szCs w:val="15"/>
                <w:lang w:eastAsia="en-GB"/>
              </w:rPr>
            </w:pPr>
            <w:r w:rsidRPr="006527E3">
              <w:rPr>
                <w:rFonts w:ascii="Times New Roman" w:eastAsia="Times New Roman" w:hAnsi="Times New Roman" w:cs="Times New Roman"/>
                <w:color w:val="000000"/>
                <w:sz w:val="15"/>
                <w:szCs w:val="15"/>
                <w:lang w:eastAsia="en-GB"/>
              </w:rPr>
              <w:t> </w:t>
            </w:r>
          </w:p>
        </w:tc>
        <w:tc>
          <w:tcPr>
            <w:tcW w:w="487" w:type="pct"/>
            <w:tcBorders>
              <w:top w:val="nil"/>
              <w:left w:val="nil"/>
              <w:bottom w:val="nil"/>
              <w:right w:val="nil"/>
            </w:tcBorders>
            <w:shd w:val="clear" w:color="auto" w:fill="auto"/>
            <w:noWrap/>
            <w:vAlign w:val="bottom"/>
            <w:hideMark/>
          </w:tcPr>
          <w:p w14:paraId="58F427D8" w14:textId="77777777" w:rsidR="00237C04" w:rsidRPr="006527E3" w:rsidRDefault="00237C04" w:rsidP="00874C0D">
            <w:pPr>
              <w:spacing w:after="0" w:line="240" w:lineRule="auto"/>
              <w:jc w:val="center"/>
              <w:rPr>
                <w:rFonts w:ascii="Times New Roman" w:eastAsia="Times New Roman" w:hAnsi="Times New Roman" w:cs="Times New Roman"/>
                <w:color w:val="000000"/>
                <w:sz w:val="15"/>
                <w:szCs w:val="15"/>
                <w:lang w:eastAsia="en-GB"/>
              </w:rPr>
            </w:pPr>
          </w:p>
        </w:tc>
        <w:tc>
          <w:tcPr>
            <w:tcW w:w="484" w:type="pct"/>
            <w:tcBorders>
              <w:top w:val="nil"/>
              <w:left w:val="nil"/>
              <w:bottom w:val="nil"/>
              <w:right w:val="nil"/>
            </w:tcBorders>
            <w:shd w:val="clear" w:color="auto" w:fill="auto"/>
            <w:noWrap/>
            <w:vAlign w:val="bottom"/>
            <w:hideMark/>
          </w:tcPr>
          <w:p w14:paraId="29A97C43" w14:textId="77777777" w:rsidR="00237C04" w:rsidRPr="006527E3" w:rsidRDefault="00237C04" w:rsidP="00874C0D">
            <w:pPr>
              <w:spacing w:after="0" w:line="240" w:lineRule="auto"/>
              <w:jc w:val="center"/>
              <w:rPr>
                <w:rFonts w:ascii="Times New Roman" w:eastAsia="Times New Roman" w:hAnsi="Times New Roman" w:cs="Times New Roman"/>
                <w:color w:val="000000"/>
                <w:sz w:val="15"/>
                <w:szCs w:val="15"/>
                <w:lang w:eastAsia="en-GB"/>
              </w:rPr>
            </w:pPr>
          </w:p>
        </w:tc>
      </w:tr>
      <w:tr w:rsidR="00237C04" w:rsidRPr="006527E3" w14:paraId="54C2E9F9" w14:textId="77777777" w:rsidTr="008A295F">
        <w:trPr>
          <w:trHeight w:val="300"/>
        </w:trPr>
        <w:tc>
          <w:tcPr>
            <w:tcW w:w="617" w:type="pct"/>
            <w:tcBorders>
              <w:top w:val="nil"/>
              <w:left w:val="nil"/>
              <w:bottom w:val="nil"/>
              <w:right w:val="nil"/>
            </w:tcBorders>
            <w:shd w:val="clear" w:color="auto" w:fill="auto"/>
            <w:noWrap/>
            <w:vAlign w:val="bottom"/>
            <w:hideMark/>
          </w:tcPr>
          <w:p w14:paraId="2EAD967E" w14:textId="77777777" w:rsidR="00237C04" w:rsidRPr="006527E3" w:rsidRDefault="00237C04" w:rsidP="00874C0D">
            <w:pPr>
              <w:spacing w:after="0" w:line="240" w:lineRule="auto"/>
              <w:rPr>
                <w:rFonts w:ascii="Times New Roman" w:eastAsia="Times New Roman" w:hAnsi="Times New Roman" w:cs="Times New Roman"/>
                <w:color w:val="000000"/>
                <w:sz w:val="15"/>
                <w:szCs w:val="15"/>
                <w:lang w:eastAsia="en-GB"/>
              </w:rPr>
            </w:pPr>
            <w:r w:rsidRPr="006527E3">
              <w:rPr>
                <w:rFonts w:ascii="Times New Roman" w:eastAsia="Times New Roman" w:hAnsi="Times New Roman" w:cs="Times New Roman"/>
                <w:color w:val="000000"/>
                <w:sz w:val="15"/>
                <w:szCs w:val="15"/>
                <w:lang w:eastAsia="en-GB"/>
              </w:rPr>
              <w:t>Area</w:t>
            </w:r>
          </w:p>
        </w:tc>
        <w:tc>
          <w:tcPr>
            <w:tcW w:w="487" w:type="pct"/>
            <w:tcBorders>
              <w:top w:val="nil"/>
              <w:left w:val="single" w:sz="4" w:space="0" w:color="auto"/>
              <w:bottom w:val="nil"/>
              <w:right w:val="nil"/>
            </w:tcBorders>
            <w:shd w:val="clear" w:color="auto" w:fill="auto"/>
            <w:noWrap/>
            <w:vAlign w:val="bottom"/>
            <w:hideMark/>
          </w:tcPr>
          <w:p w14:paraId="547337AA" w14:textId="77777777" w:rsidR="00237C04" w:rsidRPr="006527E3" w:rsidRDefault="00237C04" w:rsidP="00874C0D">
            <w:pPr>
              <w:spacing w:after="0" w:line="240" w:lineRule="auto"/>
              <w:jc w:val="center"/>
              <w:rPr>
                <w:rFonts w:ascii="Times New Roman" w:eastAsia="Times New Roman" w:hAnsi="Times New Roman" w:cs="Times New Roman"/>
                <w:color w:val="000000"/>
                <w:sz w:val="15"/>
                <w:szCs w:val="15"/>
                <w:lang w:eastAsia="en-GB"/>
              </w:rPr>
            </w:pPr>
            <w:r w:rsidRPr="006527E3">
              <w:rPr>
                <w:rFonts w:ascii="Times New Roman" w:eastAsia="Times New Roman" w:hAnsi="Times New Roman" w:cs="Times New Roman"/>
                <w:color w:val="000000"/>
                <w:sz w:val="15"/>
                <w:szCs w:val="15"/>
                <w:lang w:eastAsia="en-GB"/>
              </w:rPr>
              <w:t>1.44</w:t>
            </w:r>
          </w:p>
        </w:tc>
        <w:tc>
          <w:tcPr>
            <w:tcW w:w="487" w:type="pct"/>
            <w:tcBorders>
              <w:top w:val="nil"/>
              <w:left w:val="nil"/>
              <w:bottom w:val="nil"/>
              <w:right w:val="nil"/>
            </w:tcBorders>
            <w:shd w:val="clear" w:color="auto" w:fill="auto"/>
            <w:noWrap/>
            <w:vAlign w:val="bottom"/>
            <w:hideMark/>
          </w:tcPr>
          <w:p w14:paraId="632B5111" w14:textId="77777777" w:rsidR="00237C04" w:rsidRPr="006527E3" w:rsidRDefault="00237C04" w:rsidP="00874C0D">
            <w:pPr>
              <w:spacing w:after="0" w:line="240" w:lineRule="auto"/>
              <w:jc w:val="center"/>
              <w:rPr>
                <w:rFonts w:ascii="Times New Roman" w:eastAsia="Times New Roman" w:hAnsi="Times New Roman" w:cs="Times New Roman"/>
                <w:color w:val="000000"/>
                <w:sz w:val="15"/>
                <w:szCs w:val="15"/>
                <w:lang w:eastAsia="en-GB"/>
              </w:rPr>
            </w:pPr>
            <w:r w:rsidRPr="006527E3">
              <w:rPr>
                <w:rFonts w:ascii="Times New Roman" w:eastAsia="Times New Roman" w:hAnsi="Times New Roman" w:cs="Times New Roman"/>
                <w:color w:val="000000"/>
                <w:sz w:val="15"/>
                <w:szCs w:val="15"/>
                <w:lang w:eastAsia="en-GB"/>
              </w:rPr>
              <w:t>0.96, 2.16</w:t>
            </w:r>
          </w:p>
        </w:tc>
        <w:tc>
          <w:tcPr>
            <w:tcW w:w="488" w:type="pct"/>
            <w:tcBorders>
              <w:top w:val="nil"/>
              <w:left w:val="nil"/>
              <w:bottom w:val="nil"/>
              <w:right w:val="nil"/>
            </w:tcBorders>
            <w:shd w:val="clear" w:color="auto" w:fill="auto"/>
            <w:noWrap/>
            <w:vAlign w:val="bottom"/>
            <w:hideMark/>
          </w:tcPr>
          <w:p w14:paraId="0FD1F0FD" w14:textId="77777777" w:rsidR="00237C04" w:rsidRPr="006527E3" w:rsidRDefault="00237C04" w:rsidP="00874C0D">
            <w:pPr>
              <w:spacing w:after="0" w:line="240" w:lineRule="auto"/>
              <w:jc w:val="center"/>
              <w:rPr>
                <w:rFonts w:ascii="Times New Roman" w:eastAsia="Times New Roman" w:hAnsi="Times New Roman" w:cs="Times New Roman"/>
                <w:color w:val="000000"/>
                <w:sz w:val="15"/>
                <w:szCs w:val="15"/>
                <w:lang w:eastAsia="en-GB"/>
              </w:rPr>
            </w:pPr>
            <w:r w:rsidRPr="006527E3">
              <w:rPr>
                <w:rFonts w:ascii="Times New Roman" w:eastAsia="Times New Roman" w:hAnsi="Times New Roman" w:cs="Times New Roman"/>
                <w:color w:val="000000"/>
                <w:sz w:val="15"/>
                <w:szCs w:val="15"/>
                <w:lang w:eastAsia="en-GB"/>
              </w:rPr>
              <w:t>0.08</w:t>
            </w:r>
          </w:p>
        </w:tc>
        <w:tc>
          <w:tcPr>
            <w:tcW w:w="487" w:type="pct"/>
            <w:tcBorders>
              <w:top w:val="nil"/>
              <w:left w:val="single" w:sz="4" w:space="0" w:color="auto"/>
              <w:bottom w:val="nil"/>
              <w:right w:val="nil"/>
            </w:tcBorders>
            <w:shd w:val="clear" w:color="auto" w:fill="auto"/>
            <w:noWrap/>
            <w:vAlign w:val="bottom"/>
            <w:hideMark/>
          </w:tcPr>
          <w:p w14:paraId="0416DE66" w14:textId="77777777" w:rsidR="00237C04" w:rsidRPr="006527E3" w:rsidRDefault="00237C04" w:rsidP="00874C0D">
            <w:pPr>
              <w:spacing w:after="0" w:line="240" w:lineRule="auto"/>
              <w:jc w:val="center"/>
              <w:rPr>
                <w:rFonts w:ascii="Times New Roman" w:eastAsia="Times New Roman" w:hAnsi="Times New Roman" w:cs="Times New Roman"/>
                <w:color w:val="000000"/>
                <w:sz w:val="15"/>
                <w:szCs w:val="15"/>
                <w:lang w:eastAsia="en-GB"/>
              </w:rPr>
            </w:pPr>
            <w:r w:rsidRPr="006527E3">
              <w:rPr>
                <w:rFonts w:ascii="Times New Roman" w:eastAsia="Times New Roman" w:hAnsi="Times New Roman" w:cs="Times New Roman"/>
                <w:color w:val="000000"/>
                <w:sz w:val="15"/>
                <w:szCs w:val="15"/>
                <w:lang w:eastAsia="en-GB"/>
              </w:rPr>
              <w:t>1.29</w:t>
            </w:r>
          </w:p>
        </w:tc>
        <w:tc>
          <w:tcPr>
            <w:tcW w:w="487" w:type="pct"/>
            <w:tcBorders>
              <w:top w:val="nil"/>
              <w:left w:val="nil"/>
              <w:bottom w:val="nil"/>
              <w:right w:val="nil"/>
            </w:tcBorders>
            <w:shd w:val="clear" w:color="auto" w:fill="auto"/>
            <w:noWrap/>
            <w:vAlign w:val="bottom"/>
            <w:hideMark/>
          </w:tcPr>
          <w:p w14:paraId="7C5EA347" w14:textId="77777777" w:rsidR="00237C04" w:rsidRPr="006527E3" w:rsidRDefault="00237C04" w:rsidP="00874C0D">
            <w:pPr>
              <w:spacing w:after="0" w:line="240" w:lineRule="auto"/>
              <w:jc w:val="center"/>
              <w:rPr>
                <w:rFonts w:ascii="Times New Roman" w:eastAsia="Times New Roman" w:hAnsi="Times New Roman" w:cs="Times New Roman"/>
                <w:color w:val="000000"/>
                <w:sz w:val="15"/>
                <w:szCs w:val="15"/>
                <w:lang w:eastAsia="en-GB"/>
              </w:rPr>
            </w:pPr>
            <w:r w:rsidRPr="006527E3">
              <w:rPr>
                <w:rFonts w:ascii="Times New Roman" w:eastAsia="Times New Roman" w:hAnsi="Times New Roman" w:cs="Times New Roman"/>
                <w:color w:val="000000"/>
                <w:sz w:val="15"/>
                <w:szCs w:val="15"/>
                <w:lang w:eastAsia="en-GB"/>
              </w:rPr>
              <w:t>0.87, 1.90</w:t>
            </w:r>
          </w:p>
        </w:tc>
        <w:tc>
          <w:tcPr>
            <w:tcW w:w="488" w:type="pct"/>
            <w:tcBorders>
              <w:top w:val="nil"/>
              <w:left w:val="nil"/>
              <w:bottom w:val="nil"/>
              <w:right w:val="nil"/>
            </w:tcBorders>
            <w:shd w:val="clear" w:color="auto" w:fill="auto"/>
            <w:noWrap/>
            <w:vAlign w:val="bottom"/>
            <w:hideMark/>
          </w:tcPr>
          <w:p w14:paraId="55AACBC9" w14:textId="77777777" w:rsidR="00237C04" w:rsidRPr="006527E3" w:rsidRDefault="00237C04" w:rsidP="00874C0D">
            <w:pPr>
              <w:spacing w:after="0" w:line="240" w:lineRule="auto"/>
              <w:jc w:val="center"/>
              <w:rPr>
                <w:rFonts w:ascii="Times New Roman" w:eastAsia="Times New Roman" w:hAnsi="Times New Roman" w:cs="Times New Roman"/>
                <w:color w:val="000000"/>
                <w:sz w:val="15"/>
                <w:szCs w:val="15"/>
                <w:lang w:eastAsia="en-GB"/>
              </w:rPr>
            </w:pPr>
            <w:r w:rsidRPr="006527E3">
              <w:rPr>
                <w:rFonts w:ascii="Times New Roman" w:eastAsia="Times New Roman" w:hAnsi="Times New Roman" w:cs="Times New Roman"/>
                <w:color w:val="000000"/>
                <w:sz w:val="15"/>
                <w:szCs w:val="15"/>
                <w:lang w:eastAsia="en-GB"/>
              </w:rPr>
              <w:t>0.2</w:t>
            </w:r>
          </w:p>
        </w:tc>
        <w:tc>
          <w:tcPr>
            <w:tcW w:w="487" w:type="pct"/>
            <w:tcBorders>
              <w:top w:val="nil"/>
              <w:left w:val="single" w:sz="4" w:space="0" w:color="auto"/>
              <w:bottom w:val="nil"/>
              <w:right w:val="nil"/>
            </w:tcBorders>
            <w:shd w:val="clear" w:color="auto" w:fill="auto"/>
            <w:noWrap/>
            <w:vAlign w:val="bottom"/>
            <w:hideMark/>
          </w:tcPr>
          <w:p w14:paraId="1458B491" w14:textId="77777777" w:rsidR="00237C04" w:rsidRPr="006527E3" w:rsidRDefault="00237C04" w:rsidP="00874C0D">
            <w:pPr>
              <w:spacing w:after="0" w:line="240" w:lineRule="auto"/>
              <w:jc w:val="center"/>
              <w:rPr>
                <w:rFonts w:ascii="Times New Roman" w:eastAsia="Times New Roman" w:hAnsi="Times New Roman" w:cs="Times New Roman"/>
                <w:color w:val="000000"/>
                <w:sz w:val="15"/>
                <w:szCs w:val="15"/>
                <w:lang w:eastAsia="en-GB"/>
              </w:rPr>
            </w:pPr>
            <w:r w:rsidRPr="006527E3">
              <w:rPr>
                <w:rFonts w:ascii="Times New Roman" w:eastAsia="Times New Roman" w:hAnsi="Times New Roman" w:cs="Times New Roman"/>
                <w:color w:val="000000"/>
                <w:sz w:val="15"/>
                <w:szCs w:val="15"/>
                <w:lang w:eastAsia="en-GB"/>
              </w:rPr>
              <w:t>1.32</w:t>
            </w:r>
          </w:p>
        </w:tc>
        <w:tc>
          <w:tcPr>
            <w:tcW w:w="487" w:type="pct"/>
            <w:tcBorders>
              <w:top w:val="nil"/>
              <w:left w:val="nil"/>
              <w:bottom w:val="nil"/>
              <w:right w:val="nil"/>
            </w:tcBorders>
            <w:shd w:val="clear" w:color="auto" w:fill="auto"/>
            <w:noWrap/>
            <w:vAlign w:val="bottom"/>
            <w:hideMark/>
          </w:tcPr>
          <w:p w14:paraId="2A13CA49" w14:textId="77777777" w:rsidR="00237C04" w:rsidRPr="006527E3" w:rsidRDefault="00237C04" w:rsidP="00874C0D">
            <w:pPr>
              <w:spacing w:after="0" w:line="240" w:lineRule="auto"/>
              <w:jc w:val="center"/>
              <w:rPr>
                <w:rFonts w:ascii="Times New Roman" w:eastAsia="Times New Roman" w:hAnsi="Times New Roman" w:cs="Times New Roman"/>
                <w:color w:val="000000"/>
                <w:sz w:val="15"/>
                <w:szCs w:val="15"/>
                <w:lang w:eastAsia="en-GB"/>
              </w:rPr>
            </w:pPr>
            <w:r w:rsidRPr="006527E3">
              <w:rPr>
                <w:rFonts w:ascii="Times New Roman" w:eastAsia="Times New Roman" w:hAnsi="Times New Roman" w:cs="Times New Roman"/>
                <w:color w:val="000000"/>
                <w:sz w:val="15"/>
                <w:szCs w:val="15"/>
                <w:lang w:eastAsia="en-GB"/>
              </w:rPr>
              <w:t>0.88, 1.99</w:t>
            </w:r>
          </w:p>
        </w:tc>
        <w:tc>
          <w:tcPr>
            <w:tcW w:w="484" w:type="pct"/>
            <w:tcBorders>
              <w:top w:val="nil"/>
              <w:left w:val="nil"/>
              <w:bottom w:val="nil"/>
              <w:right w:val="nil"/>
            </w:tcBorders>
            <w:shd w:val="clear" w:color="auto" w:fill="auto"/>
            <w:noWrap/>
            <w:vAlign w:val="bottom"/>
            <w:hideMark/>
          </w:tcPr>
          <w:p w14:paraId="5444216B" w14:textId="77777777" w:rsidR="00237C04" w:rsidRPr="006527E3" w:rsidRDefault="00237C04" w:rsidP="00874C0D">
            <w:pPr>
              <w:spacing w:after="0" w:line="240" w:lineRule="auto"/>
              <w:jc w:val="center"/>
              <w:rPr>
                <w:rFonts w:ascii="Times New Roman" w:eastAsia="Times New Roman" w:hAnsi="Times New Roman" w:cs="Times New Roman"/>
                <w:color w:val="000000"/>
                <w:sz w:val="15"/>
                <w:szCs w:val="15"/>
                <w:lang w:eastAsia="en-GB"/>
              </w:rPr>
            </w:pPr>
            <w:r w:rsidRPr="006527E3">
              <w:rPr>
                <w:rFonts w:ascii="Times New Roman" w:eastAsia="Times New Roman" w:hAnsi="Times New Roman" w:cs="Times New Roman"/>
                <w:color w:val="000000"/>
                <w:sz w:val="15"/>
                <w:szCs w:val="15"/>
                <w:lang w:eastAsia="en-GB"/>
              </w:rPr>
              <w:t>0.18</w:t>
            </w:r>
          </w:p>
        </w:tc>
      </w:tr>
      <w:tr w:rsidR="00237C04" w:rsidRPr="006527E3" w14:paraId="58A4BDDC" w14:textId="77777777" w:rsidTr="008A295F">
        <w:trPr>
          <w:trHeight w:val="300"/>
        </w:trPr>
        <w:tc>
          <w:tcPr>
            <w:tcW w:w="617" w:type="pct"/>
            <w:tcBorders>
              <w:top w:val="nil"/>
              <w:left w:val="nil"/>
              <w:bottom w:val="nil"/>
              <w:right w:val="nil"/>
            </w:tcBorders>
            <w:shd w:val="clear" w:color="auto" w:fill="auto"/>
            <w:noWrap/>
            <w:vAlign w:val="bottom"/>
            <w:hideMark/>
          </w:tcPr>
          <w:p w14:paraId="5496E912" w14:textId="77777777" w:rsidR="00237C04" w:rsidRPr="006527E3" w:rsidRDefault="00237C04" w:rsidP="00874C0D">
            <w:pPr>
              <w:spacing w:after="0" w:line="240" w:lineRule="auto"/>
              <w:rPr>
                <w:rFonts w:ascii="Times New Roman" w:eastAsia="Times New Roman" w:hAnsi="Times New Roman" w:cs="Times New Roman"/>
                <w:color w:val="000000"/>
                <w:sz w:val="15"/>
                <w:szCs w:val="15"/>
                <w:lang w:eastAsia="en-GB"/>
              </w:rPr>
            </w:pPr>
            <w:r w:rsidRPr="006527E3">
              <w:rPr>
                <w:rFonts w:ascii="Times New Roman" w:eastAsia="Times New Roman" w:hAnsi="Times New Roman" w:cs="Times New Roman"/>
                <w:color w:val="000000"/>
                <w:sz w:val="15"/>
                <w:szCs w:val="15"/>
                <w:lang w:eastAsia="en-GB"/>
              </w:rPr>
              <w:t>BMC</w:t>
            </w:r>
          </w:p>
        </w:tc>
        <w:tc>
          <w:tcPr>
            <w:tcW w:w="487" w:type="pct"/>
            <w:tcBorders>
              <w:top w:val="nil"/>
              <w:left w:val="single" w:sz="4" w:space="0" w:color="auto"/>
              <w:bottom w:val="nil"/>
              <w:right w:val="nil"/>
            </w:tcBorders>
            <w:shd w:val="clear" w:color="auto" w:fill="auto"/>
            <w:noWrap/>
            <w:vAlign w:val="bottom"/>
            <w:hideMark/>
          </w:tcPr>
          <w:p w14:paraId="3C783BCB" w14:textId="77777777" w:rsidR="00237C04" w:rsidRPr="006527E3" w:rsidRDefault="00237C04" w:rsidP="00874C0D">
            <w:pPr>
              <w:spacing w:after="0" w:line="240" w:lineRule="auto"/>
              <w:jc w:val="center"/>
              <w:rPr>
                <w:rFonts w:ascii="Times New Roman" w:eastAsia="Times New Roman" w:hAnsi="Times New Roman" w:cs="Times New Roman"/>
                <w:color w:val="000000"/>
                <w:sz w:val="15"/>
                <w:szCs w:val="15"/>
                <w:lang w:eastAsia="en-GB"/>
              </w:rPr>
            </w:pPr>
            <w:r w:rsidRPr="006527E3">
              <w:rPr>
                <w:rFonts w:ascii="Times New Roman" w:eastAsia="Times New Roman" w:hAnsi="Times New Roman" w:cs="Times New Roman"/>
                <w:color w:val="000000"/>
                <w:sz w:val="15"/>
                <w:szCs w:val="15"/>
                <w:lang w:eastAsia="en-GB"/>
              </w:rPr>
              <w:t>2.97</w:t>
            </w:r>
          </w:p>
        </w:tc>
        <w:tc>
          <w:tcPr>
            <w:tcW w:w="487" w:type="pct"/>
            <w:tcBorders>
              <w:top w:val="nil"/>
              <w:left w:val="nil"/>
              <w:bottom w:val="nil"/>
              <w:right w:val="nil"/>
            </w:tcBorders>
            <w:shd w:val="clear" w:color="auto" w:fill="auto"/>
            <w:noWrap/>
            <w:vAlign w:val="bottom"/>
            <w:hideMark/>
          </w:tcPr>
          <w:p w14:paraId="6B9AB5EE" w14:textId="77777777" w:rsidR="00237C04" w:rsidRPr="006527E3" w:rsidRDefault="00237C04" w:rsidP="00874C0D">
            <w:pPr>
              <w:spacing w:after="0" w:line="240" w:lineRule="auto"/>
              <w:jc w:val="center"/>
              <w:rPr>
                <w:rFonts w:ascii="Times New Roman" w:eastAsia="Times New Roman" w:hAnsi="Times New Roman" w:cs="Times New Roman"/>
                <w:color w:val="000000"/>
                <w:sz w:val="15"/>
                <w:szCs w:val="15"/>
                <w:lang w:eastAsia="en-GB"/>
              </w:rPr>
            </w:pPr>
            <w:r w:rsidRPr="006527E3">
              <w:rPr>
                <w:rFonts w:ascii="Times New Roman" w:eastAsia="Times New Roman" w:hAnsi="Times New Roman" w:cs="Times New Roman"/>
                <w:color w:val="000000"/>
                <w:sz w:val="15"/>
                <w:szCs w:val="15"/>
                <w:lang w:eastAsia="en-GB"/>
              </w:rPr>
              <w:t>1.87, 4.71</w:t>
            </w:r>
          </w:p>
        </w:tc>
        <w:tc>
          <w:tcPr>
            <w:tcW w:w="488" w:type="pct"/>
            <w:tcBorders>
              <w:top w:val="nil"/>
              <w:left w:val="nil"/>
              <w:bottom w:val="nil"/>
              <w:right w:val="nil"/>
            </w:tcBorders>
            <w:shd w:val="clear" w:color="auto" w:fill="auto"/>
            <w:noWrap/>
            <w:vAlign w:val="bottom"/>
            <w:hideMark/>
          </w:tcPr>
          <w:p w14:paraId="29426DD6" w14:textId="77777777" w:rsidR="00237C04" w:rsidRPr="006527E3" w:rsidRDefault="00237C04" w:rsidP="00874C0D">
            <w:pPr>
              <w:spacing w:after="0" w:line="240" w:lineRule="auto"/>
              <w:jc w:val="center"/>
              <w:rPr>
                <w:rFonts w:ascii="Times New Roman" w:eastAsia="Times New Roman" w:hAnsi="Times New Roman" w:cs="Times New Roman"/>
                <w:color w:val="000000"/>
                <w:sz w:val="15"/>
                <w:szCs w:val="15"/>
                <w:lang w:eastAsia="en-GB"/>
              </w:rPr>
            </w:pPr>
            <w:r w:rsidRPr="006527E3">
              <w:rPr>
                <w:rFonts w:ascii="Times New Roman" w:eastAsia="Times New Roman" w:hAnsi="Times New Roman" w:cs="Times New Roman"/>
                <w:color w:val="000000"/>
                <w:sz w:val="15"/>
                <w:szCs w:val="15"/>
                <w:lang w:eastAsia="en-GB"/>
              </w:rPr>
              <w:t>&lt;0.001</w:t>
            </w:r>
          </w:p>
        </w:tc>
        <w:tc>
          <w:tcPr>
            <w:tcW w:w="487" w:type="pct"/>
            <w:tcBorders>
              <w:top w:val="nil"/>
              <w:left w:val="single" w:sz="4" w:space="0" w:color="auto"/>
              <w:bottom w:val="nil"/>
              <w:right w:val="nil"/>
            </w:tcBorders>
            <w:shd w:val="clear" w:color="auto" w:fill="auto"/>
            <w:noWrap/>
            <w:vAlign w:val="bottom"/>
            <w:hideMark/>
          </w:tcPr>
          <w:p w14:paraId="747C86AD" w14:textId="77777777" w:rsidR="00237C04" w:rsidRPr="006527E3" w:rsidRDefault="00237C04" w:rsidP="00874C0D">
            <w:pPr>
              <w:spacing w:after="0" w:line="240" w:lineRule="auto"/>
              <w:jc w:val="center"/>
              <w:rPr>
                <w:rFonts w:ascii="Times New Roman" w:eastAsia="Times New Roman" w:hAnsi="Times New Roman" w:cs="Times New Roman"/>
                <w:color w:val="000000"/>
                <w:sz w:val="15"/>
                <w:szCs w:val="15"/>
                <w:lang w:eastAsia="en-GB"/>
              </w:rPr>
            </w:pPr>
            <w:r w:rsidRPr="006527E3">
              <w:rPr>
                <w:rFonts w:ascii="Times New Roman" w:eastAsia="Times New Roman" w:hAnsi="Times New Roman" w:cs="Times New Roman"/>
                <w:color w:val="000000"/>
                <w:sz w:val="15"/>
                <w:szCs w:val="15"/>
                <w:lang w:eastAsia="en-GB"/>
              </w:rPr>
              <w:t>2.52</w:t>
            </w:r>
          </w:p>
        </w:tc>
        <w:tc>
          <w:tcPr>
            <w:tcW w:w="487" w:type="pct"/>
            <w:tcBorders>
              <w:top w:val="nil"/>
              <w:left w:val="nil"/>
              <w:bottom w:val="nil"/>
              <w:right w:val="nil"/>
            </w:tcBorders>
            <w:shd w:val="clear" w:color="auto" w:fill="auto"/>
            <w:noWrap/>
            <w:vAlign w:val="bottom"/>
            <w:hideMark/>
          </w:tcPr>
          <w:p w14:paraId="6847962D" w14:textId="77777777" w:rsidR="00237C04" w:rsidRPr="006527E3" w:rsidRDefault="00237C04" w:rsidP="00874C0D">
            <w:pPr>
              <w:spacing w:after="0" w:line="240" w:lineRule="auto"/>
              <w:jc w:val="center"/>
              <w:rPr>
                <w:rFonts w:ascii="Times New Roman" w:eastAsia="Times New Roman" w:hAnsi="Times New Roman" w:cs="Times New Roman"/>
                <w:color w:val="000000"/>
                <w:sz w:val="15"/>
                <w:szCs w:val="15"/>
                <w:lang w:eastAsia="en-GB"/>
              </w:rPr>
            </w:pPr>
            <w:r w:rsidRPr="006527E3">
              <w:rPr>
                <w:rFonts w:ascii="Times New Roman" w:eastAsia="Times New Roman" w:hAnsi="Times New Roman" w:cs="Times New Roman"/>
                <w:color w:val="000000"/>
                <w:sz w:val="15"/>
                <w:szCs w:val="15"/>
                <w:lang w:eastAsia="en-GB"/>
              </w:rPr>
              <w:t>1.49, 4.26</w:t>
            </w:r>
          </w:p>
        </w:tc>
        <w:tc>
          <w:tcPr>
            <w:tcW w:w="488" w:type="pct"/>
            <w:tcBorders>
              <w:top w:val="nil"/>
              <w:left w:val="nil"/>
              <w:bottom w:val="nil"/>
              <w:right w:val="nil"/>
            </w:tcBorders>
            <w:shd w:val="clear" w:color="auto" w:fill="auto"/>
            <w:noWrap/>
            <w:vAlign w:val="bottom"/>
            <w:hideMark/>
          </w:tcPr>
          <w:p w14:paraId="1D593BF4" w14:textId="77777777" w:rsidR="00237C04" w:rsidRPr="006527E3" w:rsidRDefault="00237C04" w:rsidP="00874C0D">
            <w:pPr>
              <w:spacing w:after="0" w:line="240" w:lineRule="auto"/>
              <w:jc w:val="center"/>
              <w:rPr>
                <w:rFonts w:ascii="Times New Roman" w:eastAsia="Times New Roman" w:hAnsi="Times New Roman" w:cs="Times New Roman"/>
                <w:color w:val="000000"/>
                <w:sz w:val="15"/>
                <w:szCs w:val="15"/>
                <w:lang w:eastAsia="en-GB"/>
              </w:rPr>
            </w:pPr>
            <w:r w:rsidRPr="006527E3">
              <w:rPr>
                <w:rFonts w:ascii="Times New Roman" w:eastAsia="Times New Roman" w:hAnsi="Times New Roman" w:cs="Times New Roman"/>
                <w:color w:val="000000"/>
                <w:sz w:val="15"/>
                <w:szCs w:val="15"/>
                <w:lang w:eastAsia="en-GB"/>
              </w:rPr>
              <w:t>0.001</w:t>
            </w:r>
          </w:p>
        </w:tc>
        <w:tc>
          <w:tcPr>
            <w:tcW w:w="487" w:type="pct"/>
            <w:tcBorders>
              <w:top w:val="nil"/>
              <w:left w:val="single" w:sz="4" w:space="0" w:color="auto"/>
              <w:bottom w:val="nil"/>
              <w:right w:val="nil"/>
            </w:tcBorders>
            <w:shd w:val="clear" w:color="auto" w:fill="auto"/>
            <w:noWrap/>
            <w:vAlign w:val="bottom"/>
            <w:hideMark/>
          </w:tcPr>
          <w:p w14:paraId="035DBFEF" w14:textId="77777777" w:rsidR="00237C04" w:rsidRPr="006527E3" w:rsidRDefault="00237C04" w:rsidP="00874C0D">
            <w:pPr>
              <w:spacing w:after="0" w:line="240" w:lineRule="auto"/>
              <w:jc w:val="center"/>
              <w:rPr>
                <w:rFonts w:ascii="Times New Roman" w:eastAsia="Times New Roman" w:hAnsi="Times New Roman" w:cs="Times New Roman"/>
                <w:color w:val="000000"/>
                <w:sz w:val="15"/>
                <w:szCs w:val="15"/>
                <w:lang w:eastAsia="en-GB"/>
              </w:rPr>
            </w:pPr>
            <w:r w:rsidRPr="006527E3">
              <w:rPr>
                <w:rFonts w:ascii="Times New Roman" w:eastAsia="Times New Roman" w:hAnsi="Times New Roman" w:cs="Times New Roman"/>
                <w:color w:val="000000"/>
                <w:sz w:val="15"/>
                <w:szCs w:val="15"/>
                <w:lang w:eastAsia="en-GB"/>
              </w:rPr>
              <w:t>2.66</w:t>
            </w:r>
          </w:p>
        </w:tc>
        <w:tc>
          <w:tcPr>
            <w:tcW w:w="487" w:type="pct"/>
            <w:tcBorders>
              <w:top w:val="nil"/>
              <w:left w:val="nil"/>
              <w:bottom w:val="nil"/>
              <w:right w:val="nil"/>
            </w:tcBorders>
            <w:shd w:val="clear" w:color="auto" w:fill="auto"/>
            <w:noWrap/>
            <w:vAlign w:val="bottom"/>
            <w:hideMark/>
          </w:tcPr>
          <w:p w14:paraId="3E98E175" w14:textId="77777777" w:rsidR="00237C04" w:rsidRPr="006527E3" w:rsidRDefault="00237C04" w:rsidP="00874C0D">
            <w:pPr>
              <w:spacing w:after="0" w:line="240" w:lineRule="auto"/>
              <w:jc w:val="center"/>
              <w:rPr>
                <w:rFonts w:ascii="Times New Roman" w:eastAsia="Times New Roman" w:hAnsi="Times New Roman" w:cs="Times New Roman"/>
                <w:color w:val="000000"/>
                <w:sz w:val="15"/>
                <w:szCs w:val="15"/>
                <w:lang w:eastAsia="en-GB"/>
              </w:rPr>
            </w:pPr>
            <w:r w:rsidRPr="006527E3">
              <w:rPr>
                <w:rFonts w:ascii="Times New Roman" w:eastAsia="Times New Roman" w:hAnsi="Times New Roman" w:cs="Times New Roman"/>
                <w:color w:val="000000"/>
                <w:sz w:val="15"/>
                <w:szCs w:val="15"/>
                <w:lang w:eastAsia="en-GB"/>
              </w:rPr>
              <w:t>1.53, 4.61</w:t>
            </w:r>
          </w:p>
        </w:tc>
        <w:tc>
          <w:tcPr>
            <w:tcW w:w="484" w:type="pct"/>
            <w:tcBorders>
              <w:top w:val="nil"/>
              <w:left w:val="nil"/>
              <w:bottom w:val="nil"/>
              <w:right w:val="nil"/>
            </w:tcBorders>
            <w:shd w:val="clear" w:color="auto" w:fill="auto"/>
            <w:noWrap/>
            <w:vAlign w:val="bottom"/>
            <w:hideMark/>
          </w:tcPr>
          <w:p w14:paraId="0A0E10BC" w14:textId="77777777" w:rsidR="00237C04" w:rsidRPr="006527E3" w:rsidRDefault="00237C04" w:rsidP="00874C0D">
            <w:pPr>
              <w:spacing w:after="0" w:line="240" w:lineRule="auto"/>
              <w:jc w:val="center"/>
              <w:rPr>
                <w:rFonts w:ascii="Times New Roman" w:eastAsia="Times New Roman" w:hAnsi="Times New Roman" w:cs="Times New Roman"/>
                <w:color w:val="000000"/>
                <w:sz w:val="15"/>
                <w:szCs w:val="15"/>
                <w:lang w:eastAsia="en-GB"/>
              </w:rPr>
            </w:pPr>
            <w:r w:rsidRPr="006527E3">
              <w:rPr>
                <w:rFonts w:ascii="Times New Roman" w:eastAsia="Times New Roman" w:hAnsi="Times New Roman" w:cs="Times New Roman"/>
                <w:color w:val="000000"/>
                <w:sz w:val="15"/>
                <w:szCs w:val="15"/>
                <w:lang w:eastAsia="en-GB"/>
              </w:rPr>
              <w:t>0.001</w:t>
            </w:r>
          </w:p>
        </w:tc>
      </w:tr>
      <w:tr w:rsidR="00237C04" w:rsidRPr="006527E3" w14:paraId="0BBA449E" w14:textId="77777777" w:rsidTr="008A295F">
        <w:trPr>
          <w:trHeight w:val="300"/>
        </w:trPr>
        <w:tc>
          <w:tcPr>
            <w:tcW w:w="617" w:type="pct"/>
            <w:tcBorders>
              <w:top w:val="nil"/>
              <w:left w:val="nil"/>
              <w:bottom w:val="nil"/>
              <w:right w:val="nil"/>
            </w:tcBorders>
            <w:shd w:val="clear" w:color="auto" w:fill="auto"/>
            <w:noWrap/>
            <w:vAlign w:val="bottom"/>
            <w:hideMark/>
          </w:tcPr>
          <w:p w14:paraId="4314784A" w14:textId="77777777" w:rsidR="00237C04" w:rsidRPr="006527E3" w:rsidRDefault="00237C04" w:rsidP="00874C0D">
            <w:pPr>
              <w:spacing w:after="0" w:line="240" w:lineRule="auto"/>
              <w:rPr>
                <w:rFonts w:ascii="Times New Roman" w:eastAsia="Times New Roman" w:hAnsi="Times New Roman" w:cs="Times New Roman"/>
                <w:color w:val="000000"/>
                <w:sz w:val="15"/>
                <w:szCs w:val="15"/>
                <w:lang w:eastAsia="en-GB"/>
              </w:rPr>
            </w:pPr>
            <w:r w:rsidRPr="006527E3">
              <w:rPr>
                <w:rFonts w:ascii="Times New Roman" w:eastAsia="Times New Roman" w:hAnsi="Times New Roman" w:cs="Times New Roman"/>
                <w:color w:val="000000"/>
                <w:sz w:val="15"/>
                <w:szCs w:val="15"/>
                <w:lang w:eastAsia="en-GB"/>
              </w:rPr>
              <w:t>BMD</w:t>
            </w:r>
          </w:p>
        </w:tc>
        <w:tc>
          <w:tcPr>
            <w:tcW w:w="487" w:type="pct"/>
            <w:tcBorders>
              <w:top w:val="nil"/>
              <w:left w:val="single" w:sz="4" w:space="0" w:color="auto"/>
              <w:bottom w:val="nil"/>
              <w:right w:val="nil"/>
            </w:tcBorders>
            <w:shd w:val="clear" w:color="auto" w:fill="auto"/>
            <w:noWrap/>
            <w:vAlign w:val="bottom"/>
            <w:hideMark/>
          </w:tcPr>
          <w:p w14:paraId="035780C9" w14:textId="77777777" w:rsidR="00237C04" w:rsidRPr="006527E3" w:rsidRDefault="00237C04" w:rsidP="00874C0D">
            <w:pPr>
              <w:spacing w:after="0" w:line="240" w:lineRule="auto"/>
              <w:jc w:val="center"/>
              <w:rPr>
                <w:rFonts w:ascii="Times New Roman" w:eastAsia="Times New Roman" w:hAnsi="Times New Roman" w:cs="Times New Roman"/>
                <w:color w:val="000000"/>
                <w:sz w:val="15"/>
                <w:szCs w:val="15"/>
                <w:lang w:eastAsia="en-GB"/>
              </w:rPr>
            </w:pPr>
            <w:r w:rsidRPr="006527E3">
              <w:rPr>
                <w:rFonts w:ascii="Times New Roman" w:eastAsia="Times New Roman" w:hAnsi="Times New Roman" w:cs="Times New Roman"/>
                <w:color w:val="000000"/>
                <w:sz w:val="15"/>
                <w:szCs w:val="15"/>
                <w:lang w:eastAsia="en-GB"/>
              </w:rPr>
              <w:t>3.09</w:t>
            </w:r>
          </w:p>
        </w:tc>
        <w:tc>
          <w:tcPr>
            <w:tcW w:w="487" w:type="pct"/>
            <w:tcBorders>
              <w:top w:val="nil"/>
              <w:left w:val="nil"/>
              <w:bottom w:val="nil"/>
              <w:right w:val="nil"/>
            </w:tcBorders>
            <w:shd w:val="clear" w:color="auto" w:fill="auto"/>
            <w:noWrap/>
            <w:vAlign w:val="bottom"/>
            <w:hideMark/>
          </w:tcPr>
          <w:p w14:paraId="4EF44096" w14:textId="77777777" w:rsidR="00237C04" w:rsidRPr="006527E3" w:rsidRDefault="00237C04" w:rsidP="00874C0D">
            <w:pPr>
              <w:spacing w:after="0" w:line="240" w:lineRule="auto"/>
              <w:jc w:val="center"/>
              <w:rPr>
                <w:rFonts w:ascii="Times New Roman" w:eastAsia="Times New Roman" w:hAnsi="Times New Roman" w:cs="Times New Roman"/>
                <w:color w:val="000000"/>
                <w:sz w:val="15"/>
                <w:szCs w:val="15"/>
                <w:lang w:eastAsia="en-GB"/>
              </w:rPr>
            </w:pPr>
            <w:r w:rsidRPr="006527E3">
              <w:rPr>
                <w:rFonts w:ascii="Times New Roman" w:eastAsia="Times New Roman" w:hAnsi="Times New Roman" w:cs="Times New Roman"/>
                <w:color w:val="000000"/>
                <w:sz w:val="15"/>
                <w:szCs w:val="15"/>
                <w:lang w:eastAsia="en-GB"/>
              </w:rPr>
              <w:t>2.02, 4.72</w:t>
            </w:r>
          </w:p>
        </w:tc>
        <w:tc>
          <w:tcPr>
            <w:tcW w:w="488" w:type="pct"/>
            <w:tcBorders>
              <w:top w:val="nil"/>
              <w:left w:val="nil"/>
              <w:bottom w:val="nil"/>
              <w:right w:val="nil"/>
            </w:tcBorders>
            <w:shd w:val="clear" w:color="auto" w:fill="auto"/>
            <w:noWrap/>
            <w:vAlign w:val="bottom"/>
            <w:hideMark/>
          </w:tcPr>
          <w:p w14:paraId="0B5EA2B9" w14:textId="77777777" w:rsidR="00237C04" w:rsidRPr="006527E3" w:rsidRDefault="00237C04" w:rsidP="00874C0D">
            <w:pPr>
              <w:spacing w:after="0" w:line="240" w:lineRule="auto"/>
              <w:jc w:val="center"/>
              <w:rPr>
                <w:rFonts w:ascii="Times New Roman" w:eastAsia="Times New Roman" w:hAnsi="Times New Roman" w:cs="Times New Roman"/>
                <w:color w:val="000000"/>
                <w:sz w:val="15"/>
                <w:szCs w:val="15"/>
                <w:lang w:eastAsia="en-GB"/>
              </w:rPr>
            </w:pPr>
            <w:r w:rsidRPr="006527E3">
              <w:rPr>
                <w:rFonts w:ascii="Times New Roman" w:eastAsia="Times New Roman" w:hAnsi="Times New Roman" w:cs="Times New Roman"/>
                <w:color w:val="000000"/>
                <w:sz w:val="15"/>
                <w:szCs w:val="15"/>
                <w:lang w:eastAsia="en-GB"/>
              </w:rPr>
              <w:t>&lt;0.001</w:t>
            </w:r>
          </w:p>
        </w:tc>
        <w:tc>
          <w:tcPr>
            <w:tcW w:w="487" w:type="pct"/>
            <w:tcBorders>
              <w:top w:val="nil"/>
              <w:left w:val="single" w:sz="4" w:space="0" w:color="auto"/>
              <w:bottom w:val="nil"/>
              <w:right w:val="nil"/>
            </w:tcBorders>
            <w:shd w:val="clear" w:color="auto" w:fill="auto"/>
            <w:noWrap/>
            <w:vAlign w:val="bottom"/>
            <w:hideMark/>
          </w:tcPr>
          <w:p w14:paraId="489539B8" w14:textId="77777777" w:rsidR="00237C04" w:rsidRPr="006527E3" w:rsidRDefault="00237C04" w:rsidP="00874C0D">
            <w:pPr>
              <w:spacing w:after="0" w:line="240" w:lineRule="auto"/>
              <w:jc w:val="center"/>
              <w:rPr>
                <w:rFonts w:ascii="Times New Roman" w:eastAsia="Times New Roman" w:hAnsi="Times New Roman" w:cs="Times New Roman"/>
                <w:color w:val="000000"/>
                <w:sz w:val="15"/>
                <w:szCs w:val="15"/>
                <w:lang w:eastAsia="en-GB"/>
              </w:rPr>
            </w:pPr>
            <w:r w:rsidRPr="006527E3">
              <w:rPr>
                <w:rFonts w:ascii="Times New Roman" w:eastAsia="Times New Roman" w:hAnsi="Times New Roman" w:cs="Times New Roman"/>
                <w:color w:val="000000"/>
                <w:sz w:val="15"/>
                <w:szCs w:val="15"/>
                <w:lang w:eastAsia="en-GB"/>
              </w:rPr>
              <w:t>2.9</w:t>
            </w:r>
          </w:p>
        </w:tc>
        <w:tc>
          <w:tcPr>
            <w:tcW w:w="487" w:type="pct"/>
            <w:tcBorders>
              <w:top w:val="nil"/>
              <w:left w:val="nil"/>
              <w:bottom w:val="nil"/>
              <w:right w:val="nil"/>
            </w:tcBorders>
            <w:shd w:val="clear" w:color="auto" w:fill="auto"/>
            <w:noWrap/>
            <w:vAlign w:val="bottom"/>
            <w:hideMark/>
          </w:tcPr>
          <w:p w14:paraId="1FD42F9F" w14:textId="77777777" w:rsidR="00237C04" w:rsidRPr="006527E3" w:rsidRDefault="00237C04" w:rsidP="00874C0D">
            <w:pPr>
              <w:spacing w:after="0" w:line="240" w:lineRule="auto"/>
              <w:jc w:val="center"/>
              <w:rPr>
                <w:rFonts w:ascii="Times New Roman" w:eastAsia="Times New Roman" w:hAnsi="Times New Roman" w:cs="Times New Roman"/>
                <w:color w:val="000000"/>
                <w:sz w:val="15"/>
                <w:szCs w:val="15"/>
                <w:lang w:eastAsia="en-GB"/>
              </w:rPr>
            </w:pPr>
            <w:r w:rsidRPr="006527E3">
              <w:rPr>
                <w:rFonts w:ascii="Times New Roman" w:eastAsia="Times New Roman" w:hAnsi="Times New Roman" w:cs="Times New Roman"/>
                <w:color w:val="000000"/>
                <w:sz w:val="15"/>
                <w:szCs w:val="15"/>
                <w:lang w:eastAsia="en-GB"/>
              </w:rPr>
              <w:t>1.72, 4.89</w:t>
            </w:r>
          </w:p>
        </w:tc>
        <w:tc>
          <w:tcPr>
            <w:tcW w:w="488" w:type="pct"/>
            <w:tcBorders>
              <w:top w:val="nil"/>
              <w:left w:val="nil"/>
              <w:bottom w:val="nil"/>
              <w:right w:val="nil"/>
            </w:tcBorders>
            <w:shd w:val="clear" w:color="auto" w:fill="auto"/>
            <w:noWrap/>
            <w:vAlign w:val="bottom"/>
            <w:hideMark/>
          </w:tcPr>
          <w:p w14:paraId="2A33B031" w14:textId="77777777" w:rsidR="00237C04" w:rsidRPr="006527E3" w:rsidRDefault="00237C04" w:rsidP="00874C0D">
            <w:pPr>
              <w:spacing w:after="0" w:line="240" w:lineRule="auto"/>
              <w:jc w:val="center"/>
              <w:rPr>
                <w:rFonts w:ascii="Times New Roman" w:eastAsia="Times New Roman" w:hAnsi="Times New Roman" w:cs="Times New Roman"/>
                <w:color w:val="000000"/>
                <w:sz w:val="15"/>
                <w:szCs w:val="15"/>
                <w:lang w:eastAsia="en-GB"/>
              </w:rPr>
            </w:pPr>
            <w:r w:rsidRPr="006527E3">
              <w:rPr>
                <w:rFonts w:ascii="Times New Roman" w:eastAsia="Times New Roman" w:hAnsi="Times New Roman" w:cs="Times New Roman"/>
                <w:color w:val="000000"/>
                <w:sz w:val="15"/>
                <w:szCs w:val="15"/>
                <w:lang w:eastAsia="en-GB"/>
              </w:rPr>
              <w:t>&lt;0.001</w:t>
            </w:r>
          </w:p>
        </w:tc>
        <w:tc>
          <w:tcPr>
            <w:tcW w:w="487" w:type="pct"/>
            <w:tcBorders>
              <w:top w:val="nil"/>
              <w:left w:val="single" w:sz="4" w:space="0" w:color="auto"/>
              <w:bottom w:val="nil"/>
              <w:right w:val="nil"/>
            </w:tcBorders>
            <w:shd w:val="clear" w:color="auto" w:fill="auto"/>
            <w:noWrap/>
            <w:vAlign w:val="bottom"/>
            <w:hideMark/>
          </w:tcPr>
          <w:p w14:paraId="1BFB21F1" w14:textId="77777777" w:rsidR="00237C04" w:rsidRPr="006527E3" w:rsidRDefault="00237C04" w:rsidP="00874C0D">
            <w:pPr>
              <w:spacing w:after="0" w:line="240" w:lineRule="auto"/>
              <w:jc w:val="center"/>
              <w:rPr>
                <w:rFonts w:ascii="Times New Roman" w:eastAsia="Times New Roman" w:hAnsi="Times New Roman" w:cs="Times New Roman"/>
                <w:color w:val="000000"/>
                <w:sz w:val="15"/>
                <w:szCs w:val="15"/>
                <w:lang w:eastAsia="en-GB"/>
              </w:rPr>
            </w:pPr>
            <w:r w:rsidRPr="006527E3">
              <w:rPr>
                <w:rFonts w:ascii="Times New Roman" w:eastAsia="Times New Roman" w:hAnsi="Times New Roman" w:cs="Times New Roman"/>
                <w:color w:val="000000"/>
                <w:sz w:val="15"/>
                <w:szCs w:val="15"/>
                <w:lang w:eastAsia="en-GB"/>
              </w:rPr>
              <w:t>3.12</w:t>
            </w:r>
          </w:p>
        </w:tc>
        <w:tc>
          <w:tcPr>
            <w:tcW w:w="487" w:type="pct"/>
            <w:tcBorders>
              <w:top w:val="nil"/>
              <w:left w:val="nil"/>
              <w:bottom w:val="nil"/>
              <w:right w:val="nil"/>
            </w:tcBorders>
            <w:shd w:val="clear" w:color="auto" w:fill="auto"/>
            <w:noWrap/>
            <w:vAlign w:val="bottom"/>
            <w:hideMark/>
          </w:tcPr>
          <w:p w14:paraId="0C51E1BC" w14:textId="77777777" w:rsidR="00237C04" w:rsidRPr="006527E3" w:rsidRDefault="00237C04" w:rsidP="00874C0D">
            <w:pPr>
              <w:spacing w:after="0" w:line="240" w:lineRule="auto"/>
              <w:jc w:val="center"/>
              <w:rPr>
                <w:rFonts w:ascii="Times New Roman" w:eastAsia="Times New Roman" w:hAnsi="Times New Roman" w:cs="Times New Roman"/>
                <w:color w:val="000000"/>
                <w:sz w:val="15"/>
                <w:szCs w:val="15"/>
                <w:lang w:eastAsia="en-GB"/>
              </w:rPr>
            </w:pPr>
            <w:r w:rsidRPr="006527E3">
              <w:rPr>
                <w:rFonts w:ascii="Times New Roman" w:eastAsia="Times New Roman" w:hAnsi="Times New Roman" w:cs="Times New Roman"/>
                <w:color w:val="000000"/>
                <w:sz w:val="15"/>
                <w:szCs w:val="15"/>
                <w:lang w:eastAsia="en-GB"/>
              </w:rPr>
              <w:t>1.79, 5.45</w:t>
            </w:r>
          </w:p>
        </w:tc>
        <w:tc>
          <w:tcPr>
            <w:tcW w:w="484" w:type="pct"/>
            <w:tcBorders>
              <w:top w:val="nil"/>
              <w:left w:val="nil"/>
              <w:bottom w:val="nil"/>
              <w:right w:val="nil"/>
            </w:tcBorders>
            <w:shd w:val="clear" w:color="auto" w:fill="auto"/>
            <w:noWrap/>
            <w:vAlign w:val="bottom"/>
            <w:hideMark/>
          </w:tcPr>
          <w:p w14:paraId="3C4DB234" w14:textId="77777777" w:rsidR="00237C04" w:rsidRPr="006527E3" w:rsidRDefault="00237C04" w:rsidP="00874C0D">
            <w:pPr>
              <w:spacing w:after="0" w:line="240" w:lineRule="auto"/>
              <w:jc w:val="center"/>
              <w:rPr>
                <w:rFonts w:ascii="Times New Roman" w:eastAsia="Times New Roman" w:hAnsi="Times New Roman" w:cs="Times New Roman"/>
                <w:color w:val="000000"/>
                <w:sz w:val="15"/>
                <w:szCs w:val="15"/>
                <w:lang w:eastAsia="en-GB"/>
              </w:rPr>
            </w:pPr>
            <w:r w:rsidRPr="006527E3">
              <w:rPr>
                <w:rFonts w:ascii="Times New Roman" w:eastAsia="Times New Roman" w:hAnsi="Times New Roman" w:cs="Times New Roman"/>
                <w:color w:val="000000"/>
                <w:sz w:val="15"/>
                <w:szCs w:val="15"/>
                <w:lang w:eastAsia="en-GB"/>
              </w:rPr>
              <w:t>&lt;0.001</w:t>
            </w:r>
          </w:p>
        </w:tc>
      </w:tr>
      <w:tr w:rsidR="00237C04" w:rsidRPr="006527E3" w14:paraId="2782C38C" w14:textId="77777777" w:rsidTr="008A295F">
        <w:trPr>
          <w:trHeight w:val="300"/>
        </w:trPr>
        <w:tc>
          <w:tcPr>
            <w:tcW w:w="617" w:type="pct"/>
            <w:tcBorders>
              <w:top w:val="nil"/>
              <w:left w:val="nil"/>
              <w:bottom w:val="nil"/>
              <w:right w:val="nil"/>
            </w:tcBorders>
            <w:shd w:val="clear" w:color="auto" w:fill="auto"/>
            <w:noWrap/>
            <w:vAlign w:val="bottom"/>
            <w:hideMark/>
          </w:tcPr>
          <w:p w14:paraId="03E71F12" w14:textId="77777777" w:rsidR="00237C04" w:rsidRPr="006527E3" w:rsidRDefault="00237C04" w:rsidP="00874C0D">
            <w:pPr>
              <w:spacing w:after="0" w:line="240" w:lineRule="auto"/>
              <w:rPr>
                <w:rFonts w:ascii="Times New Roman" w:eastAsia="Times New Roman" w:hAnsi="Times New Roman" w:cs="Times New Roman"/>
                <w:b/>
                <w:bCs/>
                <w:color w:val="000000"/>
                <w:sz w:val="15"/>
                <w:szCs w:val="15"/>
                <w:lang w:eastAsia="en-GB"/>
              </w:rPr>
            </w:pPr>
            <w:r w:rsidRPr="006527E3">
              <w:rPr>
                <w:rFonts w:ascii="Times New Roman" w:eastAsia="Times New Roman" w:hAnsi="Times New Roman" w:cs="Times New Roman"/>
                <w:b/>
                <w:bCs/>
                <w:color w:val="000000"/>
                <w:sz w:val="15"/>
                <w:szCs w:val="15"/>
                <w:lang w:eastAsia="en-GB"/>
              </w:rPr>
              <w:t>Whole body</w:t>
            </w:r>
          </w:p>
        </w:tc>
        <w:tc>
          <w:tcPr>
            <w:tcW w:w="487" w:type="pct"/>
            <w:tcBorders>
              <w:top w:val="nil"/>
              <w:left w:val="single" w:sz="4" w:space="0" w:color="auto"/>
              <w:bottom w:val="nil"/>
              <w:right w:val="nil"/>
            </w:tcBorders>
            <w:shd w:val="clear" w:color="auto" w:fill="auto"/>
            <w:noWrap/>
            <w:vAlign w:val="bottom"/>
            <w:hideMark/>
          </w:tcPr>
          <w:p w14:paraId="549F9575" w14:textId="77777777" w:rsidR="00237C04" w:rsidRPr="006527E3" w:rsidRDefault="00237C04" w:rsidP="00874C0D">
            <w:pPr>
              <w:spacing w:after="0" w:line="240" w:lineRule="auto"/>
              <w:jc w:val="center"/>
              <w:rPr>
                <w:rFonts w:ascii="Times New Roman" w:eastAsia="Times New Roman" w:hAnsi="Times New Roman" w:cs="Times New Roman"/>
                <w:color w:val="000000"/>
                <w:sz w:val="15"/>
                <w:szCs w:val="15"/>
                <w:lang w:eastAsia="en-GB"/>
              </w:rPr>
            </w:pPr>
            <w:r w:rsidRPr="006527E3">
              <w:rPr>
                <w:rFonts w:ascii="Times New Roman" w:eastAsia="Times New Roman" w:hAnsi="Times New Roman" w:cs="Times New Roman"/>
                <w:color w:val="000000"/>
                <w:sz w:val="15"/>
                <w:szCs w:val="15"/>
                <w:lang w:eastAsia="en-GB"/>
              </w:rPr>
              <w:t> </w:t>
            </w:r>
          </w:p>
        </w:tc>
        <w:tc>
          <w:tcPr>
            <w:tcW w:w="487" w:type="pct"/>
            <w:tcBorders>
              <w:top w:val="nil"/>
              <w:left w:val="nil"/>
              <w:bottom w:val="nil"/>
              <w:right w:val="nil"/>
            </w:tcBorders>
            <w:shd w:val="clear" w:color="auto" w:fill="auto"/>
            <w:noWrap/>
            <w:vAlign w:val="bottom"/>
            <w:hideMark/>
          </w:tcPr>
          <w:p w14:paraId="093591E2" w14:textId="77777777" w:rsidR="00237C04" w:rsidRPr="006527E3" w:rsidRDefault="00237C04" w:rsidP="00874C0D">
            <w:pPr>
              <w:spacing w:after="0" w:line="240" w:lineRule="auto"/>
              <w:jc w:val="center"/>
              <w:rPr>
                <w:rFonts w:ascii="Times New Roman" w:eastAsia="Times New Roman" w:hAnsi="Times New Roman" w:cs="Times New Roman"/>
                <w:color w:val="000000"/>
                <w:sz w:val="15"/>
                <w:szCs w:val="15"/>
                <w:lang w:eastAsia="en-GB"/>
              </w:rPr>
            </w:pPr>
          </w:p>
        </w:tc>
        <w:tc>
          <w:tcPr>
            <w:tcW w:w="488" w:type="pct"/>
            <w:tcBorders>
              <w:top w:val="nil"/>
              <w:left w:val="nil"/>
              <w:bottom w:val="nil"/>
              <w:right w:val="nil"/>
            </w:tcBorders>
            <w:shd w:val="clear" w:color="auto" w:fill="auto"/>
            <w:noWrap/>
            <w:vAlign w:val="bottom"/>
            <w:hideMark/>
          </w:tcPr>
          <w:p w14:paraId="672A3F8D" w14:textId="77777777" w:rsidR="00237C04" w:rsidRPr="006527E3" w:rsidRDefault="00237C04" w:rsidP="00874C0D">
            <w:pPr>
              <w:spacing w:after="0" w:line="240" w:lineRule="auto"/>
              <w:jc w:val="center"/>
              <w:rPr>
                <w:rFonts w:ascii="Times New Roman" w:eastAsia="Times New Roman" w:hAnsi="Times New Roman" w:cs="Times New Roman"/>
                <w:color w:val="000000"/>
                <w:sz w:val="15"/>
                <w:szCs w:val="15"/>
                <w:lang w:eastAsia="en-GB"/>
              </w:rPr>
            </w:pPr>
          </w:p>
        </w:tc>
        <w:tc>
          <w:tcPr>
            <w:tcW w:w="487" w:type="pct"/>
            <w:tcBorders>
              <w:top w:val="nil"/>
              <w:left w:val="single" w:sz="4" w:space="0" w:color="auto"/>
              <w:bottom w:val="nil"/>
              <w:right w:val="nil"/>
            </w:tcBorders>
            <w:shd w:val="clear" w:color="auto" w:fill="auto"/>
            <w:noWrap/>
            <w:vAlign w:val="bottom"/>
            <w:hideMark/>
          </w:tcPr>
          <w:p w14:paraId="5AD4E3C1" w14:textId="77777777" w:rsidR="00237C04" w:rsidRPr="006527E3" w:rsidRDefault="00237C04" w:rsidP="00874C0D">
            <w:pPr>
              <w:spacing w:after="0" w:line="240" w:lineRule="auto"/>
              <w:jc w:val="center"/>
              <w:rPr>
                <w:rFonts w:ascii="Times New Roman" w:eastAsia="Times New Roman" w:hAnsi="Times New Roman" w:cs="Times New Roman"/>
                <w:color w:val="000000"/>
                <w:sz w:val="15"/>
                <w:szCs w:val="15"/>
                <w:lang w:eastAsia="en-GB"/>
              </w:rPr>
            </w:pPr>
            <w:r w:rsidRPr="006527E3">
              <w:rPr>
                <w:rFonts w:ascii="Times New Roman" w:eastAsia="Times New Roman" w:hAnsi="Times New Roman" w:cs="Times New Roman"/>
                <w:color w:val="000000"/>
                <w:sz w:val="15"/>
                <w:szCs w:val="15"/>
                <w:lang w:eastAsia="en-GB"/>
              </w:rPr>
              <w:t> </w:t>
            </w:r>
          </w:p>
        </w:tc>
        <w:tc>
          <w:tcPr>
            <w:tcW w:w="487" w:type="pct"/>
            <w:tcBorders>
              <w:top w:val="nil"/>
              <w:left w:val="nil"/>
              <w:bottom w:val="nil"/>
              <w:right w:val="nil"/>
            </w:tcBorders>
            <w:shd w:val="clear" w:color="auto" w:fill="auto"/>
            <w:noWrap/>
            <w:vAlign w:val="bottom"/>
            <w:hideMark/>
          </w:tcPr>
          <w:p w14:paraId="343253A8" w14:textId="77777777" w:rsidR="00237C04" w:rsidRPr="006527E3" w:rsidRDefault="00237C04" w:rsidP="00874C0D">
            <w:pPr>
              <w:spacing w:after="0" w:line="240" w:lineRule="auto"/>
              <w:jc w:val="center"/>
              <w:rPr>
                <w:rFonts w:ascii="Times New Roman" w:eastAsia="Times New Roman" w:hAnsi="Times New Roman" w:cs="Times New Roman"/>
                <w:color w:val="000000"/>
                <w:sz w:val="15"/>
                <w:szCs w:val="15"/>
                <w:lang w:eastAsia="en-GB"/>
              </w:rPr>
            </w:pPr>
          </w:p>
        </w:tc>
        <w:tc>
          <w:tcPr>
            <w:tcW w:w="488" w:type="pct"/>
            <w:tcBorders>
              <w:top w:val="nil"/>
              <w:left w:val="nil"/>
              <w:bottom w:val="nil"/>
              <w:right w:val="nil"/>
            </w:tcBorders>
            <w:shd w:val="clear" w:color="auto" w:fill="auto"/>
            <w:noWrap/>
            <w:vAlign w:val="bottom"/>
            <w:hideMark/>
          </w:tcPr>
          <w:p w14:paraId="09C02721" w14:textId="77777777" w:rsidR="00237C04" w:rsidRPr="006527E3" w:rsidRDefault="00237C04" w:rsidP="00874C0D">
            <w:pPr>
              <w:spacing w:after="0" w:line="240" w:lineRule="auto"/>
              <w:jc w:val="center"/>
              <w:rPr>
                <w:rFonts w:ascii="Times New Roman" w:eastAsia="Times New Roman" w:hAnsi="Times New Roman" w:cs="Times New Roman"/>
                <w:color w:val="000000"/>
                <w:sz w:val="15"/>
                <w:szCs w:val="15"/>
                <w:lang w:eastAsia="en-GB"/>
              </w:rPr>
            </w:pPr>
          </w:p>
        </w:tc>
        <w:tc>
          <w:tcPr>
            <w:tcW w:w="487" w:type="pct"/>
            <w:tcBorders>
              <w:top w:val="nil"/>
              <w:left w:val="single" w:sz="4" w:space="0" w:color="auto"/>
              <w:bottom w:val="nil"/>
              <w:right w:val="nil"/>
            </w:tcBorders>
            <w:shd w:val="clear" w:color="auto" w:fill="auto"/>
            <w:noWrap/>
            <w:vAlign w:val="bottom"/>
            <w:hideMark/>
          </w:tcPr>
          <w:p w14:paraId="2BA9E153" w14:textId="77777777" w:rsidR="00237C04" w:rsidRPr="006527E3" w:rsidRDefault="00237C04" w:rsidP="00874C0D">
            <w:pPr>
              <w:spacing w:after="0" w:line="240" w:lineRule="auto"/>
              <w:jc w:val="center"/>
              <w:rPr>
                <w:rFonts w:ascii="Times New Roman" w:eastAsia="Times New Roman" w:hAnsi="Times New Roman" w:cs="Times New Roman"/>
                <w:color w:val="000000"/>
                <w:sz w:val="15"/>
                <w:szCs w:val="15"/>
                <w:lang w:eastAsia="en-GB"/>
              </w:rPr>
            </w:pPr>
            <w:r w:rsidRPr="006527E3">
              <w:rPr>
                <w:rFonts w:ascii="Times New Roman" w:eastAsia="Times New Roman" w:hAnsi="Times New Roman" w:cs="Times New Roman"/>
                <w:color w:val="000000"/>
                <w:sz w:val="15"/>
                <w:szCs w:val="15"/>
                <w:lang w:eastAsia="en-GB"/>
              </w:rPr>
              <w:t> </w:t>
            </w:r>
          </w:p>
        </w:tc>
        <w:tc>
          <w:tcPr>
            <w:tcW w:w="487" w:type="pct"/>
            <w:tcBorders>
              <w:top w:val="nil"/>
              <w:left w:val="nil"/>
              <w:bottom w:val="nil"/>
              <w:right w:val="nil"/>
            </w:tcBorders>
            <w:shd w:val="clear" w:color="auto" w:fill="auto"/>
            <w:noWrap/>
            <w:vAlign w:val="bottom"/>
            <w:hideMark/>
          </w:tcPr>
          <w:p w14:paraId="2F35F9CE" w14:textId="77777777" w:rsidR="00237C04" w:rsidRPr="006527E3" w:rsidRDefault="00237C04" w:rsidP="00874C0D">
            <w:pPr>
              <w:spacing w:after="0" w:line="240" w:lineRule="auto"/>
              <w:jc w:val="center"/>
              <w:rPr>
                <w:rFonts w:ascii="Times New Roman" w:eastAsia="Times New Roman" w:hAnsi="Times New Roman" w:cs="Times New Roman"/>
                <w:color w:val="000000"/>
                <w:sz w:val="15"/>
                <w:szCs w:val="15"/>
                <w:lang w:eastAsia="en-GB"/>
              </w:rPr>
            </w:pPr>
          </w:p>
        </w:tc>
        <w:tc>
          <w:tcPr>
            <w:tcW w:w="484" w:type="pct"/>
            <w:tcBorders>
              <w:top w:val="nil"/>
              <w:left w:val="nil"/>
              <w:bottom w:val="nil"/>
              <w:right w:val="nil"/>
            </w:tcBorders>
            <w:shd w:val="clear" w:color="auto" w:fill="auto"/>
            <w:noWrap/>
            <w:vAlign w:val="bottom"/>
            <w:hideMark/>
          </w:tcPr>
          <w:p w14:paraId="44BD26B5" w14:textId="77777777" w:rsidR="00237C04" w:rsidRPr="006527E3" w:rsidRDefault="00237C04" w:rsidP="00874C0D">
            <w:pPr>
              <w:spacing w:after="0" w:line="240" w:lineRule="auto"/>
              <w:jc w:val="center"/>
              <w:rPr>
                <w:rFonts w:ascii="Times New Roman" w:eastAsia="Times New Roman" w:hAnsi="Times New Roman" w:cs="Times New Roman"/>
                <w:color w:val="000000"/>
                <w:sz w:val="15"/>
                <w:szCs w:val="15"/>
                <w:lang w:eastAsia="en-GB"/>
              </w:rPr>
            </w:pPr>
          </w:p>
        </w:tc>
      </w:tr>
      <w:tr w:rsidR="00237C04" w:rsidRPr="006527E3" w14:paraId="054CA48F" w14:textId="77777777" w:rsidTr="008A295F">
        <w:trPr>
          <w:trHeight w:val="300"/>
        </w:trPr>
        <w:tc>
          <w:tcPr>
            <w:tcW w:w="617" w:type="pct"/>
            <w:tcBorders>
              <w:top w:val="nil"/>
              <w:left w:val="nil"/>
              <w:bottom w:val="nil"/>
              <w:right w:val="nil"/>
            </w:tcBorders>
            <w:shd w:val="clear" w:color="auto" w:fill="auto"/>
            <w:noWrap/>
            <w:vAlign w:val="bottom"/>
            <w:hideMark/>
          </w:tcPr>
          <w:p w14:paraId="5E94AADF" w14:textId="77777777" w:rsidR="00237C04" w:rsidRPr="006527E3" w:rsidRDefault="00237C04" w:rsidP="00874C0D">
            <w:pPr>
              <w:spacing w:after="0" w:line="240" w:lineRule="auto"/>
              <w:rPr>
                <w:rFonts w:ascii="Times New Roman" w:eastAsia="Times New Roman" w:hAnsi="Times New Roman" w:cs="Times New Roman"/>
                <w:color w:val="000000"/>
                <w:sz w:val="15"/>
                <w:szCs w:val="15"/>
                <w:lang w:eastAsia="en-GB"/>
              </w:rPr>
            </w:pPr>
            <w:r w:rsidRPr="006527E3">
              <w:rPr>
                <w:rFonts w:ascii="Times New Roman" w:eastAsia="Times New Roman" w:hAnsi="Times New Roman" w:cs="Times New Roman"/>
                <w:color w:val="000000"/>
                <w:sz w:val="15"/>
                <w:szCs w:val="15"/>
                <w:lang w:eastAsia="en-GB"/>
              </w:rPr>
              <w:t>BMC</w:t>
            </w:r>
          </w:p>
        </w:tc>
        <w:tc>
          <w:tcPr>
            <w:tcW w:w="487" w:type="pct"/>
            <w:tcBorders>
              <w:top w:val="nil"/>
              <w:left w:val="single" w:sz="4" w:space="0" w:color="auto"/>
              <w:bottom w:val="nil"/>
              <w:right w:val="nil"/>
            </w:tcBorders>
            <w:shd w:val="clear" w:color="auto" w:fill="auto"/>
            <w:noWrap/>
            <w:vAlign w:val="bottom"/>
            <w:hideMark/>
          </w:tcPr>
          <w:p w14:paraId="086C2520" w14:textId="77777777" w:rsidR="00237C04" w:rsidRPr="006527E3" w:rsidRDefault="00237C04" w:rsidP="00874C0D">
            <w:pPr>
              <w:spacing w:after="0" w:line="240" w:lineRule="auto"/>
              <w:jc w:val="center"/>
              <w:rPr>
                <w:rFonts w:ascii="Times New Roman" w:eastAsia="Times New Roman" w:hAnsi="Times New Roman" w:cs="Times New Roman"/>
                <w:color w:val="000000"/>
                <w:sz w:val="15"/>
                <w:szCs w:val="15"/>
                <w:lang w:eastAsia="en-GB"/>
              </w:rPr>
            </w:pPr>
            <w:r w:rsidRPr="006527E3">
              <w:rPr>
                <w:rFonts w:ascii="Times New Roman" w:eastAsia="Times New Roman" w:hAnsi="Times New Roman" w:cs="Times New Roman"/>
                <w:color w:val="000000"/>
                <w:sz w:val="15"/>
                <w:szCs w:val="15"/>
                <w:lang w:eastAsia="en-GB"/>
              </w:rPr>
              <w:t>2.44</w:t>
            </w:r>
          </w:p>
        </w:tc>
        <w:tc>
          <w:tcPr>
            <w:tcW w:w="487" w:type="pct"/>
            <w:tcBorders>
              <w:top w:val="nil"/>
              <w:left w:val="nil"/>
              <w:bottom w:val="nil"/>
              <w:right w:val="nil"/>
            </w:tcBorders>
            <w:shd w:val="clear" w:color="auto" w:fill="auto"/>
            <w:noWrap/>
            <w:vAlign w:val="bottom"/>
            <w:hideMark/>
          </w:tcPr>
          <w:p w14:paraId="37D8F69F" w14:textId="77777777" w:rsidR="00237C04" w:rsidRPr="006527E3" w:rsidRDefault="00237C04" w:rsidP="00874C0D">
            <w:pPr>
              <w:spacing w:after="0" w:line="240" w:lineRule="auto"/>
              <w:jc w:val="center"/>
              <w:rPr>
                <w:rFonts w:ascii="Times New Roman" w:eastAsia="Times New Roman" w:hAnsi="Times New Roman" w:cs="Times New Roman"/>
                <w:color w:val="000000"/>
                <w:sz w:val="15"/>
                <w:szCs w:val="15"/>
                <w:lang w:eastAsia="en-GB"/>
              </w:rPr>
            </w:pPr>
            <w:r w:rsidRPr="006527E3">
              <w:rPr>
                <w:rFonts w:ascii="Times New Roman" w:eastAsia="Times New Roman" w:hAnsi="Times New Roman" w:cs="Times New Roman"/>
                <w:color w:val="000000"/>
                <w:sz w:val="15"/>
                <w:szCs w:val="15"/>
                <w:lang w:eastAsia="en-GB"/>
              </w:rPr>
              <w:t>1.54, 3.87</w:t>
            </w:r>
          </w:p>
        </w:tc>
        <w:tc>
          <w:tcPr>
            <w:tcW w:w="488" w:type="pct"/>
            <w:tcBorders>
              <w:top w:val="nil"/>
              <w:left w:val="nil"/>
              <w:bottom w:val="nil"/>
              <w:right w:val="nil"/>
            </w:tcBorders>
            <w:shd w:val="clear" w:color="auto" w:fill="auto"/>
            <w:noWrap/>
            <w:vAlign w:val="bottom"/>
            <w:hideMark/>
          </w:tcPr>
          <w:p w14:paraId="1979FBDE" w14:textId="77777777" w:rsidR="00237C04" w:rsidRPr="006527E3" w:rsidRDefault="00237C04" w:rsidP="00874C0D">
            <w:pPr>
              <w:spacing w:after="0" w:line="240" w:lineRule="auto"/>
              <w:jc w:val="center"/>
              <w:rPr>
                <w:rFonts w:ascii="Times New Roman" w:eastAsia="Times New Roman" w:hAnsi="Times New Roman" w:cs="Times New Roman"/>
                <w:color w:val="000000"/>
                <w:sz w:val="15"/>
                <w:szCs w:val="15"/>
                <w:lang w:eastAsia="en-GB"/>
              </w:rPr>
            </w:pPr>
            <w:r w:rsidRPr="006527E3">
              <w:rPr>
                <w:rFonts w:ascii="Times New Roman" w:eastAsia="Times New Roman" w:hAnsi="Times New Roman" w:cs="Times New Roman"/>
                <w:color w:val="000000"/>
                <w:sz w:val="15"/>
                <w:szCs w:val="15"/>
                <w:lang w:eastAsia="en-GB"/>
              </w:rPr>
              <w:t>&lt;0.001</w:t>
            </w:r>
          </w:p>
        </w:tc>
        <w:tc>
          <w:tcPr>
            <w:tcW w:w="487" w:type="pct"/>
            <w:tcBorders>
              <w:top w:val="nil"/>
              <w:left w:val="single" w:sz="4" w:space="0" w:color="auto"/>
              <w:bottom w:val="nil"/>
              <w:right w:val="nil"/>
            </w:tcBorders>
            <w:shd w:val="clear" w:color="auto" w:fill="auto"/>
            <w:noWrap/>
            <w:vAlign w:val="bottom"/>
            <w:hideMark/>
          </w:tcPr>
          <w:p w14:paraId="77C03FC6" w14:textId="77777777" w:rsidR="00237C04" w:rsidRPr="006527E3" w:rsidRDefault="00237C04" w:rsidP="00874C0D">
            <w:pPr>
              <w:spacing w:after="0" w:line="240" w:lineRule="auto"/>
              <w:jc w:val="center"/>
              <w:rPr>
                <w:rFonts w:ascii="Times New Roman" w:eastAsia="Times New Roman" w:hAnsi="Times New Roman" w:cs="Times New Roman"/>
                <w:color w:val="000000"/>
                <w:sz w:val="15"/>
                <w:szCs w:val="15"/>
                <w:lang w:eastAsia="en-GB"/>
              </w:rPr>
            </w:pPr>
            <w:r w:rsidRPr="006527E3">
              <w:rPr>
                <w:rFonts w:ascii="Times New Roman" w:eastAsia="Times New Roman" w:hAnsi="Times New Roman" w:cs="Times New Roman"/>
                <w:color w:val="000000"/>
                <w:sz w:val="15"/>
                <w:szCs w:val="15"/>
                <w:lang w:eastAsia="en-GB"/>
              </w:rPr>
              <w:t>2</w:t>
            </w:r>
          </w:p>
        </w:tc>
        <w:tc>
          <w:tcPr>
            <w:tcW w:w="487" w:type="pct"/>
            <w:tcBorders>
              <w:top w:val="nil"/>
              <w:left w:val="nil"/>
              <w:bottom w:val="nil"/>
              <w:right w:val="nil"/>
            </w:tcBorders>
            <w:shd w:val="clear" w:color="auto" w:fill="auto"/>
            <w:noWrap/>
            <w:vAlign w:val="bottom"/>
            <w:hideMark/>
          </w:tcPr>
          <w:p w14:paraId="255B7DC0" w14:textId="77777777" w:rsidR="00237C04" w:rsidRPr="006527E3" w:rsidRDefault="00237C04" w:rsidP="00874C0D">
            <w:pPr>
              <w:spacing w:after="0" w:line="240" w:lineRule="auto"/>
              <w:jc w:val="center"/>
              <w:rPr>
                <w:rFonts w:ascii="Times New Roman" w:eastAsia="Times New Roman" w:hAnsi="Times New Roman" w:cs="Times New Roman"/>
                <w:color w:val="000000"/>
                <w:sz w:val="15"/>
                <w:szCs w:val="15"/>
                <w:lang w:eastAsia="en-GB"/>
              </w:rPr>
            </w:pPr>
            <w:r w:rsidRPr="006527E3">
              <w:rPr>
                <w:rFonts w:ascii="Times New Roman" w:eastAsia="Times New Roman" w:hAnsi="Times New Roman" w:cs="Times New Roman"/>
                <w:color w:val="000000"/>
                <w:sz w:val="15"/>
                <w:szCs w:val="15"/>
                <w:lang w:eastAsia="en-GB"/>
              </w:rPr>
              <w:t>1.20, 3.33</w:t>
            </w:r>
          </w:p>
        </w:tc>
        <w:tc>
          <w:tcPr>
            <w:tcW w:w="488" w:type="pct"/>
            <w:tcBorders>
              <w:top w:val="nil"/>
              <w:left w:val="nil"/>
              <w:bottom w:val="nil"/>
              <w:right w:val="nil"/>
            </w:tcBorders>
            <w:shd w:val="clear" w:color="auto" w:fill="auto"/>
            <w:noWrap/>
            <w:vAlign w:val="bottom"/>
            <w:hideMark/>
          </w:tcPr>
          <w:p w14:paraId="41F3FB1A" w14:textId="77777777" w:rsidR="00237C04" w:rsidRPr="006527E3" w:rsidRDefault="00237C04" w:rsidP="00874C0D">
            <w:pPr>
              <w:spacing w:after="0" w:line="240" w:lineRule="auto"/>
              <w:jc w:val="center"/>
              <w:rPr>
                <w:rFonts w:ascii="Times New Roman" w:eastAsia="Times New Roman" w:hAnsi="Times New Roman" w:cs="Times New Roman"/>
                <w:color w:val="000000"/>
                <w:sz w:val="15"/>
                <w:szCs w:val="15"/>
                <w:lang w:eastAsia="en-GB"/>
              </w:rPr>
            </w:pPr>
            <w:r w:rsidRPr="006527E3">
              <w:rPr>
                <w:rFonts w:ascii="Times New Roman" w:eastAsia="Times New Roman" w:hAnsi="Times New Roman" w:cs="Times New Roman"/>
                <w:color w:val="000000"/>
                <w:sz w:val="15"/>
                <w:szCs w:val="15"/>
                <w:lang w:eastAsia="en-GB"/>
              </w:rPr>
              <w:t>0.008</w:t>
            </w:r>
          </w:p>
        </w:tc>
        <w:tc>
          <w:tcPr>
            <w:tcW w:w="487" w:type="pct"/>
            <w:tcBorders>
              <w:top w:val="nil"/>
              <w:left w:val="single" w:sz="4" w:space="0" w:color="auto"/>
              <w:bottom w:val="nil"/>
              <w:right w:val="nil"/>
            </w:tcBorders>
            <w:shd w:val="clear" w:color="auto" w:fill="auto"/>
            <w:noWrap/>
            <w:vAlign w:val="bottom"/>
            <w:hideMark/>
          </w:tcPr>
          <w:p w14:paraId="47F4F1CE" w14:textId="77777777" w:rsidR="00237C04" w:rsidRPr="006527E3" w:rsidRDefault="00237C04" w:rsidP="00874C0D">
            <w:pPr>
              <w:spacing w:after="0" w:line="240" w:lineRule="auto"/>
              <w:jc w:val="center"/>
              <w:rPr>
                <w:rFonts w:ascii="Times New Roman" w:eastAsia="Times New Roman" w:hAnsi="Times New Roman" w:cs="Times New Roman"/>
                <w:color w:val="000000"/>
                <w:sz w:val="15"/>
                <w:szCs w:val="15"/>
                <w:lang w:eastAsia="en-GB"/>
              </w:rPr>
            </w:pPr>
            <w:r w:rsidRPr="006527E3">
              <w:rPr>
                <w:rFonts w:ascii="Times New Roman" w:eastAsia="Times New Roman" w:hAnsi="Times New Roman" w:cs="Times New Roman"/>
                <w:color w:val="000000"/>
                <w:sz w:val="15"/>
                <w:szCs w:val="15"/>
                <w:lang w:eastAsia="en-GB"/>
              </w:rPr>
              <w:t>2.31</w:t>
            </w:r>
          </w:p>
        </w:tc>
        <w:tc>
          <w:tcPr>
            <w:tcW w:w="487" w:type="pct"/>
            <w:tcBorders>
              <w:top w:val="nil"/>
              <w:left w:val="nil"/>
              <w:bottom w:val="nil"/>
              <w:right w:val="nil"/>
            </w:tcBorders>
            <w:shd w:val="clear" w:color="auto" w:fill="auto"/>
            <w:noWrap/>
            <w:vAlign w:val="bottom"/>
            <w:hideMark/>
          </w:tcPr>
          <w:p w14:paraId="1AED521E" w14:textId="77777777" w:rsidR="00237C04" w:rsidRPr="006527E3" w:rsidRDefault="00237C04" w:rsidP="00874C0D">
            <w:pPr>
              <w:spacing w:after="0" w:line="240" w:lineRule="auto"/>
              <w:jc w:val="center"/>
              <w:rPr>
                <w:rFonts w:ascii="Times New Roman" w:eastAsia="Times New Roman" w:hAnsi="Times New Roman" w:cs="Times New Roman"/>
                <w:color w:val="000000"/>
                <w:sz w:val="15"/>
                <w:szCs w:val="15"/>
                <w:lang w:eastAsia="en-GB"/>
              </w:rPr>
            </w:pPr>
            <w:r w:rsidRPr="006527E3">
              <w:rPr>
                <w:rFonts w:ascii="Times New Roman" w:eastAsia="Times New Roman" w:hAnsi="Times New Roman" w:cs="Times New Roman"/>
                <w:color w:val="000000"/>
                <w:sz w:val="15"/>
                <w:szCs w:val="15"/>
                <w:lang w:eastAsia="en-GB"/>
              </w:rPr>
              <w:t>1.27, 4.22</w:t>
            </w:r>
          </w:p>
        </w:tc>
        <w:tc>
          <w:tcPr>
            <w:tcW w:w="484" w:type="pct"/>
            <w:tcBorders>
              <w:top w:val="nil"/>
              <w:left w:val="nil"/>
              <w:bottom w:val="nil"/>
              <w:right w:val="nil"/>
            </w:tcBorders>
            <w:shd w:val="clear" w:color="auto" w:fill="auto"/>
            <w:noWrap/>
            <w:vAlign w:val="bottom"/>
            <w:hideMark/>
          </w:tcPr>
          <w:p w14:paraId="1D73FA0E" w14:textId="77777777" w:rsidR="00237C04" w:rsidRPr="006527E3" w:rsidRDefault="00237C04" w:rsidP="00874C0D">
            <w:pPr>
              <w:spacing w:after="0" w:line="240" w:lineRule="auto"/>
              <w:jc w:val="center"/>
              <w:rPr>
                <w:rFonts w:ascii="Times New Roman" w:eastAsia="Times New Roman" w:hAnsi="Times New Roman" w:cs="Times New Roman"/>
                <w:color w:val="000000"/>
                <w:sz w:val="15"/>
                <w:szCs w:val="15"/>
                <w:lang w:eastAsia="en-GB"/>
              </w:rPr>
            </w:pPr>
            <w:r w:rsidRPr="006527E3">
              <w:rPr>
                <w:rFonts w:ascii="Times New Roman" w:eastAsia="Times New Roman" w:hAnsi="Times New Roman" w:cs="Times New Roman"/>
                <w:color w:val="000000"/>
                <w:sz w:val="15"/>
                <w:szCs w:val="15"/>
                <w:lang w:eastAsia="en-GB"/>
              </w:rPr>
              <w:t>0.006</w:t>
            </w:r>
          </w:p>
        </w:tc>
      </w:tr>
      <w:tr w:rsidR="00237C04" w:rsidRPr="006527E3" w14:paraId="66371498" w14:textId="77777777" w:rsidTr="008A295F">
        <w:trPr>
          <w:trHeight w:val="300"/>
        </w:trPr>
        <w:tc>
          <w:tcPr>
            <w:tcW w:w="617" w:type="pct"/>
            <w:tcBorders>
              <w:top w:val="nil"/>
              <w:left w:val="nil"/>
              <w:bottom w:val="nil"/>
              <w:right w:val="nil"/>
            </w:tcBorders>
            <w:shd w:val="clear" w:color="auto" w:fill="auto"/>
            <w:noWrap/>
            <w:vAlign w:val="bottom"/>
            <w:hideMark/>
          </w:tcPr>
          <w:p w14:paraId="6851C1A3" w14:textId="77777777" w:rsidR="00237C04" w:rsidRPr="006527E3" w:rsidRDefault="00237C04" w:rsidP="00874C0D">
            <w:pPr>
              <w:spacing w:after="0" w:line="240" w:lineRule="auto"/>
              <w:rPr>
                <w:rFonts w:ascii="Times New Roman" w:eastAsia="Times New Roman" w:hAnsi="Times New Roman" w:cs="Times New Roman"/>
                <w:color w:val="000000"/>
                <w:sz w:val="15"/>
                <w:szCs w:val="15"/>
                <w:lang w:eastAsia="en-GB"/>
              </w:rPr>
            </w:pPr>
            <w:r w:rsidRPr="006527E3">
              <w:rPr>
                <w:rFonts w:ascii="Times New Roman" w:eastAsia="Times New Roman" w:hAnsi="Times New Roman" w:cs="Times New Roman"/>
                <w:color w:val="000000"/>
                <w:sz w:val="15"/>
                <w:szCs w:val="15"/>
                <w:lang w:eastAsia="en-GB"/>
              </w:rPr>
              <w:t xml:space="preserve">BMD </w:t>
            </w:r>
          </w:p>
        </w:tc>
        <w:tc>
          <w:tcPr>
            <w:tcW w:w="487" w:type="pct"/>
            <w:tcBorders>
              <w:top w:val="nil"/>
              <w:left w:val="single" w:sz="4" w:space="0" w:color="auto"/>
              <w:bottom w:val="nil"/>
              <w:right w:val="nil"/>
            </w:tcBorders>
            <w:shd w:val="clear" w:color="auto" w:fill="auto"/>
            <w:noWrap/>
            <w:vAlign w:val="bottom"/>
            <w:hideMark/>
          </w:tcPr>
          <w:p w14:paraId="237E7331" w14:textId="77777777" w:rsidR="00237C04" w:rsidRPr="006527E3" w:rsidRDefault="00237C04" w:rsidP="00874C0D">
            <w:pPr>
              <w:spacing w:after="0" w:line="240" w:lineRule="auto"/>
              <w:jc w:val="center"/>
              <w:rPr>
                <w:rFonts w:ascii="Times New Roman" w:eastAsia="Times New Roman" w:hAnsi="Times New Roman" w:cs="Times New Roman"/>
                <w:color w:val="000000"/>
                <w:sz w:val="15"/>
                <w:szCs w:val="15"/>
                <w:lang w:eastAsia="en-GB"/>
              </w:rPr>
            </w:pPr>
            <w:r w:rsidRPr="006527E3">
              <w:rPr>
                <w:rFonts w:ascii="Times New Roman" w:eastAsia="Times New Roman" w:hAnsi="Times New Roman" w:cs="Times New Roman"/>
                <w:color w:val="000000"/>
                <w:sz w:val="15"/>
                <w:szCs w:val="15"/>
                <w:lang w:eastAsia="en-GB"/>
              </w:rPr>
              <w:t>2.53</w:t>
            </w:r>
          </w:p>
        </w:tc>
        <w:tc>
          <w:tcPr>
            <w:tcW w:w="487" w:type="pct"/>
            <w:tcBorders>
              <w:top w:val="nil"/>
              <w:left w:val="nil"/>
              <w:bottom w:val="nil"/>
              <w:right w:val="nil"/>
            </w:tcBorders>
            <w:shd w:val="clear" w:color="auto" w:fill="auto"/>
            <w:noWrap/>
            <w:vAlign w:val="bottom"/>
            <w:hideMark/>
          </w:tcPr>
          <w:p w14:paraId="4515E4A2" w14:textId="77777777" w:rsidR="00237C04" w:rsidRPr="006527E3" w:rsidRDefault="00237C04" w:rsidP="00874C0D">
            <w:pPr>
              <w:spacing w:after="0" w:line="240" w:lineRule="auto"/>
              <w:jc w:val="center"/>
              <w:rPr>
                <w:rFonts w:ascii="Times New Roman" w:eastAsia="Times New Roman" w:hAnsi="Times New Roman" w:cs="Times New Roman"/>
                <w:color w:val="000000"/>
                <w:sz w:val="15"/>
                <w:szCs w:val="15"/>
                <w:lang w:eastAsia="en-GB"/>
              </w:rPr>
            </w:pPr>
            <w:r w:rsidRPr="006527E3">
              <w:rPr>
                <w:rFonts w:ascii="Times New Roman" w:eastAsia="Times New Roman" w:hAnsi="Times New Roman" w:cs="Times New Roman"/>
                <w:color w:val="000000"/>
                <w:sz w:val="15"/>
                <w:szCs w:val="15"/>
                <w:lang w:eastAsia="en-GB"/>
              </w:rPr>
              <w:t>1.79, 3.57</w:t>
            </w:r>
          </w:p>
        </w:tc>
        <w:tc>
          <w:tcPr>
            <w:tcW w:w="488" w:type="pct"/>
            <w:tcBorders>
              <w:top w:val="nil"/>
              <w:left w:val="nil"/>
              <w:bottom w:val="nil"/>
              <w:right w:val="nil"/>
            </w:tcBorders>
            <w:shd w:val="clear" w:color="auto" w:fill="auto"/>
            <w:noWrap/>
            <w:vAlign w:val="bottom"/>
            <w:hideMark/>
          </w:tcPr>
          <w:p w14:paraId="73F0FFC7" w14:textId="77777777" w:rsidR="00237C04" w:rsidRPr="006527E3" w:rsidRDefault="00237C04" w:rsidP="00874C0D">
            <w:pPr>
              <w:spacing w:after="0" w:line="240" w:lineRule="auto"/>
              <w:jc w:val="center"/>
              <w:rPr>
                <w:rFonts w:ascii="Times New Roman" w:eastAsia="Times New Roman" w:hAnsi="Times New Roman" w:cs="Times New Roman"/>
                <w:color w:val="000000"/>
                <w:sz w:val="15"/>
                <w:szCs w:val="15"/>
                <w:lang w:eastAsia="en-GB"/>
              </w:rPr>
            </w:pPr>
            <w:r w:rsidRPr="006527E3">
              <w:rPr>
                <w:rFonts w:ascii="Times New Roman" w:eastAsia="Times New Roman" w:hAnsi="Times New Roman" w:cs="Times New Roman"/>
                <w:color w:val="000000"/>
                <w:sz w:val="15"/>
                <w:szCs w:val="15"/>
                <w:lang w:eastAsia="en-GB"/>
              </w:rPr>
              <w:t>&lt;0.001</w:t>
            </w:r>
          </w:p>
        </w:tc>
        <w:tc>
          <w:tcPr>
            <w:tcW w:w="487" w:type="pct"/>
            <w:tcBorders>
              <w:top w:val="nil"/>
              <w:left w:val="single" w:sz="4" w:space="0" w:color="auto"/>
              <w:bottom w:val="nil"/>
              <w:right w:val="nil"/>
            </w:tcBorders>
            <w:shd w:val="clear" w:color="auto" w:fill="auto"/>
            <w:noWrap/>
            <w:vAlign w:val="bottom"/>
            <w:hideMark/>
          </w:tcPr>
          <w:p w14:paraId="7F9168D4" w14:textId="77777777" w:rsidR="00237C04" w:rsidRPr="006527E3" w:rsidRDefault="00237C04" w:rsidP="00874C0D">
            <w:pPr>
              <w:spacing w:after="0" w:line="240" w:lineRule="auto"/>
              <w:jc w:val="center"/>
              <w:rPr>
                <w:rFonts w:ascii="Times New Roman" w:eastAsia="Times New Roman" w:hAnsi="Times New Roman" w:cs="Times New Roman"/>
                <w:color w:val="000000"/>
                <w:sz w:val="15"/>
                <w:szCs w:val="15"/>
                <w:lang w:eastAsia="en-GB"/>
              </w:rPr>
            </w:pPr>
            <w:r w:rsidRPr="006527E3">
              <w:rPr>
                <w:rFonts w:ascii="Times New Roman" w:eastAsia="Times New Roman" w:hAnsi="Times New Roman" w:cs="Times New Roman"/>
                <w:color w:val="000000"/>
                <w:sz w:val="15"/>
                <w:szCs w:val="15"/>
                <w:lang w:eastAsia="en-GB"/>
              </w:rPr>
              <w:t>2.35</w:t>
            </w:r>
          </w:p>
        </w:tc>
        <w:tc>
          <w:tcPr>
            <w:tcW w:w="487" w:type="pct"/>
            <w:tcBorders>
              <w:top w:val="nil"/>
              <w:left w:val="nil"/>
              <w:bottom w:val="nil"/>
              <w:right w:val="nil"/>
            </w:tcBorders>
            <w:shd w:val="clear" w:color="auto" w:fill="auto"/>
            <w:noWrap/>
            <w:vAlign w:val="bottom"/>
            <w:hideMark/>
          </w:tcPr>
          <w:p w14:paraId="086F90D1" w14:textId="77777777" w:rsidR="00237C04" w:rsidRPr="006527E3" w:rsidRDefault="00237C04" w:rsidP="00874C0D">
            <w:pPr>
              <w:spacing w:after="0" w:line="240" w:lineRule="auto"/>
              <w:jc w:val="center"/>
              <w:rPr>
                <w:rFonts w:ascii="Times New Roman" w:eastAsia="Times New Roman" w:hAnsi="Times New Roman" w:cs="Times New Roman"/>
                <w:color w:val="000000"/>
                <w:sz w:val="15"/>
                <w:szCs w:val="15"/>
                <w:lang w:eastAsia="en-GB"/>
              </w:rPr>
            </w:pPr>
            <w:r w:rsidRPr="006527E3">
              <w:rPr>
                <w:rFonts w:ascii="Times New Roman" w:eastAsia="Times New Roman" w:hAnsi="Times New Roman" w:cs="Times New Roman"/>
                <w:color w:val="000000"/>
                <w:sz w:val="15"/>
                <w:szCs w:val="15"/>
                <w:lang w:eastAsia="en-GB"/>
              </w:rPr>
              <w:t>1.54, 3.61</w:t>
            </w:r>
          </w:p>
        </w:tc>
        <w:tc>
          <w:tcPr>
            <w:tcW w:w="488" w:type="pct"/>
            <w:tcBorders>
              <w:top w:val="nil"/>
              <w:left w:val="nil"/>
              <w:bottom w:val="nil"/>
              <w:right w:val="nil"/>
            </w:tcBorders>
            <w:shd w:val="clear" w:color="auto" w:fill="auto"/>
            <w:noWrap/>
            <w:vAlign w:val="bottom"/>
            <w:hideMark/>
          </w:tcPr>
          <w:p w14:paraId="3B1368E2" w14:textId="77777777" w:rsidR="00237C04" w:rsidRPr="006527E3" w:rsidRDefault="00237C04" w:rsidP="00874C0D">
            <w:pPr>
              <w:spacing w:after="0" w:line="240" w:lineRule="auto"/>
              <w:jc w:val="center"/>
              <w:rPr>
                <w:rFonts w:ascii="Times New Roman" w:eastAsia="Times New Roman" w:hAnsi="Times New Roman" w:cs="Times New Roman"/>
                <w:color w:val="000000"/>
                <w:sz w:val="15"/>
                <w:szCs w:val="15"/>
                <w:lang w:eastAsia="en-GB"/>
              </w:rPr>
            </w:pPr>
            <w:r w:rsidRPr="006527E3">
              <w:rPr>
                <w:rFonts w:ascii="Times New Roman" w:eastAsia="Times New Roman" w:hAnsi="Times New Roman" w:cs="Times New Roman"/>
                <w:color w:val="000000"/>
                <w:sz w:val="15"/>
                <w:szCs w:val="15"/>
                <w:lang w:eastAsia="en-GB"/>
              </w:rPr>
              <w:t>&lt;0.001</w:t>
            </w:r>
          </w:p>
        </w:tc>
        <w:tc>
          <w:tcPr>
            <w:tcW w:w="487" w:type="pct"/>
            <w:tcBorders>
              <w:top w:val="nil"/>
              <w:left w:val="single" w:sz="4" w:space="0" w:color="auto"/>
              <w:bottom w:val="nil"/>
              <w:right w:val="nil"/>
            </w:tcBorders>
            <w:shd w:val="clear" w:color="auto" w:fill="auto"/>
            <w:noWrap/>
            <w:vAlign w:val="bottom"/>
            <w:hideMark/>
          </w:tcPr>
          <w:p w14:paraId="72AB8076" w14:textId="77777777" w:rsidR="00237C04" w:rsidRPr="006527E3" w:rsidRDefault="00237C04" w:rsidP="00874C0D">
            <w:pPr>
              <w:spacing w:after="0" w:line="240" w:lineRule="auto"/>
              <w:jc w:val="center"/>
              <w:rPr>
                <w:rFonts w:ascii="Times New Roman" w:eastAsia="Times New Roman" w:hAnsi="Times New Roman" w:cs="Times New Roman"/>
                <w:color w:val="000000"/>
                <w:sz w:val="15"/>
                <w:szCs w:val="15"/>
                <w:lang w:eastAsia="en-GB"/>
              </w:rPr>
            </w:pPr>
            <w:r w:rsidRPr="006527E3">
              <w:rPr>
                <w:rFonts w:ascii="Times New Roman" w:eastAsia="Times New Roman" w:hAnsi="Times New Roman" w:cs="Times New Roman"/>
                <w:color w:val="000000"/>
                <w:sz w:val="15"/>
                <w:szCs w:val="15"/>
                <w:lang w:eastAsia="en-GB"/>
              </w:rPr>
              <w:t>2.73</w:t>
            </w:r>
          </w:p>
        </w:tc>
        <w:tc>
          <w:tcPr>
            <w:tcW w:w="487" w:type="pct"/>
            <w:tcBorders>
              <w:top w:val="nil"/>
              <w:left w:val="nil"/>
              <w:bottom w:val="nil"/>
              <w:right w:val="nil"/>
            </w:tcBorders>
            <w:shd w:val="clear" w:color="auto" w:fill="auto"/>
            <w:noWrap/>
            <w:vAlign w:val="bottom"/>
            <w:hideMark/>
          </w:tcPr>
          <w:p w14:paraId="386C3151" w14:textId="77777777" w:rsidR="00237C04" w:rsidRPr="006527E3" w:rsidRDefault="00237C04" w:rsidP="00874C0D">
            <w:pPr>
              <w:spacing w:after="0" w:line="240" w:lineRule="auto"/>
              <w:jc w:val="center"/>
              <w:rPr>
                <w:rFonts w:ascii="Times New Roman" w:eastAsia="Times New Roman" w:hAnsi="Times New Roman" w:cs="Times New Roman"/>
                <w:color w:val="000000"/>
                <w:sz w:val="15"/>
                <w:szCs w:val="15"/>
                <w:lang w:eastAsia="en-GB"/>
              </w:rPr>
            </w:pPr>
            <w:r w:rsidRPr="006527E3">
              <w:rPr>
                <w:rFonts w:ascii="Times New Roman" w:eastAsia="Times New Roman" w:hAnsi="Times New Roman" w:cs="Times New Roman"/>
                <w:color w:val="000000"/>
                <w:sz w:val="15"/>
                <w:szCs w:val="15"/>
                <w:lang w:eastAsia="en-GB"/>
              </w:rPr>
              <w:t>1.67, 4.46</w:t>
            </w:r>
          </w:p>
        </w:tc>
        <w:tc>
          <w:tcPr>
            <w:tcW w:w="484" w:type="pct"/>
            <w:tcBorders>
              <w:top w:val="nil"/>
              <w:left w:val="nil"/>
              <w:bottom w:val="nil"/>
              <w:right w:val="nil"/>
            </w:tcBorders>
            <w:shd w:val="clear" w:color="auto" w:fill="auto"/>
            <w:noWrap/>
            <w:vAlign w:val="bottom"/>
            <w:hideMark/>
          </w:tcPr>
          <w:p w14:paraId="29ACD368" w14:textId="77777777" w:rsidR="00237C04" w:rsidRPr="006527E3" w:rsidRDefault="00237C04" w:rsidP="00874C0D">
            <w:pPr>
              <w:spacing w:after="0" w:line="240" w:lineRule="auto"/>
              <w:jc w:val="center"/>
              <w:rPr>
                <w:rFonts w:ascii="Times New Roman" w:eastAsia="Times New Roman" w:hAnsi="Times New Roman" w:cs="Times New Roman"/>
                <w:color w:val="000000"/>
                <w:sz w:val="15"/>
                <w:szCs w:val="15"/>
                <w:lang w:eastAsia="en-GB"/>
              </w:rPr>
            </w:pPr>
            <w:r w:rsidRPr="006527E3">
              <w:rPr>
                <w:rFonts w:ascii="Times New Roman" w:eastAsia="Times New Roman" w:hAnsi="Times New Roman" w:cs="Times New Roman"/>
                <w:color w:val="000000"/>
                <w:sz w:val="15"/>
                <w:szCs w:val="15"/>
                <w:lang w:eastAsia="en-GB"/>
              </w:rPr>
              <w:t>&lt;0.001</w:t>
            </w:r>
          </w:p>
        </w:tc>
      </w:tr>
      <w:tr w:rsidR="00237C04" w:rsidRPr="006527E3" w14:paraId="33E4A1C4" w14:textId="77777777" w:rsidTr="008A295F">
        <w:trPr>
          <w:trHeight w:val="315"/>
        </w:trPr>
        <w:tc>
          <w:tcPr>
            <w:tcW w:w="617" w:type="pct"/>
            <w:tcBorders>
              <w:top w:val="nil"/>
              <w:left w:val="nil"/>
              <w:bottom w:val="single" w:sz="18" w:space="0" w:color="auto"/>
              <w:right w:val="nil"/>
            </w:tcBorders>
            <w:shd w:val="clear" w:color="auto" w:fill="auto"/>
            <w:noWrap/>
            <w:vAlign w:val="bottom"/>
            <w:hideMark/>
          </w:tcPr>
          <w:p w14:paraId="6A1E06EC" w14:textId="77777777" w:rsidR="00237C04" w:rsidRPr="006527E3" w:rsidRDefault="00237C04" w:rsidP="00874C0D">
            <w:pPr>
              <w:spacing w:after="0" w:line="240" w:lineRule="auto"/>
              <w:rPr>
                <w:rFonts w:ascii="Times New Roman" w:eastAsia="Times New Roman" w:hAnsi="Times New Roman" w:cs="Times New Roman"/>
                <w:color w:val="000000"/>
                <w:sz w:val="14"/>
                <w:szCs w:val="14"/>
                <w:lang w:eastAsia="en-GB"/>
              </w:rPr>
            </w:pPr>
            <w:r w:rsidRPr="006527E3">
              <w:rPr>
                <w:rFonts w:ascii="Times New Roman" w:eastAsia="Times New Roman" w:hAnsi="Times New Roman" w:cs="Times New Roman"/>
                <w:color w:val="000000"/>
                <w:sz w:val="14"/>
                <w:szCs w:val="14"/>
                <w:lang w:eastAsia="en-GB"/>
              </w:rPr>
              <w:t> </w:t>
            </w:r>
          </w:p>
        </w:tc>
        <w:tc>
          <w:tcPr>
            <w:tcW w:w="487" w:type="pct"/>
            <w:tcBorders>
              <w:top w:val="nil"/>
              <w:left w:val="single" w:sz="4" w:space="0" w:color="auto"/>
              <w:bottom w:val="single" w:sz="18" w:space="0" w:color="auto"/>
              <w:right w:val="nil"/>
            </w:tcBorders>
            <w:shd w:val="clear" w:color="auto" w:fill="auto"/>
            <w:noWrap/>
            <w:vAlign w:val="bottom"/>
            <w:hideMark/>
          </w:tcPr>
          <w:p w14:paraId="1CFC87AB" w14:textId="77777777" w:rsidR="00237C04" w:rsidRPr="006527E3" w:rsidRDefault="00237C04" w:rsidP="00874C0D">
            <w:pPr>
              <w:spacing w:after="0" w:line="240" w:lineRule="auto"/>
              <w:rPr>
                <w:rFonts w:ascii="Times New Roman" w:eastAsia="Times New Roman" w:hAnsi="Times New Roman" w:cs="Times New Roman"/>
                <w:color w:val="000000"/>
                <w:sz w:val="14"/>
                <w:szCs w:val="14"/>
                <w:lang w:eastAsia="en-GB"/>
              </w:rPr>
            </w:pPr>
            <w:r w:rsidRPr="006527E3">
              <w:rPr>
                <w:rFonts w:ascii="Times New Roman" w:eastAsia="Times New Roman" w:hAnsi="Times New Roman" w:cs="Times New Roman"/>
                <w:color w:val="000000"/>
                <w:sz w:val="14"/>
                <w:szCs w:val="14"/>
                <w:lang w:eastAsia="en-GB"/>
              </w:rPr>
              <w:t> </w:t>
            </w:r>
          </w:p>
        </w:tc>
        <w:tc>
          <w:tcPr>
            <w:tcW w:w="487" w:type="pct"/>
            <w:tcBorders>
              <w:top w:val="nil"/>
              <w:left w:val="nil"/>
              <w:bottom w:val="single" w:sz="18" w:space="0" w:color="auto"/>
              <w:right w:val="nil"/>
            </w:tcBorders>
            <w:shd w:val="clear" w:color="auto" w:fill="auto"/>
            <w:noWrap/>
            <w:vAlign w:val="bottom"/>
            <w:hideMark/>
          </w:tcPr>
          <w:p w14:paraId="1EED6F3C" w14:textId="77777777" w:rsidR="00237C04" w:rsidRPr="006527E3" w:rsidRDefault="00237C04" w:rsidP="00874C0D">
            <w:pPr>
              <w:spacing w:after="0" w:line="240" w:lineRule="auto"/>
              <w:rPr>
                <w:rFonts w:ascii="Times New Roman" w:eastAsia="Times New Roman" w:hAnsi="Times New Roman" w:cs="Times New Roman"/>
                <w:color w:val="000000"/>
                <w:sz w:val="14"/>
                <w:szCs w:val="14"/>
                <w:lang w:eastAsia="en-GB"/>
              </w:rPr>
            </w:pPr>
            <w:r w:rsidRPr="006527E3">
              <w:rPr>
                <w:rFonts w:ascii="Times New Roman" w:eastAsia="Times New Roman" w:hAnsi="Times New Roman" w:cs="Times New Roman"/>
                <w:color w:val="000000"/>
                <w:sz w:val="14"/>
                <w:szCs w:val="14"/>
                <w:lang w:eastAsia="en-GB"/>
              </w:rPr>
              <w:t> </w:t>
            </w:r>
          </w:p>
        </w:tc>
        <w:tc>
          <w:tcPr>
            <w:tcW w:w="488" w:type="pct"/>
            <w:tcBorders>
              <w:top w:val="nil"/>
              <w:left w:val="nil"/>
              <w:bottom w:val="single" w:sz="18" w:space="0" w:color="auto"/>
              <w:right w:val="nil"/>
            </w:tcBorders>
            <w:shd w:val="clear" w:color="auto" w:fill="auto"/>
            <w:noWrap/>
            <w:vAlign w:val="bottom"/>
            <w:hideMark/>
          </w:tcPr>
          <w:p w14:paraId="15D1088C" w14:textId="77777777" w:rsidR="00237C04" w:rsidRPr="006527E3" w:rsidRDefault="00237C04" w:rsidP="00874C0D">
            <w:pPr>
              <w:spacing w:after="0" w:line="240" w:lineRule="auto"/>
              <w:rPr>
                <w:rFonts w:ascii="Times New Roman" w:eastAsia="Times New Roman" w:hAnsi="Times New Roman" w:cs="Times New Roman"/>
                <w:color w:val="000000"/>
                <w:sz w:val="14"/>
                <w:szCs w:val="14"/>
                <w:lang w:eastAsia="en-GB"/>
              </w:rPr>
            </w:pPr>
            <w:r w:rsidRPr="006527E3">
              <w:rPr>
                <w:rFonts w:ascii="Times New Roman" w:eastAsia="Times New Roman" w:hAnsi="Times New Roman" w:cs="Times New Roman"/>
                <w:color w:val="000000"/>
                <w:sz w:val="14"/>
                <w:szCs w:val="14"/>
                <w:lang w:eastAsia="en-GB"/>
              </w:rPr>
              <w:t> </w:t>
            </w:r>
          </w:p>
        </w:tc>
        <w:tc>
          <w:tcPr>
            <w:tcW w:w="487" w:type="pct"/>
            <w:tcBorders>
              <w:top w:val="nil"/>
              <w:left w:val="single" w:sz="4" w:space="0" w:color="auto"/>
              <w:bottom w:val="single" w:sz="18" w:space="0" w:color="auto"/>
              <w:right w:val="nil"/>
            </w:tcBorders>
            <w:shd w:val="clear" w:color="auto" w:fill="auto"/>
            <w:noWrap/>
            <w:vAlign w:val="bottom"/>
            <w:hideMark/>
          </w:tcPr>
          <w:p w14:paraId="0F419BBC" w14:textId="77777777" w:rsidR="00237C04" w:rsidRPr="006527E3" w:rsidRDefault="00237C04" w:rsidP="00874C0D">
            <w:pPr>
              <w:spacing w:after="0" w:line="240" w:lineRule="auto"/>
              <w:rPr>
                <w:rFonts w:ascii="Times New Roman" w:eastAsia="Times New Roman" w:hAnsi="Times New Roman" w:cs="Times New Roman"/>
                <w:color w:val="000000"/>
                <w:sz w:val="14"/>
                <w:szCs w:val="14"/>
                <w:lang w:eastAsia="en-GB"/>
              </w:rPr>
            </w:pPr>
            <w:r w:rsidRPr="006527E3">
              <w:rPr>
                <w:rFonts w:ascii="Times New Roman" w:eastAsia="Times New Roman" w:hAnsi="Times New Roman" w:cs="Times New Roman"/>
                <w:color w:val="000000"/>
                <w:sz w:val="14"/>
                <w:szCs w:val="14"/>
                <w:lang w:eastAsia="en-GB"/>
              </w:rPr>
              <w:t> </w:t>
            </w:r>
          </w:p>
        </w:tc>
        <w:tc>
          <w:tcPr>
            <w:tcW w:w="487" w:type="pct"/>
            <w:tcBorders>
              <w:top w:val="nil"/>
              <w:left w:val="nil"/>
              <w:bottom w:val="single" w:sz="18" w:space="0" w:color="auto"/>
              <w:right w:val="nil"/>
            </w:tcBorders>
            <w:shd w:val="clear" w:color="auto" w:fill="auto"/>
            <w:noWrap/>
            <w:vAlign w:val="bottom"/>
            <w:hideMark/>
          </w:tcPr>
          <w:p w14:paraId="6300299A" w14:textId="77777777" w:rsidR="00237C04" w:rsidRPr="006527E3" w:rsidRDefault="00237C04" w:rsidP="00874C0D">
            <w:pPr>
              <w:spacing w:after="0" w:line="240" w:lineRule="auto"/>
              <w:rPr>
                <w:rFonts w:ascii="Times New Roman" w:eastAsia="Times New Roman" w:hAnsi="Times New Roman" w:cs="Times New Roman"/>
                <w:color w:val="000000"/>
                <w:sz w:val="14"/>
                <w:szCs w:val="14"/>
                <w:lang w:eastAsia="en-GB"/>
              </w:rPr>
            </w:pPr>
            <w:r w:rsidRPr="006527E3">
              <w:rPr>
                <w:rFonts w:ascii="Times New Roman" w:eastAsia="Times New Roman" w:hAnsi="Times New Roman" w:cs="Times New Roman"/>
                <w:color w:val="000000"/>
                <w:sz w:val="14"/>
                <w:szCs w:val="14"/>
                <w:lang w:eastAsia="en-GB"/>
              </w:rPr>
              <w:t> </w:t>
            </w:r>
          </w:p>
        </w:tc>
        <w:tc>
          <w:tcPr>
            <w:tcW w:w="488" w:type="pct"/>
            <w:tcBorders>
              <w:top w:val="nil"/>
              <w:left w:val="nil"/>
              <w:bottom w:val="single" w:sz="18" w:space="0" w:color="auto"/>
              <w:right w:val="nil"/>
            </w:tcBorders>
            <w:shd w:val="clear" w:color="auto" w:fill="auto"/>
            <w:noWrap/>
            <w:vAlign w:val="bottom"/>
            <w:hideMark/>
          </w:tcPr>
          <w:p w14:paraId="1848DC87" w14:textId="77777777" w:rsidR="00237C04" w:rsidRPr="006527E3" w:rsidRDefault="00237C04" w:rsidP="00874C0D">
            <w:pPr>
              <w:spacing w:after="0" w:line="240" w:lineRule="auto"/>
              <w:rPr>
                <w:rFonts w:ascii="Times New Roman" w:eastAsia="Times New Roman" w:hAnsi="Times New Roman" w:cs="Times New Roman"/>
                <w:color w:val="000000"/>
                <w:sz w:val="14"/>
                <w:szCs w:val="14"/>
                <w:lang w:eastAsia="en-GB"/>
              </w:rPr>
            </w:pPr>
            <w:r w:rsidRPr="006527E3">
              <w:rPr>
                <w:rFonts w:ascii="Times New Roman" w:eastAsia="Times New Roman" w:hAnsi="Times New Roman" w:cs="Times New Roman"/>
                <w:color w:val="000000"/>
                <w:sz w:val="14"/>
                <w:szCs w:val="14"/>
                <w:lang w:eastAsia="en-GB"/>
              </w:rPr>
              <w:t> </w:t>
            </w:r>
          </w:p>
        </w:tc>
        <w:tc>
          <w:tcPr>
            <w:tcW w:w="487" w:type="pct"/>
            <w:tcBorders>
              <w:top w:val="nil"/>
              <w:left w:val="single" w:sz="4" w:space="0" w:color="auto"/>
              <w:bottom w:val="single" w:sz="18" w:space="0" w:color="auto"/>
              <w:right w:val="nil"/>
            </w:tcBorders>
            <w:shd w:val="clear" w:color="auto" w:fill="auto"/>
            <w:noWrap/>
            <w:vAlign w:val="bottom"/>
            <w:hideMark/>
          </w:tcPr>
          <w:p w14:paraId="3E40E9E1" w14:textId="77777777" w:rsidR="00237C04" w:rsidRPr="006527E3" w:rsidRDefault="00237C04" w:rsidP="00874C0D">
            <w:pPr>
              <w:spacing w:after="0" w:line="240" w:lineRule="auto"/>
              <w:rPr>
                <w:rFonts w:ascii="Times New Roman" w:eastAsia="Times New Roman" w:hAnsi="Times New Roman" w:cs="Times New Roman"/>
                <w:color w:val="000000"/>
                <w:sz w:val="14"/>
                <w:szCs w:val="14"/>
                <w:lang w:eastAsia="en-GB"/>
              </w:rPr>
            </w:pPr>
            <w:r w:rsidRPr="006527E3">
              <w:rPr>
                <w:rFonts w:ascii="Times New Roman" w:eastAsia="Times New Roman" w:hAnsi="Times New Roman" w:cs="Times New Roman"/>
                <w:color w:val="000000"/>
                <w:sz w:val="14"/>
                <w:szCs w:val="14"/>
                <w:lang w:eastAsia="en-GB"/>
              </w:rPr>
              <w:t> </w:t>
            </w:r>
          </w:p>
        </w:tc>
        <w:tc>
          <w:tcPr>
            <w:tcW w:w="487" w:type="pct"/>
            <w:tcBorders>
              <w:top w:val="nil"/>
              <w:left w:val="nil"/>
              <w:bottom w:val="single" w:sz="18" w:space="0" w:color="auto"/>
              <w:right w:val="nil"/>
            </w:tcBorders>
            <w:shd w:val="clear" w:color="auto" w:fill="auto"/>
            <w:noWrap/>
            <w:vAlign w:val="bottom"/>
            <w:hideMark/>
          </w:tcPr>
          <w:p w14:paraId="5B59377A" w14:textId="77777777" w:rsidR="00237C04" w:rsidRPr="006527E3" w:rsidRDefault="00237C04" w:rsidP="00874C0D">
            <w:pPr>
              <w:spacing w:after="0" w:line="240" w:lineRule="auto"/>
              <w:rPr>
                <w:rFonts w:ascii="Times New Roman" w:eastAsia="Times New Roman" w:hAnsi="Times New Roman" w:cs="Times New Roman"/>
                <w:color w:val="000000"/>
                <w:sz w:val="14"/>
                <w:szCs w:val="14"/>
                <w:lang w:eastAsia="en-GB"/>
              </w:rPr>
            </w:pPr>
            <w:r w:rsidRPr="006527E3">
              <w:rPr>
                <w:rFonts w:ascii="Times New Roman" w:eastAsia="Times New Roman" w:hAnsi="Times New Roman" w:cs="Times New Roman"/>
                <w:color w:val="000000"/>
                <w:sz w:val="14"/>
                <w:szCs w:val="14"/>
                <w:lang w:eastAsia="en-GB"/>
              </w:rPr>
              <w:t> </w:t>
            </w:r>
          </w:p>
        </w:tc>
        <w:tc>
          <w:tcPr>
            <w:tcW w:w="484" w:type="pct"/>
            <w:tcBorders>
              <w:top w:val="nil"/>
              <w:left w:val="nil"/>
              <w:bottom w:val="single" w:sz="18" w:space="0" w:color="auto"/>
              <w:right w:val="nil"/>
            </w:tcBorders>
            <w:shd w:val="clear" w:color="auto" w:fill="auto"/>
            <w:noWrap/>
            <w:vAlign w:val="bottom"/>
            <w:hideMark/>
          </w:tcPr>
          <w:p w14:paraId="08B21BE4" w14:textId="77777777" w:rsidR="00237C04" w:rsidRPr="006527E3" w:rsidRDefault="00237C04" w:rsidP="00874C0D">
            <w:pPr>
              <w:spacing w:after="0" w:line="240" w:lineRule="auto"/>
              <w:rPr>
                <w:rFonts w:ascii="Times New Roman" w:eastAsia="Times New Roman" w:hAnsi="Times New Roman" w:cs="Times New Roman"/>
                <w:color w:val="000000"/>
                <w:sz w:val="14"/>
                <w:szCs w:val="14"/>
                <w:lang w:eastAsia="en-GB"/>
              </w:rPr>
            </w:pPr>
            <w:r w:rsidRPr="006527E3">
              <w:rPr>
                <w:rFonts w:ascii="Times New Roman" w:eastAsia="Times New Roman" w:hAnsi="Times New Roman" w:cs="Times New Roman"/>
                <w:color w:val="000000"/>
                <w:sz w:val="14"/>
                <w:szCs w:val="14"/>
                <w:lang w:eastAsia="en-GB"/>
              </w:rPr>
              <w:t> </w:t>
            </w:r>
          </w:p>
        </w:tc>
      </w:tr>
    </w:tbl>
    <w:p w14:paraId="651EAEEC" w14:textId="77777777" w:rsidR="00E67E7B" w:rsidRPr="00E67E7B" w:rsidRDefault="00E67E7B" w:rsidP="00237C04">
      <w:pPr>
        <w:spacing w:line="360" w:lineRule="auto"/>
        <w:jc w:val="both"/>
        <w:rPr>
          <w:rFonts w:ascii="Times New Roman" w:eastAsia="Times New Roman" w:hAnsi="Times New Roman" w:cs="Times New Roman"/>
          <w:b/>
          <w:bCs/>
          <w:color w:val="000000"/>
          <w:vertAlign w:val="superscript"/>
          <w:lang w:eastAsia="en-GB"/>
        </w:rPr>
      </w:pPr>
    </w:p>
    <w:p w14:paraId="652981F4" w14:textId="77777777" w:rsidR="00237C04" w:rsidRPr="00E67E7B" w:rsidRDefault="00237C04" w:rsidP="00237C04">
      <w:pPr>
        <w:spacing w:line="360" w:lineRule="auto"/>
        <w:jc w:val="both"/>
        <w:rPr>
          <w:rFonts w:ascii="Times New Roman" w:hAnsi="Times New Roman" w:cs="Times New Roman"/>
        </w:rPr>
      </w:pPr>
      <w:r w:rsidRPr="00E67E7B">
        <w:rPr>
          <w:rFonts w:ascii="Times New Roman" w:eastAsia="Times New Roman" w:hAnsi="Times New Roman" w:cs="Times New Roman"/>
          <w:b/>
          <w:bCs/>
          <w:color w:val="000000"/>
          <w:vertAlign w:val="superscript"/>
          <w:lang w:eastAsia="en-GB"/>
        </w:rPr>
        <w:t>†</w:t>
      </w:r>
      <w:r w:rsidRPr="00E67E7B">
        <w:rPr>
          <w:rFonts w:ascii="Times New Roman" w:hAnsi="Times New Roman" w:cs="Times New Roman"/>
        </w:rPr>
        <w:t xml:space="preserve">HR for osteoporotic fracture per 1 SD decrease in the predictor; </w:t>
      </w:r>
      <w:r w:rsidRPr="00E67E7B">
        <w:rPr>
          <w:rFonts w:ascii="Times New Roman" w:eastAsia="Times New Roman" w:hAnsi="Times New Roman" w:cs="Times New Roman"/>
          <w:bCs/>
          <w:color w:val="000000"/>
          <w:vertAlign w:val="superscript"/>
          <w:lang w:eastAsia="en-GB"/>
        </w:rPr>
        <w:t>‡</w:t>
      </w:r>
      <w:r w:rsidRPr="00E67E7B">
        <w:rPr>
          <w:rFonts w:ascii="Times New Roman" w:hAnsi="Times New Roman" w:cs="Times New Roman"/>
        </w:rPr>
        <w:t>Adjusted for age, BMI, alcohol, smoking, HRT, previous fractures, medication</w:t>
      </w:r>
    </w:p>
    <w:p w14:paraId="046B4EE7" w14:textId="77777777" w:rsidR="00301C04" w:rsidRPr="006527E3" w:rsidRDefault="00301C04">
      <w:pPr>
        <w:rPr>
          <w:rFonts w:ascii="Times New Roman" w:hAnsi="Times New Roman" w:cs="Times New Roman"/>
        </w:rPr>
      </w:pPr>
      <w:r w:rsidRPr="006527E3">
        <w:rPr>
          <w:rFonts w:ascii="Times New Roman" w:hAnsi="Times New Roman" w:cs="Times New Roman"/>
        </w:rPr>
        <w:br w:type="page"/>
      </w:r>
    </w:p>
    <w:p w14:paraId="23BE9E8E" w14:textId="77777777" w:rsidR="00301C04" w:rsidRPr="006527E3" w:rsidRDefault="00301C04" w:rsidP="00301C04">
      <w:pPr>
        <w:spacing w:after="120" w:line="360" w:lineRule="auto"/>
        <w:jc w:val="both"/>
        <w:rPr>
          <w:rFonts w:ascii="Times New Roman" w:hAnsi="Times New Roman" w:cs="Times New Roman"/>
        </w:rPr>
      </w:pPr>
    </w:p>
    <w:p w14:paraId="62D56E9F" w14:textId="77777777" w:rsidR="00301C04" w:rsidRPr="006527E3" w:rsidRDefault="00301C04" w:rsidP="00301C04">
      <w:pPr>
        <w:spacing w:line="360" w:lineRule="auto"/>
        <w:jc w:val="both"/>
        <w:rPr>
          <w:rFonts w:ascii="Times New Roman" w:hAnsi="Times New Roman" w:cs="Times New Roman"/>
        </w:rPr>
      </w:pPr>
      <w:r w:rsidRPr="006527E3">
        <w:rPr>
          <w:rFonts w:ascii="Times New Roman" w:hAnsi="Times New Roman" w:cs="Times New Roman"/>
          <w:b/>
        </w:rPr>
        <w:t xml:space="preserve">Figure 1: </w:t>
      </w:r>
      <w:r w:rsidRPr="006527E3">
        <w:rPr>
          <w:rFonts w:ascii="Times New Roman" w:hAnsi="Times New Roman" w:cs="Times New Roman"/>
        </w:rPr>
        <w:t xml:space="preserve">Fractures by site (n=55). Osteoporotic (fragility) fractures are shown in patterned bars (n=26), other fractures in solid bars. </w:t>
      </w:r>
    </w:p>
    <w:p w14:paraId="3101BD14" w14:textId="77777777" w:rsidR="00301C04" w:rsidRPr="006527E3" w:rsidRDefault="00301C04" w:rsidP="00301C04">
      <w:pPr>
        <w:spacing w:line="360" w:lineRule="auto"/>
        <w:jc w:val="both"/>
        <w:rPr>
          <w:rFonts w:ascii="Times New Roman" w:hAnsi="Times New Roman" w:cs="Times New Roman"/>
        </w:rPr>
      </w:pPr>
      <w:r w:rsidRPr="006527E3">
        <w:rPr>
          <w:rFonts w:ascii="Times New Roman" w:hAnsi="Times New Roman" w:cs="Times New Roman"/>
          <w:noProof/>
          <w:lang w:eastAsia="en-GB"/>
        </w:rPr>
        <w:drawing>
          <wp:inline distT="0" distB="0" distL="0" distR="0" wp14:anchorId="3A183883" wp14:editId="4E3CC917">
            <wp:extent cx="5731510" cy="3671046"/>
            <wp:effectExtent l="0" t="0" r="2540" b="571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3671046"/>
                    </a:xfrm>
                    <a:prstGeom prst="rect">
                      <a:avLst/>
                    </a:prstGeom>
                    <a:noFill/>
                    <a:ln>
                      <a:noFill/>
                    </a:ln>
                  </pic:spPr>
                </pic:pic>
              </a:graphicData>
            </a:graphic>
          </wp:inline>
        </w:drawing>
      </w:r>
    </w:p>
    <w:p w14:paraId="2ABF70A6" w14:textId="5EE653EE" w:rsidR="00301C04" w:rsidRPr="006527E3" w:rsidRDefault="00301C04" w:rsidP="00301C04">
      <w:pPr>
        <w:spacing w:line="360" w:lineRule="auto"/>
        <w:jc w:val="both"/>
        <w:rPr>
          <w:rFonts w:ascii="Times New Roman" w:hAnsi="Times New Roman" w:cs="Times New Roman"/>
          <w:i/>
        </w:rPr>
      </w:pPr>
    </w:p>
    <w:p w14:paraId="0D51559E" w14:textId="77777777" w:rsidR="00037D18" w:rsidRDefault="00037D18">
      <w:pPr>
        <w:rPr>
          <w:rFonts w:ascii="Times New Roman" w:hAnsi="Times New Roman" w:cs="Times New Roman"/>
        </w:rPr>
      </w:pPr>
      <w:r>
        <w:rPr>
          <w:rFonts w:ascii="Times New Roman" w:hAnsi="Times New Roman" w:cs="Times New Roman"/>
        </w:rPr>
        <w:br w:type="page"/>
      </w:r>
    </w:p>
    <w:p w14:paraId="044E428D" w14:textId="77777777" w:rsidR="008D48AF" w:rsidRDefault="00037D18">
      <w:pPr>
        <w:rPr>
          <w:rFonts w:ascii="Times New Roman" w:hAnsi="Times New Roman" w:cs="Times New Roman"/>
        </w:rPr>
      </w:pPr>
      <w:r>
        <w:rPr>
          <w:rFonts w:ascii="Times New Roman" w:hAnsi="Times New Roman" w:cs="Times New Roman"/>
        </w:rPr>
        <w:lastRenderedPageBreak/>
        <w:t>Figure 2: HR/SD for BA, BMC and BMD at femoral neck for a) any incident fracture and b) incident osteoporotic fracture.</w:t>
      </w:r>
    </w:p>
    <w:p w14:paraId="495BDEE2" w14:textId="77777777" w:rsidR="00037D18" w:rsidRDefault="00037D18">
      <w:pPr>
        <w:rPr>
          <w:rFonts w:ascii="Times New Roman" w:hAnsi="Times New Roman" w:cs="Times New Roman"/>
        </w:rPr>
      </w:pPr>
      <w:r>
        <w:rPr>
          <w:rFonts w:ascii="Times New Roman" w:hAnsi="Times New Roman" w:cs="Times New Roman"/>
        </w:rPr>
        <w:t>a) any fracture</w:t>
      </w:r>
    </w:p>
    <w:p w14:paraId="64825EC3" w14:textId="1ED7E792" w:rsidR="00037D18" w:rsidRDefault="00EB3D0E">
      <w:pPr>
        <w:rPr>
          <w:rFonts w:ascii="Times New Roman" w:hAnsi="Times New Roman" w:cs="Times New Roman"/>
        </w:rPr>
      </w:pPr>
      <w:r>
        <w:rPr>
          <w:noProof/>
          <w:lang w:eastAsia="en-GB"/>
        </w:rPr>
        <w:drawing>
          <wp:inline distT="0" distB="0" distL="0" distR="0" wp14:anchorId="5BDB9A30" wp14:editId="12B70E97">
            <wp:extent cx="5486400" cy="3099435"/>
            <wp:effectExtent l="0" t="0" r="0" b="0"/>
            <wp:docPr id="1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8" cstate="print"/>
                    <a:srcRect/>
                    <a:stretch>
                      <a:fillRect/>
                    </a:stretch>
                  </pic:blipFill>
                  <pic:spPr bwMode="auto">
                    <a:xfrm>
                      <a:off x="0" y="0"/>
                      <a:ext cx="5486400" cy="3099435"/>
                    </a:xfrm>
                    <a:prstGeom prst="rect">
                      <a:avLst/>
                    </a:prstGeom>
                    <a:noFill/>
                  </pic:spPr>
                </pic:pic>
              </a:graphicData>
            </a:graphic>
          </wp:inline>
        </w:drawing>
      </w:r>
    </w:p>
    <w:p w14:paraId="787A56CC" w14:textId="77777777" w:rsidR="00037D18" w:rsidRDefault="00037D18">
      <w:pPr>
        <w:rPr>
          <w:rFonts w:ascii="Times New Roman" w:hAnsi="Times New Roman" w:cs="Times New Roman"/>
        </w:rPr>
      </w:pPr>
      <w:r>
        <w:rPr>
          <w:rFonts w:ascii="Times New Roman" w:hAnsi="Times New Roman" w:cs="Times New Roman"/>
        </w:rPr>
        <w:t>b) osteoporotic fracture</w:t>
      </w:r>
    </w:p>
    <w:p w14:paraId="0860C8E6" w14:textId="487B8D7A" w:rsidR="00037D18" w:rsidRDefault="00EB3D0E">
      <w:pPr>
        <w:rPr>
          <w:rFonts w:ascii="Times New Roman" w:hAnsi="Times New Roman" w:cs="Times New Roman"/>
        </w:rPr>
      </w:pPr>
      <w:r>
        <w:rPr>
          <w:noProof/>
          <w:lang w:eastAsia="en-GB"/>
        </w:rPr>
        <w:drawing>
          <wp:inline distT="0" distB="0" distL="0" distR="0" wp14:anchorId="46EF5145" wp14:editId="660D96A3">
            <wp:extent cx="5486400" cy="3065145"/>
            <wp:effectExtent l="0" t="0" r="0" b="8255"/>
            <wp:docPr id="10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pic:cNvPicPr>
                      <a:picLocks noChangeAspect="1" noChangeArrowheads="1"/>
                    </pic:cNvPicPr>
                  </pic:nvPicPr>
                  <pic:blipFill>
                    <a:blip r:embed="rId9" cstate="print"/>
                    <a:srcRect/>
                    <a:stretch>
                      <a:fillRect/>
                    </a:stretch>
                  </pic:blipFill>
                  <pic:spPr bwMode="auto">
                    <a:xfrm>
                      <a:off x="0" y="0"/>
                      <a:ext cx="5486400" cy="3065145"/>
                    </a:xfrm>
                    <a:prstGeom prst="rect">
                      <a:avLst/>
                    </a:prstGeom>
                    <a:noFill/>
                  </pic:spPr>
                </pic:pic>
              </a:graphicData>
            </a:graphic>
          </wp:inline>
        </w:drawing>
      </w:r>
    </w:p>
    <w:p w14:paraId="0407CB8B" w14:textId="317C389D" w:rsidR="00037D18" w:rsidRPr="006527E3" w:rsidRDefault="00037D18">
      <w:pPr>
        <w:rPr>
          <w:rFonts w:ascii="Times New Roman" w:hAnsi="Times New Roman" w:cs="Times New Roman"/>
        </w:rPr>
      </w:pPr>
    </w:p>
    <w:sectPr w:rsidR="00037D18" w:rsidRPr="006527E3" w:rsidSect="006D7D99">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FCE49A" w14:textId="77777777" w:rsidR="0086015B" w:rsidRDefault="0086015B" w:rsidP="006E5BA1">
      <w:pPr>
        <w:spacing w:after="0" w:line="240" w:lineRule="auto"/>
      </w:pPr>
      <w:r>
        <w:separator/>
      </w:r>
    </w:p>
  </w:endnote>
  <w:endnote w:type="continuationSeparator" w:id="0">
    <w:p w14:paraId="3823AF60" w14:textId="77777777" w:rsidR="0086015B" w:rsidRDefault="0086015B" w:rsidP="006E5B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CB274B" w14:textId="77777777" w:rsidR="00763DDE" w:rsidRDefault="00763DD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254842" w14:textId="77777777" w:rsidR="00E52E53" w:rsidRPr="00291762" w:rsidRDefault="00E52E53" w:rsidP="00291762">
    <w:pPr>
      <w:pStyle w:val="Footer"/>
      <w:jc w:val="center"/>
      <w:rPr>
        <w:rFonts w:ascii="Arial" w:hAnsi="Arial"/>
        <w:sz w:val="20"/>
      </w:rPr>
    </w:pPr>
    <w:r w:rsidRPr="00291762">
      <w:rPr>
        <w:rStyle w:val="PageNumber"/>
        <w:rFonts w:ascii="Arial" w:hAnsi="Arial"/>
        <w:sz w:val="20"/>
      </w:rPr>
      <w:fldChar w:fldCharType="begin"/>
    </w:r>
    <w:r w:rsidRPr="00291762">
      <w:rPr>
        <w:rStyle w:val="PageNumber"/>
        <w:rFonts w:ascii="Arial" w:hAnsi="Arial"/>
        <w:sz w:val="20"/>
      </w:rPr>
      <w:instrText xml:space="preserve"> PAGE </w:instrText>
    </w:r>
    <w:r w:rsidRPr="00291762">
      <w:rPr>
        <w:rStyle w:val="PageNumber"/>
        <w:rFonts w:ascii="Arial" w:hAnsi="Arial"/>
        <w:sz w:val="20"/>
      </w:rPr>
      <w:fldChar w:fldCharType="separate"/>
    </w:r>
    <w:r w:rsidR="008D3FA1">
      <w:rPr>
        <w:rStyle w:val="PageNumber"/>
        <w:rFonts w:ascii="Arial" w:hAnsi="Arial"/>
        <w:noProof/>
        <w:sz w:val="20"/>
      </w:rPr>
      <w:t>1</w:t>
    </w:r>
    <w:r w:rsidRPr="00291762">
      <w:rPr>
        <w:rStyle w:val="PageNumber"/>
        <w:rFonts w:ascii="Arial" w:hAnsi="Arial"/>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378584" w14:textId="77777777" w:rsidR="00763DDE" w:rsidRDefault="00763D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E72777" w14:textId="77777777" w:rsidR="0086015B" w:rsidRDefault="0086015B" w:rsidP="006E5BA1">
      <w:pPr>
        <w:spacing w:after="0" w:line="240" w:lineRule="auto"/>
      </w:pPr>
      <w:r>
        <w:separator/>
      </w:r>
    </w:p>
  </w:footnote>
  <w:footnote w:type="continuationSeparator" w:id="0">
    <w:p w14:paraId="620D667F" w14:textId="77777777" w:rsidR="0086015B" w:rsidRDefault="0086015B" w:rsidP="006E5B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B3CA17" w14:textId="77777777" w:rsidR="00763DDE" w:rsidRDefault="00763DD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7EE436" w14:textId="77777777" w:rsidR="00763DDE" w:rsidRDefault="00763DD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EDE4F8" w14:textId="77777777" w:rsidR="00763DDE" w:rsidRDefault="00763DD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drawingGridHorizontalSpacing w:val="181"/>
  <w:drawingGridVerticalSpacing w:val="181"/>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0CAA928C-23AD-4A90-97B9-4E8AD2131CAE}"/>
    <w:docVar w:name="dgnword-eventsink" w:val="6684216"/>
    <w:docVar w:name="EN.InstantFormat" w:val="&lt;ENInstantFormat&gt;&lt;Enabled&gt;0&lt;/Enabled&gt;&lt;ScanUnformatted&gt;1&lt;/ScanUnformatted&gt;&lt;ScanChanges&gt;1&lt;/ScanChanges&gt;&lt;Suspended&gt;0&lt;/Suspended&gt;&lt;/ENInstantFormat&gt;"/>
    <w:docVar w:name="EN.Layout" w:val="&lt;ENLayout&gt;&lt;Style&gt;SpringerBasicNumber&lt;/Style&gt;&lt;LeftDelim&gt;{&lt;/LeftDelim&gt;&lt;RightDelim&gt;}&lt;/RightDelim&gt;&lt;FontName&gt;Times New Roman&lt;/FontName&gt;&lt;FontSize&gt;11&lt;/FontSize&gt;&lt;ReflistTitle&gt;&lt;/ReflistTitle&gt;&lt;StartingRefnum&gt;1&lt;/StartingRefnum&gt;&lt;FirstLineIndent&gt;0&lt;/FirstLineIndent&gt;&lt;HangingIndent&gt;720&lt;/HangingIndent&gt;&lt;LineSpacing&gt;1&lt;/LineSpacing&gt;&lt;SpaceAfter&gt;1&lt;/SpaceAfter&gt;&lt;HyperlinksEnabled&gt;1&lt;/HyperlinksEnabled&gt;&lt;HyperlinksVisible&gt;0&lt;/HyperlinksVisible&gt;&lt;/ENLayout&gt;"/>
    <w:docVar w:name="EN.Libraries" w:val="&lt;Libraries&gt;&lt;item db-id=&quot;p0w2r505hvs222essdtvfrfxer9w0spesp9e&quot;&gt;NCH EN&lt;record-ids&gt;&lt;item&gt;2987&lt;/item&gt;&lt;item&gt;4932&lt;/item&gt;&lt;item&gt;5824&lt;/item&gt;&lt;item&gt;6596&lt;/item&gt;&lt;item&gt;6621&lt;/item&gt;&lt;item&gt;6674&lt;/item&gt;&lt;item&gt;6815&lt;/item&gt;&lt;item&gt;7083&lt;/item&gt;&lt;item&gt;7214&lt;/item&gt;&lt;item&gt;7215&lt;/item&gt;&lt;item&gt;7299&lt;/item&gt;&lt;item&gt;7300&lt;/item&gt;&lt;item&gt;7358&lt;/item&gt;&lt;item&gt;7359&lt;/item&gt;&lt;/record-ids&gt;&lt;/item&gt;&lt;/Libraries&gt;"/>
  </w:docVars>
  <w:rsids>
    <w:rsidRoot w:val="00811547"/>
    <w:rsid w:val="00004078"/>
    <w:rsid w:val="0000419B"/>
    <w:rsid w:val="00006A97"/>
    <w:rsid w:val="00013D95"/>
    <w:rsid w:val="00015C2F"/>
    <w:rsid w:val="00021084"/>
    <w:rsid w:val="00023254"/>
    <w:rsid w:val="0002351F"/>
    <w:rsid w:val="00025427"/>
    <w:rsid w:val="0002763B"/>
    <w:rsid w:val="00037D18"/>
    <w:rsid w:val="00053D5A"/>
    <w:rsid w:val="000A7C84"/>
    <w:rsid w:val="000B0FB0"/>
    <w:rsid w:val="000B3767"/>
    <w:rsid w:val="000C6AF0"/>
    <w:rsid w:val="000D1ECB"/>
    <w:rsid w:val="000E0147"/>
    <w:rsid w:val="000E140C"/>
    <w:rsid w:val="000E6A00"/>
    <w:rsid w:val="00100F28"/>
    <w:rsid w:val="00103BBC"/>
    <w:rsid w:val="0012385E"/>
    <w:rsid w:val="00134A94"/>
    <w:rsid w:val="00134E52"/>
    <w:rsid w:val="001413D4"/>
    <w:rsid w:val="001450BB"/>
    <w:rsid w:val="001633E7"/>
    <w:rsid w:val="001668A7"/>
    <w:rsid w:val="0017129E"/>
    <w:rsid w:val="00174DBD"/>
    <w:rsid w:val="00176B71"/>
    <w:rsid w:val="001842E4"/>
    <w:rsid w:val="001A0122"/>
    <w:rsid w:val="001A488E"/>
    <w:rsid w:val="001B2D6E"/>
    <w:rsid w:val="001B5D77"/>
    <w:rsid w:val="001C2741"/>
    <w:rsid w:val="001D0DF2"/>
    <w:rsid w:val="001D1A98"/>
    <w:rsid w:val="001D39A0"/>
    <w:rsid w:val="001F2FEB"/>
    <w:rsid w:val="00211F58"/>
    <w:rsid w:val="00212E9D"/>
    <w:rsid w:val="00230301"/>
    <w:rsid w:val="00233660"/>
    <w:rsid w:val="00237C04"/>
    <w:rsid w:val="00240B53"/>
    <w:rsid w:val="002545FD"/>
    <w:rsid w:val="002560E2"/>
    <w:rsid w:val="00263BD1"/>
    <w:rsid w:val="00270C18"/>
    <w:rsid w:val="00272A8B"/>
    <w:rsid w:val="002833DE"/>
    <w:rsid w:val="002904F5"/>
    <w:rsid w:val="00291762"/>
    <w:rsid w:val="00293E2F"/>
    <w:rsid w:val="002A4C11"/>
    <w:rsid w:val="002B3501"/>
    <w:rsid w:val="002B589E"/>
    <w:rsid w:val="002C317E"/>
    <w:rsid w:val="002E4325"/>
    <w:rsid w:val="002E64D1"/>
    <w:rsid w:val="00301C04"/>
    <w:rsid w:val="00304457"/>
    <w:rsid w:val="00313FA6"/>
    <w:rsid w:val="0031774B"/>
    <w:rsid w:val="00320307"/>
    <w:rsid w:val="00322DBF"/>
    <w:rsid w:val="00324B6B"/>
    <w:rsid w:val="00340327"/>
    <w:rsid w:val="003465BC"/>
    <w:rsid w:val="003507F9"/>
    <w:rsid w:val="00357931"/>
    <w:rsid w:val="0036047D"/>
    <w:rsid w:val="00365956"/>
    <w:rsid w:val="003709FC"/>
    <w:rsid w:val="00386662"/>
    <w:rsid w:val="003873DB"/>
    <w:rsid w:val="00392556"/>
    <w:rsid w:val="0039287F"/>
    <w:rsid w:val="00395D75"/>
    <w:rsid w:val="003975B6"/>
    <w:rsid w:val="003A0DD4"/>
    <w:rsid w:val="003A3306"/>
    <w:rsid w:val="003A34AC"/>
    <w:rsid w:val="003D2782"/>
    <w:rsid w:val="003D685B"/>
    <w:rsid w:val="003E0297"/>
    <w:rsid w:val="003E3D18"/>
    <w:rsid w:val="003E7FB8"/>
    <w:rsid w:val="004004D3"/>
    <w:rsid w:val="004032CB"/>
    <w:rsid w:val="00406AF7"/>
    <w:rsid w:val="00407038"/>
    <w:rsid w:val="00414A28"/>
    <w:rsid w:val="004208B2"/>
    <w:rsid w:val="00421459"/>
    <w:rsid w:val="00421DC8"/>
    <w:rsid w:val="00425D53"/>
    <w:rsid w:val="00432C2D"/>
    <w:rsid w:val="0044256B"/>
    <w:rsid w:val="00475F9D"/>
    <w:rsid w:val="0048324C"/>
    <w:rsid w:val="0049294D"/>
    <w:rsid w:val="004958D1"/>
    <w:rsid w:val="004B0933"/>
    <w:rsid w:val="004B1AD6"/>
    <w:rsid w:val="004C1EAD"/>
    <w:rsid w:val="004D2B80"/>
    <w:rsid w:val="004D7D05"/>
    <w:rsid w:val="0050172E"/>
    <w:rsid w:val="00503238"/>
    <w:rsid w:val="005038B5"/>
    <w:rsid w:val="00513751"/>
    <w:rsid w:val="005139A2"/>
    <w:rsid w:val="005139CB"/>
    <w:rsid w:val="00516CCB"/>
    <w:rsid w:val="00525285"/>
    <w:rsid w:val="00535351"/>
    <w:rsid w:val="005625AD"/>
    <w:rsid w:val="005643FD"/>
    <w:rsid w:val="005651AB"/>
    <w:rsid w:val="00567269"/>
    <w:rsid w:val="00573B7D"/>
    <w:rsid w:val="0057407C"/>
    <w:rsid w:val="00582178"/>
    <w:rsid w:val="0058243F"/>
    <w:rsid w:val="0058286D"/>
    <w:rsid w:val="005836FE"/>
    <w:rsid w:val="00584508"/>
    <w:rsid w:val="00585CBF"/>
    <w:rsid w:val="00587057"/>
    <w:rsid w:val="00593375"/>
    <w:rsid w:val="0059397C"/>
    <w:rsid w:val="00594968"/>
    <w:rsid w:val="005A1788"/>
    <w:rsid w:val="005A27F7"/>
    <w:rsid w:val="005A6254"/>
    <w:rsid w:val="005B6C89"/>
    <w:rsid w:val="005C0CC9"/>
    <w:rsid w:val="005C49AA"/>
    <w:rsid w:val="005D0301"/>
    <w:rsid w:val="005D08EA"/>
    <w:rsid w:val="005D1D84"/>
    <w:rsid w:val="005D255E"/>
    <w:rsid w:val="005D2F22"/>
    <w:rsid w:val="005E0814"/>
    <w:rsid w:val="005E2799"/>
    <w:rsid w:val="005F2871"/>
    <w:rsid w:val="005F6258"/>
    <w:rsid w:val="00630E26"/>
    <w:rsid w:val="00631CB6"/>
    <w:rsid w:val="006335F7"/>
    <w:rsid w:val="00640F29"/>
    <w:rsid w:val="006453A8"/>
    <w:rsid w:val="0065035D"/>
    <w:rsid w:val="006527E3"/>
    <w:rsid w:val="00680D52"/>
    <w:rsid w:val="00690D8F"/>
    <w:rsid w:val="006928D4"/>
    <w:rsid w:val="006A50B6"/>
    <w:rsid w:val="006B6165"/>
    <w:rsid w:val="006C3898"/>
    <w:rsid w:val="006C71B8"/>
    <w:rsid w:val="006D7D31"/>
    <w:rsid w:val="006D7D99"/>
    <w:rsid w:val="006E5BA1"/>
    <w:rsid w:val="00710760"/>
    <w:rsid w:val="00721DB2"/>
    <w:rsid w:val="007269B5"/>
    <w:rsid w:val="00731CEB"/>
    <w:rsid w:val="00740C5C"/>
    <w:rsid w:val="00746E3A"/>
    <w:rsid w:val="00747054"/>
    <w:rsid w:val="00750743"/>
    <w:rsid w:val="00763DDE"/>
    <w:rsid w:val="00772510"/>
    <w:rsid w:val="00772845"/>
    <w:rsid w:val="00773A93"/>
    <w:rsid w:val="00783053"/>
    <w:rsid w:val="00786FBF"/>
    <w:rsid w:val="007954BF"/>
    <w:rsid w:val="00797838"/>
    <w:rsid w:val="007A66D8"/>
    <w:rsid w:val="007B1A39"/>
    <w:rsid w:val="007B2C4A"/>
    <w:rsid w:val="007B341C"/>
    <w:rsid w:val="007C2099"/>
    <w:rsid w:val="007C27F0"/>
    <w:rsid w:val="007C4E28"/>
    <w:rsid w:val="007C6869"/>
    <w:rsid w:val="007F068C"/>
    <w:rsid w:val="007F44FD"/>
    <w:rsid w:val="007F6F94"/>
    <w:rsid w:val="008011A8"/>
    <w:rsid w:val="00801230"/>
    <w:rsid w:val="008067C4"/>
    <w:rsid w:val="00811547"/>
    <w:rsid w:val="00812048"/>
    <w:rsid w:val="008164F6"/>
    <w:rsid w:val="008204ED"/>
    <w:rsid w:val="008225A9"/>
    <w:rsid w:val="008238A1"/>
    <w:rsid w:val="00825107"/>
    <w:rsid w:val="00825CE0"/>
    <w:rsid w:val="00836DAC"/>
    <w:rsid w:val="008418DF"/>
    <w:rsid w:val="00841931"/>
    <w:rsid w:val="00846324"/>
    <w:rsid w:val="0086015B"/>
    <w:rsid w:val="00874C0D"/>
    <w:rsid w:val="00890C06"/>
    <w:rsid w:val="00890DA5"/>
    <w:rsid w:val="008A295F"/>
    <w:rsid w:val="008B6489"/>
    <w:rsid w:val="008D116E"/>
    <w:rsid w:val="008D3FA1"/>
    <w:rsid w:val="008D48AF"/>
    <w:rsid w:val="008E1051"/>
    <w:rsid w:val="008E7268"/>
    <w:rsid w:val="008F6540"/>
    <w:rsid w:val="00903285"/>
    <w:rsid w:val="00905151"/>
    <w:rsid w:val="00906785"/>
    <w:rsid w:val="009128D1"/>
    <w:rsid w:val="009155FA"/>
    <w:rsid w:val="00917FBA"/>
    <w:rsid w:val="0092033E"/>
    <w:rsid w:val="009204F0"/>
    <w:rsid w:val="00920E7B"/>
    <w:rsid w:val="00921D1C"/>
    <w:rsid w:val="00922942"/>
    <w:rsid w:val="00936C10"/>
    <w:rsid w:val="00944888"/>
    <w:rsid w:val="0096424F"/>
    <w:rsid w:val="009658A9"/>
    <w:rsid w:val="009710CC"/>
    <w:rsid w:val="00990387"/>
    <w:rsid w:val="009B25F8"/>
    <w:rsid w:val="009B5D5D"/>
    <w:rsid w:val="009C085B"/>
    <w:rsid w:val="009C5649"/>
    <w:rsid w:val="009D0F96"/>
    <w:rsid w:val="009D31A9"/>
    <w:rsid w:val="009D6846"/>
    <w:rsid w:val="009D6E5C"/>
    <w:rsid w:val="009F236D"/>
    <w:rsid w:val="009F25D7"/>
    <w:rsid w:val="00A015E1"/>
    <w:rsid w:val="00A05879"/>
    <w:rsid w:val="00A1290A"/>
    <w:rsid w:val="00A12D83"/>
    <w:rsid w:val="00A14B8A"/>
    <w:rsid w:val="00A341AB"/>
    <w:rsid w:val="00A35362"/>
    <w:rsid w:val="00A3758C"/>
    <w:rsid w:val="00A51CDB"/>
    <w:rsid w:val="00A56C8A"/>
    <w:rsid w:val="00A606E0"/>
    <w:rsid w:val="00A62219"/>
    <w:rsid w:val="00A671DA"/>
    <w:rsid w:val="00A71BFF"/>
    <w:rsid w:val="00A74CAA"/>
    <w:rsid w:val="00A75AFC"/>
    <w:rsid w:val="00A76E14"/>
    <w:rsid w:val="00A80B3B"/>
    <w:rsid w:val="00A87B9C"/>
    <w:rsid w:val="00A90493"/>
    <w:rsid w:val="00A96A17"/>
    <w:rsid w:val="00A96F99"/>
    <w:rsid w:val="00AA0B2D"/>
    <w:rsid w:val="00AA45D8"/>
    <w:rsid w:val="00AC561B"/>
    <w:rsid w:val="00AD4202"/>
    <w:rsid w:val="00AE2792"/>
    <w:rsid w:val="00AE6400"/>
    <w:rsid w:val="00AE687E"/>
    <w:rsid w:val="00AE6EAE"/>
    <w:rsid w:val="00AF7930"/>
    <w:rsid w:val="00B07F29"/>
    <w:rsid w:val="00B1260E"/>
    <w:rsid w:val="00B22902"/>
    <w:rsid w:val="00B242A2"/>
    <w:rsid w:val="00B25F5E"/>
    <w:rsid w:val="00B3046E"/>
    <w:rsid w:val="00B32433"/>
    <w:rsid w:val="00B405C3"/>
    <w:rsid w:val="00B41BBC"/>
    <w:rsid w:val="00B50AAA"/>
    <w:rsid w:val="00B529FB"/>
    <w:rsid w:val="00B64511"/>
    <w:rsid w:val="00B70C13"/>
    <w:rsid w:val="00B95934"/>
    <w:rsid w:val="00BB55EE"/>
    <w:rsid w:val="00BC012F"/>
    <w:rsid w:val="00BC298D"/>
    <w:rsid w:val="00BC7826"/>
    <w:rsid w:val="00BC7A2F"/>
    <w:rsid w:val="00BD2888"/>
    <w:rsid w:val="00BD7878"/>
    <w:rsid w:val="00BD7C80"/>
    <w:rsid w:val="00BE2AFA"/>
    <w:rsid w:val="00BF0126"/>
    <w:rsid w:val="00C25C82"/>
    <w:rsid w:val="00C3376F"/>
    <w:rsid w:val="00C36CE8"/>
    <w:rsid w:val="00C50D72"/>
    <w:rsid w:val="00C610E9"/>
    <w:rsid w:val="00C65660"/>
    <w:rsid w:val="00C673D2"/>
    <w:rsid w:val="00C7068E"/>
    <w:rsid w:val="00C73222"/>
    <w:rsid w:val="00C8288A"/>
    <w:rsid w:val="00CA1A7C"/>
    <w:rsid w:val="00CA24B4"/>
    <w:rsid w:val="00CA3218"/>
    <w:rsid w:val="00CB1ADA"/>
    <w:rsid w:val="00CB211E"/>
    <w:rsid w:val="00CB53B8"/>
    <w:rsid w:val="00CB6737"/>
    <w:rsid w:val="00CC0C7D"/>
    <w:rsid w:val="00CC4DB7"/>
    <w:rsid w:val="00CC52FA"/>
    <w:rsid w:val="00CD2916"/>
    <w:rsid w:val="00CD485E"/>
    <w:rsid w:val="00CE164F"/>
    <w:rsid w:val="00CE3D1F"/>
    <w:rsid w:val="00CF04F8"/>
    <w:rsid w:val="00CF42CA"/>
    <w:rsid w:val="00CF7CD0"/>
    <w:rsid w:val="00D01DEC"/>
    <w:rsid w:val="00D05DEC"/>
    <w:rsid w:val="00D20A5E"/>
    <w:rsid w:val="00D25F63"/>
    <w:rsid w:val="00D33415"/>
    <w:rsid w:val="00D416A2"/>
    <w:rsid w:val="00D5041B"/>
    <w:rsid w:val="00D50CF4"/>
    <w:rsid w:val="00D66250"/>
    <w:rsid w:val="00D67574"/>
    <w:rsid w:val="00D67EFF"/>
    <w:rsid w:val="00D700EE"/>
    <w:rsid w:val="00D75604"/>
    <w:rsid w:val="00D77766"/>
    <w:rsid w:val="00D843A9"/>
    <w:rsid w:val="00D92E04"/>
    <w:rsid w:val="00D9522A"/>
    <w:rsid w:val="00D959A1"/>
    <w:rsid w:val="00D95CD6"/>
    <w:rsid w:val="00DA1004"/>
    <w:rsid w:val="00DA4978"/>
    <w:rsid w:val="00DA4D73"/>
    <w:rsid w:val="00DB7868"/>
    <w:rsid w:val="00DC0B28"/>
    <w:rsid w:val="00DD21E6"/>
    <w:rsid w:val="00DE63C4"/>
    <w:rsid w:val="00DE74A7"/>
    <w:rsid w:val="00DF0B10"/>
    <w:rsid w:val="00DF33C3"/>
    <w:rsid w:val="00DF74F0"/>
    <w:rsid w:val="00E00D20"/>
    <w:rsid w:val="00E12270"/>
    <w:rsid w:val="00E15E9A"/>
    <w:rsid w:val="00E3580E"/>
    <w:rsid w:val="00E36929"/>
    <w:rsid w:val="00E40AD0"/>
    <w:rsid w:val="00E40CC8"/>
    <w:rsid w:val="00E418A1"/>
    <w:rsid w:val="00E43E48"/>
    <w:rsid w:val="00E5153C"/>
    <w:rsid w:val="00E52E53"/>
    <w:rsid w:val="00E67E7B"/>
    <w:rsid w:val="00E71C87"/>
    <w:rsid w:val="00E82E79"/>
    <w:rsid w:val="00E939D0"/>
    <w:rsid w:val="00EB165E"/>
    <w:rsid w:val="00EB3D0E"/>
    <w:rsid w:val="00EC1C41"/>
    <w:rsid w:val="00EC5343"/>
    <w:rsid w:val="00EC79CD"/>
    <w:rsid w:val="00EC7B8A"/>
    <w:rsid w:val="00ED0E74"/>
    <w:rsid w:val="00ED4481"/>
    <w:rsid w:val="00ED6E60"/>
    <w:rsid w:val="00EE57D3"/>
    <w:rsid w:val="00EF1032"/>
    <w:rsid w:val="00EF234A"/>
    <w:rsid w:val="00F1307C"/>
    <w:rsid w:val="00F14F84"/>
    <w:rsid w:val="00F211BE"/>
    <w:rsid w:val="00F22FAA"/>
    <w:rsid w:val="00F312EB"/>
    <w:rsid w:val="00F348E9"/>
    <w:rsid w:val="00F36BEF"/>
    <w:rsid w:val="00F36F63"/>
    <w:rsid w:val="00F42E7E"/>
    <w:rsid w:val="00F477E9"/>
    <w:rsid w:val="00F537E2"/>
    <w:rsid w:val="00F575D1"/>
    <w:rsid w:val="00F61BE1"/>
    <w:rsid w:val="00F65F61"/>
    <w:rsid w:val="00F758D5"/>
    <w:rsid w:val="00F75B66"/>
    <w:rsid w:val="00F870C5"/>
    <w:rsid w:val="00F939AF"/>
    <w:rsid w:val="00F96F45"/>
    <w:rsid w:val="00FA5960"/>
    <w:rsid w:val="00FB694D"/>
    <w:rsid w:val="00FC0E56"/>
    <w:rsid w:val="00FC1177"/>
    <w:rsid w:val="00FC5470"/>
    <w:rsid w:val="00FD1ECD"/>
    <w:rsid w:val="00FE1316"/>
    <w:rsid w:val="00FE1735"/>
    <w:rsid w:val="00FE6C2E"/>
    <w:rsid w:val="00FF34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D02F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D99"/>
  </w:style>
  <w:style w:type="paragraph" w:styleId="Heading4">
    <w:name w:val="heading 4"/>
    <w:basedOn w:val="Normal"/>
    <w:link w:val="Heading4Char"/>
    <w:uiPriority w:val="9"/>
    <w:qFormat/>
    <w:rsid w:val="00A35362"/>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B1260E"/>
    <w:pPr>
      <w:spacing w:after="0"/>
      <w:jc w:val="center"/>
    </w:pPr>
    <w:rPr>
      <w:rFonts w:ascii="Times New Roman" w:hAnsi="Times New Roman" w:cs="Times New Roman"/>
      <w:noProof/>
      <w:lang w:val="en-US"/>
    </w:rPr>
  </w:style>
  <w:style w:type="character" w:customStyle="1" w:styleId="EndNoteBibliographyTitleChar">
    <w:name w:val="EndNote Bibliography Title Char"/>
    <w:basedOn w:val="DefaultParagraphFont"/>
    <w:link w:val="EndNoteBibliographyTitle"/>
    <w:rsid w:val="00B1260E"/>
    <w:rPr>
      <w:rFonts w:ascii="Times New Roman" w:hAnsi="Times New Roman" w:cs="Times New Roman"/>
      <w:noProof/>
      <w:lang w:val="en-US"/>
    </w:rPr>
  </w:style>
  <w:style w:type="paragraph" w:customStyle="1" w:styleId="EndNoteBibliography">
    <w:name w:val="EndNote Bibliography"/>
    <w:basedOn w:val="Normal"/>
    <w:link w:val="EndNoteBibliographyChar"/>
    <w:rsid w:val="00B1260E"/>
    <w:pPr>
      <w:spacing w:line="360" w:lineRule="auto"/>
    </w:pPr>
    <w:rPr>
      <w:rFonts w:ascii="Times New Roman" w:hAnsi="Times New Roman" w:cs="Times New Roman"/>
      <w:noProof/>
      <w:lang w:val="en-US"/>
    </w:rPr>
  </w:style>
  <w:style w:type="character" w:customStyle="1" w:styleId="EndNoteBibliographyChar">
    <w:name w:val="EndNote Bibliography Char"/>
    <w:basedOn w:val="DefaultParagraphFont"/>
    <w:link w:val="EndNoteBibliography"/>
    <w:rsid w:val="00B1260E"/>
    <w:rPr>
      <w:rFonts w:ascii="Times New Roman" w:hAnsi="Times New Roman" w:cs="Times New Roman"/>
      <w:noProof/>
      <w:lang w:val="en-US"/>
    </w:rPr>
  </w:style>
  <w:style w:type="character" w:styleId="Hyperlink">
    <w:name w:val="Hyperlink"/>
    <w:basedOn w:val="DefaultParagraphFont"/>
    <w:uiPriority w:val="99"/>
    <w:unhideWhenUsed/>
    <w:rsid w:val="00B1260E"/>
    <w:rPr>
      <w:color w:val="0000FF" w:themeColor="hyperlink"/>
      <w:u w:val="single"/>
    </w:rPr>
  </w:style>
  <w:style w:type="character" w:customStyle="1" w:styleId="Heading4Char">
    <w:name w:val="Heading 4 Char"/>
    <w:basedOn w:val="DefaultParagraphFont"/>
    <w:link w:val="Heading4"/>
    <w:uiPriority w:val="9"/>
    <w:rsid w:val="00A35362"/>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rsid w:val="00A3536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ighlight">
    <w:name w:val="highlight"/>
    <w:basedOn w:val="DefaultParagraphFont"/>
    <w:rsid w:val="00A35362"/>
  </w:style>
  <w:style w:type="table" w:styleId="TableGrid">
    <w:name w:val="Table Grid"/>
    <w:basedOn w:val="TableNormal"/>
    <w:uiPriority w:val="59"/>
    <w:rsid w:val="00021084"/>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B34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41C"/>
    <w:rPr>
      <w:rFonts w:ascii="Tahoma" w:hAnsi="Tahoma" w:cs="Tahoma"/>
      <w:sz w:val="16"/>
      <w:szCs w:val="16"/>
    </w:rPr>
  </w:style>
  <w:style w:type="table" w:customStyle="1" w:styleId="LightShading1">
    <w:name w:val="Light Shading1"/>
    <w:basedOn w:val="TableNormal"/>
    <w:uiPriority w:val="60"/>
    <w:rsid w:val="007C27F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List1">
    <w:name w:val="Light List1"/>
    <w:basedOn w:val="TableNormal"/>
    <w:uiPriority w:val="61"/>
    <w:rsid w:val="007C27F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ediumShading1-Accent11">
    <w:name w:val="Medium Shading 1 - Accent 11"/>
    <w:basedOn w:val="TableNormal"/>
    <w:uiPriority w:val="63"/>
    <w:rsid w:val="007C27F0"/>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Header">
    <w:name w:val="header"/>
    <w:basedOn w:val="Normal"/>
    <w:link w:val="HeaderChar"/>
    <w:uiPriority w:val="99"/>
    <w:unhideWhenUsed/>
    <w:rsid w:val="006E5B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5BA1"/>
  </w:style>
  <w:style w:type="paragraph" w:styleId="Footer">
    <w:name w:val="footer"/>
    <w:basedOn w:val="Normal"/>
    <w:link w:val="FooterChar"/>
    <w:uiPriority w:val="99"/>
    <w:unhideWhenUsed/>
    <w:rsid w:val="006E5B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5BA1"/>
  </w:style>
  <w:style w:type="character" w:styleId="PageNumber">
    <w:name w:val="page number"/>
    <w:basedOn w:val="DefaultParagraphFont"/>
    <w:uiPriority w:val="99"/>
    <w:semiHidden/>
    <w:unhideWhenUsed/>
    <w:rsid w:val="00291762"/>
  </w:style>
  <w:style w:type="character" w:styleId="CommentReference">
    <w:name w:val="annotation reference"/>
    <w:basedOn w:val="DefaultParagraphFont"/>
    <w:uiPriority w:val="99"/>
    <w:semiHidden/>
    <w:unhideWhenUsed/>
    <w:rsid w:val="00174DBD"/>
    <w:rPr>
      <w:sz w:val="16"/>
      <w:szCs w:val="16"/>
    </w:rPr>
  </w:style>
  <w:style w:type="paragraph" w:styleId="CommentText">
    <w:name w:val="annotation text"/>
    <w:basedOn w:val="Normal"/>
    <w:link w:val="CommentTextChar"/>
    <w:uiPriority w:val="99"/>
    <w:semiHidden/>
    <w:unhideWhenUsed/>
    <w:rsid w:val="00174DBD"/>
    <w:pPr>
      <w:spacing w:line="240" w:lineRule="auto"/>
    </w:pPr>
    <w:rPr>
      <w:sz w:val="20"/>
      <w:szCs w:val="20"/>
    </w:rPr>
  </w:style>
  <w:style w:type="character" w:customStyle="1" w:styleId="CommentTextChar">
    <w:name w:val="Comment Text Char"/>
    <w:basedOn w:val="DefaultParagraphFont"/>
    <w:link w:val="CommentText"/>
    <w:uiPriority w:val="99"/>
    <w:semiHidden/>
    <w:rsid w:val="00174DBD"/>
    <w:rPr>
      <w:sz w:val="20"/>
      <w:szCs w:val="20"/>
    </w:rPr>
  </w:style>
  <w:style w:type="paragraph" w:styleId="CommentSubject">
    <w:name w:val="annotation subject"/>
    <w:basedOn w:val="CommentText"/>
    <w:next w:val="CommentText"/>
    <w:link w:val="CommentSubjectChar"/>
    <w:uiPriority w:val="99"/>
    <w:semiHidden/>
    <w:unhideWhenUsed/>
    <w:rsid w:val="00174DBD"/>
    <w:rPr>
      <w:b/>
      <w:bCs/>
    </w:rPr>
  </w:style>
  <w:style w:type="character" w:customStyle="1" w:styleId="CommentSubjectChar">
    <w:name w:val="Comment Subject Char"/>
    <w:basedOn w:val="CommentTextChar"/>
    <w:link w:val="CommentSubject"/>
    <w:uiPriority w:val="99"/>
    <w:semiHidden/>
    <w:rsid w:val="00174DBD"/>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D99"/>
  </w:style>
  <w:style w:type="paragraph" w:styleId="Heading4">
    <w:name w:val="heading 4"/>
    <w:basedOn w:val="Normal"/>
    <w:link w:val="Heading4Char"/>
    <w:uiPriority w:val="9"/>
    <w:qFormat/>
    <w:rsid w:val="00A35362"/>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B1260E"/>
    <w:pPr>
      <w:spacing w:after="0"/>
      <w:jc w:val="center"/>
    </w:pPr>
    <w:rPr>
      <w:rFonts w:ascii="Times New Roman" w:hAnsi="Times New Roman" w:cs="Times New Roman"/>
      <w:noProof/>
      <w:lang w:val="en-US"/>
    </w:rPr>
  </w:style>
  <w:style w:type="character" w:customStyle="1" w:styleId="EndNoteBibliographyTitleChar">
    <w:name w:val="EndNote Bibliography Title Char"/>
    <w:basedOn w:val="DefaultParagraphFont"/>
    <w:link w:val="EndNoteBibliographyTitle"/>
    <w:rsid w:val="00B1260E"/>
    <w:rPr>
      <w:rFonts w:ascii="Times New Roman" w:hAnsi="Times New Roman" w:cs="Times New Roman"/>
      <w:noProof/>
      <w:lang w:val="en-US"/>
    </w:rPr>
  </w:style>
  <w:style w:type="paragraph" w:customStyle="1" w:styleId="EndNoteBibliography">
    <w:name w:val="EndNote Bibliography"/>
    <w:basedOn w:val="Normal"/>
    <w:link w:val="EndNoteBibliographyChar"/>
    <w:rsid w:val="00B1260E"/>
    <w:pPr>
      <w:spacing w:line="360" w:lineRule="auto"/>
    </w:pPr>
    <w:rPr>
      <w:rFonts w:ascii="Times New Roman" w:hAnsi="Times New Roman" w:cs="Times New Roman"/>
      <w:noProof/>
      <w:lang w:val="en-US"/>
    </w:rPr>
  </w:style>
  <w:style w:type="character" w:customStyle="1" w:styleId="EndNoteBibliographyChar">
    <w:name w:val="EndNote Bibliography Char"/>
    <w:basedOn w:val="DefaultParagraphFont"/>
    <w:link w:val="EndNoteBibliography"/>
    <w:rsid w:val="00B1260E"/>
    <w:rPr>
      <w:rFonts w:ascii="Times New Roman" w:hAnsi="Times New Roman" w:cs="Times New Roman"/>
      <w:noProof/>
      <w:lang w:val="en-US"/>
    </w:rPr>
  </w:style>
  <w:style w:type="character" w:styleId="Hyperlink">
    <w:name w:val="Hyperlink"/>
    <w:basedOn w:val="DefaultParagraphFont"/>
    <w:uiPriority w:val="99"/>
    <w:unhideWhenUsed/>
    <w:rsid w:val="00B1260E"/>
    <w:rPr>
      <w:color w:val="0000FF" w:themeColor="hyperlink"/>
      <w:u w:val="single"/>
    </w:rPr>
  </w:style>
  <w:style w:type="character" w:customStyle="1" w:styleId="Heading4Char">
    <w:name w:val="Heading 4 Char"/>
    <w:basedOn w:val="DefaultParagraphFont"/>
    <w:link w:val="Heading4"/>
    <w:uiPriority w:val="9"/>
    <w:rsid w:val="00A35362"/>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rsid w:val="00A3536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ighlight">
    <w:name w:val="highlight"/>
    <w:basedOn w:val="DefaultParagraphFont"/>
    <w:rsid w:val="00A35362"/>
  </w:style>
  <w:style w:type="table" w:styleId="TableGrid">
    <w:name w:val="Table Grid"/>
    <w:basedOn w:val="TableNormal"/>
    <w:uiPriority w:val="59"/>
    <w:rsid w:val="00021084"/>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B34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41C"/>
    <w:rPr>
      <w:rFonts w:ascii="Tahoma" w:hAnsi="Tahoma" w:cs="Tahoma"/>
      <w:sz w:val="16"/>
      <w:szCs w:val="16"/>
    </w:rPr>
  </w:style>
  <w:style w:type="table" w:customStyle="1" w:styleId="LightShading1">
    <w:name w:val="Light Shading1"/>
    <w:basedOn w:val="TableNormal"/>
    <w:uiPriority w:val="60"/>
    <w:rsid w:val="007C27F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List1">
    <w:name w:val="Light List1"/>
    <w:basedOn w:val="TableNormal"/>
    <w:uiPriority w:val="61"/>
    <w:rsid w:val="007C27F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ediumShading1-Accent11">
    <w:name w:val="Medium Shading 1 - Accent 11"/>
    <w:basedOn w:val="TableNormal"/>
    <w:uiPriority w:val="63"/>
    <w:rsid w:val="007C27F0"/>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Header">
    <w:name w:val="header"/>
    <w:basedOn w:val="Normal"/>
    <w:link w:val="HeaderChar"/>
    <w:uiPriority w:val="99"/>
    <w:unhideWhenUsed/>
    <w:rsid w:val="006E5B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5BA1"/>
  </w:style>
  <w:style w:type="paragraph" w:styleId="Footer">
    <w:name w:val="footer"/>
    <w:basedOn w:val="Normal"/>
    <w:link w:val="FooterChar"/>
    <w:uiPriority w:val="99"/>
    <w:unhideWhenUsed/>
    <w:rsid w:val="006E5B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5BA1"/>
  </w:style>
  <w:style w:type="character" w:styleId="PageNumber">
    <w:name w:val="page number"/>
    <w:basedOn w:val="DefaultParagraphFont"/>
    <w:uiPriority w:val="99"/>
    <w:semiHidden/>
    <w:unhideWhenUsed/>
    <w:rsid w:val="00291762"/>
  </w:style>
  <w:style w:type="character" w:styleId="CommentReference">
    <w:name w:val="annotation reference"/>
    <w:basedOn w:val="DefaultParagraphFont"/>
    <w:uiPriority w:val="99"/>
    <w:semiHidden/>
    <w:unhideWhenUsed/>
    <w:rsid w:val="00174DBD"/>
    <w:rPr>
      <w:sz w:val="16"/>
      <w:szCs w:val="16"/>
    </w:rPr>
  </w:style>
  <w:style w:type="paragraph" w:styleId="CommentText">
    <w:name w:val="annotation text"/>
    <w:basedOn w:val="Normal"/>
    <w:link w:val="CommentTextChar"/>
    <w:uiPriority w:val="99"/>
    <w:semiHidden/>
    <w:unhideWhenUsed/>
    <w:rsid w:val="00174DBD"/>
    <w:pPr>
      <w:spacing w:line="240" w:lineRule="auto"/>
    </w:pPr>
    <w:rPr>
      <w:sz w:val="20"/>
      <w:szCs w:val="20"/>
    </w:rPr>
  </w:style>
  <w:style w:type="character" w:customStyle="1" w:styleId="CommentTextChar">
    <w:name w:val="Comment Text Char"/>
    <w:basedOn w:val="DefaultParagraphFont"/>
    <w:link w:val="CommentText"/>
    <w:uiPriority w:val="99"/>
    <w:semiHidden/>
    <w:rsid w:val="00174DBD"/>
    <w:rPr>
      <w:sz w:val="20"/>
      <w:szCs w:val="20"/>
    </w:rPr>
  </w:style>
  <w:style w:type="paragraph" w:styleId="CommentSubject">
    <w:name w:val="annotation subject"/>
    <w:basedOn w:val="CommentText"/>
    <w:next w:val="CommentText"/>
    <w:link w:val="CommentSubjectChar"/>
    <w:uiPriority w:val="99"/>
    <w:semiHidden/>
    <w:unhideWhenUsed/>
    <w:rsid w:val="00174DBD"/>
    <w:rPr>
      <w:b/>
      <w:bCs/>
    </w:rPr>
  </w:style>
  <w:style w:type="character" w:customStyle="1" w:styleId="CommentSubjectChar">
    <w:name w:val="Comment Subject Char"/>
    <w:basedOn w:val="CommentTextChar"/>
    <w:link w:val="CommentSubject"/>
    <w:uiPriority w:val="99"/>
    <w:semiHidden/>
    <w:rsid w:val="00174DB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15138">
      <w:bodyDiv w:val="1"/>
      <w:marLeft w:val="0"/>
      <w:marRight w:val="0"/>
      <w:marTop w:val="0"/>
      <w:marBottom w:val="0"/>
      <w:divBdr>
        <w:top w:val="none" w:sz="0" w:space="0" w:color="auto"/>
        <w:left w:val="none" w:sz="0" w:space="0" w:color="auto"/>
        <w:bottom w:val="none" w:sz="0" w:space="0" w:color="auto"/>
        <w:right w:val="none" w:sz="0" w:space="0" w:color="auto"/>
      </w:divBdr>
    </w:div>
    <w:div w:id="69930542">
      <w:bodyDiv w:val="1"/>
      <w:marLeft w:val="0"/>
      <w:marRight w:val="0"/>
      <w:marTop w:val="0"/>
      <w:marBottom w:val="0"/>
      <w:divBdr>
        <w:top w:val="none" w:sz="0" w:space="0" w:color="auto"/>
        <w:left w:val="none" w:sz="0" w:space="0" w:color="auto"/>
        <w:bottom w:val="none" w:sz="0" w:space="0" w:color="auto"/>
        <w:right w:val="none" w:sz="0" w:space="0" w:color="auto"/>
      </w:divBdr>
    </w:div>
    <w:div w:id="93481841">
      <w:bodyDiv w:val="1"/>
      <w:marLeft w:val="0"/>
      <w:marRight w:val="0"/>
      <w:marTop w:val="0"/>
      <w:marBottom w:val="0"/>
      <w:divBdr>
        <w:top w:val="none" w:sz="0" w:space="0" w:color="auto"/>
        <w:left w:val="none" w:sz="0" w:space="0" w:color="auto"/>
        <w:bottom w:val="none" w:sz="0" w:space="0" w:color="auto"/>
        <w:right w:val="none" w:sz="0" w:space="0" w:color="auto"/>
      </w:divBdr>
    </w:div>
    <w:div w:id="318264554">
      <w:bodyDiv w:val="1"/>
      <w:marLeft w:val="0"/>
      <w:marRight w:val="0"/>
      <w:marTop w:val="0"/>
      <w:marBottom w:val="0"/>
      <w:divBdr>
        <w:top w:val="none" w:sz="0" w:space="0" w:color="auto"/>
        <w:left w:val="none" w:sz="0" w:space="0" w:color="auto"/>
        <w:bottom w:val="none" w:sz="0" w:space="0" w:color="auto"/>
        <w:right w:val="none" w:sz="0" w:space="0" w:color="auto"/>
      </w:divBdr>
    </w:div>
    <w:div w:id="344986000">
      <w:bodyDiv w:val="1"/>
      <w:marLeft w:val="0"/>
      <w:marRight w:val="0"/>
      <w:marTop w:val="0"/>
      <w:marBottom w:val="0"/>
      <w:divBdr>
        <w:top w:val="none" w:sz="0" w:space="0" w:color="auto"/>
        <w:left w:val="none" w:sz="0" w:space="0" w:color="auto"/>
        <w:bottom w:val="none" w:sz="0" w:space="0" w:color="auto"/>
        <w:right w:val="none" w:sz="0" w:space="0" w:color="auto"/>
      </w:divBdr>
    </w:div>
    <w:div w:id="352922891">
      <w:bodyDiv w:val="1"/>
      <w:marLeft w:val="0"/>
      <w:marRight w:val="0"/>
      <w:marTop w:val="0"/>
      <w:marBottom w:val="0"/>
      <w:divBdr>
        <w:top w:val="none" w:sz="0" w:space="0" w:color="auto"/>
        <w:left w:val="none" w:sz="0" w:space="0" w:color="auto"/>
        <w:bottom w:val="none" w:sz="0" w:space="0" w:color="auto"/>
        <w:right w:val="none" w:sz="0" w:space="0" w:color="auto"/>
      </w:divBdr>
    </w:div>
    <w:div w:id="361323560">
      <w:bodyDiv w:val="1"/>
      <w:marLeft w:val="0"/>
      <w:marRight w:val="0"/>
      <w:marTop w:val="0"/>
      <w:marBottom w:val="0"/>
      <w:divBdr>
        <w:top w:val="none" w:sz="0" w:space="0" w:color="auto"/>
        <w:left w:val="none" w:sz="0" w:space="0" w:color="auto"/>
        <w:bottom w:val="none" w:sz="0" w:space="0" w:color="auto"/>
        <w:right w:val="none" w:sz="0" w:space="0" w:color="auto"/>
      </w:divBdr>
    </w:div>
    <w:div w:id="403261910">
      <w:bodyDiv w:val="1"/>
      <w:marLeft w:val="0"/>
      <w:marRight w:val="0"/>
      <w:marTop w:val="0"/>
      <w:marBottom w:val="0"/>
      <w:divBdr>
        <w:top w:val="none" w:sz="0" w:space="0" w:color="auto"/>
        <w:left w:val="none" w:sz="0" w:space="0" w:color="auto"/>
        <w:bottom w:val="none" w:sz="0" w:space="0" w:color="auto"/>
        <w:right w:val="none" w:sz="0" w:space="0" w:color="auto"/>
      </w:divBdr>
    </w:div>
    <w:div w:id="458501511">
      <w:bodyDiv w:val="1"/>
      <w:marLeft w:val="0"/>
      <w:marRight w:val="0"/>
      <w:marTop w:val="0"/>
      <w:marBottom w:val="0"/>
      <w:divBdr>
        <w:top w:val="none" w:sz="0" w:space="0" w:color="auto"/>
        <w:left w:val="none" w:sz="0" w:space="0" w:color="auto"/>
        <w:bottom w:val="none" w:sz="0" w:space="0" w:color="auto"/>
        <w:right w:val="none" w:sz="0" w:space="0" w:color="auto"/>
      </w:divBdr>
    </w:div>
    <w:div w:id="473524982">
      <w:bodyDiv w:val="1"/>
      <w:marLeft w:val="0"/>
      <w:marRight w:val="0"/>
      <w:marTop w:val="0"/>
      <w:marBottom w:val="0"/>
      <w:divBdr>
        <w:top w:val="none" w:sz="0" w:space="0" w:color="auto"/>
        <w:left w:val="none" w:sz="0" w:space="0" w:color="auto"/>
        <w:bottom w:val="none" w:sz="0" w:space="0" w:color="auto"/>
        <w:right w:val="none" w:sz="0" w:space="0" w:color="auto"/>
      </w:divBdr>
      <w:divsChild>
        <w:div w:id="807743676">
          <w:marLeft w:val="0"/>
          <w:marRight w:val="0"/>
          <w:marTop w:val="0"/>
          <w:marBottom w:val="0"/>
          <w:divBdr>
            <w:top w:val="none" w:sz="0" w:space="0" w:color="auto"/>
            <w:left w:val="none" w:sz="0" w:space="0" w:color="auto"/>
            <w:bottom w:val="none" w:sz="0" w:space="0" w:color="auto"/>
            <w:right w:val="none" w:sz="0" w:space="0" w:color="auto"/>
          </w:divBdr>
        </w:div>
        <w:div w:id="757948613">
          <w:marLeft w:val="0"/>
          <w:marRight w:val="0"/>
          <w:marTop w:val="0"/>
          <w:marBottom w:val="0"/>
          <w:divBdr>
            <w:top w:val="none" w:sz="0" w:space="0" w:color="auto"/>
            <w:left w:val="none" w:sz="0" w:space="0" w:color="auto"/>
            <w:bottom w:val="none" w:sz="0" w:space="0" w:color="auto"/>
            <w:right w:val="none" w:sz="0" w:space="0" w:color="auto"/>
          </w:divBdr>
        </w:div>
        <w:div w:id="343941827">
          <w:marLeft w:val="0"/>
          <w:marRight w:val="0"/>
          <w:marTop w:val="0"/>
          <w:marBottom w:val="0"/>
          <w:divBdr>
            <w:top w:val="none" w:sz="0" w:space="0" w:color="auto"/>
            <w:left w:val="none" w:sz="0" w:space="0" w:color="auto"/>
            <w:bottom w:val="none" w:sz="0" w:space="0" w:color="auto"/>
            <w:right w:val="none" w:sz="0" w:space="0" w:color="auto"/>
          </w:divBdr>
        </w:div>
        <w:div w:id="507602543">
          <w:marLeft w:val="0"/>
          <w:marRight w:val="0"/>
          <w:marTop w:val="0"/>
          <w:marBottom w:val="0"/>
          <w:divBdr>
            <w:top w:val="none" w:sz="0" w:space="0" w:color="auto"/>
            <w:left w:val="none" w:sz="0" w:space="0" w:color="auto"/>
            <w:bottom w:val="none" w:sz="0" w:space="0" w:color="auto"/>
            <w:right w:val="none" w:sz="0" w:space="0" w:color="auto"/>
          </w:divBdr>
        </w:div>
        <w:div w:id="1253510249">
          <w:marLeft w:val="0"/>
          <w:marRight w:val="0"/>
          <w:marTop w:val="0"/>
          <w:marBottom w:val="0"/>
          <w:divBdr>
            <w:top w:val="none" w:sz="0" w:space="0" w:color="auto"/>
            <w:left w:val="none" w:sz="0" w:space="0" w:color="auto"/>
            <w:bottom w:val="none" w:sz="0" w:space="0" w:color="auto"/>
            <w:right w:val="none" w:sz="0" w:space="0" w:color="auto"/>
          </w:divBdr>
        </w:div>
        <w:div w:id="528683350">
          <w:marLeft w:val="0"/>
          <w:marRight w:val="0"/>
          <w:marTop w:val="0"/>
          <w:marBottom w:val="0"/>
          <w:divBdr>
            <w:top w:val="none" w:sz="0" w:space="0" w:color="auto"/>
            <w:left w:val="none" w:sz="0" w:space="0" w:color="auto"/>
            <w:bottom w:val="none" w:sz="0" w:space="0" w:color="auto"/>
            <w:right w:val="none" w:sz="0" w:space="0" w:color="auto"/>
          </w:divBdr>
        </w:div>
      </w:divsChild>
    </w:div>
    <w:div w:id="746807799">
      <w:bodyDiv w:val="1"/>
      <w:marLeft w:val="0"/>
      <w:marRight w:val="0"/>
      <w:marTop w:val="0"/>
      <w:marBottom w:val="0"/>
      <w:divBdr>
        <w:top w:val="none" w:sz="0" w:space="0" w:color="auto"/>
        <w:left w:val="none" w:sz="0" w:space="0" w:color="auto"/>
        <w:bottom w:val="none" w:sz="0" w:space="0" w:color="auto"/>
        <w:right w:val="none" w:sz="0" w:space="0" w:color="auto"/>
      </w:divBdr>
    </w:div>
    <w:div w:id="758597850">
      <w:bodyDiv w:val="1"/>
      <w:marLeft w:val="0"/>
      <w:marRight w:val="0"/>
      <w:marTop w:val="0"/>
      <w:marBottom w:val="0"/>
      <w:divBdr>
        <w:top w:val="none" w:sz="0" w:space="0" w:color="auto"/>
        <w:left w:val="none" w:sz="0" w:space="0" w:color="auto"/>
        <w:bottom w:val="none" w:sz="0" w:space="0" w:color="auto"/>
        <w:right w:val="none" w:sz="0" w:space="0" w:color="auto"/>
      </w:divBdr>
    </w:div>
    <w:div w:id="769617657">
      <w:bodyDiv w:val="1"/>
      <w:marLeft w:val="0"/>
      <w:marRight w:val="0"/>
      <w:marTop w:val="0"/>
      <w:marBottom w:val="0"/>
      <w:divBdr>
        <w:top w:val="none" w:sz="0" w:space="0" w:color="auto"/>
        <w:left w:val="none" w:sz="0" w:space="0" w:color="auto"/>
        <w:bottom w:val="none" w:sz="0" w:space="0" w:color="auto"/>
        <w:right w:val="none" w:sz="0" w:space="0" w:color="auto"/>
      </w:divBdr>
    </w:div>
    <w:div w:id="859318996">
      <w:bodyDiv w:val="1"/>
      <w:marLeft w:val="0"/>
      <w:marRight w:val="0"/>
      <w:marTop w:val="0"/>
      <w:marBottom w:val="0"/>
      <w:divBdr>
        <w:top w:val="none" w:sz="0" w:space="0" w:color="auto"/>
        <w:left w:val="none" w:sz="0" w:space="0" w:color="auto"/>
        <w:bottom w:val="none" w:sz="0" w:space="0" w:color="auto"/>
        <w:right w:val="none" w:sz="0" w:space="0" w:color="auto"/>
      </w:divBdr>
      <w:divsChild>
        <w:div w:id="866019827">
          <w:marLeft w:val="0"/>
          <w:marRight w:val="0"/>
          <w:marTop w:val="0"/>
          <w:marBottom w:val="0"/>
          <w:divBdr>
            <w:top w:val="none" w:sz="0" w:space="0" w:color="auto"/>
            <w:left w:val="none" w:sz="0" w:space="0" w:color="auto"/>
            <w:bottom w:val="none" w:sz="0" w:space="0" w:color="auto"/>
            <w:right w:val="none" w:sz="0" w:space="0" w:color="auto"/>
          </w:divBdr>
        </w:div>
        <w:div w:id="1000739553">
          <w:marLeft w:val="0"/>
          <w:marRight w:val="0"/>
          <w:marTop w:val="0"/>
          <w:marBottom w:val="0"/>
          <w:divBdr>
            <w:top w:val="none" w:sz="0" w:space="0" w:color="auto"/>
            <w:left w:val="none" w:sz="0" w:space="0" w:color="auto"/>
            <w:bottom w:val="none" w:sz="0" w:space="0" w:color="auto"/>
            <w:right w:val="none" w:sz="0" w:space="0" w:color="auto"/>
          </w:divBdr>
        </w:div>
        <w:div w:id="1058935774">
          <w:marLeft w:val="0"/>
          <w:marRight w:val="0"/>
          <w:marTop w:val="0"/>
          <w:marBottom w:val="0"/>
          <w:divBdr>
            <w:top w:val="none" w:sz="0" w:space="0" w:color="auto"/>
            <w:left w:val="none" w:sz="0" w:space="0" w:color="auto"/>
            <w:bottom w:val="none" w:sz="0" w:space="0" w:color="auto"/>
            <w:right w:val="none" w:sz="0" w:space="0" w:color="auto"/>
          </w:divBdr>
        </w:div>
      </w:divsChild>
    </w:div>
    <w:div w:id="953756078">
      <w:bodyDiv w:val="1"/>
      <w:marLeft w:val="0"/>
      <w:marRight w:val="0"/>
      <w:marTop w:val="0"/>
      <w:marBottom w:val="0"/>
      <w:divBdr>
        <w:top w:val="none" w:sz="0" w:space="0" w:color="auto"/>
        <w:left w:val="none" w:sz="0" w:space="0" w:color="auto"/>
        <w:bottom w:val="none" w:sz="0" w:space="0" w:color="auto"/>
        <w:right w:val="none" w:sz="0" w:space="0" w:color="auto"/>
      </w:divBdr>
    </w:div>
    <w:div w:id="971058354">
      <w:bodyDiv w:val="1"/>
      <w:marLeft w:val="0"/>
      <w:marRight w:val="0"/>
      <w:marTop w:val="0"/>
      <w:marBottom w:val="0"/>
      <w:divBdr>
        <w:top w:val="none" w:sz="0" w:space="0" w:color="auto"/>
        <w:left w:val="none" w:sz="0" w:space="0" w:color="auto"/>
        <w:bottom w:val="none" w:sz="0" w:space="0" w:color="auto"/>
        <w:right w:val="none" w:sz="0" w:space="0" w:color="auto"/>
      </w:divBdr>
    </w:div>
    <w:div w:id="1084229513">
      <w:bodyDiv w:val="1"/>
      <w:marLeft w:val="0"/>
      <w:marRight w:val="0"/>
      <w:marTop w:val="0"/>
      <w:marBottom w:val="0"/>
      <w:divBdr>
        <w:top w:val="none" w:sz="0" w:space="0" w:color="auto"/>
        <w:left w:val="none" w:sz="0" w:space="0" w:color="auto"/>
        <w:bottom w:val="none" w:sz="0" w:space="0" w:color="auto"/>
        <w:right w:val="none" w:sz="0" w:space="0" w:color="auto"/>
      </w:divBdr>
    </w:div>
    <w:div w:id="1467311110">
      <w:bodyDiv w:val="1"/>
      <w:marLeft w:val="0"/>
      <w:marRight w:val="0"/>
      <w:marTop w:val="0"/>
      <w:marBottom w:val="0"/>
      <w:divBdr>
        <w:top w:val="none" w:sz="0" w:space="0" w:color="auto"/>
        <w:left w:val="none" w:sz="0" w:space="0" w:color="auto"/>
        <w:bottom w:val="none" w:sz="0" w:space="0" w:color="auto"/>
        <w:right w:val="none" w:sz="0" w:space="0" w:color="auto"/>
      </w:divBdr>
      <w:divsChild>
        <w:div w:id="2055614810">
          <w:marLeft w:val="0"/>
          <w:marRight w:val="0"/>
          <w:marTop w:val="0"/>
          <w:marBottom w:val="0"/>
          <w:divBdr>
            <w:top w:val="none" w:sz="0" w:space="0" w:color="auto"/>
            <w:left w:val="none" w:sz="0" w:space="0" w:color="auto"/>
            <w:bottom w:val="none" w:sz="0" w:space="0" w:color="auto"/>
            <w:right w:val="none" w:sz="0" w:space="0" w:color="auto"/>
          </w:divBdr>
        </w:div>
      </w:divsChild>
    </w:div>
    <w:div w:id="1579553576">
      <w:bodyDiv w:val="1"/>
      <w:marLeft w:val="0"/>
      <w:marRight w:val="0"/>
      <w:marTop w:val="0"/>
      <w:marBottom w:val="0"/>
      <w:divBdr>
        <w:top w:val="none" w:sz="0" w:space="0" w:color="auto"/>
        <w:left w:val="none" w:sz="0" w:space="0" w:color="auto"/>
        <w:bottom w:val="none" w:sz="0" w:space="0" w:color="auto"/>
        <w:right w:val="none" w:sz="0" w:space="0" w:color="auto"/>
      </w:divBdr>
    </w:div>
    <w:div w:id="1590508501">
      <w:bodyDiv w:val="1"/>
      <w:marLeft w:val="0"/>
      <w:marRight w:val="0"/>
      <w:marTop w:val="0"/>
      <w:marBottom w:val="0"/>
      <w:divBdr>
        <w:top w:val="none" w:sz="0" w:space="0" w:color="auto"/>
        <w:left w:val="none" w:sz="0" w:space="0" w:color="auto"/>
        <w:bottom w:val="none" w:sz="0" w:space="0" w:color="auto"/>
        <w:right w:val="none" w:sz="0" w:space="0" w:color="auto"/>
      </w:divBdr>
    </w:div>
    <w:div w:id="1612712014">
      <w:bodyDiv w:val="1"/>
      <w:marLeft w:val="0"/>
      <w:marRight w:val="0"/>
      <w:marTop w:val="0"/>
      <w:marBottom w:val="0"/>
      <w:divBdr>
        <w:top w:val="none" w:sz="0" w:space="0" w:color="auto"/>
        <w:left w:val="none" w:sz="0" w:space="0" w:color="auto"/>
        <w:bottom w:val="none" w:sz="0" w:space="0" w:color="auto"/>
        <w:right w:val="none" w:sz="0" w:space="0" w:color="auto"/>
      </w:divBdr>
    </w:div>
    <w:div w:id="1657107753">
      <w:bodyDiv w:val="1"/>
      <w:marLeft w:val="0"/>
      <w:marRight w:val="0"/>
      <w:marTop w:val="0"/>
      <w:marBottom w:val="0"/>
      <w:divBdr>
        <w:top w:val="none" w:sz="0" w:space="0" w:color="auto"/>
        <w:left w:val="none" w:sz="0" w:space="0" w:color="auto"/>
        <w:bottom w:val="none" w:sz="0" w:space="0" w:color="auto"/>
        <w:right w:val="none" w:sz="0" w:space="0" w:color="auto"/>
      </w:divBdr>
    </w:div>
    <w:div w:id="1663199598">
      <w:bodyDiv w:val="1"/>
      <w:marLeft w:val="0"/>
      <w:marRight w:val="0"/>
      <w:marTop w:val="0"/>
      <w:marBottom w:val="0"/>
      <w:divBdr>
        <w:top w:val="none" w:sz="0" w:space="0" w:color="auto"/>
        <w:left w:val="none" w:sz="0" w:space="0" w:color="auto"/>
        <w:bottom w:val="none" w:sz="0" w:space="0" w:color="auto"/>
        <w:right w:val="none" w:sz="0" w:space="0" w:color="auto"/>
      </w:divBdr>
    </w:div>
    <w:div w:id="1687369664">
      <w:bodyDiv w:val="1"/>
      <w:marLeft w:val="0"/>
      <w:marRight w:val="0"/>
      <w:marTop w:val="0"/>
      <w:marBottom w:val="0"/>
      <w:divBdr>
        <w:top w:val="none" w:sz="0" w:space="0" w:color="auto"/>
        <w:left w:val="none" w:sz="0" w:space="0" w:color="auto"/>
        <w:bottom w:val="none" w:sz="0" w:space="0" w:color="auto"/>
        <w:right w:val="none" w:sz="0" w:space="0" w:color="auto"/>
      </w:divBdr>
    </w:div>
    <w:div w:id="1700204052">
      <w:bodyDiv w:val="1"/>
      <w:marLeft w:val="0"/>
      <w:marRight w:val="0"/>
      <w:marTop w:val="0"/>
      <w:marBottom w:val="0"/>
      <w:divBdr>
        <w:top w:val="none" w:sz="0" w:space="0" w:color="auto"/>
        <w:left w:val="none" w:sz="0" w:space="0" w:color="auto"/>
        <w:bottom w:val="none" w:sz="0" w:space="0" w:color="auto"/>
        <w:right w:val="none" w:sz="0" w:space="0" w:color="auto"/>
      </w:divBdr>
      <w:divsChild>
        <w:div w:id="354581335">
          <w:marLeft w:val="0"/>
          <w:marRight w:val="0"/>
          <w:marTop w:val="0"/>
          <w:marBottom w:val="0"/>
          <w:divBdr>
            <w:top w:val="none" w:sz="0" w:space="0" w:color="auto"/>
            <w:left w:val="none" w:sz="0" w:space="0" w:color="auto"/>
            <w:bottom w:val="none" w:sz="0" w:space="0" w:color="auto"/>
            <w:right w:val="none" w:sz="0" w:space="0" w:color="auto"/>
          </w:divBdr>
        </w:div>
      </w:divsChild>
    </w:div>
    <w:div w:id="1933009209">
      <w:bodyDiv w:val="1"/>
      <w:marLeft w:val="0"/>
      <w:marRight w:val="0"/>
      <w:marTop w:val="0"/>
      <w:marBottom w:val="0"/>
      <w:divBdr>
        <w:top w:val="none" w:sz="0" w:space="0" w:color="auto"/>
        <w:left w:val="none" w:sz="0" w:space="0" w:color="auto"/>
        <w:bottom w:val="none" w:sz="0" w:space="0" w:color="auto"/>
        <w:right w:val="none" w:sz="0" w:space="0" w:color="auto"/>
      </w:divBdr>
    </w:div>
    <w:div w:id="1945073030">
      <w:bodyDiv w:val="1"/>
      <w:marLeft w:val="0"/>
      <w:marRight w:val="0"/>
      <w:marTop w:val="0"/>
      <w:marBottom w:val="0"/>
      <w:divBdr>
        <w:top w:val="none" w:sz="0" w:space="0" w:color="auto"/>
        <w:left w:val="none" w:sz="0" w:space="0" w:color="auto"/>
        <w:bottom w:val="none" w:sz="0" w:space="0" w:color="auto"/>
        <w:right w:val="none" w:sz="0" w:space="0" w:color="auto"/>
      </w:divBdr>
    </w:div>
    <w:div w:id="2044553104">
      <w:bodyDiv w:val="1"/>
      <w:marLeft w:val="0"/>
      <w:marRight w:val="0"/>
      <w:marTop w:val="0"/>
      <w:marBottom w:val="0"/>
      <w:divBdr>
        <w:top w:val="none" w:sz="0" w:space="0" w:color="auto"/>
        <w:left w:val="none" w:sz="0" w:space="0" w:color="auto"/>
        <w:bottom w:val="none" w:sz="0" w:space="0" w:color="auto"/>
        <w:right w:val="none" w:sz="0" w:space="0" w:color="auto"/>
      </w:divBdr>
    </w:div>
    <w:div w:id="2049407971">
      <w:bodyDiv w:val="1"/>
      <w:marLeft w:val="0"/>
      <w:marRight w:val="0"/>
      <w:marTop w:val="0"/>
      <w:marBottom w:val="0"/>
      <w:divBdr>
        <w:top w:val="none" w:sz="0" w:space="0" w:color="auto"/>
        <w:left w:val="none" w:sz="0" w:space="0" w:color="auto"/>
        <w:bottom w:val="none" w:sz="0" w:space="0" w:color="auto"/>
        <w:right w:val="none" w:sz="0" w:space="0" w:color="auto"/>
      </w:divBdr>
    </w:div>
    <w:div w:id="2143687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5248</Words>
  <Characters>29918</Characters>
  <Application>Microsoft Office Word</Application>
  <DocSecurity>4</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35096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2016-11-30T10:09:00Z</dcterms:created>
  <dcterms:modified xsi:type="dcterms:W3CDTF">2016-11-30T10:09:00Z</dcterms:modified>
</cp:coreProperties>
</file>