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6FF6E" w14:textId="77D2F2A6" w:rsidR="003C5F4F" w:rsidRDefault="003C5F4F" w:rsidP="00987AC7">
      <w:pPr>
        <w:pStyle w:val="Heading1"/>
        <w:jc w:val="center"/>
      </w:pPr>
      <w:bookmarkStart w:id="0" w:name="_GoBack"/>
      <w:bookmarkEnd w:id="0"/>
      <w:r w:rsidRPr="00C7502F">
        <w:t xml:space="preserve">Early </w:t>
      </w:r>
      <w:r w:rsidR="009E3920" w:rsidRPr="00C7502F">
        <w:t>A</w:t>
      </w:r>
      <w:r w:rsidRPr="00C7502F">
        <w:t xml:space="preserve">ntenatal </w:t>
      </w:r>
      <w:r w:rsidR="009E3920" w:rsidRPr="00C7502F">
        <w:t>P</w:t>
      </w:r>
      <w:r w:rsidRPr="00C7502F">
        <w:t xml:space="preserve">rediction of </w:t>
      </w:r>
      <w:r w:rsidR="009E3920" w:rsidRPr="00C7502F">
        <w:t>G</w:t>
      </w:r>
      <w:r w:rsidRPr="00C7502F">
        <w:t xml:space="preserve">estational </w:t>
      </w:r>
      <w:r w:rsidR="009E3920" w:rsidRPr="00C7502F">
        <w:t>D</w:t>
      </w:r>
      <w:r w:rsidRPr="00C7502F">
        <w:t xml:space="preserve">iabetes in </w:t>
      </w:r>
      <w:r w:rsidR="009E3920" w:rsidRPr="00C7502F">
        <w:t>O</w:t>
      </w:r>
      <w:r w:rsidRPr="00C7502F">
        <w:t xml:space="preserve">bese </w:t>
      </w:r>
      <w:r w:rsidR="009E3920" w:rsidRPr="00C7502F">
        <w:t>W</w:t>
      </w:r>
      <w:r w:rsidRPr="00C7502F">
        <w:t xml:space="preserve">omen: </w:t>
      </w:r>
      <w:r w:rsidR="004B1417" w:rsidRPr="00C7502F">
        <w:t>D</w:t>
      </w:r>
      <w:r w:rsidR="001359C0" w:rsidRPr="00C7502F">
        <w:t xml:space="preserve">evelopment of </w:t>
      </w:r>
      <w:r w:rsidR="004B1417" w:rsidRPr="00C7502F">
        <w:t>P</w:t>
      </w:r>
      <w:r w:rsidRPr="00C7502F">
        <w:t xml:space="preserve">rediction </w:t>
      </w:r>
      <w:r w:rsidR="004B1417" w:rsidRPr="00FF6E13">
        <w:t>T</w:t>
      </w:r>
      <w:r w:rsidRPr="00FF6E13">
        <w:t>ool</w:t>
      </w:r>
      <w:r w:rsidR="002A47EF" w:rsidRPr="00F4315C">
        <w:t>s</w:t>
      </w:r>
      <w:r w:rsidRPr="00DB5FE9">
        <w:t xml:space="preserve"> for </w:t>
      </w:r>
      <w:r w:rsidR="004B1417" w:rsidRPr="00DB5FE9">
        <w:t>T</w:t>
      </w:r>
      <w:r w:rsidRPr="00EF09B5">
        <w:t xml:space="preserve">argeted </w:t>
      </w:r>
      <w:r w:rsidR="004B1417" w:rsidRPr="005C5B5D">
        <w:t>I</w:t>
      </w:r>
      <w:r w:rsidRPr="005C5B5D">
        <w:t>ntervention</w:t>
      </w:r>
    </w:p>
    <w:p w14:paraId="2C5C1373" w14:textId="77777777" w:rsidR="00C7502F" w:rsidRPr="00987AC7" w:rsidRDefault="00C7502F" w:rsidP="00987AC7"/>
    <w:p w14:paraId="38E519AA" w14:textId="23CEB6B6" w:rsidR="008025F8" w:rsidRPr="00987AC7" w:rsidRDefault="008025F8" w:rsidP="00987AC7">
      <w:pPr>
        <w:spacing w:line="480" w:lineRule="auto"/>
        <w:jc w:val="center"/>
        <w:rPr>
          <w:rFonts w:ascii="Times New Roman" w:hAnsi="Times New Roman" w:cs="Times New Roman"/>
          <w:sz w:val="24"/>
          <w:szCs w:val="24"/>
        </w:rPr>
      </w:pPr>
      <w:r w:rsidRPr="00987AC7">
        <w:rPr>
          <w:rFonts w:ascii="Times New Roman" w:hAnsi="Times New Roman" w:cs="Times New Roman"/>
          <w:sz w:val="24"/>
          <w:szCs w:val="24"/>
        </w:rPr>
        <w:t>Short Title: Prediction of Gestational Diabetes in Obese Women</w:t>
      </w:r>
    </w:p>
    <w:p w14:paraId="47A4DDF5" w14:textId="3DFC1BD3" w:rsidR="00784B70" w:rsidRPr="00E82D23" w:rsidRDefault="00784B70" w:rsidP="00626243">
      <w:pPr>
        <w:spacing w:after="0" w:line="480" w:lineRule="auto"/>
        <w:jc w:val="both"/>
        <w:rPr>
          <w:rFonts w:ascii="Times New Roman" w:hAnsi="Times New Roman" w:cs="Times New Roman"/>
        </w:rPr>
      </w:pPr>
      <w:r w:rsidRPr="00E82D23">
        <w:rPr>
          <w:rFonts w:ascii="Times New Roman" w:hAnsi="Times New Roman" w:cs="Times New Roman"/>
        </w:rPr>
        <w:t>Sara L White</w:t>
      </w:r>
      <w:r w:rsidRPr="00E82D23">
        <w:rPr>
          <w:rFonts w:ascii="Times New Roman" w:hAnsi="Times New Roman" w:cs="Times New Roman"/>
          <w:vertAlign w:val="superscript"/>
        </w:rPr>
        <w:t>1</w:t>
      </w:r>
      <w:r w:rsidRPr="00E82D23">
        <w:rPr>
          <w:rFonts w:ascii="Times New Roman" w:hAnsi="Times New Roman" w:cs="Times New Roman"/>
        </w:rPr>
        <w:t>, Debbie A Lawlor</w:t>
      </w:r>
      <w:r w:rsidRPr="00E82D23">
        <w:rPr>
          <w:rFonts w:ascii="Times New Roman" w:hAnsi="Times New Roman" w:cs="Times New Roman"/>
          <w:vertAlign w:val="superscript"/>
        </w:rPr>
        <w:t>2,3</w:t>
      </w:r>
      <w:r w:rsidRPr="00E82D23">
        <w:rPr>
          <w:rFonts w:ascii="Times New Roman" w:hAnsi="Times New Roman" w:cs="Times New Roman"/>
        </w:rPr>
        <w:t>, Annette L Briley</w:t>
      </w:r>
      <w:r w:rsidRPr="00E82D23">
        <w:rPr>
          <w:rFonts w:ascii="Times New Roman" w:hAnsi="Times New Roman" w:cs="Times New Roman"/>
          <w:vertAlign w:val="superscript"/>
        </w:rPr>
        <w:t>1,</w:t>
      </w:r>
      <w:r w:rsidR="0046664F" w:rsidRPr="00E82D23">
        <w:rPr>
          <w:rFonts w:ascii="Times New Roman" w:hAnsi="Times New Roman" w:cs="Times New Roman"/>
          <w:vertAlign w:val="superscript"/>
        </w:rPr>
        <w:t>4</w:t>
      </w:r>
      <w:r w:rsidRPr="00E82D23">
        <w:rPr>
          <w:rFonts w:ascii="Times New Roman" w:hAnsi="Times New Roman" w:cs="Times New Roman"/>
        </w:rPr>
        <w:t>, Keith M Godfrey</w:t>
      </w:r>
      <w:r w:rsidR="0046664F" w:rsidRPr="00E82D23">
        <w:rPr>
          <w:rFonts w:ascii="Times New Roman" w:hAnsi="Times New Roman" w:cs="Times New Roman"/>
          <w:vertAlign w:val="superscript"/>
        </w:rPr>
        <w:t>5</w:t>
      </w:r>
      <w:r w:rsidR="001B2220" w:rsidRPr="00987AC7">
        <w:rPr>
          <w:rFonts w:ascii="Times New Roman" w:hAnsi="Times New Roman" w:cs="Times New Roman"/>
          <w:vertAlign w:val="superscript"/>
        </w:rPr>
        <w:t>,6</w:t>
      </w:r>
      <w:r w:rsidRPr="00E82D23">
        <w:rPr>
          <w:rFonts w:ascii="Times New Roman" w:hAnsi="Times New Roman" w:cs="Times New Roman"/>
        </w:rPr>
        <w:t>, Scott M Nelson</w:t>
      </w:r>
      <w:r w:rsidR="001B2220" w:rsidRPr="00987AC7">
        <w:rPr>
          <w:rFonts w:ascii="Times New Roman" w:hAnsi="Times New Roman" w:cs="Times New Roman"/>
          <w:vertAlign w:val="superscript"/>
        </w:rPr>
        <w:t>7</w:t>
      </w:r>
      <w:r w:rsidRPr="00E82D23">
        <w:rPr>
          <w:rFonts w:ascii="Times New Roman" w:hAnsi="Times New Roman" w:cs="Times New Roman"/>
        </w:rPr>
        <w:t>, Eugene Oteng-Ntim</w:t>
      </w:r>
      <w:r w:rsidRPr="00E82D23">
        <w:rPr>
          <w:rFonts w:ascii="Times New Roman" w:hAnsi="Times New Roman" w:cs="Times New Roman"/>
          <w:vertAlign w:val="superscript"/>
        </w:rPr>
        <w:t>1,</w:t>
      </w:r>
      <w:r w:rsidR="0046664F" w:rsidRPr="00E82D23">
        <w:rPr>
          <w:rFonts w:ascii="Times New Roman" w:hAnsi="Times New Roman" w:cs="Times New Roman"/>
          <w:vertAlign w:val="superscript"/>
        </w:rPr>
        <w:t>4</w:t>
      </w:r>
      <w:r w:rsidRPr="00E82D23">
        <w:rPr>
          <w:rFonts w:ascii="Times New Roman" w:hAnsi="Times New Roman" w:cs="Times New Roman"/>
        </w:rPr>
        <w:t>, Stephen C Robson</w:t>
      </w:r>
      <w:r w:rsidR="001B2220" w:rsidRPr="00987AC7">
        <w:rPr>
          <w:rFonts w:ascii="Times New Roman" w:hAnsi="Times New Roman" w:cs="Times New Roman"/>
          <w:vertAlign w:val="superscript"/>
        </w:rPr>
        <w:t>8</w:t>
      </w:r>
      <w:r w:rsidRPr="00E82D23">
        <w:rPr>
          <w:rFonts w:ascii="Times New Roman" w:hAnsi="Times New Roman" w:cs="Times New Roman"/>
        </w:rPr>
        <w:t>, Naveed Sattar</w:t>
      </w:r>
      <w:r w:rsidR="001B2220" w:rsidRPr="00987AC7">
        <w:rPr>
          <w:rFonts w:ascii="Times New Roman" w:hAnsi="Times New Roman" w:cs="Times New Roman"/>
          <w:vertAlign w:val="superscript"/>
        </w:rPr>
        <w:t>9</w:t>
      </w:r>
      <w:r w:rsidRPr="00E82D23">
        <w:rPr>
          <w:rFonts w:ascii="Times New Roman" w:hAnsi="Times New Roman" w:cs="Times New Roman"/>
        </w:rPr>
        <w:t>, Paul T Seed</w:t>
      </w:r>
      <w:r w:rsidRPr="00E82D23">
        <w:rPr>
          <w:rFonts w:ascii="Times New Roman" w:hAnsi="Times New Roman" w:cs="Times New Roman"/>
          <w:vertAlign w:val="superscript"/>
        </w:rPr>
        <w:t>1</w:t>
      </w:r>
      <w:r w:rsidRPr="00E82D23">
        <w:rPr>
          <w:rFonts w:ascii="Times New Roman" w:hAnsi="Times New Roman" w:cs="Times New Roman"/>
        </w:rPr>
        <w:t>, Matias C Vieira</w:t>
      </w:r>
      <w:r w:rsidRPr="00E82D23">
        <w:rPr>
          <w:rFonts w:ascii="Times New Roman" w:hAnsi="Times New Roman" w:cs="Times New Roman"/>
          <w:vertAlign w:val="superscript"/>
        </w:rPr>
        <w:t>1</w:t>
      </w:r>
      <w:r w:rsidRPr="00E82D23">
        <w:rPr>
          <w:rFonts w:ascii="Times New Roman" w:hAnsi="Times New Roman" w:cs="Times New Roman"/>
        </w:rPr>
        <w:t>, Paul Welsh</w:t>
      </w:r>
      <w:r w:rsidR="001B2220" w:rsidRPr="00987AC7">
        <w:rPr>
          <w:rFonts w:ascii="Times New Roman" w:hAnsi="Times New Roman" w:cs="Times New Roman"/>
          <w:vertAlign w:val="superscript"/>
        </w:rPr>
        <w:t>9</w:t>
      </w:r>
      <w:r w:rsidRPr="00E82D23">
        <w:rPr>
          <w:rFonts w:ascii="Times New Roman" w:hAnsi="Times New Roman" w:cs="Times New Roman"/>
        </w:rPr>
        <w:t>, Melissa Whitworth</w:t>
      </w:r>
      <w:r w:rsidR="00DC6AC2" w:rsidRPr="00E82D23">
        <w:rPr>
          <w:rFonts w:ascii="Times New Roman" w:hAnsi="Times New Roman" w:cs="Times New Roman"/>
          <w:vertAlign w:val="superscript"/>
        </w:rPr>
        <w:t>10</w:t>
      </w:r>
      <w:r w:rsidR="001B2220" w:rsidRPr="00987AC7">
        <w:rPr>
          <w:rFonts w:ascii="Times New Roman" w:hAnsi="Times New Roman" w:cs="Times New Roman"/>
          <w:vertAlign w:val="superscript"/>
        </w:rPr>
        <w:t>,11</w:t>
      </w:r>
      <w:r w:rsidRPr="00E82D23">
        <w:rPr>
          <w:rFonts w:ascii="Times New Roman" w:hAnsi="Times New Roman" w:cs="Times New Roman"/>
        </w:rPr>
        <w:t>, Lucilla Poston</w:t>
      </w:r>
      <w:r w:rsidRPr="00E82D23">
        <w:rPr>
          <w:rFonts w:ascii="Times New Roman" w:hAnsi="Times New Roman" w:cs="Times New Roman"/>
          <w:vertAlign w:val="superscript"/>
        </w:rPr>
        <w:t>1</w:t>
      </w:r>
      <w:r w:rsidRPr="00E82D23">
        <w:rPr>
          <w:rFonts w:ascii="Times New Roman" w:hAnsi="Times New Roman" w:cs="Times New Roman"/>
        </w:rPr>
        <w:t>, Dharmintra Pasupathy</w:t>
      </w:r>
      <w:r w:rsidRPr="00E82D23">
        <w:rPr>
          <w:rFonts w:ascii="Times New Roman" w:hAnsi="Times New Roman" w:cs="Times New Roman"/>
          <w:vertAlign w:val="superscript"/>
        </w:rPr>
        <w:t>1,</w:t>
      </w:r>
      <w:r w:rsidR="0046664F" w:rsidRPr="00E82D23">
        <w:rPr>
          <w:rFonts w:ascii="Times New Roman" w:hAnsi="Times New Roman" w:cs="Times New Roman"/>
          <w:vertAlign w:val="superscript"/>
        </w:rPr>
        <w:t>4</w:t>
      </w:r>
      <w:r w:rsidR="00BC22F2" w:rsidRPr="00E82D23">
        <w:rPr>
          <w:rFonts w:ascii="Times New Roman" w:hAnsi="Times New Roman" w:cs="Times New Roman"/>
          <w:vertAlign w:val="superscript"/>
        </w:rPr>
        <w:t>*</w:t>
      </w:r>
      <w:r w:rsidRPr="00E82D23">
        <w:rPr>
          <w:rFonts w:ascii="Times New Roman" w:hAnsi="Times New Roman" w:cs="Times New Roman"/>
        </w:rPr>
        <w:t xml:space="preserve"> on behalf of the UPBEAT Consortium</w:t>
      </w:r>
      <w:r w:rsidR="00BC22F2" w:rsidRPr="00E82D23">
        <w:rPr>
          <w:rFonts w:ascii="Times New Roman" w:hAnsi="Times New Roman" w:cs="Times New Roman"/>
        </w:rPr>
        <w:t>^</w:t>
      </w:r>
    </w:p>
    <w:p w14:paraId="1AE3E576" w14:textId="77777777" w:rsidR="00784B70" w:rsidRPr="00987AC7" w:rsidRDefault="00784B70" w:rsidP="00626243">
      <w:pPr>
        <w:spacing w:line="480" w:lineRule="auto"/>
        <w:jc w:val="both"/>
        <w:rPr>
          <w:rFonts w:ascii="Times New Roman" w:hAnsi="Times New Roman" w:cs="Times New Roman"/>
        </w:rPr>
      </w:pPr>
    </w:p>
    <w:p w14:paraId="69BFE404" w14:textId="4DF27F07" w:rsidR="00A367B8" w:rsidRPr="00E82D23" w:rsidRDefault="00784B70" w:rsidP="00987AC7">
      <w:pPr>
        <w:spacing w:after="0" w:line="480" w:lineRule="auto"/>
        <w:jc w:val="both"/>
        <w:rPr>
          <w:rFonts w:ascii="Times New Roman" w:hAnsi="Times New Roman" w:cs="Times New Roman"/>
        </w:rPr>
      </w:pPr>
      <w:r w:rsidRPr="00987AC7">
        <w:rPr>
          <w:rFonts w:ascii="Times New Roman" w:hAnsi="Times New Roman" w:cs="Times New Roman"/>
          <w:vertAlign w:val="superscript"/>
        </w:rPr>
        <w:t xml:space="preserve">1 </w:t>
      </w:r>
      <w:r w:rsidRPr="00E82D23">
        <w:rPr>
          <w:rFonts w:ascii="Times New Roman" w:hAnsi="Times New Roman" w:cs="Times New Roman"/>
        </w:rPr>
        <w:t>Division of Women’s Health, King’s College London, London, UK</w:t>
      </w:r>
    </w:p>
    <w:p w14:paraId="77C8C9D6" w14:textId="37F60EA6" w:rsidR="00A367B8" w:rsidRPr="00E82D23" w:rsidRDefault="00784B70" w:rsidP="00987AC7">
      <w:pPr>
        <w:spacing w:after="0" w:line="480" w:lineRule="auto"/>
        <w:jc w:val="both"/>
        <w:rPr>
          <w:rFonts w:ascii="Times New Roman" w:hAnsi="Times New Roman" w:cs="Times New Roman"/>
          <w:vertAlign w:val="superscript"/>
        </w:rPr>
      </w:pPr>
      <w:r w:rsidRPr="00E82D23">
        <w:rPr>
          <w:rFonts w:ascii="Times New Roman" w:hAnsi="Times New Roman" w:cs="Times New Roman"/>
          <w:vertAlign w:val="superscript"/>
        </w:rPr>
        <w:t xml:space="preserve">2 </w:t>
      </w:r>
      <w:r w:rsidRPr="00E82D23">
        <w:rPr>
          <w:rFonts w:ascii="Times New Roman" w:hAnsi="Times New Roman" w:cs="Times New Roman"/>
        </w:rPr>
        <w:t>MRC Integrative Epidemiology Unit at the University of Bristol, Bristol, UK</w:t>
      </w:r>
    </w:p>
    <w:p w14:paraId="276324A4" w14:textId="0927D6C4" w:rsidR="00A367B8" w:rsidRPr="00E82D23" w:rsidRDefault="00784B70" w:rsidP="00987AC7">
      <w:pPr>
        <w:spacing w:after="0" w:line="480" w:lineRule="auto"/>
        <w:jc w:val="both"/>
        <w:rPr>
          <w:rFonts w:ascii="Times New Roman" w:hAnsi="Times New Roman" w:cs="Times New Roman"/>
          <w:vertAlign w:val="superscript"/>
        </w:rPr>
      </w:pPr>
      <w:r w:rsidRPr="00E82D23">
        <w:rPr>
          <w:rFonts w:ascii="Times New Roman" w:hAnsi="Times New Roman" w:cs="Times New Roman"/>
          <w:vertAlign w:val="superscript"/>
        </w:rPr>
        <w:t xml:space="preserve">3 </w:t>
      </w:r>
      <w:r w:rsidRPr="00E82D23">
        <w:rPr>
          <w:rFonts w:ascii="Times New Roman" w:hAnsi="Times New Roman" w:cs="Times New Roman"/>
        </w:rPr>
        <w:t>School of Social and Community Medicine, University of Bristol, Bristol, UK</w:t>
      </w:r>
    </w:p>
    <w:p w14:paraId="638C2022" w14:textId="7ADDE199" w:rsidR="00A367B8" w:rsidRPr="00E82D23" w:rsidRDefault="00784B70" w:rsidP="00987AC7">
      <w:pPr>
        <w:spacing w:after="0" w:line="480" w:lineRule="auto"/>
        <w:jc w:val="both"/>
        <w:rPr>
          <w:rFonts w:ascii="Times New Roman" w:hAnsi="Times New Roman" w:cs="Times New Roman"/>
          <w:vertAlign w:val="superscript"/>
        </w:rPr>
      </w:pPr>
      <w:r w:rsidRPr="00E82D23">
        <w:rPr>
          <w:rFonts w:ascii="Times New Roman" w:hAnsi="Times New Roman" w:cs="Times New Roman"/>
          <w:vertAlign w:val="superscript"/>
        </w:rPr>
        <w:t>4</w:t>
      </w:r>
      <w:r w:rsidR="00D170F5" w:rsidRPr="00E82D23">
        <w:rPr>
          <w:rFonts w:ascii="Times New Roman" w:hAnsi="Times New Roman" w:cs="Times New Roman"/>
        </w:rPr>
        <w:t xml:space="preserve"> </w:t>
      </w:r>
      <w:r w:rsidR="0046664F" w:rsidRPr="002F708B">
        <w:rPr>
          <w:rFonts w:ascii="Times New Roman" w:hAnsi="Times New Roman" w:cs="Times New Roman"/>
        </w:rPr>
        <w:t>Guy’s &amp; St Thomas’ NHS Foundation Trust, London, UK</w:t>
      </w:r>
      <w:r w:rsidR="0046664F" w:rsidRPr="00E82D23" w:rsidDel="00297C2C">
        <w:rPr>
          <w:rFonts w:ascii="Times New Roman" w:hAnsi="Times New Roman" w:cs="Times New Roman"/>
        </w:rPr>
        <w:t xml:space="preserve"> </w:t>
      </w:r>
    </w:p>
    <w:p w14:paraId="497177D3" w14:textId="0A61E71A" w:rsidR="001B2220" w:rsidRPr="00987AC7" w:rsidRDefault="0046664F" w:rsidP="00987AC7">
      <w:pPr>
        <w:spacing w:after="0" w:line="480" w:lineRule="auto"/>
        <w:jc w:val="both"/>
        <w:rPr>
          <w:rFonts w:ascii="Times New Roman" w:hAnsi="Times New Roman" w:cs="Times New Roman"/>
        </w:rPr>
      </w:pPr>
      <w:r w:rsidRPr="00E82D23">
        <w:rPr>
          <w:rFonts w:ascii="Times New Roman" w:hAnsi="Times New Roman" w:cs="Times New Roman"/>
          <w:vertAlign w:val="superscript"/>
        </w:rPr>
        <w:t>5</w:t>
      </w:r>
      <w:r w:rsidR="00D170F5" w:rsidRPr="00E82D23">
        <w:rPr>
          <w:rFonts w:ascii="Times New Roman" w:hAnsi="Times New Roman" w:cs="Times New Roman"/>
        </w:rPr>
        <w:t>MRC Lifecourse Epidemiology Unit and NIHR Southampton Biomedical Research Centre, University of Southampton</w:t>
      </w:r>
    </w:p>
    <w:p w14:paraId="5FBC6196" w14:textId="616A893C" w:rsidR="00A367B8" w:rsidRPr="00E82D23" w:rsidRDefault="001B2220" w:rsidP="00987AC7">
      <w:pPr>
        <w:spacing w:after="0" w:line="480" w:lineRule="auto"/>
        <w:jc w:val="both"/>
        <w:rPr>
          <w:rFonts w:ascii="Times New Roman" w:hAnsi="Times New Roman" w:cs="Times New Roman"/>
          <w:vertAlign w:val="superscript"/>
        </w:rPr>
      </w:pPr>
      <w:r w:rsidRPr="00987AC7">
        <w:rPr>
          <w:rFonts w:ascii="Times New Roman" w:hAnsi="Times New Roman" w:cs="Times New Roman"/>
          <w:vertAlign w:val="superscript"/>
        </w:rPr>
        <w:t>6</w:t>
      </w:r>
      <w:r w:rsidR="00D170F5" w:rsidRPr="00E82D23">
        <w:rPr>
          <w:rFonts w:ascii="Times New Roman" w:hAnsi="Times New Roman" w:cs="Times New Roman"/>
        </w:rPr>
        <w:t>University Hospital Southampton NHS Foundation Trust, Southampton, UK</w:t>
      </w:r>
    </w:p>
    <w:p w14:paraId="25943DEF" w14:textId="7CC608E2" w:rsidR="00A367B8" w:rsidRPr="00E82D23" w:rsidRDefault="001B2220" w:rsidP="00987AC7">
      <w:pPr>
        <w:spacing w:after="0" w:line="480" w:lineRule="auto"/>
        <w:jc w:val="both"/>
        <w:rPr>
          <w:rFonts w:ascii="Times New Roman" w:hAnsi="Times New Roman" w:cs="Times New Roman"/>
          <w:vertAlign w:val="superscript"/>
        </w:rPr>
      </w:pPr>
      <w:r w:rsidRPr="00987AC7">
        <w:rPr>
          <w:rFonts w:ascii="Times New Roman" w:hAnsi="Times New Roman" w:cs="Times New Roman"/>
          <w:vertAlign w:val="superscript"/>
        </w:rPr>
        <w:t>7</w:t>
      </w:r>
      <w:r w:rsidR="00297C2C" w:rsidRPr="00E82D23">
        <w:rPr>
          <w:rFonts w:ascii="Times New Roman" w:hAnsi="Times New Roman" w:cs="Times New Roman"/>
        </w:rPr>
        <w:t>School of Medicine, University of Glasgow, Glasgow, UK</w:t>
      </w:r>
      <w:r w:rsidR="00297C2C" w:rsidRPr="00E82D23" w:rsidDel="00D170F5">
        <w:rPr>
          <w:rFonts w:ascii="Times New Roman" w:hAnsi="Times New Roman" w:cs="Times New Roman"/>
        </w:rPr>
        <w:t xml:space="preserve"> </w:t>
      </w:r>
    </w:p>
    <w:p w14:paraId="662D3AD2" w14:textId="0CDFCA90" w:rsidR="00A367B8" w:rsidRPr="00E82D23" w:rsidRDefault="001B2220" w:rsidP="00987AC7">
      <w:pPr>
        <w:spacing w:after="0" w:line="480" w:lineRule="auto"/>
        <w:jc w:val="both"/>
        <w:rPr>
          <w:rFonts w:ascii="Times New Roman" w:hAnsi="Times New Roman" w:cs="Times New Roman"/>
          <w:vertAlign w:val="superscript"/>
        </w:rPr>
      </w:pPr>
      <w:r w:rsidRPr="00987AC7">
        <w:rPr>
          <w:rFonts w:ascii="Times New Roman" w:hAnsi="Times New Roman" w:cs="Times New Roman"/>
          <w:vertAlign w:val="superscript"/>
        </w:rPr>
        <w:t>8</w:t>
      </w:r>
      <w:r w:rsidR="00297C2C" w:rsidRPr="00E82D23">
        <w:rPr>
          <w:rFonts w:ascii="Times New Roman" w:hAnsi="Times New Roman" w:cs="Times New Roman"/>
        </w:rPr>
        <w:t>Institute of Cellular Medicine, Uterine Cell Signalling Group, Newcastle University, Newcastle Upon Tyne, UK</w:t>
      </w:r>
      <w:r w:rsidR="00297C2C" w:rsidRPr="00E82D23" w:rsidDel="00297C2C">
        <w:rPr>
          <w:rFonts w:ascii="Times New Roman" w:hAnsi="Times New Roman" w:cs="Times New Roman"/>
        </w:rPr>
        <w:t xml:space="preserve"> </w:t>
      </w:r>
    </w:p>
    <w:p w14:paraId="299FECF1" w14:textId="6BED85BD" w:rsidR="00A367B8" w:rsidRPr="00E82D23" w:rsidRDefault="001B2220" w:rsidP="00987AC7">
      <w:pPr>
        <w:spacing w:after="0" w:line="480" w:lineRule="auto"/>
        <w:jc w:val="both"/>
        <w:rPr>
          <w:rFonts w:ascii="Times New Roman" w:hAnsi="Times New Roman" w:cs="Times New Roman"/>
          <w:vertAlign w:val="superscript"/>
        </w:rPr>
      </w:pPr>
      <w:r w:rsidRPr="00987AC7">
        <w:rPr>
          <w:rFonts w:ascii="Times New Roman" w:hAnsi="Times New Roman" w:cs="Times New Roman"/>
          <w:vertAlign w:val="superscript"/>
        </w:rPr>
        <w:t>9</w:t>
      </w:r>
      <w:r w:rsidR="00297C2C" w:rsidRPr="00E82D23">
        <w:rPr>
          <w:rFonts w:ascii="Times New Roman" w:hAnsi="Times New Roman" w:cs="Times New Roman"/>
        </w:rPr>
        <w:t>Institute of Cardiovascular and Medical Sciences, University of Glasgow, Glasgow, UK</w:t>
      </w:r>
    </w:p>
    <w:p w14:paraId="3D2D582A" w14:textId="71BAED09" w:rsidR="00A367B8" w:rsidRPr="00E82D23" w:rsidRDefault="001B2220" w:rsidP="00987AC7">
      <w:pPr>
        <w:spacing w:after="0" w:line="480" w:lineRule="auto"/>
        <w:jc w:val="both"/>
        <w:rPr>
          <w:rFonts w:ascii="Times New Roman" w:hAnsi="Times New Roman" w:cs="Times New Roman"/>
          <w:vertAlign w:val="superscript"/>
        </w:rPr>
      </w:pPr>
      <w:r w:rsidRPr="00987AC7">
        <w:rPr>
          <w:rFonts w:ascii="Times New Roman" w:hAnsi="Times New Roman" w:cs="Times New Roman"/>
          <w:vertAlign w:val="superscript"/>
        </w:rPr>
        <w:t>10</w:t>
      </w:r>
      <w:r w:rsidR="00297C2C" w:rsidRPr="00E82D23">
        <w:rPr>
          <w:rFonts w:ascii="Times New Roman" w:hAnsi="Times New Roman" w:cs="Times New Roman"/>
        </w:rPr>
        <w:t>Maternity Services, Central Manchester University Hospitals NHS Foundation Trust, Manchester, UK</w:t>
      </w:r>
    </w:p>
    <w:p w14:paraId="5C5E7787" w14:textId="4D903D4A" w:rsidR="00C7502F" w:rsidRPr="00987AC7" w:rsidRDefault="001B2220" w:rsidP="00E82D23">
      <w:pPr>
        <w:spacing w:line="480" w:lineRule="auto"/>
        <w:jc w:val="both"/>
        <w:rPr>
          <w:rFonts w:ascii="Times New Roman" w:hAnsi="Times New Roman" w:cs="Times New Roman"/>
        </w:rPr>
      </w:pPr>
      <w:r w:rsidRPr="00987AC7">
        <w:rPr>
          <w:rFonts w:ascii="Times New Roman" w:hAnsi="Times New Roman" w:cs="Times New Roman"/>
          <w:vertAlign w:val="superscript"/>
        </w:rPr>
        <w:t>11</w:t>
      </w:r>
      <w:r w:rsidR="00DC6AC2" w:rsidRPr="00E82D23">
        <w:rPr>
          <w:rFonts w:ascii="Times New Roman" w:hAnsi="Times New Roman" w:cs="Times New Roman"/>
        </w:rPr>
        <w:t>Maternal and Fetal Health Research Centre, University of Manchester, Manchester, UK</w:t>
      </w:r>
    </w:p>
    <w:p w14:paraId="59FB8483" w14:textId="3FC5BC66" w:rsidR="00BC22F2" w:rsidRPr="00E82D23" w:rsidRDefault="00BC22F2" w:rsidP="00E82D23">
      <w:pPr>
        <w:spacing w:line="480" w:lineRule="auto"/>
        <w:jc w:val="both"/>
        <w:rPr>
          <w:rFonts w:ascii="Times New Roman" w:hAnsi="Times New Roman" w:cs="Times New Roman"/>
        </w:rPr>
      </w:pPr>
      <w:r w:rsidRPr="00987AC7">
        <w:rPr>
          <w:rFonts w:ascii="Times New Roman" w:hAnsi="Times New Roman" w:cs="Times New Roman"/>
        </w:rPr>
        <w:t>*</w:t>
      </w:r>
      <w:r w:rsidR="00C45E60" w:rsidRPr="00E82D23">
        <w:rPr>
          <w:rFonts w:ascii="Times New Roman" w:hAnsi="Times New Roman" w:cs="Times New Roman"/>
        </w:rPr>
        <w:t xml:space="preserve">Corresponding Author: Email: </w:t>
      </w:r>
      <w:hyperlink r:id="rId9" w:history="1">
        <w:r w:rsidRPr="00E82D23">
          <w:rPr>
            <w:rStyle w:val="Hyperlink"/>
            <w:rFonts w:ascii="Times New Roman" w:hAnsi="Times New Roman" w:cs="Times New Roman"/>
          </w:rPr>
          <w:t>Dharmintra.Pasupathy@kcl.ac.uk</w:t>
        </w:r>
      </w:hyperlink>
    </w:p>
    <w:p w14:paraId="18C54D18" w14:textId="56ED3F6A" w:rsidR="00C45E60" w:rsidRDefault="00BC22F2" w:rsidP="00E82D23">
      <w:pPr>
        <w:spacing w:line="480" w:lineRule="auto"/>
        <w:jc w:val="both"/>
        <w:rPr>
          <w:rFonts w:ascii="Times New Roman" w:hAnsi="Times New Roman" w:cs="Times New Roman"/>
          <w:b/>
        </w:rPr>
      </w:pPr>
      <w:r w:rsidRPr="00E82D23">
        <w:rPr>
          <w:rFonts w:ascii="Times New Roman" w:hAnsi="Times New Roman" w:cs="Times New Roman"/>
        </w:rPr>
        <w:t>^</w:t>
      </w:r>
      <w:r w:rsidR="00C7502F" w:rsidRPr="00987AC7">
        <w:rPr>
          <w:rFonts w:ascii="Times New Roman" w:hAnsi="Times New Roman" w:cs="Times New Roman"/>
        </w:rPr>
        <w:t>For membersh</w:t>
      </w:r>
      <w:r w:rsidR="007477B8" w:rsidRPr="00987AC7">
        <w:rPr>
          <w:rFonts w:ascii="Times New Roman" w:hAnsi="Times New Roman" w:cs="Times New Roman"/>
        </w:rPr>
        <w:t>ip</w:t>
      </w:r>
      <w:r w:rsidR="00C7502F" w:rsidRPr="00987AC7">
        <w:rPr>
          <w:rFonts w:ascii="Times New Roman" w:hAnsi="Times New Roman" w:cs="Times New Roman"/>
        </w:rPr>
        <w:t xml:space="preserve"> of </w:t>
      </w:r>
      <w:r w:rsidRPr="00E82D23">
        <w:rPr>
          <w:rFonts w:ascii="Times New Roman" w:hAnsi="Times New Roman" w:cs="Times New Roman"/>
        </w:rPr>
        <w:t xml:space="preserve"> UPBEAT </w:t>
      </w:r>
      <w:r w:rsidR="00F108D2">
        <w:rPr>
          <w:rFonts w:ascii="Times New Roman" w:hAnsi="Times New Roman" w:cs="Times New Roman"/>
        </w:rPr>
        <w:t>c</w:t>
      </w:r>
      <w:r w:rsidRPr="00E82D23">
        <w:rPr>
          <w:rFonts w:ascii="Times New Roman" w:hAnsi="Times New Roman" w:cs="Times New Roman"/>
        </w:rPr>
        <w:t xml:space="preserve">onsortium </w:t>
      </w:r>
      <w:r w:rsidR="00C7502F" w:rsidRPr="00987AC7">
        <w:rPr>
          <w:rFonts w:ascii="Times New Roman" w:hAnsi="Times New Roman" w:cs="Times New Roman"/>
        </w:rPr>
        <w:t xml:space="preserve">see </w:t>
      </w:r>
      <w:r w:rsidRPr="00E82D23">
        <w:rPr>
          <w:rFonts w:ascii="Times New Roman" w:hAnsi="Times New Roman" w:cs="Times New Roman"/>
        </w:rPr>
        <w:t>Acknowledgments.</w:t>
      </w:r>
      <w:r w:rsidR="00C45E60">
        <w:rPr>
          <w:rFonts w:ascii="Times New Roman" w:hAnsi="Times New Roman" w:cs="Times New Roman"/>
          <w:b/>
        </w:rPr>
        <w:br w:type="page"/>
      </w:r>
    </w:p>
    <w:p w14:paraId="030066F7" w14:textId="77777777" w:rsidR="00D91AAF" w:rsidRPr="00A57194" w:rsidRDefault="00D91AAF" w:rsidP="00CE77D8">
      <w:pPr>
        <w:pStyle w:val="Heading1"/>
        <w:spacing w:before="0" w:line="480" w:lineRule="auto"/>
      </w:pPr>
      <w:r w:rsidRPr="00A57194">
        <w:lastRenderedPageBreak/>
        <w:t xml:space="preserve">Abstract </w:t>
      </w:r>
    </w:p>
    <w:p w14:paraId="2A2CA3DB" w14:textId="2720DE4C" w:rsidR="00784B70" w:rsidRPr="00247AF1" w:rsidRDefault="00B56C85" w:rsidP="00E82D23">
      <w:pPr>
        <w:spacing w:line="480" w:lineRule="auto"/>
        <w:jc w:val="both"/>
        <w:rPr>
          <w:rFonts w:ascii="Times New Roman" w:hAnsi="Times New Roman" w:cs="Times New Roman"/>
        </w:rPr>
      </w:pPr>
      <w:r w:rsidRPr="00E82D23">
        <w:rPr>
          <w:rFonts w:ascii="Times New Roman" w:hAnsi="Times New Roman" w:cs="Times New Roman"/>
        </w:rPr>
        <w:t>All obese women are categorised as being of equally high risk of gestational diabetes (GDM) whereas the majority do not develop the disorder. Lifestyle and pharmacological interventions in unselected obese pregnant women have been unsuccessful in preventing GDM. Our aim was to develop a prediction tool for early identification of obese women at high risk of GDM to facilitate targeted interventions in those most likely to benefit. Clinical and anthropometric data and non-fasting blood samples were obtained at 15</w:t>
      </w:r>
      <w:r w:rsidRPr="00E82D23">
        <w:rPr>
          <w:rFonts w:ascii="Times New Roman" w:hAnsi="Times New Roman" w:cs="Times New Roman"/>
          <w:vertAlign w:val="superscript"/>
        </w:rPr>
        <w:t xml:space="preserve">+0 </w:t>
      </w:r>
      <w:r w:rsidRPr="00E82D23">
        <w:rPr>
          <w:rFonts w:ascii="Times New Roman" w:hAnsi="Times New Roman" w:cs="Times New Roman"/>
        </w:rPr>
        <w:t>– 18</w:t>
      </w:r>
      <w:r w:rsidRPr="00E82D23">
        <w:rPr>
          <w:rFonts w:ascii="Times New Roman" w:hAnsi="Times New Roman" w:cs="Times New Roman"/>
          <w:vertAlign w:val="superscript"/>
        </w:rPr>
        <w:t>+6</w:t>
      </w:r>
      <w:r w:rsidRPr="00E82D23">
        <w:rPr>
          <w:rFonts w:ascii="Times New Roman" w:hAnsi="Times New Roman" w:cs="Times New Roman"/>
        </w:rPr>
        <w:t xml:space="preserve"> weeks’ gestation in 1303 obese pregnant women from UPBEAT, a randomised controlled trial of a behavioural intervention. Twenty one candidate biomarkers associated with insulin resistance, and a targeted nuclear magnetic resonance (NMR) metabolome were measured. Prediction models were constructed using stepwise logistic regression.</w:t>
      </w:r>
      <w:r w:rsidR="00AA4991">
        <w:rPr>
          <w:rFonts w:ascii="Times New Roman" w:hAnsi="Times New Roman" w:cs="Times New Roman"/>
        </w:rPr>
        <w:t xml:space="preserve"> </w:t>
      </w:r>
      <w:r w:rsidR="00A57194" w:rsidRPr="00E82D23">
        <w:rPr>
          <w:rFonts w:ascii="Times New Roman" w:hAnsi="Times New Roman" w:cs="Times New Roman"/>
        </w:rPr>
        <w:t xml:space="preserve">Twenty six percent </w:t>
      </w:r>
      <w:r w:rsidRPr="00E82D23">
        <w:rPr>
          <w:rFonts w:ascii="Times New Roman" w:hAnsi="Times New Roman" w:cs="Times New Roman"/>
        </w:rPr>
        <w:t>of women (n=337) developed GDM (International Association of Diabetes and Pregnancy Study Group</w:t>
      </w:r>
      <w:r w:rsidR="00D538B2" w:rsidRPr="00E82D23">
        <w:rPr>
          <w:rFonts w:ascii="Times New Roman" w:hAnsi="Times New Roman" w:cs="Times New Roman"/>
        </w:rPr>
        <w:t>s</w:t>
      </w:r>
      <w:r w:rsidRPr="00E82D23">
        <w:rPr>
          <w:rFonts w:ascii="Times New Roman" w:hAnsi="Times New Roman" w:cs="Times New Roman"/>
        </w:rPr>
        <w:t xml:space="preserve"> criteria). A model based on clinical and anthropometric variables (age, previous GDM, family history of type 2 diabetes, systolic blood pressure, sum of skinfold thicknesses, waist:height and neck:thigh ratios) provided an area under the curve</w:t>
      </w:r>
      <w:r w:rsidRPr="00E82D23" w:rsidDel="00FF6ACD">
        <w:rPr>
          <w:rFonts w:ascii="Times New Roman" w:hAnsi="Times New Roman" w:cs="Times New Roman"/>
        </w:rPr>
        <w:t xml:space="preserve"> </w:t>
      </w:r>
      <w:r w:rsidRPr="00E82D23">
        <w:rPr>
          <w:rFonts w:ascii="Times New Roman" w:hAnsi="Times New Roman" w:cs="Times New Roman"/>
        </w:rPr>
        <w:t xml:space="preserve">of 0.71 (95%CI 0.68-0.74). This increased to 0.77 (95%CI 0.73-0.80) with addition of candidate biomarkers (random glucose, </w:t>
      </w:r>
      <w:r w:rsidR="00AA4991">
        <w:rPr>
          <w:rFonts w:ascii="Times New Roman" w:hAnsi="Times New Roman" w:cs="Times New Roman"/>
        </w:rPr>
        <w:t>h</w:t>
      </w:r>
      <w:r w:rsidRPr="00E82D23">
        <w:rPr>
          <w:rFonts w:ascii="Times New Roman" w:hAnsi="Times New Roman" w:cs="Times New Roman"/>
        </w:rPr>
        <w:t>aemoglobin A1c (HbA1c), fructosamine, adiponectin, sex hormone binding globulin, triglycerides), but was not improved by addition of NMR metabolites (0.77; 95%CI 0.74-0.81). Clinically translatable models for GDM prediction including readily measurable variables e.g. mid-arm circumference, age, systolic blood pressure, HbA1c and adiponectin are described. Using a ≥35% risk threshold, all models identified a group of high risk obese women of whom approximately 50% (positive predictive value) later developed GDM, with a negative predictive value of 80%.</w:t>
      </w:r>
      <w:r w:rsidR="00A57194" w:rsidRPr="00E82D23">
        <w:rPr>
          <w:rFonts w:ascii="Times New Roman" w:hAnsi="Times New Roman" w:cs="Times New Roman"/>
        </w:rPr>
        <w:t xml:space="preserve"> </w:t>
      </w:r>
      <w:r w:rsidRPr="00E82D23">
        <w:rPr>
          <w:rFonts w:ascii="Times New Roman" w:hAnsi="Times New Roman" w:cs="Times New Roman"/>
        </w:rPr>
        <w:t>Tools for early pregnancy identification of obese women at risk of GDM are described which could enable targeted interventions for GDM prevention in women who will benefit the most</w:t>
      </w:r>
      <w:r w:rsidRPr="0060075D">
        <w:rPr>
          <w:rFonts w:ascii="Times New Roman" w:hAnsi="Times New Roman" w:cs="Times New Roman"/>
        </w:rPr>
        <w:t>.</w:t>
      </w:r>
    </w:p>
    <w:p w14:paraId="77B442BF" w14:textId="02B0EB3E" w:rsidR="00852C0C" w:rsidRPr="00461751" w:rsidRDefault="00852C0C" w:rsidP="00CE77D8">
      <w:pPr>
        <w:pStyle w:val="Heading1"/>
        <w:spacing w:line="480" w:lineRule="auto"/>
      </w:pPr>
      <w:r w:rsidRPr="00461751">
        <w:lastRenderedPageBreak/>
        <w:t>Introduction</w:t>
      </w:r>
    </w:p>
    <w:p w14:paraId="1758D977" w14:textId="035D3D99" w:rsidR="00784B70" w:rsidRPr="00E82D23" w:rsidRDefault="00784B70" w:rsidP="00E82D23">
      <w:pPr>
        <w:spacing w:line="480" w:lineRule="auto"/>
        <w:jc w:val="both"/>
        <w:rPr>
          <w:rFonts w:ascii="Times New Roman" w:hAnsi="Times New Roman" w:cs="Times New Roman"/>
          <w:noProof/>
        </w:rPr>
      </w:pPr>
      <w:r w:rsidRPr="00E82D23">
        <w:rPr>
          <w:rFonts w:ascii="Times New Roman" w:hAnsi="Times New Roman" w:cs="Times New Roman"/>
        </w:rPr>
        <w:t xml:space="preserve">Recent estimates suggest that 7 million women </w:t>
      </w:r>
      <w:r w:rsidR="001359C0" w:rsidRPr="00E82D23">
        <w:rPr>
          <w:rFonts w:ascii="Times New Roman" w:hAnsi="Times New Roman" w:cs="Times New Roman"/>
        </w:rPr>
        <w:t xml:space="preserve"> were obese </w:t>
      </w:r>
      <w:r w:rsidRPr="00E82D23">
        <w:rPr>
          <w:rFonts w:ascii="Times New Roman" w:hAnsi="Times New Roman" w:cs="Times New Roman"/>
        </w:rPr>
        <w:t xml:space="preserve">in the UK in 2014, and that by 2025, 1 in 5 women in the world will be </w:t>
      </w:r>
      <w:r w:rsidR="00F03476" w:rsidRPr="00E82D23">
        <w:rPr>
          <w:rFonts w:ascii="Times New Roman" w:hAnsi="Times New Roman" w:cs="Times New Roman"/>
        </w:rPr>
        <w:t>similarly affected</w:t>
      </w:r>
      <w:r w:rsidRPr="00E82D23">
        <w:rPr>
          <w:rFonts w:ascii="Times New Roman" w:hAnsi="Times New Roman" w:cs="Times New Roman"/>
        </w:rPr>
        <w:t>.</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Pr="00E82D23">
        <w:rPr>
          <w:rFonts w:ascii="Times New Roman" w:hAnsi="Times New Roman" w:cs="Times New Roman"/>
          <w:noProof/>
        </w:rPr>
        <w:t>1</w:t>
      </w:r>
      <w:r w:rsidR="00131A40" w:rsidRPr="00E82D23">
        <w:rPr>
          <w:rFonts w:ascii="Times New Roman" w:hAnsi="Times New Roman" w:cs="Times New Roman"/>
          <w:noProof/>
        </w:rPr>
        <w:t>]</w:t>
      </w:r>
      <w:r w:rsidRPr="00E82D23">
        <w:rPr>
          <w:rFonts w:ascii="Times New Roman" w:hAnsi="Times New Roman" w:cs="Times New Roman"/>
        </w:rPr>
        <w:t xml:space="preserve"> Obesity is a major risk factor for gestational diabetes (GDM)</w:t>
      </w:r>
      <w:r w:rsidR="001359C0" w:rsidRPr="00E82D23">
        <w:rPr>
          <w:rFonts w:ascii="Times New Roman" w:hAnsi="Times New Roman" w:cs="Times New Roman"/>
        </w:rPr>
        <w:t xml:space="preserve">, </w:t>
      </w:r>
      <w:r w:rsidRPr="00E82D23">
        <w:rPr>
          <w:rFonts w:ascii="Times New Roman" w:hAnsi="Times New Roman" w:cs="Times New Roman"/>
        </w:rPr>
        <w:t xml:space="preserve"> increas</w:t>
      </w:r>
      <w:r w:rsidR="001359C0" w:rsidRPr="00E82D23">
        <w:rPr>
          <w:rFonts w:ascii="Times New Roman" w:hAnsi="Times New Roman" w:cs="Times New Roman"/>
        </w:rPr>
        <w:t>ing</w:t>
      </w:r>
      <w:r w:rsidRPr="00E82D23">
        <w:rPr>
          <w:rFonts w:ascii="Times New Roman" w:hAnsi="Times New Roman" w:cs="Times New Roman"/>
        </w:rPr>
        <w:t xml:space="preserve"> the </w:t>
      </w:r>
      <w:r w:rsidR="00F03476" w:rsidRPr="00E82D23">
        <w:rPr>
          <w:rFonts w:ascii="Times New Roman" w:hAnsi="Times New Roman" w:cs="Times New Roman"/>
        </w:rPr>
        <w:t>likelihood of the disorder</w:t>
      </w:r>
      <w:r w:rsidRPr="00E82D23">
        <w:rPr>
          <w:rFonts w:ascii="Times New Roman" w:hAnsi="Times New Roman" w:cs="Times New Roman"/>
        </w:rPr>
        <w:t xml:space="preserve"> 3-5 fold.</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Pr="00E82D23">
        <w:rPr>
          <w:rFonts w:ascii="Times New Roman" w:hAnsi="Times New Roman" w:cs="Times New Roman"/>
          <w:noProof/>
        </w:rPr>
        <w:t>2</w:t>
      </w:r>
      <w:r w:rsidR="00131A40" w:rsidRPr="00E82D23">
        <w:rPr>
          <w:rFonts w:ascii="Times New Roman" w:hAnsi="Times New Roman" w:cs="Times New Roman"/>
          <w:noProof/>
        </w:rPr>
        <w:t>]</w:t>
      </w:r>
      <w:r w:rsidRPr="00E82D23">
        <w:rPr>
          <w:rFonts w:ascii="Times New Roman" w:hAnsi="Times New Roman" w:cs="Times New Roman"/>
        </w:rPr>
        <w:t xml:space="preserve"> Women with GDM require intensive antenatal care to a</w:t>
      </w:r>
      <w:r w:rsidR="005A30A5" w:rsidRPr="00E82D23">
        <w:rPr>
          <w:rFonts w:ascii="Times New Roman" w:hAnsi="Times New Roman" w:cs="Times New Roman"/>
        </w:rPr>
        <w:t>chieve</w:t>
      </w:r>
      <w:r w:rsidR="001359C0" w:rsidRPr="00E82D23">
        <w:rPr>
          <w:rFonts w:ascii="Times New Roman" w:hAnsi="Times New Roman" w:cs="Times New Roman"/>
        </w:rPr>
        <w:t xml:space="preserve"> optimal</w:t>
      </w:r>
      <w:r w:rsidRPr="00E82D23">
        <w:rPr>
          <w:rFonts w:ascii="Times New Roman" w:hAnsi="Times New Roman" w:cs="Times New Roman"/>
        </w:rPr>
        <w:t xml:space="preserve"> blood glucose control and to identify other </w:t>
      </w:r>
      <w:r w:rsidR="001359C0" w:rsidRPr="00E82D23">
        <w:rPr>
          <w:rFonts w:ascii="Times New Roman" w:hAnsi="Times New Roman" w:cs="Times New Roman"/>
        </w:rPr>
        <w:t xml:space="preserve">common </w:t>
      </w:r>
      <w:r w:rsidRPr="00E82D23">
        <w:rPr>
          <w:rFonts w:ascii="Times New Roman" w:hAnsi="Times New Roman" w:cs="Times New Roman"/>
        </w:rPr>
        <w:t xml:space="preserve">obstetric complications, particularly </w:t>
      </w:r>
      <w:r w:rsidR="00F03476" w:rsidRPr="00E82D23">
        <w:rPr>
          <w:rFonts w:ascii="Times New Roman" w:hAnsi="Times New Roman" w:cs="Times New Roman"/>
        </w:rPr>
        <w:t>fetal m</w:t>
      </w:r>
      <w:r w:rsidR="00D1219F" w:rsidRPr="00E82D23">
        <w:rPr>
          <w:rFonts w:ascii="Times New Roman" w:hAnsi="Times New Roman" w:cs="Times New Roman"/>
        </w:rPr>
        <w:t>ac</w:t>
      </w:r>
      <w:r w:rsidR="00F03476" w:rsidRPr="00E82D23">
        <w:rPr>
          <w:rFonts w:ascii="Times New Roman" w:hAnsi="Times New Roman" w:cs="Times New Roman"/>
        </w:rPr>
        <w:t xml:space="preserve">rosomia and </w:t>
      </w:r>
      <w:r w:rsidRPr="00E82D23">
        <w:rPr>
          <w:rFonts w:ascii="Times New Roman" w:hAnsi="Times New Roman" w:cs="Times New Roman"/>
        </w:rPr>
        <w:t>large for gestational age (LGA) infants.</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Pr="00E82D23">
        <w:rPr>
          <w:rFonts w:ascii="Times New Roman" w:hAnsi="Times New Roman" w:cs="Times New Roman"/>
          <w:noProof/>
        </w:rPr>
        <w:t>3</w:t>
      </w:r>
      <w:r w:rsidR="00131A40" w:rsidRPr="00E82D23">
        <w:rPr>
          <w:rFonts w:ascii="Times New Roman" w:hAnsi="Times New Roman" w:cs="Times New Roman"/>
          <w:noProof/>
        </w:rPr>
        <w:t>]</w:t>
      </w:r>
      <w:r w:rsidRPr="00E82D23">
        <w:rPr>
          <w:rFonts w:ascii="Times New Roman" w:hAnsi="Times New Roman" w:cs="Times New Roman"/>
          <w:noProof/>
        </w:rPr>
        <w:t xml:space="preserve"> </w:t>
      </w:r>
    </w:p>
    <w:p w14:paraId="4FC0ABFD" w14:textId="77777777" w:rsidR="00347565" w:rsidRPr="00E82D23" w:rsidRDefault="00347565" w:rsidP="00E82D23">
      <w:pPr>
        <w:spacing w:line="480" w:lineRule="auto"/>
        <w:jc w:val="both"/>
        <w:rPr>
          <w:rFonts w:ascii="Times New Roman" w:hAnsi="Times New Roman" w:cs="Times New Roman"/>
        </w:rPr>
      </w:pPr>
    </w:p>
    <w:p w14:paraId="469B5E28" w14:textId="75C38B56" w:rsidR="00784B70" w:rsidRPr="00E82D23" w:rsidRDefault="001359C0" w:rsidP="00E82D23">
      <w:pPr>
        <w:spacing w:line="480" w:lineRule="auto"/>
        <w:jc w:val="both"/>
        <w:rPr>
          <w:rFonts w:ascii="Times New Roman" w:hAnsi="Times New Roman" w:cs="Times New Roman"/>
        </w:rPr>
      </w:pPr>
      <w:r w:rsidRPr="00E82D23">
        <w:rPr>
          <w:rFonts w:ascii="Times New Roman" w:hAnsi="Times New Roman" w:cs="Times New Roman"/>
        </w:rPr>
        <w:t xml:space="preserve">The </w:t>
      </w:r>
      <w:r w:rsidR="00F03476" w:rsidRPr="00E82D23">
        <w:rPr>
          <w:rFonts w:ascii="Times New Roman" w:hAnsi="Times New Roman" w:cs="Times New Roman"/>
        </w:rPr>
        <w:t xml:space="preserve">recent </w:t>
      </w:r>
      <w:r w:rsidR="005A30A5" w:rsidRPr="00E82D23">
        <w:rPr>
          <w:rFonts w:ascii="Times New Roman" w:hAnsi="Times New Roman" w:cs="Times New Roman"/>
        </w:rPr>
        <w:t xml:space="preserve">demonstration in a nulliparous prospective cohort of more than 4000 women that diagnosis of GDM is preceded by </w:t>
      </w:r>
      <w:r w:rsidRPr="00E82D23">
        <w:rPr>
          <w:rFonts w:ascii="Times New Roman" w:hAnsi="Times New Roman" w:cs="Times New Roman"/>
        </w:rPr>
        <w:t>e</w:t>
      </w:r>
      <w:r w:rsidR="00F42194" w:rsidRPr="00E82D23">
        <w:rPr>
          <w:rFonts w:ascii="Times New Roman" w:hAnsi="Times New Roman" w:cs="Times New Roman"/>
        </w:rPr>
        <w:t xml:space="preserve">xcessive fetal growth occurring </w:t>
      </w:r>
      <w:r w:rsidR="005A30A5" w:rsidRPr="00E82D23">
        <w:rPr>
          <w:rFonts w:ascii="Times New Roman" w:hAnsi="Times New Roman" w:cs="Times New Roman"/>
        </w:rPr>
        <w:t>between 20-28 weeks’ gestation, and that this is compounded by maternal obesity</w:t>
      </w:r>
      <w:r w:rsidR="00A03BBC" w:rsidRPr="00E82D23">
        <w:rPr>
          <w:rFonts w:ascii="Times New Roman" w:hAnsi="Times New Roman" w:cs="Times New Roman"/>
        </w:rPr>
        <w:t>,</w:t>
      </w:r>
      <w:r w:rsidR="005A30A5" w:rsidRPr="00E82D23">
        <w:rPr>
          <w:rFonts w:ascii="Times New Roman" w:hAnsi="Times New Roman" w:cs="Times New Roman"/>
        </w:rPr>
        <w:t xml:space="preserve"> </w:t>
      </w:r>
      <w:r w:rsidR="00F42194" w:rsidRPr="00E82D23">
        <w:rPr>
          <w:rFonts w:ascii="Times New Roman" w:hAnsi="Times New Roman" w:cs="Times New Roman"/>
        </w:rPr>
        <w:t>provides a clear rationale for early pregnancy risk identification and intervention</w:t>
      </w:r>
      <w:r w:rsidR="00F03476" w:rsidRPr="00E82D23">
        <w:rPr>
          <w:rFonts w:ascii="Times New Roman" w:hAnsi="Times New Roman" w:cs="Times New Roman"/>
        </w:rPr>
        <w:t xml:space="preserve"> </w:t>
      </w:r>
      <w:r w:rsidR="00DF4677" w:rsidRPr="00E82D23">
        <w:rPr>
          <w:rFonts w:ascii="Times New Roman" w:hAnsi="Times New Roman" w:cs="Times New Roman"/>
        </w:rPr>
        <w:t xml:space="preserve">to prevent </w:t>
      </w:r>
      <w:r w:rsidR="00F03476" w:rsidRPr="00E82D23">
        <w:rPr>
          <w:rFonts w:ascii="Times New Roman" w:hAnsi="Times New Roman" w:cs="Times New Roman"/>
        </w:rPr>
        <w:t xml:space="preserve">GDM </w:t>
      </w:r>
      <w:r w:rsidR="00DF4677" w:rsidRPr="00E82D23">
        <w:rPr>
          <w:rFonts w:ascii="Times New Roman" w:hAnsi="Times New Roman" w:cs="Times New Roman"/>
        </w:rPr>
        <w:t xml:space="preserve">and associated </w:t>
      </w:r>
      <w:r w:rsidR="005A30A5" w:rsidRPr="00E82D23">
        <w:rPr>
          <w:rFonts w:ascii="Times New Roman" w:hAnsi="Times New Roman" w:cs="Times New Roman"/>
        </w:rPr>
        <w:t>fetal growth</w:t>
      </w:r>
      <w:r w:rsidR="00F42194" w:rsidRPr="00E82D23">
        <w:rPr>
          <w:rFonts w:ascii="Times New Roman" w:hAnsi="Times New Roman" w:cs="Times New Roman"/>
        </w:rPr>
        <w:t>.</w:t>
      </w:r>
      <w:r w:rsidR="00A34505" w:rsidRPr="00E82D23">
        <w:rPr>
          <w:rFonts w:ascii="Times New Roman" w:hAnsi="Times New Roman" w:cs="Times New Roman"/>
        </w:rPr>
        <w:t xml:space="preserve"> </w:t>
      </w:r>
      <w:r w:rsidR="00131A40" w:rsidRPr="00E82D23">
        <w:rPr>
          <w:rFonts w:ascii="Times New Roman" w:hAnsi="Times New Roman" w:cs="Times New Roman"/>
          <w:noProof/>
        </w:rPr>
        <w:t>[</w:t>
      </w:r>
      <w:r w:rsidR="00A34505" w:rsidRPr="00E82D23">
        <w:rPr>
          <w:rFonts w:ascii="Times New Roman" w:hAnsi="Times New Roman" w:cs="Times New Roman"/>
          <w:noProof/>
        </w:rPr>
        <w:t>4</w:t>
      </w:r>
      <w:r w:rsidR="00131A40" w:rsidRPr="00E82D23">
        <w:rPr>
          <w:rFonts w:ascii="Times New Roman" w:hAnsi="Times New Roman" w:cs="Times New Roman"/>
          <w:noProof/>
        </w:rPr>
        <w:t>]</w:t>
      </w:r>
      <w:r w:rsidR="00F42194" w:rsidRPr="00E82D23">
        <w:rPr>
          <w:rFonts w:ascii="Times New Roman" w:hAnsi="Times New Roman" w:cs="Times New Roman"/>
        </w:rPr>
        <w:t xml:space="preserve"> </w:t>
      </w:r>
      <w:r w:rsidR="000023D3" w:rsidRPr="00E82D23">
        <w:rPr>
          <w:rFonts w:ascii="Times New Roman" w:hAnsi="Times New Roman" w:cs="Times New Roman"/>
        </w:rPr>
        <w:t>T</w:t>
      </w:r>
      <w:r w:rsidR="005A30A5" w:rsidRPr="00E82D23">
        <w:rPr>
          <w:rFonts w:ascii="Times New Roman" w:hAnsi="Times New Roman" w:cs="Times New Roman"/>
        </w:rPr>
        <w:t>he identi</w:t>
      </w:r>
      <w:r w:rsidR="0051046D" w:rsidRPr="00E82D23">
        <w:rPr>
          <w:rFonts w:ascii="Times New Roman" w:hAnsi="Times New Roman" w:cs="Times New Roman"/>
        </w:rPr>
        <w:t>fi</w:t>
      </w:r>
      <w:r w:rsidR="005A30A5" w:rsidRPr="00E82D23">
        <w:rPr>
          <w:rFonts w:ascii="Times New Roman" w:hAnsi="Times New Roman" w:cs="Times New Roman"/>
        </w:rPr>
        <w:t>cation</w:t>
      </w:r>
      <w:r w:rsidR="00DF4677" w:rsidRPr="00E82D23">
        <w:rPr>
          <w:rFonts w:ascii="Times New Roman" w:hAnsi="Times New Roman" w:cs="Times New Roman"/>
        </w:rPr>
        <w:t xml:space="preserve"> </w:t>
      </w:r>
      <w:r w:rsidR="00F03476" w:rsidRPr="00E82D23">
        <w:rPr>
          <w:rFonts w:ascii="Times New Roman" w:hAnsi="Times New Roman" w:cs="Times New Roman"/>
        </w:rPr>
        <w:t xml:space="preserve">of insulin resistance </w:t>
      </w:r>
      <w:r w:rsidR="000023D3" w:rsidRPr="00E82D23">
        <w:rPr>
          <w:rFonts w:ascii="Times New Roman" w:hAnsi="Times New Roman" w:cs="Times New Roman"/>
        </w:rPr>
        <w:t xml:space="preserve">in the absence of overt diabetes </w:t>
      </w:r>
      <w:r w:rsidR="00F03476" w:rsidRPr="00E82D23">
        <w:rPr>
          <w:rFonts w:ascii="Times New Roman" w:hAnsi="Times New Roman" w:cs="Times New Roman"/>
        </w:rPr>
        <w:t xml:space="preserve">in early pregnancy </w:t>
      </w:r>
      <w:r w:rsidR="000023D3" w:rsidRPr="00E82D23">
        <w:rPr>
          <w:rFonts w:ascii="Times New Roman" w:hAnsi="Times New Roman" w:cs="Times New Roman"/>
        </w:rPr>
        <w:t xml:space="preserve">in obese women </w:t>
      </w:r>
      <w:r w:rsidR="00DF4677" w:rsidRPr="00E82D23">
        <w:rPr>
          <w:rFonts w:ascii="Times New Roman" w:hAnsi="Times New Roman" w:cs="Times New Roman"/>
        </w:rPr>
        <w:t>provide</w:t>
      </w:r>
      <w:r w:rsidR="000023D3" w:rsidRPr="00E82D23">
        <w:rPr>
          <w:rFonts w:ascii="Times New Roman" w:hAnsi="Times New Roman" w:cs="Times New Roman"/>
        </w:rPr>
        <w:t>s</w:t>
      </w:r>
      <w:r w:rsidR="00F03476" w:rsidRPr="00E82D23">
        <w:rPr>
          <w:rFonts w:ascii="Times New Roman" w:hAnsi="Times New Roman" w:cs="Times New Roman"/>
        </w:rPr>
        <w:t xml:space="preserve"> further reason for </w:t>
      </w:r>
      <w:r w:rsidR="00DF4677" w:rsidRPr="00E82D23">
        <w:rPr>
          <w:rFonts w:ascii="Times New Roman" w:hAnsi="Times New Roman" w:cs="Times New Roman"/>
        </w:rPr>
        <w:t>targetin</w:t>
      </w:r>
      <w:r w:rsidR="005A30A5" w:rsidRPr="00E82D23">
        <w:rPr>
          <w:rFonts w:ascii="Times New Roman" w:hAnsi="Times New Roman" w:cs="Times New Roman"/>
        </w:rPr>
        <w:t>g</w:t>
      </w:r>
      <w:r w:rsidR="00DF4677" w:rsidRPr="00E82D23">
        <w:rPr>
          <w:rFonts w:ascii="Times New Roman" w:hAnsi="Times New Roman" w:cs="Times New Roman"/>
        </w:rPr>
        <w:t xml:space="preserve"> treatment </w:t>
      </w:r>
      <w:r w:rsidR="0051046D" w:rsidRPr="00E82D23">
        <w:rPr>
          <w:rFonts w:ascii="Times New Roman" w:hAnsi="Times New Roman" w:cs="Times New Roman"/>
        </w:rPr>
        <w:t xml:space="preserve">to obese women </w:t>
      </w:r>
      <w:r w:rsidR="00DF4677" w:rsidRPr="00E82D23">
        <w:rPr>
          <w:rFonts w:ascii="Times New Roman" w:hAnsi="Times New Roman" w:cs="Times New Roman"/>
        </w:rPr>
        <w:t>early in gestation</w:t>
      </w:r>
      <w:r w:rsidR="000023D3" w:rsidRPr="00E82D23">
        <w:rPr>
          <w:rFonts w:ascii="Times New Roman" w:hAnsi="Times New Roman" w:cs="Times New Roman"/>
        </w:rPr>
        <w:t xml:space="preserve"> </w:t>
      </w:r>
      <w:r w:rsidR="00693D12" w:rsidRPr="00E82D23">
        <w:rPr>
          <w:rFonts w:ascii="Times New Roman" w:hAnsi="Times New Roman" w:cs="Times New Roman"/>
        </w:rPr>
        <w:t>[5]</w:t>
      </w:r>
      <w:r w:rsidR="00DF4677" w:rsidRPr="00E82D23">
        <w:rPr>
          <w:rFonts w:ascii="Times New Roman" w:hAnsi="Times New Roman" w:cs="Times New Roman"/>
        </w:rPr>
        <w:t xml:space="preserve">. </w:t>
      </w:r>
      <w:r w:rsidR="00F03476" w:rsidRPr="00E82D23">
        <w:rPr>
          <w:rFonts w:ascii="Times New Roman" w:hAnsi="Times New Roman" w:cs="Times New Roman"/>
        </w:rPr>
        <w:t>This recognition has led to</w:t>
      </w:r>
      <w:r w:rsidR="00267D3F" w:rsidRPr="00E82D23">
        <w:rPr>
          <w:rFonts w:ascii="Times New Roman" w:hAnsi="Times New Roman" w:cs="Times New Roman"/>
        </w:rPr>
        <w:t xml:space="preserve"> </w:t>
      </w:r>
      <w:r w:rsidR="00F03476" w:rsidRPr="00E82D23">
        <w:rPr>
          <w:rFonts w:ascii="Times New Roman" w:hAnsi="Times New Roman" w:cs="Times New Roman"/>
        </w:rPr>
        <w:t xml:space="preserve">several </w:t>
      </w:r>
      <w:r w:rsidR="00267D3F" w:rsidRPr="00E82D23">
        <w:rPr>
          <w:rFonts w:ascii="Times New Roman" w:hAnsi="Times New Roman" w:cs="Times New Roman"/>
        </w:rPr>
        <w:t>recent randomised controlled trials (RCTs) of</w:t>
      </w:r>
      <w:r w:rsidR="00F03476" w:rsidRPr="00E82D23">
        <w:rPr>
          <w:rFonts w:ascii="Times New Roman" w:hAnsi="Times New Roman" w:cs="Times New Roman"/>
        </w:rPr>
        <w:t xml:space="preserve"> early </w:t>
      </w:r>
      <w:r w:rsidR="00267D3F" w:rsidRPr="00E82D23">
        <w:rPr>
          <w:rFonts w:ascii="Times New Roman" w:hAnsi="Times New Roman" w:cs="Times New Roman"/>
        </w:rPr>
        <w:t>interventions in unselected obese women</w:t>
      </w:r>
      <w:r w:rsidR="00DF4677" w:rsidRPr="00E82D23">
        <w:rPr>
          <w:rFonts w:ascii="Times New Roman" w:hAnsi="Times New Roman" w:cs="Times New Roman"/>
        </w:rPr>
        <w:t xml:space="preserve"> </w:t>
      </w:r>
      <w:r w:rsidR="000023D3" w:rsidRPr="00E82D23">
        <w:rPr>
          <w:rFonts w:ascii="Times New Roman" w:hAnsi="Times New Roman" w:cs="Times New Roman"/>
        </w:rPr>
        <w:t>t</w:t>
      </w:r>
      <w:r w:rsidR="00DF4677" w:rsidRPr="00E82D23">
        <w:rPr>
          <w:rFonts w:ascii="Times New Roman" w:hAnsi="Times New Roman" w:cs="Times New Roman"/>
        </w:rPr>
        <w:t>o prevent GDM</w:t>
      </w:r>
      <w:r w:rsidR="00267D3F" w:rsidRPr="00E82D23">
        <w:rPr>
          <w:rFonts w:ascii="Times New Roman" w:hAnsi="Times New Roman" w:cs="Times New Roman"/>
        </w:rPr>
        <w:t xml:space="preserve">, including </w:t>
      </w:r>
      <w:r w:rsidR="000023D3" w:rsidRPr="00E82D23">
        <w:rPr>
          <w:rFonts w:ascii="Times New Roman" w:hAnsi="Times New Roman" w:cs="Times New Roman"/>
        </w:rPr>
        <w:t>dietary and physical activity</w:t>
      </w:r>
      <w:r w:rsidR="00267D3F" w:rsidRPr="00E82D23">
        <w:rPr>
          <w:rFonts w:ascii="Times New Roman" w:hAnsi="Times New Roman" w:cs="Times New Roman"/>
        </w:rPr>
        <w:t xml:space="preserve"> </w:t>
      </w:r>
      <w:r w:rsidR="000023D3" w:rsidRPr="00E82D23">
        <w:rPr>
          <w:rFonts w:ascii="Times New Roman" w:hAnsi="Times New Roman" w:cs="Times New Roman"/>
        </w:rPr>
        <w:t xml:space="preserve">advice </w:t>
      </w:r>
      <w:r w:rsidR="00267D3F" w:rsidRPr="00E82D23">
        <w:rPr>
          <w:rFonts w:ascii="Times New Roman" w:hAnsi="Times New Roman" w:cs="Times New Roman"/>
        </w:rPr>
        <w:t xml:space="preserve">and pharmacological (metformin) approaches, </w:t>
      </w:r>
      <w:r w:rsidR="00F03476" w:rsidRPr="00E82D23">
        <w:rPr>
          <w:rFonts w:ascii="Times New Roman" w:hAnsi="Times New Roman" w:cs="Times New Roman"/>
        </w:rPr>
        <w:t>but</w:t>
      </w:r>
      <w:r w:rsidR="00267D3F" w:rsidRPr="00E82D23">
        <w:rPr>
          <w:rFonts w:ascii="Times New Roman" w:hAnsi="Times New Roman" w:cs="Times New Roman"/>
        </w:rPr>
        <w:t xml:space="preserve"> </w:t>
      </w:r>
      <w:r w:rsidR="007A6328" w:rsidRPr="00E82D23">
        <w:rPr>
          <w:rFonts w:ascii="Times New Roman" w:hAnsi="Times New Roman" w:cs="Times New Roman"/>
        </w:rPr>
        <w:t>the majority have been un</w:t>
      </w:r>
      <w:r w:rsidR="00267D3F" w:rsidRPr="00E82D23">
        <w:rPr>
          <w:rFonts w:ascii="Times New Roman" w:hAnsi="Times New Roman" w:cs="Times New Roman"/>
        </w:rPr>
        <w:t xml:space="preserve">successful. </w:t>
      </w:r>
      <w:r w:rsidR="00131A40" w:rsidRPr="00E82D23">
        <w:rPr>
          <w:rFonts w:ascii="Times New Roman" w:hAnsi="Times New Roman" w:cs="Times New Roman"/>
        </w:rPr>
        <w:t>[</w:t>
      </w:r>
      <w:r w:rsidR="00693D12" w:rsidRPr="00E82D23">
        <w:rPr>
          <w:rFonts w:ascii="Times New Roman" w:hAnsi="Times New Roman" w:cs="Times New Roman"/>
          <w:noProof/>
        </w:rPr>
        <w:t>6-9</w:t>
      </w:r>
      <w:r w:rsidR="00131A40" w:rsidRPr="00E82D23">
        <w:rPr>
          <w:rFonts w:ascii="Times New Roman" w:hAnsi="Times New Roman" w:cs="Times New Roman"/>
          <w:noProof/>
        </w:rPr>
        <w:t>]</w:t>
      </w:r>
      <w:r w:rsidR="00267D3F" w:rsidRPr="00E82D23">
        <w:rPr>
          <w:rFonts w:ascii="Times New Roman" w:hAnsi="Times New Roman" w:cs="Times New Roman"/>
        </w:rPr>
        <w:t xml:space="preserve"> At present</w:t>
      </w:r>
      <w:r w:rsidR="0051046D" w:rsidRPr="00E82D23">
        <w:rPr>
          <w:rFonts w:ascii="Times New Roman" w:hAnsi="Times New Roman" w:cs="Times New Roman"/>
        </w:rPr>
        <w:t xml:space="preserve"> </w:t>
      </w:r>
      <w:r w:rsidR="00267D3F" w:rsidRPr="00E82D23">
        <w:rPr>
          <w:rFonts w:ascii="Times New Roman" w:hAnsi="Times New Roman" w:cs="Times New Roman"/>
        </w:rPr>
        <w:t xml:space="preserve">all obese pregnant women are considered </w:t>
      </w:r>
      <w:r w:rsidR="000023D3" w:rsidRPr="00E82D23">
        <w:rPr>
          <w:rFonts w:ascii="Times New Roman" w:hAnsi="Times New Roman" w:cs="Times New Roman"/>
        </w:rPr>
        <w:t xml:space="preserve">to be </w:t>
      </w:r>
      <w:r w:rsidR="00267D3F" w:rsidRPr="00E82D23">
        <w:rPr>
          <w:rFonts w:ascii="Times New Roman" w:hAnsi="Times New Roman" w:cs="Times New Roman"/>
        </w:rPr>
        <w:t>equally at high risk of developing GDM</w:t>
      </w:r>
      <w:r w:rsidR="00C802EA" w:rsidRPr="00E82D23">
        <w:rPr>
          <w:rFonts w:ascii="Times New Roman" w:hAnsi="Times New Roman" w:cs="Times New Roman"/>
        </w:rPr>
        <w:t xml:space="preserve">, whereas </w:t>
      </w:r>
      <w:r w:rsidR="00267D3F" w:rsidRPr="00E82D23">
        <w:rPr>
          <w:rFonts w:ascii="Times New Roman" w:hAnsi="Times New Roman" w:cs="Times New Roman"/>
        </w:rPr>
        <w:t>approximately</w:t>
      </w:r>
      <w:r w:rsidR="00A03BBC" w:rsidRPr="00E82D23">
        <w:rPr>
          <w:rFonts w:ascii="Times New Roman" w:hAnsi="Times New Roman" w:cs="Times New Roman"/>
        </w:rPr>
        <w:t xml:space="preserve"> only</w:t>
      </w:r>
      <w:r w:rsidR="00267D3F" w:rsidRPr="00E82D23">
        <w:rPr>
          <w:rFonts w:ascii="Times New Roman" w:hAnsi="Times New Roman" w:cs="Times New Roman"/>
        </w:rPr>
        <w:t xml:space="preserve"> 15-30% (depending on criteria for diagnosis) will develop the disorder. </w:t>
      </w:r>
      <w:r w:rsidR="00131A40" w:rsidRPr="00E82D23">
        <w:rPr>
          <w:rFonts w:ascii="Times New Roman" w:hAnsi="Times New Roman" w:cs="Times New Roman"/>
        </w:rPr>
        <w:t>[</w:t>
      </w:r>
      <w:r w:rsidR="00267D3F" w:rsidRPr="00E82D23">
        <w:rPr>
          <w:rFonts w:ascii="Times New Roman" w:hAnsi="Times New Roman" w:cs="Times New Roman"/>
          <w:noProof/>
        </w:rPr>
        <w:t>2</w:t>
      </w:r>
      <w:r w:rsidR="00131A40" w:rsidRPr="00E82D23">
        <w:rPr>
          <w:rFonts w:ascii="Times New Roman" w:hAnsi="Times New Roman" w:cs="Times New Roman"/>
          <w:noProof/>
        </w:rPr>
        <w:t>]</w:t>
      </w:r>
      <w:r w:rsidR="003C5F4F" w:rsidRPr="00E82D23">
        <w:rPr>
          <w:rFonts w:ascii="Times New Roman" w:hAnsi="Times New Roman" w:cs="Times New Roman"/>
        </w:rPr>
        <w:t xml:space="preserve"> </w:t>
      </w:r>
      <w:r w:rsidR="00784B70" w:rsidRPr="00E82D23">
        <w:rPr>
          <w:rFonts w:ascii="Times New Roman" w:hAnsi="Times New Roman" w:cs="Times New Roman"/>
        </w:rPr>
        <w:t>Prediction tools as a means to stratify disease risk are increasingly used in medical</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00693D12" w:rsidRPr="00E82D23">
        <w:rPr>
          <w:rFonts w:ascii="Times New Roman" w:hAnsi="Times New Roman" w:cs="Times New Roman"/>
          <w:noProof/>
        </w:rPr>
        <w:t>10</w:t>
      </w:r>
      <w:r w:rsidR="00131A40" w:rsidRPr="00E82D23">
        <w:rPr>
          <w:rFonts w:ascii="Times New Roman" w:hAnsi="Times New Roman" w:cs="Times New Roman"/>
          <w:noProof/>
        </w:rPr>
        <w:t>]</w:t>
      </w:r>
      <w:r w:rsidR="00784B70" w:rsidRPr="00E82D23">
        <w:rPr>
          <w:rFonts w:ascii="Times New Roman" w:hAnsi="Times New Roman" w:cs="Times New Roman"/>
        </w:rPr>
        <w:t xml:space="preserve"> and obstetric practice</w:t>
      </w:r>
      <w:r w:rsidR="005824CA" w:rsidRPr="00E82D23">
        <w:rPr>
          <w:rFonts w:ascii="Times New Roman" w:hAnsi="Times New Roman" w:cs="Times New Roman"/>
        </w:rPr>
        <w:t xml:space="preserve"> [</w:t>
      </w:r>
      <w:r w:rsidR="00784B70" w:rsidRPr="00E82D23">
        <w:rPr>
          <w:rFonts w:ascii="Times New Roman" w:hAnsi="Times New Roman" w:cs="Times New Roman"/>
          <w:noProof/>
        </w:rPr>
        <w:t>1</w:t>
      </w:r>
      <w:r w:rsidR="00693D12" w:rsidRPr="00E82D23">
        <w:rPr>
          <w:rFonts w:ascii="Times New Roman" w:hAnsi="Times New Roman" w:cs="Times New Roman"/>
          <w:noProof/>
        </w:rPr>
        <w:t>1</w:t>
      </w:r>
      <w:r w:rsidR="00131A40" w:rsidRPr="00E82D23">
        <w:rPr>
          <w:rFonts w:ascii="Times New Roman" w:hAnsi="Times New Roman" w:cs="Times New Roman"/>
          <w:noProof/>
        </w:rPr>
        <w:t>]</w:t>
      </w:r>
      <w:r w:rsidR="00784B70" w:rsidRPr="00E82D23">
        <w:rPr>
          <w:rFonts w:ascii="Times New Roman" w:hAnsi="Times New Roman" w:cs="Times New Roman"/>
        </w:rPr>
        <w:t xml:space="preserve"> with a focus on precision prevention and treatment for at risk sub-groups. Correctly identifying obese women with heightened risk of GDM early in pregnancy would enable targeted intervention in women most likely to benefit</w:t>
      </w:r>
      <w:r w:rsidR="007C7A18" w:rsidRPr="00E82D23">
        <w:rPr>
          <w:rFonts w:ascii="Times New Roman" w:hAnsi="Times New Roman" w:cs="Times New Roman"/>
        </w:rPr>
        <w:t>.</w:t>
      </w:r>
      <w:r w:rsidR="00784B70" w:rsidRPr="00E82D23">
        <w:rPr>
          <w:rFonts w:ascii="Times New Roman" w:hAnsi="Times New Roman" w:cs="Times New Roman"/>
        </w:rPr>
        <w:t xml:space="preserve"> </w:t>
      </w:r>
    </w:p>
    <w:p w14:paraId="6F6760CC" w14:textId="77777777" w:rsidR="007F0770" w:rsidRPr="00E82D23" w:rsidRDefault="007F0770" w:rsidP="00E82D23">
      <w:pPr>
        <w:spacing w:line="480" w:lineRule="auto"/>
        <w:jc w:val="both"/>
        <w:rPr>
          <w:rFonts w:ascii="Times New Roman" w:hAnsi="Times New Roman" w:cs="Times New Roman"/>
        </w:rPr>
      </w:pPr>
    </w:p>
    <w:p w14:paraId="778BCD79" w14:textId="1A45FB9C" w:rsidR="006508CF" w:rsidRPr="00E82D23" w:rsidRDefault="006508CF" w:rsidP="00E82D23">
      <w:pPr>
        <w:pStyle w:val="CommentText"/>
        <w:spacing w:line="480" w:lineRule="auto"/>
        <w:jc w:val="both"/>
        <w:rPr>
          <w:rFonts w:ascii="Times New Roman" w:hAnsi="Times New Roman" w:cs="Times New Roman"/>
          <w:sz w:val="22"/>
          <w:szCs w:val="22"/>
        </w:rPr>
      </w:pPr>
      <w:r w:rsidRPr="00E82D23">
        <w:rPr>
          <w:rFonts w:ascii="Times New Roman" w:hAnsi="Times New Roman" w:cs="Times New Roman"/>
          <w:sz w:val="22"/>
          <w:szCs w:val="22"/>
        </w:rPr>
        <w:t xml:space="preserve">There is no </w:t>
      </w:r>
      <w:r w:rsidR="0051046D" w:rsidRPr="00E82D23">
        <w:rPr>
          <w:rFonts w:ascii="Times New Roman" w:hAnsi="Times New Roman" w:cs="Times New Roman"/>
          <w:sz w:val="22"/>
          <w:szCs w:val="22"/>
        </w:rPr>
        <w:t>accepted strategy</w:t>
      </w:r>
      <w:r w:rsidRPr="00E82D23">
        <w:rPr>
          <w:rFonts w:ascii="Times New Roman" w:hAnsi="Times New Roman" w:cs="Times New Roman"/>
          <w:sz w:val="22"/>
          <w:szCs w:val="22"/>
        </w:rPr>
        <w:t xml:space="preserve"> to identify obese women</w:t>
      </w:r>
      <w:r w:rsidR="0051046D" w:rsidRPr="00E82D23">
        <w:rPr>
          <w:rFonts w:ascii="Times New Roman" w:hAnsi="Times New Roman" w:cs="Times New Roman"/>
          <w:sz w:val="22"/>
          <w:szCs w:val="22"/>
        </w:rPr>
        <w:t xml:space="preserve"> at high risk of GDM</w:t>
      </w:r>
      <w:r w:rsidR="00AD2BCC" w:rsidRPr="00E82D23">
        <w:rPr>
          <w:rFonts w:ascii="Times New Roman" w:hAnsi="Times New Roman" w:cs="Times New Roman"/>
          <w:sz w:val="22"/>
          <w:szCs w:val="22"/>
        </w:rPr>
        <w:t xml:space="preserve"> early in pregnancy</w:t>
      </w:r>
      <w:r w:rsidRPr="00E82D23">
        <w:rPr>
          <w:rFonts w:ascii="Times New Roman" w:hAnsi="Times New Roman" w:cs="Times New Roman"/>
          <w:sz w:val="22"/>
          <w:szCs w:val="22"/>
        </w:rPr>
        <w:t xml:space="preserve">. Current clinical risk assessment, such as that recommended by </w:t>
      </w:r>
      <w:r w:rsidR="006A09E4" w:rsidRPr="00E82D23">
        <w:rPr>
          <w:rFonts w:ascii="Times New Roman" w:hAnsi="Times New Roman" w:cs="Times New Roman"/>
          <w:sz w:val="22"/>
          <w:szCs w:val="22"/>
        </w:rPr>
        <w:t>UK</w:t>
      </w:r>
      <w:r w:rsidR="006418F0" w:rsidRPr="00E82D23">
        <w:rPr>
          <w:rFonts w:ascii="Times New Roman" w:hAnsi="Times New Roman" w:cs="Times New Roman"/>
          <w:sz w:val="22"/>
          <w:szCs w:val="22"/>
        </w:rPr>
        <w:t xml:space="preserve"> </w:t>
      </w:r>
      <w:r w:rsidR="006418F0" w:rsidRPr="00E82D23">
        <w:rPr>
          <w:rStyle w:val="Hyperlink"/>
          <w:rFonts w:ascii="Times New Roman" w:hAnsi="Times New Roman" w:cs="Times New Roman"/>
          <w:color w:val="auto"/>
          <w:sz w:val="22"/>
          <w:szCs w:val="22"/>
          <w:u w:val="none"/>
        </w:rPr>
        <w:t>National Institute for Health and Care Excellence guidelines</w:t>
      </w:r>
      <w:r w:rsidR="00366184" w:rsidRPr="00E82D23">
        <w:rPr>
          <w:rStyle w:val="Hyperlink"/>
          <w:rFonts w:ascii="Times New Roman" w:hAnsi="Times New Roman" w:cs="Times New Roman"/>
          <w:color w:val="auto"/>
          <w:sz w:val="22"/>
          <w:szCs w:val="22"/>
          <w:u w:val="none"/>
        </w:rPr>
        <w:t>,</w:t>
      </w:r>
      <w:r w:rsidR="006A09E4" w:rsidRPr="00E82D23">
        <w:rPr>
          <w:rFonts w:ascii="Times New Roman" w:hAnsi="Times New Roman" w:cs="Times New Roman"/>
          <w:sz w:val="22"/>
          <w:szCs w:val="22"/>
        </w:rPr>
        <w:t xml:space="preserve"> </w:t>
      </w:r>
      <w:r w:rsidRPr="00E82D23">
        <w:rPr>
          <w:rFonts w:ascii="Times New Roman" w:hAnsi="Times New Roman" w:cs="Times New Roman"/>
          <w:sz w:val="22"/>
          <w:szCs w:val="22"/>
        </w:rPr>
        <w:t xml:space="preserve">to determine which women </w:t>
      </w:r>
      <w:r w:rsidR="00636FE4" w:rsidRPr="00E82D23">
        <w:rPr>
          <w:rFonts w:ascii="Times New Roman" w:hAnsi="Times New Roman" w:cs="Times New Roman"/>
          <w:sz w:val="22"/>
          <w:szCs w:val="22"/>
        </w:rPr>
        <w:t xml:space="preserve">should have an </w:t>
      </w:r>
      <w:r w:rsidR="007B7FC1" w:rsidRPr="00E82D23">
        <w:rPr>
          <w:rFonts w:ascii="Times New Roman" w:hAnsi="Times New Roman" w:cs="Times New Roman"/>
          <w:sz w:val="22"/>
          <w:szCs w:val="22"/>
        </w:rPr>
        <w:t xml:space="preserve">oral glucose tolerance test </w:t>
      </w:r>
      <w:r w:rsidR="007B7FC1" w:rsidRPr="00E82D23">
        <w:rPr>
          <w:rFonts w:ascii="Times New Roman" w:hAnsi="Times New Roman" w:cs="Times New Roman"/>
          <w:sz w:val="22"/>
          <w:szCs w:val="22"/>
        </w:rPr>
        <w:lastRenderedPageBreak/>
        <w:t>(</w:t>
      </w:r>
      <w:r w:rsidRPr="00E82D23">
        <w:rPr>
          <w:rFonts w:ascii="Times New Roman" w:hAnsi="Times New Roman" w:cs="Times New Roman"/>
          <w:sz w:val="22"/>
          <w:szCs w:val="22"/>
        </w:rPr>
        <w:t>OGTT</w:t>
      </w:r>
      <w:r w:rsidR="007B7FC1" w:rsidRPr="00E82D23">
        <w:rPr>
          <w:rFonts w:ascii="Times New Roman" w:hAnsi="Times New Roman" w:cs="Times New Roman"/>
          <w:sz w:val="22"/>
          <w:szCs w:val="22"/>
        </w:rPr>
        <w:t xml:space="preserve">) </w:t>
      </w:r>
      <w:r w:rsidRPr="00E82D23">
        <w:rPr>
          <w:rFonts w:ascii="Times New Roman" w:hAnsi="Times New Roman" w:cs="Times New Roman"/>
          <w:sz w:val="22"/>
          <w:szCs w:val="22"/>
        </w:rPr>
        <w:t>later in pregnancy</w:t>
      </w:r>
      <w:r w:rsidR="00AD2BCC" w:rsidRPr="00E82D23">
        <w:rPr>
          <w:rFonts w:ascii="Times New Roman" w:hAnsi="Times New Roman" w:cs="Times New Roman"/>
          <w:sz w:val="22"/>
          <w:szCs w:val="22"/>
        </w:rPr>
        <w:t xml:space="preserve"> i</w:t>
      </w:r>
      <w:r w:rsidR="00735F59" w:rsidRPr="00E82D23">
        <w:rPr>
          <w:rFonts w:ascii="Times New Roman" w:hAnsi="Times New Roman" w:cs="Times New Roman"/>
          <w:sz w:val="22"/>
          <w:szCs w:val="22"/>
        </w:rPr>
        <w:t>ncludes</w:t>
      </w:r>
      <w:r w:rsidR="00AD2BCC" w:rsidRPr="00E82D23">
        <w:rPr>
          <w:rFonts w:ascii="Times New Roman" w:hAnsi="Times New Roman" w:cs="Times New Roman"/>
          <w:sz w:val="22"/>
          <w:szCs w:val="22"/>
        </w:rPr>
        <w:t xml:space="preserve"> obesity as a risk factor </w:t>
      </w:r>
      <w:r w:rsidRPr="00E82D23">
        <w:rPr>
          <w:rFonts w:ascii="Times New Roman" w:hAnsi="Times New Roman" w:cs="Times New Roman"/>
          <w:sz w:val="22"/>
          <w:szCs w:val="22"/>
        </w:rPr>
        <w:t>(</w:t>
      </w:r>
      <w:r w:rsidR="00457C89" w:rsidRPr="00E82D23">
        <w:rPr>
          <w:rFonts w:ascii="Times New Roman" w:hAnsi="Times New Roman" w:cs="Times New Roman"/>
        </w:rPr>
        <w:t>≥</w:t>
      </w:r>
      <w:r w:rsidRPr="00E82D23">
        <w:rPr>
          <w:rFonts w:ascii="Times New Roman" w:hAnsi="Times New Roman" w:cs="Times New Roman"/>
          <w:sz w:val="22"/>
          <w:szCs w:val="22"/>
        </w:rPr>
        <w:t>30</w:t>
      </w:r>
      <w:r w:rsidR="007B7FC1" w:rsidRPr="00E82D23">
        <w:rPr>
          <w:rFonts w:ascii="Times New Roman" w:hAnsi="Times New Roman" w:cs="Times New Roman"/>
          <w:sz w:val="22"/>
          <w:szCs w:val="22"/>
        </w:rPr>
        <w:t>kg/m</w:t>
      </w:r>
      <w:r w:rsidR="007B7FC1" w:rsidRPr="00E82D23">
        <w:rPr>
          <w:rFonts w:ascii="Times New Roman" w:hAnsi="Times New Roman" w:cs="Times New Roman"/>
          <w:sz w:val="22"/>
          <w:szCs w:val="22"/>
          <w:vertAlign w:val="superscript"/>
        </w:rPr>
        <w:t>2</w:t>
      </w:r>
      <w:r w:rsidRPr="00E82D23">
        <w:rPr>
          <w:rFonts w:ascii="Times New Roman" w:hAnsi="Times New Roman" w:cs="Times New Roman"/>
          <w:sz w:val="22"/>
          <w:szCs w:val="22"/>
        </w:rPr>
        <w:t>)</w:t>
      </w:r>
      <w:r w:rsidR="00AD2BCC" w:rsidRPr="00E82D23">
        <w:rPr>
          <w:rFonts w:ascii="Times New Roman" w:hAnsi="Times New Roman" w:cs="Times New Roman"/>
          <w:sz w:val="22"/>
          <w:szCs w:val="22"/>
        </w:rPr>
        <w:t>. This screenin</w:t>
      </w:r>
      <w:r w:rsidR="00215143" w:rsidRPr="00E82D23">
        <w:rPr>
          <w:rFonts w:ascii="Times New Roman" w:hAnsi="Times New Roman" w:cs="Times New Roman"/>
          <w:sz w:val="22"/>
          <w:szCs w:val="22"/>
        </w:rPr>
        <w:t xml:space="preserve">g </w:t>
      </w:r>
      <w:r w:rsidR="00735F59" w:rsidRPr="00E82D23">
        <w:rPr>
          <w:rFonts w:ascii="Times New Roman" w:hAnsi="Times New Roman" w:cs="Times New Roman"/>
          <w:sz w:val="22"/>
          <w:szCs w:val="22"/>
        </w:rPr>
        <w:t xml:space="preserve">criterion </w:t>
      </w:r>
      <w:r w:rsidR="00AD2BCC" w:rsidRPr="00E82D23">
        <w:rPr>
          <w:rFonts w:ascii="Times New Roman" w:hAnsi="Times New Roman" w:cs="Times New Roman"/>
          <w:sz w:val="22"/>
          <w:szCs w:val="22"/>
        </w:rPr>
        <w:t>is</w:t>
      </w:r>
      <w:r w:rsidR="00215143" w:rsidRPr="00E82D23">
        <w:rPr>
          <w:rFonts w:ascii="Times New Roman" w:hAnsi="Times New Roman" w:cs="Times New Roman"/>
          <w:sz w:val="22"/>
          <w:szCs w:val="22"/>
        </w:rPr>
        <w:t xml:space="preserve"> clearly </w:t>
      </w:r>
      <w:r w:rsidR="00AD2BCC" w:rsidRPr="00E82D23">
        <w:rPr>
          <w:rFonts w:ascii="Times New Roman" w:hAnsi="Times New Roman" w:cs="Times New Roman"/>
          <w:sz w:val="22"/>
          <w:szCs w:val="22"/>
        </w:rPr>
        <w:t xml:space="preserve">not applicable </w:t>
      </w:r>
      <w:r w:rsidR="00636FE4" w:rsidRPr="00E82D23">
        <w:rPr>
          <w:rFonts w:ascii="Times New Roman" w:hAnsi="Times New Roman" w:cs="Times New Roman"/>
          <w:sz w:val="22"/>
          <w:szCs w:val="22"/>
        </w:rPr>
        <w:t xml:space="preserve">for assessment of risk </w:t>
      </w:r>
      <w:r w:rsidR="00AD2BCC" w:rsidRPr="00E82D23">
        <w:rPr>
          <w:rFonts w:ascii="Times New Roman" w:hAnsi="Times New Roman" w:cs="Times New Roman"/>
          <w:sz w:val="22"/>
          <w:szCs w:val="22"/>
        </w:rPr>
        <w:t>amongst obese women</w:t>
      </w:r>
      <w:r w:rsidR="00636FE4" w:rsidRPr="00E82D23">
        <w:rPr>
          <w:rFonts w:ascii="Times New Roman" w:hAnsi="Times New Roman" w:cs="Times New Roman"/>
          <w:sz w:val="22"/>
          <w:szCs w:val="22"/>
        </w:rPr>
        <w:t xml:space="preserve">.  </w:t>
      </w:r>
      <w:r w:rsidRPr="00E82D23">
        <w:rPr>
          <w:rFonts w:ascii="Times New Roman" w:hAnsi="Times New Roman" w:cs="Times New Roman"/>
          <w:sz w:val="22"/>
          <w:szCs w:val="22"/>
        </w:rPr>
        <w:t>Previously reported early pregnancy prediction tools for GDM</w:t>
      </w:r>
      <w:r w:rsidR="00636FE4" w:rsidRPr="00E82D23">
        <w:rPr>
          <w:rFonts w:ascii="Times New Roman" w:hAnsi="Times New Roman" w:cs="Times New Roman"/>
          <w:sz w:val="22"/>
          <w:szCs w:val="22"/>
        </w:rPr>
        <w:t xml:space="preserve">, as yet not adopted in clinical practice, </w:t>
      </w:r>
      <w:r w:rsidRPr="00E82D23">
        <w:rPr>
          <w:rFonts w:ascii="Times New Roman" w:hAnsi="Times New Roman" w:cs="Times New Roman"/>
          <w:sz w:val="22"/>
          <w:szCs w:val="22"/>
        </w:rPr>
        <w:t>have been constructed in populations unselected for</w:t>
      </w:r>
      <w:r w:rsidR="003E78E0" w:rsidRPr="00E82D23">
        <w:rPr>
          <w:rFonts w:ascii="Times New Roman" w:hAnsi="Times New Roman" w:cs="Times New Roman"/>
          <w:sz w:val="22"/>
          <w:szCs w:val="22"/>
        </w:rPr>
        <w:t xml:space="preserve"> body mass index</w:t>
      </w:r>
      <w:r w:rsidRPr="00E82D23">
        <w:rPr>
          <w:rFonts w:ascii="Times New Roman" w:hAnsi="Times New Roman" w:cs="Times New Roman"/>
          <w:sz w:val="22"/>
          <w:szCs w:val="22"/>
        </w:rPr>
        <w:t xml:space="preserve"> </w:t>
      </w:r>
      <w:r w:rsidR="003E78E0" w:rsidRPr="00E82D23">
        <w:rPr>
          <w:rFonts w:ascii="Times New Roman" w:hAnsi="Times New Roman" w:cs="Times New Roman"/>
          <w:sz w:val="22"/>
          <w:szCs w:val="22"/>
        </w:rPr>
        <w:t>(</w:t>
      </w:r>
      <w:r w:rsidRPr="00E82D23">
        <w:rPr>
          <w:rFonts w:ascii="Times New Roman" w:hAnsi="Times New Roman" w:cs="Times New Roman"/>
          <w:sz w:val="22"/>
          <w:szCs w:val="22"/>
        </w:rPr>
        <w:t>BMI</w:t>
      </w:r>
      <w:r w:rsidR="003E78E0" w:rsidRPr="00E82D23">
        <w:rPr>
          <w:rFonts w:ascii="Times New Roman" w:hAnsi="Times New Roman" w:cs="Times New Roman"/>
          <w:sz w:val="22"/>
          <w:szCs w:val="22"/>
        </w:rPr>
        <w:t>)</w:t>
      </w:r>
      <w:r w:rsidRPr="00E82D23">
        <w:rPr>
          <w:rFonts w:ascii="Times New Roman" w:hAnsi="Times New Roman" w:cs="Times New Roman"/>
          <w:sz w:val="22"/>
          <w:szCs w:val="22"/>
        </w:rPr>
        <w:t>. [</w:t>
      </w:r>
      <w:r w:rsidRPr="00E82D23">
        <w:rPr>
          <w:rFonts w:ascii="Times New Roman" w:hAnsi="Times New Roman" w:cs="Times New Roman"/>
          <w:noProof/>
          <w:sz w:val="22"/>
          <w:szCs w:val="22"/>
        </w:rPr>
        <w:t>1</w:t>
      </w:r>
      <w:r w:rsidR="00693D12" w:rsidRPr="00E82D23">
        <w:rPr>
          <w:rFonts w:ascii="Times New Roman" w:hAnsi="Times New Roman" w:cs="Times New Roman"/>
          <w:noProof/>
          <w:sz w:val="22"/>
          <w:szCs w:val="22"/>
        </w:rPr>
        <w:t>2</w:t>
      </w:r>
      <w:r w:rsidRPr="00E82D23">
        <w:rPr>
          <w:rFonts w:ascii="Times New Roman" w:hAnsi="Times New Roman" w:cs="Times New Roman"/>
          <w:noProof/>
          <w:sz w:val="22"/>
          <w:szCs w:val="22"/>
        </w:rPr>
        <w:t>-1</w:t>
      </w:r>
      <w:r w:rsidR="00693D12" w:rsidRPr="00E82D23">
        <w:rPr>
          <w:rFonts w:ascii="Times New Roman" w:hAnsi="Times New Roman" w:cs="Times New Roman"/>
          <w:noProof/>
          <w:sz w:val="22"/>
          <w:szCs w:val="22"/>
        </w:rPr>
        <w:t>8</w:t>
      </w:r>
      <w:r w:rsidRPr="00E82D23">
        <w:rPr>
          <w:rFonts w:ascii="Times New Roman" w:hAnsi="Times New Roman" w:cs="Times New Roman"/>
          <w:noProof/>
          <w:sz w:val="22"/>
          <w:szCs w:val="22"/>
        </w:rPr>
        <w:t>]</w:t>
      </w:r>
      <w:r w:rsidRPr="00E82D23">
        <w:rPr>
          <w:rFonts w:ascii="Times New Roman" w:hAnsi="Times New Roman" w:cs="Times New Roman"/>
          <w:sz w:val="22"/>
          <w:szCs w:val="22"/>
        </w:rPr>
        <w:t xml:space="preserve"> With the inclusion of weight or BMI in all tools, performance amongst obese women is likely to be limited</w:t>
      </w:r>
      <w:r w:rsidR="00165383" w:rsidRPr="00E82D23">
        <w:rPr>
          <w:rFonts w:ascii="Times New Roman" w:hAnsi="Times New Roman" w:cs="Times New Roman"/>
          <w:sz w:val="22"/>
          <w:szCs w:val="22"/>
        </w:rPr>
        <w:t>.</w:t>
      </w:r>
    </w:p>
    <w:p w14:paraId="6EFDB6E4" w14:textId="77777777" w:rsidR="00907088" w:rsidRPr="00E82D23" w:rsidRDefault="00907088" w:rsidP="00E82D23">
      <w:pPr>
        <w:pStyle w:val="CommentText"/>
        <w:spacing w:line="480" w:lineRule="auto"/>
        <w:jc w:val="both"/>
        <w:rPr>
          <w:rFonts w:ascii="Times New Roman" w:hAnsi="Times New Roman" w:cs="Times New Roman"/>
          <w:sz w:val="22"/>
          <w:szCs w:val="22"/>
        </w:rPr>
      </w:pPr>
    </w:p>
    <w:p w14:paraId="1C12340E" w14:textId="58B29952" w:rsidR="006508CF" w:rsidRPr="00E82D23" w:rsidRDefault="006508CF" w:rsidP="00E82D23">
      <w:pPr>
        <w:pStyle w:val="CommentText"/>
        <w:spacing w:line="480" w:lineRule="auto"/>
        <w:jc w:val="both"/>
        <w:rPr>
          <w:rFonts w:ascii="Times New Roman" w:hAnsi="Times New Roman" w:cs="Times New Roman"/>
          <w:sz w:val="22"/>
          <w:szCs w:val="22"/>
        </w:rPr>
      </w:pPr>
      <w:r w:rsidRPr="00E82D23">
        <w:rPr>
          <w:rFonts w:ascii="Times New Roman" w:hAnsi="Times New Roman" w:cs="Times New Roman"/>
          <w:sz w:val="22"/>
          <w:szCs w:val="22"/>
        </w:rPr>
        <w:t xml:space="preserve">We </w:t>
      </w:r>
      <w:r w:rsidR="00566AF7" w:rsidRPr="00E82D23">
        <w:rPr>
          <w:rFonts w:ascii="Times New Roman" w:hAnsi="Times New Roman" w:cs="Times New Roman"/>
          <w:sz w:val="22"/>
          <w:szCs w:val="22"/>
        </w:rPr>
        <w:t xml:space="preserve">have </w:t>
      </w:r>
      <w:r w:rsidR="00735F59" w:rsidRPr="00E82D23">
        <w:rPr>
          <w:rFonts w:ascii="Times New Roman" w:hAnsi="Times New Roman" w:cs="Times New Roman"/>
          <w:sz w:val="22"/>
          <w:szCs w:val="22"/>
        </w:rPr>
        <w:t xml:space="preserve">previously </w:t>
      </w:r>
      <w:r w:rsidRPr="00E82D23">
        <w:rPr>
          <w:rFonts w:ascii="Times New Roman" w:hAnsi="Times New Roman" w:cs="Times New Roman"/>
          <w:sz w:val="22"/>
          <w:szCs w:val="22"/>
        </w:rPr>
        <w:t xml:space="preserve">established proof of principle </w:t>
      </w:r>
      <w:r w:rsidR="00735F59" w:rsidRPr="00E82D23">
        <w:rPr>
          <w:rFonts w:ascii="Times New Roman" w:hAnsi="Times New Roman" w:cs="Times New Roman"/>
          <w:sz w:val="22"/>
          <w:szCs w:val="22"/>
        </w:rPr>
        <w:t>for</w:t>
      </w:r>
      <w:r w:rsidRPr="00E82D23">
        <w:rPr>
          <w:rFonts w:ascii="Times New Roman" w:hAnsi="Times New Roman" w:cs="Times New Roman"/>
          <w:sz w:val="22"/>
          <w:szCs w:val="22"/>
        </w:rPr>
        <w:t xml:space="preserve"> a prediction algorithm </w:t>
      </w:r>
      <w:r w:rsidR="006E7335" w:rsidRPr="00E82D23">
        <w:rPr>
          <w:rFonts w:ascii="Times New Roman" w:hAnsi="Times New Roman" w:cs="Times New Roman"/>
          <w:sz w:val="22"/>
          <w:szCs w:val="22"/>
        </w:rPr>
        <w:t xml:space="preserve">combining clinical </w:t>
      </w:r>
      <w:r w:rsidR="00A011D2" w:rsidRPr="00E82D23">
        <w:rPr>
          <w:rFonts w:ascii="Times New Roman" w:hAnsi="Times New Roman" w:cs="Times New Roman"/>
          <w:sz w:val="22"/>
          <w:szCs w:val="22"/>
        </w:rPr>
        <w:t xml:space="preserve">variables </w:t>
      </w:r>
      <w:r w:rsidR="006E7335" w:rsidRPr="00E82D23">
        <w:rPr>
          <w:rFonts w:ascii="Times New Roman" w:hAnsi="Times New Roman" w:cs="Times New Roman"/>
          <w:sz w:val="22"/>
          <w:szCs w:val="22"/>
        </w:rPr>
        <w:t>and biomarker</w:t>
      </w:r>
      <w:r w:rsidR="00A011D2" w:rsidRPr="00E82D23">
        <w:rPr>
          <w:rFonts w:ascii="Times New Roman" w:hAnsi="Times New Roman" w:cs="Times New Roman"/>
          <w:sz w:val="22"/>
          <w:szCs w:val="22"/>
        </w:rPr>
        <w:t xml:space="preserve">s </w:t>
      </w:r>
      <w:r w:rsidR="006E7335" w:rsidRPr="00E82D23">
        <w:rPr>
          <w:rFonts w:ascii="Times New Roman" w:hAnsi="Times New Roman" w:cs="Times New Roman"/>
          <w:sz w:val="22"/>
          <w:szCs w:val="22"/>
        </w:rPr>
        <w:t>from</w:t>
      </w:r>
      <w:r w:rsidRPr="00E82D23">
        <w:rPr>
          <w:rFonts w:ascii="Times New Roman" w:hAnsi="Times New Roman" w:cs="Times New Roman"/>
          <w:sz w:val="22"/>
          <w:szCs w:val="22"/>
        </w:rPr>
        <w:t xml:space="preserve"> 106 obese pregnant women </w:t>
      </w:r>
      <w:r w:rsidR="006E7335" w:rsidRPr="00E82D23">
        <w:rPr>
          <w:rFonts w:ascii="Times New Roman" w:hAnsi="Times New Roman" w:cs="Times New Roman"/>
          <w:sz w:val="22"/>
          <w:szCs w:val="22"/>
        </w:rPr>
        <w:t>who were recruited to</w:t>
      </w:r>
      <w:r w:rsidRPr="00E82D23">
        <w:rPr>
          <w:rFonts w:ascii="Times New Roman" w:hAnsi="Times New Roman" w:cs="Times New Roman"/>
          <w:sz w:val="22"/>
          <w:szCs w:val="22"/>
        </w:rPr>
        <w:t xml:space="preserve"> the pilot study of UPBEAT, an RCT of a behavioural (diet and physical activity) intervention. [</w:t>
      </w:r>
      <w:r w:rsidRPr="00E82D23">
        <w:rPr>
          <w:rFonts w:ascii="Times New Roman" w:hAnsi="Times New Roman" w:cs="Times New Roman"/>
          <w:noProof/>
          <w:sz w:val="22"/>
          <w:szCs w:val="22"/>
        </w:rPr>
        <w:t>1</w:t>
      </w:r>
      <w:r w:rsidR="00693D12" w:rsidRPr="00E82D23">
        <w:rPr>
          <w:rFonts w:ascii="Times New Roman" w:hAnsi="Times New Roman" w:cs="Times New Roman"/>
          <w:noProof/>
          <w:sz w:val="22"/>
          <w:szCs w:val="22"/>
        </w:rPr>
        <w:t>9</w:t>
      </w:r>
      <w:r w:rsidRPr="00E82D23">
        <w:rPr>
          <w:rFonts w:ascii="Times New Roman" w:hAnsi="Times New Roman" w:cs="Times New Roman"/>
          <w:noProof/>
          <w:sz w:val="22"/>
          <w:szCs w:val="22"/>
        </w:rPr>
        <w:t>]</w:t>
      </w:r>
      <w:r w:rsidRPr="00E82D23">
        <w:rPr>
          <w:rFonts w:ascii="Times New Roman" w:hAnsi="Times New Roman" w:cs="Times New Roman"/>
          <w:sz w:val="22"/>
          <w:szCs w:val="22"/>
        </w:rPr>
        <w:t xml:space="preserve"> The aim of the present study was to develop a simple, robust and easily accessible </w:t>
      </w:r>
      <w:r w:rsidR="00A011D2" w:rsidRPr="00E82D23">
        <w:rPr>
          <w:rFonts w:ascii="Times New Roman" w:hAnsi="Times New Roman" w:cs="Times New Roman"/>
          <w:sz w:val="22"/>
          <w:szCs w:val="22"/>
        </w:rPr>
        <w:t xml:space="preserve">GDM </w:t>
      </w:r>
      <w:r w:rsidRPr="00E82D23">
        <w:rPr>
          <w:rFonts w:ascii="Times New Roman" w:hAnsi="Times New Roman" w:cs="Times New Roman"/>
          <w:sz w:val="22"/>
          <w:szCs w:val="22"/>
        </w:rPr>
        <w:t>prediction tool designed specifically for obese women using the entire UPBEAT cohort</w:t>
      </w:r>
      <w:r w:rsidR="00A03BBC" w:rsidRPr="00E82D23">
        <w:rPr>
          <w:rFonts w:ascii="Times New Roman" w:hAnsi="Times New Roman" w:cs="Times New Roman"/>
          <w:sz w:val="22"/>
          <w:szCs w:val="22"/>
        </w:rPr>
        <w:t>,</w:t>
      </w:r>
      <w:r w:rsidRPr="00E82D23">
        <w:rPr>
          <w:rFonts w:ascii="Times New Roman" w:hAnsi="Times New Roman" w:cs="Times New Roman"/>
          <w:sz w:val="22"/>
          <w:szCs w:val="22"/>
        </w:rPr>
        <w:t xml:space="preserve"> </w:t>
      </w:r>
      <w:r w:rsidR="00A03BBC" w:rsidRPr="00E82D23">
        <w:rPr>
          <w:rFonts w:ascii="Times New Roman" w:hAnsi="Times New Roman" w:cs="Times New Roman"/>
          <w:sz w:val="22"/>
          <w:szCs w:val="22"/>
        </w:rPr>
        <w:t>with the intention</w:t>
      </w:r>
      <w:r w:rsidRPr="00E82D23">
        <w:rPr>
          <w:rFonts w:ascii="Times New Roman" w:hAnsi="Times New Roman" w:cs="Times New Roman"/>
          <w:sz w:val="22"/>
          <w:szCs w:val="22"/>
        </w:rPr>
        <w:t xml:space="preserve"> of facilitating early intervention in those women at the highest risk</w:t>
      </w:r>
      <w:r w:rsidR="00A011D2" w:rsidRPr="00E82D23">
        <w:rPr>
          <w:rFonts w:ascii="Times New Roman" w:hAnsi="Times New Roman" w:cs="Times New Roman"/>
          <w:sz w:val="22"/>
          <w:szCs w:val="22"/>
        </w:rPr>
        <w:t xml:space="preserve"> of the disorder</w:t>
      </w:r>
      <w:r w:rsidRPr="00E82D23">
        <w:rPr>
          <w:rFonts w:ascii="Times New Roman" w:hAnsi="Times New Roman" w:cs="Times New Roman"/>
          <w:sz w:val="22"/>
          <w:szCs w:val="22"/>
        </w:rPr>
        <w:t>.</w:t>
      </w:r>
      <w:r w:rsidR="00A011D2" w:rsidRPr="00E82D23">
        <w:rPr>
          <w:rFonts w:ascii="Times New Roman" w:hAnsi="Times New Roman" w:cs="Times New Roman"/>
          <w:sz w:val="22"/>
          <w:szCs w:val="22"/>
        </w:rPr>
        <w:t xml:space="preserve"> To achieve this aim we measured 21 biomarkers of biological relevance to GDM and a </w:t>
      </w:r>
      <w:r w:rsidR="00252350" w:rsidRPr="00E82D23">
        <w:rPr>
          <w:rFonts w:ascii="Times New Roman" w:hAnsi="Times New Roman" w:cs="Times New Roman"/>
          <w:sz w:val="22"/>
          <w:szCs w:val="22"/>
        </w:rPr>
        <w:t>targe</w:t>
      </w:r>
      <w:r w:rsidR="00A011D2" w:rsidRPr="00E82D23">
        <w:rPr>
          <w:rFonts w:ascii="Times New Roman" w:hAnsi="Times New Roman" w:cs="Times New Roman"/>
          <w:sz w:val="22"/>
          <w:szCs w:val="22"/>
        </w:rPr>
        <w:t xml:space="preserve">ted metabolome </w:t>
      </w:r>
      <w:r w:rsidR="00D83B6D" w:rsidRPr="00E82D23">
        <w:rPr>
          <w:rFonts w:ascii="Times New Roman" w:hAnsi="Times New Roman" w:cs="Times New Roman"/>
          <w:sz w:val="22"/>
          <w:szCs w:val="22"/>
        </w:rPr>
        <w:t>of 158 met</w:t>
      </w:r>
      <w:r w:rsidR="00656804" w:rsidRPr="00E82D23">
        <w:rPr>
          <w:rFonts w:ascii="Times New Roman" w:hAnsi="Times New Roman" w:cs="Times New Roman"/>
          <w:sz w:val="22"/>
          <w:szCs w:val="22"/>
        </w:rPr>
        <w:t>a</w:t>
      </w:r>
      <w:r w:rsidR="00D83B6D" w:rsidRPr="00E82D23">
        <w:rPr>
          <w:rFonts w:ascii="Times New Roman" w:hAnsi="Times New Roman" w:cs="Times New Roman"/>
          <w:sz w:val="22"/>
          <w:szCs w:val="22"/>
        </w:rPr>
        <w:t xml:space="preserve">bolites </w:t>
      </w:r>
      <w:r w:rsidR="00A011D2" w:rsidRPr="00E82D23">
        <w:rPr>
          <w:rFonts w:ascii="Times New Roman" w:hAnsi="Times New Roman" w:cs="Times New Roman"/>
          <w:sz w:val="22"/>
          <w:szCs w:val="22"/>
        </w:rPr>
        <w:t>in early pregnancy samples</w:t>
      </w:r>
      <w:r w:rsidR="00D83B6D" w:rsidRPr="00E82D23">
        <w:rPr>
          <w:rFonts w:ascii="Times New Roman" w:hAnsi="Times New Roman" w:cs="Times New Roman"/>
          <w:sz w:val="22"/>
          <w:szCs w:val="22"/>
        </w:rPr>
        <w:t xml:space="preserve"> from 1303</w:t>
      </w:r>
      <w:r w:rsidR="00A011D2" w:rsidRPr="00E82D23">
        <w:rPr>
          <w:rFonts w:ascii="Times New Roman" w:hAnsi="Times New Roman" w:cs="Times New Roman"/>
          <w:sz w:val="22"/>
          <w:szCs w:val="22"/>
        </w:rPr>
        <w:t xml:space="preserve"> women who were obese. Using statistical modelling to combine clinical variables and the best performing biomarkers we developed several prediction tools with potential for early pregnancy stratification for GDM risk.</w:t>
      </w:r>
    </w:p>
    <w:p w14:paraId="0D4C986E" w14:textId="77777777" w:rsidR="00347565" w:rsidRPr="00461751" w:rsidRDefault="00347565">
      <w:pPr>
        <w:spacing w:after="0" w:line="240" w:lineRule="auto"/>
        <w:rPr>
          <w:rFonts w:ascii="Times New Roman" w:hAnsi="Times New Roman" w:cs="Times New Roman"/>
          <w:b/>
        </w:rPr>
      </w:pPr>
      <w:r w:rsidRPr="00461751">
        <w:rPr>
          <w:rFonts w:ascii="Times New Roman" w:hAnsi="Times New Roman" w:cs="Times New Roman"/>
          <w:b/>
        </w:rPr>
        <w:br w:type="page"/>
      </w:r>
    </w:p>
    <w:p w14:paraId="60B6662E" w14:textId="74C1B4A1" w:rsidR="00784B70" w:rsidRPr="00461751" w:rsidRDefault="00784B70" w:rsidP="00CE77D8">
      <w:pPr>
        <w:pStyle w:val="Heading1"/>
        <w:spacing w:line="480" w:lineRule="auto"/>
      </w:pPr>
      <w:r w:rsidRPr="00461751">
        <w:lastRenderedPageBreak/>
        <w:t>M</w:t>
      </w:r>
      <w:r w:rsidR="002D74B3">
        <w:t>aterials and M</w:t>
      </w:r>
      <w:r w:rsidRPr="00461751">
        <w:t>ethods</w:t>
      </w:r>
    </w:p>
    <w:p w14:paraId="174192A2" w14:textId="5791EFE1" w:rsidR="00784B70" w:rsidRPr="00461751" w:rsidRDefault="00784B70" w:rsidP="00CE77D8">
      <w:pPr>
        <w:pStyle w:val="Heading2"/>
        <w:spacing w:line="480" w:lineRule="auto"/>
      </w:pPr>
      <w:r w:rsidRPr="00461751">
        <w:t xml:space="preserve">Study </w:t>
      </w:r>
      <w:r w:rsidR="00AA4991">
        <w:t>d</w:t>
      </w:r>
      <w:r w:rsidRPr="00461751">
        <w:t>esign</w:t>
      </w:r>
    </w:p>
    <w:p w14:paraId="0D8260D9" w14:textId="303D5031" w:rsidR="00784B70" w:rsidRPr="00E82D23" w:rsidRDefault="00426744" w:rsidP="00E82D23">
      <w:pPr>
        <w:spacing w:line="480" w:lineRule="auto"/>
        <w:jc w:val="both"/>
        <w:rPr>
          <w:rFonts w:ascii="Times New Roman" w:hAnsi="Times New Roman" w:cs="Times New Roman"/>
        </w:rPr>
      </w:pPr>
      <w:r w:rsidRPr="00E82D23">
        <w:rPr>
          <w:rFonts w:ascii="Times New Roman" w:hAnsi="Times New Roman" w:cs="Times New Roman"/>
        </w:rPr>
        <w:t xml:space="preserve">This </w:t>
      </w:r>
      <w:r w:rsidR="00C7502F">
        <w:rPr>
          <w:rFonts w:ascii="Times New Roman" w:hAnsi="Times New Roman" w:cs="Times New Roman"/>
          <w:sz w:val="24"/>
          <w:szCs w:val="24"/>
        </w:rPr>
        <w:t>was</w:t>
      </w:r>
      <w:r w:rsidR="00784B70" w:rsidRPr="00E82D23">
        <w:rPr>
          <w:rFonts w:ascii="Times New Roman" w:hAnsi="Times New Roman" w:cs="Times New Roman"/>
        </w:rPr>
        <w:t xml:space="preserve"> a prospective cohort study using clinical data and samples from the UPBEAT trial (ISRCTN 89971375), a multi-centre RCT of a complex dietary and physical activity intervention designed primarily to prevent GDM in obese women, and LGA in their offspring.</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00184514" w:rsidRPr="00E82D23">
        <w:rPr>
          <w:rFonts w:ascii="Times New Roman" w:hAnsi="Times New Roman" w:cs="Times New Roman"/>
          <w:noProof/>
        </w:rPr>
        <w:t>8</w:t>
      </w:r>
      <w:r w:rsidR="00131A40" w:rsidRPr="00E82D23">
        <w:rPr>
          <w:rFonts w:ascii="Times New Roman" w:hAnsi="Times New Roman" w:cs="Times New Roman"/>
          <w:noProof/>
        </w:rPr>
        <w:t>]</w:t>
      </w:r>
      <w:r w:rsidR="00784B70" w:rsidRPr="00E82D23">
        <w:rPr>
          <w:rFonts w:ascii="Times New Roman" w:hAnsi="Times New Roman" w:cs="Times New Roman"/>
        </w:rPr>
        <w:t xml:space="preserve"> </w:t>
      </w:r>
      <w:r w:rsidR="00041438" w:rsidRPr="008C7205">
        <w:rPr>
          <w:rFonts w:ascii="Times New Roman" w:hAnsi="Times New Roman" w:cs="Times New Roman"/>
        </w:rPr>
        <w:t>All participants</w:t>
      </w:r>
      <w:r w:rsidR="005A31E2">
        <w:rPr>
          <w:rFonts w:ascii="Times New Roman" w:hAnsi="Times New Roman" w:cs="Times New Roman"/>
        </w:rPr>
        <w:t>, including women aged 16 and 17 years (assessed as competent applying Fraser guidelines),</w:t>
      </w:r>
      <w:r w:rsidR="00041438" w:rsidRPr="008C7205">
        <w:rPr>
          <w:rFonts w:ascii="Times New Roman" w:hAnsi="Times New Roman" w:cs="Times New Roman"/>
        </w:rPr>
        <w:t xml:space="preserve"> provided informed written consent prior to taking part</w:t>
      </w:r>
      <w:r w:rsidR="005A31E2">
        <w:rPr>
          <w:rFonts w:ascii="Times New Roman" w:hAnsi="Times New Roman" w:cs="Times New Roman"/>
        </w:rPr>
        <w:t>.</w:t>
      </w:r>
      <w:r w:rsidR="00041438" w:rsidRPr="008C7205">
        <w:rPr>
          <w:rFonts w:ascii="Times New Roman" w:hAnsi="Times New Roman" w:cs="Times New Roman"/>
        </w:rPr>
        <w:t xml:space="preserve"> </w:t>
      </w:r>
      <w:r w:rsidR="005A31E2">
        <w:rPr>
          <w:rFonts w:ascii="Times New Roman" w:hAnsi="Times New Roman" w:cs="Times New Roman"/>
        </w:rPr>
        <w:t>T</w:t>
      </w:r>
      <w:r w:rsidR="00041438" w:rsidRPr="008C7205">
        <w:rPr>
          <w:rFonts w:ascii="Times New Roman" w:hAnsi="Times New Roman" w:cs="Times New Roman"/>
        </w:rPr>
        <w:t>his process together with all other aspects of the study was</w:t>
      </w:r>
      <w:r w:rsidR="00784B70" w:rsidRPr="00E82D23">
        <w:rPr>
          <w:rFonts w:ascii="Times New Roman" w:hAnsi="Times New Roman" w:cs="Times New Roman"/>
        </w:rPr>
        <w:t xml:space="preserve"> approved by the NHS Research Ethics Committee (UK Integrated Research Application System; reference 09/H0802/5). In brief, the UPBEAT cohort comprised 1555 women recruited between 2009 and 2014. Women &gt;16 years of age with a BMI of ≥30kg/m</w:t>
      </w:r>
      <w:r w:rsidR="00784B70" w:rsidRPr="00E82D23">
        <w:rPr>
          <w:rFonts w:ascii="Times New Roman" w:hAnsi="Times New Roman" w:cs="Times New Roman"/>
          <w:vertAlign w:val="superscript"/>
        </w:rPr>
        <w:t>2</w:t>
      </w:r>
      <w:r w:rsidR="00784B70" w:rsidRPr="00E82D23">
        <w:rPr>
          <w:rFonts w:ascii="Times New Roman" w:hAnsi="Times New Roman" w:cs="Times New Roman"/>
        </w:rPr>
        <w:t xml:space="preserve"> and a singleton pregnancy were randomised between 15</w:t>
      </w:r>
      <w:r w:rsidR="00784B70" w:rsidRPr="00E82D23">
        <w:rPr>
          <w:rFonts w:ascii="Times New Roman" w:hAnsi="Times New Roman" w:cs="Times New Roman"/>
          <w:vertAlign w:val="superscript"/>
        </w:rPr>
        <w:t>+0</w:t>
      </w:r>
      <w:r w:rsidR="00784B70" w:rsidRPr="00E82D23">
        <w:rPr>
          <w:rFonts w:ascii="Times New Roman" w:hAnsi="Times New Roman" w:cs="Times New Roman"/>
        </w:rPr>
        <w:t xml:space="preserve"> and 18</w:t>
      </w:r>
      <w:r w:rsidR="00784B70" w:rsidRPr="00E82D23">
        <w:rPr>
          <w:rFonts w:ascii="Times New Roman" w:hAnsi="Times New Roman" w:cs="Times New Roman"/>
          <w:vertAlign w:val="superscript"/>
        </w:rPr>
        <w:t xml:space="preserve">+6 </w:t>
      </w:r>
      <w:r w:rsidR="00784B70" w:rsidRPr="00E82D23">
        <w:rPr>
          <w:rFonts w:ascii="Times New Roman" w:hAnsi="Times New Roman" w:cs="Times New Roman"/>
        </w:rPr>
        <w:t>weeks’ gestation (trial entry) to either standard antenatal care or a physical activity and dietary behavioural intervention superimposed on standard antenatal care.</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00184514" w:rsidRPr="00E82D23">
        <w:rPr>
          <w:rFonts w:ascii="Times New Roman" w:hAnsi="Times New Roman" w:cs="Times New Roman"/>
          <w:noProof/>
        </w:rPr>
        <w:t>8</w:t>
      </w:r>
      <w:r w:rsidR="00784B70" w:rsidRPr="00E82D23">
        <w:rPr>
          <w:rFonts w:ascii="Times New Roman" w:hAnsi="Times New Roman" w:cs="Times New Roman"/>
          <w:noProof/>
        </w:rPr>
        <w:t xml:space="preserve">, </w:t>
      </w:r>
      <w:r w:rsidR="00184514" w:rsidRPr="00E82D23">
        <w:rPr>
          <w:rFonts w:ascii="Times New Roman" w:hAnsi="Times New Roman" w:cs="Times New Roman"/>
          <w:noProof/>
        </w:rPr>
        <w:t>20</w:t>
      </w:r>
      <w:r w:rsidR="00131A40" w:rsidRPr="00E82D23">
        <w:rPr>
          <w:rFonts w:ascii="Times New Roman" w:hAnsi="Times New Roman" w:cs="Times New Roman"/>
          <w:noProof/>
        </w:rPr>
        <w:t>]</w:t>
      </w:r>
      <w:r w:rsidR="00784B70" w:rsidRPr="00E82D23">
        <w:rPr>
          <w:rFonts w:ascii="Times New Roman" w:hAnsi="Times New Roman" w:cs="Times New Roman"/>
        </w:rPr>
        <w:t xml:space="preserve"> For the purposes of this analysis the trial was treated as a cohort study as the primary outcomes (GDM and LGA infants) did not differ between control and intervention groups.</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00184514" w:rsidRPr="00E82D23">
        <w:rPr>
          <w:rFonts w:ascii="Times New Roman" w:hAnsi="Times New Roman" w:cs="Times New Roman"/>
          <w:noProof/>
        </w:rPr>
        <w:t>8</w:t>
      </w:r>
      <w:r w:rsidR="00131A40" w:rsidRPr="00E82D23">
        <w:rPr>
          <w:rFonts w:ascii="Times New Roman" w:hAnsi="Times New Roman" w:cs="Times New Roman"/>
          <w:noProof/>
        </w:rPr>
        <w:t>]</w:t>
      </w:r>
    </w:p>
    <w:p w14:paraId="04BEB3D8" w14:textId="77777777" w:rsidR="00347565" w:rsidRDefault="00347565" w:rsidP="00E82D23">
      <w:pPr>
        <w:spacing w:line="480" w:lineRule="auto"/>
        <w:jc w:val="both"/>
        <w:rPr>
          <w:rFonts w:ascii="Times New Roman" w:hAnsi="Times New Roman" w:cs="Times New Roman"/>
          <w:sz w:val="24"/>
          <w:szCs w:val="24"/>
        </w:rPr>
      </w:pPr>
    </w:p>
    <w:p w14:paraId="5DCA12C3" w14:textId="77777777" w:rsidR="00784B70" w:rsidRPr="00461751" w:rsidRDefault="00784B70" w:rsidP="00CE77D8">
      <w:pPr>
        <w:pStyle w:val="Heading2"/>
        <w:spacing w:line="480" w:lineRule="auto"/>
      </w:pPr>
      <w:r w:rsidRPr="00461751">
        <w:t>Participants</w:t>
      </w:r>
    </w:p>
    <w:p w14:paraId="1F15DB6B" w14:textId="45FF4EEB" w:rsidR="004A7926" w:rsidRPr="00E82D23" w:rsidRDefault="00784B70" w:rsidP="00E82D23">
      <w:pPr>
        <w:spacing w:line="480" w:lineRule="auto"/>
        <w:jc w:val="both"/>
        <w:rPr>
          <w:rFonts w:ascii="Times New Roman" w:hAnsi="Times New Roman" w:cs="Times New Roman"/>
        </w:rPr>
      </w:pPr>
      <w:r w:rsidRPr="00E82D23">
        <w:rPr>
          <w:rFonts w:ascii="Times New Roman" w:hAnsi="Times New Roman" w:cs="Times New Roman"/>
        </w:rPr>
        <w:t xml:space="preserve">Participants were women recruited to the UPBEAT trial with </w:t>
      </w:r>
      <w:r w:rsidR="00A011D2" w:rsidRPr="00E82D23">
        <w:rPr>
          <w:rFonts w:ascii="Times New Roman" w:hAnsi="Times New Roman" w:cs="Times New Roman"/>
        </w:rPr>
        <w:t xml:space="preserve">available </w:t>
      </w:r>
      <w:r w:rsidRPr="00E82D23">
        <w:rPr>
          <w:rFonts w:ascii="Times New Roman" w:hAnsi="Times New Roman" w:cs="Times New Roman"/>
        </w:rPr>
        <w:t>OGTT data. The trial protocol stated that an OGTT would be performed between 27</w:t>
      </w:r>
      <w:r w:rsidRPr="00E82D23">
        <w:rPr>
          <w:rFonts w:ascii="Times New Roman" w:hAnsi="Times New Roman" w:cs="Times New Roman"/>
          <w:vertAlign w:val="superscript"/>
        </w:rPr>
        <w:t xml:space="preserve">+0 </w:t>
      </w:r>
      <w:r w:rsidRPr="00E82D23">
        <w:rPr>
          <w:rFonts w:ascii="Times New Roman" w:hAnsi="Times New Roman" w:cs="Times New Roman"/>
        </w:rPr>
        <w:t>and 28</w:t>
      </w:r>
      <w:r w:rsidRPr="00E82D23">
        <w:rPr>
          <w:rFonts w:ascii="Times New Roman" w:hAnsi="Times New Roman" w:cs="Times New Roman"/>
          <w:vertAlign w:val="superscript"/>
        </w:rPr>
        <w:t>+6</w:t>
      </w:r>
      <w:r w:rsidRPr="00E82D23">
        <w:rPr>
          <w:rFonts w:ascii="Times New Roman" w:hAnsi="Times New Roman" w:cs="Times New Roman"/>
        </w:rPr>
        <w:t xml:space="preserve"> weeks’. We adopted a clinically pragmatic approach and included all OGTTs in a wider time frame (23</w:t>
      </w:r>
      <w:r w:rsidRPr="00E82D23">
        <w:rPr>
          <w:rFonts w:ascii="Times New Roman" w:hAnsi="Times New Roman" w:cs="Times New Roman"/>
          <w:vertAlign w:val="superscript"/>
        </w:rPr>
        <w:t>+0</w:t>
      </w:r>
      <w:r w:rsidR="004A7926" w:rsidRPr="00E82D23">
        <w:rPr>
          <w:rFonts w:ascii="Times New Roman" w:hAnsi="Times New Roman" w:cs="Times New Roman"/>
          <w:vertAlign w:val="superscript"/>
        </w:rPr>
        <w:t xml:space="preserve"> </w:t>
      </w:r>
      <w:r w:rsidRPr="00E82D23">
        <w:rPr>
          <w:rFonts w:ascii="Times New Roman" w:hAnsi="Times New Roman" w:cs="Times New Roman"/>
        </w:rPr>
        <w:t>- 32</w:t>
      </w:r>
      <w:r w:rsidRPr="00E82D23">
        <w:rPr>
          <w:rFonts w:ascii="Times New Roman" w:hAnsi="Times New Roman" w:cs="Times New Roman"/>
          <w:vertAlign w:val="superscript"/>
        </w:rPr>
        <w:t xml:space="preserve">+6 </w:t>
      </w:r>
      <w:r w:rsidRPr="00E82D23">
        <w:rPr>
          <w:rFonts w:ascii="Times New Roman" w:hAnsi="Times New Roman" w:cs="Times New Roman"/>
        </w:rPr>
        <w:t>weeks’; mean 27</w:t>
      </w:r>
      <w:r w:rsidRPr="00E82D23">
        <w:rPr>
          <w:rFonts w:ascii="Times New Roman" w:hAnsi="Times New Roman" w:cs="Times New Roman"/>
          <w:vertAlign w:val="superscript"/>
        </w:rPr>
        <w:t>+5</w:t>
      </w:r>
      <w:r w:rsidRPr="00E82D23">
        <w:rPr>
          <w:rFonts w:ascii="Times New Roman" w:hAnsi="Times New Roman" w:cs="Times New Roman"/>
        </w:rPr>
        <w:t>). Two individuals were excluded; one because of a positive early OGTT (13</w:t>
      </w:r>
      <w:r w:rsidRPr="00E82D23">
        <w:rPr>
          <w:rFonts w:ascii="Times New Roman" w:hAnsi="Times New Roman" w:cs="Times New Roman"/>
          <w:vertAlign w:val="superscript"/>
        </w:rPr>
        <w:t>+5</w:t>
      </w:r>
      <w:r w:rsidRPr="00E82D23">
        <w:rPr>
          <w:rFonts w:ascii="Times New Roman" w:hAnsi="Times New Roman" w:cs="Times New Roman"/>
        </w:rPr>
        <w:t xml:space="preserve"> weeks’), and the second because </w:t>
      </w:r>
      <w:r w:rsidR="003D5BC5" w:rsidRPr="00E82D23">
        <w:rPr>
          <w:rFonts w:ascii="Times New Roman" w:hAnsi="Times New Roman" w:cs="Times New Roman"/>
        </w:rPr>
        <w:t xml:space="preserve">of an uninterpretable OGTT result. </w:t>
      </w:r>
    </w:p>
    <w:p w14:paraId="30AFE133" w14:textId="77777777" w:rsidR="00347565" w:rsidRDefault="00347565" w:rsidP="00E82D23">
      <w:pPr>
        <w:spacing w:line="480" w:lineRule="auto"/>
        <w:jc w:val="both"/>
        <w:rPr>
          <w:rFonts w:ascii="Times New Roman" w:hAnsi="Times New Roman" w:cs="Times New Roman"/>
          <w:sz w:val="24"/>
          <w:szCs w:val="24"/>
        </w:rPr>
      </w:pPr>
    </w:p>
    <w:p w14:paraId="572B3E23" w14:textId="77777777" w:rsidR="00784B70" w:rsidRPr="00461751" w:rsidRDefault="00784B70" w:rsidP="00CE77D8">
      <w:pPr>
        <w:pStyle w:val="Heading2"/>
        <w:spacing w:line="480" w:lineRule="auto"/>
      </w:pPr>
      <w:r w:rsidRPr="00461751">
        <w:lastRenderedPageBreak/>
        <w:t>Procedures</w:t>
      </w:r>
    </w:p>
    <w:p w14:paraId="4276E2CE" w14:textId="234C1459" w:rsidR="00784B70" w:rsidRPr="00E82D23" w:rsidRDefault="00784B70" w:rsidP="00E82D23">
      <w:pPr>
        <w:spacing w:line="480" w:lineRule="auto"/>
        <w:jc w:val="both"/>
        <w:rPr>
          <w:rFonts w:ascii="Times New Roman" w:hAnsi="Times New Roman" w:cs="Times New Roman"/>
        </w:rPr>
      </w:pPr>
      <w:r w:rsidRPr="00E82D23">
        <w:rPr>
          <w:rFonts w:ascii="Times New Roman" w:hAnsi="Times New Roman" w:cs="Times New Roman"/>
        </w:rPr>
        <w:t>At trial entry (</w:t>
      </w:r>
      <w:r w:rsidR="00445FE6" w:rsidRPr="00E82D23">
        <w:rPr>
          <w:rFonts w:ascii="Times New Roman" w:hAnsi="Times New Roman" w:cs="Times New Roman"/>
        </w:rPr>
        <w:t>mean 17</w:t>
      </w:r>
      <w:r w:rsidR="00445FE6" w:rsidRPr="00E82D23">
        <w:rPr>
          <w:rFonts w:ascii="Times New Roman" w:hAnsi="Times New Roman" w:cs="Times New Roman"/>
          <w:vertAlign w:val="superscript"/>
        </w:rPr>
        <w:t>+0</w:t>
      </w:r>
      <w:r w:rsidR="00CD1E35" w:rsidRPr="00E82D23">
        <w:rPr>
          <w:rFonts w:ascii="Times New Roman" w:hAnsi="Times New Roman" w:cs="Times New Roman"/>
        </w:rPr>
        <w:t xml:space="preserve"> weeks’</w:t>
      </w:r>
      <w:r w:rsidR="003E78E0" w:rsidRPr="00E82D23">
        <w:rPr>
          <w:rFonts w:ascii="Times New Roman" w:hAnsi="Times New Roman" w:cs="Times New Roman"/>
        </w:rPr>
        <w:t xml:space="preserve">) </w:t>
      </w:r>
      <w:r w:rsidRPr="00E82D23">
        <w:rPr>
          <w:rFonts w:ascii="Times New Roman" w:hAnsi="Times New Roman" w:cs="Times New Roman"/>
        </w:rPr>
        <w:t>clinical data including socio-demographic and clinical characteristics, medical and family history, and information about the index pregnancy were recorded and non-fasting blood samples taken. Blood (whole blood, plasma and serum) was kept on ice, processed within 2 hours and stored at -80</w:t>
      </w:r>
      <w:r w:rsidRPr="00E82D23">
        <w:rPr>
          <w:rFonts w:ascii="Times New Roman" w:hAnsi="Times New Roman" w:cs="Times New Roman"/>
          <w:vertAlign w:val="superscript"/>
        </w:rPr>
        <w:t>◦</w:t>
      </w:r>
      <w:r w:rsidRPr="00E82D23">
        <w:rPr>
          <w:rFonts w:ascii="Times New Roman" w:hAnsi="Times New Roman" w:cs="Times New Roman"/>
        </w:rPr>
        <w:t xml:space="preserve">C.  The diagnosis of GDM was according to IADPSG </w:t>
      </w:r>
      <w:r w:rsidR="00D51965" w:rsidRPr="00E82D23">
        <w:rPr>
          <w:rFonts w:ascii="Times New Roman" w:hAnsi="Times New Roman" w:cs="Times New Roman"/>
        </w:rPr>
        <w:t>(Internation</w:t>
      </w:r>
      <w:r w:rsidR="00967D04" w:rsidRPr="00E82D23">
        <w:rPr>
          <w:rFonts w:ascii="Times New Roman" w:hAnsi="Times New Roman" w:cs="Times New Roman"/>
        </w:rPr>
        <w:t>al</w:t>
      </w:r>
      <w:r w:rsidR="00D51965" w:rsidRPr="00E82D23">
        <w:rPr>
          <w:rFonts w:ascii="Times New Roman" w:hAnsi="Times New Roman" w:cs="Times New Roman"/>
        </w:rPr>
        <w:t xml:space="preserve"> Association of Diabetes and Pregnancy Study Groups) </w:t>
      </w:r>
      <w:r w:rsidRPr="00E82D23">
        <w:rPr>
          <w:rFonts w:ascii="Times New Roman" w:hAnsi="Times New Roman" w:cs="Times New Roman"/>
        </w:rPr>
        <w:t>criteria, with one or more positive plasma glucose values; fasting ≥5</w:t>
      </w:r>
      <w:r w:rsidR="000E7208" w:rsidRPr="00E82D23">
        <w:rPr>
          <w:rFonts w:ascii="Times New Roman" w:hAnsi="Times New Roman" w:cs="Times New Roman"/>
        </w:rPr>
        <w:t>.</w:t>
      </w:r>
      <w:r w:rsidRPr="00E82D23">
        <w:rPr>
          <w:rFonts w:ascii="Times New Roman" w:hAnsi="Times New Roman" w:cs="Times New Roman"/>
        </w:rPr>
        <w:t>1 mmol/l, 1 hour ≥10</w:t>
      </w:r>
      <w:r w:rsidR="000E7208" w:rsidRPr="00E82D23">
        <w:rPr>
          <w:rFonts w:ascii="Times New Roman" w:hAnsi="Times New Roman" w:cs="Times New Roman"/>
        </w:rPr>
        <w:t>.</w:t>
      </w:r>
      <w:r w:rsidRPr="00E82D23">
        <w:rPr>
          <w:rFonts w:ascii="Times New Roman" w:hAnsi="Times New Roman" w:cs="Times New Roman"/>
        </w:rPr>
        <w:t>0 mmol/l, 2 hour ≥8</w:t>
      </w:r>
      <w:r w:rsidR="000E7208" w:rsidRPr="00E82D23">
        <w:rPr>
          <w:rFonts w:ascii="Times New Roman" w:hAnsi="Times New Roman" w:cs="Times New Roman"/>
        </w:rPr>
        <w:t>.</w:t>
      </w:r>
      <w:r w:rsidRPr="00E82D23">
        <w:rPr>
          <w:rFonts w:ascii="Times New Roman" w:hAnsi="Times New Roman" w:cs="Times New Roman"/>
        </w:rPr>
        <w:t>5 mmol/l, following a 75g oral glucose load.</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Pr="00E82D23">
        <w:rPr>
          <w:rFonts w:ascii="Times New Roman" w:hAnsi="Times New Roman" w:cs="Times New Roman"/>
          <w:noProof/>
        </w:rPr>
        <w:t>2</w:t>
      </w:r>
      <w:r w:rsidR="00184514" w:rsidRPr="00E82D23">
        <w:rPr>
          <w:rFonts w:ascii="Times New Roman" w:hAnsi="Times New Roman" w:cs="Times New Roman"/>
          <w:noProof/>
        </w:rPr>
        <w:t>1</w:t>
      </w:r>
      <w:r w:rsidR="00131A40" w:rsidRPr="00E82D23">
        <w:rPr>
          <w:rFonts w:ascii="Times New Roman" w:hAnsi="Times New Roman" w:cs="Times New Roman"/>
          <w:noProof/>
        </w:rPr>
        <w:t>]</w:t>
      </w:r>
      <w:r w:rsidRPr="00E82D23">
        <w:rPr>
          <w:rFonts w:ascii="Times New Roman" w:hAnsi="Times New Roman" w:cs="Times New Roman"/>
        </w:rPr>
        <w:t xml:space="preserve"> </w:t>
      </w:r>
    </w:p>
    <w:p w14:paraId="5AEE1D88" w14:textId="77777777" w:rsidR="00347565" w:rsidRPr="00461751" w:rsidRDefault="00347565" w:rsidP="00E82D23">
      <w:pPr>
        <w:spacing w:line="480" w:lineRule="auto"/>
        <w:jc w:val="both"/>
        <w:rPr>
          <w:rFonts w:ascii="Times New Roman" w:hAnsi="Times New Roman" w:cs="Times New Roman"/>
        </w:rPr>
      </w:pPr>
    </w:p>
    <w:p w14:paraId="0B9530FC" w14:textId="4F6CFE96" w:rsidR="00784B70" w:rsidRPr="00E82D23" w:rsidRDefault="00784B70" w:rsidP="00E82D23">
      <w:pPr>
        <w:spacing w:line="480" w:lineRule="auto"/>
        <w:jc w:val="both"/>
        <w:rPr>
          <w:rFonts w:ascii="Times New Roman" w:hAnsi="Times New Roman" w:cs="Times New Roman"/>
        </w:rPr>
      </w:pPr>
      <w:r w:rsidRPr="00E82D23">
        <w:rPr>
          <w:rFonts w:ascii="Times New Roman" w:hAnsi="Times New Roman" w:cs="Times New Roman"/>
        </w:rPr>
        <w:t xml:space="preserve">Three sets of analyses contributed to development of the prediction tools; Model 1 - clinical and demographic variables (clinical tool), Model 2 - the clinical tool with addition of candidate biomarkers, and Model 3 - addition of a targeted nuclear magnetic resonance (NMR) metabolome to Model 2. The rationale was to develop the ‘simplest’ accurate tool. The selection of clinical variables was based on </w:t>
      </w:r>
      <w:r w:rsidRPr="00E82D23">
        <w:rPr>
          <w:rFonts w:ascii="Times New Roman" w:hAnsi="Times New Roman" w:cs="Times New Roman"/>
          <w:i/>
        </w:rPr>
        <w:t>a-priori</w:t>
      </w:r>
      <w:r w:rsidRPr="00E82D23">
        <w:rPr>
          <w:rFonts w:ascii="Times New Roman" w:hAnsi="Times New Roman" w:cs="Times New Roman"/>
        </w:rPr>
        <w:t xml:space="preserve"> knowledge of plausible association with GDM including age, ethnicity, socioeconomic status (Index of Multiple Deprivation</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00184514" w:rsidRPr="00E82D23">
        <w:rPr>
          <w:rFonts w:ascii="Times New Roman" w:hAnsi="Times New Roman" w:cs="Times New Roman"/>
          <w:noProof/>
        </w:rPr>
        <w:t>8</w:t>
      </w:r>
      <w:r w:rsidR="00131A40" w:rsidRPr="00E82D23">
        <w:rPr>
          <w:rFonts w:ascii="Times New Roman" w:hAnsi="Times New Roman" w:cs="Times New Roman"/>
        </w:rPr>
        <w:t>]</w:t>
      </w:r>
      <w:r w:rsidRPr="00E82D23">
        <w:rPr>
          <w:rFonts w:ascii="Times New Roman" w:hAnsi="Times New Roman" w:cs="Times New Roman"/>
        </w:rPr>
        <w:t>), parity, BMI, previous GDM, family history (first degree relative with hypertension, ischaemic heart disease, GDM or type 2 diabetes</w:t>
      </w:r>
      <w:r w:rsidR="000A3E11" w:rsidRPr="00E82D23">
        <w:rPr>
          <w:rFonts w:ascii="Times New Roman" w:hAnsi="Times New Roman" w:cs="Times New Roman"/>
        </w:rPr>
        <w:t xml:space="preserve"> mellitus</w:t>
      </w:r>
      <w:r w:rsidRPr="00E82D23">
        <w:rPr>
          <w:rFonts w:ascii="Times New Roman" w:hAnsi="Times New Roman" w:cs="Times New Roman"/>
        </w:rPr>
        <w:t>)</w:t>
      </w:r>
      <w:r w:rsidR="00212A04" w:rsidRPr="00E82D23">
        <w:rPr>
          <w:rFonts w:ascii="Times New Roman" w:hAnsi="Times New Roman" w:cs="Times New Roman"/>
        </w:rPr>
        <w:t>,</w:t>
      </w:r>
      <w:r w:rsidRPr="00E82D23">
        <w:rPr>
          <w:rFonts w:ascii="Times New Roman" w:hAnsi="Times New Roman" w:cs="Times New Roman"/>
        </w:rPr>
        <w:t xml:space="preserve"> polycystic ovarian syndrome (self-reported) and smoking (</w:t>
      </w:r>
      <w:r w:rsidR="00426744" w:rsidRPr="00E82D23">
        <w:rPr>
          <w:rFonts w:ascii="Times New Roman" w:hAnsi="Times New Roman" w:cs="Times New Roman"/>
        </w:rPr>
        <w:t>at trial entry</w:t>
      </w:r>
      <w:r w:rsidRPr="00E82D23">
        <w:rPr>
          <w:rFonts w:ascii="Times New Roman" w:hAnsi="Times New Roman" w:cs="Times New Roman"/>
        </w:rPr>
        <w:t xml:space="preserve">). Maternal anthropometric data and </w:t>
      </w:r>
      <w:r w:rsidR="004C3157" w:rsidRPr="00E82D23">
        <w:rPr>
          <w:rFonts w:ascii="Times New Roman" w:hAnsi="Times New Roman" w:cs="Times New Roman"/>
        </w:rPr>
        <w:t>blood pressure (</w:t>
      </w:r>
      <w:r w:rsidR="004A301E" w:rsidRPr="00E82D23">
        <w:rPr>
          <w:rFonts w:ascii="Times New Roman" w:hAnsi="Times New Roman" w:cs="Times New Roman"/>
        </w:rPr>
        <w:t>BP</w:t>
      </w:r>
      <w:r w:rsidR="004C3157" w:rsidRPr="00E82D23">
        <w:rPr>
          <w:rFonts w:ascii="Times New Roman" w:hAnsi="Times New Roman" w:cs="Times New Roman"/>
        </w:rPr>
        <w:t>)</w:t>
      </w:r>
      <w:r w:rsidR="00131A40" w:rsidRPr="00E82D23">
        <w:rPr>
          <w:rFonts w:ascii="Times New Roman" w:hAnsi="Times New Roman" w:cs="Times New Roman"/>
        </w:rPr>
        <w:t xml:space="preserve"> </w:t>
      </w:r>
      <w:r w:rsidRPr="00E82D23">
        <w:rPr>
          <w:rFonts w:ascii="Times New Roman" w:hAnsi="Times New Roman" w:cs="Times New Roman"/>
        </w:rPr>
        <w:t>measurements were undertaken by staff</w:t>
      </w:r>
      <w:r w:rsidR="00C7502F">
        <w:rPr>
          <w:rFonts w:ascii="Times New Roman" w:hAnsi="Times New Roman" w:cs="Times New Roman"/>
          <w:sz w:val="24"/>
          <w:szCs w:val="24"/>
        </w:rPr>
        <w:t xml:space="preserve"> </w:t>
      </w:r>
      <w:r w:rsidR="00C7502F" w:rsidRPr="008C7205">
        <w:rPr>
          <w:rFonts w:ascii="Times New Roman" w:hAnsi="Times New Roman" w:cs="Times New Roman"/>
        </w:rPr>
        <w:t xml:space="preserve">trained </w:t>
      </w:r>
      <w:r w:rsidR="00FF6E13" w:rsidRPr="008C7205">
        <w:rPr>
          <w:rFonts w:ascii="Times New Roman" w:hAnsi="Times New Roman" w:cs="Times New Roman"/>
        </w:rPr>
        <w:t>in these measurements</w:t>
      </w:r>
      <w:r w:rsidRPr="008C7205">
        <w:rPr>
          <w:rFonts w:ascii="Times New Roman" w:hAnsi="Times New Roman" w:cs="Times New Roman"/>
        </w:rPr>
        <w:t>.</w:t>
      </w:r>
      <w:r w:rsidRPr="00E82D23">
        <w:rPr>
          <w:rFonts w:ascii="Times New Roman" w:hAnsi="Times New Roman" w:cs="Times New Roman"/>
        </w:rPr>
        <w:t xml:space="preserve"> Maternal skinfold thicknesses (triceps, biceps, suprailiac and subscapular) were measured in triplicate, using Harpenden skinfold Calipers (Holtain Ltd, Felin-y-Gigfran, Crosswell, UK).</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Pr="00E82D23">
        <w:rPr>
          <w:rFonts w:ascii="Times New Roman" w:hAnsi="Times New Roman" w:cs="Times New Roman"/>
          <w:noProof/>
        </w:rPr>
        <w:t>2</w:t>
      </w:r>
      <w:r w:rsidR="00184514" w:rsidRPr="00E82D23">
        <w:rPr>
          <w:rFonts w:ascii="Times New Roman" w:hAnsi="Times New Roman" w:cs="Times New Roman"/>
          <w:noProof/>
        </w:rPr>
        <w:t>2</w:t>
      </w:r>
      <w:r w:rsidR="00131A40" w:rsidRPr="00E82D23">
        <w:rPr>
          <w:rFonts w:ascii="Times New Roman" w:hAnsi="Times New Roman" w:cs="Times New Roman"/>
          <w:noProof/>
        </w:rPr>
        <w:t>]</w:t>
      </w:r>
      <w:r w:rsidRPr="00E82D23">
        <w:rPr>
          <w:rFonts w:ascii="Times New Roman" w:hAnsi="Times New Roman" w:cs="Times New Roman"/>
        </w:rPr>
        <w:t xml:space="preserve"> The mean of the three measurements was used for analyses. Maternal circumferences (waist, hip, thigh, neck, mid</w:t>
      </w:r>
      <w:r w:rsidR="00674FD1" w:rsidRPr="00E82D23">
        <w:rPr>
          <w:rFonts w:ascii="Times New Roman" w:hAnsi="Times New Roman" w:cs="Times New Roman"/>
        </w:rPr>
        <w:t>-</w:t>
      </w:r>
      <w:r w:rsidRPr="00E82D23">
        <w:rPr>
          <w:rFonts w:ascii="Times New Roman" w:hAnsi="Times New Roman" w:cs="Times New Roman"/>
        </w:rPr>
        <w:t>arm and wrist) were measured using a calibrated plastic tape; waist – midway between iliac crest and inferior margin of lowest rib; hip – maximum diameter over buttocks; thigh – maximum diameter; neck – midway between mid-cervical spine and mid-anterior neck; mid</w:t>
      </w:r>
      <w:r w:rsidR="00674FD1" w:rsidRPr="00E82D23">
        <w:rPr>
          <w:rFonts w:ascii="Times New Roman" w:hAnsi="Times New Roman" w:cs="Times New Roman"/>
        </w:rPr>
        <w:t>-</w:t>
      </w:r>
      <w:r w:rsidRPr="00E82D23">
        <w:rPr>
          <w:rFonts w:ascii="Times New Roman" w:hAnsi="Times New Roman" w:cs="Times New Roman"/>
        </w:rPr>
        <w:t>arm – diameter midway between elbow and edge of the acromion with arm held straight; wrist –</w:t>
      </w:r>
      <w:r w:rsidR="00212A04" w:rsidRPr="00E82D23">
        <w:rPr>
          <w:rFonts w:ascii="Times New Roman" w:hAnsi="Times New Roman" w:cs="Times New Roman"/>
        </w:rPr>
        <w:t xml:space="preserve"> </w:t>
      </w:r>
      <w:r w:rsidRPr="00E82D23">
        <w:rPr>
          <w:rFonts w:ascii="Times New Roman" w:hAnsi="Times New Roman" w:cs="Times New Roman"/>
        </w:rPr>
        <w:t xml:space="preserve">narrowest point around wrist inferior to radial promontory. </w:t>
      </w:r>
      <w:r w:rsidR="004A301E" w:rsidRPr="00E82D23">
        <w:rPr>
          <w:rFonts w:ascii="Times New Roman" w:hAnsi="Times New Roman" w:cs="Times New Roman"/>
        </w:rPr>
        <w:t>BP</w:t>
      </w:r>
      <w:r w:rsidR="00131A40" w:rsidRPr="00E82D23">
        <w:rPr>
          <w:rFonts w:ascii="Times New Roman" w:hAnsi="Times New Roman" w:cs="Times New Roman"/>
        </w:rPr>
        <w:t xml:space="preserve"> </w:t>
      </w:r>
      <w:r w:rsidRPr="00E82D23">
        <w:rPr>
          <w:rFonts w:ascii="Times New Roman" w:hAnsi="Times New Roman" w:cs="Times New Roman"/>
        </w:rPr>
        <w:t>was recorded using the pregnancy validated Microlife BP3BT0-A blood pressure monitor (Microlife, Widnau, Switzerland).</w:t>
      </w:r>
    </w:p>
    <w:p w14:paraId="3A6C0E0D" w14:textId="77777777" w:rsidR="00347565" w:rsidRPr="00461751" w:rsidRDefault="00347565" w:rsidP="00E82D23">
      <w:pPr>
        <w:spacing w:line="480" w:lineRule="auto"/>
        <w:jc w:val="both"/>
        <w:rPr>
          <w:rFonts w:ascii="Times New Roman" w:hAnsi="Times New Roman" w:cs="Times New Roman"/>
        </w:rPr>
      </w:pPr>
    </w:p>
    <w:p w14:paraId="092385E3" w14:textId="79CAAC21" w:rsidR="00784B70" w:rsidRPr="00E82D23" w:rsidRDefault="00784B70" w:rsidP="00E82D23">
      <w:pPr>
        <w:spacing w:line="480" w:lineRule="auto"/>
        <w:jc w:val="both"/>
        <w:rPr>
          <w:rFonts w:ascii="Times New Roman" w:hAnsi="Times New Roman" w:cs="Times New Roman"/>
        </w:rPr>
      </w:pPr>
      <w:r w:rsidRPr="00E82D23">
        <w:rPr>
          <w:rFonts w:ascii="Times New Roman" w:hAnsi="Times New Roman" w:cs="Times New Roman"/>
        </w:rPr>
        <w:t xml:space="preserve">The candidate biomarkers included 21 </w:t>
      </w:r>
      <w:r w:rsidR="00C802EA" w:rsidRPr="00E82D23">
        <w:rPr>
          <w:rFonts w:ascii="Times New Roman" w:hAnsi="Times New Roman" w:cs="Times New Roman"/>
        </w:rPr>
        <w:t>analytes</w:t>
      </w:r>
      <w:r w:rsidRPr="00E82D23">
        <w:rPr>
          <w:rFonts w:ascii="Times New Roman" w:hAnsi="Times New Roman" w:cs="Times New Roman"/>
        </w:rPr>
        <w:t xml:space="preserve"> with </w:t>
      </w:r>
      <w:r w:rsidRPr="00E82D23">
        <w:rPr>
          <w:rFonts w:ascii="Times New Roman" w:hAnsi="Times New Roman" w:cs="Times New Roman"/>
          <w:i/>
        </w:rPr>
        <w:t>a-priori</w:t>
      </w:r>
      <w:r w:rsidRPr="00E82D23">
        <w:rPr>
          <w:rFonts w:ascii="Times New Roman" w:hAnsi="Times New Roman" w:cs="Times New Roman"/>
        </w:rPr>
        <w:t xml:space="preserve"> associations with insulin resistance, GDM or </w:t>
      </w:r>
      <w:r w:rsidR="00535057" w:rsidRPr="00E82D23">
        <w:rPr>
          <w:rFonts w:ascii="Times New Roman" w:hAnsi="Times New Roman" w:cs="Times New Roman"/>
        </w:rPr>
        <w:t>type 2 diabetes</w:t>
      </w:r>
      <w:r w:rsidR="000A3E11" w:rsidRPr="00E82D23">
        <w:rPr>
          <w:rFonts w:ascii="Times New Roman" w:hAnsi="Times New Roman" w:cs="Times New Roman"/>
        </w:rPr>
        <w:t xml:space="preserve"> mellitus</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00D45D97" w:rsidRPr="00E82D23">
        <w:rPr>
          <w:rFonts w:ascii="Times New Roman" w:hAnsi="Times New Roman" w:cs="Times New Roman"/>
          <w:noProof/>
        </w:rPr>
        <w:t>2</w:t>
      </w:r>
      <w:r w:rsidR="00184514" w:rsidRPr="00E82D23">
        <w:rPr>
          <w:rFonts w:ascii="Times New Roman" w:hAnsi="Times New Roman" w:cs="Times New Roman"/>
          <w:noProof/>
        </w:rPr>
        <w:t>3</w:t>
      </w:r>
      <w:r w:rsidR="00131A40" w:rsidRPr="00E82D23">
        <w:rPr>
          <w:rFonts w:ascii="Times New Roman" w:hAnsi="Times New Roman" w:cs="Times New Roman"/>
          <w:noProof/>
        </w:rPr>
        <w:t>]</w:t>
      </w:r>
      <w:r w:rsidRPr="00E82D23">
        <w:rPr>
          <w:rFonts w:ascii="Times New Roman" w:hAnsi="Times New Roman" w:cs="Times New Roman"/>
        </w:rPr>
        <w:t>:</w:t>
      </w:r>
      <w:r w:rsidR="00D45D97" w:rsidRPr="00E82D23">
        <w:rPr>
          <w:rFonts w:ascii="Times New Roman" w:hAnsi="Times New Roman" w:cs="Times New Roman"/>
        </w:rPr>
        <w:t xml:space="preserve"> </w:t>
      </w:r>
      <w:r w:rsidRPr="00E82D23">
        <w:rPr>
          <w:rFonts w:ascii="Times New Roman" w:hAnsi="Times New Roman" w:cs="Times New Roman"/>
        </w:rPr>
        <w:t>adipokines (adiponectin and leptin); inflammatory and endothelial markers (</w:t>
      </w:r>
      <w:r w:rsidR="00BC1001">
        <w:rPr>
          <w:rFonts w:ascii="Times New Roman" w:hAnsi="Times New Roman" w:cs="Times New Roman"/>
        </w:rPr>
        <w:t>i</w:t>
      </w:r>
      <w:r w:rsidRPr="00E82D23">
        <w:rPr>
          <w:rFonts w:ascii="Times New Roman" w:hAnsi="Times New Roman" w:cs="Times New Roman"/>
        </w:rPr>
        <w:t>nterleukin-6, high sensitivity C-reactive protein and</w:t>
      </w:r>
      <w:r w:rsidR="006418F0" w:rsidRPr="00E82D23">
        <w:rPr>
          <w:rFonts w:ascii="Times New Roman" w:hAnsi="Times New Roman" w:cs="Times New Roman"/>
        </w:rPr>
        <w:t xml:space="preserve"> </w:t>
      </w:r>
      <w:r w:rsidR="006418F0" w:rsidRPr="00E82D23">
        <w:rPr>
          <w:rStyle w:val="Hyperlink"/>
          <w:rFonts w:ascii="Times New Roman" w:hAnsi="Times New Roman" w:cs="Times New Roman"/>
          <w:color w:val="auto"/>
          <w:u w:val="none"/>
        </w:rPr>
        <w:t xml:space="preserve">tissue </w:t>
      </w:r>
      <w:r w:rsidR="00BC1001">
        <w:rPr>
          <w:rStyle w:val="Hyperlink"/>
          <w:rFonts w:ascii="Times New Roman" w:hAnsi="Times New Roman" w:cs="Times New Roman"/>
          <w:color w:val="auto"/>
          <w:u w:val="none"/>
        </w:rPr>
        <w:t>p</w:t>
      </w:r>
      <w:r w:rsidR="006418F0" w:rsidRPr="00E82D23">
        <w:rPr>
          <w:rStyle w:val="Hyperlink"/>
          <w:rFonts w:ascii="Times New Roman" w:hAnsi="Times New Roman" w:cs="Times New Roman"/>
          <w:color w:val="auto"/>
          <w:u w:val="none"/>
        </w:rPr>
        <w:t xml:space="preserve">lasminogen </w:t>
      </w:r>
      <w:r w:rsidR="00BC1001">
        <w:rPr>
          <w:rStyle w:val="Hyperlink"/>
          <w:rFonts w:ascii="Times New Roman" w:hAnsi="Times New Roman" w:cs="Times New Roman"/>
          <w:color w:val="auto"/>
          <w:u w:val="none"/>
        </w:rPr>
        <w:t>a</w:t>
      </w:r>
      <w:r w:rsidR="006418F0" w:rsidRPr="00E82D23">
        <w:rPr>
          <w:rStyle w:val="Hyperlink"/>
          <w:rFonts w:ascii="Times New Roman" w:hAnsi="Times New Roman" w:cs="Times New Roman"/>
          <w:color w:val="auto"/>
          <w:u w:val="none"/>
        </w:rPr>
        <w:t>ctivator antigen</w:t>
      </w:r>
      <w:r w:rsidRPr="00E82D23">
        <w:rPr>
          <w:rFonts w:ascii="Times New Roman" w:hAnsi="Times New Roman" w:cs="Times New Roman"/>
        </w:rPr>
        <w:t xml:space="preserve">); lipids (triglycerides, total cholesterol, LDL cholesterol and HDL cholesterol); liver associated markers (aspartate aminotransferase, alanine aminotransferase, gamma-glutamyl transferase, sex hormone binding globulin (SHBG), and ferritin); markers of glucose homeostasis (glucose, insulin, </w:t>
      </w:r>
      <w:r w:rsidR="00BC1001">
        <w:rPr>
          <w:rFonts w:ascii="Times New Roman" w:hAnsi="Times New Roman" w:cs="Times New Roman"/>
        </w:rPr>
        <w:t>h</w:t>
      </w:r>
      <w:r w:rsidR="005F3E6E" w:rsidRPr="00E82D23">
        <w:rPr>
          <w:rFonts w:ascii="Times New Roman" w:hAnsi="Times New Roman" w:cs="Times New Roman"/>
        </w:rPr>
        <w:t>aemoglobin A1c (</w:t>
      </w:r>
      <w:r w:rsidRPr="00E82D23">
        <w:rPr>
          <w:rFonts w:ascii="Times New Roman" w:hAnsi="Times New Roman" w:cs="Times New Roman"/>
        </w:rPr>
        <w:t>HbA1c</w:t>
      </w:r>
      <w:r w:rsidR="005F3E6E" w:rsidRPr="00E82D23">
        <w:rPr>
          <w:rFonts w:ascii="Times New Roman" w:hAnsi="Times New Roman" w:cs="Times New Roman"/>
        </w:rPr>
        <w:t>)</w:t>
      </w:r>
      <w:r w:rsidRPr="00E82D23">
        <w:rPr>
          <w:rFonts w:ascii="Times New Roman" w:hAnsi="Times New Roman" w:cs="Times New Roman"/>
        </w:rPr>
        <w:t>, C-peptide, and fructosamine)</w:t>
      </w:r>
      <w:r w:rsidR="00D51965" w:rsidRPr="00E82D23">
        <w:rPr>
          <w:rFonts w:ascii="Times New Roman" w:hAnsi="Times New Roman" w:cs="Times New Roman"/>
        </w:rPr>
        <w:t xml:space="preserve"> and </w:t>
      </w:r>
      <w:r w:rsidRPr="00E82D23">
        <w:rPr>
          <w:rFonts w:ascii="Times New Roman" w:hAnsi="Times New Roman" w:cs="Times New Roman"/>
        </w:rPr>
        <w:t>other (</w:t>
      </w:r>
      <w:r w:rsidR="00BC1001">
        <w:rPr>
          <w:rFonts w:ascii="Times New Roman" w:hAnsi="Times New Roman" w:cs="Times New Roman"/>
        </w:rPr>
        <w:t>v</w:t>
      </w:r>
      <w:r w:rsidRPr="00E82D23">
        <w:rPr>
          <w:rFonts w:ascii="Times New Roman" w:hAnsi="Times New Roman" w:cs="Times New Roman"/>
        </w:rPr>
        <w:t xml:space="preserve">itamin D and human placental lactogen). Analytical methodologies are reported in </w:t>
      </w:r>
      <w:r w:rsidR="00B665F1" w:rsidRPr="00E82D23">
        <w:rPr>
          <w:rFonts w:ascii="Times New Roman" w:hAnsi="Times New Roman" w:cs="Times New Roman"/>
        </w:rPr>
        <w:t>S</w:t>
      </w:r>
      <w:r w:rsidR="00A67891" w:rsidRPr="00CE77D8">
        <w:rPr>
          <w:rFonts w:ascii="Times New Roman" w:hAnsi="Times New Roman" w:cs="Times New Roman"/>
        </w:rPr>
        <w:t>1</w:t>
      </w:r>
      <w:r w:rsidR="0040227F" w:rsidRPr="00E82D23">
        <w:rPr>
          <w:rFonts w:ascii="Times New Roman" w:hAnsi="Times New Roman" w:cs="Times New Roman"/>
        </w:rPr>
        <w:t xml:space="preserve"> </w:t>
      </w:r>
      <w:r w:rsidRPr="00E82D23">
        <w:rPr>
          <w:rFonts w:ascii="Times New Roman" w:hAnsi="Times New Roman" w:cs="Times New Roman"/>
        </w:rPr>
        <w:t xml:space="preserve">Table. One hundred and fifty eight metabolites were also measured </w:t>
      </w:r>
      <w:r w:rsidR="00A471CF" w:rsidRPr="00E82D23">
        <w:rPr>
          <w:rFonts w:ascii="Times New Roman" w:hAnsi="Times New Roman" w:cs="Times New Roman"/>
        </w:rPr>
        <w:t xml:space="preserve">in serum </w:t>
      </w:r>
      <w:r w:rsidRPr="00E82D23">
        <w:rPr>
          <w:rFonts w:ascii="Times New Roman" w:hAnsi="Times New Roman" w:cs="Times New Roman"/>
        </w:rPr>
        <w:t xml:space="preserve">using an NMR targeted metabolome platform (Brainshake Ltd, </w:t>
      </w:r>
      <w:r w:rsidR="0060521C" w:rsidRPr="00E82D23">
        <w:rPr>
          <w:rFonts w:ascii="Times New Roman" w:hAnsi="Times New Roman" w:cs="Times New Roman"/>
        </w:rPr>
        <w:t>http://brainshake.fi/</w:t>
      </w:r>
      <w:r w:rsidRPr="00E82D23">
        <w:rPr>
          <w:rFonts w:ascii="Times New Roman" w:hAnsi="Times New Roman" w:cs="Times New Roman"/>
        </w:rPr>
        <w:t>) including 1</w:t>
      </w:r>
      <w:r w:rsidR="00221FCA" w:rsidRPr="00E82D23">
        <w:rPr>
          <w:rFonts w:ascii="Times New Roman" w:hAnsi="Times New Roman" w:cs="Times New Roman"/>
        </w:rPr>
        <w:t>38</w:t>
      </w:r>
      <w:r w:rsidRPr="00E82D23">
        <w:rPr>
          <w:rFonts w:ascii="Times New Roman" w:hAnsi="Times New Roman" w:cs="Times New Roman"/>
        </w:rPr>
        <w:t xml:space="preserve"> lipid measures (lipoprotein particle subclasses, particle size, cholesterols, fatty acids</w:t>
      </w:r>
      <w:r w:rsidR="00221FCA" w:rsidRPr="00E82D23">
        <w:rPr>
          <w:rFonts w:ascii="Times New Roman" w:hAnsi="Times New Roman" w:cs="Times New Roman"/>
        </w:rPr>
        <w:t>,</w:t>
      </w:r>
      <w:r w:rsidRPr="00E82D23">
        <w:rPr>
          <w:rFonts w:ascii="Times New Roman" w:hAnsi="Times New Roman" w:cs="Times New Roman"/>
        </w:rPr>
        <w:t xml:space="preserve"> apolipoproteins</w:t>
      </w:r>
      <w:r w:rsidR="00221FCA" w:rsidRPr="00E82D23">
        <w:rPr>
          <w:rFonts w:ascii="Times New Roman" w:hAnsi="Times New Roman" w:cs="Times New Roman"/>
        </w:rPr>
        <w:t>, glycerides and phospholipids</w:t>
      </w:r>
      <w:r w:rsidRPr="00E82D23">
        <w:rPr>
          <w:rFonts w:ascii="Times New Roman" w:hAnsi="Times New Roman" w:cs="Times New Roman"/>
        </w:rPr>
        <w:t>), and 20 low-molecular weight metabolites including branched chain and aromatic amino acids, glycolysis metabolites, and ketone bodies.</w:t>
      </w:r>
      <w:r w:rsidR="00245ED6" w:rsidRPr="00E82D23">
        <w:rPr>
          <w:rFonts w:ascii="Times New Roman" w:hAnsi="Times New Roman" w:cs="Times New Roman"/>
        </w:rPr>
        <w:t xml:space="preserve"> A full list of metabolites is presented in </w:t>
      </w:r>
      <w:r w:rsidR="00A67891" w:rsidRPr="00E82D23">
        <w:rPr>
          <w:rFonts w:ascii="Times New Roman" w:hAnsi="Times New Roman" w:cs="Times New Roman"/>
        </w:rPr>
        <w:t>S</w:t>
      </w:r>
      <w:r w:rsidR="00A67891" w:rsidRPr="00CE77D8">
        <w:rPr>
          <w:rFonts w:ascii="Times New Roman" w:hAnsi="Times New Roman" w:cs="Times New Roman"/>
        </w:rPr>
        <w:t>2</w:t>
      </w:r>
      <w:r w:rsidR="00A67891" w:rsidRPr="00E82D23">
        <w:rPr>
          <w:rFonts w:ascii="Times New Roman" w:hAnsi="Times New Roman" w:cs="Times New Roman"/>
        </w:rPr>
        <w:t xml:space="preserve"> </w:t>
      </w:r>
      <w:r w:rsidR="00245ED6" w:rsidRPr="00E82D23">
        <w:rPr>
          <w:rFonts w:ascii="Times New Roman" w:hAnsi="Times New Roman" w:cs="Times New Roman"/>
        </w:rPr>
        <w:t xml:space="preserve">Table. This high-throughput NMR metabolomics approach has been </w:t>
      </w:r>
      <w:r w:rsidR="005E32BC" w:rsidRPr="00E82D23">
        <w:rPr>
          <w:rFonts w:ascii="Times New Roman" w:hAnsi="Times New Roman" w:cs="Times New Roman"/>
        </w:rPr>
        <w:t>widely</w:t>
      </w:r>
      <w:r w:rsidR="00245ED6" w:rsidRPr="00E82D23">
        <w:rPr>
          <w:rFonts w:ascii="Times New Roman" w:hAnsi="Times New Roman" w:cs="Times New Roman"/>
        </w:rPr>
        <w:t xml:space="preserve"> used in epidemiological studies,</w:t>
      </w:r>
      <w:r w:rsidR="00A471CF" w:rsidRPr="00E82D23">
        <w:rPr>
          <w:rFonts w:ascii="Times New Roman" w:hAnsi="Times New Roman" w:cs="Times New Roman"/>
        </w:rPr>
        <w:t xml:space="preserve"> </w:t>
      </w:r>
      <w:r w:rsidR="00131A40" w:rsidRPr="00E82D23">
        <w:rPr>
          <w:rFonts w:ascii="Times New Roman" w:hAnsi="Times New Roman" w:cs="Times New Roman"/>
        </w:rPr>
        <w:t>[</w:t>
      </w:r>
      <w:r w:rsidR="00A471CF" w:rsidRPr="00E82D23">
        <w:rPr>
          <w:rFonts w:ascii="Times New Roman" w:hAnsi="Times New Roman" w:cs="Times New Roman"/>
        </w:rPr>
        <w:t>2</w:t>
      </w:r>
      <w:r w:rsidR="00184514" w:rsidRPr="00E82D23">
        <w:rPr>
          <w:rFonts w:ascii="Times New Roman" w:hAnsi="Times New Roman" w:cs="Times New Roman"/>
        </w:rPr>
        <w:t>4</w:t>
      </w:r>
      <w:r w:rsidR="00A471CF" w:rsidRPr="00E82D23">
        <w:rPr>
          <w:rFonts w:ascii="Times New Roman" w:hAnsi="Times New Roman" w:cs="Times New Roman"/>
        </w:rPr>
        <w:t>-2</w:t>
      </w:r>
      <w:r w:rsidR="00184514" w:rsidRPr="00E82D23">
        <w:rPr>
          <w:rFonts w:ascii="Times New Roman" w:hAnsi="Times New Roman" w:cs="Times New Roman"/>
        </w:rPr>
        <w:t>7</w:t>
      </w:r>
      <w:r w:rsidR="00131A40" w:rsidRPr="00E82D23">
        <w:rPr>
          <w:rFonts w:ascii="Times New Roman" w:hAnsi="Times New Roman" w:cs="Times New Roman"/>
        </w:rPr>
        <w:t>]</w:t>
      </w:r>
      <w:r w:rsidR="00245ED6" w:rsidRPr="00E82D23">
        <w:rPr>
          <w:rFonts w:ascii="Times New Roman" w:hAnsi="Times New Roman" w:cs="Times New Roman"/>
        </w:rPr>
        <w:t xml:space="preserve"> and experimental details (sample preparation</w:t>
      </w:r>
      <w:r w:rsidR="005E32BC" w:rsidRPr="00E82D23">
        <w:rPr>
          <w:rFonts w:ascii="Times New Roman" w:hAnsi="Times New Roman" w:cs="Times New Roman"/>
        </w:rPr>
        <w:t xml:space="preserve"> and</w:t>
      </w:r>
      <w:r w:rsidR="00245ED6" w:rsidRPr="00E82D23">
        <w:rPr>
          <w:rFonts w:ascii="Times New Roman" w:hAnsi="Times New Roman" w:cs="Times New Roman"/>
        </w:rPr>
        <w:t xml:space="preserve"> analysis) have been previously described.</w:t>
      </w:r>
      <w:r w:rsidR="00A471CF" w:rsidRPr="00E82D23">
        <w:rPr>
          <w:rFonts w:ascii="Times New Roman" w:hAnsi="Times New Roman" w:cs="Times New Roman"/>
        </w:rPr>
        <w:t xml:space="preserve"> </w:t>
      </w:r>
      <w:r w:rsidR="00131A40" w:rsidRPr="00E82D23">
        <w:rPr>
          <w:rFonts w:ascii="Times New Roman" w:hAnsi="Times New Roman" w:cs="Times New Roman"/>
        </w:rPr>
        <w:t>[</w:t>
      </w:r>
      <w:r w:rsidR="00A471CF" w:rsidRPr="00E82D23">
        <w:rPr>
          <w:rFonts w:ascii="Times New Roman" w:hAnsi="Times New Roman" w:cs="Times New Roman"/>
        </w:rPr>
        <w:t>2</w:t>
      </w:r>
      <w:r w:rsidR="00184514" w:rsidRPr="00E82D23">
        <w:rPr>
          <w:rFonts w:ascii="Times New Roman" w:hAnsi="Times New Roman" w:cs="Times New Roman"/>
        </w:rPr>
        <w:t>7</w:t>
      </w:r>
      <w:r w:rsidR="00131A40" w:rsidRPr="00E82D23">
        <w:rPr>
          <w:rFonts w:ascii="Times New Roman" w:hAnsi="Times New Roman" w:cs="Times New Roman"/>
        </w:rPr>
        <w:t>]</w:t>
      </w:r>
      <w:r w:rsidRPr="00E82D23">
        <w:rPr>
          <w:rFonts w:ascii="Times New Roman" w:hAnsi="Times New Roman" w:cs="Times New Roman"/>
        </w:rPr>
        <w:t xml:space="preserve"> All blood samples were processed by laboratory technicians blinded to participant data.</w:t>
      </w:r>
    </w:p>
    <w:p w14:paraId="0605A7E0" w14:textId="77777777" w:rsidR="00347565" w:rsidRPr="00461751" w:rsidRDefault="00347565" w:rsidP="00E82D23">
      <w:pPr>
        <w:spacing w:line="480" w:lineRule="auto"/>
        <w:jc w:val="both"/>
        <w:rPr>
          <w:rFonts w:ascii="Times New Roman" w:hAnsi="Times New Roman" w:cs="Times New Roman"/>
        </w:rPr>
      </w:pPr>
    </w:p>
    <w:p w14:paraId="32D4063F" w14:textId="77777777" w:rsidR="00784B70" w:rsidRPr="00461751" w:rsidRDefault="00784B70" w:rsidP="00CE77D8">
      <w:pPr>
        <w:pStyle w:val="Heading2"/>
        <w:spacing w:line="480" w:lineRule="auto"/>
      </w:pPr>
      <w:r w:rsidRPr="00461751">
        <w:t>Statistical analysis</w:t>
      </w:r>
    </w:p>
    <w:p w14:paraId="27D19B09" w14:textId="5E7D23B7" w:rsidR="00784B70" w:rsidRPr="00E82D23" w:rsidRDefault="00784B70" w:rsidP="00E82D23">
      <w:pPr>
        <w:spacing w:line="480" w:lineRule="auto"/>
        <w:jc w:val="both"/>
        <w:rPr>
          <w:rFonts w:ascii="Times New Roman" w:hAnsi="Times New Roman" w:cs="Times New Roman"/>
        </w:rPr>
      </w:pPr>
      <w:r w:rsidRPr="00E82D23">
        <w:rPr>
          <w:rFonts w:ascii="Times New Roman" w:hAnsi="Times New Roman" w:cs="Times New Roman"/>
        </w:rPr>
        <w:t>Statistical analysis was performed using Stata software, version 14.0 (StataCorp LP, College Station, Texas). Distributions of all potential predictors were checked for normality. As women were recruited between 15</w:t>
      </w:r>
      <w:r w:rsidRPr="00E82D23">
        <w:rPr>
          <w:rFonts w:ascii="Times New Roman" w:hAnsi="Times New Roman" w:cs="Times New Roman"/>
          <w:vertAlign w:val="superscript"/>
        </w:rPr>
        <w:t>+0</w:t>
      </w:r>
      <w:r w:rsidRPr="00E82D23">
        <w:rPr>
          <w:rFonts w:ascii="Times New Roman" w:hAnsi="Times New Roman" w:cs="Times New Roman"/>
        </w:rPr>
        <w:t>-18</w:t>
      </w:r>
      <w:r w:rsidRPr="00E82D23">
        <w:rPr>
          <w:rFonts w:ascii="Times New Roman" w:hAnsi="Times New Roman" w:cs="Times New Roman"/>
          <w:vertAlign w:val="superscript"/>
        </w:rPr>
        <w:t>+6</w:t>
      </w:r>
      <w:r w:rsidRPr="00E82D23">
        <w:rPr>
          <w:rFonts w:ascii="Times New Roman" w:hAnsi="Times New Roman" w:cs="Times New Roman"/>
        </w:rPr>
        <w:t xml:space="preserve"> weeks’ gestation, appropriate clinical factors and all biochemical variables were checked for variation and transformed into gestational age corrected centiles where required (xriml command, Stata</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Pr="00E82D23">
        <w:rPr>
          <w:rFonts w:ascii="Times New Roman" w:hAnsi="Times New Roman" w:cs="Times New Roman"/>
          <w:noProof/>
        </w:rPr>
        <w:t>2</w:t>
      </w:r>
      <w:r w:rsidR="00184514" w:rsidRPr="00E82D23">
        <w:rPr>
          <w:rFonts w:ascii="Times New Roman" w:hAnsi="Times New Roman" w:cs="Times New Roman"/>
          <w:noProof/>
        </w:rPr>
        <w:t>8</w:t>
      </w:r>
      <w:r w:rsidR="00131A40" w:rsidRPr="00E82D23">
        <w:rPr>
          <w:rFonts w:ascii="Times New Roman" w:hAnsi="Times New Roman" w:cs="Times New Roman"/>
          <w:noProof/>
        </w:rPr>
        <w:t>]</w:t>
      </w:r>
      <w:r w:rsidRPr="00E82D23">
        <w:rPr>
          <w:rFonts w:ascii="Times New Roman" w:hAnsi="Times New Roman" w:cs="Times New Roman"/>
        </w:rPr>
        <w:t xml:space="preserve">). Summary statistics between those who developed GDM and those who did not were compared using either Student’s </w:t>
      </w:r>
      <w:r w:rsidRPr="00E82D23">
        <w:rPr>
          <w:rFonts w:ascii="Times New Roman" w:hAnsi="Times New Roman" w:cs="Times New Roman"/>
          <w:i/>
        </w:rPr>
        <w:t>t</w:t>
      </w:r>
      <w:r w:rsidRPr="00E82D23">
        <w:rPr>
          <w:rFonts w:ascii="Times New Roman" w:hAnsi="Times New Roman" w:cs="Times New Roman"/>
        </w:rPr>
        <w:t xml:space="preserve"> test or Mann Whitney tests for continuous data as appropriate and </w:t>
      </w:r>
      <w:r w:rsidR="009C3795" w:rsidRPr="00AB32B2">
        <w:rPr>
          <w:rFonts w:ascii="Times New Roman" w:hAnsi="Times New Roman" w:cs="Times New Roman"/>
        </w:rPr>
        <w:t>chi-squared tests</w:t>
      </w:r>
      <w:r w:rsidRPr="00E82D23">
        <w:rPr>
          <w:rFonts w:ascii="Times New Roman" w:hAnsi="Times New Roman" w:cs="Times New Roman"/>
          <w:vertAlign w:val="superscript"/>
        </w:rPr>
        <w:t xml:space="preserve"> </w:t>
      </w:r>
      <w:r w:rsidRPr="00E82D23">
        <w:rPr>
          <w:rFonts w:ascii="Times New Roman" w:hAnsi="Times New Roman" w:cs="Times New Roman"/>
        </w:rPr>
        <w:t xml:space="preserve">for categorical data. Candidate biomarkers with a non-parametric distribution </w:t>
      </w:r>
      <w:r w:rsidRPr="00E82D23">
        <w:rPr>
          <w:rFonts w:ascii="Times New Roman" w:hAnsi="Times New Roman" w:cs="Times New Roman"/>
        </w:rPr>
        <w:lastRenderedPageBreak/>
        <w:t>were log transformed (base2). Following these transformations regression model assumptions (linear associations)</w:t>
      </w:r>
      <w:r w:rsidR="00C81FB9" w:rsidRPr="00E82D23">
        <w:rPr>
          <w:rFonts w:ascii="Times New Roman" w:hAnsi="Times New Roman" w:cs="Times New Roman"/>
        </w:rPr>
        <w:t xml:space="preserve"> were checked</w:t>
      </w:r>
      <w:r w:rsidRPr="00E82D23">
        <w:rPr>
          <w:rFonts w:ascii="Times New Roman" w:hAnsi="Times New Roman" w:cs="Times New Roman"/>
        </w:rPr>
        <w:t>. HDL cholesterol showed a non-linear association and was transformed into a categorical variable using a clinically meaningful threshold.</w:t>
      </w:r>
      <w:r w:rsidR="00D45D97" w:rsidRPr="00E82D23">
        <w:rPr>
          <w:rFonts w:ascii="Times New Roman" w:hAnsi="Times New Roman" w:cs="Times New Roman"/>
        </w:rPr>
        <w:t xml:space="preserve"> </w:t>
      </w:r>
      <w:r w:rsidR="00131A40" w:rsidRPr="00E82D23">
        <w:rPr>
          <w:rFonts w:ascii="Times New Roman" w:hAnsi="Times New Roman" w:cs="Times New Roman"/>
        </w:rPr>
        <w:t>[</w:t>
      </w:r>
      <w:r w:rsidRPr="00E82D23">
        <w:rPr>
          <w:rFonts w:ascii="Times New Roman" w:hAnsi="Times New Roman" w:cs="Times New Roman"/>
          <w:noProof/>
        </w:rPr>
        <w:t>2</w:t>
      </w:r>
      <w:r w:rsidR="00184514" w:rsidRPr="00E82D23">
        <w:rPr>
          <w:rFonts w:ascii="Times New Roman" w:hAnsi="Times New Roman" w:cs="Times New Roman"/>
          <w:noProof/>
        </w:rPr>
        <w:t>9</w:t>
      </w:r>
      <w:r w:rsidR="00131A40" w:rsidRPr="00E82D23">
        <w:rPr>
          <w:rFonts w:ascii="Times New Roman" w:hAnsi="Times New Roman" w:cs="Times New Roman"/>
          <w:noProof/>
        </w:rPr>
        <w:t>]</w:t>
      </w:r>
    </w:p>
    <w:p w14:paraId="2F0A492B" w14:textId="7B71B01E" w:rsidR="00784B70" w:rsidRPr="002F708B" w:rsidRDefault="00784B70" w:rsidP="00E82D23">
      <w:pPr>
        <w:spacing w:line="480" w:lineRule="auto"/>
        <w:jc w:val="both"/>
        <w:rPr>
          <w:rFonts w:ascii="Times New Roman" w:hAnsi="Times New Roman" w:cs="Times New Roman"/>
        </w:rPr>
      </w:pPr>
      <w:r w:rsidRPr="00E82D23">
        <w:rPr>
          <w:rFonts w:ascii="Times New Roman" w:hAnsi="Times New Roman" w:cs="Times New Roman"/>
        </w:rPr>
        <w:t xml:space="preserve">Three prediction models were developed. Univariate logistic regression was performed on all factors and a pre-defined p value threshold of 0.1 was used to identify predictors for </w:t>
      </w:r>
      <w:r w:rsidR="00A25539" w:rsidRPr="002F708B">
        <w:rPr>
          <w:rFonts w:ascii="Times New Roman" w:hAnsi="Times New Roman" w:cs="Times New Roman"/>
        </w:rPr>
        <w:t>testing</w:t>
      </w:r>
      <w:r w:rsidRPr="00E82D23">
        <w:rPr>
          <w:rFonts w:ascii="Times New Roman" w:hAnsi="Times New Roman" w:cs="Times New Roman"/>
        </w:rPr>
        <w:t xml:space="preserve"> in the multivariate models</w:t>
      </w:r>
      <w:r w:rsidR="00EA4093">
        <w:rPr>
          <w:rFonts w:ascii="Times New Roman" w:hAnsi="Times New Roman" w:cs="Times New Roman"/>
          <w:sz w:val="24"/>
          <w:szCs w:val="24"/>
        </w:rPr>
        <w:t xml:space="preserve">. </w:t>
      </w:r>
      <w:r w:rsidR="003F55D4" w:rsidRPr="002F708B">
        <w:rPr>
          <w:rFonts w:ascii="Times New Roman" w:hAnsi="Times New Roman" w:cs="Times New Roman"/>
        </w:rPr>
        <w:t xml:space="preserve">Clinical variables </w:t>
      </w:r>
      <w:r w:rsidR="003F55D4" w:rsidRPr="00AB32B2">
        <w:rPr>
          <w:rFonts w:ascii="Times New Roman" w:hAnsi="Times New Roman" w:cs="Times New Roman"/>
        </w:rPr>
        <w:t xml:space="preserve">below the p value threshold </w:t>
      </w:r>
      <w:r w:rsidR="00BF7D94" w:rsidRPr="00AB32B2">
        <w:rPr>
          <w:rFonts w:ascii="Times New Roman" w:hAnsi="Times New Roman" w:cs="Times New Roman"/>
        </w:rPr>
        <w:t xml:space="preserve">were </w:t>
      </w:r>
      <w:r w:rsidR="00A25539" w:rsidRPr="00AB32B2">
        <w:rPr>
          <w:rFonts w:ascii="Times New Roman" w:hAnsi="Times New Roman" w:cs="Times New Roman"/>
        </w:rPr>
        <w:t>utilised</w:t>
      </w:r>
      <w:r w:rsidR="00BF7D94" w:rsidRPr="00AB32B2">
        <w:rPr>
          <w:rFonts w:ascii="Times New Roman" w:hAnsi="Times New Roman" w:cs="Times New Roman"/>
        </w:rPr>
        <w:t xml:space="preserve"> to </w:t>
      </w:r>
      <w:r w:rsidR="00612D1E" w:rsidRPr="00AB32B2">
        <w:rPr>
          <w:rFonts w:ascii="Times New Roman" w:hAnsi="Times New Roman" w:cs="Times New Roman"/>
        </w:rPr>
        <w:t>construct</w:t>
      </w:r>
      <w:r w:rsidR="00BF7D94" w:rsidRPr="00AB32B2">
        <w:rPr>
          <w:rFonts w:ascii="Times New Roman" w:hAnsi="Times New Roman" w:cs="Times New Roman"/>
        </w:rPr>
        <w:t xml:space="preserve"> </w:t>
      </w:r>
      <w:r w:rsidRPr="00AB32B2">
        <w:rPr>
          <w:rFonts w:ascii="Times New Roman" w:hAnsi="Times New Roman" w:cs="Times New Roman"/>
        </w:rPr>
        <w:t xml:space="preserve">Model 1. </w:t>
      </w:r>
      <w:r w:rsidR="00BF7D94" w:rsidRPr="00AB32B2">
        <w:rPr>
          <w:rFonts w:ascii="Times New Roman" w:hAnsi="Times New Roman" w:cs="Times New Roman"/>
        </w:rPr>
        <w:t>Next, t</w:t>
      </w:r>
      <w:r w:rsidRPr="00AB32B2">
        <w:rPr>
          <w:rFonts w:ascii="Times New Roman" w:hAnsi="Times New Roman" w:cs="Times New Roman"/>
        </w:rPr>
        <w:t>h</w:t>
      </w:r>
      <w:r w:rsidR="00BF7D94" w:rsidRPr="00AB32B2">
        <w:rPr>
          <w:rFonts w:ascii="Times New Roman" w:hAnsi="Times New Roman" w:cs="Times New Roman"/>
        </w:rPr>
        <w:t>e candidate biomarkers identified in univariate regression were incorporated with the selected clinical variables</w:t>
      </w:r>
      <w:r w:rsidRPr="00AB32B2">
        <w:rPr>
          <w:rFonts w:ascii="Times New Roman" w:hAnsi="Times New Roman" w:cs="Times New Roman"/>
        </w:rPr>
        <w:t xml:space="preserve"> </w:t>
      </w:r>
      <w:r w:rsidR="00BF7D94" w:rsidRPr="00AB32B2">
        <w:rPr>
          <w:rFonts w:ascii="Times New Roman" w:hAnsi="Times New Roman" w:cs="Times New Roman"/>
        </w:rPr>
        <w:t xml:space="preserve">of </w:t>
      </w:r>
      <w:r w:rsidRPr="00AB32B2">
        <w:rPr>
          <w:rFonts w:ascii="Times New Roman" w:hAnsi="Times New Roman" w:cs="Times New Roman"/>
        </w:rPr>
        <w:t>Model 1</w:t>
      </w:r>
      <w:r w:rsidR="00975ABF" w:rsidRPr="00AB32B2">
        <w:rPr>
          <w:rFonts w:ascii="Times New Roman" w:hAnsi="Times New Roman" w:cs="Times New Roman"/>
        </w:rPr>
        <w:t>,</w:t>
      </w:r>
      <w:r w:rsidR="00EA4093" w:rsidRPr="00AB32B2">
        <w:rPr>
          <w:rFonts w:ascii="Times New Roman" w:hAnsi="Times New Roman" w:cs="Times New Roman"/>
        </w:rPr>
        <w:t xml:space="preserve"> creating</w:t>
      </w:r>
      <w:r w:rsidR="00BF7D94" w:rsidRPr="00AB32B2">
        <w:rPr>
          <w:rFonts w:ascii="Times New Roman" w:hAnsi="Times New Roman" w:cs="Times New Roman"/>
        </w:rPr>
        <w:t xml:space="preserve"> </w:t>
      </w:r>
      <w:r w:rsidRPr="00AB32B2">
        <w:rPr>
          <w:rFonts w:ascii="Times New Roman" w:hAnsi="Times New Roman" w:cs="Times New Roman"/>
        </w:rPr>
        <w:t xml:space="preserve">Model 2. Finally, selected clinical and candidate biomarker variables from </w:t>
      </w:r>
      <w:r w:rsidR="006113B0">
        <w:rPr>
          <w:rFonts w:ascii="Times New Roman" w:hAnsi="Times New Roman" w:cs="Times New Roman"/>
        </w:rPr>
        <w:t>M</w:t>
      </w:r>
      <w:r w:rsidRPr="00AB32B2">
        <w:rPr>
          <w:rFonts w:ascii="Times New Roman" w:hAnsi="Times New Roman" w:cs="Times New Roman"/>
        </w:rPr>
        <w:t xml:space="preserve">odel 2 were ‘offered’ alongside all </w:t>
      </w:r>
      <w:r w:rsidR="003D7BF2" w:rsidRPr="00AB32B2">
        <w:rPr>
          <w:rFonts w:ascii="Times New Roman" w:hAnsi="Times New Roman" w:cs="Times New Roman"/>
        </w:rPr>
        <w:t xml:space="preserve">identified </w:t>
      </w:r>
      <w:r w:rsidR="00EA4093" w:rsidRPr="00AB32B2">
        <w:rPr>
          <w:rFonts w:ascii="Times New Roman" w:hAnsi="Times New Roman" w:cs="Times New Roman"/>
        </w:rPr>
        <w:t>NMR metabolites to generate</w:t>
      </w:r>
      <w:r w:rsidRPr="00AB32B2">
        <w:rPr>
          <w:rFonts w:ascii="Times New Roman" w:hAnsi="Times New Roman" w:cs="Times New Roman"/>
        </w:rPr>
        <w:t xml:space="preserve"> Model 3.</w:t>
      </w:r>
      <w:r w:rsidR="00A25539" w:rsidRPr="00AB32B2">
        <w:rPr>
          <w:rFonts w:ascii="Times New Roman" w:hAnsi="Times New Roman" w:cs="Times New Roman"/>
        </w:rPr>
        <w:t xml:space="preserve"> Forward stepwise </w:t>
      </w:r>
      <w:r w:rsidR="00A25539" w:rsidRPr="002F708B">
        <w:rPr>
          <w:rFonts w:ascii="Times New Roman" w:hAnsi="Times New Roman" w:cs="Times New Roman"/>
        </w:rPr>
        <w:t>logistic regression was used for the development of</w:t>
      </w:r>
      <w:r w:rsidR="00975ABF" w:rsidRPr="002F708B">
        <w:rPr>
          <w:rFonts w:ascii="Times New Roman" w:hAnsi="Times New Roman" w:cs="Times New Roman"/>
        </w:rPr>
        <w:t xml:space="preserve"> these</w:t>
      </w:r>
      <w:r w:rsidR="00A25539" w:rsidRPr="002F708B">
        <w:rPr>
          <w:rFonts w:ascii="Times New Roman" w:hAnsi="Times New Roman" w:cs="Times New Roman"/>
        </w:rPr>
        <w:t xml:space="preserve"> models.</w:t>
      </w:r>
    </w:p>
    <w:p w14:paraId="77595491" w14:textId="77777777" w:rsidR="00347565" w:rsidRPr="00461751" w:rsidRDefault="00347565" w:rsidP="00E82D23">
      <w:pPr>
        <w:spacing w:line="480" w:lineRule="auto"/>
        <w:jc w:val="both"/>
        <w:rPr>
          <w:rFonts w:ascii="Times New Roman" w:hAnsi="Times New Roman" w:cs="Times New Roman"/>
        </w:rPr>
      </w:pPr>
    </w:p>
    <w:p w14:paraId="65E2E1EF" w14:textId="2EEE7CEE" w:rsidR="00347565" w:rsidRPr="00E82D23" w:rsidRDefault="00784B70" w:rsidP="00E82D23">
      <w:pPr>
        <w:spacing w:line="480" w:lineRule="auto"/>
        <w:jc w:val="both"/>
        <w:rPr>
          <w:rFonts w:ascii="Times New Roman" w:hAnsi="Times New Roman" w:cs="Times New Roman"/>
        </w:rPr>
      </w:pPr>
      <w:r w:rsidRPr="00E82D23">
        <w:rPr>
          <w:rFonts w:ascii="Times New Roman" w:hAnsi="Times New Roman" w:cs="Times New Roman"/>
        </w:rPr>
        <w:t>Predictive accuracy of the three models was assessed (and compared between models) using the</w:t>
      </w:r>
      <w:r w:rsidR="00811254" w:rsidRPr="00E82D23">
        <w:rPr>
          <w:rFonts w:ascii="Times New Roman" w:hAnsi="Times New Roman" w:cs="Times New Roman"/>
        </w:rPr>
        <w:t xml:space="preserve"> </w:t>
      </w:r>
      <w:r w:rsidR="00841927" w:rsidRPr="002F708B">
        <w:rPr>
          <w:rFonts w:ascii="Times New Roman" w:hAnsi="Times New Roman" w:cs="Times New Roman"/>
        </w:rPr>
        <w:t>A</w:t>
      </w:r>
      <w:r w:rsidR="00811254" w:rsidRPr="00E82D23">
        <w:rPr>
          <w:rFonts w:ascii="Times New Roman" w:hAnsi="Times New Roman" w:cs="Times New Roman"/>
        </w:rPr>
        <w:t xml:space="preserve">rea </w:t>
      </w:r>
      <w:r w:rsidR="00841927" w:rsidRPr="002F708B">
        <w:rPr>
          <w:rFonts w:ascii="Times New Roman" w:hAnsi="Times New Roman" w:cs="Times New Roman"/>
        </w:rPr>
        <w:t>U</w:t>
      </w:r>
      <w:r w:rsidR="00811254" w:rsidRPr="00E82D23">
        <w:rPr>
          <w:rFonts w:ascii="Times New Roman" w:hAnsi="Times New Roman" w:cs="Times New Roman"/>
        </w:rPr>
        <w:t xml:space="preserve">nder the </w:t>
      </w:r>
      <w:r w:rsidR="00841927" w:rsidRPr="002F708B">
        <w:rPr>
          <w:rFonts w:ascii="Times New Roman" w:hAnsi="Times New Roman" w:cs="Times New Roman"/>
        </w:rPr>
        <w:t>Receiver Operator Characteristics C</w:t>
      </w:r>
      <w:r w:rsidR="00811254" w:rsidRPr="00E82D23">
        <w:rPr>
          <w:rFonts w:ascii="Times New Roman" w:hAnsi="Times New Roman" w:cs="Times New Roman"/>
        </w:rPr>
        <w:t>urve</w:t>
      </w:r>
      <w:r w:rsidRPr="00E82D23">
        <w:rPr>
          <w:rFonts w:ascii="Times New Roman" w:hAnsi="Times New Roman" w:cs="Times New Roman"/>
        </w:rPr>
        <w:t xml:space="preserve"> </w:t>
      </w:r>
      <w:r w:rsidR="00811254" w:rsidRPr="00E82D23">
        <w:rPr>
          <w:rFonts w:ascii="Times New Roman" w:hAnsi="Times New Roman" w:cs="Times New Roman"/>
        </w:rPr>
        <w:t>(</w:t>
      </w:r>
      <w:r w:rsidRPr="00E82D23">
        <w:rPr>
          <w:rFonts w:ascii="Times New Roman" w:hAnsi="Times New Roman" w:cs="Times New Roman"/>
        </w:rPr>
        <w:t>AUC</w:t>
      </w:r>
      <w:r w:rsidR="00811254" w:rsidRPr="00E82D23">
        <w:rPr>
          <w:rFonts w:ascii="Times New Roman" w:hAnsi="Times New Roman" w:cs="Times New Roman"/>
        </w:rPr>
        <w:t>)</w:t>
      </w:r>
      <w:r w:rsidRPr="00E82D23">
        <w:rPr>
          <w:rFonts w:ascii="Times New Roman" w:hAnsi="Times New Roman" w:cs="Times New Roman"/>
        </w:rPr>
        <w:t>. Model calibration was assessed by discrimination of actual versus predicted GDM risk at differing levels of predicted risk. The test performances of the models were assessed using sensitivity, specificity and positive and negative predictive values at different risk thresholds.</w:t>
      </w:r>
    </w:p>
    <w:p w14:paraId="406FC973" w14:textId="77777777" w:rsidR="00347565" w:rsidRPr="00461751" w:rsidRDefault="00347565" w:rsidP="00E82D23">
      <w:pPr>
        <w:spacing w:line="480" w:lineRule="auto"/>
        <w:jc w:val="both"/>
        <w:rPr>
          <w:rFonts w:ascii="Times New Roman" w:hAnsi="Times New Roman" w:cs="Times New Roman"/>
        </w:rPr>
      </w:pPr>
    </w:p>
    <w:p w14:paraId="7762F6F1" w14:textId="77777777" w:rsidR="00784B70" w:rsidRPr="00CE77D8" w:rsidRDefault="00784B70" w:rsidP="00CE77D8">
      <w:pPr>
        <w:pStyle w:val="Heading2"/>
        <w:spacing w:line="480" w:lineRule="auto"/>
        <w:rPr>
          <w:sz w:val="28"/>
          <w:szCs w:val="28"/>
        </w:rPr>
      </w:pPr>
      <w:r w:rsidRPr="00CE77D8">
        <w:rPr>
          <w:sz w:val="28"/>
          <w:szCs w:val="28"/>
        </w:rPr>
        <w:t>Translational prediction models for clinical use</w:t>
      </w:r>
    </w:p>
    <w:p w14:paraId="2AA86B45" w14:textId="5525848C" w:rsidR="00784B70" w:rsidRPr="002F708B" w:rsidRDefault="00784B70" w:rsidP="002F708B">
      <w:pPr>
        <w:spacing w:line="480" w:lineRule="auto"/>
        <w:jc w:val="both"/>
        <w:rPr>
          <w:rFonts w:ascii="Times New Roman" w:hAnsi="Times New Roman" w:cs="Times New Roman"/>
        </w:rPr>
      </w:pPr>
      <w:r w:rsidRPr="002F708B">
        <w:rPr>
          <w:rFonts w:ascii="Times New Roman" w:hAnsi="Times New Roman" w:cs="Times New Roman"/>
        </w:rPr>
        <w:t xml:space="preserve">In addition to Models 1-3, we explored a range of clinically translatable models (Models 4-8). The variables included were selected from Models 1-3 or correlated measures. Selection was on the basis of established laboratory assays and ease of measurement in the clinic. No stepwise procedures were undertaken for these models. </w:t>
      </w:r>
    </w:p>
    <w:p w14:paraId="5C41FBE5" w14:textId="77777777" w:rsidR="00347565" w:rsidRPr="00461751" w:rsidRDefault="00347565" w:rsidP="002F708B">
      <w:pPr>
        <w:spacing w:line="480" w:lineRule="auto"/>
        <w:jc w:val="both"/>
        <w:rPr>
          <w:rFonts w:ascii="Times New Roman" w:hAnsi="Times New Roman" w:cs="Times New Roman"/>
        </w:rPr>
      </w:pPr>
    </w:p>
    <w:p w14:paraId="0CFA1456" w14:textId="77777777" w:rsidR="00784B70" w:rsidRPr="00CE77D8" w:rsidRDefault="00784B70" w:rsidP="00CE77D8">
      <w:pPr>
        <w:pStyle w:val="Heading2"/>
        <w:spacing w:line="480" w:lineRule="auto"/>
        <w:rPr>
          <w:sz w:val="28"/>
          <w:szCs w:val="28"/>
        </w:rPr>
      </w:pPr>
      <w:r w:rsidRPr="00CE77D8">
        <w:rPr>
          <w:sz w:val="28"/>
          <w:szCs w:val="28"/>
        </w:rPr>
        <w:lastRenderedPageBreak/>
        <w:t>Missing data</w:t>
      </w:r>
    </w:p>
    <w:p w14:paraId="7F5F3949" w14:textId="6F40C963" w:rsidR="00784B70" w:rsidRPr="002F708B" w:rsidRDefault="00784B70" w:rsidP="002F708B">
      <w:pPr>
        <w:spacing w:line="480" w:lineRule="auto"/>
        <w:jc w:val="both"/>
        <w:rPr>
          <w:rFonts w:ascii="Times New Roman" w:hAnsi="Times New Roman" w:cs="Times New Roman"/>
        </w:rPr>
      </w:pPr>
      <w:r w:rsidRPr="002F708B">
        <w:rPr>
          <w:rFonts w:ascii="Times New Roman" w:hAnsi="Times New Roman" w:cs="Times New Roman"/>
        </w:rPr>
        <w:t>Missing data for clinical variables was minimal (&lt;1</w:t>
      </w:r>
      <w:r w:rsidR="000E7208" w:rsidRPr="002F708B">
        <w:rPr>
          <w:rFonts w:ascii="Times New Roman" w:hAnsi="Times New Roman" w:cs="Times New Roman"/>
        </w:rPr>
        <w:t>.</w:t>
      </w:r>
      <w:r w:rsidRPr="002F708B">
        <w:rPr>
          <w:rFonts w:ascii="Times New Roman" w:hAnsi="Times New Roman" w:cs="Times New Roman"/>
        </w:rPr>
        <w:t xml:space="preserve">5 %) except for family history of GDM (4%). Candidate biomarkers were available in 73% (n=953) and NMR metabolites in 69% (n=895). Most missing blood biomarker data was because participants did not provide a blood sample. </w:t>
      </w:r>
      <w:r w:rsidR="00761DFA" w:rsidRPr="002F708B">
        <w:rPr>
          <w:rFonts w:ascii="Times New Roman" w:hAnsi="Times New Roman" w:cs="Times New Roman"/>
        </w:rPr>
        <w:t>All m</w:t>
      </w:r>
      <w:r w:rsidRPr="002F708B">
        <w:rPr>
          <w:rFonts w:ascii="Times New Roman" w:hAnsi="Times New Roman" w:cs="Times New Roman"/>
        </w:rPr>
        <w:t>odels were constructed using complete data based on each</w:t>
      </w:r>
      <w:r w:rsidR="00441FFE" w:rsidRPr="002F708B">
        <w:rPr>
          <w:rFonts w:ascii="Times New Roman" w:hAnsi="Times New Roman" w:cs="Times New Roman"/>
        </w:rPr>
        <w:t xml:space="preserve"> group of factors (clinical, candidate biomarker and metabolome)</w:t>
      </w:r>
      <w:r w:rsidRPr="002F708B">
        <w:rPr>
          <w:rFonts w:ascii="Times New Roman" w:hAnsi="Times New Roman" w:cs="Times New Roman"/>
        </w:rPr>
        <w:t xml:space="preserve">. </w:t>
      </w:r>
      <w:r w:rsidR="00426744" w:rsidRPr="002F708B">
        <w:rPr>
          <w:rFonts w:ascii="Times New Roman" w:hAnsi="Times New Roman" w:cs="Times New Roman"/>
        </w:rPr>
        <w:t xml:space="preserve">The sample for Model 1 </w:t>
      </w:r>
      <w:r w:rsidR="001E51D5" w:rsidRPr="002F708B">
        <w:rPr>
          <w:rFonts w:ascii="Times New Roman" w:hAnsi="Times New Roman" w:cs="Times New Roman"/>
        </w:rPr>
        <w:t xml:space="preserve">(clinical model) </w:t>
      </w:r>
      <w:r w:rsidR="00426744" w:rsidRPr="002F708B">
        <w:rPr>
          <w:rFonts w:ascii="Times New Roman" w:hAnsi="Times New Roman" w:cs="Times New Roman"/>
        </w:rPr>
        <w:t>and Model 3</w:t>
      </w:r>
      <w:r w:rsidR="001E51D5" w:rsidRPr="002F708B">
        <w:rPr>
          <w:rFonts w:ascii="Times New Roman" w:hAnsi="Times New Roman" w:cs="Times New Roman"/>
        </w:rPr>
        <w:t xml:space="preserve"> (including candidate biomarker and metab</w:t>
      </w:r>
      <w:r w:rsidR="00AB32B2">
        <w:rPr>
          <w:rFonts w:ascii="Times New Roman" w:hAnsi="Times New Roman" w:cs="Times New Roman"/>
        </w:rPr>
        <w:t>o</w:t>
      </w:r>
      <w:r w:rsidR="001E51D5" w:rsidRPr="002F708B">
        <w:rPr>
          <w:rFonts w:ascii="Times New Roman" w:hAnsi="Times New Roman" w:cs="Times New Roman"/>
        </w:rPr>
        <w:t>lome)</w:t>
      </w:r>
      <w:r w:rsidR="00426744" w:rsidRPr="002F708B">
        <w:rPr>
          <w:rFonts w:ascii="Times New Roman" w:hAnsi="Times New Roman" w:cs="Times New Roman"/>
        </w:rPr>
        <w:t xml:space="preserve"> were 1267 and 770 respectively. A</w:t>
      </w:r>
      <w:r w:rsidRPr="002F708B">
        <w:rPr>
          <w:rFonts w:ascii="Times New Roman" w:hAnsi="Times New Roman" w:cs="Times New Roman"/>
        </w:rPr>
        <w:t xml:space="preserve">ll other models used a single data set with complete data for the main </w:t>
      </w:r>
      <w:r w:rsidR="00761DFA" w:rsidRPr="002F708B">
        <w:rPr>
          <w:rFonts w:ascii="Times New Roman" w:hAnsi="Times New Roman" w:cs="Times New Roman"/>
        </w:rPr>
        <w:t xml:space="preserve">clinical and candidate biomarkers (Model 2, 4-8, </w:t>
      </w:r>
      <w:r w:rsidR="00D944D3" w:rsidRPr="002F708B">
        <w:rPr>
          <w:rFonts w:ascii="Times New Roman" w:hAnsi="Times New Roman" w:cs="Times New Roman"/>
        </w:rPr>
        <w:t>n</w:t>
      </w:r>
      <w:r w:rsidR="00761DFA" w:rsidRPr="002F708B">
        <w:rPr>
          <w:rFonts w:ascii="Times New Roman" w:hAnsi="Times New Roman" w:cs="Times New Roman"/>
        </w:rPr>
        <w:t>=</w:t>
      </w:r>
      <w:r w:rsidR="00C81FB9" w:rsidRPr="002F708B">
        <w:rPr>
          <w:rFonts w:ascii="Times New Roman" w:hAnsi="Times New Roman" w:cs="Times New Roman"/>
        </w:rPr>
        <w:t>805</w:t>
      </w:r>
      <w:r w:rsidR="00761DFA" w:rsidRPr="002F708B">
        <w:rPr>
          <w:rFonts w:ascii="Times New Roman" w:hAnsi="Times New Roman" w:cs="Times New Roman"/>
        </w:rPr>
        <w:t xml:space="preserve">). We </w:t>
      </w:r>
      <w:r w:rsidRPr="002F708B">
        <w:rPr>
          <w:rFonts w:ascii="Times New Roman" w:hAnsi="Times New Roman" w:cs="Times New Roman"/>
        </w:rPr>
        <w:t>explored the possibility of bias due to missing data by comparing associations of clinical predictors with GDM in the sample with maximal data (Model 1, clinical factors) to the same associations assessed in the complete case samples (Model 2 and Model 3, biomarkers and metabolome respectively).</w:t>
      </w:r>
    </w:p>
    <w:p w14:paraId="7EEAE51F" w14:textId="77777777" w:rsidR="00347565" w:rsidRDefault="00347565" w:rsidP="002F708B">
      <w:pPr>
        <w:spacing w:line="480" w:lineRule="auto"/>
        <w:jc w:val="both"/>
        <w:rPr>
          <w:rFonts w:ascii="Times New Roman" w:hAnsi="Times New Roman" w:cs="Times New Roman"/>
          <w:sz w:val="24"/>
          <w:szCs w:val="24"/>
        </w:rPr>
      </w:pPr>
    </w:p>
    <w:p w14:paraId="03259AA3" w14:textId="77777777" w:rsidR="00784B70" w:rsidRPr="00CE77D8" w:rsidRDefault="00784B70" w:rsidP="00CE77D8">
      <w:pPr>
        <w:pStyle w:val="Heading2"/>
        <w:spacing w:line="480" w:lineRule="auto"/>
        <w:rPr>
          <w:sz w:val="28"/>
          <w:szCs w:val="28"/>
        </w:rPr>
      </w:pPr>
      <w:r w:rsidRPr="00CE77D8">
        <w:rPr>
          <w:sz w:val="28"/>
          <w:szCs w:val="28"/>
        </w:rPr>
        <w:t>Validation of the prediction model</w:t>
      </w:r>
    </w:p>
    <w:p w14:paraId="1B11E82F" w14:textId="2EA9156E" w:rsidR="00784B70" w:rsidRPr="002F708B" w:rsidRDefault="00784B70" w:rsidP="002F708B">
      <w:pPr>
        <w:spacing w:line="480" w:lineRule="auto"/>
        <w:jc w:val="both"/>
        <w:rPr>
          <w:rFonts w:ascii="Times New Roman" w:hAnsi="Times New Roman" w:cs="Times New Roman"/>
        </w:rPr>
      </w:pPr>
      <w:r w:rsidRPr="002F708B">
        <w:rPr>
          <w:rFonts w:ascii="Times New Roman" w:hAnsi="Times New Roman" w:cs="Times New Roman"/>
        </w:rPr>
        <w:t>Two methods of ten-fold cross validation were used for internal validation of the different models.</w:t>
      </w:r>
      <w:r w:rsidR="00D45D97" w:rsidRPr="002F708B">
        <w:rPr>
          <w:rFonts w:ascii="Times New Roman" w:hAnsi="Times New Roman" w:cs="Times New Roman"/>
        </w:rPr>
        <w:t xml:space="preserve"> </w:t>
      </w:r>
      <w:r w:rsidR="00131A40" w:rsidRPr="002F708B">
        <w:rPr>
          <w:rFonts w:ascii="Times New Roman" w:hAnsi="Times New Roman" w:cs="Times New Roman"/>
        </w:rPr>
        <w:t>[</w:t>
      </w:r>
      <w:r w:rsidR="00184514" w:rsidRPr="002F708B">
        <w:rPr>
          <w:rFonts w:ascii="Times New Roman" w:hAnsi="Times New Roman" w:cs="Times New Roman"/>
          <w:noProof/>
        </w:rPr>
        <w:t>30</w:t>
      </w:r>
      <w:r w:rsidRPr="002F708B">
        <w:rPr>
          <w:rFonts w:ascii="Times New Roman" w:hAnsi="Times New Roman" w:cs="Times New Roman"/>
          <w:noProof/>
        </w:rPr>
        <w:t xml:space="preserve">, </w:t>
      </w:r>
      <w:r w:rsidR="008A0266" w:rsidRPr="002F708B">
        <w:rPr>
          <w:rFonts w:ascii="Times New Roman" w:hAnsi="Times New Roman" w:cs="Times New Roman"/>
          <w:noProof/>
        </w:rPr>
        <w:t>3</w:t>
      </w:r>
      <w:r w:rsidR="00184514" w:rsidRPr="002F708B">
        <w:rPr>
          <w:rFonts w:ascii="Times New Roman" w:hAnsi="Times New Roman" w:cs="Times New Roman"/>
          <w:noProof/>
        </w:rPr>
        <w:t>1</w:t>
      </w:r>
      <w:r w:rsidR="00131A40" w:rsidRPr="002F708B">
        <w:rPr>
          <w:rFonts w:ascii="Times New Roman" w:hAnsi="Times New Roman" w:cs="Times New Roman"/>
          <w:noProof/>
        </w:rPr>
        <w:t>]</w:t>
      </w:r>
    </w:p>
    <w:p w14:paraId="756507D6" w14:textId="77777777" w:rsidR="00347565" w:rsidRPr="00461751" w:rsidRDefault="00347565" w:rsidP="002F708B">
      <w:pPr>
        <w:spacing w:line="480" w:lineRule="auto"/>
        <w:jc w:val="both"/>
        <w:rPr>
          <w:rFonts w:ascii="Times New Roman" w:hAnsi="Times New Roman" w:cs="Times New Roman"/>
        </w:rPr>
      </w:pPr>
    </w:p>
    <w:p w14:paraId="1905231A" w14:textId="77777777" w:rsidR="00784B70" w:rsidRPr="00CE77D8" w:rsidRDefault="00784B70" w:rsidP="00CE77D8">
      <w:pPr>
        <w:pStyle w:val="Heading2"/>
        <w:spacing w:line="480" w:lineRule="auto"/>
        <w:rPr>
          <w:sz w:val="28"/>
          <w:szCs w:val="28"/>
        </w:rPr>
      </w:pPr>
      <w:r w:rsidRPr="00CE77D8">
        <w:rPr>
          <w:sz w:val="28"/>
          <w:szCs w:val="28"/>
        </w:rPr>
        <w:t>Sensitivity analyses</w:t>
      </w:r>
    </w:p>
    <w:p w14:paraId="1569D88C" w14:textId="1131CFF2" w:rsidR="00F14842" w:rsidRPr="00866607" w:rsidRDefault="00784B70" w:rsidP="002F708B">
      <w:pPr>
        <w:spacing w:line="480" w:lineRule="auto"/>
        <w:jc w:val="both"/>
        <w:rPr>
          <w:rFonts w:ascii="Times New Roman" w:hAnsi="Times New Roman" w:cs="Times New Roman"/>
          <w:sz w:val="24"/>
          <w:szCs w:val="24"/>
        </w:rPr>
      </w:pPr>
      <w:r w:rsidRPr="002F708B">
        <w:rPr>
          <w:rFonts w:ascii="Times New Roman" w:hAnsi="Times New Roman" w:cs="Times New Roman"/>
        </w:rPr>
        <w:t>As women with a previous history of GDM are frequently considered as a high risk sub-group necessitating specific management,</w:t>
      </w:r>
      <w:r w:rsidR="00D45D97" w:rsidRPr="002F708B">
        <w:rPr>
          <w:rFonts w:ascii="Times New Roman" w:hAnsi="Times New Roman" w:cs="Times New Roman"/>
        </w:rPr>
        <w:t xml:space="preserve"> </w:t>
      </w:r>
      <w:r w:rsidR="00131A40" w:rsidRPr="002F708B">
        <w:rPr>
          <w:rFonts w:ascii="Times New Roman" w:hAnsi="Times New Roman" w:cs="Times New Roman"/>
        </w:rPr>
        <w:t>[</w:t>
      </w:r>
      <w:r w:rsidRPr="002F708B">
        <w:rPr>
          <w:rFonts w:ascii="Times New Roman" w:hAnsi="Times New Roman" w:cs="Times New Roman"/>
          <w:noProof/>
        </w:rPr>
        <w:t>3</w:t>
      </w:r>
      <w:r w:rsidR="00131A40" w:rsidRPr="002F708B">
        <w:rPr>
          <w:rFonts w:ascii="Times New Roman" w:hAnsi="Times New Roman" w:cs="Times New Roman"/>
          <w:noProof/>
        </w:rPr>
        <w:t>]</w:t>
      </w:r>
      <w:r w:rsidRPr="002F708B">
        <w:rPr>
          <w:rFonts w:ascii="Times New Roman" w:hAnsi="Times New Roman" w:cs="Times New Roman"/>
        </w:rPr>
        <w:t xml:space="preserve"> multivariable and discrimination analyses were repeated for Models 1-3 following removal of women with previous GDM (n=25).</w:t>
      </w:r>
      <w:r w:rsidRPr="0060521C">
        <w:rPr>
          <w:rFonts w:ascii="Times New Roman" w:hAnsi="Times New Roman" w:cs="Times New Roman"/>
          <w:sz w:val="24"/>
          <w:szCs w:val="24"/>
        </w:rPr>
        <w:t xml:space="preserve"> </w:t>
      </w:r>
      <w:r w:rsidR="00F14842" w:rsidRPr="00866607">
        <w:rPr>
          <w:rFonts w:ascii="Times New Roman" w:hAnsi="Times New Roman" w:cs="Times New Roman"/>
          <w:sz w:val="24"/>
          <w:szCs w:val="24"/>
        </w:rPr>
        <w:br w:type="page"/>
      </w:r>
    </w:p>
    <w:p w14:paraId="18A5412A" w14:textId="77777777" w:rsidR="00784B70" w:rsidRPr="00461751" w:rsidRDefault="00784B70" w:rsidP="00CE77D8">
      <w:pPr>
        <w:pStyle w:val="Heading1"/>
        <w:spacing w:line="480" w:lineRule="auto"/>
      </w:pPr>
      <w:r w:rsidRPr="00461751">
        <w:lastRenderedPageBreak/>
        <w:t>Results</w:t>
      </w:r>
    </w:p>
    <w:p w14:paraId="16C1949E" w14:textId="0D0397BB" w:rsidR="00784B70" w:rsidRPr="002F708B" w:rsidRDefault="00784B70" w:rsidP="002F708B">
      <w:pPr>
        <w:spacing w:line="480" w:lineRule="auto"/>
        <w:jc w:val="both"/>
        <w:rPr>
          <w:rFonts w:ascii="Times New Roman" w:hAnsi="Times New Roman" w:cs="Times New Roman"/>
        </w:rPr>
      </w:pPr>
      <w:r w:rsidRPr="002F708B">
        <w:rPr>
          <w:rFonts w:ascii="Times New Roman" w:hAnsi="Times New Roman" w:cs="Times New Roman"/>
        </w:rPr>
        <w:t xml:space="preserve">Of the 1555 participants in the UPBEAT trial, 1303 </w:t>
      </w:r>
      <w:r w:rsidR="00261A92" w:rsidRPr="002F708B">
        <w:rPr>
          <w:rFonts w:ascii="Times New Roman" w:hAnsi="Times New Roman" w:cs="Times New Roman"/>
        </w:rPr>
        <w:t>were included in this study</w:t>
      </w:r>
      <w:r w:rsidR="00D83B6D" w:rsidRPr="002F708B">
        <w:rPr>
          <w:rFonts w:ascii="Times New Roman" w:hAnsi="Times New Roman" w:cs="Times New Roman"/>
        </w:rPr>
        <w:t xml:space="preserve"> (me</w:t>
      </w:r>
      <w:r w:rsidR="00CD1E35" w:rsidRPr="002F708B">
        <w:rPr>
          <w:rFonts w:ascii="Times New Roman" w:hAnsi="Times New Roman" w:cs="Times New Roman"/>
        </w:rPr>
        <w:t>dian</w:t>
      </w:r>
      <w:r w:rsidR="00D83B6D" w:rsidRPr="002F708B">
        <w:rPr>
          <w:rFonts w:ascii="Times New Roman" w:hAnsi="Times New Roman" w:cs="Times New Roman"/>
        </w:rPr>
        <w:t xml:space="preserve"> BMI </w:t>
      </w:r>
      <w:r w:rsidR="00CD1E35" w:rsidRPr="002F708B">
        <w:rPr>
          <w:rFonts w:ascii="Times New Roman" w:hAnsi="Times New Roman" w:cs="Times New Roman"/>
        </w:rPr>
        <w:t>35 kg/m</w:t>
      </w:r>
      <w:r w:rsidR="00CD1E35" w:rsidRPr="002F708B">
        <w:rPr>
          <w:rFonts w:ascii="Times New Roman" w:hAnsi="Times New Roman" w:cs="Times New Roman"/>
          <w:vertAlign w:val="superscript"/>
        </w:rPr>
        <w:t>2</w:t>
      </w:r>
      <w:r w:rsidR="00D83B6D" w:rsidRPr="002F708B">
        <w:rPr>
          <w:rFonts w:ascii="Times New Roman" w:hAnsi="Times New Roman" w:cs="Times New Roman"/>
        </w:rPr>
        <w:t>)</w:t>
      </w:r>
      <w:r w:rsidRPr="002F708B">
        <w:rPr>
          <w:rFonts w:ascii="Times New Roman" w:hAnsi="Times New Roman" w:cs="Times New Roman"/>
        </w:rPr>
        <w:t>. Of these</w:t>
      </w:r>
      <w:r w:rsidR="00EE0FA1" w:rsidRPr="002F708B">
        <w:rPr>
          <w:rFonts w:ascii="Times New Roman" w:hAnsi="Times New Roman" w:cs="Times New Roman"/>
        </w:rPr>
        <w:t>,</w:t>
      </w:r>
      <w:r w:rsidRPr="002F708B">
        <w:rPr>
          <w:rFonts w:ascii="Times New Roman" w:hAnsi="Times New Roman" w:cs="Times New Roman"/>
        </w:rPr>
        <w:t xml:space="preserve"> 337 (25.9%) developed GDM (Fig</w:t>
      </w:r>
      <w:r w:rsidR="00A65181" w:rsidRPr="002F708B">
        <w:rPr>
          <w:rFonts w:ascii="Times New Roman" w:hAnsi="Times New Roman" w:cs="Times New Roman"/>
        </w:rPr>
        <w:t xml:space="preserve"> </w:t>
      </w:r>
      <w:r w:rsidRPr="002F708B">
        <w:rPr>
          <w:rFonts w:ascii="Times New Roman" w:hAnsi="Times New Roman" w:cs="Times New Roman"/>
        </w:rPr>
        <w:t xml:space="preserve">1). The diagnosis of GDM in the majority of women was based on elevated fasting glucose (72%). A further 24% and 4% were because of raised 1-hour and 2-hour post-load glucose respectively (Fig 2). Women with GDM were older than women who did not develop GDM, and more likely to have had GDM in a previous pregnancy or a first-degree relative with </w:t>
      </w:r>
      <w:r w:rsidR="00535057" w:rsidRPr="002F708B">
        <w:rPr>
          <w:rFonts w:ascii="Times New Roman" w:hAnsi="Times New Roman" w:cs="Times New Roman"/>
        </w:rPr>
        <w:t>type 2 diabetes</w:t>
      </w:r>
      <w:r w:rsidR="000A3E11" w:rsidRPr="002F708B">
        <w:rPr>
          <w:rFonts w:ascii="Times New Roman" w:hAnsi="Times New Roman" w:cs="Times New Roman"/>
        </w:rPr>
        <w:t xml:space="preserve"> mellitus</w:t>
      </w:r>
      <w:r w:rsidRPr="002F708B">
        <w:rPr>
          <w:rFonts w:ascii="Times New Roman" w:hAnsi="Times New Roman" w:cs="Times New Roman"/>
        </w:rPr>
        <w:t xml:space="preserve">. BMI and </w:t>
      </w:r>
      <w:r w:rsidR="008C56BD" w:rsidRPr="002F708B">
        <w:rPr>
          <w:rFonts w:ascii="Times New Roman" w:hAnsi="Times New Roman" w:cs="Times New Roman"/>
        </w:rPr>
        <w:t>BP</w:t>
      </w:r>
      <w:r w:rsidRPr="002F708B">
        <w:rPr>
          <w:rFonts w:ascii="Times New Roman" w:hAnsi="Times New Roman" w:cs="Times New Roman"/>
        </w:rPr>
        <w:t xml:space="preserve"> (systolic and diastolic) were higher</w:t>
      </w:r>
      <w:r w:rsidR="00B14462" w:rsidRPr="002F708B">
        <w:rPr>
          <w:rFonts w:ascii="Times New Roman" w:hAnsi="Times New Roman" w:cs="Times New Roman"/>
        </w:rPr>
        <w:t xml:space="preserve"> in those with GDM</w:t>
      </w:r>
      <w:r w:rsidRPr="002F708B">
        <w:rPr>
          <w:rFonts w:ascii="Times New Roman" w:hAnsi="Times New Roman" w:cs="Times New Roman"/>
        </w:rPr>
        <w:t xml:space="preserve">, as were skinfold thicknesses and neck, waist, hip, wrist and mid-arm circumferences (Table 1). In univariate analysis, most of the candidate biomarkers and many of the NMR metabolites were associated with GDM (Table 2; </w:t>
      </w:r>
      <w:r w:rsidR="00B665F1" w:rsidRPr="002F708B">
        <w:rPr>
          <w:rFonts w:ascii="Times New Roman" w:hAnsi="Times New Roman" w:cs="Times New Roman"/>
        </w:rPr>
        <w:t>S</w:t>
      </w:r>
      <w:r w:rsidR="00A67891" w:rsidRPr="002F708B">
        <w:rPr>
          <w:rFonts w:ascii="Times New Roman" w:hAnsi="Times New Roman" w:cs="Times New Roman"/>
        </w:rPr>
        <w:t>3</w:t>
      </w:r>
      <w:r w:rsidR="0040227F" w:rsidRPr="002F708B">
        <w:rPr>
          <w:rFonts w:ascii="Times New Roman" w:hAnsi="Times New Roman" w:cs="Times New Roman"/>
        </w:rPr>
        <w:t xml:space="preserve"> </w:t>
      </w:r>
      <w:r w:rsidRPr="002F708B">
        <w:rPr>
          <w:rFonts w:ascii="Times New Roman" w:hAnsi="Times New Roman" w:cs="Times New Roman"/>
        </w:rPr>
        <w:t>Table). GDM related NMR metabolites included lipoprotein particle subclasses, some fatty acids, amino acids and ketone bodies.</w:t>
      </w:r>
    </w:p>
    <w:p w14:paraId="2C747639" w14:textId="749571E8" w:rsidR="00C26BDF" w:rsidRPr="00CE77D8" w:rsidRDefault="00C26BDF" w:rsidP="002F708B">
      <w:pPr>
        <w:spacing w:after="0"/>
        <w:rPr>
          <w:rFonts w:ascii="Times New Roman" w:hAnsi="Times New Roman" w:cs="Times New Roman"/>
          <w:b/>
          <w:sz w:val="24"/>
          <w:szCs w:val="24"/>
        </w:rPr>
      </w:pPr>
      <w:r w:rsidRPr="00CE77D8">
        <w:rPr>
          <w:rFonts w:ascii="Times New Roman" w:hAnsi="Times New Roman" w:cs="Times New Roman"/>
          <w:b/>
          <w:sz w:val="24"/>
          <w:szCs w:val="24"/>
        </w:rPr>
        <w:t>Fig 1</w:t>
      </w:r>
      <w:r w:rsidR="00866607" w:rsidRPr="00CE77D8">
        <w:rPr>
          <w:rFonts w:ascii="Times New Roman" w:hAnsi="Times New Roman" w:cs="Times New Roman"/>
          <w:b/>
          <w:sz w:val="24"/>
          <w:szCs w:val="24"/>
        </w:rPr>
        <w:t>.</w:t>
      </w:r>
      <w:r w:rsidRPr="00CE77D8">
        <w:rPr>
          <w:rFonts w:ascii="Times New Roman" w:hAnsi="Times New Roman" w:cs="Times New Roman"/>
          <w:b/>
          <w:sz w:val="24"/>
          <w:szCs w:val="24"/>
        </w:rPr>
        <w:t xml:space="preserve"> Study </w:t>
      </w:r>
      <w:r w:rsidR="00AA4991">
        <w:rPr>
          <w:rFonts w:ascii="Times New Roman" w:hAnsi="Times New Roman" w:cs="Times New Roman"/>
          <w:b/>
          <w:sz w:val="24"/>
          <w:szCs w:val="24"/>
        </w:rPr>
        <w:t>p</w:t>
      </w:r>
      <w:r w:rsidRPr="00CE77D8">
        <w:rPr>
          <w:rFonts w:ascii="Times New Roman" w:hAnsi="Times New Roman" w:cs="Times New Roman"/>
          <w:b/>
          <w:sz w:val="24"/>
          <w:szCs w:val="24"/>
        </w:rPr>
        <w:t>opulation</w:t>
      </w:r>
    </w:p>
    <w:p w14:paraId="3B21EA78" w14:textId="1F89FE0A" w:rsidR="00C26BDF" w:rsidRPr="00CE77D8" w:rsidRDefault="00C26BDF" w:rsidP="002F708B">
      <w:pPr>
        <w:spacing w:line="480" w:lineRule="auto"/>
        <w:jc w:val="both"/>
        <w:rPr>
          <w:rFonts w:ascii="Times New Roman" w:hAnsi="Times New Roman" w:cs="Times New Roman"/>
          <w:b/>
          <w:sz w:val="24"/>
          <w:szCs w:val="24"/>
        </w:rPr>
      </w:pPr>
      <w:r w:rsidRPr="00CE77D8">
        <w:rPr>
          <w:rFonts w:ascii="Times New Roman" w:hAnsi="Times New Roman" w:cs="Times New Roman"/>
          <w:b/>
          <w:sz w:val="24"/>
          <w:szCs w:val="24"/>
        </w:rPr>
        <w:t>Fig 2</w:t>
      </w:r>
      <w:r w:rsidR="00866607" w:rsidRPr="00CE77D8">
        <w:rPr>
          <w:rFonts w:ascii="Times New Roman" w:hAnsi="Times New Roman" w:cs="Times New Roman"/>
          <w:b/>
          <w:sz w:val="24"/>
          <w:szCs w:val="24"/>
        </w:rPr>
        <w:t>.</w:t>
      </w:r>
      <w:r w:rsidRPr="00CE77D8">
        <w:rPr>
          <w:rFonts w:ascii="Times New Roman" w:hAnsi="Times New Roman" w:cs="Times New Roman"/>
          <w:b/>
          <w:sz w:val="24"/>
          <w:szCs w:val="24"/>
        </w:rPr>
        <w:t xml:space="preserve"> Spread of time points for positive glucose results leading to GDM diagnosis</w:t>
      </w:r>
    </w:p>
    <w:p w14:paraId="48E012F5" w14:textId="312D27FE" w:rsidR="00D064A8" w:rsidRPr="00CE77D8" w:rsidRDefault="00D064A8" w:rsidP="003D0C81">
      <w:pPr>
        <w:spacing w:after="0"/>
        <w:rPr>
          <w:rFonts w:ascii="Times New Roman" w:hAnsi="Times New Roman" w:cs="Times New Roman"/>
          <w:b/>
          <w:sz w:val="24"/>
          <w:szCs w:val="24"/>
        </w:rPr>
      </w:pPr>
      <w:r w:rsidRPr="00CE77D8">
        <w:rPr>
          <w:rFonts w:ascii="Times New Roman" w:eastAsia="Times New Roman" w:hAnsi="Times New Roman" w:cs="Times New Roman"/>
          <w:b/>
          <w:color w:val="000000"/>
          <w:sz w:val="24"/>
          <w:szCs w:val="24"/>
          <w:lang w:eastAsia="en-GB"/>
        </w:rPr>
        <w:t>Table 1. Maternal characteristics by GDM status</w:t>
      </w:r>
      <w:r w:rsidRPr="00CE77D8">
        <w:rPr>
          <w:rFonts w:ascii="Times New Roman" w:hAnsi="Times New Roman" w:cs="Times New Roman"/>
          <w:b/>
          <w:sz w:val="24"/>
          <w:szCs w:val="24"/>
        </w:rPr>
        <w:t xml:space="preserve"> </w:t>
      </w:r>
    </w:p>
    <w:tbl>
      <w:tblPr>
        <w:tblW w:w="5066" w:type="pct"/>
        <w:tblLayout w:type="fixed"/>
        <w:tblLook w:val="04A0" w:firstRow="1" w:lastRow="0" w:firstColumn="1" w:lastColumn="0" w:noHBand="0" w:noVBand="1"/>
      </w:tblPr>
      <w:tblGrid>
        <w:gridCol w:w="3775"/>
        <w:gridCol w:w="2188"/>
        <w:gridCol w:w="2281"/>
        <w:gridCol w:w="1114"/>
      </w:tblGrid>
      <w:tr w:rsidR="00D064A8" w:rsidRPr="00A931A1" w14:paraId="553F6B4B" w14:textId="77777777" w:rsidTr="00CE77D8">
        <w:trPr>
          <w:trHeight w:val="720"/>
        </w:trPr>
        <w:tc>
          <w:tcPr>
            <w:tcW w:w="2017" w:type="pct"/>
            <w:tcBorders>
              <w:top w:val="single" w:sz="12" w:space="0" w:color="auto"/>
              <w:left w:val="nil"/>
              <w:bottom w:val="single" w:sz="12" w:space="0" w:color="auto"/>
              <w:right w:val="nil"/>
            </w:tcBorders>
            <w:shd w:val="clear" w:color="auto" w:fill="auto"/>
            <w:noWrap/>
            <w:vAlign w:val="center"/>
            <w:hideMark/>
          </w:tcPr>
          <w:p w14:paraId="29363DA6" w14:textId="77777777" w:rsidR="00D064A8" w:rsidRPr="00461751" w:rsidRDefault="00D064A8" w:rsidP="003D0C81">
            <w:pPr>
              <w:spacing w:after="0" w:line="360" w:lineRule="auto"/>
              <w:jc w:val="center"/>
              <w:rPr>
                <w:rFonts w:ascii="Times New Roman" w:eastAsia="Times New Roman" w:hAnsi="Times New Roman" w:cs="Times New Roman"/>
                <w:color w:val="000000"/>
                <w:lang w:eastAsia="en-GB"/>
              </w:rPr>
            </w:pPr>
          </w:p>
        </w:tc>
        <w:tc>
          <w:tcPr>
            <w:tcW w:w="1169" w:type="pct"/>
            <w:tcBorders>
              <w:top w:val="single" w:sz="12" w:space="0" w:color="auto"/>
              <w:left w:val="nil"/>
              <w:bottom w:val="single" w:sz="12" w:space="0" w:color="auto"/>
              <w:right w:val="nil"/>
            </w:tcBorders>
            <w:shd w:val="clear" w:color="auto" w:fill="auto"/>
            <w:noWrap/>
            <w:vAlign w:val="center"/>
            <w:hideMark/>
          </w:tcPr>
          <w:p w14:paraId="20E7C241" w14:textId="77777777" w:rsidR="00D064A8" w:rsidRPr="00AB3D28" w:rsidRDefault="00D064A8" w:rsidP="003D0C81">
            <w:pPr>
              <w:spacing w:after="0" w:line="360" w:lineRule="auto"/>
              <w:jc w:val="center"/>
              <w:rPr>
                <w:rFonts w:ascii="Times New Roman" w:eastAsia="Times New Roman" w:hAnsi="Times New Roman" w:cs="Times New Roman"/>
                <w:b/>
                <w:bCs/>
                <w:color w:val="000000"/>
                <w:sz w:val="20"/>
                <w:szCs w:val="20"/>
                <w:lang w:eastAsia="en-GB"/>
              </w:rPr>
            </w:pPr>
            <w:r w:rsidRPr="00AB3D28">
              <w:rPr>
                <w:rFonts w:ascii="Times New Roman" w:eastAsia="Times New Roman" w:hAnsi="Times New Roman" w:cs="Times New Roman"/>
                <w:b/>
                <w:bCs/>
                <w:color w:val="000000"/>
                <w:sz w:val="20"/>
                <w:szCs w:val="20"/>
                <w:lang w:eastAsia="en-GB"/>
              </w:rPr>
              <w:t xml:space="preserve">No GDM </w:t>
            </w:r>
          </w:p>
          <w:p w14:paraId="7613ECE2" w14:textId="77777777" w:rsidR="00D064A8" w:rsidRPr="00AB3D28" w:rsidRDefault="00D064A8" w:rsidP="003D0C81">
            <w:pPr>
              <w:spacing w:after="0" w:line="360" w:lineRule="auto"/>
              <w:jc w:val="center"/>
              <w:rPr>
                <w:rFonts w:ascii="Times New Roman" w:eastAsia="Times New Roman" w:hAnsi="Times New Roman" w:cs="Times New Roman"/>
                <w:b/>
                <w:bCs/>
                <w:color w:val="000000"/>
                <w:sz w:val="20"/>
                <w:szCs w:val="20"/>
                <w:lang w:eastAsia="en-GB"/>
              </w:rPr>
            </w:pPr>
            <w:r w:rsidRPr="00AB3D28">
              <w:rPr>
                <w:rFonts w:ascii="Times New Roman" w:eastAsia="Times New Roman" w:hAnsi="Times New Roman" w:cs="Times New Roman"/>
                <w:b/>
                <w:bCs/>
                <w:color w:val="000000"/>
                <w:sz w:val="20"/>
                <w:szCs w:val="20"/>
                <w:lang w:eastAsia="en-GB"/>
              </w:rPr>
              <w:t>(n=966)</w:t>
            </w:r>
          </w:p>
          <w:p w14:paraId="75739FEC" w14:textId="77777777" w:rsidR="00D064A8" w:rsidRPr="00AB3D28" w:rsidRDefault="00D064A8" w:rsidP="003D0C81">
            <w:pPr>
              <w:spacing w:after="0" w:line="360" w:lineRule="auto"/>
              <w:jc w:val="center"/>
              <w:rPr>
                <w:rFonts w:ascii="Times New Roman" w:eastAsia="Times New Roman" w:hAnsi="Times New Roman" w:cs="Times New Roman"/>
                <w:b/>
                <w:bCs/>
                <w:color w:val="000000"/>
                <w:sz w:val="20"/>
                <w:szCs w:val="20"/>
                <w:lang w:eastAsia="en-GB"/>
              </w:rPr>
            </w:pPr>
            <w:r w:rsidRPr="00AB3D28">
              <w:rPr>
                <w:rFonts w:ascii="Times New Roman" w:eastAsia="Times New Roman" w:hAnsi="Times New Roman" w:cs="Times New Roman"/>
                <w:b/>
                <w:bCs/>
                <w:color w:val="000000"/>
                <w:sz w:val="20"/>
                <w:szCs w:val="20"/>
                <w:lang w:eastAsia="en-GB"/>
              </w:rPr>
              <w:t>Mean (SD) or n (%)</w:t>
            </w:r>
          </w:p>
        </w:tc>
        <w:tc>
          <w:tcPr>
            <w:tcW w:w="1219" w:type="pct"/>
            <w:tcBorders>
              <w:top w:val="single" w:sz="12" w:space="0" w:color="auto"/>
              <w:left w:val="nil"/>
              <w:bottom w:val="single" w:sz="12" w:space="0" w:color="auto"/>
              <w:right w:val="nil"/>
            </w:tcBorders>
            <w:shd w:val="clear" w:color="auto" w:fill="auto"/>
            <w:noWrap/>
            <w:vAlign w:val="center"/>
            <w:hideMark/>
          </w:tcPr>
          <w:p w14:paraId="6FCB0A4E" w14:textId="77777777" w:rsidR="00D064A8" w:rsidRPr="00AB3D28" w:rsidRDefault="00D064A8" w:rsidP="003D0C81">
            <w:pPr>
              <w:spacing w:after="0" w:line="360" w:lineRule="auto"/>
              <w:jc w:val="center"/>
              <w:rPr>
                <w:rFonts w:ascii="Times New Roman" w:eastAsia="Times New Roman" w:hAnsi="Times New Roman" w:cs="Times New Roman"/>
                <w:b/>
                <w:bCs/>
                <w:color w:val="000000"/>
                <w:sz w:val="20"/>
                <w:szCs w:val="20"/>
                <w:lang w:eastAsia="en-GB"/>
              </w:rPr>
            </w:pPr>
            <w:r w:rsidRPr="00AB3D28">
              <w:rPr>
                <w:rFonts w:ascii="Times New Roman" w:eastAsia="Times New Roman" w:hAnsi="Times New Roman" w:cs="Times New Roman"/>
                <w:b/>
                <w:bCs/>
                <w:color w:val="000000"/>
                <w:sz w:val="20"/>
                <w:szCs w:val="20"/>
                <w:lang w:eastAsia="en-GB"/>
              </w:rPr>
              <w:t xml:space="preserve">GDM </w:t>
            </w:r>
          </w:p>
          <w:p w14:paraId="5B574FFD" w14:textId="77777777" w:rsidR="00D064A8" w:rsidRPr="00AB3D28" w:rsidRDefault="00D064A8" w:rsidP="003D0C81">
            <w:pPr>
              <w:spacing w:after="0" w:line="360" w:lineRule="auto"/>
              <w:jc w:val="center"/>
              <w:rPr>
                <w:rFonts w:ascii="Times New Roman" w:eastAsia="Times New Roman" w:hAnsi="Times New Roman" w:cs="Times New Roman"/>
                <w:b/>
                <w:bCs/>
                <w:color w:val="000000"/>
                <w:sz w:val="20"/>
                <w:szCs w:val="20"/>
                <w:lang w:eastAsia="en-GB"/>
              </w:rPr>
            </w:pPr>
            <w:r w:rsidRPr="00AB3D28">
              <w:rPr>
                <w:rFonts w:ascii="Times New Roman" w:eastAsia="Times New Roman" w:hAnsi="Times New Roman" w:cs="Times New Roman"/>
                <w:b/>
                <w:bCs/>
                <w:color w:val="000000"/>
                <w:sz w:val="20"/>
                <w:szCs w:val="20"/>
                <w:lang w:eastAsia="en-GB"/>
              </w:rPr>
              <w:t>(n=337)</w:t>
            </w:r>
          </w:p>
          <w:p w14:paraId="3FA48E47" w14:textId="77777777" w:rsidR="00D064A8" w:rsidRPr="00AB3D28" w:rsidRDefault="00D064A8" w:rsidP="003D0C81">
            <w:pPr>
              <w:spacing w:after="0" w:line="360" w:lineRule="auto"/>
              <w:jc w:val="center"/>
              <w:rPr>
                <w:rFonts w:ascii="Times New Roman" w:eastAsia="Times New Roman" w:hAnsi="Times New Roman" w:cs="Times New Roman"/>
                <w:b/>
                <w:bCs/>
                <w:color w:val="000000"/>
                <w:sz w:val="20"/>
                <w:szCs w:val="20"/>
                <w:lang w:eastAsia="en-GB"/>
              </w:rPr>
            </w:pPr>
            <w:r w:rsidRPr="00AB3D28">
              <w:rPr>
                <w:rFonts w:ascii="Times New Roman" w:eastAsia="Times New Roman" w:hAnsi="Times New Roman" w:cs="Times New Roman"/>
                <w:b/>
                <w:bCs/>
                <w:color w:val="000000"/>
                <w:sz w:val="20"/>
                <w:szCs w:val="20"/>
                <w:lang w:eastAsia="en-GB"/>
              </w:rPr>
              <w:t>Mean (SD) or n (%)</w:t>
            </w:r>
          </w:p>
        </w:tc>
        <w:tc>
          <w:tcPr>
            <w:tcW w:w="595" w:type="pct"/>
            <w:tcBorders>
              <w:top w:val="single" w:sz="12" w:space="0" w:color="auto"/>
              <w:left w:val="nil"/>
              <w:bottom w:val="single" w:sz="12" w:space="0" w:color="auto"/>
              <w:right w:val="nil"/>
            </w:tcBorders>
            <w:shd w:val="clear" w:color="auto" w:fill="auto"/>
            <w:noWrap/>
            <w:vAlign w:val="center"/>
            <w:hideMark/>
          </w:tcPr>
          <w:p w14:paraId="26F30CD1" w14:textId="77777777" w:rsidR="00D064A8" w:rsidRPr="00AB3D28" w:rsidRDefault="00D064A8" w:rsidP="003D0C81">
            <w:pPr>
              <w:spacing w:after="0" w:line="360" w:lineRule="auto"/>
              <w:jc w:val="center"/>
              <w:rPr>
                <w:rFonts w:ascii="Times New Roman" w:eastAsia="Times New Roman" w:hAnsi="Times New Roman" w:cs="Times New Roman"/>
                <w:b/>
                <w:bCs/>
                <w:color w:val="000000"/>
                <w:sz w:val="20"/>
                <w:szCs w:val="20"/>
                <w:lang w:eastAsia="en-GB"/>
              </w:rPr>
            </w:pPr>
            <w:r w:rsidRPr="00AB3D28">
              <w:rPr>
                <w:rFonts w:ascii="Times New Roman" w:eastAsia="Times New Roman" w:hAnsi="Times New Roman" w:cs="Times New Roman"/>
                <w:b/>
                <w:bCs/>
                <w:color w:val="000000"/>
                <w:sz w:val="20"/>
                <w:szCs w:val="20"/>
                <w:lang w:eastAsia="en-GB"/>
              </w:rPr>
              <w:t>p-value</w:t>
            </w:r>
            <w:r>
              <w:rPr>
                <w:rFonts w:ascii="Times New Roman" w:eastAsia="Times New Roman" w:hAnsi="Times New Roman" w:cs="Times New Roman"/>
                <w:b/>
                <w:bCs/>
                <w:color w:val="000000"/>
                <w:sz w:val="20"/>
                <w:szCs w:val="20"/>
                <w:lang w:eastAsia="en-GB"/>
              </w:rPr>
              <w:t xml:space="preserve"> </w:t>
            </w:r>
            <w:r w:rsidRPr="00247AF1">
              <w:rPr>
                <w:rFonts w:ascii="Times New Roman" w:eastAsia="Times New Roman" w:hAnsi="Times New Roman" w:cs="Times New Roman"/>
                <w:bCs/>
                <w:color w:val="000000"/>
                <w:sz w:val="20"/>
                <w:szCs w:val="20"/>
                <w:vertAlign w:val="superscript"/>
                <w:lang w:eastAsia="en-GB"/>
              </w:rPr>
              <w:t>a</w:t>
            </w:r>
          </w:p>
        </w:tc>
      </w:tr>
      <w:tr w:rsidR="00D064A8" w:rsidRPr="00280B9D" w14:paraId="74C894D0" w14:textId="77777777" w:rsidTr="00CE77D8">
        <w:trPr>
          <w:trHeight w:val="259"/>
        </w:trPr>
        <w:tc>
          <w:tcPr>
            <w:tcW w:w="2017" w:type="pct"/>
            <w:tcBorders>
              <w:top w:val="single" w:sz="4" w:space="0" w:color="auto"/>
              <w:left w:val="nil"/>
              <w:bottom w:val="nil"/>
              <w:right w:val="nil"/>
            </w:tcBorders>
            <w:shd w:val="clear" w:color="auto" w:fill="auto"/>
            <w:noWrap/>
            <w:vAlign w:val="bottom"/>
            <w:hideMark/>
          </w:tcPr>
          <w:p w14:paraId="26A99FE6" w14:textId="77777777" w:rsidR="00D064A8" w:rsidRPr="0044522C" w:rsidRDefault="00D064A8" w:rsidP="003D0C81">
            <w:pPr>
              <w:spacing w:after="0" w:line="360" w:lineRule="auto"/>
              <w:rPr>
                <w:rFonts w:ascii="Times New Roman" w:eastAsia="Times New Roman" w:hAnsi="Times New Roman" w:cs="Times New Roman"/>
                <w:b/>
                <w:bCs/>
                <w:color w:val="000000"/>
                <w:sz w:val="20"/>
                <w:szCs w:val="20"/>
                <w:lang w:eastAsia="en-GB"/>
              </w:rPr>
            </w:pPr>
            <w:r w:rsidRPr="0044522C">
              <w:rPr>
                <w:rFonts w:ascii="Times New Roman" w:eastAsia="Times New Roman" w:hAnsi="Times New Roman" w:cs="Times New Roman"/>
                <w:b/>
                <w:bCs/>
                <w:color w:val="000000"/>
                <w:sz w:val="20"/>
                <w:szCs w:val="20"/>
                <w:lang w:eastAsia="en-GB"/>
              </w:rPr>
              <w:t>Age (years)</w:t>
            </w:r>
          </w:p>
        </w:tc>
        <w:tc>
          <w:tcPr>
            <w:tcW w:w="1169" w:type="pct"/>
            <w:tcBorders>
              <w:top w:val="single" w:sz="4" w:space="0" w:color="auto"/>
              <w:left w:val="nil"/>
              <w:bottom w:val="nil"/>
              <w:right w:val="nil"/>
            </w:tcBorders>
            <w:shd w:val="clear" w:color="auto" w:fill="auto"/>
            <w:noWrap/>
            <w:vAlign w:val="bottom"/>
            <w:hideMark/>
          </w:tcPr>
          <w:p w14:paraId="5467F513"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30.3 (5.5)</w:t>
            </w:r>
          </w:p>
        </w:tc>
        <w:tc>
          <w:tcPr>
            <w:tcW w:w="1219" w:type="pct"/>
            <w:tcBorders>
              <w:top w:val="single" w:sz="4" w:space="0" w:color="auto"/>
              <w:left w:val="nil"/>
              <w:bottom w:val="nil"/>
              <w:right w:val="nil"/>
            </w:tcBorders>
            <w:shd w:val="clear" w:color="auto" w:fill="auto"/>
            <w:noWrap/>
            <w:vAlign w:val="bottom"/>
            <w:hideMark/>
          </w:tcPr>
          <w:p w14:paraId="3331AE6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32.0 (4.9)</w:t>
            </w:r>
          </w:p>
        </w:tc>
        <w:tc>
          <w:tcPr>
            <w:tcW w:w="595" w:type="pct"/>
            <w:tcBorders>
              <w:top w:val="single" w:sz="4" w:space="0" w:color="auto"/>
              <w:left w:val="nil"/>
              <w:bottom w:val="nil"/>
              <w:right w:val="nil"/>
            </w:tcBorders>
            <w:shd w:val="clear" w:color="auto" w:fill="auto"/>
            <w:noWrap/>
            <w:vAlign w:val="bottom"/>
            <w:hideMark/>
          </w:tcPr>
          <w:p w14:paraId="13FD3AE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626EE8A7" w14:textId="77777777" w:rsidTr="004D1B3C">
        <w:trPr>
          <w:trHeight w:val="259"/>
        </w:trPr>
        <w:tc>
          <w:tcPr>
            <w:tcW w:w="2017" w:type="pct"/>
            <w:tcBorders>
              <w:top w:val="nil"/>
              <w:left w:val="nil"/>
              <w:bottom w:val="nil"/>
              <w:right w:val="nil"/>
            </w:tcBorders>
            <w:shd w:val="clear" w:color="auto" w:fill="auto"/>
            <w:noWrap/>
            <w:vAlign w:val="bottom"/>
            <w:hideMark/>
          </w:tcPr>
          <w:p w14:paraId="4E01EFEA" w14:textId="77777777" w:rsidR="00D064A8" w:rsidRPr="0044522C" w:rsidRDefault="00D064A8" w:rsidP="003D0C81">
            <w:pPr>
              <w:spacing w:after="0" w:line="360" w:lineRule="auto"/>
              <w:rPr>
                <w:rFonts w:ascii="Times New Roman" w:eastAsia="Times New Roman" w:hAnsi="Times New Roman" w:cs="Times New Roman"/>
                <w:b/>
                <w:bCs/>
                <w:color w:val="000000"/>
                <w:sz w:val="20"/>
                <w:szCs w:val="20"/>
                <w:lang w:eastAsia="en-GB"/>
              </w:rPr>
            </w:pPr>
            <w:r w:rsidRPr="0044522C">
              <w:rPr>
                <w:rFonts w:ascii="Times New Roman" w:eastAsia="Times New Roman" w:hAnsi="Times New Roman" w:cs="Times New Roman"/>
                <w:b/>
                <w:bCs/>
                <w:color w:val="000000"/>
                <w:sz w:val="20"/>
                <w:szCs w:val="20"/>
                <w:lang w:eastAsia="en-GB"/>
              </w:rPr>
              <w:t>Ethnicity</w:t>
            </w:r>
          </w:p>
        </w:tc>
        <w:tc>
          <w:tcPr>
            <w:tcW w:w="1169" w:type="pct"/>
            <w:tcBorders>
              <w:top w:val="nil"/>
              <w:left w:val="nil"/>
              <w:bottom w:val="nil"/>
              <w:right w:val="nil"/>
            </w:tcBorders>
            <w:shd w:val="clear" w:color="auto" w:fill="auto"/>
            <w:noWrap/>
            <w:vAlign w:val="bottom"/>
            <w:hideMark/>
          </w:tcPr>
          <w:p w14:paraId="3B5DC3B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1219" w:type="pct"/>
            <w:tcBorders>
              <w:top w:val="nil"/>
              <w:left w:val="nil"/>
              <w:bottom w:val="nil"/>
              <w:right w:val="nil"/>
            </w:tcBorders>
            <w:shd w:val="clear" w:color="auto" w:fill="auto"/>
            <w:noWrap/>
            <w:vAlign w:val="bottom"/>
            <w:hideMark/>
          </w:tcPr>
          <w:p w14:paraId="1729356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595" w:type="pct"/>
            <w:tcBorders>
              <w:top w:val="nil"/>
              <w:left w:val="nil"/>
              <w:bottom w:val="nil"/>
              <w:right w:val="nil"/>
            </w:tcBorders>
            <w:shd w:val="clear" w:color="auto" w:fill="auto"/>
            <w:noWrap/>
            <w:vAlign w:val="bottom"/>
            <w:hideMark/>
          </w:tcPr>
          <w:p w14:paraId="22F314B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0FED4621" w14:textId="77777777" w:rsidTr="004D1B3C">
        <w:trPr>
          <w:trHeight w:val="259"/>
        </w:trPr>
        <w:tc>
          <w:tcPr>
            <w:tcW w:w="2017" w:type="pct"/>
            <w:tcBorders>
              <w:top w:val="nil"/>
              <w:left w:val="nil"/>
              <w:bottom w:val="nil"/>
              <w:right w:val="nil"/>
            </w:tcBorders>
            <w:shd w:val="clear" w:color="auto" w:fill="auto"/>
            <w:noWrap/>
            <w:vAlign w:val="bottom"/>
            <w:hideMark/>
          </w:tcPr>
          <w:p w14:paraId="53E03AA4"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African</w:t>
            </w:r>
          </w:p>
        </w:tc>
        <w:tc>
          <w:tcPr>
            <w:tcW w:w="1169" w:type="pct"/>
            <w:tcBorders>
              <w:top w:val="nil"/>
              <w:left w:val="nil"/>
              <w:bottom w:val="nil"/>
              <w:right w:val="nil"/>
            </w:tcBorders>
            <w:shd w:val="clear" w:color="auto" w:fill="auto"/>
            <w:noWrap/>
            <w:vAlign w:val="bottom"/>
            <w:hideMark/>
          </w:tcPr>
          <w:p w14:paraId="5C36759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151 (15.6)</w:t>
            </w:r>
          </w:p>
        </w:tc>
        <w:tc>
          <w:tcPr>
            <w:tcW w:w="1219" w:type="pct"/>
            <w:tcBorders>
              <w:top w:val="nil"/>
              <w:left w:val="nil"/>
              <w:bottom w:val="nil"/>
              <w:right w:val="nil"/>
            </w:tcBorders>
            <w:shd w:val="clear" w:color="auto" w:fill="auto"/>
            <w:noWrap/>
            <w:vAlign w:val="bottom"/>
            <w:hideMark/>
          </w:tcPr>
          <w:p w14:paraId="304A6E7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64 (19.0)</w:t>
            </w:r>
          </w:p>
        </w:tc>
        <w:tc>
          <w:tcPr>
            <w:tcW w:w="595" w:type="pct"/>
            <w:tcBorders>
              <w:top w:val="nil"/>
              <w:left w:val="nil"/>
              <w:bottom w:val="nil"/>
              <w:right w:val="nil"/>
            </w:tcBorders>
            <w:shd w:val="clear" w:color="auto" w:fill="auto"/>
            <w:noWrap/>
            <w:vAlign w:val="bottom"/>
            <w:hideMark/>
          </w:tcPr>
          <w:p w14:paraId="327D6736"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0.60</w:t>
            </w:r>
          </w:p>
        </w:tc>
      </w:tr>
      <w:tr w:rsidR="00D064A8" w:rsidRPr="00280B9D" w14:paraId="317C9747" w14:textId="77777777" w:rsidTr="004D1B3C">
        <w:trPr>
          <w:trHeight w:val="259"/>
        </w:trPr>
        <w:tc>
          <w:tcPr>
            <w:tcW w:w="2017" w:type="pct"/>
            <w:tcBorders>
              <w:top w:val="nil"/>
              <w:left w:val="nil"/>
              <w:bottom w:val="nil"/>
              <w:right w:val="nil"/>
            </w:tcBorders>
            <w:shd w:val="clear" w:color="auto" w:fill="auto"/>
            <w:noWrap/>
            <w:vAlign w:val="bottom"/>
            <w:hideMark/>
          </w:tcPr>
          <w:p w14:paraId="1CA82CB8"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African Caribbean</w:t>
            </w:r>
          </w:p>
        </w:tc>
        <w:tc>
          <w:tcPr>
            <w:tcW w:w="1169" w:type="pct"/>
            <w:tcBorders>
              <w:top w:val="nil"/>
              <w:left w:val="nil"/>
              <w:bottom w:val="nil"/>
              <w:right w:val="nil"/>
            </w:tcBorders>
            <w:shd w:val="clear" w:color="auto" w:fill="auto"/>
            <w:noWrap/>
            <w:vAlign w:val="bottom"/>
            <w:hideMark/>
          </w:tcPr>
          <w:p w14:paraId="7AC8425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74 (7.6)</w:t>
            </w:r>
          </w:p>
        </w:tc>
        <w:tc>
          <w:tcPr>
            <w:tcW w:w="1219" w:type="pct"/>
            <w:tcBorders>
              <w:top w:val="nil"/>
              <w:left w:val="nil"/>
              <w:bottom w:val="nil"/>
              <w:right w:val="nil"/>
            </w:tcBorders>
            <w:shd w:val="clear" w:color="auto" w:fill="auto"/>
            <w:noWrap/>
            <w:vAlign w:val="bottom"/>
            <w:hideMark/>
          </w:tcPr>
          <w:p w14:paraId="6FA51575"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22 (6.5)</w:t>
            </w:r>
          </w:p>
        </w:tc>
        <w:tc>
          <w:tcPr>
            <w:tcW w:w="595" w:type="pct"/>
            <w:tcBorders>
              <w:top w:val="nil"/>
              <w:left w:val="nil"/>
              <w:bottom w:val="nil"/>
              <w:right w:val="nil"/>
            </w:tcBorders>
            <w:shd w:val="clear" w:color="auto" w:fill="auto"/>
            <w:noWrap/>
            <w:vAlign w:val="bottom"/>
            <w:hideMark/>
          </w:tcPr>
          <w:p w14:paraId="2B352942"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62D9ECE6" w14:textId="77777777" w:rsidTr="004D1B3C">
        <w:trPr>
          <w:trHeight w:val="259"/>
        </w:trPr>
        <w:tc>
          <w:tcPr>
            <w:tcW w:w="2017" w:type="pct"/>
            <w:tcBorders>
              <w:top w:val="nil"/>
              <w:left w:val="nil"/>
              <w:bottom w:val="nil"/>
              <w:right w:val="nil"/>
            </w:tcBorders>
            <w:shd w:val="clear" w:color="auto" w:fill="auto"/>
            <w:noWrap/>
            <w:vAlign w:val="bottom"/>
            <w:hideMark/>
          </w:tcPr>
          <w:p w14:paraId="13C45184"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South Asian</w:t>
            </w:r>
          </w:p>
        </w:tc>
        <w:tc>
          <w:tcPr>
            <w:tcW w:w="1169" w:type="pct"/>
            <w:tcBorders>
              <w:top w:val="nil"/>
              <w:left w:val="nil"/>
              <w:bottom w:val="nil"/>
              <w:right w:val="nil"/>
            </w:tcBorders>
            <w:shd w:val="clear" w:color="auto" w:fill="auto"/>
            <w:noWrap/>
            <w:vAlign w:val="bottom"/>
            <w:hideMark/>
          </w:tcPr>
          <w:p w14:paraId="6D77FCC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55 (5.7)</w:t>
            </w:r>
          </w:p>
        </w:tc>
        <w:tc>
          <w:tcPr>
            <w:tcW w:w="1219" w:type="pct"/>
            <w:tcBorders>
              <w:top w:val="nil"/>
              <w:left w:val="nil"/>
              <w:bottom w:val="nil"/>
              <w:right w:val="nil"/>
            </w:tcBorders>
            <w:shd w:val="clear" w:color="auto" w:fill="auto"/>
            <w:noWrap/>
            <w:vAlign w:val="bottom"/>
            <w:hideMark/>
          </w:tcPr>
          <w:p w14:paraId="2F2A7275"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21 (6.2)</w:t>
            </w:r>
          </w:p>
        </w:tc>
        <w:tc>
          <w:tcPr>
            <w:tcW w:w="595" w:type="pct"/>
            <w:tcBorders>
              <w:top w:val="nil"/>
              <w:left w:val="nil"/>
              <w:bottom w:val="nil"/>
              <w:right w:val="nil"/>
            </w:tcBorders>
            <w:shd w:val="clear" w:color="auto" w:fill="auto"/>
            <w:noWrap/>
            <w:vAlign w:val="bottom"/>
            <w:hideMark/>
          </w:tcPr>
          <w:p w14:paraId="0A75C38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7582EA9C" w14:textId="77777777" w:rsidTr="004D1B3C">
        <w:trPr>
          <w:trHeight w:val="259"/>
        </w:trPr>
        <w:tc>
          <w:tcPr>
            <w:tcW w:w="2017" w:type="pct"/>
            <w:tcBorders>
              <w:top w:val="nil"/>
              <w:left w:val="nil"/>
              <w:bottom w:val="nil"/>
              <w:right w:val="nil"/>
            </w:tcBorders>
            <w:shd w:val="clear" w:color="auto" w:fill="auto"/>
            <w:noWrap/>
            <w:vAlign w:val="bottom"/>
            <w:hideMark/>
          </w:tcPr>
          <w:p w14:paraId="5D6226DE"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European</w:t>
            </w:r>
          </w:p>
        </w:tc>
        <w:tc>
          <w:tcPr>
            <w:tcW w:w="1169" w:type="pct"/>
            <w:tcBorders>
              <w:top w:val="nil"/>
              <w:left w:val="nil"/>
              <w:bottom w:val="nil"/>
              <w:right w:val="nil"/>
            </w:tcBorders>
            <w:shd w:val="clear" w:color="auto" w:fill="auto"/>
            <w:noWrap/>
            <w:vAlign w:val="bottom"/>
            <w:hideMark/>
          </w:tcPr>
          <w:p w14:paraId="197A0165"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616 (63.8)</w:t>
            </w:r>
          </w:p>
        </w:tc>
        <w:tc>
          <w:tcPr>
            <w:tcW w:w="1219" w:type="pct"/>
            <w:tcBorders>
              <w:top w:val="nil"/>
              <w:left w:val="nil"/>
              <w:bottom w:val="nil"/>
              <w:right w:val="nil"/>
            </w:tcBorders>
            <w:shd w:val="clear" w:color="auto" w:fill="auto"/>
            <w:noWrap/>
            <w:vAlign w:val="bottom"/>
            <w:hideMark/>
          </w:tcPr>
          <w:p w14:paraId="789444F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204 (60.5)</w:t>
            </w:r>
          </w:p>
        </w:tc>
        <w:tc>
          <w:tcPr>
            <w:tcW w:w="595" w:type="pct"/>
            <w:tcBorders>
              <w:top w:val="nil"/>
              <w:left w:val="nil"/>
              <w:bottom w:val="nil"/>
              <w:right w:val="nil"/>
            </w:tcBorders>
            <w:shd w:val="clear" w:color="auto" w:fill="auto"/>
            <w:noWrap/>
            <w:vAlign w:val="bottom"/>
            <w:hideMark/>
          </w:tcPr>
          <w:p w14:paraId="6B27EB83"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44E29034" w14:textId="77777777" w:rsidTr="004D1B3C">
        <w:trPr>
          <w:trHeight w:val="259"/>
        </w:trPr>
        <w:tc>
          <w:tcPr>
            <w:tcW w:w="2017" w:type="pct"/>
            <w:tcBorders>
              <w:top w:val="nil"/>
              <w:left w:val="nil"/>
              <w:bottom w:val="nil"/>
              <w:right w:val="nil"/>
            </w:tcBorders>
            <w:shd w:val="clear" w:color="auto" w:fill="auto"/>
            <w:noWrap/>
            <w:vAlign w:val="bottom"/>
            <w:hideMark/>
          </w:tcPr>
          <w:p w14:paraId="3A6F63C6"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Other</w:t>
            </w:r>
          </w:p>
        </w:tc>
        <w:tc>
          <w:tcPr>
            <w:tcW w:w="1169" w:type="pct"/>
            <w:tcBorders>
              <w:top w:val="nil"/>
              <w:left w:val="nil"/>
              <w:bottom w:val="nil"/>
              <w:right w:val="nil"/>
            </w:tcBorders>
            <w:shd w:val="clear" w:color="auto" w:fill="auto"/>
            <w:noWrap/>
            <w:vAlign w:val="bottom"/>
            <w:hideMark/>
          </w:tcPr>
          <w:p w14:paraId="5E537B9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70 (7.2)</w:t>
            </w:r>
          </w:p>
        </w:tc>
        <w:tc>
          <w:tcPr>
            <w:tcW w:w="1219" w:type="pct"/>
            <w:tcBorders>
              <w:top w:val="nil"/>
              <w:left w:val="nil"/>
              <w:bottom w:val="nil"/>
              <w:right w:val="nil"/>
            </w:tcBorders>
            <w:shd w:val="clear" w:color="auto" w:fill="auto"/>
            <w:noWrap/>
            <w:vAlign w:val="bottom"/>
            <w:hideMark/>
          </w:tcPr>
          <w:p w14:paraId="43B8654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26 (7.7)</w:t>
            </w:r>
          </w:p>
        </w:tc>
        <w:tc>
          <w:tcPr>
            <w:tcW w:w="595" w:type="pct"/>
            <w:tcBorders>
              <w:top w:val="nil"/>
              <w:left w:val="nil"/>
              <w:bottom w:val="nil"/>
              <w:right w:val="nil"/>
            </w:tcBorders>
            <w:shd w:val="clear" w:color="auto" w:fill="auto"/>
            <w:noWrap/>
            <w:vAlign w:val="bottom"/>
            <w:hideMark/>
          </w:tcPr>
          <w:p w14:paraId="1413564D"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6781178D" w14:textId="77777777" w:rsidTr="004D1B3C">
        <w:trPr>
          <w:trHeight w:val="259"/>
        </w:trPr>
        <w:tc>
          <w:tcPr>
            <w:tcW w:w="2017" w:type="pct"/>
            <w:tcBorders>
              <w:top w:val="nil"/>
              <w:left w:val="nil"/>
              <w:bottom w:val="nil"/>
              <w:right w:val="nil"/>
            </w:tcBorders>
            <w:shd w:val="clear" w:color="auto" w:fill="auto"/>
            <w:noWrap/>
            <w:vAlign w:val="bottom"/>
            <w:hideMark/>
          </w:tcPr>
          <w:p w14:paraId="42C2F8A0" w14:textId="77777777" w:rsidR="00D064A8" w:rsidRPr="0044522C" w:rsidRDefault="00D064A8" w:rsidP="003D0C81">
            <w:pPr>
              <w:spacing w:after="0" w:line="360" w:lineRule="auto"/>
              <w:rPr>
                <w:rFonts w:ascii="Times New Roman" w:eastAsia="Times New Roman" w:hAnsi="Times New Roman" w:cs="Times New Roman"/>
                <w:bCs/>
                <w:color w:val="000000"/>
                <w:sz w:val="20"/>
                <w:szCs w:val="20"/>
                <w:vertAlign w:val="superscript"/>
                <w:lang w:eastAsia="en-GB"/>
              </w:rPr>
            </w:pPr>
            <w:r w:rsidRPr="0044522C">
              <w:rPr>
                <w:rFonts w:ascii="Times New Roman" w:eastAsia="Times New Roman" w:hAnsi="Times New Roman" w:cs="Times New Roman"/>
                <w:b/>
                <w:bCs/>
                <w:color w:val="000000"/>
                <w:sz w:val="20"/>
                <w:szCs w:val="20"/>
                <w:lang w:eastAsia="en-GB"/>
              </w:rPr>
              <w:t>Adjusted English &amp; Scottish IMD</w:t>
            </w:r>
            <w:r w:rsidRPr="0044522C">
              <w:rPr>
                <w:rFonts w:ascii="Times New Roman" w:eastAsia="Times New Roman" w:hAnsi="Times New Roman" w:cs="Times New Roman"/>
                <w:bCs/>
                <w:color w:val="000000"/>
                <w:sz w:val="20"/>
                <w:szCs w:val="20"/>
                <w:lang w:eastAsia="en-GB"/>
              </w:rPr>
              <w:t xml:space="preserve"> </w:t>
            </w:r>
            <w:r w:rsidRPr="0044522C">
              <w:rPr>
                <w:rFonts w:ascii="Times New Roman" w:eastAsia="Times New Roman" w:hAnsi="Times New Roman" w:cs="Times New Roman"/>
                <w:bCs/>
                <w:color w:val="000000"/>
                <w:sz w:val="20"/>
                <w:szCs w:val="20"/>
                <w:vertAlign w:val="superscript"/>
                <w:lang w:eastAsia="en-GB"/>
              </w:rPr>
              <w:t xml:space="preserve">b </w:t>
            </w:r>
            <w:r w:rsidRPr="0044522C">
              <w:rPr>
                <w:rFonts w:ascii="Times New Roman" w:hAnsi="Times New Roman" w:cs="Times New Roman"/>
                <w:color w:val="312A2A"/>
                <w:sz w:val="20"/>
                <w:szCs w:val="20"/>
                <w:vertAlign w:val="superscript"/>
                <w:lang w:val="en-US"/>
              </w:rPr>
              <w:t>c</w:t>
            </w:r>
          </w:p>
        </w:tc>
        <w:tc>
          <w:tcPr>
            <w:tcW w:w="1169" w:type="pct"/>
            <w:tcBorders>
              <w:top w:val="nil"/>
              <w:left w:val="nil"/>
              <w:bottom w:val="nil"/>
              <w:right w:val="nil"/>
            </w:tcBorders>
            <w:shd w:val="clear" w:color="auto" w:fill="auto"/>
            <w:noWrap/>
            <w:vAlign w:val="bottom"/>
            <w:hideMark/>
          </w:tcPr>
          <w:p w14:paraId="4CC8F4E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1219" w:type="pct"/>
            <w:tcBorders>
              <w:top w:val="nil"/>
              <w:left w:val="nil"/>
              <w:bottom w:val="nil"/>
              <w:right w:val="nil"/>
            </w:tcBorders>
            <w:shd w:val="clear" w:color="auto" w:fill="auto"/>
            <w:noWrap/>
            <w:vAlign w:val="bottom"/>
            <w:hideMark/>
          </w:tcPr>
          <w:p w14:paraId="54674503"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595" w:type="pct"/>
            <w:tcBorders>
              <w:top w:val="nil"/>
              <w:left w:val="nil"/>
              <w:bottom w:val="nil"/>
              <w:right w:val="nil"/>
            </w:tcBorders>
            <w:shd w:val="clear" w:color="auto" w:fill="auto"/>
            <w:noWrap/>
            <w:vAlign w:val="bottom"/>
            <w:hideMark/>
          </w:tcPr>
          <w:p w14:paraId="18CF65CD"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048D64B6" w14:textId="77777777" w:rsidTr="004D1B3C">
        <w:trPr>
          <w:trHeight w:val="259"/>
        </w:trPr>
        <w:tc>
          <w:tcPr>
            <w:tcW w:w="2017" w:type="pct"/>
            <w:tcBorders>
              <w:top w:val="nil"/>
              <w:left w:val="nil"/>
              <w:bottom w:val="nil"/>
              <w:right w:val="nil"/>
            </w:tcBorders>
            <w:shd w:val="clear" w:color="auto" w:fill="auto"/>
            <w:noWrap/>
            <w:vAlign w:val="bottom"/>
            <w:hideMark/>
          </w:tcPr>
          <w:p w14:paraId="5E717142"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least deprived</w:t>
            </w:r>
          </w:p>
        </w:tc>
        <w:tc>
          <w:tcPr>
            <w:tcW w:w="1169" w:type="pct"/>
            <w:tcBorders>
              <w:top w:val="nil"/>
              <w:left w:val="nil"/>
              <w:bottom w:val="nil"/>
              <w:right w:val="nil"/>
            </w:tcBorders>
            <w:shd w:val="clear" w:color="auto" w:fill="auto"/>
            <w:noWrap/>
            <w:vAlign w:val="bottom"/>
            <w:hideMark/>
          </w:tcPr>
          <w:p w14:paraId="4112E68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229 (23.8)</w:t>
            </w:r>
          </w:p>
        </w:tc>
        <w:tc>
          <w:tcPr>
            <w:tcW w:w="1219" w:type="pct"/>
            <w:tcBorders>
              <w:top w:val="nil"/>
              <w:left w:val="nil"/>
              <w:bottom w:val="nil"/>
              <w:right w:val="nil"/>
            </w:tcBorders>
            <w:shd w:val="clear" w:color="auto" w:fill="auto"/>
            <w:noWrap/>
            <w:vAlign w:val="bottom"/>
            <w:hideMark/>
          </w:tcPr>
          <w:p w14:paraId="0D2315C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69 (20.5)</w:t>
            </w:r>
          </w:p>
        </w:tc>
        <w:tc>
          <w:tcPr>
            <w:tcW w:w="595" w:type="pct"/>
            <w:tcBorders>
              <w:top w:val="nil"/>
              <w:left w:val="nil"/>
              <w:bottom w:val="nil"/>
              <w:right w:val="nil"/>
            </w:tcBorders>
            <w:shd w:val="clear" w:color="auto" w:fill="auto"/>
            <w:noWrap/>
            <w:vAlign w:val="bottom"/>
            <w:hideMark/>
          </w:tcPr>
          <w:p w14:paraId="16062385"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0.31</w:t>
            </w:r>
          </w:p>
        </w:tc>
      </w:tr>
      <w:tr w:rsidR="00D064A8" w:rsidRPr="00280B9D" w14:paraId="3DECAAEF" w14:textId="77777777" w:rsidTr="004D1B3C">
        <w:trPr>
          <w:trHeight w:val="259"/>
        </w:trPr>
        <w:tc>
          <w:tcPr>
            <w:tcW w:w="2017" w:type="pct"/>
            <w:tcBorders>
              <w:top w:val="nil"/>
              <w:left w:val="nil"/>
              <w:bottom w:val="nil"/>
              <w:right w:val="nil"/>
            </w:tcBorders>
            <w:shd w:val="clear" w:color="auto" w:fill="auto"/>
            <w:noWrap/>
            <w:vAlign w:val="bottom"/>
            <w:hideMark/>
          </w:tcPr>
          <w:p w14:paraId="3F5D40DB"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Intermediate</w:t>
            </w:r>
          </w:p>
        </w:tc>
        <w:tc>
          <w:tcPr>
            <w:tcW w:w="1169" w:type="pct"/>
            <w:tcBorders>
              <w:top w:val="nil"/>
              <w:left w:val="nil"/>
              <w:bottom w:val="nil"/>
              <w:right w:val="nil"/>
            </w:tcBorders>
            <w:shd w:val="clear" w:color="auto" w:fill="auto"/>
            <w:noWrap/>
            <w:vAlign w:val="bottom"/>
            <w:hideMark/>
          </w:tcPr>
          <w:p w14:paraId="778DE7D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339 (35.3)</w:t>
            </w:r>
          </w:p>
        </w:tc>
        <w:tc>
          <w:tcPr>
            <w:tcW w:w="1219" w:type="pct"/>
            <w:tcBorders>
              <w:top w:val="nil"/>
              <w:left w:val="nil"/>
              <w:bottom w:val="nil"/>
              <w:right w:val="nil"/>
            </w:tcBorders>
            <w:shd w:val="clear" w:color="auto" w:fill="auto"/>
            <w:noWrap/>
            <w:vAlign w:val="bottom"/>
            <w:hideMark/>
          </w:tcPr>
          <w:p w14:paraId="1A055FC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115 (34.2)</w:t>
            </w:r>
          </w:p>
        </w:tc>
        <w:tc>
          <w:tcPr>
            <w:tcW w:w="595" w:type="pct"/>
            <w:tcBorders>
              <w:top w:val="nil"/>
              <w:left w:val="nil"/>
              <w:bottom w:val="nil"/>
              <w:right w:val="nil"/>
            </w:tcBorders>
            <w:shd w:val="clear" w:color="auto" w:fill="auto"/>
            <w:noWrap/>
            <w:vAlign w:val="bottom"/>
            <w:hideMark/>
          </w:tcPr>
          <w:p w14:paraId="5B393D2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0F666F3C" w14:textId="77777777" w:rsidTr="004D1B3C">
        <w:trPr>
          <w:trHeight w:val="259"/>
        </w:trPr>
        <w:tc>
          <w:tcPr>
            <w:tcW w:w="2017" w:type="pct"/>
            <w:tcBorders>
              <w:top w:val="nil"/>
              <w:left w:val="nil"/>
              <w:bottom w:val="nil"/>
              <w:right w:val="nil"/>
            </w:tcBorders>
            <w:shd w:val="clear" w:color="auto" w:fill="auto"/>
            <w:noWrap/>
            <w:vAlign w:val="bottom"/>
            <w:hideMark/>
          </w:tcPr>
          <w:p w14:paraId="3B666685"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most deprived</w:t>
            </w:r>
          </w:p>
        </w:tc>
        <w:tc>
          <w:tcPr>
            <w:tcW w:w="1169" w:type="pct"/>
            <w:tcBorders>
              <w:top w:val="nil"/>
              <w:left w:val="nil"/>
              <w:bottom w:val="nil"/>
              <w:right w:val="nil"/>
            </w:tcBorders>
            <w:shd w:val="clear" w:color="auto" w:fill="auto"/>
            <w:noWrap/>
            <w:vAlign w:val="bottom"/>
            <w:hideMark/>
          </w:tcPr>
          <w:p w14:paraId="6277D208"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393 (40.9)</w:t>
            </w:r>
          </w:p>
        </w:tc>
        <w:tc>
          <w:tcPr>
            <w:tcW w:w="1219" w:type="pct"/>
            <w:tcBorders>
              <w:top w:val="nil"/>
              <w:left w:val="nil"/>
              <w:bottom w:val="nil"/>
              <w:right w:val="nil"/>
            </w:tcBorders>
            <w:shd w:val="clear" w:color="auto" w:fill="auto"/>
            <w:noWrap/>
            <w:vAlign w:val="bottom"/>
            <w:hideMark/>
          </w:tcPr>
          <w:p w14:paraId="29C1755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152 (45.2)</w:t>
            </w:r>
          </w:p>
        </w:tc>
        <w:tc>
          <w:tcPr>
            <w:tcW w:w="595" w:type="pct"/>
            <w:tcBorders>
              <w:top w:val="nil"/>
              <w:left w:val="nil"/>
              <w:bottom w:val="nil"/>
              <w:right w:val="nil"/>
            </w:tcBorders>
            <w:shd w:val="clear" w:color="auto" w:fill="auto"/>
            <w:noWrap/>
            <w:vAlign w:val="bottom"/>
            <w:hideMark/>
          </w:tcPr>
          <w:p w14:paraId="7DBE7A4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0EADAC13" w14:textId="77777777" w:rsidTr="004D1B3C">
        <w:trPr>
          <w:trHeight w:val="259"/>
        </w:trPr>
        <w:tc>
          <w:tcPr>
            <w:tcW w:w="2017" w:type="pct"/>
            <w:tcBorders>
              <w:top w:val="nil"/>
              <w:left w:val="nil"/>
              <w:bottom w:val="nil"/>
              <w:right w:val="nil"/>
            </w:tcBorders>
            <w:shd w:val="clear" w:color="auto" w:fill="auto"/>
            <w:noWrap/>
            <w:vAlign w:val="bottom"/>
            <w:hideMark/>
          </w:tcPr>
          <w:p w14:paraId="67C5F822" w14:textId="77777777" w:rsidR="00D064A8" w:rsidRPr="0044522C" w:rsidRDefault="00D064A8" w:rsidP="003D0C81">
            <w:pPr>
              <w:spacing w:after="0" w:line="360" w:lineRule="auto"/>
              <w:rPr>
                <w:rFonts w:ascii="Times New Roman" w:eastAsia="Times New Roman" w:hAnsi="Times New Roman" w:cs="Times New Roman"/>
                <w:b/>
                <w:bCs/>
                <w:color w:val="000000"/>
                <w:sz w:val="20"/>
                <w:szCs w:val="20"/>
                <w:lang w:eastAsia="en-GB"/>
              </w:rPr>
            </w:pPr>
            <w:r w:rsidRPr="0044522C">
              <w:rPr>
                <w:rFonts w:ascii="Times New Roman" w:eastAsia="Times New Roman" w:hAnsi="Times New Roman" w:cs="Times New Roman"/>
                <w:b/>
                <w:bCs/>
                <w:color w:val="000000"/>
                <w:sz w:val="20"/>
                <w:szCs w:val="20"/>
                <w:lang w:eastAsia="en-GB"/>
              </w:rPr>
              <w:t>Parity</w:t>
            </w:r>
          </w:p>
        </w:tc>
        <w:tc>
          <w:tcPr>
            <w:tcW w:w="1169" w:type="pct"/>
            <w:tcBorders>
              <w:top w:val="nil"/>
              <w:left w:val="nil"/>
              <w:bottom w:val="nil"/>
              <w:right w:val="nil"/>
            </w:tcBorders>
            <w:shd w:val="clear" w:color="auto" w:fill="auto"/>
            <w:noWrap/>
            <w:vAlign w:val="bottom"/>
            <w:hideMark/>
          </w:tcPr>
          <w:p w14:paraId="30CD180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1219" w:type="pct"/>
            <w:tcBorders>
              <w:top w:val="nil"/>
              <w:left w:val="nil"/>
              <w:bottom w:val="nil"/>
              <w:right w:val="nil"/>
            </w:tcBorders>
            <w:shd w:val="clear" w:color="auto" w:fill="auto"/>
            <w:noWrap/>
            <w:vAlign w:val="bottom"/>
            <w:hideMark/>
          </w:tcPr>
          <w:p w14:paraId="4720938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595" w:type="pct"/>
            <w:tcBorders>
              <w:top w:val="nil"/>
              <w:left w:val="nil"/>
              <w:bottom w:val="nil"/>
              <w:right w:val="nil"/>
            </w:tcBorders>
            <w:shd w:val="clear" w:color="auto" w:fill="auto"/>
            <w:noWrap/>
            <w:vAlign w:val="bottom"/>
            <w:hideMark/>
          </w:tcPr>
          <w:p w14:paraId="47C9401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34C295D7" w14:textId="77777777" w:rsidTr="004D1B3C">
        <w:trPr>
          <w:trHeight w:val="259"/>
        </w:trPr>
        <w:tc>
          <w:tcPr>
            <w:tcW w:w="2017" w:type="pct"/>
            <w:tcBorders>
              <w:top w:val="nil"/>
              <w:left w:val="nil"/>
              <w:bottom w:val="nil"/>
              <w:right w:val="nil"/>
            </w:tcBorders>
            <w:shd w:val="clear" w:color="auto" w:fill="auto"/>
            <w:noWrap/>
            <w:vAlign w:val="bottom"/>
            <w:hideMark/>
          </w:tcPr>
          <w:p w14:paraId="37AEFAF7"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Nulliparous</w:t>
            </w:r>
          </w:p>
        </w:tc>
        <w:tc>
          <w:tcPr>
            <w:tcW w:w="1169" w:type="pct"/>
            <w:tcBorders>
              <w:top w:val="nil"/>
              <w:left w:val="nil"/>
              <w:bottom w:val="nil"/>
              <w:right w:val="nil"/>
            </w:tcBorders>
            <w:shd w:val="clear" w:color="auto" w:fill="auto"/>
            <w:noWrap/>
            <w:vAlign w:val="bottom"/>
            <w:hideMark/>
          </w:tcPr>
          <w:p w14:paraId="4EDEBA0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435 (45.0)</w:t>
            </w:r>
          </w:p>
        </w:tc>
        <w:tc>
          <w:tcPr>
            <w:tcW w:w="1219" w:type="pct"/>
            <w:tcBorders>
              <w:top w:val="nil"/>
              <w:left w:val="nil"/>
              <w:bottom w:val="nil"/>
              <w:right w:val="nil"/>
            </w:tcBorders>
            <w:shd w:val="clear" w:color="auto" w:fill="auto"/>
            <w:noWrap/>
            <w:vAlign w:val="bottom"/>
            <w:hideMark/>
          </w:tcPr>
          <w:p w14:paraId="5194B39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143 (42.4)</w:t>
            </w:r>
          </w:p>
        </w:tc>
        <w:tc>
          <w:tcPr>
            <w:tcW w:w="595" w:type="pct"/>
            <w:tcBorders>
              <w:top w:val="nil"/>
              <w:left w:val="nil"/>
              <w:bottom w:val="nil"/>
              <w:right w:val="nil"/>
            </w:tcBorders>
            <w:shd w:val="clear" w:color="auto" w:fill="auto"/>
            <w:noWrap/>
            <w:vAlign w:val="bottom"/>
            <w:hideMark/>
          </w:tcPr>
          <w:p w14:paraId="50BB1933"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0.62</w:t>
            </w:r>
          </w:p>
        </w:tc>
      </w:tr>
      <w:tr w:rsidR="00D064A8" w:rsidRPr="00280B9D" w14:paraId="76CA0AF0" w14:textId="77777777" w:rsidTr="004D1B3C">
        <w:trPr>
          <w:trHeight w:val="259"/>
        </w:trPr>
        <w:tc>
          <w:tcPr>
            <w:tcW w:w="2017" w:type="pct"/>
            <w:tcBorders>
              <w:top w:val="nil"/>
              <w:left w:val="nil"/>
              <w:bottom w:val="nil"/>
              <w:right w:val="nil"/>
            </w:tcBorders>
            <w:shd w:val="clear" w:color="auto" w:fill="auto"/>
            <w:noWrap/>
            <w:vAlign w:val="bottom"/>
            <w:hideMark/>
          </w:tcPr>
          <w:p w14:paraId="27FB2A8E" w14:textId="77777777" w:rsidR="00D064A8" w:rsidRPr="0044522C" w:rsidRDefault="00D064A8" w:rsidP="003D0C81">
            <w:pPr>
              <w:spacing w:after="0" w:line="360" w:lineRule="auto"/>
              <w:rPr>
                <w:rFonts w:ascii="Times New Roman" w:eastAsia="Times New Roman" w:hAnsi="Times New Roman" w:cs="Times New Roman"/>
                <w:b/>
                <w:bCs/>
                <w:color w:val="000000"/>
                <w:sz w:val="20"/>
                <w:szCs w:val="20"/>
                <w:lang w:eastAsia="en-GB"/>
              </w:rPr>
            </w:pPr>
            <w:r w:rsidRPr="0044522C">
              <w:rPr>
                <w:rFonts w:ascii="Times New Roman" w:eastAsia="Times New Roman" w:hAnsi="Times New Roman" w:cs="Times New Roman"/>
                <w:b/>
                <w:bCs/>
                <w:color w:val="000000"/>
                <w:sz w:val="20"/>
                <w:szCs w:val="20"/>
                <w:lang w:eastAsia="en-GB"/>
              </w:rPr>
              <w:t>Previous GDM</w:t>
            </w:r>
          </w:p>
        </w:tc>
        <w:tc>
          <w:tcPr>
            <w:tcW w:w="1169" w:type="pct"/>
            <w:tcBorders>
              <w:top w:val="nil"/>
              <w:left w:val="nil"/>
              <w:bottom w:val="nil"/>
              <w:right w:val="nil"/>
            </w:tcBorders>
            <w:shd w:val="clear" w:color="auto" w:fill="auto"/>
            <w:noWrap/>
            <w:vAlign w:val="bottom"/>
            <w:hideMark/>
          </w:tcPr>
          <w:p w14:paraId="699C4E1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11 (1.1)</w:t>
            </w:r>
          </w:p>
        </w:tc>
        <w:tc>
          <w:tcPr>
            <w:tcW w:w="1219" w:type="pct"/>
            <w:tcBorders>
              <w:top w:val="nil"/>
              <w:left w:val="nil"/>
              <w:bottom w:val="nil"/>
              <w:right w:val="nil"/>
            </w:tcBorders>
            <w:shd w:val="clear" w:color="auto" w:fill="auto"/>
            <w:noWrap/>
            <w:vAlign w:val="bottom"/>
            <w:hideMark/>
          </w:tcPr>
          <w:p w14:paraId="2C6BE32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14 (4.2)</w:t>
            </w:r>
          </w:p>
        </w:tc>
        <w:tc>
          <w:tcPr>
            <w:tcW w:w="595" w:type="pct"/>
            <w:tcBorders>
              <w:top w:val="nil"/>
              <w:left w:val="nil"/>
              <w:bottom w:val="nil"/>
              <w:right w:val="nil"/>
            </w:tcBorders>
            <w:shd w:val="clear" w:color="auto" w:fill="auto"/>
            <w:noWrap/>
            <w:vAlign w:val="bottom"/>
            <w:hideMark/>
          </w:tcPr>
          <w:p w14:paraId="41F5339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0.002</w:t>
            </w:r>
          </w:p>
        </w:tc>
      </w:tr>
      <w:tr w:rsidR="00D064A8" w:rsidRPr="00280B9D" w14:paraId="71C26F97" w14:textId="77777777" w:rsidTr="004D1B3C">
        <w:trPr>
          <w:trHeight w:val="259"/>
        </w:trPr>
        <w:tc>
          <w:tcPr>
            <w:tcW w:w="2017" w:type="pct"/>
            <w:tcBorders>
              <w:top w:val="nil"/>
              <w:left w:val="nil"/>
              <w:bottom w:val="nil"/>
              <w:right w:val="nil"/>
            </w:tcBorders>
            <w:shd w:val="clear" w:color="auto" w:fill="auto"/>
            <w:noWrap/>
            <w:vAlign w:val="bottom"/>
            <w:hideMark/>
          </w:tcPr>
          <w:p w14:paraId="40129186" w14:textId="77777777" w:rsidR="00D064A8" w:rsidRPr="0044522C" w:rsidRDefault="00D064A8" w:rsidP="003D0C81">
            <w:pPr>
              <w:spacing w:after="0" w:line="360" w:lineRule="auto"/>
              <w:rPr>
                <w:rFonts w:ascii="Times New Roman" w:eastAsia="Times New Roman" w:hAnsi="Times New Roman" w:cs="Times New Roman"/>
                <w:bCs/>
                <w:color w:val="000000"/>
                <w:sz w:val="20"/>
                <w:szCs w:val="20"/>
                <w:vertAlign w:val="superscript"/>
                <w:lang w:eastAsia="en-GB"/>
              </w:rPr>
            </w:pPr>
            <w:r w:rsidRPr="0044522C">
              <w:rPr>
                <w:rFonts w:ascii="Times New Roman" w:eastAsia="Times New Roman" w:hAnsi="Times New Roman" w:cs="Times New Roman"/>
                <w:b/>
                <w:bCs/>
                <w:color w:val="000000"/>
                <w:sz w:val="20"/>
                <w:szCs w:val="20"/>
                <w:lang w:eastAsia="en-GB"/>
              </w:rPr>
              <w:t>PCOS</w:t>
            </w:r>
            <w:r w:rsidRPr="0044522C">
              <w:rPr>
                <w:rFonts w:ascii="Times New Roman" w:eastAsia="Times New Roman" w:hAnsi="Times New Roman" w:cs="Times New Roman"/>
                <w:bCs/>
                <w:color w:val="000000"/>
                <w:sz w:val="20"/>
                <w:szCs w:val="20"/>
                <w:lang w:eastAsia="en-GB"/>
              </w:rPr>
              <w:t xml:space="preserve">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23659095"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85 (8.9)</w:t>
            </w:r>
          </w:p>
        </w:tc>
        <w:tc>
          <w:tcPr>
            <w:tcW w:w="1219" w:type="pct"/>
            <w:tcBorders>
              <w:top w:val="nil"/>
              <w:left w:val="nil"/>
              <w:bottom w:val="nil"/>
              <w:right w:val="nil"/>
            </w:tcBorders>
            <w:shd w:val="clear" w:color="auto" w:fill="auto"/>
            <w:noWrap/>
            <w:vAlign w:val="bottom"/>
            <w:hideMark/>
          </w:tcPr>
          <w:p w14:paraId="0A6861E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38 (11.4)</w:t>
            </w:r>
          </w:p>
        </w:tc>
        <w:tc>
          <w:tcPr>
            <w:tcW w:w="595" w:type="pct"/>
            <w:tcBorders>
              <w:top w:val="nil"/>
              <w:left w:val="nil"/>
              <w:bottom w:val="nil"/>
              <w:right w:val="nil"/>
            </w:tcBorders>
            <w:shd w:val="clear" w:color="auto" w:fill="auto"/>
            <w:noWrap/>
            <w:vAlign w:val="bottom"/>
            <w:hideMark/>
          </w:tcPr>
          <w:p w14:paraId="617F7543"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0.18</w:t>
            </w:r>
          </w:p>
        </w:tc>
      </w:tr>
      <w:tr w:rsidR="00D064A8" w:rsidRPr="00280B9D" w14:paraId="36B80CCA" w14:textId="77777777" w:rsidTr="004D1B3C">
        <w:trPr>
          <w:trHeight w:val="259"/>
        </w:trPr>
        <w:tc>
          <w:tcPr>
            <w:tcW w:w="2017" w:type="pct"/>
            <w:tcBorders>
              <w:top w:val="nil"/>
              <w:left w:val="nil"/>
              <w:bottom w:val="nil"/>
              <w:right w:val="nil"/>
            </w:tcBorders>
            <w:shd w:val="clear" w:color="auto" w:fill="auto"/>
            <w:noWrap/>
            <w:vAlign w:val="bottom"/>
            <w:hideMark/>
          </w:tcPr>
          <w:p w14:paraId="4B3FF568" w14:textId="13852AEB" w:rsidR="00D064A8" w:rsidRPr="0044522C" w:rsidRDefault="00D064A8" w:rsidP="003D0C81">
            <w:pPr>
              <w:spacing w:after="0" w:line="360" w:lineRule="auto"/>
              <w:rPr>
                <w:rFonts w:ascii="Times New Roman" w:eastAsia="Times New Roman" w:hAnsi="Times New Roman" w:cs="Times New Roman"/>
                <w:b/>
                <w:bCs/>
                <w:color w:val="000000"/>
                <w:sz w:val="20"/>
                <w:szCs w:val="20"/>
                <w:lang w:eastAsia="en-GB"/>
              </w:rPr>
            </w:pPr>
            <w:r w:rsidRPr="0044522C">
              <w:rPr>
                <w:rFonts w:ascii="Times New Roman" w:eastAsia="Times New Roman" w:hAnsi="Times New Roman" w:cs="Times New Roman"/>
                <w:b/>
                <w:bCs/>
                <w:color w:val="000000"/>
                <w:sz w:val="20"/>
                <w:szCs w:val="20"/>
                <w:lang w:eastAsia="en-GB"/>
              </w:rPr>
              <w:lastRenderedPageBreak/>
              <w:t xml:space="preserve">Current </w:t>
            </w:r>
            <w:r w:rsidR="00BC1001">
              <w:rPr>
                <w:rFonts w:ascii="Times New Roman" w:eastAsia="Times New Roman" w:hAnsi="Times New Roman" w:cs="Times New Roman"/>
                <w:b/>
                <w:bCs/>
                <w:color w:val="000000"/>
                <w:sz w:val="20"/>
                <w:szCs w:val="20"/>
                <w:lang w:eastAsia="en-GB"/>
              </w:rPr>
              <w:t>s</w:t>
            </w:r>
            <w:r w:rsidRPr="0044522C">
              <w:rPr>
                <w:rFonts w:ascii="Times New Roman" w:eastAsia="Times New Roman" w:hAnsi="Times New Roman" w:cs="Times New Roman"/>
                <w:b/>
                <w:bCs/>
                <w:color w:val="000000"/>
                <w:sz w:val="20"/>
                <w:szCs w:val="20"/>
                <w:lang w:eastAsia="en-GB"/>
              </w:rPr>
              <w:t>moking</w:t>
            </w:r>
          </w:p>
        </w:tc>
        <w:tc>
          <w:tcPr>
            <w:tcW w:w="1169" w:type="pct"/>
            <w:tcBorders>
              <w:top w:val="nil"/>
              <w:left w:val="nil"/>
              <w:bottom w:val="nil"/>
              <w:right w:val="nil"/>
            </w:tcBorders>
            <w:shd w:val="clear" w:color="auto" w:fill="auto"/>
            <w:noWrap/>
            <w:vAlign w:val="bottom"/>
            <w:hideMark/>
          </w:tcPr>
          <w:p w14:paraId="6FB672D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60 (6.2)</w:t>
            </w:r>
          </w:p>
        </w:tc>
        <w:tc>
          <w:tcPr>
            <w:tcW w:w="1219" w:type="pct"/>
            <w:tcBorders>
              <w:top w:val="nil"/>
              <w:left w:val="nil"/>
              <w:bottom w:val="nil"/>
              <w:right w:val="nil"/>
            </w:tcBorders>
            <w:shd w:val="clear" w:color="auto" w:fill="auto"/>
            <w:noWrap/>
            <w:vAlign w:val="bottom"/>
            <w:hideMark/>
          </w:tcPr>
          <w:p w14:paraId="4561918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 xml:space="preserve">28 (8.3) </w:t>
            </w:r>
          </w:p>
        </w:tc>
        <w:tc>
          <w:tcPr>
            <w:tcW w:w="595" w:type="pct"/>
            <w:tcBorders>
              <w:top w:val="nil"/>
              <w:left w:val="nil"/>
              <w:bottom w:val="nil"/>
              <w:right w:val="nil"/>
            </w:tcBorders>
            <w:shd w:val="clear" w:color="auto" w:fill="auto"/>
            <w:noWrap/>
            <w:vAlign w:val="bottom"/>
            <w:hideMark/>
          </w:tcPr>
          <w:p w14:paraId="4B19C56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0.19</w:t>
            </w:r>
          </w:p>
        </w:tc>
      </w:tr>
      <w:tr w:rsidR="00D064A8" w:rsidRPr="00280B9D" w14:paraId="61F7AE5A" w14:textId="77777777" w:rsidTr="004D1B3C">
        <w:trPr>
          <w:trHeight w:val="259"/>
        </w:trPr>
        <w:tc>
          <w:tcPr>
            <w:tcW w:w="2017" w:type="pct"/>
            <w:tcBorders>
              <w:top w:val="nil"/>
              <w:left w:val="nil"/>
              <w:bottom w:val="nil"/>
              <w:right w:val="nil"/>
            </w:tcBorders>
            <w:shd w:val="clear" w:color="auto" w:fill="auto"/>
            <w:noWrap/>
            <w:vAlign w:val="bottom"/>
          </w:tcPr>
          <w:p w14:paraId="4DCF7693" w14:textId="2F4D33D2" w:rsidR="00D064A8" w:rsidRPr="0044522C" w:rsidRDefault="00D064A8" w:rsidP="003D0C81">
            <w:pPr>
              <w:spacing w:after="0" w:line="360" w:lineRule="auto"/>
              <w:rPr>
                <w:rFonts w:ascii="Times New Roman" w:eastAsia="Times New Roman" w:hAnsi="Times New Roman" w:cs="Times New Roman"/>
                <w:b/>
                <w:color w:val="000000"/>
                <w:sz w:val="20"/>
                <w:szCs w:val="20"/>
                <w:lang w:eastAsia="en-GB"/>
              </w:rPr>
            </w:pPr>
            <w:r w:rsidRPr="0044522C">
              <w:rPr>
                <w:rFonts w:ascii="Times New Roman" w:eastAsia="Times New Roman" w:hAnsi="Times New Roman" w:cs="Times New Roman"/>
                <w:b/>
                <w:color w:val="000000"/>
                <w:sz w:val="20"/>
                <w:szCs w:val="20"/>
                <w:lang w:eastAsia="en-GB"/>
              </w:rPr>
              <w:t xml:space="preserve">Family </w:t>
            </w:r>
            <w:r w:rsidR="00BC1001">
              <w:rPr>
                <w:rFonts w:ascii="Times New Roman" w:eastAsia="Times New Roman" w:hAnsi="Times New Roman" w:cs="Times New Roman"/>
                <w:b/>
                <w:color w:val="000000"/>
                <w:sz w:val="20"/>
                <w:szCs w:val="20"/>
                <w:lang w:eastAsia="en-GB"/>
              </w:rPr>
              <w:t>h</w:t>
            </w:r>
            <w:r w:rsidRPr="0044522C">
              <w:rPr>
                <w:rFonts w:ascii="Times New Roman" w:eastAsia="Times New Roman" w:hAnsi="Times New Roman" w:cs="Times New Roman"/>
                <w:b/>
                <w:color w:val="000000"/>
                <w:sz w:val="20"/>
                <w:szCs w:val="20"/>
                <w:lang w:eastAsia="en-GB"/>
              </w:rPr>
              <w:t>istory</w:t>
            </w:r>
          </w:p>
        </w:tc>
        <w:tc>
          <w:tcPr>
            <w:tcW w:w="1169" w:type="pct"/>
            <w:tcBorders>
              <w:top w:val="nil"/>
              <w:left w:val="nil"/>
              <w:bottom w:val="nil"/>
              <w:right w:val="nil"/>
            </w:tcBorders>
            <w:shd w:val="clear" w:color="auto" w:fill="auto"/>
            <w:noWrap/>
            <w:vAlign w:val="bottom"/>
          </w:tcPr>
          <w:p w14:paraId="2B04D366"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1219" w:type="pct"/>
            <w:tcBorders>
              <w:top w:val="nil"/>
              <w:left w:val="nil"/>
              <w:bottom w:val="nil"/>
              <w:right w:val="nil"/>
            </w:tcBorders>
            <w:shd w:val="clear" w:color="auto" w:fill="auto"/>
            <w:noWrap/>
            <w:vAlign w:val="bottom"/>
          </w:tcPr>
          <w:p w14:paraId="732EBC67"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595" w:type="pct"/>
            <w:tcBorders>
              <w:top w:val="nil"/>
              <w:left w:val="nil"/>
              <w:bottom w:val="nil"/>
              <w:right w:val="nil"/>
            </w:tcBorders>
            <w:shd w:val="clear" w:color="auto" w:fill="auto"/>
            <w:noWrap/>
            <w:vAlign w:val="bottom"/>
          </w:tcPr>
          <w:p w14:paraId="62FEBF24"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03D81BCC" w14:textId="77777777" w:rsidTr="004D1B3C">
        <w:trPr>
          <w:trHeight w:val="259"/>
        </w:trPr>
        <w:tc>
          <w:tcPr>
            <w:tcW w:w="2017" w:type="pct"/>
            <w:tcBorders>
              <w:top w:val="nil"/>
              <w:left w:val="nil"/>
              <w:bottom w:val="nil"/>
              <w:right w:val="nil"/>
            </w:tcBorders>
            <w:shd w:val="clear" w:color="auto" w:fill="auto"/>
            <w:noWrap/>
            <w:vAlign w:val="bottom"/>
            <w:hideMark/>
          </w:tcPr>
          <w:p w14:paraId="75E8B092" w14:textId="77777777" w:rsidR="00D064A8" w:rsidRPr="0044522C"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sidRPr="0044522C">
              <w:rPr>
                <w:rFonts w:ascii="Times New Roman" w:eastAsia="Times New Roman" w:hAnsi="Times New Roman" w:cs="Times New Roman"/>
                <w:color w:val="000000"/>
                <w:sz w:val="20"/>
                <w:szCs w:val="20"/>
                <w:lang w:eastAsia="en-GB"/>
              </w:rPr>
              <w:t xml:space="preserve">T2DM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7ACAD73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204 (21.2)</w:t>
            </w:r>
          </w:p>
        </w:tc>
        <w:tc>
          <w:tcPr>
            <w:tcW w:w="1219" w:type="pct"/>
            <w:tcBorders>
              <w:top w:val="nil"/>
              <w:left w:val="nil"/>
              <w:bottom w:val="nil"/>
              <w:right w:val="nil"/>
            </w:tcBorders>
            <w:shd w:val="clear" w:color="auto" w:fill="auto"/>
            <w:noWrap/>
            <w:vAlign w:val="bottom"/>
            <w:hideMark/>
          </w:tcPr>
          <w:p w14:paraId="52AFFEE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104 (30.9)</w:t>
            </w:r>
          </w:p>
        </w:tc>
        <w:tc>
          <w:tcPr>
            <w:tcW w:w="595" w:type="pct"/>
            <w:tcBorders>
              <w:top w:val="nil"/>
              <w:left w:val="nil"/>
              <w:bottom w:val="nil"/>
              <w:right w:val="nil"/>
            </w:tcBorders>
            <w:shd w:val="clear" w:color="auto" w:fill="auto"/>
            <w:noWrap/>
            <w:vAlign w:val="bottom"/>
            <w:hideMark/>
          </w:tcPr>
          <w:p w14:paraId="44D393C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6BDEE951" w14:textId="77777777" w:rsidTr="004D1B3C">
        <w:trPr>
          <w:trHeight w:val="259"/>
        </w:trPr>
        <w:tc>
          <w:tcPr>
            <w:tcW w:w="2017" w:type="pct"/>
            <w:tcBorders>
              <w:top w:val="nil"/>
              <w:left w:val="nil"/>
              <w:bottom w:val="nil"/>
              <w:right w:val="nil"/>
            </w:tcBorders>
            <w:shd w:val="clear" w:color="auto" w:fill="auto"/>
            <w:noWrap/>
            <w:vAlign w:val="bottom"/>
            <w:hideMark/>
          </w:tcPr>
          <w:p w14:paraId="14AF1BEE"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GDM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1CCF437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34 (3.6)</w:t>
            </w:r>
          </w:p>
        </w:tc>
        <w:tc>
          <w:tcPr>
            <w:tcW w:w="1219" w:type="pct"/>
            <w:tcBorders>
              <w:top w:val="nil"/>
              <w:left w:val="nil"/>
              <w:bottom w:val="nil"/>
              <w:right w:val="nil"/>
            </w:tcBorders>
            <w:shd w:val="clear" w:color="auto" w:fill="auto"/>
            <w:noWrap/>
            <w:vAlign w:val="bottom"/>
            <w:hideMark/>
          </w:tcPr>
          <w:p w14:paraId="565CFDE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17 (5.2)</w:t>
            </w:r>
          </w:p>
        </w:tc>
        <w:tc>
          <w:tcPr>
            <w:tcW w:w="595" w:type="pct"/>
            <w:tcBorders>
              <w:top w:val="nil"/>
              <w:left w:val="nil"/>
              <w:bottom w:val="nil"/>
              <w:right w:val="nil"/>
            </w:tcBorders>
            <w:shd w:val="clear" w:color="auto" w:fill="auto"/>
            <w:noWrap/>
            <w:vAlign w:val="bottom"/>
            <w:hideMark/>
          </w:tcPr>
          <w:p w14:paraId="48868667"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0.20</w:t>
            </w:r>
          </w:p>
        </w:tc>
      </w:tr>
      <w:tr w:rsidR="00D064A8" w:rsidRPr="00280B9D" w14:paraId="2EEAB882" w14:textId="77777777" w:rsidTr="004D1B3C">
        <w:trPr>
          <w:trHeight w:val="259"/>
        </w:trPr>
        <w:tc>
          <w:tcPr>
            <w:tcW w:w="2017" w:type="pct"/>
            <w:tcBorders>
              <w:top w:val="nil"/>
              <w:left w:val="nil"/>
              <w:bottom w:val="nil"/>
              <w:right w:val="nil"/>
            </w:tcBorders>
            <w:shd w:val="clear" w:color="auto" w:fill="auto"/>
            <w:noWrap/>
            <w:vAlign w:val="bottom"/>
            <w:hideMark/>
          </w:tcPr>
          <w:p w14:paraId="61A9C8B4"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IHD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49857A08"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140 (14.5)</w:t>
            </w:r>
          </w:p>
        </w:tc>
        <w:tc>
          <w:tcPr>
            <w:tcW w:w="1219" w:type="pct"/>
            <w:tcBorders>
              <w:top w:val="nil"/>
              <w:left w:val="nil"/>
              <w:bottom w:val="nil"/>
              <w:right w:val="nil"/>
            </w:tcBorders>
            <w:shd w:val="clear" w:color="auto" w:fill="auto"/>
            <w:noWrap/>
            <w:vAlign w:val="bottom"/>
            <w:hideMark/>
          </w:tcPr>
          <w:p w14:paraId="20A75A2D"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58 (17.2)</w:t>
            </w:r>
          </w:p>
        </w:tc>
        <w:tc>
          <w:tcPr>
            <w:tcW w:w="595" w:type="pct"/>
            <w:tcBorders>
              <w:top w:val="nil"/>
              <w:left w:val="nil"/>
              <w:bottom w:val="nil"/>
              <w:right w:val="nil"/>
            </w:tcBorders>
            <w:shd w:val="clear" w:color="auto" w:fill="auto"/>
            <w:noWrap/>
            <w:vAlign w:val="bottom"/>
            <w:hideMark/>
          </w:tcPr>
          <w:p w14:paraId="4F3B3EF2"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0.24</w:t>
            </w:r>
          </w:p>
        </w:tc>
      </w:tr>
      <w:tr w:rsidR="00D064A8" w:rsidRPr="00280B9D" w14:paraId="41ABAFC4" w14:textId="77777777" w:rsidTr="004D1B3C">
        <w:trPr>
          <w:trHeight w:val="259"/>
        </w:trPr>
        <w:tc>
          <w:tcPr>
            <w:tcW w:w="2017" w:type="pct"/>
            <w:tcBorders>
              <w:top w:val="nil"/>
              <w:left w:val="nil"/>
              <w:bottom w:val="nil"/>
              <w:right w:val="nil"/>
            </w:tcBorders>
            <w:shd w:val="clear" w:color="auto" w:fill="auto"/>
            <w:noWrap/>
            <w:vAlign w:val="bottom"/>
            <w:hideMark/>
          </w:tcPr>
          <w:p w14:paraId="7DB530F5"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HTN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2B24302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430 (44.6)</w:t>
            </w:r>
          </w:p>
        </w:tc>
        <w:tc>
          <w:tcPr>
            <w:tcW w:w="1219" w:type="pct"/>
            <w:tcBorders>
              <w:top w:val="nil"/>
              <w:left w:val="nil"/>
              <w:bottom w:val="nil"/>
              <w:right w:val="nil"/>
            </w:tcBorders>
            <w:shd w:val="clear" w:color="auto" w:fill="auto"/>
            <w:noWrap/>
            <w:vAlign w:val="bottom"/>
            <w:hideMark/>
          </w:tcPr>
          <w:p w14:paraId="2656FE8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163 (48.4)</w:t>
            </w:r>
          </w:p>
        </w:tc>
        <w:tc>
          <w:tcPr>
            <w:tcW w:w="595" w:type="pct"/>
            <w:tcBorders>
              <w:top w:val="nil"/>
              <w:left w:val="nil"/>
              <w:bottom w:val="nil"/>
              <w:right w:val="nil"/>
            </w:tcBorders>
            <w:shd w:val="clear" w:color="auto" w:fill="auto"/>
            <w:noWrap/>
            <w:vAlign w:val="bottom"/>
            <w:hideMark/>
          </w:tcPr>
          <w:p w14:paraId="726FAF79"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0.23</w:t>
            </w:r>
          </w:p>
        </w:tc>
      </w:tr>
      <w:tr w:rsidR="00D064A8" w:rsidRPr="00280B9D" w14:paraId="7718CE11" w14:textId="77777777" w:rsidTr="004D1B3C">
        <w:trPr>
          <w:trHeight w:val="259"/>
        </w:trPr>
        <w:tc>
          <w:tcPr>
            <w:tcW w:w="2017" w:type="pct"/>
            <w:tcBorders>
              <w:top w:val="nil"/>
              <w:left w:val="nil"/>
              <w:bottom w:val="nil"/>
              <w:right w:val="nil"/>
            </w:tcBorders>
            <w:shd w:val="clear" w:color="auto" w:fill="auto"/>
            <w:noWrap/>
            <w:vAlign w:val="bottom"/>
          </w:tcPr>
          <w:p w14:paraId="7282C0F3" w14:textId="6A8E9B2E" w:rsidR="00D064A8" w:rsidRPr="0044522C" w:rsidRDefault="00D064A8" w:rsidP="003D0C81">
            <w:pPr>
              <w:spacing w:after="0" w:line="360" w:lineRule="auto"/>
              <w:rPr>
                <w:rFonts w:ascii="Times New Roman" w:eastAsia="Times New Roman" w:hAnsi="Times New Roman" w:cs="Times New Roman"/>
                <w:b/>
                <w:color w:val="000000"/>
                <w:sz w:val="20"/>
                <w:szCs w:val="20"/>
                <w:lang w:eastAsia="en-GB"/>
              </w:rPr>
            </w:pPr>
            <w:r>
              <w:rPr>
                <w:rFonts w:ascii="Times New Roman" w:eastAsia="Times New Roman" w:hAnsi="Times New Roman" w:cs="Times New Roman"/>
                <w:b/>
                <w:color w:val="000000"/>
                <w:sz w:val="20"/>
                <w:szCs w:val="20"/>
                <w:lang w:eastAsia="en-GB"/>
              </w:rPr>
              <w:t xml:space="preserve">Pregnancy </w:t>
            </w:r>
            <w:r w:rsidR="00BC1001">
              <w:rPr>
                <w:rFonts w:ascii="Times New Roman" w:eastAsia="Times New Roman" w:hAnsi="Times New Roman" w:cs="Times New Roman"/>
                <w:b/>
                <w:color w:val="000000"/>
                <w:sz w:val="20"/>
                <w:szCs w:val="20"/>
                <w:lang w:eastAsia="en-GB"/>
              </w:rPr>
              <w:t>o</w:t>
            </w:r>
            <w:r>
              <w:rPr>
                <w:rFonts w:ascii="Times New Roman" w:eastAsia="Times New Roman" w:hAnsi="Times New Roman" w:cs="Times New Roman"/>
                <w:b/>
                <w:color w:val="000000"/>
                <w:sz w:val="20"/>
                <w:szCs w:val="20"/>
                <w:lang w:eastAsia="en-GB"/>
              </w:rPr>
              <w:t>utcome</w:t>
            </w:r>
          </w:p>
        </w:tc>
        <w:tc>
          <w:tcPr>
            <w:tcW w:w="1169" w:type="pct"/>
            <w:tcBorders>
              <w:top w:val="nil"/>
              <w:left w:val="nil"/>
              <w:bottom w:val="nil"/>
              <w:right w:val="nil"/>
            </w:tcBorders>
            <w:shd w:val="clear" w:color="auto" w:fill="auto"/>
            <w:noWrap/>
            <w:vAlign w:val="bottom"/>
          </w:tcPr>
          <w:p w14:paraId="1D3126D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1219" w:type="pct"/>
            <w:tcBorders>
              <w:top w:val="nil"/>
              <w:left w:val="nil"/>
              <w:bottom w:val="nil"/>
              <w:right w:val="nil"/>
            </w:tcBorders>
            <w:shd w:val="clear" w:color="auto" w:fill="auto"/>
            <w:noWrap/>
            <w:vAlign w:val="bottom"/>
          </w:tcPr>
          <w:p w14:paraId="01AAA8B2"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595" w:type="pct"/>
            <w:tcBorders>
              <w:top w:val="nil"/>
              <w:left w:val="nil"/>
              <w:bottom w:val="nil"/>
              <w:right w:val="nil"/>
            </w:tcBorders>
            <w:shd w:val="clear" w:color="auto" w:fill="auto"/>
            <w:noWrap/>
            <w:vAlign w:val="bottom"/>
          </w:tcPr>
          <w:p w14:paraId="0B1671C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69E7252C" w14:textId="77777777" w:rsidTr="004D1B3C">
        <w:trPr>
          <w:trHeight w:val="259"/>
        </w:trPr>
        <w:tc>
          <w:tcPr>
            <w:tcW w:w="2017" w:type="pct"/>
            <w:tcBorders>
              <w:top w:val="nil"/>
              <w:left w:val="nil"/>
              <w:bottom w:val="nil"/>
              <w:right w:val="nil"/>
            </w:tcBorders>
            <w:shd w:val="clear" w:color="auto" w:fill="auto"/>
            <w:noWrap/>
            <w:vAlign w:val="bottom"/>
          </w:tcPr>
          <w:p w14:paraId="0DA65808" w14:textId="651B22C2"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Pre-eclampsia</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418BEAD2"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32 (3.4)</w:t>
            </w:r>
          </w:p>
        </w:tc>
        <w:tc>
          <w:tcPr>
            <w:tcW w:w="1219" w:type="pct"/>
            <w:tcBorders>
              <w:top w:val="nil"/>
              <w:left w:val="nil"/>
              <w:bottom w:val="nil"/>
              <w:right w:val="nil"/>
            </w:tcBorders>
            <w:shd w:val="clear" w:color="auto" w:fill="auto"/>
            <w:noWrap/>
            <w:vAlign w:val="bottom"/>
          </w:tcPr>
          <w:p w14:paraId="2FBC51CE"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18 (5.5)</w:t>
            </w:r>
          </w:p>
        </w:tc>
        <w:tc>
          <w:tcPr>
            <w:tcW w:w="595" w:type="pct"/>
            <w:tcBorders>
              <w:top w:val="nil"/>
              <w:left w:val="nil"/>
              <w:bottom w:val="nil"/>
              <w:right w:val="nil"/>
            </w:tcBorders>
            <w:shd w:val="clear" w:color="auto" w:fill="auto"/>
            <w:noWrap/>
            <w:vAlign w:val="bottom"/>
          </w:tcPr>
          <w:p w14:paraId="669B2BAB"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0.092</w:t>
            </w:r>
          </w:p>
        </w:tc>
      </w:tr>
      <w:tr w:rsidR="00D064A8" w:rsidRPr="00280B9D" w14:paraId="24F35280" w14:textId="77777777" w:rsidTr="004D1B3C">
        <w:trPr>
          <w:trHeight w:val="259"/>
        </w:trPr>
        <w:tc>
          <w:tcPr>
            <w:tcW w:w="2017" w:type="pct"/>
            <w:tcBorders>
              <w:top w:val="nil"/>
              <w:left w:val="nil"/>
              <w:bottom w:val="nil"/>
              <w:right w:val="nil"/>
            </w:tcBorders>
            <w:shd w:val="clear" w:color="auto" w:fill="auto"/>
            <w:noWrap/>
            <w:vAlign w:val="bottom"/>
          </w:tcPr>
          <w:p w14:paraId="6389F1F5" w14:textId="0F3C854D"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 xml:space="preserve">Postpartum </w:t>
            </w:r>
            <w:r w:rsidR="00BC1001">
              <w:rPr>
                <w:rFonts w:ascii="Times New Roman" w:eastAsia="Times New Roman" w:hAnsi="Times New Roman" w:cs="Times New Roman"/>
                <w:color w:val="000000"/>
                <w:sz w:val="20"/>
                <w:szCs w:val="20"/>
                <w:lang w:eastAsia="en-GB"/>
              </w:rPr>
              <w:t>h</w:t>
            </w:r>
            <w:r>
              <w:rPr>
                <w:rFonts w:ascii="Times New Roman" w:eastAsia="Times New Roman" w:hAnsi="Times New Roman" w:cs="Times New Roman"/>
                <w:color w:val="000000"/>
                <w:sz w:val="20"/>
                <w:szCs w:val="20"/>
                <w:lang w:eastAsia="en-GB"/>
              </w:rPr>
              <w:t>aemorrhage  (≥1000ml)</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3E143033"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127 (13.4)</w:t>
            </w:r>
          </w:p>
        </w:tc>
        <w:tc>
          <w:tcPr>
            <w:tcW w:w="1219" w:type="pct"/>
            <w:tcBorders>
              <w:top w:val="nil"/>
              <w:left w:val="nil"/>
              <w:bottom w:val="nil"/>
              <w:right w:val="nil"/>
            </w:tcBorders>
            <w:shd w:val="clear" w:color="auto" w:fill="auto"/>
            <w:noWrap/>
            <w:vAlign w:val="bottom"/>
          </w:tcPr>
          <w:p w14:paraId="2789F975"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53 (16.1)</w:t>
            </w:r>
          </w:p>
        </w:tc>
        <w:tc>
          <w:tcPr>
            <w:tcW w:w="595" w:type="pct"/>
            <w:tcBorders>
              <w:top w:val="nil"/>
              <w:left w:val="nil"/>
              <w:bottom w:val="nil"/>
              <w:right w:val="nil"/>
            </w:tcBorders>
            <w:shd w:val="clear" w:color="auto" w:fill="auto"/>
            <w:noWrap/>
            <w:vAlign w:val="bottom"/>
          </w:tcPr>
          <w:p w14:paraId="7333CAAD"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0.215</w:t>
            </w:r>
          </w:p>
        </w:tc>
      </w:tr>
      <w:tr w:rsidR="00D064A8" w:rsidRPr="00280B9D" w14:paraId="51808D1B" w14:textId="77777777" w:rsidTr="004D1B3C">
        <w:trPr>
          <w:trHeight w:val="259"/>
        </w:trPr>
        <w:tc>
          <w:tcPr>
            <w:tcW w:w="2017" w:type="pct"/>
            <w:tcBorders>
              <w:top w:val="nil"/>
              <w:left w:val="nil"/>
              <w:bottom w:val="nil"/>
              <w:right w:val="nil"/>
            </w:tcBorders>
            <w:shd w:val="clear" w:color="auto" w:fill="auto"/>
            <w:noWrap/>
            <w:vAlign w:val="bottom"/>
          </w:tcPr>
          <w:p w14:paraId="25B0B186" w14:textId="499762D0"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 xml:space="preserve">Caesarean </w:t>
            </w:r>
            <w:r w:rsidR="00BC1001">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ection (all)</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06971DED"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331 (34.4)</w:t>
            </w:r>
          </w:p>
        </w:tc>
        <w:tc>
          <w:tcPr>
            <w:tcW w:w="1219" w:type="pct"/>
            <w:tcBorders>
              <w:top w:val="nil"/>
              <w:left w:val="nil"/>
              <w:bottom w:val="nil"/>
              <w:right w:val="nil"/>
            </w:tcBorders>
            <w:shd w:val="clear" w:color="auto" w:fill="auto"/>
            <w:noWrap/>
            <w:vAlign w:val="bottom"/>
          </w:tcPr>
          <w:p w14:paraId="6E63C212"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139 (41.6)</w:t>
            </w:r>
          </w:p>
        </w:tc>
        <w:tc>
          <w:tcPr>
            <w:tcW w:w="595" w:type="pct"/>
            <w:tcBorders>
              <w:top w:val="nil"/>
              <w:left w:val="nil"/>
              <w:bottom w:val="nil"/>
              <w:right w:val="nil"/>
            </w:tcBorders>
            <w:shd w:val="clear" w:color="auto" w:fill="auto"/>
            <w:noWrap/>
            <w:vAlign w:val="bottom"/>
          </w:tcPr>
          <w:p w14:paraId="0419167E"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0.019</w:t>
            </w:r>
          </w:p>
        </w:tc>
      </w:tr>
      <w:tr w:rsidR="00D064A8" w:rsidRPr="00280B9D" w14:paraId="6245D8ED" w14:textId="77777777" w:rsidTr="004D1B3C">
        <w:trPr>
          <w:trHeight w:val="259"/>
        </w:trPr>
        <w:tc>
          <w:tcPr>
            <w:tcW w:w="2017" w:type="pct"/>
            <w:tcBorders>
              <w:top w:val="nil"/>
              <w:left w:val="nil"/>
              <w:bottom w:val="nil"/>
              <w:right w:val="nil"/>
            </w:tcBorders>
            <w:shd w:val="clear" w:color="auto" w:fill="auto"/>
            <w:noWrap/>
            <w:vAlign w:val="bottom"/>
          </w:tcPr>
          <w:p w14:paraId="4BB21A87" w14:textId="2B5FDBDF"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 xml:space="preserve">Caesarean </w:t>
            </w:r>
            <w:r w:rsidR="00BC1001">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ection (emergency)</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0AB07F18"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164 (17.1)</w:t>
            </w:r>
          </w:p>
        </w:tc>
        <w:tc>
          <w:tcPr>
            <w:tcW w:w="1219" w:type="pct"/>
            <w:tcBorders>
              <w:top w:val="nil"/>
              <w:left w:val="nil"/>
              <w:bottom w:val="nil"/>
              <w:right w:val="nil"/>
            </w:tcBorders>
            <w:shd w:val="clear" w:color="auto" w:fill="auto"/>
            <w:noWrap/>
            <w:vAlign w:val="bottom"/>
          </w:tcPr>
          <w:p w14:paraId="30086B39"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58 (17.4)</w:t>
            </w:r>
          </w:p>
        </w:tc>
        <w:tc>
          <w:tcPr>
            <w:tcW w:w="595" w:type="pct"/>
            <w:tcBorders>
              <w:top w:val="nil"/>
              <w:left w:val="nil"/>
              <w:bottom w:val="nil"/>
              <w:right w:val="nil"/>
            </w:tcBorders>
            <w:shd w:val="clear" w:color="auto" w:fill="auto"/>
            <w:noWrap/>
            <w:vAlign w:val="bottom"/>
          </w:tcPr>
          <w:p w14:paraId="4E0649B1"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0.9</w:t>
            </w:r>
          </w:p>
        </w:tc>
      </w:tr>
      <w:tr w:rsidR="00D064A8" w:rsidRPr="00280B9D" w14:paraId="75B2ED94" w14:textId="77777777" w:rsidTr="004D1B3C">
        <w:trPr>
          <w:trHeight w:val="259"/>
        </w:trPr>
        <w:tc>
          <w:tcPr>
            <w:tcW w:w="2017" w:type="pct"/>
            <w:tcBorders>
              <w:top w:val="nil"/>
              <w:left w:val="nil"/>
              <w:bottom w:val="nil"/>
              <w:right w:val="nil"/>
            </w:tcBorders>
            <w:shd w:val="clear" w:color="auto" w:fill="auto"/>
            <w:noWrap/>
            <w:vAlign w:val="bottom"/>
          </w:tcPr>
          <w:p w14:paraId="2C9FDCD5" w14:textId="44CDE5F0" w:rsidR="00D064A8" w:rsidRPr="00923636"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 xml:space="preserve">Gestational </w:t>
            </w:r>
            <w:r w:rsidR="00BC1001">
              <w:rPr>
                <w:rFonts w:ascii="Times New Roman" w:eastAsia="Times New Roman" w:hAnsi="Times New Roman" w:cs="Times New Roman"/>
                <w:color w:val="000000"/>
                <w:sz w:val="20"/>
                <w:szCs w:val="20"/>
                <w:lang w:eastAsia="en-GB"/>
              </w:rPr>
              <w:t>a</w:t>
            </w:r>
            <w:r>
              <w:rPr>
                <w:rFonts w:ascii="Times New Roman" w:eastAsia="Times New Roman" w:hAnsi="Times New Roman" w:cs="Times New Roman"/>
                <w:color w:val="000000"/>
                <w:sz w:val="20"/>
                <w:szCs w:val="20"/>
                <w:lang w:eastAsia="en-GB"/>
              </w:rPr>
              <w:t>ge at delivery (weeks)</w:t>
            </w:r>
            <w:r>
              <w:rPr>
                <w:rFonts w:ascii="Times New Roman" w:eastAsia="Times New Roman" w:hAnsi="Times New Roman" w:cs="Times New Roman"/>
                <w:color w:val="000000"/>
                <w:sz w:val="20"/>
                <w:szCs w:val="20"/>
                <w:vertAlign w:val="superscript"/>
                <w:lang w:eastAsia="en-GB"/>
              </w:rPr>
              <w:t>b d</w:t>
            </w:r>
          </w:p>
        </w:tc>
        <w:tc>
          <w:tcPr>
            <w:tcW w:w="1169" w:type="pct"/>
            <w:tcBorders>
              <w:top w:val="nil"/>
              <w:left w:val="nil"/>
              <w:bottom w:val="nil"/>
              <w:right w:val="nil"/>
            </w:tcBorders>
            <w:shd w:val="clear" w:color="auto" w:fill="auto"/>
            <w:noWrap/>
            <w:vAlign w:val="bottom"/>
          </w:tcPr>
          <w:p w14:paraId="0BE79DF7" w14:textId="78344C74"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40.1 (39.1-41.1)</w:t>
            </w:r>
          </w:p>
        </w:tc>
        <w:tc>
          <w:tcPr>
            <w:tcW w:w="1219" w:type="pct"/>
            <w:tcBorders>
              <w:top w:val="nil"/>
              <w:left w:val="nil"/>
              <w:bottom w:val="nil"/>
              <w:right w:val="nil"/>
            </w:tcBorders>
            <w:shd w:val="clear" w:color="auto" w:fill="auto"/>
            <w:noWrap/>
            <w:vAlign w:val="bottom"/>
          </w:tcPr>
          <w:p w14:paraId="4FA3C440"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38.7 (38.1-39.9)</w:t>
            </w:r>
          </w:p>
        </w:tc>
        <w:tc>
          <w:tcPr>
            <w:tcW w:w="595" w:type="pct"/>
            <w:tcBorders>
              <w:top w:val="nil"/>
              <w:left w:val="nil"/>
              <w:bottom w:val="nil"/>
              <w:right w:val="nil"/>
            </w:tcBorders>
            <w:shd w:val="clear" w:color="auto" w:fill="auto"/>
            <w:noWrap/>
            <w:vAlign w:val="bottom"/>
          </w:tcPr>
          <w:p w14:paraId="58ACBBF1"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&lt;0.001</w:t>
            </w:r>
          </w:p>
        </w:tc>
      </w:tr>
      <w:tr w:rsidR="00D064A8" w:rsidRPr="00280B9D" w14:paraId="45C4307E" w14:textId="77777777" w:rsidTr="004D1B3C">
        <w:trPr>
          <w:trHeight w:val="259"/>
        </w:trPr>
        <w:tc>
          <w:tcPr>
            <w:tcW w:w="2017" w:type="pct"/>
            <w:tcBorders>
              <w:top w:val="nil"/>
              <w:left w:val="nil"/>
              <w:bottom w:val="nil"/>
              <w:right w:val="nil"/>
            </w:tcBorders>
            <w:shd w:val="clear" w:color="auto" w:fill="auto"/>
            <w:noWrap/>
            <w:vAlign w:val="bottom"/>
          </w:tcPr>
          <w:p w14:paraId="6C514F95" w14:textId="77098BAA"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Preterm delivery (&lt;37 weeks’)</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0666FAE6"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42 (4.4)</w:t>
            </w:r>
          </w:p>
        </w:tc>
        <w:tc>
          <w:tcPr>
            <w:tcW w:w="1219" w:type="pct"/>
            <w:tcBorders>
              <w:top w:val="nil"/>
              <w:left w:val="nil"/>
              <w:bottom w:val="nil"/>
              <w:right w:val="nil"/>
            </w:tcBorders>
            <w:shd w:val="clear" w:color="auto" w:fill="auto"/>
            <w:noWrap/>
            <w:vAlign w:val="bottom"/>
          </w:tcPr>
          <w:p w14:paraId="37B3EF18"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22 (6.6)</w:t>
            </w:r>
          </w:p>
        </w:tc>
        <w:tc>
          <w:tcPr>
            <w:tcW w:w="595" w:type="pct"/>
            <w:tcBorders>
              <w:top w:val="nil"/>
              <w:left w:val="nil"/>
              <w:bottom w:val="nil"/>
              <w:right w:val="nil"/>
            </w:tcBorders>
            <w:shd w:val="clear" w:color="auto" w:fill="auto"/>
            <w:noWrap/>
            <w:vAlign w:val="bottom"/>
          </w:tcPr>
          <w:p w14:paraId="0CE845A3"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0.1</w:t>
            </w:r>
          </w:p>
        </w:tc>
      </w:tr>
      <w:tr w:rsidR="00D064A8" w:rsidRPr="00280B9D" w14:paraId="3965C35E" w14:textId="77777777" w:rsidTr="004D1B3C">
        <w:trPr>
          <w:trHeight w:val="259"/>
        </w:trPr>
        <w:tc>
          <w:tcPr>
            <w:tcW w:w="2017" w:type="pct"/>
            <w:tcBorders>
              <w:top w:val="nil"/>
              <w:left w:val="nil"/>
              <w:bottom w:val="nil"/>
              <w:right w:val="nil"/>
            </w:tcBorders>
            <w:shd w:val="clear" w:color="auto" w:fill="auto"/>
            <w:noWrap/>
            <w:vAlign w:val="bottom"/>
          </w:tcPr>
          <w:p w14:paraId="1285270C" w14:textId="443FEDB9"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Birthweight (g)</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19379F99"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3457 (567)</w:t>
            </w:r>
          </w:p>
        </w:tc>
        <w:tc>
          <w:tcPr>
            <w:tcW w:w="1219" w:type="pct"/>
            <w:tcBorders>
              <w:top w:val="nil"/>
              <w:left w:val="nil"/>
              <w:bottom w:val="nil"/>
              <w:right w:val="nil"/>
            </w:tcBorders>
            <w:shd w:val="clear" w:color="auto" w:fill="auto"/>
            <w:noWrap/>
            <w:vAlign w:val="bottom"/>
          </w:tcPr>
          <w:p w14:paraId="05F278D1"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3396 (537)</w:t>
            </w:r>
          </w:p>
        </w:tc>
        <w:tc>
          <w:tcPr>
            <w:tcW w:w="595" w:type="pct"/>
            <w:tcBorders>
              <w:top w:val="nil"/>
              <w:left w:val="nil"/>
              <w:bottom w:val="nil"/>
              <w:right w:val="nil"/>
            </w:tcBorders>
            <w:shd w:val="clear" w:color="auto" w:fill="auto"/>
            <w:noWrap/>
            <w:vAlign w:val="bottom"/>
          </w:tcPr>
          <w:p w14:paraId="4211A14C"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0.09</w:t>
            </w:r>
          </w:p>
        </w:tc>
      </w:tr>
      <w:tr w:rsidR="00D064A8" w:rsidRPr="00280B9D" w14:paraId="4A291F56" w14:textId="77777777" w:rsidTr="004D1B3C">
        <w:trPr>
          <w:trHeight w:val="259"/>
        </w:trPr>
        <w:tc>
          <w:tcPr>
            <w:tcW w:w="2017" w:type="pct"/>
            <w:tcBorders>
              <w:top w:val="nil"/>
              <w:left w:val="nil"/>
              <w:bottom w:val="nil"/>
              <w:right w:val="nil"/>
            </w:tcBorders>
            <w:shd w:val="clear" w:color="auto" w:fill="auto"/>
            <w:noWrap/>
            <w:vAlign w:val="bottom"/>
          </w:tcPr>
          <w:p w14:paraId="1004B010" w14:textId="2E7EE940"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LGA (≥90</w:t>
            </w:r>
            <w:r w:rsidRPr="00923636">
              <w:rPr>
                <w:rFonts w:ascii="Times New Roman" w:eastAsia="Times New Roman" w:hAnsi="Times New Roman" w:cs="Times New Roman"/>
                <w:color w:val="000000"/>
                <w:sz w:val="20"/>
                <w:szCs w:val="20"/>
                <w:vertAlign w:val="superscript"/>
                <w:lang w:eastAsia="en-GB"/>
              </w:rPr>
              <w:t>th</w:t>
            </w:r>
            <w:r>
              <w:rPr>
                <w:rFonts w:ascii="Times New Roman" w:eastAsia="Times New Roman" w:hAnsi="Times New Roman" w:cs="Times New Roman"/>
                <w:color w:val="000000"/>
                <w:sz w:val="20"/>
                <w:szCs w:val="20"/>
                <w:lang w:eastAsia="en-GB"/>
              </w:rPr>
              <w:t xml:space="preserve"> customised centile)</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1EE31128"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66 (6.9)</w:t>
            </w:r>
          </w:p>
        </w:tc>
        <w:tc>
          <w:tcPr>
            <w:tcW w:w="1219" w:type="pct"/>
            <w:tcBorders>
              <w:top w:val="nil"/>
              <w:left w:val="nil"/>
              <w:bottom w:val="nil"/>
              <w:right w:val="nil"/>
            </w:tcBorders>
            <w:shd w:val="clear" w:color="auto" w:fill="auto"/>
            <w:noWrap/>
            <w:vAlign w:val="bottom"/>
          </w:tcPr>
          <w:p w14:paraId="0815FFF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42 (12.6)</w:t>
            </w:r>
          </w:p>
        </w:tc>
        <w:tc>
          <w:tcPr>
            <w:tcW w:w="595" w:type="pct"/>
            <w:tcBorders>
              <w:top w:val="nil"/>
              <w:left w:val="nil"/>
              <w:bottom w:val="nil"/>
              <w:right w:val="nil"/>
            </w:tcBorders>
            <w:shd w:val="clear" w:color="auto" w:fill="auto"/>
            <w:noWrap/>
            <w:vAlign w:val="bottom"/>
          </w:tcPr>
          <w:p w14:paraId="4F09E87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0.001</w:t>
            </w:r>
          </w:p>
        </w:tc>
      </w:tr>
      <w:tr w:rsidR="00D064A8" w:rsidRPr="00280B9D" w14:paraId="197E4CD0" w14:textId="77777777" w:rsidTr="004D1B3C">
        <w:trPr>
          <w:trHeight w:val="259"/>
        </w:trPr>
        <w:tc>
          <w:tcPr>
            <w:tcW w:w="2017" w:type="pct"/>
            <w:tcBorders>
              <w:top w:val="nil"/>
              <w:left w:val="nil"/>
              <w:bottom w:val="nil"/>
              <w:right w:val="nil"/>
            </w:tcBorders>
            <w:shd w:val="clear" w:color="auto" w:fill="auto"/>
            <w:noWrap/>
            <w:vAlign w:val="bottom"/>
          </w:tcPr>
          <w:p w14:paraId="26A3FFDC" w14:textId="1727784C" w:rsidR="00D064A8" w:rsidRPr="00D064A8" w:rsidRDefault="00D064A8" w:rsidP="003D0C81">
            <w:pPr>
              <w:spacing w:after="0" w:line="360" w:lineRule="auto"/>
              <w:rPr>
                <w:rFonts w:ascii="Times New Roman" w:eastAsia="Times New Roman" w:hAnsi="Times New Roman" w:cs="Times New Roman"/>
                <w:color w:val="000000"/>
                <w:sz w:val="20"/>
                <w:szCs w:val="20"/>
                <w:vertAlign w:val="superscript"/>
                <w:lang w:eastAsia="en-GB"/>
              </w:rPr>
            </w:pPr>
            <w:r>
              <w:rPr>
                <w:rFonts w:ascii="Times New Roman" w:eastAsia="Times New Roman" w:hAnsi="Times New Roman" w:cs="Times New Roman"/>
                <w:color w:val="000000"/>
                <w:sz w:val="20"/>
                <w:szCs w:val="20"/>
                <w:lang w:eastAsia="en-GB"/>
              </w:rPr>
              <w:t>NICU admission</w:t>
            </w:r>
            <w:r>
              <w:rPr>
                <w:rFonts w:ascii="Times New Roman" w:eastAsia="Times New Roman" w:hAnsi="Times New Roman" w:cs="Times New Roman"/>
                <w:color w:val="000000"/>
                <w:sz w:val="20"/>
                <w:szCs w:val="20"/>
                <w:vertAlign w:val="superscript"/>
                <w:lang w:eastAsia="en-GB"/>
              </w:rPr>
              <w:t>b</w:t>
            </w:r>
          </w:p>
        </w:tc>
        <w:tc>
          <w:tcPr>
            <w:tcW w:w="1169" w:type="pct"/>
            <w:tcBorders>
              <w:top w:val="nil"/>
              <w:left w:val="nil"/>
              <w:bottom w:val="nil"/>
              <w:right w:val="nil"/>
            </w:tcBorders>
            <w:shd w:val="clear" w:color="auto" w:fill="auto"/>
            <w:noWrap/>
            <w:vAlign w:val="bottom"/>
          </w:tcPr>
          <w:p w14:paraId="7C9B57AF"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64 (6.7)</w:t>
            </w:r>
          </w:p>
        </w:tc>
        <w:tc>
          <w:tcPr>
            <w:tcW w:w="1219" w:type="pct"/>
            <w:tcBorders>
              <w:top w:val="nil"/>
              <w:left w:val="nil"/>
              <w:bottom w:val="nil"/>
              <w:right w:val="nil"/>
            </w:tcBorders>
            <w:shd w:val="clear" w:color="auto" w:fill="auto"/>
            <w:noWrap/>
            <w:vAlign w:val="bottom"/>
          </w:tcPr>
          <w:p w14:paraId="6E7FE0B0"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34 (10.2)</w:t>
            </w:r>
          </w:p>
        </w:tc>
        <w:tc>
          <w:tcPr>
            <w:tcW w:w="595" w:type="pct"/>
            <w:tcBorders>
              <w:top w:val="nil"/>
              <w:left w:val="nil"/>
              <w:bottom w:val="nil"/>
              <w:right w:val="nil"/>
            </w:tcBorders>
            <w:shd w:val="clear" w:color="auto" w:fill="auto"/>
            <w:noWrap/>
            <w:vAlign w:val="bottom"/>
          </w:tcPr>
          <w:p w14:paraId="3ADBB367" w14:textId="77777777" w:rsidR="00D064A8" w:rsidRDefault="00D064A8"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0.036</w:t>
            </w:r>
          </w:p>
        </w:tc>
      </w:tr>
      <w:tr w:rsidR="00D064A8" w:rsidRPr="00280B9D" w14:paraId="06B8B46A" w14:textId="77777777" w:rsidTr="004D1B3C">
        <w:trPr>
          <w:trHeight w:val="259"/>
        </w:trPr>
        <w:tc>
          <w:tcPr>
            <w:tcW w:w="2017" w:type="pct"/>
            <w:tcBorders>
              <w:top w:val="nil"/>
              <w:left w:val="nil"/>
              <w:bottom w:val="nil"/>
              <w:right w:val="nil"/>
            </w:tcBorders>
            <w:shd w:val="clear" w:color="auto" w:fill="auto"/>
            <w:noWrap/>
            <w:vAlign w:val="bottom"/>
          </w:tcPr>
          <w:p w14:paraId="1D558B9A" w14:textId="76E4716B" w:rsidR="00D064A8" w:rsidRPr="0044522C" w:rsidRDefault="00D064A8" w:rsidP="003D0C81">
            <w:pPr>
              <w:spacing w:after="0" w:line="360" w:lineRule="auto"/>
              <w:rPr>
                <w:rFonts w:ascii="Times New Roman" w:eastAsia="Times New Roman" w:hAnsi="Times New Roman" w:cs="Times New Roman"/>
                <w:b/>
                <w:color w:val="000000"/>
                <w:sz w:val="20"/>
                <w:szCs w:val="20"/>
                <w:lang w:eastAsia="en-GB"/>
              </w:rPr>
            </w:pPr>
            <w:r w:rsidRPr="0044522C">
              <w:rPr>
                <w:rFonts w:ascii="Times New Roman" w:eastAsia="Times New Roman" w:hAnsi="Times New Roman" w:cs="Times New Roman"/>
                <w:b/>
                <w:color w:val="000000"/>
                <w:sz w:val="20"/>
                <w:szCs w:val="20"/>
                <w:lang w:eastAsia="en-GB"/>
              </w:rPr>
              <w:t xml:space="preserve">Clinical </w:t>
            </w:r>
            <w:r w:rsidR="00BC1001">
              <w:rPr>
                <w:rFonts w:ascii="Times New Roman" w:eastAsia="Times New Roman" w:hAnsi="Times New Roman" w:cs="Times New Roman"/>
                <w:b/>
                <w:color w:val="000000"/>
                <w:sz w:val="20"/>
                <w:szCs w:val="20"/>
                <w:lang w:eastAsia="en-GB"/>
              </w:rPr>
              <w:t>e</w:t>
            </w:r>
            <w:r w:rsidRPr="0044522C">
              <w:rPr>
                <w:rFonts w:ascii="Times New Roman" w:eastAsia="Times New Roman" w:hAnsi="Times New Roman" w:cs="Times New Roman"/>
                <w:b/>
                <w:color w:val="000000"/>
                <w:sz w:val="20"/>
                <w:szCs w:val="20"/>
                <w:lang w:eastAsia="en-GB"/>
              </w:rPr>
              <w:t>xamination</w:t>
            </w:r>
          </w:p>
        </w:tc>
        <w:tc>
          <w:tcPr>
            <w:tcW w:w="1169" w:type="pct"/>
            <w:tcBorders>
              <w:top w:val="nil"/>
              <w:left w:val="nil"/>
              <w:bottom w:val="nil"/>
              <w:right w:val="nil"/>
            </w:tcBorders>
            <w:shd w:val="clear" w:color="auto" w:fill="auto"/>
            <w:noWrap/>
            <w:vAlign w:val="bottom"/>
          </w:tcPr>
          <w:p w14:paraId="75D943B8"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1219" w:type="pct"/>
            <w:tcBorders>
              <w:top w:val="nil"/>
              <w:left w:val="nil"/>
              <w:bottom w:val="nil"/>
              <w:right w:val="nil"/>
            </w:tcBorders>
            <w:shd w:val="clear" w:color="auto" w:fill="auto"/>
            <w:noWrap/>
            <w:vAlign w:val="bottom"/>
          </w:tcPr>
          <w:p w14:paraId="2B07F39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595" w:type="pct"/>
            <w:tcBorders>
              <w:top w:val="nil"/>
              <w:left w:val="nil"/>
              <w:bottom w:val="nil"/>
              <w:right w:val="nil"/>
            </w:tcBorders>
            <w:shd w:val="clear" w:color="auto" w:fill="auto"/>
            <w:noWrap/>
            <w:vAlign w:val="bottom"/>
          </w:tcPr>
          <w:p w14:paraId="6B17AF9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0196DDA1" w14:textId="77777777" w:rsidTr="004D1B3C">
        <w:trPr>
          <w:trHeight w:val="259"/>
        </w:trPr>
        <w:tc>
          <w:tcPr>
            <w:tcW w:w="2017" w:type="pct"/>
            <w:tcBorders>
              <w:top w:val="nil"/>
              <w:left w:val="nil"/>
              <w:bottom w:val="nil"/>
              <w:right w:val="nil"/>
            </w:tcBorders>
            <w:shd w:val="clear" w:color="auto" w:fill="auto"/>
            <w:noWrap/>
            <w:vAlign w:val="bottom"/>
            <w:hideMark/>
          </w:tcPr>
          <w:p w14:paraId="76EDF795"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BMI (kg/m</w:t>
            </w:r>
            <w:r w:rsidRPr="00230AB4">
              <w:rPr>
                <w:rFonts w:ascii="Times New Roman" w:eastAsia="Times New Roman" w:hAnsi="Times New Roman" w:cs="Times New Roman"/>
                <w:color w:val="000000"/>
                <w:sz w:val="20"/>
                <w:szCs w:val="20"/>
                <w:vertAlign w:val="superscript"/>
                <w:lang w:eastAsia="en-GB"/>
              </w:rPr>
              <w:t>2</w:t>
            </w:r>
            <w:r w:rsidRPr="0044522C">
              <w:rPr>
                <w:rFonts w:ascii="Times New Roman" w:eastAsia="Times New Roman" w:hAnsi="Times New Roman" w:cs="Times New Roman"/>
                <w:color w:val="000000"/>
                <w:sz w:val="20"/>
                <w:szCs w:val="20"/>
                <w:lang w:eastAsia="en-GB"/>
              </w:rPr>
              <w:t xml:space="preserve">) </w:t>
            </w:r>
            <w:r w:rsidRPr="008F3986">
              <w:rPr>
                <w:rFonts w:ascii="Times New Roman" w:hAnsi="Times New Roman" w:cs="Times New Roman"/>
                <w:color w:val="312A2A"/>
                <w:sz w:val="20"/>
                <w:szCs w:val="20"/>
                <w:vertAlign w:val="superscript"/>
                <w:lang w:val="en-US"/>
              </w:rPr>
              <w:t>d</w:t>
            </w:r>
            <w:r w:rsidRPr="0044522C">
              <w:rPr>
                <w:rFonts w:ascii="Times New Roman" w:eastAsia="Times New Roman" w:hAnsi="Times New Roman" w:cs="Times New Roman"/>
                <w:color w:val="000000"/>
                <w:sz w:val="20"/>
                <w:szCs w:val="20"/>
                <w:lang w:eastAsia="en-GB"/>
              </w:rPr>
              <w:t xml:space="preserve">  </w:t>
            </w:r>
          </w:p>
        </w:tc>
        <w:tc>
          <w:tcPr>
            <w:tcW w:w="1169" w:type="pct"/>
            <w:tcBorders>
              <w:top w:val="nil"/>
              <w:left w:val="nil"/>
              <w:bottom w:val="nil"/>
              <w:right w:val="nil"/>
            </w:tcBorders>
            <w:shd w:val="clear" w:color="auto" w:fill="auto"/>
            <w:noWrap/>
            <w:vAlign w:val="bottom"/>
            <w:hideMark/>
          </w:tcPr>
          <w:p w14:paraId="22400E5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34.7 (32.7-38.1)</w:t>
            </w:r>
          </w:p>
        </w:tc>
        <w:tc>
          <w:tcPr>
            <w:tcW w:w="1219" w:type="pct"/>
            <w:tcBorders>
              <w:top w:val="nil"/>
              <w:left w:val="nil"/>
              <w:bottom w:val="nil"/>
              <w:right w:val="nil"/>
            </w:tcBorders>
            <w:shd w:val="clear" w:color="auto" w:fill="auto"/>
            <w:noWrap/>
            <w:vAlign w:val="bottom"/>
            <w:hideMark/>
          </w:tcPr>
          <w:p w14:paraId="0E73A33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36.2 (33.1-39.9)</w:t>
            </w:r>
          </w:p>
        </w:tc>
        <w:tc>
          <w:tcPr>
            <w:tcW w:w="595" w:type="pct"/>
            <w:tcBorders>
              <w:top w:val="nil"/>
              <w:left w:val="nil"/>
              <w:bottom w:val="nil"/>
              <w:right w:val="nil"/>
            </w:tcBorders>
            <w:shd w:val="clear" w:color="auto" w:fill="auto"/>
            <w:noWrap/>
            <w:vAlign w:val="bottom"/>
            <w:hideMark/>
          </w:tcPr>
          <w:p w14:paraId="0549F70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075363AA" w14:textId="77777777" w:rsidTr="004D1B3C">
        <w:trPr>
          <w:trHeight w:val="259"/>
        </w:trPr>
        <w:tc>
          <w:tcPr>
            <w:tcW w:w="2017" w:type="pct"/>
            <w:tcBorders>
              <w:top w:val="nil"/>
              <w:left w:val="nil"/>
              <w:bottom w:val="nil"/>
              <w:right w:val="nil"/>
            </w:tcBorders>
            <w:shd w:val="clear" w:color="auto" w:fill="auto"/>
            <w:noWrap/>
            <w:vAlign w:val="bottom"/>
            <w:hideMark/>
          </w:tcPr>
          <w:p w14:paraId="13C1164C"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Systolic BP (mmHg)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71812CE9"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116.7 (10.8)</w:t>
            </w:r>
          </w:p>
        </w:tc>
        <w:tc>
          <w:tcPr>
            <w:tcW w:w="1219" w:type="pct"/>
            <w:tcBorders>
              <w:top w:val="nil"/>
              <w:left w:val="nil"/>
              <w:bottom w:val="nil"/>
              <w:right w:val="nil"/>
            </w:tcBorders>
            <w:shd w:val="clear" w:color="auto" w:fill="auto"/>
            <w:noWrap/>
            <w:vAlign w:val="bottom"/>
            <w:hideMark/>
          </w:tcPr>
          <w:p w14:paraId="03A4E10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120.9 (10.9)</w:t>
            </w:r>
          </w:p>
        </w:tc>
        <w:tc>
          <w:tcPr>
            <w:tcW w:w="595" w:type="pct"/>
            <w:tcBorders>
              <w:top w:val="nil"/>
              <w:left w:val="nil"/>
              <w:bottom w:val="nil"/>
              <w:right w:val="nil"/>
            </w:tcBorders>
            <w:shd w:val="clear" w:color="auto" w:fill="auto"/>
            <w:noWrap/>
            <w:vAlign w:val="bottom"/>
            <w:hideMark/>
          </w:tcPr>
          <w:p w14:paraId="675A1E9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7B7F9ABD" w14:textId="77777777" w:rsidTr="004D1B3C">
        <w:trPr>
          <w:trHeight w:val="259"/>
        </w:trPr>
        <w:tc>
          <w:tcPr>
            <w:tcW w:w="2017" w:type="pct"/>
            <w:tcBorders>
              <w:top w:val="nil"/>
              <w:left w:val="nil"/>
              <w:bottom w:val="nil"/>
              <w:right w:val="nil"/>
            </w:tcBorders>
            <w:shd w:val="clear" w:color="auto" w:fill="auto"/>
            <w:noWrap/>
            <w:vAlign w:val="bottom"/>
            <w:hideMark/>
          </w:tcPr>
          <w:p w14:paraId="25233312"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Diastolic BP (mmHg)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526B09DD"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71.4 (7.6)</w:t>
            </w:r>
          </w:p>
        </w:tc>
        <w:tc>
          <w:tcPr>
            <w:tcW w:w="1219" w:type="pct"/>
            <w:tcBorders>
              <w:top w:val="nil"/>
              <w:left w:val="nil"/>
              <w:bottom w:val="nil"/>
              <w:right w:val="nil"/>
            </w:tcBorders>
            <w:shd w:val="clear" w:color="auto" w:fill="auto"/>
            <w:noWrap/>
            <w:vAlign w:val="bottom"/>
            <w:hideMark/>
          </w:tcPr>
          <w:p w14:paraId="6F663255"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74.3 (8.0)</w:t>
            </w:r>
          </w:p>
        </w:tc>
        <w:tc>
          <w:tcPr>
            <w:tcW w:w="595" w:type="pct"/>
            <w:tcBorders>
              <w:top w:val="nil"/>
              <w:left w:val="nil"/>
              <w:bottom w:val="nil"/>
              <w:right w:val="nil"/>
            </w:tcBorders>
            <w:shd w:val="clear" w:color="auto" w:fill="auto"/>
            <w:noWrap/>
            <w:vAlign w:val="bottom"/>
            <w:hideMark/>
          </w:tcPr>
          <w:p w14:paraId="3EA5D8E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015ECC1C" w14:textId="77777777" w:rsidTr="004D1B3C">
        <w:trPr>
          <w:trHeight w:val="259"/>
        </w:trPr>
        <w:tc>
          <w:tcPr>
            <w:tcW w:w="2017" w:type="pct"/>
            <w:tcBorders>
              <w:top w:val="nil"/>
              <w:left w:val="nil"/>
              <w:bottom w:val="nil"/>
              <w:right w:val="nil"/>
            </w:tcBorders>
            <w:shd w:val="clear" w:color="auto" w:fill="auto"/>
            <w:noWrap/>
            <w:vAlign w:val="bottom"/>
            <w:hideMark/>
          </w:tcPr>
          <w:p w14:paraId="69605006" w14:textId="00902787" w:rsidR="00D064A8" w:rsidRPr="0044522C" w:rsidRDefault="00D064A8" w:rsidP="003D0C81">
            <w:pPr>
              <w:spacing w:after="0" w:line="360" w:lineRule="auto"/>
              <w:rPr>
                <w:rFonts w:ascii="Times New Roman" w:eastAsia="Times New Roman" w:hAnsi="Times New Roman" w:cs="Times New Roman"/>
                <w:bCs/>
                <w:color w:val="000000"/>
                <w:sz w:val="20"/>
                <w:szCs w:val="20"/>
                <w:lang w:eastAsia="en-GB"/>
              </w:rPr>
            </w:pPr>
            <w:r w:rsidRPr="0044522C">
              <w:rPr>
                <w:rFonts w:ascii="Times New Roman" w:eastAsia="Times New Roman" w:hAnsi="Times New Roman" w:cs="Times New Roman"/>
                <w:b/>
                <w:bCs/>
                <w:color w:val="000000"/>
                <w:sz w:val="20"/>
                <w:szCs w:val="20"/>
                <w:lang w:eastAsia="en-GB"/>
              </w:rPr>
              <w:t>Skinfolds (mean, mm)</w:t>
            </w:r>
            <w:r w:rsidRPr="0044522C">
              <w:rPr>
                <w:rFonts w:ascii="Times New Roman" w:eastAsia="Times New Roman" w:hAnsi="Times New Roman" w:cs="Times New Roman"/>
                <w:bCs/>
                <w:color w:val="000000"/>
                <w:sz w:val="20"/>
                <w:szCs w:val="20"/>
                <w:lang w:eastAsia="en-GB"/>
              </w:rPr>
              <w:t xml:space="preserve">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2EEAF0B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1219" w:type="pct"/>
            <w:tcBorders>
              <w:top w:val="nil"/>
              <w:left w:val="nil"/>
              <w:bottom w:val="nil"/>
              <w:right w:val="nil"/>
            </w:tcBorders>
            <w:shd w:val="clear" w:color="auto" w:fill="auto"/>
            <w:noWrap/>
            <w:vAlign w:val="bottom"/>
            <w:hideMark/>
          </w:tcPr>
          <w:p w14:paraId="0620691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c>
          <w:tcPr>
            <w:tcW w:w="595" w:type="pct"/>
            <w:tcBorders>
              <w:top w:val="nil"/>
              <w:left w:val="nil"/>
              <w:bottom w:val="nil"/>
              <w:right w:val="nil"/>
            </w:tcBorders>
            <w:shd w:val="clear" w:color="auto" w:fill="auto"/>
            <w:noWrap/>
            <w:vAlign w:val="bottom"/>
            <w:hideMark/>
          </w:tcPr>
          <w:p w14:paraId="246CEA2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p>
        </w:tc>
      </w:tr>
      <w:tr w:rsidR="00D064A8" w:rsidRPr="00280B9D" w14:paraId="1968ADAE" w14:textId="77777777" w:rsidTr="004D1B3C">
        <w:trPr>
          <w:trHeight w:val="259"/>
        </w:trPr>
        <w:tc>
          <w:tcPr>
            <w:tcW w:w="2017" w:type="pct"/>
            <w:tcBorders>
              <w:top w:val="nil"/>
              <w:left w:val="nil"/>
              <w:bottom w:val="nil"/>
              <w:right w:val="nil"/>
            </w:tcBorders>
            <w:shd w:val="clear" w:color="auto" w:fill="auto"/>
            <w:noWrap/>
            <w:vAlign w:val="bottom"/>
            <w:hideMark/>
          </w:tcPr>
          <w:p w14:paraId="2CC8F2AA"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Triceps </w:t>
            </w:r>
          </w:p>
        </w:tc>
        <w:tc>
          <w:tcPr>
            <w:tcW w:w="1169" w:type="pct"/>
            <w:tcBorders>
              <w:top w:val="nil"/>
              <w:left w:val="nil"/>
              <w:bottom w:val="nil"/>
              <w:right w:val="nil"/>
            </w:tcBorders>
            <w:shd w:val="clear" w:color="auto" w:fill="auto"/>
            <w:noWrap/>
            <w:vAlign w:val="bottom"/>
            <w:hideMark/>
          </w:tcPr>
          <w:p w14:paraId="341228D8"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32.5 (8.7)</w:t>
            </w:r>
          </w:p>
        </w:tc>
        <w:tc>
          <w:tcPr>
            <w:tcW w:w="1219" w:type="pct"/>
            <w:tcBorders>
              <w:top w:val="nil"/>
              <w:left w:val="nil"/>
              <w:bottom w:val="nil"/>
              <w:right w:val="nil"/>
            </w:tcBorders>
            <w:shd w:val="clear" w:color="auto" w:fill="auto"/>
            <w:noWrap/>
            <w:vAlign w:val="bottom"/>
            <w:hideMark/>
          </w:tcPr>
          <w:p w14:paraId="37B5B794"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34.7 (9.6)</w:t>
            </w:r>
          </w:p>
        </w:tc>
        <w:tc>
          <w:tcPr>
            <w:tcW w:w="595" w:type="pct"/>
            <w:tcBorders>
              <w:top w:val="nil"/>
              <w:left w:val="nil"/>
              <w:bottom w:val="nil"/>
              <w:right w:val="nil"/>
            </w:tcBorders>
            <w:shd w:val="clear" w:color="auto" w:fill="auto"/>
            <w:noWrap/>
            <w:vAlign w:val="bottom"/>
            <w:hideMark/>
          </w:tcPr>
          <w:p w14:paraId="5150877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0C4244E0" w14:textId="77777777" w:rsidTr="004D1B3C">
        <w:trPr>
          <w:trHeight w:val="259"/>
        </w:trPr>
        <w:tc>
          <w:tcPr>
            <w:tcW w:w="2017" w:type="pct"/>
            <w:tcBorders>
              <w:top w:val="nil"/>
              <w:left w:val="nil"/>
              <w:bottom w:val="nil"/>
              <w:right w:val="nil"/>
            </w:tcBorders>
            <w:shd w:val="clear" w:color="auto" w:fill="auto"/>
            <w:noWrap/>
            <w:vAlign w:val="bottom"/>
            <w:hideMark/>
          </w:tcPr>
          <w:p w14:paraId="5FDBA574"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Biceps</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d</w:t>
            </w:r>
          </w:p>
        </w:tc>
        <w:tc>
          <w:tcPr>
            <w:tcW w:w="1169" w:type="pct"/>
            <w:tcBorders>
              <w:top w:val="nil"/>
              <w:left w:val="nil"/>
              <w:bottom w:val="nil"/>
              <w:right w:val="nil"/>
            </w:tcBorders>
            <w:shd w:val="clear" w:color="auto" w:fill="auto"/>
            <w:noWrap/>
            <w:vAlign w:val="bottom"/>
            <w:hideMark/>
          </w:tcPr>
          <w:p w14:paraId="08674AA8"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20.3 (16-25)</w:t>
            </w:r>
          </w:p>
        </w:tc>
        <w:tc>
          <w:tcPr>
            <w:tcW w:w="1219" w:type="pct"/>
            <w:tcBorders>
              <w:top w:val="nil"/>
              <w:left w:val="nil"/>
              <w:bottom w:val="nil"/>
              <w:right w:val="nil"/>
            </w:tcBorders>
            <w:shd w:val="clear" w:color="auto" w:fill="auto"/>
            <w:noWrap/>
            <w:vAlign w:val="bottom"/>
            <w:hideMark/>
          </w:tcPr>
          <w:p w14:paraId="7DA7B7A4"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21.8 (17-28)</w:t>
            </w:r>
          </w:p>
        </w:tc>
        <w:tc>
          <w:tcPr>
            <w:tcW w:w="595" w:type="pct"/>
            <w:tcBorders>
              <w:top w:val="nil"/>
              <w:left w:val="nil"/>
              <w:bottom w:val="nil"/>
              <w:right w:val="nil"/>
            </w:tcBorders>
            <w:shd w:val="clear" w:color="auto" w:fill="auto"/>
            <w:noWrap/>
            <w:vAlign w:val="bottom"/>
            <w:hideMark/>
          </w:tcPr>
          <w:p w14:paraId="263CF9A7" w14:textId="59997769" w:rsidR="00D064A8" w:rsidRPr="0086073F" w:rsidRDefault="00CD1E35" w:rsidP="003D0C81">
            <w:pPr>
              <w:spacing w:after="0"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&lt;</w:t>
            </w:r>
            <w:r w:rsidR="00D064A8" w:rsidRPr="0086073F">
              <w:rPr>
                <w:rFonts w:ascii="Times New Roman" w:eastAsia="Times New Roman" w:hAnsi="Times New Roman" w:cs="Times New Roman"/>
                <w:color w:val="000000"/>
                <w:sz w:val="20"/>
                <w:szCs w:val="20"/>
                <w:lang w:eastAsia="en-GB"/>
              </w:rPr>
              <w:t>0.001</w:t>
            </w:r>
          </w:p>
        </w:tc>
      </w:tr>
      <w:tr w:rsidR="00D064A8" w:rsidRPr="00280B9D" w14:paraId="453E9120" w14:textId="77777777" w:rsidTr="004D1B3C">
        <w:trPr>
          <w:trHeight w:val="259"/>
        </w:trPr>
        <w:tc>
          <w:tcPr>
            <w:tcW w:w="2017" w:type="pct"/>
            <w:tcBorders>
              <w:top w:val="nil"/>
              <w:left w:val="nil"/>
              <w:bottom w:val="nil"/>
              <w:right w:val="nil"/>
            </w:tcBorders>
            <w:shd w:val="clear" w:color="auto" w:fill="auto"/>
            <w:noWrap/>
            <w:vAlign w:val="bottom"/>
            <w:hideMark/>
          </w:tcPr>
          <w:p w14:paraId="65590A9B"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Subscapular</w:t>
            </w:r>
          </w:p>
        </w:tc>
        <w:tc>
          <w:tcPr>
            <w:tcW w:w="1169" w:type="pct"/>
            <w:tcBorders>
              <w:top w:val="nil"/>
              <w:left w:val="nil"/>
              <w:bottom w:val="nil"/>
              <w:right w:val="nil"/>
            </w:tcBorders>
            <w:shd w:val="clear" w:color="auto" w:fill="auto"/>
            <w:noWrap/>
            <w:vAlign w:val="bottom"/>
            <w:hideMark/>
          </w:tcPr>
          <w:p w14:paraId="23F8D638"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34.4 (9.5)</w:t>
            </w:r>
          </w:p>
        </w:tc>
        <w:tc>
          <w:tcPr>
            <w:tcW w:w="1219" w:type="pct"/>
            <w:tcBorders>
              <w:top w:val="nil"/>
              <w:left w:val="nil"/>
              <w:bottom w:val="nil"/>
              <w:right w:val="nil"/>
            </w:tcBorders>
            <w:shd w:val="clear" w:color="auto" w:fill="auto"/>
            <w:noWrap/>
            <w:vAlign w:val="bottom"/>
            <w:hideMark/>
          </w:tcPr>
          <w:p w14:paraId="1C3EEA2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38.3 (10.8)</w:t>
            </w:r>
          </w:p>
        </w:tc>
        <w:tc>
          <w:tcPr>
            <w:tcW w:w="595" w:type="pct"/>
            <w:tcBorders>
              <w:top w:val="nil"/>
              <w:left w:val="nil"/>
              <w:bottom w:val="nil"/>
              <w:right w:val="nil"/>
            </w:tcBorders>
            <w:shd w:val="clear" w:color="auto" w:fill="auto"/>
            <w:noWrap/>
            <w:vAlign w:val="bottom"/>
            <w:hideMark/>
          </w:tcPr>
          <w:p w14:paraId="34A8A7E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0FAB93CC" w14:textId="77777777" w:rsidTr="004D1B3C">
        <w:trPr>
          <w:trHeight w:val="259"/>
        </w:trPr>
        <w:tc>
          <w:tcPr>
            <w:tcW w:w="2017" w:type="pct"/>
            <w:tcBorders>
              <w:top w:val="nil"/>
              <w:left w:val="nil"/>
              <w:bottom w:val="nil"/>
              <w:right w:val="nil"/>
            </w:tcBorders>
            <w:shd w:val="clear" w:color="auto" w:fill="auto"/>
            <w:noWrap/>
            <w:vAlign w:val="bottom"/>
            <w:hideMark/>
          </w:tcPr>
          <w:p w14:paraId="0C525FA8"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Suprailiac </w:t>
            </w:r>
          </w:p>
        </w:tc>
        <w:tc>
          <w:tcPr>
            <w:tcW w:w="1169" w:type="pct"/>
            <w:tcBorders>
              <w:top w:val="nil"/>
              <w:left w:val="nil"/>
              <w:bottom w:val="nil"/>
              <w:right w:val="nil"/>
            </w:tcBorders>
            <w:shd w:val="clear" w:color="auto" w:fill="auto"/>
            <w:noWrap/>
            <w:vAlign w:val="bottom"/>
            <w:hideMark/>
          </w:tcPr>
          <w:p w14:paraId="4F2C5A24"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31.3 (10.9)</w:t>
            </w:r>
          </w:p>
        </w:tc>
        <w:tc>
          <w:tcPr>
            <w:tcW w:w="1219" w:type="pct"/>
            <w:tcBorders>
              <w:top w:val="nil"/>
              <w:left w:val="nil"/>
              <w:bottom w:val="nil"/>
              <w:right w:val="nil"/>
            </w:tcBorders>
            <w:shd w:val="clear" w:color="auto" w:fill="auto"/>
            <w:noWrap/>
            <w:vAlign w:val="bottom"/>
            <w:hideMark/>
          </w:tcPr>
          <w:p w14:paraId="738AF41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34.7 (11.1)</w:t>
            </w:r>
          </w:p>
        </w:tc>
        <w:tc>
          <w:tcPr>
            <w:tcW w:w="595" w:type="pct"/>
            <w:tcBorders>
              <w:top w:val="nil"/>
              <w:left w:val="nil"/>
              <w:bottom w:val="nil"/>
              <w:right w:val="nil"/>
            </w:tcBorders>
            <w:shd w:val="clear" w:color="auto" w:fill="auto"/>
            <w:noWrap/>
            <w:vAlign w:val="bottom"/>
            <w:hideMark/>
          </w:tcPr>
          <w:p w14:paraId="34C1F39D"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1DC0D475" w14:textId="77777777" w:rsidTr="004D1B3C">
        <w:trPr>
          <w:trHeight w:val="259"/>
        </w:trPr>
        <w:tc>
          <w:tcPr>
            <w:tcW w:w="2017" w:type="pct"/>
            <w:tcBorders>
              <w:top w:val="nil"/>
              <w:left w:val="nil"/>
              <w:bottom w:val="nil"/>
              <w:right w:val="nil"/>
            </w:tcBorders>
            <w:shd w:val="clear" w:color="auto" w:fill="auto"/>
            <w:noWrap/>
            <w:vAlign w:val="bottom"/>
            <w:hideMark/>
          </w:tcPr>
          <w:p w14:paraId="4451B0B5" w14:textId="77777777" w:rsidR="00D064A8" w:rsidRPr="0044522C" w:rsidRDefault="00D064A8" w:rsidP="003D0C81">
            <w:pPr>
              <w:spacing w:after="0" w:line="360" w:lineRule="auto"/>
              <w:ind w:firstLineChars="100" w:firstLine="200"/>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Sum of skinfolds</w:t>
            </w:r>
          </w:p>
        </w:tc>
        <w:tc>
          <w:tcPr>
            <w:tcW w:w="1169" w:type="pct"/>
            <w:tcBorders>
              <w:top w:val="nil"/>
              <w:left w:val="nil"/>
              <w:bottom w:val="nil"/>
              <w:right w:val="nil"/>
            </w:tcBorders>
            <w:shd w:val="clear" w:color="auto" w:fill="auto"/>
            <w:noWrap/>
            <w:vAlign w:val="bottom"/>
            <w:hideMark/>
          </w:tcPr>
          <w:p w14:paraId="0CF4E10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119.5 (25.7)</w:t>
            </w:r>
          </w:p>
        </w:tc>
        <w:tc>
          <w:tcPr>
            <w:tcW w:w="1219" w:type="pct"/>
            <w:tcBorders>
              <w:top w:val="nil"/>
              <w:left w:val="nil"/>
              <w:bottom w:val="nil"/>
              <w:right w:val="nil"/>
            </w:tcBorders>
            <w:shd w:val="clear" w:color="auto" w:fill="auto"/>
            <w:noWrap/>
            <w:vAlign w:val="bottom"/>
            <w:hideMark/>
          </w:tcPr>
          <w:p w14:paraId="296A8CA3"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131.2 (29.3)</w:t>
            </w:r>
          </w:p>
        </w:tc>
        <w:tc>
          <w:tcPr>
            <w:tcW w:w="595" w:type="pct"/>
            <w:tcBorders>
              <w:top w:val="nil"/>
              <w:left w:val="nil"/>
              <w:bottom w:val="nil"/>
              <w:right w:val="nil"/>
            </w:tcBorders>
            <w:shd w:val="clear" w:color="auto" w:fill="auto"/>
            <w:noWrap/>
            <w:vAlign w:val="bottom"/>
            <w:hideMark/>
          </w:tcPr>
          <w:p w14:paraId="77A205A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7DA39810" w14:textId="77777777" w:rsidTr="004D1B3C">
        <w:trPr>
          <w:trHeight w:val="259"/>
        </w:trPr>
        <w:tc>
          <w:tcPr>
            <w:tcW w:w="2017" w:type="pct"/>
            <w:tcBorders>
              <w:top w:val="nil"/>
              <w:left w:val="nil"/>
              <w:bottom w:val="nil"/>
              <w:right w:val="nil"/>
            </w:tcBorders>
            <w:shd w:val="clear" w:color="auto" w:fill="auto"/>
            <w:noWrap/>
            <w:vAlign w:val="bottom"/>
            <w:hideMark/>
          </w:tcPr>
          <w:p w14:paraId="09A343BB" w14:textId="77777777" w:rsidR="00D064A8" w:rsidRPr="0086073F" w:rsidRDefault="00D064A8" w:rsidP="003D0C81">
            <w:pPr>
              <w:spacing w:after="0" w:line="360"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Neck circumference (cm)</w:t>
            </w:r>
            <w:r w:rsidRPr="0044522C">
              <w:rPr>
                <w:rFonts w:ascii="Times New Roman" w:eastAsia="Times New Roman" w:hAnsi="Times New Roman" w:cs="Times New Roman"/>
                <w:color w:val="000000"/>
                <w:sz w:val="20"/>
                <w:szCs w:val="20"/>
                <w:lang w:eastAsia="en-GB"/>
              </w:rPr>
              <w:t xml:space="preserve">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576A0B63"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36.3 (2.4)</w:t>
            </w:r>
          </w:p>
        </w:tc>
        <w:tc>
          <w:tcPr>
            <w:tcW w:w="1219" w:type="pct"/>
            <w:tcBorders>
              <w:top w:val="nil"/>
              <w:left w:val="nil"/>
              <w:bottom w:val="nil"/>
              <w:right w:val="nil"/>
            </w:tcBorders>
            <w:shd w:val="clear" w:color="auto" w:fill="auto"/>
            <w:noWrap/>
            <w:vAlign w:val="bottom"/>
            <w:hideMark/>
          </w:tcPr>
          <w:p w14:paraId="1A43C67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37.4 (2.5)</w:t>
            </w:r>
          </w:p>
        </w:tc>
        <w:tc>
          <w:tcPr>
            <w:tcW w:w="595" w:type="pct"/>
            <w:tcBorders>
              <w:top w:val="nil"/>
              <w:left w:val="nil"/>
              <w:bottom w:val="nil"/>
              <w:right w:val="nil"/>
            </w:tcBorders>
            <w:shd w:val="clear" w:color="auto" w:fill="auto"/>
            <w:noWrap/>
            <w:vAlign w:val="bottom"/>
            <w:hideMark/>
          </w:tcPr>
          <w:p w14:paraId="35223DA4"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70C88A01" w14:textId="77777777" w:rsidTr="004D1B3C">
        <w:trPr>
          <w:trHeight w:val="259"/>
        </w:trPr>
        <w:tc>
          <w:tcPr>
            <w:tcW w:w="2017" w:type="pct"/>
            <w:tcBorders>
              <w:top w:val="nil"/>
              <w:left w:val="nil"/>
              <w:bottom w:val="nil"/>
              <w:right w:val="nil"/>
            </w:tcBorders>
            <w:shd w:val="clear" w:color="auto" w:fill="auto"/>
            <w:noWrap/>
            <w:vAlign w:val="bottom"/>
            <w:hideMark/>
          </w:tcPr>
          <w:p w14:paraId="080D95B4"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Waist circumference (cm) </w:t>
            </w:r>
            <w:r w:rsidRPr="008F3986">
              <w:rPr>
                <w:rFonts w:ascii="Times New Roman" w:hAnsi="Times New Roman" w:cs="Times New Roman"/>
                <w:color w:val="312A2A"/>
                <w:sz w:val="20"/>
                <w:szCs w:val="20"/>
                <w:vertAlign w:val="superscript"/>
                <w:lang w:val="en-US"/>
              </w:rPr>
              <w:t>b</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d</w:t>
            </w:r>
          </w:p>
        </w:tc>
        <w:tc>
          <w:tcPr>
            <w:tcW w:w="1169" w:type="pct"/>
            <w:tcBorders>
              <w:top w:val="nil"/>
              <w:left w:val="nil"/>
              <w:bottom w:val="nil"/>
              <w:right w:val="nil"/>
            </w:tcBorders>
            <w:shd w:val="clear" w:color="auto" w:fill="auto"/>
            <w:noWrap/>
            <w:vAlign w:val="bottom"/>
            <w:hideMark/>
          </w:tcPr>
          <w:p w14:paraId="0C34BF7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105 (99-112)</w:t>
            </w:r>
          </w:p>
        </w:tc>
        <w:tc>
          <w:tcPr>
            <w:tcW w:w="1219" w:type="pct"/>
            <w:tcBorders>
              <w:top w:val="nil"/>
              <w:left w:val="nil"/>
              <w:bottom w:val="nil"/>
              <w:right w:val="nil"/>
            </w:tcBorders>
            <w:shd w:val="clear" w:color="auto" w:fill="auto"/>
            <w:noWrap/>
            <w:vAlign w:val="bottom"/>
            <w:hideMark/>
          </w:tcPr>
          <w:p w14:paraId="5EA2A826"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110 (103-116)</w:t>
            </w:r>
          </w:p>
        </w:tc>
        <w:tc>
          <w:tcPr>
            <w:tcW w:w="595" w:type="pct"/>
            <w:tcBorders>
              <w:top w:val="nil"/>
              <w:left w:val="nil"/>
              <w:bottom w:val="nil"/>
              <w:right w:val="nil"/>
            </w:tcBorders>
            <w:shd w:val="clear" w:color="auto" w:fill="auto"/>
            <w:noWrap/>
            <w:vAlign w:val="bottom"/>
            <w:hideMark/>
          </w:tcPr>
          <w:p w14:paraId="2119AB2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5AC1840F" w14:textId="77777777" w:rsidTr="004D1B3C">
        <w:trPr>
          <w:trHeight w:val="259"/>
        </w:trPr>
        <w:tc>
          <w:tcPr>
            <w:tcW w:w="2017" w:type="pct"/>
            <w:tcBorders>
              <w:top w:val="nil"/>
              <w:left w:val="nil"/>
              <w:bottom w:val="nil"/>
              <w:right w:val="nil"/>
            </w:tcBorders>
            <w:shd w:val="clear" w:color="auto" w:fill="auto"/>
            <w:noWrap/>
            <w:vAlign w:val="bottom"/>
            <w:hideMark/>
          </w:tcPr>
          <w:p w14:paraId="58632C17"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Mid-arm circumference (cm) </w:t>
            </w:r>
            <w:r w:rsidRPr="008F3986">
              <w:rPr>
                <w:rFonts w:ascii="Times New Roman" w:hAnsi="Times New Roman" w:cs="Times New Roman"/>
                <w:color w:val="312A2A"/>
                <w:sz w:val="20"/>
                <w:szCs w:val="20"/>
                <w:vertAlign w:val="superscript"/>
                <w:lang w:val="en-US"/>
              </w:rPr>
              <w:t>b</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d</w:t>
            </w:r>
          </w:p>
        </w:tc>
        <w:tc>
          <w:tcPr>
            <w:tcW w:w="1169" w:type="pct"/>
            <w:tcBorders>
              <w:top w:val="nil"/>
              <w:left w:val="nil"/>
              <w:bottom w:val="nil"/>
              <w:right w:val="nil"/>
            </w:tcBorders>
            <w:shd w:val="clear" w:color="auto" w:fill="auto"/>
            <w:noWrap/>
            <w:vAlign w:val="bottom"/>
            <w:hideMark/>
          </w:tcPr>
          <w:p w14:paraId="6F9F659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36 (34-38)</w:t>
            </w:r>
          </w:p>
        </w:tc>
        <w:tc>
          <w:tcPr>
            <w:tcW w:w="1219" w:type="pct"/>
            <w:tcBorders>
              <w:top w:val="nil"/>
              <w:left w:val="nil"/>
              <w:bottom w:val="nil"/>
              <w:right w:val="nil"/>
            </w:tcBorders>
            <w:shd w:val="clear" w:color="auto" w:fill="auto"/>
            <w:noWrap/>
            <w:vAlign w:val="bottom"/>
            <w:hideMark/>
          </w:tcPr>
          <w:p w14:paraId="51084524"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37 (35-40)</w:t>
            </w:r>
          </w:p>
        </w:tc>
        <w:tc>
          <w:tcPr>
            <w:tcW w:w="595" w:type="pct"/>
            <w:tcBorders>
              <w:top w:val="nil"/>
              <w:left w:val="nil"/>
              <w:bottom w:val="nil"/>
              <w:right w:val="nil"/>
            </w:tcBorders>
            <w:shd w:val="clear" w:color="auto" w:fill="auto"/>
            <w:noWrap/>
            <w:vAlign w:val="bottom"/>
            <w:hideMark/>
          </w:tcPr>
          <w:p w14:paraId="45514B46"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7BC33C9D" w14:textId="77777777" w:rsidTr="004D1B3C">
        <w:trPr>
          <w:trHeight w:val="259"/>
        </w:trPr>
        <w:tc>
          <w:tcPr>
            <w:tcW w:w="2017" w:type="pct"/>
            <w:tcBorders>
              <w:top w:val="nil"/>
              <w:left w:val="nil"/>
              <w:bottom w:val="nil"/>
              <w:right w:val="nil"/>
            </w:tcBorders>
            <w:shd w:val="clear" w:color="auto" w:fill="auto"/>
            <w:noWrap/>
            <w:vAlign w:val="bottom"/>
            <w:hideMark/>
          </w:tcPr>
          <w:p w14:paraId="4CF4262A"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Wrist circumference (mm)</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b</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d</w:t>
            </w:r>
          </w:p>
        </w:tc>
        <w:tc>
          <w:tcPr>
            <w:tcW w:w="1169" w:type="pct"/>
            <w:tcBorders>
              <w:top w:val="nil"/>
              <w:left w:val="nil"/>
              <w:bottom w:val="nil"/>
              <w:right w:val="nil"/>
            </w:tcBorders>
            <w:shd w:val="clear" w:color="auto" w:fill="auto"/>
            <w:noWrap/>
            <w:vAlign w:val="bottom"/>
            <w:hideMark/>
          </w:tcPr>
          <w:p w14:paraId="4D68F69E"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170 (161-180)</w:t>
            </w:r>
          </w:p>
        </w:tc>
        <w:tc>
          <w:tcPr>
            <w:tcW w:w="1219" w:type="pct"/>
            <w:tcBorders>
              <w:top w:val="nil"/>
              <w:left w:val="nil"/>
              <w:bottom w:val="nil"/>
              <w:right w:val="nil"/>
            </w:tcBorders>
            <w:shd w:val="clear" w:color="auto" w:fill="auto"/>
            <w:noWrap/>
            <w:vAlign w:val="bottom"/>
            <w:hideMark/>
          </w:tcPr>
          <w:p w14:paraId="4EC9F1AD"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172 (165-180)</w:t>
            </w:r>
          </w:p>
        </w:tc>
        <w:tc>
          <w:tcPr>
            <w:tcW w:w="595" w:type="pct"/>
            <w:tcBorders>
              <w:top w:val="nil"/>
              <w:left w:val="nil"/>
              <w:bottom w:val="nil"/>
              <w:right w:val="nil"/>
            </w:tcBorders>
            <w:shd w:val="clear" w:color="auto" w:fill="auto"/>
            <w:noWrap/>
            <w:vAlign w:val="bottom"/>
            <w:hideMark/>
          </w:tcPr>
          <w:p w14:paraId="3449515D"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0.02</w:t>
            </w:r>
          </w:p>
        </w:tc>
      </w:tr>
      <w:tr w:rsidR="00D064A8" w:rsidRPr="00280B9D" w14:paraId="2DE7EFA5" w14:textId="77777777" w:rsidTr="004D1B3C">
        <w:trPr>
          <w:trHeight w:val="259"/>
        </w:trPr>
        <w:tc>
          <w:tcPr>
            <w:tcW w:w="2017" w:type="pct"/>
            <w:tcBorders>
              <w:top w:val="nil"/>
              <w:left w:val="nil"/>
              <w:bottom w:val="nil"/>
              <w:right w:val="nil"/>
            </w:tcBorders>
            <w:shd w:val="clear" w:color="auto" w:fill="auto"/>
            <w:noWrap/>
            <w:vAlign w:val="bottom"/>
            <w:hideMark/>
          </w:tcPr>
          <w:p w14:paraId="0BF95F74"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Hip circumference (cm)</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b</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d</w:t>
            </w:r>
          </w:p>
        </w:tc>
        <w:tc>
          <w:tcPr>
            <w:tcW w:w="1169" w:type="pct"/>
            <w:tcBorders>
              <w:top w:val="nil"/>
              <w:left w:val="nil"/>
              <w:bottom w:val="nil"/>
              <w:right w:val="nil"/>
            </w:tcBorders>
            <w:shd w:val="clear" w:color="auto" w:fill="auto"/>
            <w:noWrap/>
            <w:vAlign w:val="bottom"/>
            <w:hideMark/>
          </w:tcPr>
          <w:p w14:paraId="78CFA7C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121 (116-127)</w:t>
            </w:r>
          </w:p>
        </w:tc>
        <w:tc>
          <w:tcPr>
            <w:tcW w:w="1219" w:type="pct"/>
            <w:tcBorders>
              <w:top w:val="nil"/>
              <w:left w:val="nil"/>
              <w:bottom w:val="nil"/>
              <w:right w:val="nil"/>
            </w:tcBorders>
            <w:shd w:val="clear" w:color="auto" w:fill="auto"/>
            <w:noWrap/>
            <w:vAlign w:val="bottom"/>
            <w:hideMark/>
          </w:tcPr>
          <w:p w14:paraId="51635CF2"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123 (116-130)</w:t>
            </w:r>
          </w:p>
        </w:tc>
        <w:tc>
          <w:tcPr>
            <w:tcW w:w="595" w:type="pct"/>
            <w:tcBorders>
              <w:top w:val="nil"/>
              <w:left w:val="nil"/>
              <w:bottom w:val="nil"/>
              <w:right w:val="nil"/>
            </w:tcBorders>
            <w:shd w:val="clear" w:color="auto" w:fill="auto"/>
            <w:noWrap/>
            <w:vAlign w:val="bottom"/>
            <w:hideMark/>
          </w:tcPr>
          <w:p w14:paraId="6BF194D7"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0.04</w:t>
            </w:r>
          </w:p>
        </w:tc>
      </w:tr>
      <w:tr w:rsidR="00D064A8" w:rsidRPr="00280B9D" w14:paraId="7B9A62F3" w14:textId="77777777" w:rsidTr="004D1B3C">
        <w:trPr>
          <w:trHeight w:val="259"/>
        </w:trPr>
        <w:tc>
          <w:tcPr>
            <w:tcW w:w="2017" w:type="pct"/>
            <w:tcBorders>
              <w:top w:val="nil"/>
              <w:left w:val="nil"/>
              <w:bottom w:val="nil"/>
              <w:right w:val="nil"/>
            </w:tcBorders>
            <w:shd w:val="clear" w:color="auto" w:fill="auto"/>
            <w:noWrap/>
            <w:vAlign w:val="bottom"/>
            <w:hideMark/>
          </w:tcPr>
          <w:p w14:paraId="35E16A3A"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Thigh circumference (cm)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23B51262"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68.4 (6.3)</w:t>
            </w:r>
          </w:p>
        </w:tc>
        <w:tc>
          <w:tcPr>
            <w:tcW w:w="1219" w:type="pct"/>
            <w:tcBorders>
              <w:top w:val="nil"/>
              <w:left w:val="nil"/>
              <w:bottom w:val="nil"/>
              <w:right w:val="nil"/>
            </w:tcBorders>
            <w:shd w:val="clear" w:color="auto" w:fill="auto"/>
            <w:noWrap/>
            <w:vAlign w:val="bottom"/>
            <w:hideMark/>
          </w:tcPr>
          <w:p w14:paraId="748EEEDF"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68.9 (7.6)</w:t>
            </w:r>
          </w:p>
        </w:tc>
        <w:tc>
          <w:tcPr>
            <w:tcW w:w="595" w:type="pct"/>
            <w:tcBorders>
              <w:top w:val="nil"/>
              <w:left w:val="nil"/>
              <w:bottom w:val="nil"/>
              <w:right w:val="nil"/>
            </w:tcBorders>
            <w:shd w:val="clear" w:color="auto" w:fill="auto"/>
            <w:noWrap/>
            <w:vAlign w:val="bottom"/>
            <w:hideMark/>
          </w:tcPr>
          <w:p w14:paraId="2A6EE6D6"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0.24</w:t>
            </w:r>
          </w:p>
        </w:tc>
      </w:tr>
      <w:tr w:rsidR="00D064A8" w:rsidRPr="00280B9D" w14:paraId="3A944BF7" w14:textId="77777777" w:rsidTr="004D1B3C">
        <w:trPr>
          <w:trHeight w:val="259"/>
        </w:trPr>
        <w:tc>
          <w:tcPr>
            <w:tcW w:w="2017" w:type="pct"/>
            <w:tcBorders>
              <w:top w:val="nil"/>
              <w:left w:val="nil"/>
              <w:bottom w:val="nil"/>
              <w:right w:val="nil"/>
            </w:tcBorders>
            <w:shd w:val="clear" w:color="auto" w:fill="auto"/>
            <w:noWrap/>
            <w:vAlign w:val="bottom"/>
            <w:hideMark/>
          </w:tcPr>
          <w:p w14:paraId="6CD301DB"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Waist:hip ratio </w:t>
            </w:r>
            <w:r w:rsidRPr="008F3986">
              <w:rPr>
                <w:rFonts w:ascii="Times New Roman" w:hAnsi="Times New Roman" w:cs="Times New Roman"/>
                <w:color w:val="312A2A"/>
                <w:sz w:val="20"/>
                <w:szCs w:val="20"/>
                <w:vertAlign w:val="superscript"/>
                <w:lang w:val="en-US"/>
              </w:rPr>
              <w:t>b</w:t>
            </w:r>
          </w:p>
        </w:tc>
        <w:tc>
          <w:tcPr>
            <w:tcW w:w="1169" w:type="pct"/>
            <w:tcBorders>
              <w:top w:val="nil"/>
              <w:left w:val="nil"/>
              <w:bottom w:val="nil"/>
              <w:right w:val="nil"/>
            </w:tcBorders>
            <w:shd w:val="clear" w:color="auto" w:fill="auto"/>
            <w:noWrap/>
            <w:vAlign w:val="bottom"/>
            <w:hideMark/>
          </w:tcPr>
          <w:p w14:paraId="75FB18E1"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0.87 (0.08)</w:t>
            </w:r>
          </w:p>
        </w:tc>
        <w:tc>
          <w:tcPr>
            <w:tcW w:w="1219" w:type="pct"/>
            <w:tcBorders>
              <w:top w:val="nil"/>
              <w:left w:val="nil"/>
              <w:bottom w:val="nil"/>
              <w:right w:val="nil"/>
            </w:tcBorders>
            <w:shd w:val="clear" w:color="auto" w:fill="auto"/>
            <w:noWrap/>
            <w:vAlign w:val="bottom"/>
            <w:hideMark/>
          </w:tcPr>
          <w:p w14:paraId="3CF6665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0.89 (0.07)</w:t>
            </w:r>
          </w:p>
        </w:tc>
        <w:tc>
          <w:tcPr>
            <w:tcW w:w="595" w:type="pct"/>
            <w:tcBorders>
              <w:top w:val="nil"/>
              <w:left w:val="nil"/>
              <w:bottom w:val="nil"/>
              <w:right w:val="nil"/>
            </w:tcBorders>
            <w:shd w:val="clear" w:color="auto" w:fill="auto"/>
            <w:noWrap/>
            <w:vAlign w:val="bottom"/>
            <w:hideMark/>
          </w:tcPr>
          <w:p w14:paraId="53C152DA"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6B71052C" w14:textId="77777777" w:rsidTr="004D1B3C">
        <w:trPr>
          <w:trHeight w:val="259"/>
        </w:trPr>
        <w:tc>
          <w:tcPr>
            <w:tcW w:w="2017" w:type="pct"/>
            <w:tcBorders>
              <w:top w:val="nil"/>
              <w:left w:val="nil"/>
              <w:bottom w:val="nil"/>
              <w:right w:val="nil"/>
            </w:tcBorders>
            <w:shd w:val="clear" w:color="auto" w:fill="auto"/>
            <w:noWrap/>
            <w:vAlign w:val="bottom"/>
            <w:hideMark/>
          </w:tcPr>
          <w:p w14:paraId="6633033E"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Waist:thigh ratio</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b</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d</w:t>
            </w:r>
          </w:p>
        </w:tc>
        <w:tc>
          <w:tcPr>
            <w:tcW w:w="1169" w:type="pct"/>
            <w:tcBorders>
              <w:top w:val="nil"/>
              <w:left w:val="nil"/>
              <w:bottom w:val="nil"/>
              <w:right w:val="nil"/>
            </w:tcBorders>
            <w:shd w:val="clear" w:color="auto" w:fill="auto"/>
            <w:noWrap/>
            <w:vAlign w:val="bottom"/>
            <w:hideMark/>
          </w:tcPr>
          <w:p w14:paraId="4E104A6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1.54 (1.43-1.66)</w:t>
            </w:r>
          </w:p>
        </w:tc>
        <w:tc>
          <w:tcPr>
            <w:tcW w:w="1219" w:type="pct"/>
            <w:tcBorders>
              <w:top w:val="nil"/>
              <w:left w:val="nil"/>
              <w:bottom w:val="nil"/>
              <w:right w:val="nil"/>
            </w:tcBorders>
            <w:shd w:val="clear" w:color="auto" w:fill="auto"/>
            <w:noWrap/>
            <w:vAlign w:val="bottom"/>
            <w:hideMark/>
          </w:tcPr>
          <w:p w14:paraId="6203F676"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1.61 (1.5-1.71)</w:t>
            </w:r>
          </w:p>
        </w:tc>
        <w:tc>
          <w:tcPr>
            <w:tcW w:w="595" w:type="pct"/>
            <w:tcBorders>
              <w:top w:val="nil"/>
              <w:left w:val="nil"/>
              <w:bottom w:val="nil"/>
              <w:right w:val="nil"/>
            </w:tcBorders>
            <w:shd w:val="clear" w:color="auto" w:fill="auto"/>
            <w:noWrap/>
            <w:vAlign w:val="bottom"/>
            <w:hideMark/>
          </w:tcPr>
          <w:p w14:paraId="4D12F5EB"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3F9BFF47" w14:textId="77777777" w:rsidTr="00987AC7">
        <w:trPr>
          <w:trHeight w:val="259"/>
        </w:trPr>
        <w:tc>
          <w:tcPr>
            <w:tcW w:w="2017" w:type="pct"/>
            <w:tcBorders>
              <w:top w:val="nil"/>
              <w:left w:val="nil"/>
              <w:right w:val="nil"/>
            </w:tcBorders>
            <w:shd w:val="clear" w:color="auto" w:fill="auto"/>
            <w:noWrap/>
            <w:vAlign w:val="bottom"/>
            <w:hideMark/>
          </w:tcPr>
          <w:p w14:paraId="69E049CA"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 xml:space="preserve">Neck:thigh ratio </w:t>
            </w:r>
            <w:r w:rsidRPr="008F3986">
              <w:rPr>
                <w:rFonts w:ascii="Times New Roman" w:hAnsi="Times New Roman" w:cs="Times New Roman"/>
                <w:color w:val="312A2A"/>
                <w:sz w:val="20"/>
                <w:szCs w:val="20"/>
                <w:vertAlign w:val="superscript"/>
                <w:lang w:val="en-US"/>
              </w:rPr>
              <w:t>b</w:t>
            </w:r>
          </w:p>
        </w:tc>
        <w:tc>
          <w:tcPr>
            <w:tcW w:w="1169" w:type="pct"/>
            <w:tcBorders>
              <w:top w:val="nil"/>
              <w:left w:val="nil"/>
              <w:right w:val="nil"/>
            </w:tcBorders>
            <w:shd w:val="clear" w:color="auto" w:fill="auto"/>
            <w:noWrap/>
            <w:vAlign w:val="bottom"/>
            <w:hideMark/>
          </w:tcPr>
          <w:p w14:paraId="5C7BBE4C"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0.53 (0.05)</w:t>
            </w:r>
          </w:p>
        </w:tc>
        <w:tc>
          <w:tcPr>
            <w:tcW w:w="1219" w:type="pct"/>
            <w:tcBorders>
              <w:top w:val="nil"/>
              <w:left w:val="nil"/>
              <w:right w:val="nil"/>
            </w:tcBorders>
            <w:shd w:val="clear" w:color="auto" w:fill="auto"/>
            <w:noWrap/>
            <w:vAlign w:val="bottom"/>
            <w:hideMark/>
          </w:tcPr>
          <w:p w14:paraId="1240436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0.55 (0.07)</w:t>
            </w:r>
          </w:p>
        </w:tc>
        <w:tc>
          <w:tcPr>
            <w:tcW w:w="595" w:type="pct"/>
            <w:tcBorders>
              <w:top w:val="nil"/>
              <w:left w:val="nil"/>
              <w:right w:val="nil"/>
            </w:tcBorders>
            <w:shd w:val="clear" w:color="auto" w:fill="auto"/>
            <w:noWrap/>
            <w:vAlign w:val="bottom"/>
            <w:hideMark/>
          </w:tcPr>
          <w:p w14:paraId="46658494"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D064A8" w:rsidRPr="00280B9D" w14:paraId="077685EC" w14:textId="77777777" w:rsidTr="00987AC7">
        <w:trPr>
          <w:trHeight w:val="259"/>
        </w:trPr>
        <w:tc>
          <w:tcPr>
            <w:tcW w:w="2017" w:type="pct"/>
            <w:tcBorders>
              <w:top w:val="nil"/>
              <w:left w:val="nil"/>
              <w:bottom w:val="single" w:sz="12" w:space="0" w:color="auto"/>
              <w:right w:val="nil"/>
            </w:tcBorders>
            <w:shd w:val="clear" w:color="auto" w:fill="auto"/>
            <w:noWrap/>
            <w:vAlign w:val="bottom"/>
            <w:hideMark/>
          </w:tcPr>
          <w:p w14:paraId="5E9D14A4" w14:textId="77777777" w:rsidR="00D064A8" w:rsidRPr="0044522C" w:rsidRDefault="00D064A8" w:rsidP="003D0C81">
            <w:pPr>
              <w:spacing w:after="0" w:line="360" w:lineRule="auto"/>
              <w:rPr>
                <w:rFonts w:ascii="Times New Roman" w:eastAsia="Times New Roman" w:hAnsi="Times New Roman" w:cs="Times New Roman"/>
                <w:color w:val="000000"/>
                <w:sz w:val="20"/>
                <w:szCs w:val="20"/>
                <w:lang w:eastAsia="en-GB"/>
              </w:rPr>
            </w:pPr>
            <w:r w:rsidRPr="0044522C">
              <w:rPr>
                <w:rFonts w:ascii="Times New Roman" w:eastAsia="Times New Roman" w:hAnsi="Times New Roman" w:cs="Times New Roman"/>
                <w:color w:val="000000"/>
                <w:sz w:val="20"/>
                <w:szCs w:val="20"/>
                <w:lang w:eastAsia="en-GB"/>
              </w:rPr>
              <w:t>Waist:height ratio</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b</w:t>
            </w:r>
            <w:r w:rsidRPr="0044522C">
              <w:rPr>
                <w:rFonts w:ascii="Times New Roman" w:eastAsia="Times New Roman" w:hAnsi="Times New Roman" w:cs="Times New Roman"/>
                <w:color w:val="000000"/>
                <w:sz w:val="20"/>
                <w:szCs w:val="20"/>
                <w:vertAlign w:val="superscript"/>
                <w:lang w:eastAsia="en-GB"/>
              </w:rPr>
              <w:t xml:space="preserve"> </w:t>
            </w:r>
            <w:r w:rsidRPr="008F3986">
              <w:rPr>
                <w:rFonts w:ascii="Times New Roman" w:hAnsi="Times New Roman" w:cs="Times New Roman"/>
                <w:color w:val="312A2A"/>
                <w:sz w:val="20"/>
                <w:szCs w:val="20"/>
                <w:vertAlign w:val="superscript"/>
                <w:lang w:val="en-US"/>
              </w:rPr>
              <w:t>d</w:t>
            </w:r>
            <w:r w:rsidRPr="008F3986" w:rsidDel="00BE2ECB">
              <w:rPr>
                <w:rFonts w:ascii="Times New Roman" w:hAnsi="Times New Roman" w:cs="Times New Roman"/>
                <w:color w:val="312A2A"/>
                <w:sz w:val="20"/>
                <w:szCs w:val="20"/>
                <w:lang w:val="en-US"/>
              </w:rPr>
              <w:t xml:space="preserve"> </w:t>
            </w:r>
          </w:p>
        </w:tc>
        <w:tc>
          <w:tcPr>
            <w:tcW w:w="1169" w:type="pct"/>
            <w:tcBorders>
              <w:top w:val="nil"/>
              <w:left w:val="nil"/>
              <w:bottom w:val="single" w:sz="12" w:space="0" w:color="auto"/>
              <w:right w:val="nil"/>
            </w:tcBorders>
            <w:shd w:val="clear" w:color="auto" w:fill="auto"/>
            <w:noWrap/>
            <w:vAlign w:val="bottom"/>
            <w:hideMark/>
          </w:tcPr>
          <w:p w14:paraId="4B2DCD37"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0.64 (0.60-0.68)</w:t>
            </w:r>
          </w:p>
        </w:tc>
        <w:tc>
          <w:tcPr>
            <w:tcW w:w="1219" w:type="pct"/>
            <w:tcBorders>
              <w:top w:val="nil"/>
              <w:left w:val="nil"/>
              <w:bottom w:val="single" w:sz="12" w:space="0" w:color="auto"/>
              <w:right w:val="nil"/>
            </w:tcBorders>
            <w:shd w:val="clear" w:color="auto" w:fill="auto"/>
            <w:noWrap/>
            <w:vAlign w:val="bottom"/>
            <w:hideMark/>
          </w:tcPr>
          <w:p w14:paraId="37269790"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0.66 (0.63-0.72)</w:t>
            </w:r>
          </w:p>
        </w:tc>
        <w:tc>
          <w:tcPr>
            <w:tcW w:w="595" w:type="pct"/>
            <w:tcBorders>
              <w:top w:val="nil"/>
              <w:left w:val="nil"/>
              <w:bottom w:val="single" w:sz="12" w:space="0" w:color="auto"/>
              <w:right w:val="nil"/>
            </w:tcBorders>
            <w:shd w:val="clear" w:color="auto" w:fill="auto"/>
            <w:noWrap/>
            <w:vAlign w:val="bottom"/>
            <w:hideMark/>
          </w:tcPr>
          <w:p w14:paraId="5E914E52" w14:textId="77777777" w:rsidR="00D064A8" w:rsidRPr="0086073F" w:rsidRDefault="00D064A8"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 0.001</w:t>
            </w:r>
          </w:p>
        </w:tc>
      </w:tr>
    </w:tbl>
    <w:p w14:paraId="02A321A1" w14:textId="2FD7275F" w:rsidR="00D064A8" w:rsidRPr="00BA01F8" w:rsidRDefault="00D064A8" w:rsidP="00D064A8">
      <w:pPr>
        <w:pBdr>
          <w:top w:val="nil"/>
          <w:left w:val="nil"/>
          <w:bottom w:val="nil"/>
          <w:right w:val="nil"/>
          <w:between w:val="nil"/>
          <w:bar w:val="nil"/>
        </w:pBdr>
        <w:spacing w:after="0" w:line="240" w:lineRule="auto"/>
        <w:rPr>
          <w:rFonts w:ascii="Times New Roman" w:hAnsi="Times New Roman" w:cs="Times New Roman"/>
          <w:sz w:val="20"/>
          <w:szCs w:val="20"/>
        </w:rPr>
      </w:pPr>
      <w:r w:rsidRPr="00BA01F8">
        <w:rPr>
          <w:rFonts w:ascii="Times New Roman" w:hAnsi="Times New Roman" w:cs="Times New Roman"/>
          <w:sz w:val="20"/>
          <w:szCs w:val="20"/>
        </w:rPr>
        <w:t xml:space="preserve">GDM – </w:t>
      </w:r>
      <w:r w:rsidR="00BC1001">
        <w:rPr>
          <w:rFonts w:ascii="Times New Roman" w:hAnsi="Times New Roman" w:cs="Times New Roman"/>
          <w:sz w:val="20"/>
          <w:szCs w:val="20"/>
        </w:rPr>
        <w:t>g</w:t>
      </w:r>
      <w:r w:rsidRPr="00BA01F8">
        <w:rPr>
          <w:rFonts w:ascii="Times New Roman" w:hAnsi="Times New Roman" w:cs="Times New Roman"/>
          <w:sz w:val="20"/>
          <w:szCs w:val="20"/>
        </w:rPr>
        <w:t xml:space="preserve">estational </w:t>
      </w:r>
      <w:r w:rsidR="00BC1001">
        <w:rPr>
          <w:rFonts w:ascii="Times New Roman" w:hAnsi="Times New Roman" w:cs="Times New Roman"/>
          <w:sz w:val="20"/>
          <w:szCs w:val="20"/>
        </w:rPr>
        <w:t>d</w:t>
      </w:r>
      <w:r w:rsidRPr="00BA01F8">
        <w:rPr>
          <w:rFonts w:ascii="Times New Roman" w:hAnsi="Times New Roman" w:cs="Times New Roman"/>
          <w:sz w:val="20"/>
          <w:szCs w:val="20"/>
        </w:rPr>
        <w:t>iabetes, IMD – index of multiple deprivation, PCOS – polycystic ovarian syndrome,</w:t>
      </w:r>
      <w:r>
        <w:rPr>
          <w:rFonts w:ascii="Times New Roman" w:hAnsi="Times New Roman" w:cs="Times New Roman"/>
          <w:sz w:val="20"/>
          <w:szCs w:val="20"/>
        </w:rPr>
        <w:t xml:space="preserve"> T2DM – type 2 diabetes mellitus</w:t>
      </w:r>
      <w:r w:rsidRPr="00BA01F8">
        <w:rPr>
          <w:rFonts w:ascii="Times New Roman" w:hAnsi="Times New Roman" w:cs="Times New Roman"/>
          <w:sz w:val="20"/>
          <w:szCs w:val="20"/>
        </w:rPr>
        <w:t>, IHD – ischaemic heart</w:t>
      </w:r>
      <w:r>
        <w:rPr>
          <w:rFonts w:ascii="Times New Roman" w:hAnsi="Times New Roman" w:cs="Times New Roman"/>
          <w:sz w:val="20"/>
          <w:szCs w:val="20"/>
        </w:rPr>
        <w:t xml:space="preserve"> disease, HTN – hypertension, LGA – large for gestational age, NICU – neonatal intensive care unit, BMI – body mass index</w:t>
      </w:r>
    </w:p>
    <w:p w14:paraId="474DDD41" w14:textId="308408E2" w:rsidR="00D064A8" w:rsidRPr="00247AF1" w:rsidRDefault="00D064A8" w:rsidP="00D064A8">
      <w:pPr>
        <w:pBdr>
          <w:top w:val="nil"/>
          <w:left w:val="nil"/>
          <w:bottom w:val="nil"/>
          <w:right w:val="nil"/>
          <w:between w:val="nil"/>
          <w:bar w:val="nil"/>
        </w:pBdr>
        <w:spacing w:after="0" w:line="240" w:lineRule="auto"/>
        <w:rPr>
          <w:rFonts w:ascii="Times New Roman" w:hAnsi="Times New Roman" w:cs="Times New Roman"/>
          <w:sz w:val="20"/>
          <w:szCs w:val="20"/>
        </w:rPr>
      </w:pPr>
      <w:r w:rsidRPr="00247AF1">
        <w:rPr>
          <w:rFonts w:ascii="Times New Roman" w:hAnsi="Times New Roman" w:cs="Times New Roman"/>
          <w:sz w:val="20"/>
          <w:szCs w:val="20"/>
          <w:vertAlign w:val="superscript"/>
        </w:rPr>
        <w:t xml:space="preserve">a </w:t>
      </w:r>
      <w:r w:rsidRPr="00247AF1">
        <w:rPr>
          <w:rFonts w:ascii="Times New Roman" w:hAnsi="Times New Roman" w:cs="Times New Roman"/>
          <w:sz w:val="20"/>
          <w:szCs w:val="20"/>
        </w:rPr>
        <w:t xml:space="preserve">p-value from </w:t>
      </w:r>
      <w:r w:rsidR="00F47100">
        <w:rPr>
          <w:rFonts w:ascii="Times New Roman" w:hAnsi="Times New Roman" w:cs="Times New Roman"/>
          <w:sz w:val="20"/>
          <w:szCs w:val="20"/>
        </w:rPr>
        <w:t>S</w:t>
      </w:r>
      <w:r w:rsidRPr="00247AF1">
        <w:rPr>
          <w:rFonts w:ascii="Times New Roman" w:hAnsi="Times New Roman" w:cs="Times New Roman"/>
          <w:sz w:val="20"/>
          <w:szCs w:val="20"/>
        </w:rPr>
        <w:t xml:space="preserve">tudent’s </w:t>
      </w:r>
      <w:r w:rsidRPr="00AB32B2">
        <w:rPr>
          <w:rFonts w:ascii="Times New Roman" w:hAnsi="Times New Roman" w:cs="Times New Roman"/>
          <w:i/>
          <w:sz w:val="20"/>
          <w:szCs w:val="20"/>
        </w:rPr>
        <w:t>t</w:t>
      </w:r>
      <w:r w:rsidRPr="00247AF1">
        <w:rPr>
          <w:rFonts w:ascii="Times New Roman" w:hAnsi="Times New Roman" w:cs="Times New Roman"/>
          <w:sz w:val="20"/>
          <w:szCs w:val="20"/>
        </w:rPr>
        <w:t xml:space="preserve"> test, Mann Whitney test or </w:t>
      </w:r>
      <w:r w:rsidR="009C3795">
        <w:rPr>
          <w:rFonts w:ascii="Times New Roman" w:hAnsi="Times New Roman" w:cs="Times New Roman"/>
          <w:sz w:val="20"/>
          <w:szCs w:val="20"/>
        </w:rPr>
        <w:t>chi-squared test</w:t>
      </w:r>
      <w:r w:rsidRPr="00247AF1">
        <w:rPr>
          <w:rFonts w:ascii="Times New Roman" w:hAnsi="Times New Roman" w:cs="Times New Roman"/>
          <w:sz w:val="20"/>
          <w:szCs w:val="20"/>
        </w:rPr>
        <w:t>.</w:t>
      </w:r>
    </w:p>
    <w:p w14:paraId="112DD033" w14:textId="2D8A74F0" w:rsidR="00D064A8" w:rsidRPr="00247AF1" w:rsidRDefault="00D064A8" w:rsidP="00D064A8">
      <w:pPr>
        <w:pBdr>
          <w:top w:val="nil"/>
          <w:left w:val="nil"/>
          <w:bottom w:val="nil"/>
          <w:right w:val="nil"/>
          <w:between w:val="nil"/>
          <w:bar w:val="nil"/>
        </w:pBdr>
        <w:spacing w:after="0" w:line="240" w:lineRule="auto"/>
        <w:rPr>
          <w:rFonts w:ascii="Times New Roman" w:hAnsi="Times New Roman" w:cs="Times New Roman"/>
          <w:sz w:val="20"/>
          <w:szCs w:val="20"/>
        </w:rPr>
      </w:pPr>
      <w:r w:rsidRPr="00247AF1">
        <w:rPr>
          <w:rFonts w:ascii="Times New Roman" w:hAnsi="Times New Roman" w:cs="Times New Roman"/>
          <w:color w:val="312A2A"/>
          <w:sz w:val="20"/>
          <w:szCs w:val="20"/>
          <w:vertAlign w:val="superscript"/>
          <w:lang w:val="en-US"/>
        </w:rPr>
        <w:t>b</w:t>
      </w:r>
      <w:r w:rsidRPr="00247AF1">
        <w:rPr>
          <w:rFonts w:ascii="Times New Roman" w:hAnsi="Times New Roman" w:cs="Times New Roman"/>
          <w:sz w:val="20"/>
          <w:szCs w:val="20"/>
        </w:rPr>
        <w:t xml:space="preserve"> Missing data at baseline: IMD (n=6), PCOS (n=10), 1</w:t>
      </w:r>
      <w:r w:rsidRPr="00247AF1">
        <w:rPr>
          <w:rFonts w:ascii="Times New Roman" w:hAnsi="Times New Roman" w:cs="Times New Roman"/>
          <w:sz w:val="20"/>
          <w:szCs w:val="20"/>
          <w:vertAlign w:val="superscript"/>
        </w:rPr>
        <w:t>st</w:t>
      </w:r>
      <w:r w:rsidRPr="00247AF1">
        <w:rPr>
          <w:rFonts w:ascii="Times New Roman" w:hAnsi="Times New Roman" w:cs="Times New Roman"/>
          <w:sz w:val="20"/>
          <w:szCs w:val="20"/>
        </w:rPr>
        <w:t xml:space="preserve"> degree relative T2DM (n=2), 1</w:t>
      </w:r>
      <w:r w:rsidRPr="00247AF1">
        <w:rPr>
          <w:rFonts w:ascii="Times New Roman" w:hAnsi="Times New Roman" w:cs="Times New Roman"/>
          <w:sz w:val="20"/>
          <w:szCs w:val="20"/>
          <w:vertAlign w:val="superscript"/>
        </w:rPr>
        <w:t>st</w:t>
      </w:r>
      <w:r w:rsidRPr="00247AF1">
        <w:rPr>
          <w:rFonts w:ascii="Times New Roman" w:hAnsi="Times New Roman" w:cs="Times New Roman"/>
          <w:sz w:val="20"/>
          <w:szCs w:val="20"/>
        </w:rPr>
        <w:t xml:space="preserve"> degree relative GDM (n=53), 1</w:t>
      </w:r>
      <w:r w:rsidRPr="00247AF1">
        <w:rPr>
          <w:rFonts w:ascii="Times New Roman" w:hAnsi="Times New Roman" w:cs="Times New Roman"/>
          <w:sz w:val="20"/>
          <w:szCs w:val="20"/>
          <w:vertAlign w:val="superscript"/>
        </w:rPr>
        <w:t>st</w:t>
      </w:r>
      <w:r w:rsidRPr="00247AF1">
        <w:rPr>
          <w:rFonts w:ascii="Times New Roman" w:hAnsi="Times New Roman" w:cs="Times New Roman"/>
          <w:sz w:val="20"/>
          <w:szCs w:val="20"/>
        </w:rPr>
        <w:t xml:space="preserve"> degree relative IHD (n=2), 1</w:t>
      </w:r>
      <w:r w:rsidRPr="00247AF1">
        <w:rPr>
          <w:rFonts w:ascii="Times New Roman" w:hAnsi="Times New Roman" w:cs="Times New Roman"/>
          <w:sz w:val="20"/>
          <w:szCs w:val="20"/>
          <w:vertAlign w:val="superscript"/>
        </w:rPr>
        <w:t>st</w:t>
      </w:r>
      <w:r w:rsidRPr="00247AF1">
        <w:rPr>
          <w:rFonts w:ascii="Times New Roman" w:hAnsi="Times New Roman" w:cs="Times New Roman"/>
          <w:sz w:val="20"/>
          <w:szCs w:val="20"/>
        </w:rPr>
        <w:t xml:space="preserve"> degree relative HTN (n=2),</w:t>
      </w:r>
      <w:r>
        <w:rPr>
          <w:rFonts w:ascii="Times New Roman" w:hAnsi="Times New Roman" w:cs="Times New Roman"/>
          <w:sz w:val="20"/>
          <w:szCs w:val="20"/>
        </w:rPr>
        <w:t xml:space="preserve"> LGA (n=8), </w:t>
      </w:r>
      <w:r w:rsidR="00974DB9">
        <w:rPr>
          <w:rFonts w:ascii="Times New Roman" w:hAnsi="Times New Roman" w:cs="Times New Roman"/>
          <w:sz w:val="20"/>
          <w:szCs w:val="20"/>
        </w:rPr>
        <w:t>p</w:t>
      </w:r>
      <w:r>
        <w:rPr>
          <w:rFonts w:ascii="Times New Roman" w:hAnsi="Times New Roman" w:cs="Times New Roman"/>
          <w:sz w:val="20"/>
          <w:szCs w:val="20"/>
        </w:rPr>
        <w:t xml:space="preserve">re-eclampsia (n=27), </w:t>
      </w:r>
      <w:r w:rsidR="00974DB9">
        <w:rPr>
          <w:rFonts w:ascii="Times New Roman" w:hAnsi="Times New Roman" w:cs="Times New Roman"/>
          <w:sz w:val="20"/>
          <w:szCs w:val="20"/>
        </w:rPr>
        <w:lastRenderedPageBreak/>
        <w:t>p</w:t>
      </w:r>
      <w:r>
        <w:rPr>
          <w:rFonts w:ascii="Times New Roman" w:hAnsi="Times New Roman" w:cs="Times New Roman"/>
          <w:sz w:val="20"/>
          <w:szCs w:val="20"/>
        </w:rPr>
        <w:t xml:space="preserve">ostpartum haemorrhage (n=23), </w:t>
      </w:r>
      <w:r w:rsidR="00974DB9">
        <w:rPr>
          <w:rFonts w:ascii="Times New Roman" w:hAnsi="Times New Roman" w:cs="Times New Roman"/>
          <w:sz w:val="20"/>
          <w:szCs w:val="20"/>
        </w:rPr>
        <w:t>c</w:t>
      </w:r>
      <w:r>
        <w:rPr>
          <w:rFonts w:ascii="Times New Roman" w:hAnsi="Times New Roman" w:cs="Times New Roman"/>
          <w:sz w:val="20"/>
          <w:szCs w:val="20"/>
        </w:rPr>
        <w:t>aesarean section (n=8), gestational age at delivery (n=8), preterm birth (n=8), birthweight (n=8),</w:t>
      </w:r>
      <w:r w:rsidRPr="00247AF1">
        <w:rPr>
          <w:rFonts w:ascii="Times New Roman" w:hAnsi="Times New Roman" w:cs="Times New Roman"/>
          <w:sz w:val="20"/>
          <w:szCs w:val="20"/>
        </w:rPr>
        <w:t xml:space="preserve"> systolic and diastolic BP (n=16), skinfolds – triceps (n=8), biceps (n=10), subscapular (n=9), suprailiac (n=10), sum of skinfolds (n=13),</w:t>
      </w:r>
      <w:r w:rsidR="00E15987">
        <w:rPr>
          <w:rFonts w:ascii="Times New Roman" w:hAnsi="Times New Roman" w:cs="Times New Roman"/>
          <w:sz w:val="20"/>
          <w:szCs w:val="20"/>
        </w:rPr>
        <w:t xml:space="preserve"> </w:t>
      </w:r>
      <w:r w:rsidRPr="00247AF1">
        <w:rPr>
          <w:rFonts w:ascii="Times New Roman" w:hAnsi="Times New Roman" w:cs="Times New Roman"/>
          <w:sz w:val="20"/>
          <w:szCs w:val="20"/>
        </w:rPr>
        <w:t>circumferences – neck (n=6), waist (n=6), mid-arm (n=7), wrist (n=11), hip (n=6), thigh (n=6), ratios (n=6).</w:t>
      </w:r>
    </w:p>
    <w:p w14:paraId="2598E6E2" w14:textId="77777777" w:rsidR="00D064A8" w:rsidRPr="00247AF1" w:rsidRDefault="00D064A8" w:rsidP="00D064A8">
      <w:pPr>
        <w:pBdr>
          <w:top w:val="nil"/>
          <w:left w:val="nil"/>
          <w:bottom w:val="nil"/>
          <w:right w:val="nil"/>
          <w:between w:val="nil"/>
          <w:bar w:val="nil"/>
        </w:pBdr>
        <w:spacing w:after="0" w:line="240" w:lineRule="auto"/>
        <w:rPr>
          <w:rFonts w:ascii="Times New Roman" w:hAnsi="Times New Roman" w:cs="Times New Roman"/>
          <w:sz w:val="20"/>
          <w:szCs w:val="20"/>
        </w:rPr>
      </w:pPr>
      <w:r w:rsidRPr="00247AF1">
        <w:rPr>
          <w:rFonts w:ascii="Times New Roman" w:hAnsi="Times New Roman" w:cs="Times New Roman"/>
          <w:color w:val="312A2A"/>
          <w:sz w:val="20"/>
          <w:szCs w:val="20"/>
          <w:vertAlign w:val="superscript"/>
          <w:lang w:val="en-US"/>
        </w:rPr>
        <w:t>c</w:t>
      </w:r>
      <w:r w:rsidRPr="00247AF1">
        <w:rPr>
          <w:rFonts w:ascii="Times New Roman" w:hAnsi="Times New Roman" w:cs="Times New Roman"/>
          <w:sz w:val="20"/>
          <w:szCs w:val="20"/>
        </w:rPr>
        <w:t xml:space="preserve"> IMD categories: least deprived represent 1</w:t>
      </w:r>
      <w:r w:rsidRPr="00247AF1">
        <w:rPr>
          <w:rFonts w:ascii="Times New Roman" w:hAnsi="Times New Roman" w:cs="Times New Roman"/>
          <w:sz w:val="20"/>
          <w:szCs w:val="20"/>
          <w:vertAlign w:val="superscript"/>
        </w:rPr>
        <w:t>st</w:t>
      </w:r>
      <w:r w:rsidRPr="00247AF1">
        <w:rPr>
          <w:rFonts w:ascii="Times New Roman" w:hAnsi="Times New Roman" w:cs="Times New Roman"/>
          <w:sz w:val="20"/>
          <w:szCs w:val="20"/>
        </w:rPr>
        <w:t>, 2</w:t>
      </w:r>
      <w:r w:rsidRPr="00247AF1">
        <w:rPr>
          <w:rFonts w:ascii="Times New Roman" w:hAnsi="Times New Roman" w:cs="Times New Roman"/>
          <w:sz w:val="20"/>
          <w:szCs w:val="20"/>
          <w:vertAlign w:val="superscript"/>
        </w:rPr>
        <w:t>nd</w:t>
      </w:r>
      <w:r w:rsidRPr="00247AF1">
        <w:rPr>
          <w:rFonts w:ascii="Times New Roman" w:hAnsi="Times New Roman" w:cs="Times New Roman"/>
          <w:sz w:val="20"/>
          <w:szCs w:val="20"/>
        </w:rPr>
        <w:t xml:space="preserve"> and 3</w:t>
      </w:r>
      <w:r w:rsidRPr="00247AF1">
        <w:rPr>
          <w:rFonts w:ascii="Times New Roman" w:hAnsi="Times New Roman" w:cs="Times New Roman"/>
          <w:sz w:val="20"/>
          <w:szCs w:val="20"/>
          <w:vertAlign w:val="superscript"/>
        </w:rPr>
        <w:t>rd</w:t>
      </w:r>
      <w:r w:rsidRPr="00247AF1">
        <w:rPr>
          <w:rFonts w:ascii="Times New Roman" w:hAnsi="Times New Roman" w:cs="Times New Roman"/>
          <w:sz w:val="20"/>
          <w:szCs w:val="20"/>
        </w:rPr>
        <w:t xml:space="preserve"> quintiles of IMD distribution. Intermediate represents 4</w:t>
      </w:r>
      <w:r w:rsidRPr="00247AF1">
        <w:rPr>
          <w:rFonts w:ascii="Times New Roman" w:hAnsi="Times New Roman" w:cs="Times New Roman"/>
          <w:sz w:val="20"/>
          <w:szCs w:val="20"/>
          <w:vertAlign w:val="superscript"/>
        </w:rPr>
        <w:t>th</w:t>
      </w:r>
      <w:r w:rsidRPr="00247AF1">
        <w:rPr>
          <w:rFonts w:ascii="Times New Roman" w:hAnsi="Times New Roman" w:cs="Times New Roman"/>
          <w:sz w:val="20"/>
          <w:szCs w:val="20"/>
        </w:rPr>
        <w:t xml:space="preserve"> quintile, most deprived represents women in 5</w:t>
      </w:r>
      <w:r w:rsidRPr="00247AF1">
        <w:rPr>
          <w:rFonts w:ascii="Times New Roman" w:hAnsi="Times New Roman" w:cs="Times New Roman"/>
          <w:sz w:val="20"/>
          <w:szCs w:val="20"/>
          <w:vertAlign w:val="superscript"/>
        </w:rPr>
        <w:t>th</w:t>
      </w:r>
      <w:r w:rsidRPr="00247AF1">
        <w:rPr>
          <w:rFonts w:ascii="Times New Roman" w:hAnsi="Times New Roman" w:cs="Times New Roman"/>
          <w:sz w:val="20"/>
          <w:szCs w:val="20"/>
        </w:rPr>
        <w:t xml:space="preserve"> quintile.</w:t>
      </w:r>
    </w:p>
    <w:p w14:paraId="75DE21F9" w14:textId="77777777" w:rsidR="00D064A8" w:rsidRPr="00247AF1" w:rsidRDefault="00D064A8" w:rsidP="00D064A8">
      <w:pPr>
        <w:pBdr>
          <w:top w:val="nil"/>
          <w:left w:val="nil"/>
          <w:bottom w:val="nil"/>
          <w:right w:val="nil"/>
          <w:between w:val="nil"/>
          <w:bar w:val="nil"/>
        </w:pBdr>
        <w:spacing w:after="0" w:line="240" w:lineRule="auto"/>
        <w:rPr>
          <w:rFonts w:ascii="Times New Roman" w:eastAsia="Times New Roman" w:hAnsi="Times New Roman" w:cs="Times New Roman"/>
          <w:sz w:val="20"/>
          <w:szCs w:val="20"/>
          <w:lang w:eastAsia="en-GB"/>
        </w:rPr>
      </w:pPr>
      <w:r w:rsidRPr="00247AF1">
        <w:rPr>
          <w:rFonts w:ascii="Times New Roman" w:hAnsi="Times New Roman" w:cs="Times New Roman"/>
          <w:color w:val="312A2A"/>
          <w:sz w:val="20"/>
          <w:szCs w:val="20"/>
          <w:vertAlign w:val="superscript"/>
          <w:lang w:val="en-US"/>
        </w:rPr>
        <w:t>d</w:t>
      </w:r>
      <w:r w:rsidRPr="00247AF1">
        <w:rPr>
          <w:rFonts w:ascii="Times New Roman" w:eastAsia="Times New Roman" w:hAnsi="Times New Roman" w:cs="Times New Roman"/>
          <w:sz w:val="20"/>
          <w:szCs w:val="20"/>
          <w:vertAlign w:val="superscript"/>
          <w:lang w:eastAsia="en-GB"/>
        </w:rPr>
        <w:t xml:space="preserve"> </w:t>
      </w:r>
      <w:r w:rsidRPr="00247AF1">
        <w:rPr>
          <w:rFonts w:ascii="Times New Roman" w:eastAsia="Times New Roman" w:hAnsi="Times New Roman" w:cs="Times New Roman"/>
          <w:sz w:val="20"/>
          <w:szCs w:val="20"/>
          <w:lang w:eastAsia="en-GB"/>
        </w:rPr>
        <w:t>Mann Whitney test (median, IQR)</w:t>
      </w:r>
    </w:p>
    <w:p w14:paraId="6694B516" w14:textId="77777777" w:rsidR="00C26BDF" w:rsidRDefault="00C26BDF" w:rsidP="00C26BDF">
      <w:pPr>
        <w:spacing w:line="480" w:lineRule="auto"/>
        <w:jc w:val="both"/>
        <w:rPr>
          <w:rFonts w:ascii="Times New Roman" w:hAnsi="Times New Roman" w:cs="Times New Roman"/>
        </w:rPr>
      </w:pPr>
    </w:p>
    <w:p w14:paraId="61CCD36F" w14:textId="77777777" w:rsidR="006B1B2E" w:rsidRPr="00CE77D8" w:rsidRDefault="006B1B2E" w:rsidP="006B1B2E">
      <w:pPr>
        <w:spacing w:after="0"/>
        <w:rPr>
          <w:rFonts w:ascii="Times New Roman" w:hAnsi="Times New Roman" w:cs="Times New Roman"/>
          <w:b/>
        </w:rPr>
      </w:pPr>
      <w:r w:rsidRPr="00CE77D8">
        <w:rPr>
          <w:rFonts w:ascii="Times New Roman" w:hAnsi="Times New Roman" w:cs="Times New Roman"/>
          <w:b/>
        </w:rPr>
        <w:t>Table 2. Biomarkers measured at trial entry by GDM status</w:t>
      </w:r>
    </w:p>
    <w:tbl>
      <w:tblPr>
        <w:tblW w:w="8250" w:type="dxa"/>
        <w:tblInd w:w="93" w:type="dxa"/>
        <w:tblLook w:val="04A0" w:firstRow="1" w:lastRow="0" w:firstColumn="1" w:lastColumn="0" w:noHBand="0" w:noVBand="1"/>
      </w:tblPr>
      <w:tblGrid>
        <w:gridCol w:w="3525"/>
        <w:gridCol w:w="2206"/>
        <w:gridCol w:w="1512"/>
        <w:gridCol w:w="1007"/>
      </w:tblGrid>
      <w:tr w:rsidR="006B1B2E" w:rsidRPr="00280B9D" w14:paraId="015F004D" w14:textId="77777777" w:rsidTr="00CE77D8">
        <w:trPr>
          <w:trHeight w:val="720"/>
        </w:trPr>
        <w:tc>
          <w:tcPr>
            <w:tcW w:w="3525" w:type="dxa"/>
            <w:tcBorders>
              <w:top w:val="single" w:sz="12" w:space="0" w:color="auto"/>
              <w:left w:val="nil"/>
              <w:bottom w:val="single" w:sz="12" w:space="0" w:color="auto"/>
              <w:right w:val="nil"/>
            </w:tcBorders>
            <w:shd w:val="clear" w:color="auto" w:fill="auto"/>
            <w:noWrap/>
            <w:vAlign w:val="center"/>
            <w:hideMark/>
          </w:tcPr>
          <w:p w14:paraId="09D8439C" w14:textId="77777777" w:rsidR="006B1B2E" w:rsidRPr="0086073F" w:rsidRDefault="006B1B2E" w:rsidP="003D0C81">
            <w:pPr>
              <w:spacing w:after="0" w:line="360" w:lineRule="auto"/>
              <w:rPr>
                <w:rFonts w:ascii="Times New Roman" w:eastAsia="Times New Roman" w:hAnsi="Times New Roman" w:cs="Times New Roman"/>
                <w:bCs/>
                <w:color w:val="000000"/>
                <w:sz w:val="20"/>
                <w:szCs w:val="20"/>
                <w:lang w:eastAsia="en-GB"/>
              </w:rPr>
            </w:pPr>
            <w:r w:rsidRPr="003A70F8">
              <w:rPr>
                <w:rFonts w:ascii="Times New Roman" w:eastAsia="Times New Roman" w:hAnsi="Times New Roman" w:cs="Times New Roman"/>
                <w:b/>
                <w:bCs/>
                <w:color w:val="000000"/>
                <w:sz w:val="20"/>
                <w:szCs w:val="20"/>
                <w:lang w:eastAsia="en-GB"/>
              </w:rPr>
              <w:t>Biomarker</w:t>
            </w:r>
            <w:r w:rsidRPr="0086073F">
              <w:rPr>
                <w:rFonts w:ascii="Times New Roman" w:eastAsia="Times New Roman" w:hAnsi="Times New Roman" w:cs="Times New Roman"/>
                <w:bCs/>
                <w:color w:val="000000"/>
                <w:sz w:val="20"/>
                <w:szCs w:val="20"/>
                <w:lang w:eastAsia="en-GB"/>
              </w:rPr>
              <w:t xml:space="preserve"> </w:t>
            </w:r>
            <w:r>
              <w:rPr>
                <w:rFonts w:ascii="Times New Roman" w:eastAsia="Times New Roman" w:hAnsi="Times New Roman" w:cs="Times New Roman"/>
                <w:bCs/>
                <w:color w:val="000000"/>
                <w:sz w:val="20"/>
                <w:szCs w:val="20"/>
                <w:vertAlign w:val="superscript"/>
                <w:lang w:eastAsia="en-GB"/>
              </w:rPr>
              <w:t>a</w:t>
            </w:r>
          </w:p>
        </w:tc>
        <w:tc>
          <w:tcPr>
            <w:tcW w:w="2206" w:type="dxa"/>
            <w:tcBorders>
              <w:top w:val="single" w:sz="12" w:space="0" w:color="auto"/>
              <w:left w:val="nil"/>
              <w:bottom w:val="single" w:sz="12" w:space="0" w:color="auto"/>
              <w:right w:val="nil"/>
            </w:tcBorders>
            <w:shd w:val="clear" w:color="auto" w:fill="auto"/>
            <w:noWrap/>
            <w:vAlign w:val="center"/>
            <w:hideMark/>
          </w:tcPr>
          <w:p w14:paraId="48A67BEE" w14:textId="77777777" w:rsidR="006B1B2E" w:rsidRPr="003A70F8" w:rsidRDefault="006B1B2E"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 xml:space="preserve">No GDM </w:t>
            </w:r>
          </w:p>
          <w:p w14:paraId="35ED4582" w14:textId="77777777" w:rsidR="006B1B2E" w:rsidRPr="003A70F8" w:rsidRDefault="006B1B2E"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(n=678)</w:t>
            </w:r>
          </w:p>
          <w:p w14:paraId="6A906337" w14:textId="77777777" w:rsidR="006B1B2E" w:rsidRPr="003A70F8" w:rsidRDefault="006B1B2E"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Mean (SD)</w:t>
            </w:r>
          </w:p>
        </w:tc>
        <w:tc>
          <w:tcPr>
            <w:tcW w:w="1512" w:type="dxa"/>
            <w:tcBorders>
              <w:top w:val="single" w:sz="12" w:space="0" w:color="auto"/>
              <w:left w:val="nil"/>
              <w:bottom w:val="single" w:sz="12" w:space="0" w:color="auto"/>
              <w:right w:val="nil"/>
            </w:tcBorders>
            <w:shd w:val="clear" w:color="auto" w:fill="auto"/>
            <w:noWrap/>
            <w:vAlign w:val="center"/>
            <w:hideMark/>
          </w:tcPr>
          <w:p w14:paraId="403B30C3" w14:textId="77777777" w:rsidR="006B1B2E" w:rsidRPr="003A70F8" w:rsidRDefault="006B1B2E"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 xml:space="preserve">GDM </w:t>
            </w:r>
          </w:p>
          <w:p w14:paraId="39CA8561" w14:textId="77777777" w:rsidR="006B1B2E" w:rsidRPr="003A70F8" w:rsidRDefault="006B1B2E"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(n=275)</w:t>
            </w:r>
          </w:p>
          <w:p w14:paraId="296B9A3B" w14:textId="77777777" w:rsidR="006B1B2E" w:rsidRPr="003A70F8" w:rsidRDefault="006B1B2E"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Mean (SD)</w:t>
            </w:r>
          </w:p>
        </w:tc>
        <w:tc>
          <w:tcPr>
            <w:tcW w:w="1007" w:type="dxa"/>
            <w:tcBorders>
              <w:top w:val="single" w:sz="12" w:space="0" w:color="auto"/>
              <w:left w:val="nil"/>
              <w:bottom w:val="single" w:sz="12" w:space="0" w:color="auto"/>
              <w:right w:val="nil"/>
            </w:tcBorders>
            <w:shd w:val="clear" w:color="auto" w:fill="auto"/>
            <w:noWrap/>
            <w:vAlign w:val="center"/>
            <w:hideMark/>
          </w:tcPr>
          <w:p w14:paraId="2008818F" w14:textId="77777777" w:rsidR="006B1B2E" w:rsidRPr="008F3986" w:rsidRDefault="006B1B2E" w:rsidP="003D0C81">
            <w:pPr>
              <w:spacing w:after="0" w:line="360" w:lineRule="auto"/>
              <w:jc w:val="center"/>
              <w:rPr>
                <w:rFonts w:ascii="Times New Roman" w:eastAsia="Times New Roman" w:hAnsi="Times New Roman" w:cs="Times New Roman"/>
                <w:b/>
                <w:bCs/>
                <w:color w:val="000000"/>
                <w:sz w:val="20"/>
                <w:szCs w:val="20"/>
                <w:vertAlign w:val="superscript"/>
                <w:lang w:eastAsia="en-GB"/>
              </w:rPr>
            </w:pPr>
            <w:r w:rsidRPr="003A70F8">
              <w:rPr>
                <w:rFonts w:ascii="Times New Roman" w:eastAsia="Times New Roman" w:hAnsi="Times New Roman" w:cs="Times New Roman"/>
                <w:b/>
                <w:bCs/>
                <w:color w:val="000000"/>
                <w:sz w:val="20"/>
                <w:szCs w:val="20"/>
                <w:lang w:eastAsia="en-GB"/>
              </w:rPr>
              <w:t>p-value</w:t>
            </w:r>
            <w:r w:rsidRPr="00C0489D">
              <w:rPr>
                <w:rFonts w:ascii="Times New Roman" w:eastAsia="Times New Roman" w:hAnsi="Times New Roman" w:cs="Times New Roman"/>
                <w:bCs/>
                <w:color w:val="000000"/>
                <w:sz w:val="20"/>
                <w:szCs w:val="20"/>
                <w:lang w:eastAsia="en-GB"/>
              </w:rPr>
              <w:t xml:space="preserve"> </w:t>
            </w:r>
            <w:r w:rsidRPr="00C0489D">
              <w:rPr>
                <w:rFonts w:ascii="Times New Roman" w:eastAsia="Times New Roman" w:hAnsi="Times New Roman" w:cs="Times New Roman"/>
                <w:bCs/>
                <w:color w:val="000000"/>
                <w:sz w:val="20"/>
                <w:szCs w:val="20"/>
                <w:vertAlign w:val="superscript"/>
                <w:lang w:eastAsia="en-GB"/>
              </w:rPr>
              <w:t>b</w:t>
            </w:r>
          </w:p>
        </w:tc>
      </w:tr>
      <w:tr w:rsidR="006B1B2E" w:rsidRPr="00280B9D" w14:paraId="317202BB" w14:textId="77777777" w:rsidTr="00B12525">
        <w:trPr>
          <w:trHeight w:val="259"/>
        </w:trPr>
        <w:tc>
          <w:tcPr>
            <w:tcW w:w="3525" w:type="dxa"/>
            <w:tcBorders>
              <w:top w:val="single" w:sz="12" w:space="0" w:color="auto"/>
              <w:left w:val="nil"/>
              <w:bottom w:val="nil"/>
              <w:right w:val="nil"/>
            </w:tcBorders>
            <w:shd w:val="clear" w:color="auto" w:fill="auto"/>
            <w:noWrap/>
            <w:vAlign w:val="bottom"/>
            <w:hideMark/>
          </w:tcPr>
          <w:p w14:paraId="349B4A0A"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t</w:t>
            </w:r>
            <w:r>
              <w:rPr>
                <w:rFonts w:ascii="Times New Roman" w:eastAsia="Times New Roman" w:hAnsi="Times New Roman" w:cs="Times New Roman"/>
                <w:color w:val="000000"/>
                <w:sz w:val="20"/>
                <w:szCs w:val="20"/>
                <w:lang w:eastAsia="en-GB"/>
              </w:rPr>
              <w:t>-PA</w:t>
            </w:r>
            <w:r w:rsidRPr="0009257C">
              <w:rPr>
                <w:rFonts w:ascii="Times New Roman" w:eastAsia="Times New Roman" w:hAnsi="Times New Roman" w:cs="Times New Roman"/>
                <w:color w:val="000000"/>
                <w:sz w:val="20"/>
                <w:szCs w:val="20"/>
                <w:lang w:eastAsia="en-GB"/>
              </w:rPr>
              <w:t xml:space="preserve"> antigen (ng/ml) </w:t>
            </w:r>
            <w:r w:rsidRPr="0009257C">
              <w:rPr>
                <w:rFonts w:ascii="Times New Roman" w:hAnsi="Times New Roman" w:cs="Times New Roman"/>
                <w:color w:val="312A2A"/>
                <w:sz w:val="20"/>
                <w:szCs w:val="20"/>
                <w:vertAlign w:val="superscript"/>
                <w:lang w:val="en-US"/>
              </w:rPr>
              <w:t>c</w:t>
            </w:r>
          </w:p>
        </w:tc>
        <w:tc>
          <w:tcPr>
            <w:tcW w:w="2206" w:type="dxa"/>
            <w:tcBorders>
              <w:top w:val="single" w:sz="12" w:space="0" w:color="auto"/>
              <w:left w:val="nil"/>
              <w:bottom w:val="nil"/>
              <w:right w:val="nil"/>
            </w:tcBorders>
            <w:shd w:val="clear" w:color="auto" w:fill="auto"/>
            <w:noWrap/>
            <w:vAlign w:val="bottom"/>
            <w:hideMark/>
          </w:tcPr>
          <w:p w14:paraId="447420B9"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2.7 (0.8)</w:t>
            </w:r>
          </w:p>
        </w:tc>
        <w:tc>
          <w:tcPr>
            <w:tcW w:w="1512" w:type="dxa"/>
            <w:tcBorders>
              <w:top w:val="single" w:sz="12" w:space="0" w:color="auto"/>
              <w:left w:val="nil"/>
              <w:bottom w:val="nil"/>
              <w:right w:val="nil"/>
            </w:tcBorders>
            <w:shd w:val="clear" w:color="auto" w:fill="auto"/>
            <w:noWrap/>
            <w:vAlign w:val="bottom"/>
            <w:hideMark/>
          </w:tcPr>
          <w:p w14:paraId="36183C4D"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2.8 (0.8)</w:t>
            </w:r>
          </w:p>
        </w:tc>
        <w:tc>
          <w:tcPr>
            <w:tcW w:w="1007" w:type="dxa"/>
            <w:tcBorders>
              <w:top w:val="single" w:sz="12" w:space="0" w:color="auto"/>
              <w:left w:val="nil"/>
              <w:bottom w:val="nil"/>
              <w:right w:val="nil"/>
            </w:tcBorders>
            <w:shd w:val="clear" w:color="auto" w:fill="auto"/>
            <w:noWrap/>
            <w:vAlign w:val="bottom"/>
            <w:hideMark/>
          </w:tcPr>
          <w:p w14:paraId="5ACE2518"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0.07</w:t>
            </w:r>
          </w:p>
        </w:tc>
      </w:tr>
      <w:tr w:rsidR="006B1B2E" w:rsidRPr="00280B9D" w14:paraId="558DDE5D" w14:textId="77777777" w:rsidTr="004D1B3C">
        <w:trPr>
          <w:trHeight w:val="259"/>
        </w:trPr>
        <w:tc>
          <w:tcPr>
            <w:tcW w:w="3525" w:type="dxa"/>
            <w:tcBorders>
              <w:top w:val="nil"/>
              <w:left w:val="nil"/>
              <w:bottom w:val="nil"/>
              <w:right w:val="nil"/>
            </w:tcBorders>
            <w:shd w:val="clear" w:color="auto" w:fill="auto"/>
            <w:noWrap/>
            <w:vAlign w:val="bottom"/>
            <w:hideMark/>
          </w:tcPr>
          <w:p w14:paraId="7DDF80D1"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Total cholesterol (mmol/l)</w:t>
            </w:r>
          </w:p>
        </w:tc>
        <w:tc>
          <w:tcPr>
            <w:tcW w:w="2206" w:type="dxa"/>
            <w:tcBorders>
              <w:top w:val="nil"/>
              <w:left w:val="nil"/>
              <w:bottom w:val="nil"/>
              <w:right w:val="nil"/>
            </w:tcBorders>
            <w:shd w:val="clear" w:color="auto" w:fill="auto"/>
            <w:noWrap/>
            <w:vAlign w:val="bottom"/>
            <w:hideMark/>
          </w:tcPr>
          <w:p w14:paraId="025DDDAC"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5.7 (1.0)</w:t>
            </w:r>
          </w:p>
        </w:tc>
        <w:tc>
          <w:tcPr>
            <w:tcW w:w="1512" w:type="dxa"/>
            <w:tcBorders>
              <w:top w:val="nil"/>
              <w:left w:val="nil"/>
              <w:bottom w:val="nil"/>
              <w:right w:val="nil"/>
            </w:tcBorders>
            <w:shd w:val="clear" w:color="auto" w:fill="auto"/>
            <w:noWrap/>
            <w:vAlign w:val="bottom"/>
            <w:hideMark/>
          </w:tcPr>
          <w:p w14:paraId="660DB9D1"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5.7 (1.0)</w:t>
            </w:r>
          </w:p>
        </w:tc>
        <w:tc>
          <w:tcPr>
            <w:tcW w:w="1007" w:type="dxa"/>
            <w:tcBorders>
              <w:top w:val="nil"/>
              <w:left w:val="nil"/>
              <w:bottom w:val="nil"/>
              <w:right w:val="nil"/>
            </w:tcBorders>
            <w:shd w:val="clear" w:color="auto" w:fill="auto"/>
            <w:noWrap/>
            <w:vAlign w:val="bottom"/>
            <w:hideMark/>
          </w:tcPr>
          <w:p w14:paraId="379E78D2"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0.81</w:t>
            </w:r>
          </w:p>
        </w:tc>
      </w:tr>
      <w:tr w:rsidR="006B1B2E" w:rsidRPr="00280B9D" w14:paraId="6667C91D" w14:textId="77777777" w:rsidTr="004D1B3C">
        <w:trPr>
          <w:trHeight w:val="259"/>
        </w:trPr>
        <w:tc>
          <w:tcPr>
            <w:tcW w:w="3525" w:type="dxa"/>
            <w:tcBorders>
              <w:top w:val="nil"/>
              <w:left w:val="nil"/>
              <w:bottom w:val="nil"/>
              <w:right w:val="nil"/>
            </w:tcBorders>
            <w:shd w:val="clear" w:color="auto" w:fill="auto"/>
            <w:noWrap/>
            <w:vAlign w:val="bottom"/>
            <w:hideMark/>
          </w:tcPr>
          <w:p w14:paraId="3E9879F7"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LDL cholesterol (mmol/l)</w:t>
            </w:r>
          </w:p>
        </w:tc>
        <w:tc>
          <w:tcPr>
            <w:tcW w:w="2206" w:type="dxa"/>
            <w:tcBorders>
              <w:top w:val="nil"/>
              <w:left w:val="nil"/>
              <w:bottom w:val="nil"/>
              <w:right w:val="nil"/>
            </w:tcBorders>
            <w:shd w:val="clear" w:color="auto" w:fill="auto"/>
            <w:noWrap/>
            <w:vAlign w:val="bottom"/>
            <w:hideMark/>
          </w:tcPr>
          <w:p w14:paraId="7A8BCCF2"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2.8 (0.8)</w:t>
            </w:r>
          </w:p>
        </w:tc>
        <w:tc>
          <w:tcPr>
            <w:tcW w:w="1512" w:type="dxa"/>
            <w:tcBorders>
              <w:top w:val="nil"/>
              <w:left w:val="nil"/>
              <w:bottom w:val="nil"/>
              <w:right w:val="nil"/>
            </w:tcBorders>
            <w:shd w:val="clear" w:color="auto" w:fill="auto"/>
            <w:noWrap/>
            <w:vAlign w:val="bottom"/>
            <w:hideMark/>
          </w:tcPr>
          <w:p w14:paraId="60426669"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2.8 (0.8)</w:t>
            </w:r>
          </w:p>
        </w:tc>
        <w:tc>
          <w:tcPr>
            <w:tcW w:w="1007" w:type="dxa"/>
            <w:tcBorders>
              <w:top w:val="nil"/>
              <w:left w:val="nil"/>
              <w:bottom w:val="nil"/>
              <w:right w:val="nil"/>
            </w:tcBorders>
            <w:shd w:val="clear" w:color="auto" w:fill="auto"/>
            <w:noWrap/>
            <w:vAlign w:val="bottom"/>
            <w:hideMark/>
          </w:tcPr>
          <w:p w14:paraId="6E5FA5C8"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0.48</w:t>
            </w:r>
          </w:p>
        </w:tc>
      </w:tr>
      <w:tr w:rsidR="006B1B2E" w:rsidRPr="00280B9D" w14:paraId="3447AF82" w14:textId="77777777" w:rsidTr="004D1B3C">
        <w:trPr>
          <w:trHeight w:val="259"/>
        </w:trPr>
        <w:tc>
          <w:tcPr>
            <w:tcW w:w="3525" w:type="dxa"/>
            <w:tcBorders>
              <w:top w:val="nil"/>
              <w:left w:val="nil"/>
              <w:bottom w:val="nil"/>
              <w:right w:val="nil"/>
            </w:tcBorders>
            <w:shd w:val="clear" w:color="auto" w:fill="auto"/>
            <w:noWrap/>
            <w:vAlign w:val="bottom"/>
          </w:tcPr>
          <w:p w14:paraId="369B471C"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Glucose (mmol/l)</w:t>
            </w:r>
          </w:p>
        </w:tc>
        <w:tc>
          <w:tcPr>
            <w:tcW w:w="2206" w:type="dxa"/>
            <w:tcBorders>
              <w:top w:val="nil"/>
              <w:left w:val="nil"/>
              <w:bottom w:val="nil"/>
              <w:right w:val="nil"/>
            </w:tcBorders>
            <w:shd w:val="clear" w:color="auto" w:fill="auto"/>
            <w:noWrap/>
            <w:vAlign w:val="bottom"/>
          </w:tcPr>
          <w:p w14:paraId="7E03D46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4.7 (0.7)</w:t>
            </w:r>
          </w:p>
        </w:tc>
        <w:tc>
          <w:tcPr>
            <w:tcW w:w="1512" w:type="dxa"/>
            <w:tcBorders>
              <w:top w:val="nil"/>
              <w:left w:val="nil"/>
              <w:bottom w:val="nil"/>
              <w:right w:val="nil"/>
            </w:tcBorders>
            <w:shd w:val="clear" w:color="auto" w:fill="auto"/>
            <w:noWrap/>
            <w:vAlign w:val="bottom"/>
          </w:tcPr>
          <w:p w14:paraId="73F7C449"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5.1 (0.9)</w:t>
            </w:r>
          </w:p>
        </w:tc>
        <w:tc>
          <w:tcPr>
            <w:tcW w:w="1007" w:type="dxa"/>
            <w:tcBorders>
              <w:top w:val="nil"/>
              <w:left w:val="nil"/>
              <w:bottom w:val="nil"/>
              <w:right w:val="nil"/>
            </w:tcBorders>
            <w:shd w:val="clear" w:color="auto" w:fill="auto"/>
            <w:noWrap/>
            <w:vAlign w:val="bottom"/>
          </w:tcPr>
          <w:p w14:paraId="03321B2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6C364BB2" w14:textId="77777777" w:rsidTr="004D1B3C">
        <w:trPr>
          <w:trHeight w:val="259"/>
        </w:trPr>
        <w:tc>
          <w:tcPr>
            <w:tcW w:w="3525" w:type="dxa"/>
            <w:tcBorders>
              <w:top w:val="nil"/>
              <w:left w:val="nil"/>
              <w:bottom w:val="nil"/>
              <w:right w:val="nil"/>
            </w:tcBorders>
            <w:shd w:val="clear" w:color="auto" w:fill="auto"/>
            <w:noWrap/>
            <w:vAlign w:val="bottom"/>
            <w:hideMark/>
          </w:tcPr>
          <w:p w14:paraId="3D24E4FF"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Fructosamine (umol/l)</w:t>
            </w:r>
          </w:p>
        </w:tc>
        <w:tc>
          <w:tcPr>
            <w:tcW w:w="2206" w:type="dxa"/>
            <w:tcBorders>
              <w:top w:val="nil"/>
              <w:left w:val="nil"/>
              <w:bottom w:val="nil"/>
              <w:right w:val="nil"/>
            </w:tcBorders>
            <w:shd w:val="clear" w:color="auto" w:fill="auto"/>
            <w:noWrap/>
            <w:vAlign w:val="bottom"/>
            <w:hideMark/>
          </w:tcPr>
          <w:p w14:paraId="4B71E227"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185.1 (20.3)</w:t>
            </w:r>
          </w:p>
        </w:tc>
        <w:tc>
          <w:tcPr>
            <w:tcW w:w="1512" w:type="dxa"/>
            <w:tcBorders>
              <w:top w:val="nil"/>
              <w:left w:val="nil"/>
              <w:bottom w:val="nil"/>
              <w:right w:val="nil"/>
            </w:tcBorders>
            <w:shd w:val="clear" w:color="auto" w:fill="auto"/>
            <w:noWrap/>
            <w:vAlign w:val="bottom"/>
            <w:hideMark/>
          </w:tcPr>
          <w:p w14:paraId="6AFDD20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190.9 (22.5)</w:t>
            </w:r>
          </w:p>
        </w:tc>
        <w:tc>
          <w:tcPr>
            <w:tcW w:w="1007" w:type="dxa"/>
            <w:tcBorders>
              <w:top w:val="nil"/>
              <w:left w:val="nil"/>
              <w:bottom w:val="nil"/>
              <w:right w:val="nil"/>
            </w:tcBorders>
            <w:shd w:val="clear" w:color="auto" w:fill="auto"/>
            <w:noWrap/>
            <w:vAlign w:val="bottom"/>
            <w:hideMark/>
          </w:tcPr>
          <w:p w14:paraId="266E300E"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28E2FB50" w14:textId="77777777" w:rsidTr="004D1B3C">
        <w:trPr>
          <w:trHeight w:val="259"/>
        </w:trPr>
        <w:tc>
          <w:tcPr>
            <w:tcW w:w="3525" w:type="dxa"/>
            <w:tcBorders>
              <w:top w:val="nil"/>
              <w:left w:val="nil"/>
              <w:bottom w:val="nil"/>
              <w:right w:val="nil"/>
            </w:tcBorders>
            <w:shd w:val="clear" w:color="auto" w:fill="auto"/>
            <w:noWrap/>
            <w:vAlign w:val="bottom"/>
            <w:hideMark/>
          </w:tcPr>
          <w:p w14:paraId="7A02D7DB"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SHBG (nmol/l)</w:t>
            </w:r>
          </w:p>
        </w:tc>
        <w:tc>
          <w:tcPr>
            <w:tcW w:w="2206" w:type="dxa"/>
            <w:tcBorders>
              <w:top w:val="nil"/>
              <w:left w:val="nil"/>
              <w:bottom w:val="nil"/>
              <w:right w:val="nil"/>
            </w:tcBorders>
            <w:shd w:val="clear" w:color="auto" w:fill="auto"/>
            <w:noWrap/>
            <w:vAlign w:val="bottom"/>
            <w:hideMark/>
          </w:tcPr>
          <w:p w14:paraId="5A1FF7D9"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437.2 (127.8)</w:t>
            </w:r>
          </w:p>
        </w:tc>
        <w:tc>
          <w:tcPr>
            <w:tcW w:w="1512" w:type="dxa"/>
            <w:tcBorders>
              <w:top w:val="nil"/>
              <w:left w:val="nil"/>
              <w:bottom w:val="nil"/>
              <w:right w:val="nil"/>
            </w:tcBorders>
            <w:shd w:val="clear" w:color="auto" w:fill="auto"/>
            <w:noWrap/>
            <w:vAlign w:val="bottom"/>
            <w:hideMark/>
          </w:tcPr>
          <w:p w14:paraId="1774337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386.7 (109.9)</w:t>
            </w:r>
          </w:p>
        </w:tc>
        <w:tc>
          <w:tcPr>
            <w:tcW w:w="1007" w:type="dxa"/>
            <w:tcBorders>
              <w:top w:val="nil"/>
              <w:left w:val="nil"/>
              <w:bottom w:val="nil"/>
              <w:right w:val="nil"/>
            </w:tcBorders>
            <w:shd w:val="clear" w:color="auto" w:fill="auto"/>
            <w:noWrap/>
            <w:vAlign w:val="bottom"/>
            <w:hideMark/>
          </w:tcPr>
          <w:p w14:paraId="5FE680AB"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5972BA10" w14:textId="77777777" w:rsidTr="004D1B3C">
        <w:trPr>
          <w:trHeight w:val="259"/>
        </w:trPr>
        <w:tc>
          <w:tcPr>
            <w:tcW w:w="3525" w:type="dxa"/>
            <w:tcBorders>
              <w:top w:val="nil"/>
              <w:left w:val="nil"/>
              <w:bottom w:val="nil"/>
              <w:right w:val="nil"/>
            </w:tcBorders>
            <w:shd w:val="clear" w:color="auto" w:fill="auto"/>
            <w:noWrap/>
            <w:vAlign w:val="bottom"/>
            <w:hideMark/>
          </w:tcPr>
          <w:p w14:paraId="26CFE1B7"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HbA1c (%)</w:t>
            </w:r>
          </w:p>
        </w:tc>
        <w:tc>
          <w:tcPr>
            <w:tcW w:w="2206" w:type="dxa"/>
            <w:tcBorders>
              <w:top w:val="nil"/>
              <w:left w:val="nil"/>
              <w:bottom w:val="nil"/>
              <w:right w:val="nil"/>
            </w:tcBorders>
            <w:shd w:val="clear" w:color="auto" w:fill="auto"/>
            <w:noWrap/>
            <w:vAlign w:val="bottom"/>
            <w:hideMark/>
          </w:tcPr>
          <w:p w14:paraId="1012DF0F"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4.8 (0.3)</w:t>
            </w:r>
          </w:p>
        </w:tc>
        <w:tc>
          <w:tcPr>
            <w:tcW w:w="1512" w:type="dxa"/>
            <w:tcBorders>
              <w:top w:val="nil"/>
              <w:left w:val="nil"/>
              <w:bottom w:val="nil"/>
              <w:right w:val="nil"/>
            </w:tcBorders>
            <w:shd w:val="clear" w:color="auto" w:fill="auto"/>
            <w:noWrap/>
            <w:vAlign w:val="bottom"/>
            <w:hideMark/>
          </w:tcPr>
          <w:p w14:paraId="3F03F10E"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5.0 (0.4)</w:t>
            </w:r>
          </w:p>
        </w:tc>
        <w:tc>
          <w:tcPr>
            <w:tcW w:w="1007" w:type="dxa"/>
            <w:tcBorders>
              <w:top w:val="nil"/>
              <w:left w:val="nil"/>
              <w:bottom w:val="nil"/>
              <w:right w:val="nil"/>
            </w:tcBorders>
            <w:shd w:val="clear" w:color="auto" w:fill="auto"/>
            <w:noWrap/>
            <w:vAlign w:val="bottom"/>
            <w:hideMark/>
          </w:tcPr>
          <w:p w14:paraId="15437F2E"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1AAC94D9" w14:textId="77777777" w:rsidTr="004D1B3C">
        <w:trPr>
          <w:trHeight w:val="259"/>
        </w:trPr>
        <w:tc>
          <w:tcPr>
            <w:tcW w:w="3525" w:type="dxa"/>
            <w:tcBorders>
              <w:top w:val="nil"/>
              <w:left w:val="nil"/>
              <w:bottom w:val="nil"/>
              <w:right w:val="nil"/>
            </w:tcBorders>
            <w:shd w:val="clear" w:color="auto" w:fill="auto"/>
            <w:noWrap/>
            <w:vAlign w:val="bottom"/>
            <w:hideMark/>
          </w:tcPr>
          <w:p w14:paraId="2158D40D"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HbA1c (mmol/mol)</w:t>
            </w:r>
          </w:p>
        </w:tc>
        <w:tc>
          <w:tcPr>
            <w:tcW w:w="2206" w:type="dxa"/>
            <w:tcBorders>
              <w:top w:val="nil"/>
              <w:left w:val="nil"/>
              <w:bottom w:val="nil"/>
              <w:right w:val="nil"/>
            </w:tcBorders>
            <w:shd w:val="clear" w:color="auto" w:fill="auto"/>
            <w:noWrap/>
            <w:vAlign w:val="bottom"/>
            <w:hideMark/>
          </w:tcPr>
          <w:p w14:paraId="67CBC13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28.9 (3.6)</w:t>
            </w:r>
          </w:p>
        </w:tc>
        <w:tc>
          <w:tcPr>
            <w:tcW w:w="1512" w:type="dxa"/>
            <w:tcBorders>
              <w:top w:val="nil"/>
              <w:left w:val="nil"/>
              <w:bottom w:val="nil"/>
              <w:right w:val="nil"/>
            </w:tcBorders>
            <w:shd w:val="clear" w:color="auto" w:fill="auto"/>
            <w:noWrap/>
            <w:vAlign w:val="bottom"/>
            <w:hideMark/>
          </w:tcPr>
          <w:p w14:paraId="0EBFB08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30.9 (4.1)</w:t>
            </w:r>
          </w:p>
        </w:tc>
        <w:tc>
          <w:tcPr>
            <w:tcW w:w="1007" w:type="dxa"/>
            <w:tcBorders>
              <w:top w:val="nil"/>
              <w:left w:val="nil"/>
              <w:bottom w:val="nil"/>
              <w:right w:val="nil"/>
            </w:tcBorders>
            <w:shd w:val="clear" w:color="auto" w:fill="auto"/>
            <w:noWrap/>
            <w:vAlign w:val="bottom"/>
            <w:hideMark/>
          </w:tcPr>
          <w:p w14:paraId="6AE2D259"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238221AC" w14:textId="77777777" w:rsidTr="004D1B3C">
        <w:trPr>
          <w:trHeight w:val="259"/>
        </w:trPr>
        <w:tc>
          <w:tcPr>
            <w:tcW w:w="3525" w:type="dxa"/>
            <w:tcBorders>
              <w:top w:val="nil"/>
              <w:left w:val="nil"/>
              <w:bottom w:val="nil"/>
              <w:right w:val="nil"/>
            </w:tcBorders>
            <w:shd w:val="clear" w:color="auto" w:fill="auto"/>
            <w:noWrap/>
            <w:vAlign w:val="bottom"/>
            <w:hideMark/>
          </w:tcPr>
          <w:p w14:paraId="69D70DB0"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Insulin (mU/l)</w:t>
            </w:r>
            <w:r w:rsidRPr="0009257C">
              <w:rPr>
                <w:rFonts w:ascii="Times New Roman" w:hAnsi="Times New Roman" w:cs="Times New Roman"/>
                <w:color w:val="312A2A"/>
                <w:sz w:val="20"/>
                <w:szCs w:val="20"/>
                <w:lang w:val="en-US"/>
              </w:rPr>
              <w:t xml:space="preserve">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7A35165D"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4.6 (1.4)</w:t>
            </w:r>
          </w:p>
        </w:tc>
        <w:tc>
          <w:tcPr>
            <w:tcW w:w="1512" w:type="dxa"/>
            <w:tcBorders>
              <w:top w:val="nil"/>
              <w:left w:val="nil"/>
              <w:bottom w:val="nil"/>
              <w:right w:val="nil"/>
            </w:tcBorders>
            <w:shd w:val="clear" w:color="auto" w:fill="auto"/>
            <w:noWrap/>
            <w:vAlign w:val="bottom"/>
            <w:hideMark/>
          </w:tcPr>
          <w:p w14:paraId="61A7F089"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5.1 (1.3)</w:t>
            </w:r>
          </w:p>
        </w:tc>
        <w:tc>
          <w:tcPr>
            <w:tcW w:w="1007" w:type="dxa"/>
            <w:tcBorders>
              <w:top w:val="nil"/>
              <w:left w:val="nil"/>
              <w:bottom w:val="nil"/>
              <w:right w:val="nil"/>
            </w:tcBorders>
            <w:shd w:val="clear" w:color="auto" w:fill="auto"/>
            <w:noWrap/>
            <w:vAlign w:val="bottom"/>
            <w:hideMark/>
          </w:tcPr>
          <w:p w14:paraId="02C39044"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1A55ABF4" w14:textId="77777777" w:rsidTr="004D1B3C">
        <w:trPr>
          <w:trHeight w:val="259"/>
        </w:trPr>
        <w:tc>
          <w:tcPr>
            <w:tcW w:w="3525" w:type="dxa"/>
            <w:tcBorders>
              <w:top w:val="nil"/>
              <w:left w:val="nil"/>
              <w:bottom w:val="nil"/>
              <w:right w:val="nil"/>
            </w:tcBorders>
            <w:shd w:val="clear" w:color="auto" w:fill="auto"/>
            <w:noWrap/>
            <w:vAlign w:val="bottom"/>
            <w:hideMark/>
          </w:tcPr>
          <w:p w14:paraId="52529A54" w14:textId="16B28443"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C</w:t>
            </w:r>
            <w:r w:rsidR="00F108D2">
              <w:rPr>
                <w:rFonts w:ascii="Times New Roman" w:eastAsia="Times New Roman" w:hAnsi="Times New Roman" w:cs="Times New Roman"/>
                <w:color w:val="000000"/>
                <w:sz w:val="20"/>
                <w:szCs w:val="20"/>
                <w:lang w:eastAsia="en-GB"/>
              </w:rPr>
              <w:t>-</w:t>
            </w:r>
            <w:r w:rsidR="00461027">
              <w:rPr>
                <w:rFonts w:ascii="Times New Roman" w:eastAsia="Times New Roman" w:hAnsi="Times New Roman" w:cs="Times New Roman"/>
                <w:color w:val="000000"/>
                <w:sz w:val="20"/>
                <w:szCs w:val="20"/>
                <w:lang w:eastAsia="en-GB"/>
              </w:rPr>
              <w:t>p</w:t>
            </w:r>
            <w:r w:rsidRPr="0009257C">
              <w:rPr>
                <w:rFonts w:ascii="Times New Roman" w:eastAsia="Times New Roman" w:hAnsi="Times New Roman" w:cs="Times New Roman"/>
                <w:color w:val="000000"/>
                <w:sz w:val="20"/>
                <w:szCs w:val="20"/>
                <w:lang w:eastAsia="en-GB"/>
              </w:rPr>
              <w:t xml:space="preserve">eptide (ng/ml)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45F7670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1.9 (0.8)</w:t>
            </w:r>
          </w:p>
        </w:tc>
        <w:tc>
          <w:tcPr>
            <w:tcW w:w="1512" w:type="dxa"/>
            <w:tcBorders>
              <w:top w:val="nil"/>
              <w:left w:val="nil"/>
              <w:bottom w:val="nil"/>
              <w:right w:val="nil"/>
            </w:tcBorders>
            <w:shd w:val="clear" w:color="auto" w:fill="auto"/>
            <w:noWrap/>
            <w:vAlign w:val="bottom"/>
            <w:hideMark/>
          </w:tcPr>
          <w:p w14:paraId="3F3746B6"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2.2 (0.8)</w:t>
            </w:r>
          </w:p>
        </w:tc>
        <w:tc>
          <w:tcPr>
            <w:tcW w:w="1007" w:type="dxa"/>
            <w:tcBorders>
              <w:top w:val="nil"/>
              <w:left w:val="nil"/>
              <w:bottom w:val="nil"/>
              <w:right w:val="nil"/>
            </w:tcBorders>
            <w:shd w:val="clear" w:color="auto" w:fill="auto"/>
            <w:noWrap/>
            <w:vAlign w:val="bottom"/>
            <w:hideMark/>
          </w:tcPr>
          <w:p w14:paraId="46A09A8B"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46BF0F1F" w14:textId="77777777" w:rsidTr="004D1B3C">
        <w:trPr>
          <w:trHeight w:val="259"/>
        </w:trPr>
        <w:tc>
          <w:tcPr>
            <w:tcW w:w="3525" w:type="dxa"/>
            <w:tcBorders>
              <w:top w:val="nil"/>
              <w:left w:val="nil"/>
              <w:bottom w:val="nil"/>
              <w:right w:val="nil"/>
            </w:tcBorders>
            <w:shd w:val="clear" w:color="auto" w:fill="auto"/>
            <w:noWrap/>
            <w:vAlign w:val="bottom"/>
            <w:hideMark/>
          </w:tcPr>
          <w:p w14:paraId="63B260DE"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hs-CRP (mg/L)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4D3B0B7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2.6 (1.1)</w:t>
            </w:r>
          </w:p>
        </w:tc>
        <w:tc>
          <w:tcPr>
            <w:tcW w:w="1512" w:type="dxa"/>
            <w:tcBorders>
              <w:top w:val="nil"/>
              <w:left w:val="nil"/>
              <w:bottom w:val="nil"/>
              <w:right w:val="nil"/>
            </w:tcBorders>
            <w:shd w:val="clear" w:color="auto" w:fill="auto"/>
            <w:noWrap/>
            <w:vAlign w:val="bottom"/>
            <w:hideMark/>
          </w:tcPr>
          <w:p w14:paraId="6D331CB5"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2.8 (1.1)</w:t>
            </w:r>
          </w:p>
        </w:tc>
        <w:tc>
          <w:tcPr>
            <w:tcW w:w="1007" w:type="dxa"/>
            <w:tcBorders>
              <w:top w:val="nil"/>
              <w:left w:val="nil"/>
              <w:bottom w:val="nil"/>
              <w:right w:val="nil"/>
            </w:tcBorders>
            <w:shd w:val="clear" w:color="auto" w:fill="auto"/>
            <w:noWrap/>
            <w:vAlign w:val="bottom"/>
            <w:hideMark/>
          </w:tcPr>
          <w:p w14:paraId="5CE1351A"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0.01</w:t>
            </w:r>
          </w:p>
        </w:tc>
      </w:tr>
      <w:tr w:rsidR="006B1B2E" w:rsidRPr="00280B9D" w14:paraId="5A1A9410" w14:textId="77777777" w:rsidTr="004D1B3C">
        <w:trPr>
          <w:trHeight w:val="259"/>
        </w:trPr>
        <w:tc>
          <w:tcPr>
            <w:tcW w:w="3525" w:type="dxa"/>
            <w:tcBorders>
              <w:top w:val="nil"/>
              <w:left w:val="nil"/>
              <w:bottom w:val="nil"/>
              <w:right w:val="nil"/>
            </w:tcBorders>
            <w:shd w:val="clear" w:color="auto" w:fill="auto"/>
            <w:noWrap/>
            <w:vAlign w:val="bottom"/>
            <w:hideMark/>
          </w:tcPr>
          <w:p w14:paraId="2AB3E896"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gGT (U/L)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52EE918A"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3.6 (1.0)</w:t>
            </w:r>
          </w:p>
        </w:tc>
        <w:tc>
          <w:tcPr>
            <w:tcW w:w="1512" w:type="dxa"/>
            <w:tcBorders>
              <w:top w:val="nil"/>
              <w:left w:val="nil"/>
              <w:bottom w:val="nil"/>
              <w:right w:val="nil"/>
            </w:tcBorders>
            <w:shd w:val="clear" w:color="auto" w:fill="auto"/>
            <w:noWrap/>
            <w:vAlign w:val="bottom"/>
            <w:hideMark/>
          </w:tcPr>
          <w:p w14:paraId="25524D2D"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4.0 (1.0)</w:t>
            </w:r>
          </w:p>
        </w:tc>
        <w:tc>
          <w:tcPr>
            <w:tcW w:w="1007" w:type="dxa"/>
            <w:tcBorders>
              <w:top w:val="nil"/>
              <w:left w:val="nil"/>
              <w:bottom w:val="nil"/>
              <w:right w:val="nil"/>
            </w:tcBorders>
            <w:shd w:val="clear" w:color="auto" w:fill="auto"/>
            <w:noWrap/>
            <w:vAlign w:val="bottom"/>
            <w:hideMark/>
          </w:tcPr>
          <w:p w14:paraId="61677C5B"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5A516ADD" w14:textId="77777777" w:rsidTr="004D1B3C">
        <w:trPr>
          <w:trHeight w:val="259"/>
        </w:trPr>
        <w:tc>
          <w:tcPr>
            <w:tcW w:w="3525" w:type="dxa"/>
            <w:tcBorders>
              <w:top w:val="nil"/>
              <w:left w:val="nil"/>
              <w:bottom w:val="nil"/>
              <w:right w:val="nil"/>
            </w:tcBorders>
            <w:shd w:val="clear" w:color="auto" w:fill="auto"/>
            <w:noWrap/>
            <w:vAlign w:val="bottom"/>
            <w:hideMark/>
          </w:tcPr>
          <w:p w14:paraId="48AEFDF5"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ALT (U/L)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7C51792A"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4.1 (0.8)</w:t>
            </w:r>
          </w:p>
        </w:tc>
        <w:tc>
          <w:tcPr>
            <w:tcW w:w="1512" w:type="dxa"/>
            <w:tcBorders>
              <w:top w:val="nil"/>
              <w:left w:val="nil"/>
              <w:bottom w:val="nil"/>
              <w:right w:val="nil"/>
            </w:tcBorders>
            <w:shd w:val="clear" w:color="auto" w:fill="auto"/>
            <w:noWrap/>
            <w:vAlign w:val="bottom"/>
            <w:hideMark/>
          </w:tcPr>
          <w:p w14:paraId="5CA2464E"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4.2 (0.7)</w:t>
            </w:r>
          </w:p>
        </w:tc>
        <w:tc>
          <w:tcPr>
            <w:tcW w:w="1007" w:type="dxa"/>
            <w:tcBorders>
              <w:top w:val="nil"/>
              <w:left w:val="nil"/>
              <w:bottom w:val="nil"/>
              <w:right w:val="nil"/>
            </w:tcBorders>
            <w:shd w:val="clear" w:color="auto" w:fill="auto"/>
            <w:noWrap/>
            <w:vAlign w:val="bottom"/>
            <w:hideMark/>
          </w:tcPr>
          <w:p w14:paraId="586FF686"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0.32</w:t>
            </w:r>
          </w:p>
        </w:tc>
      </w:tr>
      <w:tr w:rsidR="006B1B2E" w:rsidRPr="00280B9D" w14:paraId="01B71D76" w14:textId="77777777" w:rsidTr="004D1B3C">
        <w:trPr>
          <w:trHeight w:val="259"/>
        </w:trPr>
        <w:tc>
          <w:tcPr>
            <w:tcW w:w="3525" w:type="dxa"/>
            <w:tcBorders>
              <w:top w:val="nil"/>
              <w:left w:val="nil"/>
              <w:bottom w:val="nil"/>
              <w:right w:val="nil"/>
            </w:tcBorders>
            <w:shd w:val="clear" w:color="auto" w:fill="auto"/>
            <w:noWrap/>
            <w:vAlign w:val="bottom"/>
            <w:hideMark/>
          </w:tcPr>
          <w:p w14:paraId="007D879E"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AST (U/L)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6AC85804"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4.5 (0.5)</w:t>
            </w:r>
          </w:p>
        </w:tc>
        <w:tc>
          <w:tcPr>
            <w:tcW w:w="1512" w:type="dxa"/>
            <w:tcBorders>
              <w:top w:val="nil"/>
              <w:left w:val="nil"/>
              <w:bottom w:val="nil"/>
              <w:right w:val="nil"/>
            </w:tcBorders>
            <w:shd w:val="clear" w:color="auto" w:fill="auto"/>
            <w:noWrap/>
            <w:vAlign w:val="bottom"/>
            <w:hideMark/>
          </w:tcPr>
          <w:p w14:paraId="22E58452"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4.5 (0.5)</w:t>
            </w:r>
          </w:p>
        </w:tc>
        <w:tc>
          <w:tcPr>
            <w:tcW w:w="1007" w:type="dxa"/>
            <w:tcBorders>
              <w:top w:val="nil"/>
              <w:left w:val="nil"/>
              <w:bottom w:val="nil"/>
              <w:right w:val="nil"/>
            </w:tcBorders>
            <w:shd w:val="clear" w:color="auto" w:fill="auto"/>
            <w:noWrap/>
            <w:vAlign w:val="bottom"/>
            <w:hideMark/>
          </w:tcPr>
          <w:p w14:paraId="5A120E3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0.10</w:t>
            </w:r>
          </w:p>
        </w:tc>
      </w:tr>
      <w:tr w:rsidR="006B1B2E" w:rsidRPr="00280B9D" w14:paraId="67A98FF0" w14:textId="77777777" w:rsidTr="004D1B3C">
        <w:trPr>
          <w:trHeight w:val="259"/>
        </w:trPr>
        <w:tc>
          <w:tcPr>
            <w:tcW w:w="3525" w:type="dxa"/>
            <w:tcBorders>
              <w:top w:val="nil"/>
              <w:left w:val="nil"/>
              <w:bottom w:val="nil"/>
              <w:right w:val="nil"/>
            </w:tcBorders>
            <w:shd w:val="clear" w:color="auto" w:fill="auto"/>
            <w:noWrap/>
            <w:vAlign w:val="bottom"/>
            <w:hideMark/>
          </w:tcPr>
          <w:p w14:paraId="68F1D90F"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Triglycerides (mmol/L)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2121003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0.7 (0.5)</w:t>
            </w:r>
          </w:p>
        </w:tc>
        <w:tc>
          <w:tcPr>
            <w:tcW w:w="1512" w:type="dxa"/>
            <w:tcBorders>
              <w:top w:val="nil"/>
              <w:left w:val="nil"/>
              <w:bottom w:val="nil"/>
              <w:right w:val="nil"/>
            </w:tcBorders>
            <w:shd w:val="clear" w:color="auto" w:fill="auto"/>
            <w:noWrap/>
            <w:vAlign w:val="bottom"/>
            <w:hideMark/>
          </w:tcPr>
          <w:p w14:paraId="0A1176A7"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0.9 (0.5)</w:t>
            </w:r>
          </w:p>
        </w:tc>
        <w:tc>
          <w:tcPr>
            <w:tcW w:w="1007" w:type="dxa"/>
            <w:tcBorders>
              <w:top w:val="nil"/>
              <w:left w:val="nil"/>
              <w:bottom w:val="nil"/>
              <w:right w:val="nil"/>
            </w:tcBorders>
            <w:shd w:val="clear" w:color="auto" w:fill="auto"/>
            <w:noWrap/>
            <w:vAlign w:val="bottom"/>
            <w:hideMark/>
          </w:tcPr>
          <w:p w14:paraId="5B019B24"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1D10110B" w14:textId="77777777" w:rsidTr="004D1B3C">
        <w:trPr>
          <w:trHeight w:val="259"/>
        </w:trPr>
        <w:tc>
          <w:tcPr>
            <w:tcW w:w="3525" w:type="dxa"/>
            <w:tcBorders>
              <w:top w:val="nil"/>
              <w:left w:val="nil"/>
              <w:bottom w:val="nil"/>
              <w:right w:val="nil"/>
            </w:tcBorders>
            <w:shd w:val="clear" w:color="auto" w:fill="auto"/>
            <w:noWrap/>
            <w:vAlign w:val="bottom"/>
            <w:hideMark/>
          </w:tcPr>
          <w:p w14:paraId="6F03DE8C"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Leptin (pg/ml)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027DA47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6.0 (0.6)</w:t>
            </w:r>
          </w:p>
        </w:tc>
        <w:tc>
          <w:tcPr>
            <w:tcW w:w="1512" w:type="dxa"/>
            <w:tcBorders>
              <w:top w:val="nil"/>
              <w:left w:val="nil"/>
              <w:bottom w:val="nil"/>
              <w:right w:val="nil"/>
            </w:tcBorders>
            <w:shd w:val="clear" w:color="auto" w:fill="auto"/>
            <w:noWrap/>
            <w:vAlign w:val="bottom"/>
            <w:hideMark/>
          </w:tcPr>
          <w:p w14:paraId="291A0EAB"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6.1 (0.7)</w:t>
            </w:r>
          </w:p>
        </w:tc>
        <w:tc>
          <w:tcPr>
            <w:tcW w:w="1007" w:type="dxa"/>
            <w:tcBorders>
              <w:top w:val="nil"/>
              <w:left w:val="nil"/>
              <w:bottom w:val="nil"/>
              <w:right w:val="nil"/>
            </w:tcBorders>
            <w:shd w:val="clear" w:color="auto" w:fill="auto"/>
            <w:noWrap/>
            <w:vAlign w:val="bottom"/>
            <w:hideMark/>
          </w:tcPr>
          <w:p w14:paraId="67B16F84"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0.04</w:t>
            </w:r>
          </w:p>
        </w:tc>
      </w:tr>
      <w:tr w:rsidR="006B1B2E" w:rsidRPr="00280B9D" w14:paraId="087C108B" w14:textId="77777777" w:rsidTr="004D1B3C">
        <w:trPr>
          <w:trHeight w:val="259"/>
        </w:trPr>
        <w:tc>
          <w:tcPr>
            <w:tcW w:w="3525" w:type="dxa"/>
            <w:tcBorders>
              <w:top w:val="nil"/>
              <w:left w:val="nil"/>
              <w:bottom w:val="nil"/>
              <w:right w:val="nil"/>
            </w:tcBorders>
            <w:shd w:val="clear" w:color="auto" w:fill="auto"/>
            <w:noWrap/>
            <w:vAlign w:val="bottom"/>
            <w:hideMark/>
          </w:tcPr>
          <w:p w14:paraId="0C6A90AA"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Adiponectin (ug/ml)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6F3C900A"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3.5 (0.9)</w:t>
            </w:r>
          </w:p>
        </w:tc>
        <w:tc>
          <w:tcPr>
            <w:tcW w:w="1512" w:type="dxa"/>
            <w:tcBorders>
              <w:top w:val="nil"/>
              <w:left w:val="nil"/>
              <w:bottom w:val="nil"/>
              <w:right w:val="nil"/>
            </w:tcBorders>
            <w:shd w:val="clear" w:color="auto" w:fill="auto"/>
            <w:noWrap/>
            <w:vAlign w:val="bottom"/>
            <w:hideMark/>
          </w:tcPr>
          <w:p w14:paraId="016EB80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3.0 (0.9)</w:t>
            </w:r>
          </w:p>
        </w:tc>
        <w:tc>
          <w:tcPr>
            <w:tcW w:w="1007" w:type="dxa"/>
            <w:tcBorders>
              <w:top w:val="nil"/>
              <w:left w:val="nil"/>
              <w:bottom w:val="nil"/>
              <w:right w:val="nil"/>
            </w:tcBorders>
            <w:shd w:val="clear" w:color="auto" w:fill="auto"/>
            <w:noWrap/>
            <w:vAlign w:val="bottom"/>
            <w:hideMark/>
          </w:tcPr>
          <w:p w14:paraId="0F95FF9E"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123759C0" w14:textId="77777777" w:rsidTr="004D1B3C">
        <w:trPr>
          <w:trHeight w:val="259"/>
        </w:trPr>
        <w:tc>
          <w:tcPr>
            <w:tcW w:w="3525" w:type="dxa"/>
            <w:tcBorders>
              <w:top w:val="nil"/>
              <w:left w:val="nil"/>
              <w:bottom w:val="nil"/>
              <w:right w:val="nil"/>
            </w:tcBorders>
            <w:shd w:val="clear" w:color="auto" w:fill="auto"/>
            <w:noWrap/>
            <w:vAlign w:val="bottom"/>
            <w:hideMark/>
          </w:tcPr>
          <w:p w14:paraId="1A934FB2"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Ferritin (ng/ml)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20651B6C"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5.5 (1.1)</w:t>
            </w:r>
          </w:p>
        </w:tc>
        <w:tc>
          <w:tcPr>
            <w:tcW w:w="1512" w:type="dxa"/>
            <w:tcBorders>
              <w:top w:val="nil"/>
              <w:left w:val="nil"/>
              <w:bottom w:val="nil"/>
              <w:right w:val="nil"/>
            </w:tcBorders>
            <w:shd w:val="clear" w:color="auto" w:fill="auto"/>
            <w:noWrap/>
            <w:vAlign w:val="bottom"/>
            <w:hideMark/>
          </w:tcPr>
          <w:p w14:paraId="61D9BF75"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5.7 (1.0)</w:t>
            </w:r>
          </w:p>
        </w:tc>
        <w:tc>
          <w:tcPr>
            <w:tcW w:w="1007" w:type="dxa"/>
            <w:tcBorders>
              <w:top w:val="nil"/>
              <w:left w:val="nil"/>
              <w:bottom w:val="nil"/>
              <w:right w:val="nil"/>
            </w:tcBorders>
            <w:shd w:val="clear" w:color="auto" w:fill="auto"/>
            <w:noWrap/>
            <w:vAlign w:val="bottom"/>
            <w:hideMark/>
          </w:tcPr>
          <w:p w14:paraId="7992DD0E"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0.05</w:t>
            </w:r>
          </w:p>
        </w:tc>
      </w:tr>
      <w:tr w:rsidR="006B1B2E" w:rsidRPr="00280B9D" w14:paraId="4833578C" w14:textId="77777777" w:rsidTr="004D1B3C">
        <w:trPr>
          <w:trHeight w:val="259"/>
        </w:trPr>
        <w:tc>
          <w:tcPr>
            <w:tcW w:w="3525" w:type="dxa"/>
            <w:tcBorders>
              <w:top w:val="nil"/>
              <w:left w:val="nil"/>
              <w:bottom w:val="nil"/>
              <w:right w:val="nil"/>
            </w:tcBorders>
            <w:shd w:val="clear" w:color="auto" w:fill="auto"/>
            <w:noWrap/>
            <w:vAlign w:val="bottom"/>
            <w:hideMark/>
          </w:tcPr>
          <w:p w14:paraId="707AD15F"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IL-6 (pg/ml)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32BF135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1.6 (0.9)</w:t>
            </w:r>
          </w:p>
        </w:tc>
        <w:tc>
          <w:tcPr>
            <w:tcW w:w="1512" w:type="dxa"/>
            <w:tcBorders>
              <w:top w:val="nil"/>
              <w:left w:val="nil"/>
              <w:bottom w:val="nil"/>
              <w:right w:val="nil"/>
            </w:tcBorders>
            <w:shd w:val="clear" w:color="auto" w:fill="auto"/>
            <w:noWrap/>
            <w:vAlign w:val="bottom"/>
            <w:hideMark/>
          </w:tcPr>
          <w:p w14:paraId="6754A9D2"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1.7 (0.9)</w:t>
            </w:r>
          </w:p>
        </w:tc>
        <w:tc>
          <w:tcPr>
            <w:tcW w:w="1007" w:type="dxa"/>
            <w:tcBorders>
              <w:top w:val="nil"/>
              <w:left w:val="nil"/>
              <w:bottom w:val="nil"/>
              <w:right w:val="nil"/>
            </w:tcBorders>
            <w:shd w:val="clear" w:color="auto" w:fill="auto"/>
            <w:noWrap/>
            <w:vAlign w:val="bottom"/>
            <w:hideMark/>
          </w:tcPr>
          <w:p w14:paraId="3603BB4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0.20</w:t>
            </w:r>
          </w:p>
        </w:tc>
      </w:tr>
      <w:tr w:rsidR="006B1B2E" w:rsidRPr="00280B9D" w14:paraId="46DE4CB9" w14:textId="77777777" w:rsidTr="004D1B3C">
        <w:trPr>
          <w:trHeight w:val="259"/>
        </w:trPr>
        <w:tc>
          <w:tcPr>
            <w:tcW w:w="3525" w:type="dxa"/>
            <w:tcBorders>
              <w:top w:val="nil"/>
              <w:left w:val="nil"/>
              <w:bottom w:val="nil"/>
              <w:right w:val="nil"/>
            </w:tcBorders>
            <w:shd w:val="clear" w:color="auto" w:fill="auto"/>
            <w:noWrap/>
            <w:vAlign w:val="bottom"/>
            <w:hideMark/>
          </w:tcPr>
          <w:p w14:paraId="74B272C4"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Vitamin D (ng/ml) </w:t>
            </w:r>
            <w:r w:rsidRPr="0009257C">
              <w:rPr>
                <w:rFonts w:ascii="Times New Roman" w:hAnsi="Times New Roman" w:cs="Times New Roman"/>
                <w:color w:val="312A2A"/>
                <w:sz w:val="20"/>
                <w:szCs w:val="20"/>
                <w:vertAlign w:val="superscript"/>
                <w:lang w:val="en-US"/>
              </w:rPr>
              <w:t>c</w:t>
            </w:r>
          </w:p>
        </w:tc>
        <w:tc>
          <w:tcPr>
            <w:tcW w:w="2206" w:type="dxa"/>
            <w:tcBorders>
              <w:top w:val="nil"/>
              <w:left w:val="nil"/>
              <w:bottom w:val="nil"/>
              <w:right w:val="nil"/>
            </w:tcBorders>
            <w:shd w:val="clear" w:color="auto" w:fill="auto"/>
            <w:noWrap/>
            <w:vAlign w:val="bottom"/>
            <w:hideMark/>
          </w:tcPr>
          <w:p w14:paraId="7CE9D265"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3.9 (0.9)</w:t>
            </w:r>
          </w:p>
        </w:tc>
        <w:tc>
          <w:tcPr>
            <w:tcW w:w="1512" w:type="dxa"/>
            <w:tcBorders>
              <w:top w:val="nil"/>
              <w:left w:val="nil"/>
              <w:bottom w:val="nil"/>
              <w:right w:val="nil"/>
            </w:tcBorders>
            <w:shd w:val="clear" w:color="auto" w:fill="auto"/>
            <w:noWrap/>
            <w:vAlign w:val="bottom"/>
            <w:hideMark/>
          </w:tcPr>
          <w:p w14:paraId="31395D03"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3.8 (0.9)</w:t>
            </w:r>
          </w:p>
        </w:tc>
        <w:tc>
          <w:tcPr>
            <w:tcW w:w="1007" w:type="dxa"/>
            <w:tcBorders>
              <w:top w:val="nil"/>
              <w:left w:val="nil"/>
              <w:bottom w:val="nil"/>
              <w:right w:val="nil"/>
            </w:tcBorders>
            <w:shd w:val="clear" w:color="auto" w:fill="auto"/>
            <w:noWrap/>
            <w:vAlign w:val="bottom"/>
            <w:hideMark/>
          </w:tcPr>
          <w:p w14:paraId="00B1FA5C"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0.04</w:t>
            </w:r>
          </w:p>
        </w:tc>
      </w:tr>
      <w:tr w:rsidR="006B1B2E" w:rsidRPr="00280B9D" w14:paraId="067642AD" w14:textId="77777777" w:rsidTr="004D1B3C">
        <w:trPr>
          <w:trHeight w:val="259"/>
        </w:trPr>
        <w:tc>
          <w:tcPr>
            <w:tcW w:w="3525" w:type="dxa"/>
            <w:tcBorders>
              <w:top w:val="nil"/>
              <w:left w:val="nil"/>
              <w:bottom w:val="nil"/>
              <w:right w:val="nil"/>
            </w:tcBorders>
            <w:shd w:val="clear" w:color="auto" w:fill="auto"/>
            <w:noWrap/>
            <w:vAlign w:val="bottom"/>
            <w:hideMark/>
          </w:tcPr>
          <w:p w14:paraId="593242FA" w14:textId="6C0E8EE3"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Human </w:t>
            </w:r>
            <w:r w:rsidR="00974DB9">
              <w:rPr>
                <w:rFonts w:ascii="Times New Roman" w:eastAsia="Times New Roman" w:hAnsi="Times New Roman" w:cs="Times New Roman"/>
                <w:color w:val="000000"/>
                <w:sz w:val="20"/>
                <w:szCs w:val="20"/>
                <w:lang w:eastAsia="en-GB"/>
              </w:rPr>
              <w:t>p</w:t>
            </w:r>
            <w:r w:rsidRPr="0009257C">
              <w:rPr>
                <w:rFonts w:ascii="Times New Roman" w:eastAsia="Times New Roman" w:hAnsi="Times New Roman" w:cs="Times New Roman"/>
                <w:color w:val="000000"/>
                <w:sz w:val="20"/>
                <w:szCs w:val="20"/>
                <w:lang w:eastAsia="en-GB"/>
              </w:rPr>
              <w:t xml:space="preserve">lacental </w:t>
            </w:r>
            <w:r w:rsidR="00974DB9">
              <w:rPr>
                <w:rFonts w:ascii="Times New Roman" w:eastAsia="Times New Roman" w:hAnsi="Times New Roman" w:cs="Times New Roman"/>
                <w:color w:val="000000"/>
                <w:sz w:val="20"/>
                <w:szCs w:val="20"/>
                <w:lang w:eastAsia="en-GB"/>
              </w:rPr>
              <w:t>l</w:t>
            </w:r>
            <w:r w:rsidRPr="0009257C">
              <w:rPr>
                <w:rFonts w:ascii="Times New Roman" w:eastAsia="Times New Roman" w:hAnsi="Times New Roman" w:cs="Times New Roman"/>
                <w:color w:val="000000"/>
                <w:sz w:val="20"/>
                <w:szCs w:val="20"/>
                <w:lang w:eastAsia="en-GB"/>
              </w:rPr>
              <w:t>actogen (z score)</w:t>
            </w:r>
          </w:p>
        </w:tc>
        <w:tc>
          <w:tcPr>
            <w:tcW w:w="2206" w:type="dxa"/>
            <w:tcBorders>
              <w:top w:val="nil"/>
              <w:left w:val="nil"/>
              <w:bottom w:val="nil"/>
              <w:right w:val="nil"/>
            </w:tcBorders>
            <w:shd w:val="clear" w:color="auto" w:fill="auto"/>
            <w:noWrap/>
            <w:vAlign w:val="bottom"/>
            <w:hideMark/>
          </w:tcPr>
          <w:p w14:paraId="78405A17"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0.1 (1.0)</w:t>
            </w:r>
          </w:p>
        </w:tc>
        <w:tc>
          <w:tcPr>
            <w:tcW w:w="1512" w:type="dxa"/>
            <w:tcBorders>
              <w:top w:val="nil"/>
              <w:left w:val="nil"/>
              <w:bottom w:val="nil"/>
              <w:right w:val="nil"/>
            </w:tcBorders>
            <w:shd w:val="clear" w:color="auto" w:fill="auto"/>
            <w:noWrap/>
            <w:vAlign w:val="bottom"/>
            <w:hideMark/>
          </w:tcPr>
          <w:p w14:paraId="57CD2C6D"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-0.2 (1.0)</w:t>
            </w:r>
          </w:p>
        </w:tc>
        <w:tc>
          <w:tcPr>
            <w:tcW w:w="1007" w:type="dxa"/>
            <w:tcBorders>
              <w:top w:val="nil"/>
              <w:left w:val="nil"/>
              <w:bottom w:val="nil"/>
              <w:right w:val="nil"/>
            </w:tcBorders>
            <w:shd w:val="clear" w:color="auto" w:fill="auto"/>
            <w:noWrap/>
            <w:vAlign w:val="bottom"/>
            <w:hideMark/>
          </w:tcPr>
          <w:p w14:paraId="752E260A"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&lt;0.001</w:t>
            </w:r>
          </w:p>
        </w:tc>
      </w:tr>
      <w:tr w:rsidR="006B1B2E" w:rsidRPr="00280B9D" w14:paraId="576CB35C" w14:textId="77777777" w:rsidTr="004D1B3C">
        <w:trPr>
          <w:trHeight w:val="259"/>
        </w:trPr>
        <w:tc>
          <w:tcPr>
            <w:tcW w:w="3525" w:type="dxa"/>
            <w:tcBorders>
              <w:top w:val="nil"/>
              <w:left w:val="nil"/>
              <w:bottom w:val="nil"/>
              <w:right w:val="nil"/>
            </w:tcBorders>
            <w:shd w:val="clear" w:color="auto" w:fill="auto"/>
            <w:noWrap/>
            <w:vAlign w:val="bottom"/>
            <w:hideMark/>
          </w:tcPr>
          <w:p w14:paraId="01E88FB0" w14:textId="77777777" w:rsidR="006B1B2E" w:rsidRPr="0009257C" w:rsidRDefault="006B1B2E" w:rsidP="004D1B3C">
            <w:pPr>
              <w:spacing w:after="0" w:line="480" w:lineRule="auto"/>
              <w:rPr>
                <w:rFonts w:ascii="Times New Roman" w:eastAsia="Times New Roman" w:hAnsi="Times New Roman" w:cs="Times New Roman"/>
                <w:color w:val="000000"/>
                <w:sz w:val="20"/>
                <w:szCs w:val="20"/>
                <w:lang w:eastAsia="en-GB"/>
              </w:rPr>
            </w:pPr>
          </w:p>
        </w:tc>
        <w:tc>
          <w:tcPr>
            <w:tcW w:w="2206" w:type="dxa"/>
            <w:tcBorders>
              <w:top w:val="nil"/>
              <w:left w:val="nil"/>
              <w:bottom w:val="nil"/>
              <w:right w:val="nil"/>
            </w:tcBorders>
            <w:shd w:val="clear" w:color="auto" w:fill="auto"/>
            <w:noWrap/>
            <w:vAlign w:val="bottom"/>
            <w:hideMark/>
          </w:tcPr>
          <w:p w14:paraId="51DD0630" w14:textId="77777777" w:rsidR="006B1B2E" w:rsidRPr="0086073F" w:rsidRDefault="006B1B2E" w:rsidP="004D1B3C">
            <w:pPr>
              <w:spacing w:after="0" w:line="480" w:lineRule="auto"/>
              <w:jc w:val="center"/>
              <w:rPr>
                <w:rFonts w:ascii="Times New Roman" w:eastAsia="Times New Roman" w:hAnsi="Times New Roman" w:cs="Times New Roman"/>
                <w:color w:val="000000"/>
                <w:sz w:val="20"/>
                <w:szCs w:val="20"/>
                <w:lang w:eastAsia="en-GB"/>
              </w:rPr>
            </w:pPr>
          </w:p>
        </w:tc>
        <w:tc>
          <w:tcPr>
            <w:tcW w:w="1512" w:type="dxa"/>
            <w:tcBorders>
              <w:top w:val="nil"/>
              <w:left w:val="nil"/>
              <w:bottom w:val="nil"/>
              <w:right w:val="nil"/>
            </w:tcBorders>
            <w:shd w:val="clear" w:color="auto" w:fill="auto"/>
            <w:noWrap/>
            <w:vAlign w:val="bottom"/>
            <w:hideMark/>
          </w:tcPr>
          <w:p w14:paraId="27434292" w14:textId="77777777" w:rsidR="006B1B2E" w:rsidRPr="0086073F" w:rsidRDefault="006B1B2E" w:rsidP="004D1B3C">
            <w:pPr>
              <w:spacing w:after="0" w:line="480" w:lineRule="auto"/>
              <w:jc w:val="center"/>
              <w:rPr>
                <w:rFonts w:ascii="Times New Roman" w:eastAsia="Times New Roman" w:hAnsi="Times New Roman" w:cs="Times New Roman"/>
                <w:color w:val="000000"/>
                <w:sz w:val="20"/>
                <w:szCs w:val="20"/>
                <w:lang w:eastAsia="en-GB"/>
              </w:rPr>
            </w:pPr>
          </w:p>
        </w:tc>
        <w:tc>
          <w:tcPr>
            <w:tcW w:w="1007" w:type="dxa"/>
            <w:tcBorders>
              <w:top w:val="nil"/>
              <w:left w:val="nil"/>
              <w:bottom w:val="nil"/>
              <w:right w:val="nil"/>
            </w:tcBorders>
            <w:shd w:val="clear" w:color="auto" w:fill="auto"/>
            <w:noWrap/>
            <w:vAlign w:val="bottom"/>
            <w:hideMark/>
          </w:tcPr>
          <w:p w14:paraId="5A5DB16E" w14:textId="77777777" w:rsidR="006B1B2E" w:rsidRPr="0086073F" w:rsidRDefault="006B1B2E" w:rsidP="004D1B3C">
            <w:pPr>
              <w:spacing w:after="0" w:line="480" w:lineRule="auto"/>
              <w:jc w:val="center"/>
              <w:rPr>
                <w:rFonts w:ascii="Times New Roman" w:eastAsia="Times New Roman" w:hAnsi="Times New Roman" w:cs="Times New Roman"/>
                <w:color w:val="000000"/>
                <w:sz w:val="20"/>
                <w:szCs w:val="20"/>
                <w:lang w:eastAsia="en-GB"/>
              </w:rPr>
            </w:pPr>
          </w:p>
        </w:tc>
      </w:tr>
      <w:tr w:rsidR="006B1B2E" w:rsidRPr="00280B9D" w14:paraId="4B42E248" w14:textId="77777777" w:rsidTr="00CE77D8">
        <w:trPr>
          <w:trHeight w:val="259"/>
        </w:trPr>
        <w:tc>
          <w:tcPr>
            <w:tcW w:w="3525" w:type="dxa"/>
            <w:tcBorders>
              <w:top w:val="nil"/>
              <w:left w:val="nil"/>
              <w:right w:val="nil"/>
            </w:tcBorders>
            <w:shd w:val="clear" w:color="auto" w:fill="auto"/>
            <w:noWrap/>
            <w:vAlign w:val="center"/>
            <w:hideMark/>
          </w:tcPr>
          <w:p w14:paraId="0029A791"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 xml:space="preserve"> HDL cholesterol (mmol/l) </w:t>
            </w:r>
          </w:p>
        </w:tc>
        <w:tc>
          <w:tcPr>
            <w:tcW w:w="2206" w:type="dxa"/>
            <w:tcBorders>
              <w:top w:val="nil"/>
              <w:left w:val="nil"/>
              <w:right w:val="nil"/>
            </w:tcBorders>
            <w:shd w:val="clear" w:color="auto" w:fill="auto"/>
            <w:noWrap/>
            <w:vAlign w:val="center"/>
            <w:hideMark/>
          </w:tcPr>
          <w:p w14:paraId="590E22AB" w14:textId="46A037E7" w:rsidR="006B1B2E" w:rsidRPr="0086073F" w:rsidRDefault="00974DB9" w:rsidP="003D0C81">
            <w:pPr>
              <w:spacing w:after="0" w:line="360" w:lineRule="auto"/>
              <w:jc w:val="center"/>
              <w:rPr>
                <w:rFonts w:ascii="Times New Roman" w:eastAsia="Times New Roman" w:hAnsi="Times New Roman" w:cs="Times New Roman"/>
                <w:bCs/>
                <w:color w:val="000000"/>
                <w:sz w:val="20"/>
                <w:szCs w:val="20"/>
                <w:lang w:eastAsia="en-GB"/>
              </w:rPr>
            </w:pPr>
            <w:r>
              <w:rPr>
                <w:rFonts w:ascii="Times New Roman" w:eastAsia="Times New Roman" w:hAnsi="Times New Roman" w:cs="Times New Roman"/>
                <w:b/>
                <w:bCs/>
                <w:color w:val="000000"/>
                <w:sz w:val="20"/>
                <w:szCs w:val="20"/>
                <w:lang w:eastAsia="en-GB"/>
              </w:rPr>
              <w:t>N</w:t>
            </w:r>
            <w:r w:rsidR="006B1B2E" w:rsidRPr="00710A04">
              <w:rPr>
                <w:rFonts w:ascii="Times New Roman" w:eastAsia="Times New Roman" w:hAnsi="Times New Roman" w:cs="Times New Roman"/>
                <w:b/>
                <w:bCs/>
                <w:color w:val="000000"/>
                <w:sz w:val="20"/>
                <w:szCs w:val="20"/>
                <w:lang w:eastAsia="en-GB"/>
              </w:rPr>
              <w:t>umber</w:t>
            </w:r>
            <w:r w:rsidR="006B1B2E" w:rsidRPr="0086073F">
              <w:rPr>
                <w:rFonts w:ascii="Times New Roman" w:eastAsia="Times New Roman" w:hAnsi="Times New Roman" w:cs="Times New Roman"/>
                <w:bCs/>
                <w:color w:val="000000"/>
                <w:sz w:val="20"/>
                <w:szCs w:val="20"/>
                <w:lang w:eastAsia="en-GB"/>
              </w:rPr>
              <w:t xml:space="preserve"> (%)</w:t>
            </w:r>
          </w:p>
        </w:tc>
        <w:tc>
          <w:tcPr>
            <w:tcW w:w="1512" w:type="dxa"/>
            <w:tcBorders>
              <w:top w:val="nil"/>
              <w:left w:val="nil"/>
              <w:right w:val="nil"/>
            </w:tcBorders>
            <w:shd w:val="clear" w:color="auto" w:fill="auto"/>
            <w:noWrap/>
            <w:vAlign w:val="center"/>
            <w:hideMark/>
          </w:tcPr>
          <w:p w14:paraId="0E54CE6C" w14:textId="49EBCB81" w:rsidR="006B1B2E" w:rsidRPr="0086073F" w:rsidRDefault="00974DB9" w:rsidP="003D0C81">
            <w:pPr>
              <w:spacing w:after="0" w:line="360" w:lineRule="auto"/>
              <w:jc w:val="center"/>
              <w:rPr>
                <w:rFonts w:ascii="Times New Roman" w:eastAsia="Times New Roman" w:hAnsi="Times New Roman" w:cs="Times New Roman"/>
                <w:bCs/>
                <w:color w:val="000000"/>
                <w:sz w:val="20"/>
                <w:szCs w:val="20"/>
                <w:lang w:eastAsia="en-GB"/>
              </w:rPr>
            </w:pPr>
            <w:r>
              <w:rPr>
                <w:rFonts w:ascii="Times New Roman" w:eastAsia="Times New Roman" w:hAnsi="Times New Roman" w:cs="Times New Roman"/>
                <w:b/>
                <w:bCs/>
                <w:color w:val="000000"/>
                <w:sz w:val="20"/>
                <w:szCs w:val="20"/>
                <w:lang w:eastAsia="en-GB"/>
              </w:rPr>
              <w:t>N</w:t>
            </w:r>
            <w:r w:rsidR="006B1B2E" w:rsidRPr="00710A04">
              <w:rPr>
                <w:rFonts w:ascii="Times New Roman" w:eastAsia="Times New Roman" w:hAnsi="Times New Roman" w:cs="Times New Roman"/>
                <w:b/>
                <w:bCs/>
                <w:color w:val="000000"/>
                <w:sz w:val="20"/>
                <w:szCs w:val="20"/>
                <w:lang w:eastAsia="en-GB"/>
              </w:rPr>
              <w:t>umber</w:t>
            </w:r>
            <w:r w:rsidR="006B1B2E" w:rsidRPr="0086073F">
              <w:rPr>
                <w:rFonts w:ascii="Times New Roman" w:eastAsia="Times New Roman" w:hAnsi="Times New Roman" w:cs="Times New Roman"/>
                <w:bCs/>
                <w:color w:val="000000"/>
                <w:sz w:val="20"/>
                <w:szCs w:val="20"/>
                <w:lang w:eastAsia="en-GB"/>
              </w:rPr>
              <w:t xml:space="preserve"> (%)</w:t>
            </w:r>
          </w:p>
        </w:tc>
        <w:tc>
          <w:tcPr>
            <w:tcW w:w="1007" w:type="dxa"/>
            <w:tcBorders>
              <w:top w:val="nil"/>
              <w:left w:val="nil"/>
              <w:right w:val="nil"/>
            </w:tcBorders>
            <w:shd w:val="clear" w:color="auto" w:fill="auto"/>
            <w:noWrap/>
            <w:vAlign w:val="center"/>
            <w:hideMark/>
          </w:tcPr>
          <w:p w14:paraId="667FADFE"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p>
        </w:tc>
      </w:tr>
      <w:tr w:rsidR="006B1B2E" w:rsidRPr="00280B9D" w14:paraId="32569C02" w14:textId="77777777" w:rsidTr="00CE77D8">
        <w:trPr>
          <w:trHeight w:val="259"/>
        </w:trPr>
        <w:tc>
          <w:tcPr>
            <w:tcW w:w="3525" w:type="dxa"/>
            <w:tcBorders>
              <w:top w:val="nil"/>
              <w:left w:val="nil"/>
              <w:bottom w:val="single" w:sz="12" w:space="0" w:color="auto"/>
              <w:right w:val="nil"/>
            </w:tcBorders>
            <w:shd w:val="clear" w:color="auto" w:fill="auto"/>
            <w:noWrap/>
            <w:vAlign w:val="bottom"/>
            <w:hideMark/>
          </w:tcPr>
          <w:p w14:paraId="5FEFCB68" w14:textId="77777777" w:rsidR="006B1B2E" w:rsidRPr="0009257C" w:rsidRDefault="006B1B2E" w:rsidP="003D0C81">
            <w:pPr>
              <w:spacing w:after="0" w:line="360" w:lineRule="auto"/>
              <w:rPr>
                <w:rFonts w:ascii="Times New Roman" w:eastAsia="Times New Roman" w:hAnsi="Times New Roman" w:cs="Times New Roman"/>
                <w:color w:val="000000"/>
                <w:sz w:val="20"/>
                <w:szCs w:val="20"/>
                <w:lang w:eastAsia="en-GB"/>
              </w:rPr>
            </w:pPr>
            <w:r w:rsidRPr="0009257C">
              <w:rPr>
                <w:rFonts w:ascii="Times New Roman" w:eastAsia="Times New Roman" w:hAnsi="Times New Roman" w:cs="Times New Roman"/>
                <w:color w:val="000000"/>
                <w:sz w:val="20"/>
                <w:szCs w:val="20"/>
                <w:lang w:eastAsia="en-GB"/>
              </w:rPr>
              <w:t>&gt;1.5</w:t>
            </w:r>
          </w:p>
        </w:tc>
        <w:tc>
          <w:tcPr>
            <w:tcW w:w="2206" w:type="dxa"/>
            <w:tcBorders>
              <w:top w:val="nil"/>
              <w:left w:val="nil"/>
              <w:bottom w:val="single" w:sz="12" w:space="0" w:color="auto"/>
              <w:right w:val="nil"/>
            </w:tcBorders>
            <w:shd w:val="clear" w:color="auto" w:fill="auto"/>
            <w:noWrap/>
            <w:vAlign w:val="bottom"/>
            <w:hideMark/>
          </w:tcPr>
          <w:p w14:paraId="0D5B3A2A"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344 (51.3)</w:t>
            </w:r>
          </w:p>
        </w:tc>
        <w:tc>
          <w:tcPr>
            <w:tcW w:w="1512" w:type="dxa"/>
            <w:tcBorders>
              <w:top w:val="nil"/>
              <w:left w:val="nil"/>
              <w:bottom w:val="single" w:sz="12" w:space="0" w:color="auto"/>
              <w:right w:val="nil"/>
            </w:tcBorders>
            <w:shd w:val="clear" w:color="auto" w:fill="auto"/>
            <w:noWrap/>
            <w:vAlign w:val="bottom"/>
            <w:hideMark/>
          </w:tcPr>
          <w:p w14:paraId="7FD30784"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112 (40.9)</w:t>
            </w:r>
          </w:p>
        </w:tc>
        <w:tc>
          <w:tcPr>
            <w:tcW w:w="1007" w:type="dxa"/>
            <w:tcBorders>
              <w:top w:val="nil"/>
              <w:left w:val="nil"/>
              <w:bottom w:val="single" w:sz="12" w:space="0" w:color="auto"/>
              <w:right w:val="nil"/>
            </w:tcBorders>
            <w:shd w:val="clear" w:color="auto" w:fill="auto"/>
            <w:noWrap/>
            <w:vAlign w:val="bottom"/>
            <w:hideMark/>
          </w:tcPr>
          <w:p w14:paraId="5DD43DE0" w14:textId="77777777" w:rsidR="006B1B2E" w:rsidRPr="0086073F" w:rsidRDefault="006B1B2E" w:rsidP="003D0C81">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0.003</w:t>
            </w:r>
          </w:p>
        </w:tc>
      </w:tr>
    </w:tbl>
    <w:p w14:paraId="3FABC634" w14:textId="019C0740" w:rsidR="006B1B2E" w:rsidRPr="00BA01F8" w:rsidRDefault="006B1B2E" w:rsidP="006B1B2E">
      <w:pPr>
        <w:spacing w:after="0"/>
        <w:jc w:val="both"/>
        <w:rPr>
          <w:rFonts w:ascii="Times New Roman" w:hAnsi="Times New Roman" w:cs="Times New Roman"/>
          <w:sz w:val="20"/>
          <w:szCs w:val="20"/>
        </w:rPr>
      </w:pPr>
      <w:r w:rsidRPr="00BA01F8">
        <w:rPr>
          <w:rFonts w:ascii="Times New Roman" w:hAnsi="Times New Roman" w:cs="Times New Roman"/>
          <w:sz w:val="20"/>
          <w:szCs w:val="20"/>
        </w:rPr>
        <w:t xml:space="preserve">GDM – </w:t>
      </w:r>
      <w:r w:rsidR="00974DB9">
        <w:rPr>
          <w:rFonts w:ascii="Times New Roman" w:hAnsi="Times New Roman" w:cs="Times New Roman"/>
          <w:sz w:val="20"/>
          <w:szCs w:val="20"/>
        </w:rPr>
        <w:t>g</w:t>
      </w:r>
      <w:r w:rsidRPr="00BA01F8">
        <w:rPr>
          <w:rFonts w:ascii="Times New Roman" w:hAnsi="Times New Roman" w:cs="Times New Roman"/>
          <w:sz w:val="20"/>
          <w:szCs w:val="20"/>
        </w:rPr>
        <w:t xml:space="preserve">estational </w:t>
      </w:r>
      <w:r w:rsidR="00974DB9">
        <w:rPr>
          <w:rFonts w:ascii="Times New Roman" w:hAnsi="Times New Roman" w:cs="Times New Roman"/>
          <w:sz w:val="20"/>
          <w:szCs w:val="20"/>
        </w:rPr>
        <w:t>d</w:t>
      </w:r>
      <w:r w:rsidRPr="00BA01F8">
        <w:rPr>
          <w:rFonts w:ascii="Times New Roman" w:hAnsi="Times New Roman" w:cs="Times New Roman"/>
          <w:sz w:val="20"/>
          <w:szCs w:val="20"/>
        </w:rPr>
        <w:t xml:space="preserve">iabetes, t-PA antigen – tissue plasminogen activator antigen, LDL – low density lipoprotein, </w:t>
      </w:r>
      <w:r>
        <w:rPr>
          <w:rFonts w:ascii="Times New Roman" w:hAnsi="Times New Roman" w:cs="Times New Roman"/>
          <w:sz w:val="20"/>
          <w:szCs w:val="20"/>
        </w:rPr>
        <w:t>SHBG – sex hormone binding globulin</w:t>
      </w:r>
      <w:r w:rsidRPr="00BA01F8">
        <w:rPr>
          <w:rFonts w:ascii="Times New Roman" w:hAnsi="Times New Roman" w:cs="Times New Roman"/>
          <w:sz w:val="20"/>
          <w:szCs w:val="20"/>
        </w:rPr>
        <w:t xml:space="preserve">, HbA1c – </w:t>
      </w:r>
      <w:r w:rsidR="00974DB9">
        <w:rPr>
          <w:rFonts w:ascii="Times New Roman" w:hAnsi="Times New Roman" w:cs="Times New Roman"/>
          <w:sz w:val="20"/>
          <w:szCs w:val="20"/>
        </w:rPr>
        <w:t>h</w:t>
      </w:r>
      <w:r w:rsidRPr="00BA01F8">
        <w:rPr>
          <w:rFonts w:ascii="Times New Roman" w:hAnsi="Times New Roman" w:cs="Times New Roman"/>
          <w:sz w:val="20"/>
          <w:szCs w:val="20"/>
        </w:rPr>
        <w:t>aemoglobin A1c, hs-CRP – high sensitivity C-</w:t>
      </w:r>
      <w:r w:rsidR="00974DB9">
        <w:rPr>
          <w:rFonts w:ascii="Times New Roman" w:hAnsi="Times New Roman" w:cs="Times New Roman"/>
          <w:sz w:val="20"/>
          <w:szCs w:val="20"/>
        </w:rPr>
        <w:t>r</w:t>
      </w:r>
      <w:r w:rsidRPr="00BA01F8">
        <w:rPr>
          <w:rFonts w:ascii="Times New Roman" w:hAnsi="Times New Roman" w:cs="Times New Roman"/>
          <w:sz w:val="20"/>
          <w:szCs w:val="20"/>
        </w:rPr>
        <w:t xml:space="preserve">eactive </w:t>
      </w:r>
      <w:r w:rsidR="00974DB9">
        <w:rPr>
          <w:rFonts w:ascii="Times New Roman" w:hAnsi="Times New Roman" w:cs="Times New Roman"/>
          <w:sz w:val="20"/>
          <w:szCs w:val="20"/>
        </w:rPr>
        <w:t>p</w:t>
      </w:r>
      <w:r w:rsidRPr="00BA01F8">
        <w:rPr>
          <w:rFonts w:ascii="Times New Roman" w:hAnsi="Times New Roman" w:cs="Times New Roman"/>
          <w:sz w:val="20"/>
          <w:szCs w:val="20"/>
        </w:rPr>
        <w:t xml:space="preserve">rotein, gGT – gamma-glutamyl transferase, ALT – </w:t>
      </w:r>
      <w:r w:rsidR="00974DB9">
        <w:rPr>
          <w:rFonts w:ascii="Times New Roman" w:hAnsi="Times New Roman" w:cs="Times New Roman"/>
          <w:sz w:val="20"/>
          <w:szCs w:val="20"/>
        </w:rPr>
        <w:t>a</w:t>
      </w:r>
      <w:r w:rsidRPr="00BA01F8">
        <w:rPr>
          <w:rFonts w:ascii="Times New Roman" w:hAnsi="Times New Roman" w:cs="Times New Roman"/>
          <w:sz w:val="20"/>
          <w:szCs w:val="20"/>
        </w:rPr>
        <w:t xml:space="preserve">lanine </w:t>
      </w:r>
      <w:r w:rsidR="00974DB9">
        <w:rPr>
          <w:rFonts w:ascii="Times New Roman" w:hAnsi="Times New Roman" w:cs="Times New Roman"/>
          <w:sz w:val="20"/>
          <w:szCs w:val="20"/>
        </w:rPr>
        <w:t>a</w:t>
      </w:r>
      <w:r w:rsidRPr="00BA01F8">
        <w:rPr>
          <w:rFonts w:ascii="Times New Roman" w:hAnsi="Times New Roman" w:cs="Times New Roman"/>
          <w:sz w:val="20"/>
          <w:szCs w:val="20"/>
        </w:rPr>
        <w:t xml:space="preserve">minotransferase, AST – </w:t>
      </w:r>
      <w:r w:rsidR="00974DB9">
        <w:rPr>
          <w:rFonts w:ascii="Times New Roman" w:hAnsi="Times New Roman" w:cs="Times New Roman"/>
          <w:sz w:val="20"/>
          <w:szCs w:val="20"/>
        </w:rPr>
        <w:t>a</w:t>
      </w:r>
      <w:r w:rsidRPr="00BA01F8">
        <w:rPr>
          <w:rFonts w:ascii="Times New Roman" w:hAnsi="Times New Roman" w:cs="Times New Roman"/>
          <w:sz w:val="20"/>
          <w:szCs w:val="20"/>
        </w:rPr>
        <w:t xml:space="preserve">spartate </w:t>
      </w:r>
      <w:r w:rsidR="00974DB9">
        <w:rPr>
          <w:rFonts w:ascii="Times New Roman" w:hAnsi="Times New Roman" w:cs="Times New Roman"/>
          <w:sz w:val="20"/>
          <w:szCs w:val="20"/>
        </w:rPr>
        <w:t>a</w:t>
      </w:r>
      <w:r w:rsidRPr="00BA01F8">
        <w:rPr>
          <w:rFonts w:ascii="Times New Roman" w:hAnsi="Times New Roman" w:cs="Times New Roman"/>
          <w:sz w:val="20"/>
          <w:szCs w:val="20"/>
        </w:rPr>
        <w:t xml:space="preserve">minotransferase, IL-6 – </w:t>
      </w:r>
      <w:r w:rsidR="00974DB9">
        <w:rPr>
          <w:rFonts w:ascii="Times New Roman" w:hAnsi="Times New Roman" w:cs="Times New Roman"/>
          <w:sz w:val="20"/>
          <w:szCs w:val="20"/>
        </w:rPr>
        <w:t>i</w:t>
      </w:r>
      <w:r w:rsidRPr="00BA01F8">
        <w:rPr>
          <w:rFonts w:ascii="Times New Roman" w:hAnsi="Times New Roman" w:cs="Times New Roman"/>
          <w:sz w:val="20"/>
          <w:szCs w:val="20"/>
        </w:rPr>
        <w:t xml:space="preserve">nterleukin-6, hPL - </w:t>
      </w:r>
      <w:r w:rsidR="00974DB9">
        <w:rPr>
          <w:rFonts w:ascii="Times New Roman" w:hAnsi="Times New Roman" w:cs="Times New Roman"/>
          <w:sz w:val="20"/>
          <w:szCs w:val="20"/>
        </w:rPr>
        <w:t>h</w:t>
      </w:r>
      <w:r w:rsidRPr="00BA01F8">
        <w:rPr>
          <w:rFonts w:ascii="Times New Roman" w:hAnsi="Times New Roman" w:cs="Times New Roman"/>
          <w:sz w:val="20"/>
          <w:szCs w:val="20"/>
        </w:rPr>
        <w:t xml:space="preserve">uman </w:t>
      </w:r>
      <w:r w:rsidR="00974DB9">
        <w:rPr>
          <w:rFonts w:ascii="Times New Roman" w:hAnsi="Times New Roman" w:cs="Times New Roman"/>
          <w:sz w:val="20"/>
          <w:szCs w:val="20"/>
        </w:rPr>
        <w:t>p</w:t>
      </w:r>
      <w:r w:rsidRPr="00BA01F8">
        <w:rPr>
          <w:rFonts w:ascii="Times New Roman" w:hAnsi="Times New Roman" w:cs="Times New Roman"/>
          <w:sz w:val="20"/>
          <w:szCs w:val="20"/>
        </w:rPr>
        <w:t xml:space="preserve">lacental </w:t>
      </w:r>
      <w:r w:rsidR="00974DB9">
        <w:rPr>
          <w:rFonts w:ascii="Times New Roman" w:hAnsi="Times New Roman" w:cs="Times New Roman"/>
          <w:sz w:val="20"/>
          <w:szCs w:val="20"/>
        </w:rPr>
        <w:t>l</w:t>
      </w:r>
      <w:r w:rsidRPr="00BA01F8">
        <w:rPr>
          <w:rFonts w:ascii="Times New Roman" w:hAnsi="Times New Roman" w:cs="Times New Roman"/>
          <w:sz w:val="20"/>
          <w:szCs w:val="20"/>
        </w:rPr>
        <w:t>actogen</w:t>
      </w:r>
      <w:r>
        <w:rPr>
          <w:rFonts w:ascii="Times New Roman" w:hAnsi="Times New Roman" w:cs="Times New Roman"/>
          <w:sz w:val="20"/>
          <w:szCs w:val="20"/>
        </w:rPr>
        <w:t>,</w:t>
      </w:r>
      <w:r w:rsidRPr="005F3E6E">
        <w:rPr>
          <w:rFonts w:ascii="Times New Roman" w:hAnsi="Times New Roman" w:cs="Times New Roman"/>
          <w:sz w:val="20"/>
          <w:szCs w:val="20"/>
        </w:rPr>
        <w:t xml:space="preserve"> </w:t>
      </w:r>
      <w:r w:rsidRPr="00BA01F8">
        <w:rPr>
          <w:rFonts w:ascii="Times New Roman" w:hAnsi="Times New Roman" w:cs="Times New Roman"/>
          <w:sz w:val="20"/>
          <w:szCs w:val="20"/>
        </w:rPr>
        <w:t xml:space="preserve">HDL – high density lipoprotein.   </w:t>
      </w:r>
    </w:p>
    <w:p w14:paraId="3BDF8BB0" w14:textId="3557E249" w:rsidR="006B1B2E" w:rsidRPr="00BA01F8" w:rsidRDefault="006B1B2E" w:rsidP="006B1B2E">
      <w:pPr>
        <w:spacing w:after="0"/>
        <w:jc w:val="both"/>
        <w:rPr>
          <w:rFonts w:ascii="Times New Roman" w:hAnsi="Times New Roman" w:cs="Times New Roman"/>
          <w:sz w:val="20"/>
          <w:szCs w:val="20"/>
        </w:rPr>
      </w:pPr>
      <w:r>
        <w:rPr>
          <w:rFonts w:ascii="Times New Roman" w:hAnsi="Times New Roman" w:cs="Times New Roman"/>
          <w:sz w:val="20"/>
          <w:szCs w:val="20"/>
          <w:vertAlign w:val="superscript"/>
        </w:rPr>
        <w:t>a</w:t>
      </w:r>
      <w:r w:rsidRPr="00BA01F8">
        <w:rPr>
          <w:rFonts w:ascii="Times New Roman" w:hAnsi="Times New Roman" w:cs="Times New Roman"/>
          <w:sz w:val="20"/>
          <w:szCs w:val="20"/>
        </w:rPr>
        <w:t xml:space="preserve"> all biomarkers had missing values: tPA antigen (n=11)</w:t>
      </w:r>
      <w:r>
        <w:rPr>
          <w:rFonts w:ascii="Times New Roman" w:hAnsi="Times New Roman" w:cs="Times New Roman"/>
          <w:sz w:val="20"/>
          <w:szCs w:val="20"/>
        </w:rPr>
        <w:t>,</w:t>
      </w:r>
      <w:r w:rsidRPr="00BA01F8">
        <w:rPr>
          <w:rFonts w:ascii="Times New Roman" w:hAnsi="Times New Roman" w:cs="Times New Roman"/>
          <w:sz w:val="20"/>
          <w:szCs w:val="20"/>
        </w:rPr>
        <w:t xml:space="preserve"> </w:t>
      </w:r>
      <w:r w:rsidR="00CD668A">
        <w:rPr>
          <w:rFonts w:ascii="Times New Roman" w:hAnsi="Times New Roman" w:cs="Times New Roman"/>
          <w:sz w:val="20"/>
          <w:szCs w:val="20"/>
        </w:rPr>
        <w:t>t</w:t>
      </w:r>
      <w:r w:rsidRPr="00BA01F8">
        <w:rPr>
          <w:rFonts w:ascii="Times New Roman" w:hAnsi="Times New Roman" w:cs="Times New Roman"/>
          <w:sz w:val="20"/>
          <w:szCs w:val="20"/>
        </w:rPr>
        <w:t xml:space="preserve">otal cholesterol (n=6), LDL and HDL cholesterol (n=9), </w:t>
      </w:r>
      <w:r w:rsidR="00CD668A">
        <w:rPr>
          <w:rFonts w:ascii="Times New Roman" w:hAnsi="Times New Roman" w:cs="Times New Roman"/>
          <w:sz w:val="20"/>
          <w:szCs w:val="20"/>
        </w:rPr>
        <w:t>g</w:t>
      </w:r>
      <w:r w:rsidRPr="00BA01F8">
        <w:rPr>
          <w:rFonts w:ascii="Times New Roman" w:hAnsi="Times New Roman" w:cs="Times New Roman"/>
          <w:sz w:val="20"/>
          <w:szCs w:val="20"/>
        </w:rPr>
        <w:t xml:space="preserve">lucose (n=20), </w:t>
      </w:r>
      <w:r w:rsidR="00CD668A">
        <w:rPr>
          <w:rFonts w:ascii="Times New Roman" w:hAnsi="Times New Roman" w:cs="Times New Roman"/>
          <w:sz w:val="20"/>
          <w:szCs w:val="20"/>
        </w:rPr>
        <w:t>f</w:t>
      </w:r>
      <w:r w:rsidRPr="00BA01F8">
        <w:rPr>
          <w:rFonts w:ascii="Times New Roman" w:hAnsi="Times New Roman" w:cs="Times New Roman"/>
          <w:sz w:val="20"/>
          <w:szCs w:val="20"/>
        </w:rPr>
        <w:t xml:space="preserve">ructosamine (n=13), </w:t>
      </w:r>
      <w:r>
        <w:rPr>
          <w:rFonts w:ascii="Times New Roman" w:hAnsi="Times New Roman" w:cs="Times New Roman"/>
          <w:sz w:val="20"/>
          <w:szCs w:val="20"/>
        </w:rPr>
        <w:t>S</w:t>
      </w:r>
      <w:r w:rsidRPr="00BA01F8">
        <w:rPr>
          <w:rFonts w:ascii="Times New Roman" w:hAnsi="Times New Roman" w:cs="Times New Roman"/>
          <w:sz w:val="20"/>
          <w:szCs w:val="20"/>
        </w:rPr>
        <w:t xml:space="preserve">HBG (n=18), HbA1c (n=75), </w:t>
      </w:r>
      <w:r w:rsidR="00CD668A">
        <w:rPr>
          <w:rFonts w:ascii="Times New Roman" w:hAnsi="Times New Roman" w:cs="Times New Roman"/>
          <w:sz w:val="20"/>
          <w:szCs w:val="20"/>
        </w:rPr>
        <w:t>i</w:t>
      </w:r>
      <w:r w:rsidRPr="00BA01F8">
        <w:rPr>
          <w:rFonts w:ascii="Times New Roman" w:hAnsi="Times New Roman" w:cs="Times New Roman"/>
          <w:sz w:val="20"/>
          <w:szCs w:val="20"/>
        </w:rPr>
        <w:t>nsulin (n=6), C</w:t>
      </w:r>
      <w:r w:rsidR="00F108D2">
        <w:rPr>
          <w:rFonts w:ascii="Times New Roman" w:hAnsi="Times New Roman" w:cs="Times New Roman"/>
          <w:sz w:val="20"/>
          <w:szCs w:val="20"/>
        </w:rPr>
        <w:t>-</w:t>
      </w:r>
      <w:r w:rsidRPr="00BA01F8">
        <w:rPr>
          <w:rFonts w:ascii="Times New Roman" w:hAnsi="Times New Roman" w:cs="Times New Roman"/>
          <w:sz w:val="20"/>
          <w:szCs w:val="20"/>
        </w:rPr>
        <w:t xml:space="preserve">peptide (n=17), hs-CRP (n=9), gGT (n=9), ALT (n=7), AST (n=8), </w:t>
      </w:r>
      <w:r w:rsidR="00CD668A">
        <w:rPr>
          <w:rFonts w:ascii="Times New Roman" w:hAnsi="Times New Roman" w:cs="Times New Roman"/>
          <w:sz w:val="20"/>
          <w:szCs w:val="20"/>
        </w:rPr>
        <w:t>t</w:t>
      </w:r>
      <w:r w:rsidRPr="00BA01F8">
        <w:rPr>
          <w:rFonts w:ascii="Times New Roman" w:hAnsi="Times New Roman" w:cs="Times New Roman"/>
          <w:sz w:val="20"/>
          <w:szCs w:val="20"/>
        </w:rPr>
        <w:t xml:space="preserve">riglycerides (n=9), </w:t>
      </w:r>
      <w:r w:rsidR="00CD668A">
        <w:rPr>
          <w:rFonts w:ascii="Times New Roman" w:hAnsi="Times New Roman" w:cs="Times New Roman"/>
          <w:sz w:val="20"/>
          <w:szCs w:val="20"/>
        </w:rPr>
        <w:t>l</w:t>
      </w:r>
      <w:r w:rsidRPr="00BA01F8">
        <w:rPr>
          <w:rFonts w:ascii="Times New Roman" w:hAnsi="Times New Roman" w:cs="Times New Roman"/>
          <w:sz w:val="20"/>
          <w:szCs w:val="20"/>
        </w:rPr>
        <w:t xml:space="preserve">eptin (n=12), </w:t>
      </w:r>
      <w:r w:rsidR="00CD668A">
        <w:rPr>
          <w:rFonts w:ascii="Times New Roman" w:hAnsi="Times New Roman" w:cs="Times New Roman"/>
          <w:sz w:val="20"/>
          <w:szCs w:val="20"/>
        </w:rPr>
        <w:t>a</w:t>
      </w:r>
      <w:r w:rsidRPr="00BA01F8">
        <w:rPr>
          <w:rFonts w:ascii="Times New Roman" w:hAnsi="Times New Roman" w:cs="Times New Roman"/>
          <w:sz w:val="20"/>
          <w:szCs w:val="20"/>
        </w:rPr>
        <w:t>dipone</w:t>
      </w:r>
      <w:r>
        <w:rPr>
          <w:rFonts w:ascii="Times New Roman" w:hAnsi="Times New Roman" w:cs="Times New Roman"/>
          <w:sz w:val="20"/>
          <w:szCs w:val="20"/>
        </w:rPr>
        <w:t xml:space="preserve">ctin (n=12), </w:t>
      </w:r>
      <w:r w:rsidR="00CD668A">
        <w:rPr>
          <w:rFonts w:ascii="Times New Roman" w:hAnsi="Times New Roman" w:cs="Times New Roman"/>
          <w:sz w:val="20"/>
          <w:szCs w:val="20"/>
        </w:rPr>
        <w:t>f</w:t>
      </w:r>
      <w:r>
        <w:rPr>
          <w:rFonts w:ascii="Times New Roman" w:hAnsi="Times New Roman" w:cs="Times New Roman"/>
          <w:sz w:val="20"/>
          <w:szCs w:val="20"/>
        </w:rPr>
        <w:t>erritin (n=13), IL</w:t>
      </w:r>
      <w:r w:rsidRPr="00BA01F8">
        <w:rPr>
          <w:rFonts w:ascii="Times New Roman" w:hAnsi="Times New Roman" w:cs="Times New Roman"/>
          <w:sz w:val="20"/>
          <w:szCs w:val="20"/>
        </w:rPr>
        <w:t xml:space="preserve">-6 (n=11), </w:t>
      </w:r>
      <w:r w:rsidR="00974DB9">
        <w:rPr>
          <w:rFonts w:ascii="Times New Roman" w:hAnsi="Times New Roman" w:cs="Times New Roman"/>
          <w:sz w:val="20"/>
          <w:szCs w:val="20"/>
        </w:rPr>
        <w:t>v</w:t>
      </w:r>
      <w:r w:rsidRPr="00BA01F8">
        <w:rPr>
          <w:rFonts w:ascii="Times New Roman" w:hAnsi="Times New Roman" w:cs="Times New Roman"/>
          <w:sz w:val="20"/>
          <w:szCs w:val="20"/>
        </w:rPr>
        <w:t>itamin D (n=22), hPL (n=30), HDL</w:t>
      </w:r>
      <w:r w:rsidR="00974DB9">
        <w:rPr>
          <w:rFonts w:ascii="Times New Roman" w:hAnsi="Times New Roman" w:cs="Times New Roman"/>
          <w:sz w:val="20"/>
          <w:szCs w:val="20"/>
        </w:rPr>
        <w:t xml:space="preserve"> </w:t>
      </w:r>
      <w:r w:rsidRPr="00BA01F8">
        <w:rPr>
          <w:rFonts w:ascii="Times New Roman" w:hAnsi="Times New Roman" w:cs="Times New Roman"/>
          <w:sz w:val="20"/>
          <w:szCs w:val="20"/>
        </w:rPr>
        <w:t>cholesterol (n=9).</w:t>
      </w:r>
    </w:p>
    <w:p w14:paraId="09FEADC4" w14:textId="02C123B4" w:rsidR="006B1B2E" w:rsidRDefault="006B1B2E" w:rsidP="006B1B2E">
      <w:pPr>
        <w:pBdr>
          <w:top w:val="nil"/>
          <w:left w:val="nil"/>
          <w:bottom w:val="nil"/>
          <w:right w:val="nil"/>
          <w:between w:val="nil"/>
          <w:bar w:val="nil"/>
        </w:pBdr>
        <w:spacing w:after="0" w:line="240" w:lineRule="auto"/>
        <w:rPr>
          <w:rFonts w:ascii="Times New Roman" w:hAnsi="Times New Roman" w:cs="Times New Roman"/>
          <w:sz w:val="20"/>
          <w:szCs w:val="20"/>
        </w:rPr>
      </w:pPr>
      <w:r w:rsidRPr="00BA01F8">
        <w:rPr>
          <w:rFonts w:ascii="Times New Roman" w:hAnsi="Times New Roman" w:cs="Times New Roman"/>
          <w:sz w:val="20"/>
          <w:szCs w:val="20"/>
          <w:vertAlign w:val="superscript"/>
        </w:rPr>
        <w:lastRenderedPageBreak/>
        <w:t xml:space="preserve"> </w:t>
      </w:r>
      <w:r w:rsidRPr="00247AF1">
        <w:rPr>
          <w:rFonts w:ascii="Times New Roman" w:hAnsi="Times New Roman" w:cs="Times New Roman"/>
          <w:sz w:val="20"/>
          <w:szCs w:val="20"/>
          <w:vertAlign w:val="superscript"/>
        </w:rPr>
        <w:t>b</w:t>
      </w:r>
      <w:r>
        <w:rPr>
          <w:rFonts w:ascii="Times New Roman" w:hAnsi="Times New Roman" w:cs="Times New Roman"/>
          <w:sz w:val="20"/>
          <w:szCs w:val="20"/>
        </w:rPr>
        <w:t xml:space="preserve"> </w:t>
      </w:r>
      <w:r w:rsidRPr="00BA01F8">
        <w:rPr>
          <w:rFonts w:ascii="Times New Roman" w:hAnsi="Times New Roman" w:cs="Times New Roman"/>
          <w:sz w:val="20"/>
          <w:szCs w:val="20"/>
        </w:rPr>
        <w:t xml:space="preserve">p-value from </w:t>
      </w:r>
      <w:r w:rsidR="00F47100">
        <w:rPr>
          <w:rFonts w:ascii="Times New Roman" w:hAnsi="Times New Roman" w:cs="Times New Roman"/>
          <w:sz w:val="20"/>
          <w:szCs w:val="20"/>
        </w:rPr>
        <w:t>S</w:t>
      </w:r>
      <w:r w:rsidRPr="00BA01F8">
        <w:rPr>
          <w:rFonts w:ascii="Times New Roman" w:hAnsi="Times New Roman" w:cs="Times New Roman"/>
          <w:sz w:val="20"/>
          <w:szCs w:val="20"/>
        </w:rPr>
        <w:t xml:space="preserve">tudent’s </w:t>
      </w:r>
      <w:r w:rsidRPr="00AB32B2">
        <w:rPr>
          <w:rFonts w:ascii="Times New Roman" w:hAnsi="Times New Roman" w:cs="Times New Roman"/>
          <w:i/>
          <w:sz w:val="20"/>
          <w:szCs w:val="20"/>
        </w:rPr>
        <w:t>t</w:t>
      </w:r>
      <w:r w:rsidRPr="00BA01F8">
        <w:rPr>
          <w:rFonts w:ascii="Times New Roman" w:hAnsi="Times New Roman" w:cs="Times New Roman"/>
          <w:sz w:val="20"/>
          <w:szCs w:val="20"/>
        </w:rPr>
        <w:t xml:space="preserve"> test </w:t>
      </w:r>
      <w:r w:rsidRPr="009C3795">
        <w:rPr>
          <w:rFonts w:ascii="Times New Roman" w:hAnsi="Times New Roman" w:cs="Times New Roman"/>
          <w:sz w:val="20"/>
          <w:szCs w:val="20"/>
        </w:rPr>
        <w:t>or</w:t>
      </w:r>
      <w:r w:rsidRPr="00BA01F8">
        <w:rPr>
          <w:rFonts w:ascii="Times New Roman" w:hAnsi="Times New Roman" w:cs="Times New Roman"/>
          <w:sz w:val="20"/>
          <w:szCs w:val="20"/>
        </w:rPr>
        <w:t xml:space="preserve"> </w:t>
      </w:r>
      <w:r w:rsidR="009C3795">
        <w:rPr>
          <w:rFonts w:ascii="Times New Roman" w:hAnsi="Times New Roman" w:cs="Times New Roman"/>
          <w:sz w:val="20"/>
          <w:szCs w:val="20"/>
        </w:rPr>
        <w:t>chi-squared</w:t>
      </w:r>
      <w:r w:rsidRPr="00BA01F8">
        <w:rPr>
          <w:rFonts w:ascii="Times New Roman" w:hAnsi="Times New Roman" w:cs="Times New Roman"/>
          <w:sz w:val="20"/>
          <w:szCs w:val="20"/>
          <w:vertAlign w:val="superscript"/>
        </w:rPr>
        <w:t xml:space="preserve"> </w:t>
      </w:r>
      <w:r w:rsidRPr="00BA01F8">
        <w:rPr>
          <w:rFonts w:ascii="Times New Roman" w:hAnsi="Times New Roman" w:cs="Times New Roman"/>
          <w:sz w:val="20"/>
          <w:szCs w:val="20"/>
        </w:rPr>
        <w:t>test.</w:t>
      </w:r>
    </w:p>
    <w:p w14:paraId="0A5CEEFB" w14:textId="77777777" w:rsidR="006B1B2E" w:rsidRPr="00BA01F8" w:rsidRDefault="006B1B2E" w:rsidP="006B1B2E">
      <w:pPr>
        <w:jc w:val="both"/>
        <w:rPr>
          <w:rFonts w:ascii="Times New Roman" w:hAnsi="Times New Roman" w:cs="Times New Roman"/>
          <w:sz w:val="20"/>
          <w:szCs w:val="20"/>
        </w:rPr>
      </w:pPr>
      <w:r w:rsidRPr="00247AF1">
        <w:rPr>
          <w:rFonts w:ascii="Times New Roman" w:hAnsi="Times New Roman" w:cs="Times New Roman"/>
          <w:color w:val="312A2A"/>
          <w:sz w:val="20"/>
          <w:szCs w:val="20"/>
          <w:vertAlign w:val="superscript"/>
          <w:lang w:val="en-US"/>
        </w:rPr>
        <w:t>c</w:t>
      </w:r>
      <w:r w:rsidRPr="00BA01F8">
        <w:rPr>
          <w:rFonts w:ascii="Times New Roman" w:hAnsi="Times New Roman" w:cs="Times New Roman"/>
          <w:sz w:val="20"/>
          <w:szCs w:val="20"/>
          <w:vertAlign w:val="superscript"/>
        </w:rPr>
        <w:t xml:space="preserve"> </w:t>
      </w:r>
      <w:r w:rsidRPr="00BA01F8">
        <w:rPr>
          <w:rFonts w:ascii="Times New Roman" w:hAnsi="Times New Roman" w:cs="Times New Roman"/>
          <w:sz w:val="20"/>
          <w:szCs w:val="20"/>
        </w:rPr>
        <w:t>Transformed to log base 2.</w:t>
      </w:r>
    </w:p>
    <w:p w14:paraId="470EDC75" w14:textId="77777777" w:rsidR="00D064A8" w:rsidRPr="00461751" w:rsidRDefault="00D064A8" w:rsidP="00C26BDF">
      <w:pPr>
        <w:spacing w:line="480" w:lineRule="auto"/>
        <w:jc w:val="both"/>
        <w:rPr>
          <w:rFonts w:ascii="Times New Roman" w:hAnsi="Times New Roman" w:cs="Times New Roman"/>
        </w:rPr>
      </w:pPr>
    </w:p>
    <w:p w14:paraId="14F453E0" w14:textId="73777805" w:rsidR="00784B70" w:rsidRPr="002F708B" w:rsidRDefault="00784B70" w:rsidP="002F708B">
      <w:pPr>
        <w:spacing w:line="480" w:lineRule="auto"/>
        <w:jc w:val="both"/>
        <w:rPr>
          <w:rFonts w:ascii="Times New Roman" w:hAnsi="Times New Roman" w:cs="Times New Roman"/>
        </w:rPr>
      </w:pPr>
      <w:r w:rsidRPr="002F708B">
        <w:rPr>
          <w:rFonts w:ascii="Times New Roman" w:hAnsi="Times New Roman" w:cs="Times New Roman"/>
        </w:rPr>
        <w:t>Models 1 (clinical factors), Model 2 (plus candidate biomarkers) and Model 3 (Model 2 plus metabolome) are shown in Table 3. A clinical tool including previous GDM, age, systolic BP, sum of maternal skinfold thicknesses and anthropometric ratios (waist:height and neck:thigh) showed good discrimination (</w:t>
      </w:r>
      <w:r w:rsidR="00F14842" w:rsidRPr="002F708B">
        <w:rPr>
          <w:rFonts w:ascii="Times New Roman" w:hAnsi="Times New Roman" w:cs="Times New Roman"/>
        </w:rPr>
        <w:t>AU</w:t>
      </w:r>
      <w:r w:rsidRPr="002F708B">
        <w:rPr>
          <w:rFonts w:ascii="Times New Roman" w:hAnsi="Times New Roman" w:cs="Times New Roman"/>
        </w:rPr>
        <w:t>C 0</w:t>
      </w:r>
      <w:r w:rsidR="000E7208" w:rsidRPr="002F708B">
        <w:rPr>
          <w:rFonts w:ascii="Times New Roman" w:hAnsi="Times New Roman" w:cs="Times New Roman"/>
        </w:rPr>
        <w:t>.</w:t>
      </w:r>
      <w:r w:rsidRPr="002F708B">
        <w:rPr>
          <w:rFonts w:ascii="Times New Roman" w:hAnsi="Times New Roman" w:cs="Times New Roman"/>
        </w:rPr>
        <w:t>71, 95% CI 0</w:t>
      </w:r>
      <w:r w:rsidR="000E7208" w:rsidRPr="002F708B">
        <w:rPr>
          <w:rFonts w:ascii="Times New Roman" w:hAnsi="Times New Roman" w:cs="Times New Roman"/>
        </w:rPr>
        <w:t>.</w:t>
      </w:r>
      <w:r w:rsidRPr="002F708B">
        <w:rPr>
          <w:rFonts w:ascii="Times New Roman" w:hAnsi="Times New Roman" w:cs="Times New Roman"/>
        </w:rPr>
        <w:t>68 - 0</w:t>
      </w:r>
      <w:r w:rsidR="000E7208" w:rsidRPr="002F708B">
        <w:rPr>
          <w:rFonts w:ascii="Times New Roman" w:hAnsi="Times New Roman" w:cs="Times New Roman"/>
        </w:rPr>
        <w:t>.</w:t>
      </w:r>
      <w:r w:rsidRPr="002F708B">
        <w:rPr>
          <w:rFonts w:ascii="Times New Roman" w:hAnsi="Times New Roman" w:cs="Times New Roman"/>
        </w:rPr>
        <w:t>74). This improved with addition of candidate biomarkers to 0</w:t>
      </w:r>
      <w:r w:rsidR="000E7208" w:rsidRPr="002F708B">
        <w:rPr>
          <w:rFonts w:ascii="Times New Roman" w:hAnsi="Times New Roman" w:cs="Times New Roman"/>
        </w:rPr>
        <w:t>.</w:t>
      </w:r>
      <w:r w:rsidRPr="002F708B">
        <w:rPr>
          <w:rFonts w:ascii="Times New Roman" w:hAnsi="Times New Roman" w:cs="Times New Roman"/>
        </w:rPr>
        <w:t>77 (95%</w:t>
      </w:r>
      <w:r w:rsidR="00F14842" w:rsidRPr="002F708B">
        <w:rPr>
          <w:rFonts w:ascii="Times New Roman" w:hAnsi="Times New Roman" w:cs="Times New Roman"/>
        </w:rPr>
        <w:t xml:space="preserve"> </w:t>
      </w:r>
      <w:r w:rsidRPr="002F708B">
        <w:rPr>
          <w:rFonts w:ascii="Times New Roman" w:hAnsi="Times New Roman" w:cs="Times New Roman"/>
        </w:rPr>
        <w:t>CI 0</w:t>
      </w:r>
      <w:r w:rsidR="000E7208" w:rsidRPr="002F708B">
        <w:rPr>
          <w:rFonts w:ascii="Times New Roman" w:hAnsi="Times New Roman" w:cs="Times New Roman"/>
        </w:rPr>
        <w:t>.</w:t>
      </w:r>
      <w:r w:rsidRPr="002F708B">
        <w:rPr>
          <w:rFonts w:ascii="Times New Roman" w:hAnsi="Times New Roman" w:cs="Times New Roman"/>
        </w:rPr>
        <w:t>73 - 0</w:t>
      </w:r>
      <w:r w:rsidR="000E7208" w:rsidRPr="002F708B">
        <w:rPr>
          <w:rFonts w:ascii="Times New Roman" w:hAnsi="Times New Roman" w:cs="Times New Roman"/>
        </w:rPr>
        <w:t>.</w:t>
      </w:r>
      <w:r w:rsidRPr="002F708B">
        <w:rPr>
          <w:rFonts w:ascii="Times New Roman" w:hAnsi="Times New Roman" w:cs="Times New Roman"/>
        </w:rPr>
        <w:t>80) (p &lt;0</w:t>
      </w:r>
      <w:r w:rsidR="000E7208" w:rsidRPr="002F708B">
        <w:rPr>
          <w:rFonts w:ascii="Times New Roman" w:hAnsi="Times New Roman" w:cs="Times New Roman"/>
        </w:rPr>
        <w:t>.</w:t>
      </w:r>
      <w:r w:rsidRPr="002F708B">
        <w:rPr>
          <w:rFonts w:ascii="Times New Roman" w:hAnsi="Times New Roman" w:cs="Times New Roman"/>
        </w:rPr>
        <w:t xml:space="preserve">001 </w:t>
      </w:r>
      <w:r w:rsidRPr="002F708B">
        <w:rPr>
          <w:rFonts w:ascii="Times New Roman" w:hAnsi="Times New Roman" w:cs="Times New Roman"/>
          <w:i/>
        </w:rPr>
        <w:t xml:space="preserve">vs </w:t>
      </w:r>
      <w:r w:rsidRPr="002F708B">
        <w:rPr>
          <w:rFonts w:ascii="Times New Roman" w:hAnsi="Times New Roman" w:cs="Times New Roman"/>
        </w:rPr>
        <w:t xml:space="preserve">Model 1). Candidate </w:t>
      </w:r>
      <w:r w:rsidR="002839E8" w:rsidRPr="002F708B">
        <w:rPr>
          <w:rFonts w:ascii="Times New Roman" w:hAnsi="Times New Roman" w:cs="Times New Roman"/>
        </w:rPr>
        <w:t>bio</w:t>
      </w:r>
      <w:r w:rsidRPr="002F708B">
        <w:rPr>
          <w:rFonts w:ascii="Times New Roman" w:hAnsi="Times New Roman" w:cs="Times New Roman"/>
        </w:rPr>
        <w:t xml:space="preserve">markers contributing to this model were HbA1c, glucose, fructosamine, triglycerides, adiponectin and SHBG. The </w:t>
      </w:r>
      <w:r w:rsidR="00CB173C" w:rsidRPr="002F708B">
        <w:rPr>
          <w:rFonts w:ascii="Times New Roman" w:hAnsi="Times New Roman" w:cs="Times New Roman"/>
        </w:rPr>
        <w:t>contribution of some clinical factors selected in Model 1 was</w:t>
      </w:r>
      <w:r w:rsidRPr="002F708B">
        <w:rPr>
          <w:rFonts w:ascii="Times New Roman" w:hAnsi="Times New Roman" w:cs="Times New Roman"/>
        </w:rPr>
        <w:t xml:space="preserve"> attenuated by addition of these biomarkers. The addition of the NMR metabolites (Model 3) did not improve upon the performance of Model 2 (AUC 0</w:t>
      </w:r>
      <w:r w:rsidR="000E7208" w:rsidRPr="002F708B">
        <w:rPr>
          <w:rFonts w:ascii="Times New Roman" w:hAnsi="Times New Roman" w:cs="Times New Roman"/>
        </w:rPr>
        <w:t>.</w:t>
      </w:r>
      <w:r w:rsidR="006D5C9B" w:rsidRPr="002F708B">
        <w:rPr>
          <w:rFonts w:ascii="Times New Roman" w:hAnsi="Times New Roman" w:cs="Times New Roman"/>
        </w:rPr>
        <w:t>77</w:t>
      </w:r>
      <w:r w:rsidRPr="002F708B">
        <w:rPr>
          <w:rFonts w:ascii="Times New Roman" w:hAnsi="Times New Roman" w:cs="Times New Roman"/>
        </w:rPr>
        <w:t>, 95% CI 0</w:t>
      </w:r>
      <w:r w:rsidR="000E7208" w:rsidRPr="002F708B">
        <w:rPr>
          <w:rFonts w:ascii="Times New Roman" w:hAnsi="Times New Roman" w:cs="Times New Roman"/>
        </w:rPr>
        <w:t>.</w:t>
      </w:r>
      <w:r w:rsidRPr="002F708B">
        <w:rPr>
          <w:rFonts w:ascii="Times New Roman" w:hAnsi="Times New Roman" w:cs="Times New Roman"/>
        </w:rPr>
        <w:t>74</w:t>
      </w:r>
      <w:r w:rsidR="00CD668A">
        <w:rPr>
          <w:rFonts w:ascii="Times New Roman" w:hAnsi="Times New Roman" w:cs="Times New Roman"/>
        </w:rPr>
        <w:t xml:space="preserve"> </w:t>
      </w:r>
      <w:r w:rsidRPr="002F708B">
        <w:rPr>
          <w:rFonts w:ascii="Times New Roman" w:hAnsi="Times New Roman" w:cs="Times New Roman"/>
        </w:rPr>
        <w:t>-</w:t>
      </w:r>
      <w:r w:rsidR="00CD668A">
        <w:rPr>
          <w:rFonts w:ascii="Times New Roman" w:hAnsi="Times New Roman" w:cs="Times New Roman"/>
        </w:rPr>
        <w:t xml:space="preserve"> </w:t>
      </w:r>
      <w:r w:rsidRPr="002F708B">
        <w:rPr>
          <w:rFonts w:ascii="Times New Roman" w:hAnsi="Times New Roman" w:cs="Times New Roman"/>
        </w:rPr>
        <w:t>0</w:t>
      </w:r>
      <w:r w:rsidR="000E7208" w:rsidRPr="002F708B">
        <w:rPr>
          <w:rFonts w:ascii="Times New Roman" w:hAnsi="Times New Roman" w:cs="Times New Roman"/>
        </w:rPr>
        <w:t>.</w:t>
      </w:r>
      <w:r w:rsidRPr="002F708B">
        <w:rPr>
          <w:rFonts w:ascii="Times New Roman" w:hAnsi="Times New Roman" w:cs="Times New Roman"/>
        </w:rPr>
        <w:t>81; p=0</w:t>
      </w:r>
      <w:r w:rsidR="000E7208" w:rsidRPr="002F708B">
        <w:rPr>
          <w:rFonts w:ascii="Times New Roman" w:hAnsi="Times New Roman" w:cs="Times New Roman"/>
        </w:rPr>
        <w:t>.</w:t>
      </w:r>
      <w:r w:rsidRPr="002F708B">
        <w:rPr>
          <w:rFonts w:ascii="Times New Roman" w:hAnsi="Times New Roman" w:cs="Times New Roman"/>
        </w:rPr>
        <w:t xml:space="preserve">22 </w:t>
      </w:r>
      <w:r w:rsidRPr="002F708B">
        <w:rPr>
          <w:rFonts w:ascii="Times New Roman" w:hAnsi="Times New Roman" w:cs="Times New Roman"/>
          <w:i/>
        </w:rPr>
        <w:t>vs</w:t>
      </w:r>
      <w:r w:rsidRPr="002F708B">
        <w:rPr>
          <w:rFonts w:ascii="Times New Roman" w:hAnsi="Times New Roman" w:cs="Times New Roman"/>
        </w:rPr>
        <w:t xml:space="preserve"> Model 2). All three models were well calibrated (</w:t>
      </w:r>
      <w:r w:rsidR="00B665F1" w:rsidRPr="002F708B">
        <w:rPr>
          <w:rFonts w:ascii="Times New Roman" w:hAnsi="Times New Roman" w:cs="Times New Roman"/>
        </w:rPr>
        <w:t>S</w:t>
      </w:r>
      <w:r w:rsidR="00A67891" w:rsidRPr="002F708B">
        <w:rPr>
          <w:rFonts w:ascii="Times New Roman" w:hAnsi="Times New Roman" w:cs="Times New Roman"/>
        </w:rPr>
        <w:t>4</w:t>
      </w:r>
      <w:r w:rsidR="0040227F" w:rsidRPr="002F708B">
        <w:rPr>
          <w:rFonts w:ascii="Times New Roman" w:hAnsi="Times New Roman" w:cs="Times New Roman"/>
        </w:rPr>
        <w:t xml:space="preserve"> </w:t>
      </w:r>
      <w:r w:rsidRPr="002F708B">
        <w:rPr>
          <w:rFonts w:ascii="Times New Roman" w:hAnsi="Times New Roman" w:cs="Times New Roman"/>
        </w:rPr>
        <w:t>Table).</w:t>
      </w:r>
    </w:p>
    <w:p w14:paraId="55E7D9D6" w14:textId="77777777" w:rsidR="00DC0FD2" w:rsidRDefault="00DC0FD2" w:rsidP="00D67D84">
      <w:pPr>
        <w:spacing w:line="480" w:lineRule="auto"/>
        <w:jc w:val="both"/>
        <w:rPr>
          <w:rFonts w:ascii="Times New Roman" w:hAnsi="Times New Roman" w:cs="Times New Roman"/>
        </w:rPr>
        <w:sectPr w:rsidR="00DC0FD2" w:rsidSect="00C02624">
          <w:footerReference w:type="default" r:id="rId10"/>
          <w:pgSz w:w="11900" w:h="16840"/>
          <w:pgMar w:top="1440" w:right="1440" w:bottom="1440" w:left="1440" w:header="708" w:footer="708" w:gutter="0"/>
          <w:lnNumType w:countBy="1" w:restart="continuous"/>
          <w:cols w:space="708"/>
          <w:docGrid w:linePitch="360"/>
        </w:sectPr>
      </w:pPr>
    </w:p>
    <w:p w14:paraId="24E8C609" w14:textId="2C368D2C" w:rsidR="00DC0FD2" w:rsidRPr="00CE77D8" w:rsidRDefault="00DC0FD2" w:rsidP="004312C2">
      <w:pPr>
        <w:spacing w:after="0" w:line="240" w:lineRule="auto"/>
        <w:rPr>
          <w:rFonts w:ascii="Times New Roman" w:hAnsi="Times New Roman" w:cs="Times New Roman"/>
          <w:b/>
        </w:rPr>
      </w:pPr>
      <w:r w:rsidRPr="00CE77D8">
        <w:rPr>
          <w:rFonts w:ascii="Times New Roman" w:hAnsi="Times New Roman" w:cs="Times New Roman"/>
          <w:b/>
        </w:rPr>
        <w:lastRenderedPageBreak/>
        <w:t>Table 3. GDM prediction models</w:t>
      </w:r>
    </w:p>
    <w:tbl>
      <w:tblPr>
        <w:tblW w:w="13770" w:type="dxa"/>
        <w:tblLayout w:type="fixed"/>
        <w:tblLook w:val="04A0" w:firstRow="1" w:lastRow="0" w:firstColumn="1" w:lastColumn="0" w:noHBand="0" w:noVBand="1"/>
      </w:tblPr>
      <w:tblGrid>
        <w:gridCol w:w="3402"/>
        <w:gridCol w:w="1296"/>
        <w:gridCol w:w="1296"/>
        <w:gridCol w:w="1296"/>
        <w:gridCol w:w="1296"/>
        <w:gridCol w:w="1296"/>
        <w:gridCol w:w="1296"/>
        <w:gridCol w:w="1296"/>
        <w:gridCol w:w="1296"/>
      </w:tblGrid>
      <w:tr w:rsidR="00A311C2" w:rsidRPr="00280B9D" w14:paraId="6BEE4405" w14:textId="77777777" w:rsidTr="00CE77D8">
        <w:trPr>
          <w:trHeight w:val="864"/>
        </w:trPr>
        <w:tc>
          <w:tcPr>
            <w:tcW w:w="3402" w:type="dxa"/>
            <w:tcBorders>
              <w:top w:val="single" w:sz="12" w:space="0" w:color="auto"/>
              <w:left w:val="nil"/>
              <w:bottom w:val="single" w:sz="12" w:space="0" w:color="auto"/>
              <w:right w:val="nil"/>
            </w:tcBorders>
            <w:shd w:val="clear" w:color="auto" w:fill="auto"/>
            <w:noWrap/>
            <w:vAlign w:val="center"/>
            <w:hideMark/>
          </w:tcPr>
          <w:p w14:paraId="5FBBAD70"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p>
        </w:tc>
        <w:tc>
          <w:tcPr>
            <w:tcW w:w="1296" w:type="dxa"/>
            <w:tcBorders>
              <w:top w:val="single" w:sz="12" w:space="0" w:color="auto"/>
              <w:left w:val="nil"/>
              <w:bottom w:val="single" w:sz="12" w:space="0" w:color="auto"/>
              <w:right w:val="nil"/>
            </w:tcBorders>
            <w:shd w:val="clear" w:color="auto" w:fill="auto"/>
            <w:noWrap/>
            <w:vAlign w:val="center"/>
            <w:hideMark/>
          </w:tcPr>
          <w:p w14:paraId="3DF991DB" w14:textId="77777777" w:rsidR="00A311C2" w:rsidRPr="003A70F8" w:rsidRDefault="00A311C2" w:rsidP="00B700E9">
            <w:pPr>
              <w:spacing w:after="0" w:line="360" w:lineRule="auto"/>
              <w:jc w:val="center"/>
              <w:rPr>
                <w:rFonts w:ascii="Times New Roman" w:eastAsia="Times New Roman" w:hAnsi="Times New Roman" w:cs="Times New Roman"/>
                <w:b/>
                <w:color w:val="000000"/>
                <w:sz w:val="20"/>
                <w:szCs w:val="20"/>
                <w:lang w:eastAsia="en-GB"/>
              </w:rPr>
            </w:pPr>
            <w:r w:rsidRPr="003A70F8">
              <w:rPr>
                <w:rFonts w:ascii="Times New Roman" w:eastAsia="Times New Roman" w:hAnsi="Times New Roman" w:cs="Times New Roman"/>
                <w:b/>
                <w:bCs/>
                <w:color w:val="000000"/>
                <w:sz w:val="20"/>
                <w:szCs w:val="20"/>
                <w:lang w:eastAsia="en-GB"/>
              </w:rPr>
              <w:t>Model 1</w:t>
            </w:r>
          </w:p>
          <w:p w14:paraId="2A5D552D" w14:textId="77777777" w:rsidR="00A311C2" w:rsidRPr="0086073F" w:rsidRDefault="00A311C2" w:rsidP="00B700E9">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(n = 1267)</w:t>
            </w:r>
          </w:p>
          <w:p w14:paraId="59997849"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c>
          <w:tcPr>
            <w:tcW w:w="1296" w:type="dxa"/>
            <w:tcBorders>
              <w:top w:val="single" w:sz="12" w:space="0" w:color="auto"/>
              <w:left w:val="nil"/>
              <w:bottom w:val="single" w:sz="12" w:space="0" w:color="auto"/>
              <w:right w:val="nil"/>
            </w:tcBorders>
            <w:shd w:val="clear" w:color="auto" w:fill="auto"/>
            <w:noWrap/>
            <w:vAlign w:val="center"/>
            <w:hideMark/>
          </w:tcPr>
          <w:p w14:paraId="6FA879A9" w14:textId="77777777" w:rsidR="00A311C2" w:rsidRPr="003A70F8" w:rsidRDefault="00A311C2" w:rsidP="00B700E9">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Model 2</w:t>
            </w:r>
          </w:p>
          <w:p w14:paraId="2D502CE0" w14:textId="77777777" w:rsidR="00A311C2" w:rsidRPr="0086073F" w:rsidRDefault="00A311C2" w:rsidP="00B700E9">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(n= 805)</w:t>
            </w:r>
          </w:p>
          <w:p w14:paraId="77D6572D"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c>
          <w:tcPr>
            <w:tcW w:w="1296" w:type="dxa"/>
            <w:tcBorders>
              <w:top w:val="single" w:sz="12" w:space="0" w:color="auto"/>
              <w:left w:val="nil"/>
              <w:bottom w:val="single" w:sz="12" w:space="0" w:color="auto"/>
              <w:right w:val="nil"/>
            </w:tcBorders>
            <w:shd w:val="clear" w:color="auto" w:fill="auto"/>
            <w:noWrap/>
            <w:vAlign w:val="center"/>
            <w:hideMark/>
          </w:tcPr>
          <w:p w14:paraId="74DB5653" w14:textId="77777777" w:rsidR="00A311C2" w:rsidRPr="0086073F" w:rsidRDefault="00A311C2" w:rsidP="00B700E9">
            <w:pPr>
              <w:spacing w:after="0" w:line="360" w:lineRule="auto"/>
              <w:jc w:val="center"/>
              <w:rPr>
                <w:rFonts w:ascii="Times New Roman" w:eastAsia="Times New Roman" w:hAnsi="Times New Roman" w:cs="Times New Roman"/>
                <w:color w:val="000000"/>
                <w:sz w:val="20"/>
                <w:szCs w:val="20"/>
                <w:lang w:eastAsia="en-GB"/>
              </w:rPr>
            </w:pPr>
            <w:r w:rsidRPr="003A70F8">
              <w:rPr>
                <w:rFonts w:ascii="Times New Roman" w:eastAsia="Times New Roman" w:hAnsi="Times New Roman" w:cs="Times New Roman"/>
                <w:b/>
                <w:bCs/>
                <w:color w:val="000000"/>
                <w:sz w:val="20"/>
                <w:szCs w:val="20"/>
                <w:lang w:eastAsia="en-GB"/>
              </w:rPr>
              <w:t>Model 3</w:t>
            </w:r>
            <w:r w:rsidRPr="0086073F">
              <w:rPr>
                <w:rFonts w:ascii="Times New Roman" w:eastAsia="Times New Roman" w:hAnsi="Times New Roman" w:cs="Times New Roman"/>
                <w:color w:val="000000"/>
                <w:sz w:val="20"/>
                <w:szCs w:val="20"/>
                <w:lang w:eastAsia="en-GB"/>
              </w:rPr>
              <w:t xml:space="preserve"> (n=770)</w:t>
            </w:r>
          </w:p>
          <w:p w14:paraId="1D8BAD75"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c>
          <w:tcPr>
            <w:tcW w:w="1296" w:type="dxa"/>
            <w:tcBorders>
              <w:top w:val="single" w:sz="12" w:space="0" w:color="auto"/>
              <w:left w:val="nil"/>
              <w:bottom w:val="single" w:sz="12" w:space="0" w:color="auto"/>
              <w:right w:val="nil"/>
            </w:tcBorders>
            <w:shd w:val="clear" w:color="auto" w:fill="auto"/>
            <w:vAlign w:val="center"/>
            <w:hideMark/>
          </w:tcPr>
          <w:p w14:paraId="128A2C5C" w14:textId="77777777" w:rsidR="00A311C2" w:rsidRPr="0086073F" w:rsidRDefault="00A311C2" w:rsidP="00B700E9">
            <w:pPr>
              <w:spacing w:after="0" w:line="360" w:lineRule="auto"/>
              <w:jc w:val="center"/>
              <w:rPr>
                <w:rFonts w:ascii="Times New Roman" w:eastAsia="Times New Roman" w:hAnsi="Times New Roman" w:cs="Times New Roman"/>
                <w:color w:val="000000"/>
                <w:sz w:val="20"/>
                <w:szCs w:val="20"/>
                <w:lang w:eastAsia="en-GB"/>
              </w:rPr>
            </w:pPr>
            <w:r w:rsidRPr="003A70F8">
              <w:rPr>
                <w:rFonts w:ascii="Times New Roman" w:eastAsia="Times New Roman" w:hAnsi="Times New Roman" w:cs="Times New Roman"/>
                <w:b/>
                <w:bCs/>
                <w:color w:val="000000"/>
                <w:sz w:val="20"/>
                <w:szCs w:val="20"/>
                <w:lang w:eastAsia="en-GB"/>
              </w:rPr>
              <w:t>Model 4</w:t>
            </w:r>
            <w:r w:rsidRPr="0086073F">
              <w:rPr>
                <w:rFonts w:ascii="Times New Roman" w:eastAsia="Times New Roman" w:hAnsi="Times New Roman" w:cs="Times New Roman"/>
                <w:bCs/>
                <w:color w:val="000000"/>
                <w:sz w:val="20"/>
                <w:szCs w:val="20"/>
                <w:lang w:eastAsia="en-GB"/>
              </w:rPr>
              <w:t xml:space="preserve"> </w:t>
            </w:r>
            <w:r w:rsidRPr="0086073F">
              <w:rPr>
                <w:rFonts w:ascii="Times New Roman" w:eastAsia="Times New Roman" w:hAnsi="Times New Roman" w:cs="Times New Roman"/>
                <w:color w:val="000000"/>
                <w:sz w:val="20"/>
                <w:szCs w:val="20"/>
                <w:lang w:eastAsia="en-GB"/>
              </w:rPr>
              <w:t>(n=805)</w:t>
            </w:r>
          </w:p>
          <w:p w14:paraId="59D48A81"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c>
          <w:tcPr>
            <w:tcW w:w="1296" w:type="dxa"/>
            <w:tcBorders>
              <w:top w:val="single" w:sz="12" w:space="0" w:color="auto"/>
              <w:left w:val="nil"/>
              <w:bottom w:val="single" w:sz="12" w:space="0" w:color="auto"/>
              <w:right w:val="nil"/>
            </w:tcBorders>
            <w:shd w:val="clear" w:color="auto" w:fill="auto"/>
            <w:vAlign w:val="center"/>
            <w:hideMark/>
          </w:tcPr>
          <w:p w14:paraId="49D262D6" w14:textId="77777777" w:rsidR="00A311C2" w:rsidRPr="0086073F" w:rsidRDefault="00A311C2" w:rsidP="00B700E9">
            <w:pPr>
              <w:spacing w:after="0" w:line="360" w:lineRule="auto"/>
              <w:jc w:val="center"/>
              <w:rPr>
                <w:rFonts w:ascii="Times New Roman" w:eastAsia="Times New Roman" w:hAnsi="Times New Roman" w:cs="Times New Roman"/>
                <w:color w:val="000000"/>
                <w:sz w:val="20"/>
                <w:szCs w:val="20"/>
                <w:lang w:eastAsia="en-GB"/>
              </w:rPr>
            </w:pPr>
            <w:r w:rsidRPr="003A70F8">
              <w:rPr>
                <w:rFonts w:ascii="Times New Roman" w:eastAsia="Times New Roman" w:hAnsi="Times New Roman" w:cs="Times New Roman"/>
                <w:b/>
                <w:bCs/>
                <w:color w:val="000000"/>
                <w:sz w:val="20"/>
                <w:szCs w:val="20"/>
                <w:lang w:eastAsia="en-GB"/>
              </w:rPr>
              <w:t>Model 5</w:t>
            </w:r>
            <w:r w:rsidRPr="0086073F">
              <w:rPr>
                <w:rFonts w:ascii="Times New Roman" w:eastAsia="Times New Roman" w:hAnsi="Times New Roman" w:cs="Times New Roman"/>
                <w:bCs/>
                <w:color w:val="000000"/>
                <w:sz w:val="20"/>
                <w:szCs w:val="20"/>
                <w:lang w:eastAsia="en-GB"/>
              </w:rPr>
              <w:t xml:space="preserve"> </w:t>
            </w:r>
            <w:r w:rsidRPr="0086073F">
              <w:rPr>
                <w:rFonts w:ascii="Times New Roman" w:eastAsia="Times New Roman" w:hAnsi="Times New Roman" w:cs="Times New Roman"/>
                <w:color w:val="000000"/>
                <w:sz w:val="20"/>
                <w:szCs w:val="20"/>
                <w:lang w:eastAsia="en-GB"/>
              </w:rPr>
              <w:t>(n=805)</w:t>
            </w:r>
          </w:p>
          <w:p w14:paraId="27267BC4"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c>
          <w:tcPr>
            <w:tcW w:w="1296" w:type="dxa"/>
            <w:tcBorders>
              <w:top w:val="single" w:sz="12" w:space="0" w:color="auto"/>
              <w:left w:val="nil"/>
              <w:bottom w:val="single" w:sz="12" w:space="0" w:color="auto"/>
              <w:right w:val="nil"/>
            </w:tcBorders>
            <w:shd w:val="clear" w:color="auto" w:fill="auto"/>
            <w:vAlign w:val="center"/>
            <w:hideMark/>
          </w:tcPr>
          <w:p w14:paraId="0A66E7BF" w14:textId="77777777" w:rsidR="00A311C2" w:rsidRPr="0086073F" w:rsidRDefault="00A311C2" w:rsidP="00B700E9">
            <w:pPr>
              <w:spacing w:after="0" w:line="360" w:lineRule="auto"/>
              <w:jc w:val="center"/>
              <w:rPr>
                <w:rFonts w:ascii="Times New Roman" w:eastAsia="Times New Roman" w:hAnsi="Times New Roman" w:cs="Times New Roman"/>
                <w:color w:val="000000"/>
                <w:sz w:val="20"/>
                <w:szCs w:val="20"/>
                <w:lang w:eastAsia="en-GB"/>
              </w:rPr>
            </w:pPr>
            <w:r w:rsidRPr="003A70F8">
              <w:rPr>
                <w:rFonts w:ascii="Times New Roman" w:eastAsia="Times New Roman" w:hAnsi="Times New Roman" w:cs="Times New Roman"/>
                <w:b/>
                <w:bCs/>
                <w:color w:val="000000"/>
                <w:sz w:val="20"/>
                <w:szCs w:val="20"/>
                <w:lang w:eastAsia="en-GB"/>
              </w:rPr>
              <w:t>Model 6</w:t>
            </w:r>
            <w:r w:rsidRPr="0086073F">
              <w:rPr>
                <w:rFonts w:ascii="Times New Roman" w:eastAsia="Times New Roman" w:hAnsi="Times New Roman" w:cs="Times New Roman"/>
                <w:bCs/>
                <w:color w:val="000000"/>
                <w:sz w:val="20"/>
                <w:szCs w:val="20"/>
                <w:lang w:eastAsia="en-GB"/>
              </w:rPr>
              <w:t xml:space="preserve"> </w:t>
            </w:r>
            <w:r w:rsidRPr="0086073F">
              <w:rPr>
                <w:rFonts w:ascii="Times New Roman" w:eastAsia="Times New Roman" w:hAnsi="Times New Roman" w:cs="Times New Roman"/>
                <w:color w:val="000000"/>
                <w:sz w:val="20"/>
                <w:szCs w:val="20"/>
                <w:lang w:eastAsia="en-GB"/>
              </w:rPr>
              <w:t>(n=805)</w:t>
            </w:r>
          </w:p>
          <w:p w14:paraId="28D54030"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c>
          <w:tcPr>
            <w:tcW w:w="1296" w:type="dxa"/>
            <w:tcBorders>
              <w:top w:val="single" w:sz="12" w:space="0" w:color="auto"/>
              <w:left w:val="nil"/>
              <w:bottom w:val="single" w:sz="12" w:space="0" w:color="auto"/>
              <w:right w:val="nil"/>
            </w:tcBorders>
            <w:vAlign w:val="center"/>
          </w:tcPr>
          <w:p w14:paraId="180C34F3" w14:textId="77777777" w:rsidR="00A311C2" w:rsidRPr="003A70F8" w:rsidRDefault="00A311C2" w:rsidP="00B700E9">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Model 7</w:t>
            </w:r>
          </w:p>
          <w:p w14:paraId="27581B01"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(n=805)</w:t>
            </w:r>
          </w:p>
          <w:p w14:paraId="7A10CF33"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c>
          <w:tcPr>
            <w:tcW w:w="1296" w:type="dxa"/>
            <w:tcBorders>
              <w:top w:val="single" w:sz="12" w:space="0" w:color="auto"/>
              <w:left w:val="nil"/>
              <w:bottom w:val="single" w:sz="12" w:space="0" w:color="auto"/>
              <w:right w:val="nil"/>
            </w:tcBorders>
            <w:vAlign w:val="center"/>
          </w:tcPr>
          <w:p w14:paraId="71E9CF8F" w14:textId="77777777" w:rsidR="00A311C2" w:rsidRPr="003A70F8" w:rsidRDefault="00A311C2" w:rsidP="00B700E9">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Model 8</w:t>
            </w:r>
          </w:p>
          <w:p w14:paraId="31CCA0B4"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(n=805)</w:t>
            </w:r>
          </w:p>
          <w:p w14:paraId="123DE7B2" w14:textId="77777777" w:rsidR="00A311C2" w:rsidRPr="0086073F" w:rsidRDefault="00A311C2" w:rsidP="00B700E9">
            <w:pPr>
              <w:spacing w:after="0" w:line="36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color w:val="000000"/>
                <w:sz w:val="20"/>
                <w:szCs w:val="20"/>
                <w:lang w:eastAsia="en-GB"/>
              </w:rPr>
              <w:t>OR (95% CI)</w:t>
            </w:r>
          </w:p>
        </w:tc>
      </w:tr>
      <w:tr w:rsidR="00A311C2" w:rsidRPr="00280B9D" w14:paraId="24A395BB" w14:textId="77777777" w:rsidTr="00CE77D8">
        <w:trPr>
          <w:trHeight w:val="285"/>
        </w:trPr>
        <w:tc>
          <w:tcPr>
            <w:tcW w:w="3402" w:type="dxa"/>
            <w:tcBorders>
              <w:top w:val="single" w:sz="12" w:space="0" w:color="auto"/>
              <w:left w:val="nil"/>
              <w:bottom w:val="nil"/>
              <w:right w:val="nil"/>
            </w:tcBorders>
            <w:shd w:val="clear" w:color="auto" w:fill="auto"/>
            <w:noWrap/>
            <w:vAlign w:val="center"/>
          </w:tcPr>
          <w:p w14:paraId="2EB4620A" w14:textId="77777777" w:rsidR="00A311C2" w:rsidRPr="003A70F8" w:rsidRDefault="00A311C2" w:rsidP="004D1B3C">
            <w:pPr>
              <w:spacing w:after="0" w:line="480" w:lineRule="auto"/>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No of cases of GDM (%)</w:t>
            </w:r>
          </w:p>
        </w:tc>
        <w:tc>
          <w:tcPr>
            <w:tcW w:w="1296" w:type="dxa"/>
            <w:tcBorders>
              <w:top w:val="single" w:sz="12" w:space="0" w:color="auto"/>
              <w:left w:val="nil"/>
              <w:bottom w:val="nil"/>
              <w:right w:val="nil"/>
            </w:tcBorders>
            <w:shd w:val="clear" w:color="auto" w:fill="auto"/>
            <w:noWrap/>
            <w:vAlign w:val="center"/>
          </w:tcPr>
          <w:p w14:paraId="5921D49A" w14:textId="77777777" w:rsidR="00A311C2" w:rsidRPr="0086073F" w:rsidRDefault="00A311C2" w:rsidP="004D1B3C">
            <w:pPr>
              <w:spacing w:after="0" w:line="480"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329 (25.9)</w:t>
            </w:r>
          </w:p>
        </w:tc>
        <w:tc>
          <w:tcPr>
            <w:tcW w:w="1296" w:type="dxa"/>
            <w:tcBorders>
              <w:top w:val="single" w:sz="12" w:space="0" w:color="auto"/>
              <w:left w:val="nil"/>
              <w:bottom w:val="nil"/>
              <w:right w:val="nil"/>
            </w:tcBorders>
            <w:shd w:val="clear" w:color="auto" w:fill="auto"/>
            <w:noWrap/>
            <w:vAlign w:val="center"/>
          </w:tcPr>
          <w:p w14:paraId="01E5EFEA"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r w:rsidRPr="0086073F">
              <w:rPr>
                <w:rFonts w:ascii="Times New Roman" w:eastAsia="Times New Roman" w:hAnsi="Times New Roman" w:cs="Times New Roman"/>
                <w:sz w:val="20"/>
                <w:szCs w:val="20"/>
                <w:lang w:eastAsia="en-GB"/>
              </w:rPr>
              <w:t>241 (29.9)</w:t>
            </w:r>
          </w:p>
        </w:tc>
        <w:tc>
          <w:tcPr>
            <w:tcW w:w="1296" w:type="dxa"/>
            <w:tcBorders>
              <w:top w:val="single" w:sz="12" w:space="0" w:color="auto"/>
              <w:left w:val="nil"/>
              <w:bottom w:val="nil"/>
              <w:right w:val="nil"/>
            </w:tcBorders>
            <w:shd w:val="clear" w:color="auto" w:fill="auto"/>
            <w:noWrap/>
            <w:vAlign w:val="center"/>
          </w:tcPr>
          <w:p w14:paraId="6D31A0EC"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r w:rsidRPr="0086073F">
              <w:rPr>
                <w:rFonts w:ascii="Times New Roman" w:eastAsia="Times New Roman" w:hAnsi="Times New Roman" w:cs="Times New Roman"/>
                <w:sz w:val="20"/>
                <w:szCs w:val="20"/>
                <w:lang w:eastAsia="en-GB"/>
              </w:rPr>
              <w:t>232 (30.1)</w:t>
            </w:r>
          </w:p>
        </w:tc>
        <w:tc>
          <w:tcPr>
            <w:tcW w:w="1296" w:type="dxa"/>
            <w:tcBorders>
              <w:top w:val="single" w:sz="12" w:space="0" w:color="auto"/>
              <w:left w:val="nil"/>
              <w:bottom w:val="nil"/>
              <w:right w:val="nil"/>
            </w:tcBorders>
            <w:shd w:val="clear" w:color="auto" w:fill="auto"/>
            <w:vAlign w:val="center"/>
          </w:tcPr>
          <w:p w14:paraId="23F7716E"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r w:rsidRPr="0086073F">
              <w:rPr>
                <w:rFonts w:ascii="Times New Roman" w:eastAsia="Times New Roman" w:hAnsi="Times New Roman" w:cs="Times New Roman"/>
                <w:sz w:val="20"/>
                <w:szCs w:val="20"/>
                <w:lang w:eastAsia="en-GB"/>
              </w:rPr>
              <w:t>241 (29.9)</w:t>
            </w:r>
          </w:p>
        </w:tc>
        <w:tc>
          <w:tcPr>
            <w:tcW w:w="1296" w:type="dxa"/>
            <w:tcBorders>
              <w:top w:val="single" w:sz="12" w:space="0" w:color="auto"/>
              <w:left w:val="nil"/>
              <w:bottom w:val="nil"/>
              <w:right w:val="nil"/>
            </w:tcBorders>
            <w:shd w:val="clear" w:color="auto" w:fill="auto"/>
            <w:vAlign w:val="center"/>
          </w:tcPr>
          <w:p w14:paraId="66C73E62"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r w:rsidRPr="0086073F">
              <w:rPr>
                <w:rFonts w:ascii="Times New Roman" w:eastAsia="Times New Roman" w:hAnsi="Times New Roman" w:cs="Times New Roman"/>
                <w:sz w:val="20"/>
                <w:szCs w:val="20"/>
                <w:lang w:eastAsia="en-GB"/>
              </w:rPr>
              <w:t>241 (29.9)</w:t>
            </w:r>
          </w:p>
        </w:tc>
        <w:tc>
          <w:tcPr>
            <w:tcW w:w="1296" w:type="dxa"/>
            <w:tcBorders>
              <w:top w:val="single" w:sz="12" w:space="0" w:color="auto"/>
              <w:left w:val="nil"/>
              <w:bottom w:val="nil"/>
              <w:right w:val="nil"/>
            </w:tcBorders>
            <w:shd w:val="clear" w:color="auto" w:fill="auto"/>
            <w:vAlign w:val="center"/>
          </w:tcPr>
          <w:p w14:paraId="04B12300"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r w:rsidRPr="0086073F">
              <w:rPr>
                <w:rFonts w:ascii="Times New Roman" w:eastAsia="Times New Roman" w:hAnsi="Times New Roman" w:cs="Times New Roman"/>
                <w:sz w:val="20"/>
                <w:szCs w:val="20"/>
                <w:lang w:eastAsia="en-GB"/>
              </w:rPr>
              <w:t>241 (29.9)</w:t>
            </w:r>
          </w:p>
        </w:tc>
        <w:tc>
          <w:tcPr>
            <w:tcW w:w="1296" w:type="dxa"/>
            <w:tcBorders>
              <w:top w:val="single" w:sz="12" w:space="0" w:color="auto"/>
              <w:left w:val="nil"/>
              <w:bottom w:val="nil"/>
              <w:right w:val="nil"/>
            </w:tcBorders>
            <w:vAlign w:val="center"/>
          </w:tcPr>
          <w:p w14:paraId="1A9871F9"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r w:rsidRPr="0086073F">
              <w:rPr>
                <w:rFonts w:ascii="Times New Roman" w:eastAsia="Times New Roman" w:hAnsi="Times New Roman" w:cs="Times New Roman"/>
                <w:sz w:val="20"/>
                <w:szCs w:val="20"/>
                <w:lang w:eastAsia="en-GB"/>
              </w:rPr>
              <w:t>241 (29.9)</w:t>
            </w:r>
          </w:p>
        </w:tc>
        <w:tc>
          <w:tcPr>
            <w:tcW w:w="1296" w:type="dxa"/>
            <w:tcBorders>
              <w:top w:val="single" w:sz="12" w:space="0" w:color="auto"/>
              <w:left w:val="nil"/>
              <w:bottom w:val="nil"/>
              <w:right w:val="nil"/>
            </w:tcBorders>
            <w:vAlign w:val="center"/>
          </w:tcPr>
          <w:p w14:paraId="65590F0F"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r w:rsidRPr="0086073F">
              <w:rPr>
                <w:rFonts w:ascii="Times New Roman" w:eastAsia="Times New Roman" w:hAnsi="Times New Roman" w:cs="Times New Roman"/>
                <w:sz w:val="20"/>
                <w:szCs w:val="20"/>
                <w:lang w:eastAsia="en-GB"/>
              </w:rPr>
              <w:t>241 (29.9)</w:t>
            </w:r>
          </w:p>
        </w:tc>
      </w:tr>
      <w:tr w:rsidR="00A311C2" w:rsidRPr="00280B9D" w14:paraId="1F17E1F7" w14:textId="77777777" w:rsidTr="004D1B3C">
        <w:trPr>
          <w:trHeight w:val="285"/>
        </w:trPr>
        <w:tc>
          <w:tcPr>
            <w:tcW w:w="3402" w:type="dxa"/>
            <w:tcBorders>
              <w:top w:val="nil"/>
              <w:left w:val="nil"/>
              <w:bottom w:val="nil"/>
              <w:right w:val="nil"/>
            </w:tcBorders>
            <w:shd w:val="clear" w:color="auto" w:fill="auto"/>
            <w:noWrap/>
            <w:vAlign w:val="center"/>
            <w:hideMark/>
          </w:tcPr>
          <w:p w14:paraId="32B3F443" w14:textId="77777777" w:rsidR="00A311C2" w:rsidRPr="003A70F8" w:rsidRDefault="00A311C2" w:rsidP="004D1B3C">
            <w:pPr>
              <w:spacing w:after="0" w:line="480" w:lineRule="auto"/>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Clinical</w:t>
            </w:r>
          </w:p>
        </w:tc>
        <w:tc>
          <w:tcPr>
            <w:tcW w:w="1296" w:type="dxa"/>
            <w:tcBorders>
              <w:top w:val="nil"/>
              <w:left w:val="nil"/>
              <w:bottom w:val="nil"/>
              <w:right w:val="nil"/>
            </w:tcBorders>
            <w:shd w:val="clear" w:color="auto" w:fill="auto"/>
            <w:noWrap/>
            <w:vAlign w:val="center"/>
            <w:hideMark/>
          </w:tcPr>
          <w:p w14:paraId="3CAE7333" w14:textId="77777777" w:rsidR="00A311C2" w:rsidRPr="0086073F" w:rsidRDefault="00A311C2" w:rsidP="004D1B3C">
            <w:pPr>
              <w:spacing w:after="0" w:line="480" w:lineRule="auto"/>
              <w:jc w:val="center"/>
              <w:rPr>
                <w:rFonts w:ascii="Times New Roman" w:eastAsia="Times New Roman" w:hAnsi="Times New Roman" w:cs="Times New Roman"/>
                <w:bCs/>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0B864299"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38B59D9B"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2A6C1BBA"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10706EF0"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445CA1CA"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30B7897E"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0C2268B7"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r>
      <w:tr w:rsidR="00A311C2" w:rsidRPr="00280B9D" w14:paraId="14090B19" w14:textId="77777777" w:rsidTr="00B700E9">
        <w:trPr>
          <w:trHeight w:val="288"/>
        </w:trPr>
        <w:tc>
          <w:tcPr>
            <w:tcW w:w="3402" w:type="dxa"/>
            <w:tcBorders>
              <w:top w:val="nil"/>
              <w:left w:val="nil"/>
              <w:bottom w:val="nil"/>
              <w:right w:val="nil"/>
            </w:tcBorders>
            <w:shd w:val="clear" w:color="auto" w:fill="auto"/>
            <w:noWrap/>
            <w:hideMark/>
          </w:tcPr>
          <w:p w14:paraId="72447E05"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Age (years)</w:t>
            </w:r>
          </w:p>
        </w:tc>
        <w:tc>
          <w:tcPr>
            <w:tcW w:w="1296" w:type="dxa"/>
            <w:tcBorders>
              <w:top w:val="nil"/>
              <w:left w:val="nil"/>
              <w:bottom w:val="nil"/>
              <w:right w:val="nil"/>
            </w:tcBorders>
            <w:shd w:val="clear" w:color="auto" w:fill="auto"/>
            <w:noWrap/>
            <w:vAlign w:val="center"/>
            <w:hideMark/>
          </w:tcPr>
          <w:p w14:paraId="48A375FC"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1.06</w:t>
            </w:r>
          </w:p>
          <w:p w14:paraId="41F21B3D"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(1.03 - 1.09)</w:t>
            </w:r>
          </w:p>
        </w:tc>
        <w:tc>
          <w:tcPr>
            <w:tcW w:w="1296" w:type="dxa"/>
            <w:tcBorders>
              <w:top w:val="nil"/>
              <w:left w:val="nil"/>
              <w:bottom w:val="nil"/>
              <w:right w:val="nil"/>
            </w:tcBorders>
            <w:shd w:val="clear" w:color="auto" w:fill="auto"/>
            <w:noWrap/>
            <w:vAlign w:val="center"/>
            <w:hideMark/>
          </w:tcPr>
          <w:p w14:paraId="000BD313"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1.05</w:t>
            </w:r>
          </w:p>
          <w:p w14:paraId="60AD2032"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(1.01 - 1.08)</w:t>
            </w:r>
          </w:p>
        </w:tc>
        <w:tc>
          <w:tcPr>
            <w:tcW w:w="1296" w:type="dxa"/>
            <w:tcBorders>
              <w:top w:val="nil"/>
              <w:left w:val="nil"/>
              <w:bottom w:val="nil"/>
              <w:right w:val="nil"/>
            </w:tcBorders>
            <w:shd w:val="clear" w:color="auto" w:fill="auto"/>
            <w:noWrap/>
            <w:vAlign w:val="center"/>
            <w:hideMark/>
          </w:tcPr>
          <w:p w14:paraId="6CB90304"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1.04</w:t>
            </w:r>
          </w:p>
          <w:p w14:paraId="10B5AAAA"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(1.00 - 1.08)</w:t>
            </w:r>
          </w:p>
        </w:tc>
        <w:tc>
          <w:tcPr>
            <w:tcW w:w="1296" w:type="dxa"/>
            <w:tcBorders>
              <w:top w:val="nil"/>
              <w:left w:val="nil"/>
              <w:bottom w:val="nil"/>
              <w:right w:val="nil"/>
            </w:tcBorders>
            <w:shd w:val="clear" w:color="auto" w:fill="auto"/>
            <w:noWrap/>
            <w:vAlign w:val="center"/>
            <w:hideMark/>
          </w:tcPr>
          <w:p w14:paraId="2460F920"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1.05</w:t>
            </w:r>
          </w:p>
          <w:p w14:paraId="3742116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(1.02 - 1.08)</w:t>
            </w:r>
          </w:p>
        </w:tc>
        <w:tc>
          <w:tcPr>
            <w:tcW w:w="1296" w:type="dxa"/>
            <w:tcBorders>
              <w:top w:val="nil"/>
              <w:left w:val="nil"/>
              <w:bottom w:val="nil"/>
              <w:right w:val="nil"/>
            </w:tcBorders>
            <w:shd w:val="clear" w:color="auto" w:fill="auto"/>
            <w:vAlign w:val="center"/>
            <w:hideMark/>
          </w:tcPr>
          <w:p w14:paraId="7CA2488C"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1.05</w:t>
            </w:r>
          </w:p>
          <w:p w14:paraId="78C62289"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(1.02 - 1.08)</w:t>
            </w:r>
          </w:p>
        </w:tc>
        <w:tc>
          <w:tcPr>
            <w:tcW w:w="1296" w:type="dxa"/>
            <w:tcBorders>
              <w:top w:val="nil"/>
              <w:left w:val="nil"/>
              <w:bottom w:val="nil"/>
              <w:right w:val="nil"/>
            </w:tcBorders>
            <w:shd w:val="clear" w:color="auto" w:fill="auto"/>
            <w:noWrap/>
            <w:vAlign w:val="center"/>
            <w:hideMark/>
          </w:tcPr>
          <w:p w14:paraId="6427CF63"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1.05</w:t>
            </w:r>
          </w:p>
          <w:p w14:paraId="664BFF4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(1.02 - 1.08)</w:t>
            </w:r>
          </w:p>
        </w:tc>
        <w:tc>
          <w:tcPr>
            <w:tcW w:w="1296" w:type="dxa"/>
            <w:tcBorders>
              <w:top w:val="nil"/>
              <w:left w:val="nil"/>
              <w:bottom w:val="nil"/>
              <w:right w:val="nil"/>
            </w:tcBorders>
            <w:vAlign w:val="center"/>
          </w:tcPr>
          <w:p w14:paraId="0C8D195E"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1.05</w:t>
            </w:r>
          </w:p>
          <w:p w14:paraId="1C12E512"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(1.02 - 1.09)</w:t>
            </w:r>
          </w:p>
        </w:tc>
        <w:tc>
          <w:tcPr>
            <w:tcW w:w="1296" w:type="dxa"/>
            <w:tcBorders>
              <w:top w:val="nil"/>
              <w:left w:val="nil"/>
              <w:bottom w:val="nil"/>
              <w:right w:val="nil"/>
            </w:tcBorders>
            <w:vAlign w:val="center"/>
          </w:tcPr>
          <w:p w14:paraId="1BEAA6AD"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r>
      <w:tr w:rsidR="00A311C2" w:rsidRPr="00280B9D" w14:paraId="26536017" w14:textId="77777777" w:rsidTr="00B700E9">
        <w:trPr>
          <w:trHeight w:val="288"/>
        </w:trPr>
        <w:tc>
          <w:tcPr>
            <w:tcW w:w="3402" w:type="dxa"/>
            <w:tcBorders>
              <w:top w:val="nil"/>
              <w:left w:val="nil"/>
              <w:bottom w:val="nil"/>
              <w:right w:val="nil"/>
            </w:tcBorders>
            <w:shd w:val="clear" w:color="auto" w:fill="auto"/>
            <w:noWrap/>
            <w:hideMark/>
          </w:tcPr>
          <w:p w14:paraId="39FB862A" w14:textId="77777777" w:rsidR="00A311C2" w:rsidRPr="0086073F" w:rsidRDefault="00A311C2" w:rsidP="00B700E9">
            <w:pPr>
              <w:spacing w:after="0" w:line="276" w:lineRule="auto"/>
              <w:rPr>
                <w:rFonts w:ascii="Times New Roman" w:eastAsia="Times New Roman" w:hAnsi="Times New Roman" w:cs="Times New Roman"/>
                <w:color w:val="000000"/>
                <w:sz w:val="20"/>
                <w:szCs w:val="20"/>
                <w:vertAlign w:val="superscript"/>
                <w:lang w:eastAsia="en-GB"/>
              </w:rPr>
            </w:pPr>
            <w:r w:rsidRPr="0086073F">
              <w:rPr>
                <w:rFonts w:ascii="Times New Roman" w:eastAsia="Times New Roman" w:hAnsi="Times New Roman" w:cs="Times New Roman"/>
                <w:color w:val="000000"/>
                <w:sz w:val="20"/>
                <w:szCs w:val="20"/>
                <w:lang w:eastAsia="en-GB"/>
              </w:rPr>
              <w:t xml:space="preserve">Previous GDM </w:t>
            </w:r>
            <w:r>
              <w:rPr>
                <w:rFonts w:ascii="Times New Roman" w:eastAsia="Times New Roman" w:hAnsi="Times New Roman" w:cs="Times New Roman"/>
                <w:color w:val="000000"/>
                <w:sz w:val="20"/>
                <w:szCs w:val="20"/>
                <w:vertAlign w:val="superscript"/>
                <w:lang w:eastAsia="en-GB"/>
              </w:rPr>
              <w:t>a</w:t>
            </w:r>
          </w:p>
        </w:tc>
        <w:tc>
          <w:tcPr>
            <w:tcW w:w="1296" w:type="dxa"/>
            <w:tcBorders>
              <w:top w:val="nil"/>
              <w:left w:val="nil"/>
              <w:bottom w:val="nil"/>
              <w:right w:val="nil"/>
            </w:tcBorders>
            <w:shd w:val="clear" w:color="auto" w:fill="auto"/>
            <w:noWrap/>
            <w:vAlign w:val="center"/>
            <w:hideMark/>
          </w:tcPr>
          <w:p w14:paraId="0156C910"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3.47</w:t>
            </w:r>
          </w:p>
          <w:p w14:paraId="796C091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(1.45 - 8.30)</w:t>
            </w:r>
          </w:p>
        </w:tc>
        <w:tc>
          <w:tcPr>
            <w:tcW w:w="1296" w:type="dxa"/>
            <w:tcBorders>
              <w:top w:val="nil"/>
              <w:left w:val="nil"/>
              <w:bottom w:val="nil"/>
              <w:right w:val="nil"/>
            </w:tcBorders>
            <w:shd w:val="clear" w:color="auto" w:fill="auto"/>
            <w:noWrap/>
            <w:vAlign w:val="center"/>
            <w:hideMark/>
          </w:tcPr>
          <w:p w14:paraId="40A55328"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2173F362"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784CC5DF"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345002F5"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7C8E5016"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7AA34916"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6537BCD0"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475BE5CA" w14:textId="77777777" w:rsidTr="00B700E9">
        <w:trPr>
          <w:trHeight w:val="285"/>
        </w:trPr>
        <w:tc>
          <w:tcPr>
            <w:tcW w:w="3402" w:type="dxa"/>
            <w:tcBorders>
              <w:top w:val="nil"/>
              <w:left w:val="nil"/>
              <w:bottom w:val="nil"/>
              <w:right w:val="nil"/>
            </w:tcBorders>
            <w:shd w:val="clear" w:color="auto" w:fill="auto"/>
            <w:noWrap/>
            <w:hideMark/>
          </w:tcPr>
          <w:p w14:paraId="679A14BD"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1st degree relative T2DM</w:t>
            </w:r>
          </w:p>
        </w:tc>
        <w:tc>
          <w:tcPr>
            <w:tcW w:w="1296" w:type="dxa"/>
            <w:tcBorders>
              <w:top w:val="nil"/>
              <w:left w:val="nil"/>
              <w:bottom w:val="nil"/>
              <w:right w:val="nil"/>
            </w:tcBorders>
            <w:shd w:val="clear" w:color="auto" w:fill="auto"/>
            <w:noWrap/>
            <w:vAlign w:val="center"/>
            <w:hideMark/>
          </w:tcPr>
          <w:p w14:paraId="1D1A9451"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1.40</w:t>
            </w:r>
          </w:p>
          <w:p w14:paraId="1FB8B25B"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(1.03 - 1.89)</w:t>
            </w:r>
          </w:p>
        </w:tc>
        <w:tc>
          <w:tcPr>
            <w:tcW w:w="1296" w:type="dxa"/>
            <w:tcBorders>
              <w:top w:val="nil"/>
              <w:left w:val="nil"/>
              <w:bottom w:val="nil"/>
              <w:right w:val="nil"/>
            </w:tcBorders>
            <w:shd w:val="clear" w:color="auto" w:fill="auto"/>
            <w:noWrap/>
            <w:vAlign w:val="center"/>
            <w:hideMark/>
          </w:tcPr>
          <w:p w14:paraId="0B9F191D"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71932F05"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367FC994"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5F6508DB"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4211AE72"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3B5E330A"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27D8E87E"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0188C9DB" w14:textId="77777777" w:rsidTr="00B700E9">
        <w:trPr>
          <w:trHeight w:val="285"/>
        </w:trPr>
        <w:tc>
          <w:tcPr>
            <w:tcW w:w="3402" w:type="dxa"/>
            <w:tcBorders>
              <w:top w:val="nil"/>
              <w:left w:val="nil"/>
              <w:bottom w:val="nil"/>
              <w:right w:val="nil"/>
            </w:tcBorders>
            <w:shd w:val="clear" w:color="auto" w:fill="auto"/>
            <w:noWrap/>
            <w:hideMark/>
          </w:tcPr>
          <w:p w14:paraId="2B8B632E" w14:textId="09F463BD"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 xml:space="preserve">Sum of </w:t>
            </w:r>
            <w:r w:rsidR="00BA3584">
              <w:rPr>
                <w:rFonts w:ascii="Times New Roman" w:eastAsia="Times New Roman" w:hAnsi="Times New Roman" w:cs="Times New Roman"/>
                <w:color w:val="000000"/>
                <w:sz w:val="20"/>
                <w:szCs w:val="20"/>
                <w:lang w:eastAsia="en-GB"/>
              </w:rPr>
              <w:t>s</w:t>
            </w:r>
            <w:r w:rsidRPr="0086073F">
              <w:rPr>
                <w:rFonts w:ascii="Times New Roman" w:eastAsia="Times New Roman" w:hAnsi="Times New Roman" w:cs="Times New Roman"/>
                <w:color w:val="000000"/>
                <w:sz w:val="20"/>
                <w:szCs w:val="20"/>
                <w:lang w:eastAsia="en-GB"/>
              </w:rPr>
              <w:t>kinfold thicknesses (mm)</w:t>
            </w:r>
          </w:p>
        </w:tc>
        <w:tc>
          <w:tcPr>
            <w:tcW w:w="1296" w:type="dxa"/>
            <w:tcBorders>
              <w:top w:val="nil"/>
              <w:left w:val="nil"/>
              <w:bottom w:val="nil"/>
              <w:right w:val="nil"/>
            </w:tcBorders>
            <w:shd w:val="clear" w:color="auto" w:fill="auto"/>
            <w:noWrap/>
            <w:vAlign w:val="center"/>
            <w:hideMark/>
          </w:tcPr>
          <w:p w14:paraId="1D68ABA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1.01</w:t>
            </w:r>
          </w:p>
          <w:p w14:paraId="538E44F7"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(1.00 - 1.02)</w:t>
            </w:r>
          </w:p>
        </w:tc>
        <w:tc>
          <w:tcPr>
            <w:tcW w:w="1296" w:type="dxa"/>
            <w:tcBorders>
              <w:top w:val="nil"/>
              <w:left w:val="nil"/>
              <w:bottom w:val="nil"/>
              <w:right w:val="nil"/>
            </w:tcBorders>
            <w:shd w:val="clear" w:color="auto" w:fill="auto"/>
            <w:noWrap/>
            <w:vAlign w:val="center"/>
            <w:hideMark/>
          </w:tcPr>
          <w:p w14:paraId="13F89804"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1.01</w:t>
            </w:r>
          </w:p>
          <w:p w14:paraId="42EC9497"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(1.01 - 1.02)</w:t>
            </w:r>
          </w:p>
        </w:tc>
        <w:tc>
          <w:tcPr>
            <w:tcW w:w="1296" w:type="dxa"/>
            <w:tcBorders>
              <w:top w:val="nil"/>
              <w:left w:val="nil"/>
              <w:bottom w:val="nil"/>
              <w:right w:val="nil"/>
            </w:tcBorders>
            <w:shd w:val="clear" w:color="auto" w:fill="auto"/>
            <w:noWrap/>
            <w:vAlign w:val="center"/>
            <w:hideMark/>
          </w:tcPr>
          <w:p w14:paraId="090D351B"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1.01</w:t>
            </w:r>
          </w:p>
          <w:p w14:paraId="5ABB14E3"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(1.01 - 1.02)</w:t>
            </w:r>
          </w:p>
        </w:tc>
        <w:tc>
          <w:tcPr>
            <w:tcW w:w="1296" w:type="dxa"/>
            <w:tcBorders>
              <w:top w:val="nil"/>
              <w:left w:val="nil"/>
              <w:bottom w:val="nil"/>
              <w:right w:val="nil"/>
            </w:tcBorders>
            <w:shd w:val="clear" w:color="auto" w:fill="auto"/>
            <w:vAlign w:val="center"/>
            <w:hideMark/>
          </w:tcPr>
          <w:p w14:paraId="561D3EA0"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vAlign w:val="center"/>
            <w:hideMark/>
          </w:tcPr>
          <w:p w14:paraId="3AF86B20"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67326CC9"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48443C6"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3128B3DC"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340B9723" w14:textId="77777777" w:rsidTr="00B700E9">
        <w:trPr>
          <w:trHeight w:val="285"/>
        </w:trPr>
        <w:tc>
          <w:tcPr>
            <w:tcW w:w="3402" w:type="dxa"/>
            <w:tcBorders>
              <w:top w:val="nil"/>
              <w:left w:val="nil"/>
              <w:bottom w:val="nil"/>
              <w:right w:val="nil"/>
            </w:tcBorders>
            <w:shd w:val="clear" w:color="auto" w:fill="auto"/>
            <w:noWrap/>
            <w:hideMark/>
          </w:tcPr>
          <w:p w14:paraId="77B47C3F" w14:textId="2C995096"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Waist:</w:t>
            </w:r>
            <w:r w:rsidR="00BA3584">
              <w:rPr>
                <w:rFonts w:ascii="Times New Roman" w:eastAsia="Times New Roman" w:hAnsi="Times New Roman" w:cs="Times New Roman"/>
                <w:color w:val="000000"/>
                <w:sz w:val="20"/>
                <w:szCs w:val="20"/>
                <w:lang w:eastAsia="en-GB"/>
              </w:rPr>
              <w:t>h</w:t>
            </w:r>
            <w:r w:rsidRPr="0086073F">
              <w:rPr>
                <w:rFonts w:ascii="Times New Roman" w:eastAsia="Times New Roman" w:hAnsi="Times New Roman" w:cs="Times New Roman"/>
                <w:color w:val="000000"/>
                <w:sz w:val="20"/>
                <w:szCs w:val="20"/>
                <w:lang w:eastAsia="en-GB"/>
              </w:rPr>
              <w:t>eight ratio (per 0.1)</w:t>
            </w:r>
          </w:p>
        </w:tc>
        <w:tc>
          <w:tcPr>
            <w:tcW w:w="1296" w:type="dxa"/>
            <w:tcBorders>
              <w:top w:val="nil"/>
              <w:left w:val="nil"/>
              <w:bottom w:val="nil"/>
              <w:right w:val="nil"/>
            </w:tcBorders>
            <w:shd w:val="clear" w:color="auto" w:fill="auto"/>
            <w:noWrap/>
            <w:vAlign w:val="center"/>
            <w:hideMark/>
          </w:tcPr>
          <w:p w14:paraId="620F64BD"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1.57</w:t>
            </w:r>
          </w:p>
          <w:p w14:paraId="0398829A"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(1.25 - 1.98)</w:t>
            </w:r>
          </w:p>
        </w:tc>
        <w:tc>
          <w:tcPr>
            <w:tcW w:w="1296" w:type="dxa"/>
            <w:tcBorders>
              <w:top w:val="nil"/>
              <w:left w:val="nil"/>
              <w:bottom w:val="nil"/>
              <w:right w:val="nil"/>
            </w:tcBorders>
            <w:shd w:val="clear" w:color="auto" w:fill="auto"/>
            <w:noWrap/>
            <w:vAlign w:val="center"/>
            <w:hideMark/>
          </w:tcPr>
          <w:p w14:paraId="0CD6FC8E"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2EA38650"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526483C7"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75204587"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72183CE2"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26E49912"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2AD121D4"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1D391EF5" w14:textId="77777777" w:rsidTr="00B700E9">
        <w:trPr>
          <w:trHeight w:val="285"/>
        </w:trPr>
        <w:tc>
          <w:tcPr>
            <w:tcW w:w="3402" w:type="dxa"/>
            <w:tcBorders>
              <w:top w:val="nil"/>
              <w:left w:val="nil"/>
              <w:bottom w:val="nil"/>
              <w:right w:val="nil"/>
            </w:tcBorders>
            <w:shd w:val="clear" w:color="auto" w:fill="auto"/>
            <w:noWrap/>
            <w:hideMark/>
          </w:tcPr>
          <w:p w14:paraId="3BB1DA61" w14:textId="17028325"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Neck:</w:t>
            </w:r>
            <w:r w:rsidR="00BA3584">
              <w:rPr>
                <w:rFonts w:ascii="Times New Roman" w:eastAsia="Times New Roman" w:hAnsi="Times New Roman" w:cs="Times New Roman"/>
                <w:color w:val="000000"/>
                <w:sz w:val="20"/>
                <w:szCs w:val="20"/>
                <w:lang w:eastAsia="en-GB"/>
              </w:rPr>
              <w:t>t</w:t>
            </w:r>
            <w:r w:rsidRPr="0086073F">
              <w:rPr>
                <w:rFonts w:ascii="Times New Roman" w:eastAsia="Times New Roman" w:hAnsi="Times New Roman" w:cs="Times New Roman"/>
                <w:color w:val="000000"/>
                <w:sz w:val="20"/>
                <w:szCs w:val="20"/>
                <w:lang w:eastAsia="en-GB"/>
              </w:rPr>
              <w:t>high ratio (per 0.1)</w:t>
            </w:r>
          </w:p>
        </w:tc>
        <w:tc>
          <w:tcPr>
            <w:tcW w:w="1296" w:type="dxa"/>
            <w:tcBorders>
              <w:top w:val="nil"/>
              <w:left w:val="nil"/>
              <w:bottom w:val="nil"/>
              <w:right w:val="nil"/>
            </w:tcBorders>
            <w:shd w:val="clear" w:color="auto" w:fill="auto"/>
            <w:noWrap/>
            <w:vAlign w:val="center"/>
            <w:hideMark/>
          </w:tcPr>
          <w:p w14:paraId="31138BB6"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1.55</w:t>
            </w:r>
          </w:p>
          <w:p w14:paraId="55E3A21A"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(1.23 - 1.95)</w:t>
            </w:r>
          </w:p>
        </w:tc>
        <w:tc>
          <w:tcPr>
            <w:tcW w:w="1296" w:type="dxa"/>
            <w:tcBorders>
              <w:top w:val="nil"/>
              <w:left w:val="nil"/>
              <w:bottom w:val="nil"/>
              <w:right w:val="nil"/>
            </w:tcBorders>
            <w:shd w:val="clear" w:color="auto" w:fill="auto"/>
            <w:noWrap/>
            <w:vAlign w:val="center"/>
            <w:hideMark/>
          </w:tcPr>
          <w:p w14:paraId="18CEA93F"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1.52</w:t>
            </w:r>
          </w:p>
          <w:p w14:paraId="4B3F9BA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(1.11 - 2.06)</w:t>
            </w:r>
          </w:p>
        </w:tc>
        <w:tc>
          <w:tcPr>
            <w:tcW w:w="1296" w:type="dxa"/>
            <w:tcBorders>
              <w:top w:val="nil"/>
              <w:left w:val="nil"/>
              <w:bottom w:val="nil"/>
              <w:right w:val="nil"/>
            </w:tcBorders>
            <w:shd w:val="clear" w:color="auto" w:fill="auto"/>
            <w:noWrap/>
            <w:vAlign w:val="center"/>
            <w:hideMark/>
          </w:tcPr>
          <w:p w14:paraId="6242E6E6"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1.52</w:t>
            </w:r>
          </w:p>
          <w:p w14:paraId="3BA0FD37"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(1.11 - 2.08)</w:t>
            </w:r>
          </w:p>
        </w:tc>
        <w:tc>
          <w:tcPr>
            <w:tcW w:w="1296" w:type="dxa"/>
            <w:tcBorders>
              <w:top w:val="nil"/>
              <w:left w:val="nil"/>
              <w:bottom w:val="nil"/>
              <w:right w:val="nil"/>
            </w:tcBorders>
            <w:shd w:val="clear" w:color="auto" w:fill="auto"/>
            <w:vAlign w:val="center"/>
            <w:hideMark/>
          </w:tcPr>
          <w:p w14:paraId="2A1F03E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vAlign w:val="center"/>
            <w:hideMark/>
          </w:tcPr>
          <w:p w14:paraId="02E524AA"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2BBC3147"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6DBB2804"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3FFB0D46"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5F83105A" w14:textId="77777777" w:rsidTr="00B700E9">
        <w:trPr>
          <w:trHeight w:val="285"/>
        </w:trPr>
        <w:tc>
          <w:tcPr>
            <w:tcW w:w="3402" w:type="dxa"/>
            <w:tcBorders>
              <w:top w:val="nil"/>
              <w:left w:val="nil"/>
              <w:bottom w:val="nil"/>
              <w:right w:val="nil"/>
            </w:tcBorders>
            <w:shd w:val="clear" w:color="auto" w:fill="auto"/>
            <w:noWrap/>
            <w:hideMark/>
          </w:tcPr>
          <w:p w14:paraId="33655F64"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Systolic BP (per 10 mmHg)</w:t>
            </w:r>
          </w:p>
        </w:tc>
        <w:tc>
          <w:tcPr>
            <w:tcW w:w="1296" w:type="dxa"/>
            <w:tcBorders>
              <w:top w:val="nil"/>
              <w:left w:val="nil"/>
              <w:bottom w:val="nil"/>
              <w:right w:val="nil"/>
            </w:tcBorders>
            <w:shd w:val="clear" w:color="auto" w:fill="auto"/>
            <w:noWrap/>
            <w:vAlign w:val="center"/>
            <w:hideMark/>
          </w:tcPr>
          <w:p w14:paraId="5309569E"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1.36</w:t>
            </w:r>
          </w:p>
          <w:p w14:paraId="284CDCB1"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(1.20 - 1.54)</w:t>
            </w:r>
          </w:p>
        </w:tc>
        <w:tc>
          <w:tcPr>
            <w:tcW w:w="1296" w:type="dxa"/>
            <w:tcBorders>
              <w:top w:val="nil"/>
              <w:left w:val="nil"/>
              <w:bottom w:val="nil"/>
              <w:right w:val="nil"/>
            </w:tcBorders>
            <w:shd w:val="clear" w:color="auto" w:fill="auto"/>
            <w:noWrap/>
            <w:vAlign w:val="center"/>
            <w:hideMark/>
          </w:tcPr>
          <w:p w14:paraId="27BB3E5B"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1.23</w:t>
            </w:r>
          </w:p>
          <w:p w14:paraId="5553EA8C"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(1.06 - 1.44)</w:t>
            </w:r>
          </w:p>
        </w:tc>
        <w:tc>
          <w:tcPr>
            <w:tcW w:w="1296" w:type="dxa"/>
            <w:tcBorders>
              <w:top w:val="nil"/>
              <w:left w:val="nil"/>
              <w:bottom w:val="nil"/>
              <w:right w:val="nil"/>
            </w:tcBorders>
            <w:shd w:val="clear" w:color="auto" w:fill="auto"/>
            <w:noWrap/>
            <w:vAlign w:val="center"/>
            <w:hideMark/>
          </w:tcPr>
          <w:p w14:paraId="0F59CD43"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1.22</w:t>
            </w:r>
          </w:p>
          <w:p w14:paraId="03243300"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(1.04 - 1.43)</w:t>
            </w:r>
          </w:p>
        </w:tc>
        <w:tc>
          <w:tcPr>
            <w:tcW w:w="1296" w:type="dxa"/>
            <w:tcBorders>
              <w:top w:val="nil"/>
              <w:left w:val="nil"/>
              <w:bottom w:val="nil"/>
              <w:right w:val="nil"/>
            </w:tcBorders>
            <w:shd w:val="clear" w:color="auto" w:fill="auto"/>
            <w:vAlign w:val="center"/>
            <w:hideMark/>
          </w:tcPr>
          <w:p w14:paraId="1EC52832"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1.25</w:t>
            </w:r>
          </w:p>
          <w:p w14:paraId="0CA3CB8E"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(1.07 - 1.45)</w:t>
            </w:r>
          </w:p>
        </w:tc>
        <w:tc>
          <w:tcPr>
            <w:tcW w:w="1296" w:type="dxa"/>
            <w:tcBorders>
              <w:top w:val="nil"/>
              <w:left w:val="nil"/>
              <w:bottom w:val="nil"/>
              <w:right w:val="nil"/>
            </w:tcBorders>
            <w:shd w:val="clear" w:color="auto" w:fill="auto"/>
            <w:vAlign w:val="center"/>
            <w:hideMark/>
          </w:tcPr>
          <w:p w14:paraId="02C4B25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1.24</w:t>
            </w:r>
          </w:p>
          <w:p w14:paraId="4EFAB6CE"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(1.07 - 1.44)</w:t>
            </w:r>
          </w:p>
        </w:tc>
        <w:tc>
          <w:tcPr>
            <w:tcW w:w="1296" w:type="dxa"/>
            <w:tcBorders>
              <w:top w:val="nil"/>
              <w:left w:val="nil"/>
              <w:bottom w:val="nil"/>
              <w:right w:val="nil"/>
            </w:tcBorders>
            <w:shd w:val="clear" w:color="auto" w:fill="auto"/>
            <w:noWrap/>
            <w:vAlign w:val="center"/>
            <w:hideMark/>
          </w:tcPr>
          <w:p w14:paraId="0343D8B4"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1.23</w:t>
            </w:r>
          </w:p>
          <w:p w14:paraId="5CDD3007"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(1.06 - 1.43)</w:t>
            </w:r>
          </w:p>
        </w:tc>
        <w:tc>
          <w:tcPr>
            <w:tcW w:w="1296" w:type="dxa"/>
            <w:tcBorders>
              <w:top w:val="nil"/>
              <w:left w:val="nil"/>
              <w:bottom w:val="nil"/>
              <w:right w:val="nil"/>
            </w:tcBorders>
            <w:vAlign w:val="center"/>
          </w:tcPr>
          <w:p w14:paraId="2C88770E"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1.27</w:t>
            </w:r>
          </w:p>
          <w:p w14:paraId="0A4C1DE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(1.10 - 1.48)</w:t>
            </w:r>
          </w:p>
        </w:tc>
        <w:tc>
          <w:tcPr>
            <w:tcW w:w="1296" w:type="dxa"/>
            <w:tcBorders>
              <w:top w:val="nil"/>
              <w:left w:val="nil"/>
              <w:bottom w:val="nil"/>
              <w:right w:val="nil"/>
            </w:tcBorders>
            <w:vAlign w:val="center"/>
          </w:tcPr>
          <w:p w14:paraId="25238A72"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r>
      <w:tr w:rsidR="00A311C2" w:rsidRPr="00280B9D" w14:paraId="04B489D3" w14:textId="77777777" w:rsidTr="00B700E9">
        <w:trPr>
          <w:trHeight w:val="285"/>
        </w:trPr>
        <w:tc>
          <w:tcPr>
            <w:tcW w:w="3402" w:type="dxa"/>
            <w:tcBorders>
              <w:top w:val="nil"/>
              <w:left w:val="nil"/>
              <w:bottom w:val="nil"/>
              <w:right w:val="nil"/>
            </w:tcBorders>
            <w:shd w:val="clear" w:color="auto" w:fill="auto"/>
            <w:noWrap/>
            <w:hideMark/>
          </w:tcPr>
          <w:p w14:paraId="42173DD6"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Mid-arm circumference (cm)</w:t>
            </w:r>
          </w:p>
        </w:tc>
        <w:tc>
          <w:tcPr>
            <w:tcW w:w="1296" w:type="dxa"/>
            <w:tcBorders>
              <w:top w:val="nil"/>
              <w:left w:val="nil"/>
              <w:bottom w:val="nil"/>
              <w:right w:val="nil"/>
            </w:tcBorders>
            <w:shd w:val="clear" w:color="auto" w:fill="auto"/>
            <w:noWrap/>
            <w:vAlign w:val="center"/>
            <w:hideMark/>
          </w:tcPr>
          <w:p w14:paraId="10AC1F39"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36369770"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675C7356"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60C1874D"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1.03</w:t>
            </w:r>
          </w:p>
          <w:p w14:paraId="7B7085BD"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(0.99 - 1.08)</w:t>
            </w:r>
          </w:p>
        </w:tc>
        <w:tc>
          <w:tcPr>
            <w:tcW w:w="1296" w:type="dxa"/>
            <w:tcBorders>
              <w:top w:val="nil"/>
              <w:left w:val="nil"/>
              <w:bottom w:val="nil"/>
              <w:right w:val="nil"/>
            </w:tcBorders>
            <w:shd w:val="clear" w:color="auto" w:fill="auto"/>
            <w:vAlign w:val="center"/>
            <w:hideMark/>
          </w:tcPr>
          <w:p w14:paraId="26C78BAA"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vAlign w:val="center"/>
            <w:hideMark/>
          </w:tcPr>
          <w:p w14:paraId="5045B0BB"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C99C3B6"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1.03</w:t>
            </w:r>
          </w:p>
          <w:p w14:paraId="51F5E56C"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r w:rsidRPr="0086073F">
              <w:rPr>
                <w:rFonts w:ascii="Times New Roman" w:hAnsi="Times New Roman" w:cs="Times New Roman"/>
                <w:sz w:val="20"/>
                <w:szCs w:val="20"/>
              </w:rPr>
              <w:t>(0.99 - 1.07)</w:t>
            </w:r>
          </w:p>
        </w:tc>
        <w:tc>
          <w:tcPr>
            <w:tcW w:w="1296" w:type="dxa"/>
            <w:tcBorders>
              <w:top w:val="nil"/>
              <w:left w:val="nil"/>
              <w:bottom w:val="nil"/>
              <w:right w:val="nil"/>
            </w:tcBorders>
            <w:vAlign w:val="center"/>
          </w:tcPr>
          <w:p w14:paraId="616F44F0"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4B6376AB" w14:textId="77777777" w:rsidTr="00B700E9">
        <w:trPr>
          <w:trHeight w:val="285"/>
        </w:trPr>
        <w:tc>
          <w:tcPr>
            <w:tcW w:w="3402" w:type="dxa"/>
            <w:tcBorders>
              <w:top w:val="nil"/>
              <w:left w:val="nil"/>
              <w:bottom w:val="nil"/>
              <w:right w:val="nil"/>
            </w:tcBorders>
            <w:shd w:val="clear" w:color="auto" w:fill="auto"/>
            <w:noWrap/>
            <w:hideMark/>
          </w:tcPr>
          <w:p w14:paraId="1D1826F1"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Subscapular skinfold thickness (</w:t>
            </w:r>
            <w:r>
              <w:rPr>
                <w:rFonts w:ascii="Times New Roman" w:eastAsia="Times New Roman" w:hAnsi="Times New Roman" w:cs="Times New Roman"/>
                <w:color w:val="000000"/>
                <w:sz w:val="20"/>
                <w:szCs w:val="20"/>
                <w:lang w:eastAsia="en-GB"/>
              </w:rPr>
              <w:t>m</w:t>
            </w:r>
            <w:r w:rsidRPr="0086073F">
              <w:rPr>
                <w:rFonts w:ascii="Times New Roman" w:eastAsia="Times New Roman" w:hAnsi="Times New Roman" w:cs="Times New Roman"/>
                <w:color w:val="000000"/>
                <w:sz w:val="20"/>
                <w:szCs w:val="20"/>
                <w:lang w:eastAsia="en-GB"/>
              </w:rPr>
              <w:t>m)</w:t>
            </w:r>
          </w:p>
        </w:tc>
        <w:tc>
          <w:tcPr>
            <w:tcW w:w="1296" w:type="dxa"/>
            <w:tcBorders>
              <w:top w:val="nil"/>
              <w:left w:val="nil"/>
              <w:bottom w:val="nil"/>
              <w:right w:val="nil"/>
            </w:tcBorders>
            <w:shd w:val="clear" w:color="auto" w:fill="auto"/>
            <w:noWrap/>
            <w:vAlign w:val="center"/>
            <w:hideMark/>
          </w:tcPr>
          <w:p w14:paraId="429AA35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417A59B7"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0DD09208"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157EFA80"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435CBFD1"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1.03</w:t>
            </w:r>
          </w:p>
          <w:p w14:paraId="58377B0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(1.01 - 1.04)</w:t>
            </w:r>
          </w:p>
        </w:tc>
        <w:tc>
          <w:tcPr>
            <w:tcW w:w="1296" w:type="dxa"/>
            <w:tcBorders>
              <w:top w:val="nil"/>
              <w:left w:val="nil"/>
              <w:bottom w:val="nil"/>
              <w:right w:val="nil"/>
            </w:tcBorders>
            <w:shd w:val="clear" w:color="auto" w:fill="auto"/>
            <w:vAlign w:val="center"/>
            <w:hideMark/>
          </w:tcPr>
          <w:p w14:paraId="6378C8E3"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vAlign w:val="center"/>
          </w:tcPr>
          <w:p w14:paraId="2BBF8F8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vAlign w:val="center"/>
          </w:tcPr>
          <w:p w14:paraId="6EF1C019"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r>
      <w:tr w:rsidR="00A311C2" w:rsidRPr="00280B9D" w14:paraId="6E96AC49" w14:textId="77777777" w:rsidTr="00B700E9">
        <w:trPr>
          <w:trHeight w:val="285"/>
        </w:trPr>
        <w:tc>
          <w:tcPr>
            <w:tcW w:w="3402" w:type="dxa"/>
            <w:tcBorders>
              <w:top w:val="nil"/>
              <w:left w:val="nil"/>
              <w:bottom w:val="nil"/>
              <w:right w:val="nil"/>
            </w:tcBorders>
            <w:shd w:val="clear" w:color="auto" w:fill="auto"/>
            <w:noWrap/>
            <w:hideMark/>
          </w:tcPr>
          <w:p w14:paraId="41CC5410"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Waist circumference (cm)</w:t>
            </w:r>
          </w:p>
        </w:tc>
        <w:tc>
          <w:tcPr>
            <w:tcW w:w="1296" w:type="dxa"/>
            <w:tcBorders>
              <w:top w:val="nil"/>
              <w:left w:val="nil"/>
              <w:bottom w:val="nil"/>
              <w:right w:val="nil"/>
            </w:tcBorders>
            <w:shd w:val="clear" w:color="auto" w:fill="auto"/>
            <w:noWrap/>
            <w:vAlign w:val="center"/>
            <w:hideMark/>
          </w:tcPr>
          <w:p w14:paraId="56C1D0C3"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6472B8B5"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2024D8DD"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40A05959"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6290749C"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5AD6773C"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1.02</w:t>
            </w:r>
          </w:p>
          <w:p w14:paraId="70A92E9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(1.01 - 1.04)</w:t>
            </w:r>
          </w:p>
        </w:tc>
        <w:tc>
          <w:tcPr>
            <w:tcW w:w="1296" w:type="dxa"/>
            <w:tcBorders>
              <w:top w:val="nil"/>
              <w:left w:val="nil"/>
              <w:bottom w:val="nil"/>
              <w:right w:val="nil"/>
            </w:tcBorders>
            <w:vAlign w:val="center"/>
          </w:tcPr>
          <w:p w14:paraId="256CF8A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vAlign w:val="center"/>
          </w:tcPr>
          <w:p w14:paraId="608BCF2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r>
      <w:tr w:rsidR="00A311C2" w:rsidRPr="00280B9D" w14:paraId="510515B6" w14:textId="77777777" w:rsidTr="004D1B3C">
        <w:trPr>
          <w:trHeight w:val="285"/>
        </w:trPr>
        <w:tc>
          <w:tcPr>
            <w:tcW w:w="3402" w:type="dxa"/>
            <w:tcBorders>
              <w:top w:val="nil"/>
              <w:left w:val="nil"/>
              <w:bottom w:val="nil"/>
              <w:right w:val="nil"/>
            </w:tcBorders>
            <w:shd w:val="clear" w:color="auto" w:fill="auto"/>
            <w:noWrap/>
            <w:vAlign w:val="center"/>
            <w:hideMark/>
          </w:tcPr>
          <w:p w14:paraId="255C514D" w14:textId="4F0AA62A" w:rsidR="00A311C2" w:rsidRPr="003A70F8" w:rsidRDefault="00A311C2" w:rsidP="004D1B3C">
            <w:pPr>
              <w:spacing w:after="0" w:line="480" w:lineRule="auto"/>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 xml:space="preserve">Candidate </w:t>
            </w:r>
            <w:r w:rsidR="00BA3584">
              <w:rPr>
                <w:rFonts w:ascii="Times New Roman" w:eastAsia="Times New Roman" w:hAnsi="Times New Roman" w:cs="Times New Roman"/>
                <w:b/>
                <w:bCs/>
                <w:color w:val="000000"/>
                <w:sz w:val="20"/>
                <w:szCs w:val="20"/>
                <w:lang w:eastAsia="en-GB"/>
              </w:rPr>
              <w:t>b</w:t>
            </w:r>
            <w:r w:rsidRPr="003A70F8">
              <w:rPr>
                <w:rFonts w:ascii="Times New Roman" w:eastAsia="Times New Roman" w:hAnsi="Times New Roman" w:cs="Times New Roman"/>
                <w:b/>
                <w:bCs/>
                <w:color w:val="000000"/>
                <w:sz w:val="20"/>
                <w:szCs w:val="20"/>
                <w:lang w:eastAsia="en-GB"/>
              </w:rPr>
              <w:t>iomarkers</w:t>
            </w:r>
          </w:p>
        </w:tc>
        <w:tc>
          <w:tcPr>
            <w:tcW w:w="1296" w:type="dxa"/>
            <w:tcBorders>
              <w:top w:val="nil"/>
              <w:left w:val="nil"/>
              <w:bottom w:val="nil"/>
              <w:right w:val="nil"/>
            </w:tcBorders>
            <w:shd w:val="clear" w:color="auto" w:fill="auto"/>
            <w:noWrap/>
            <w:vAlign w:val="center"/>
            <w:hideMark/>
          </w:tcPr>
          <w:p w14:paraId="61A7B649" w14:textId="77777777" w:rsidR="00A311C2" w:rsidRPr="0086073F" w:rsidRDefault="00A311C2" w:rsidP="004D1B3C">
            <w:pPr>
              <w:spacing w:after="0" w:line="480" w:lineRule="auto"/>
              <w:jc w:val="center"/>
              <w:rPr>
                <w:rFonts w:ascii="Times New Roman" w:eastAsia="Times New Roman" w:hAnsi="Times New Roman" w:cs="Times New Roman"/>
                <w:bCs/>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7A08FB03"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4592A2E4"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257FE7F6"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36F287C2"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114EEA95"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B8A0616"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9183710"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r>
      <w:tr w:rsidR="00A311C2" w:rsidRPr="00280B9D" w14:paraId="59807D7A" w14:textId="77777777" w:rsidTr="00B700E9">
        <w:trPr>
          <w:trHeight w:val="285"/>
        </w:trPr>
        <w:tc>
          <w:tcPr>
            <w:tcW w:w="3402" w:type="dxa"/>
            <w:tcBorders>
              <w:top w:val="nil"/>
              <w:left w:val="nil"/>
              <w:bottom w:val="nil"/>
              <w:right w:val="nil"/>
            </w:tcBorders>
            <w:shd w:val="clear" w:color="auto" w:fill="auto"/>
            <w:noWrap/>
            <w:hideMark/>
          </w:tcPr>
          <w:p w14:paraId="4B1ECA19"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HbA1C (mmol/mol)</w:t>
            </w:r>
          </w:p>
        </w:tc>
        <w:tc>
          <w:tcPr>
            <w:tcW w:w="1296" w:type="dxa"/>
            <w:tcBorders>
              <w:top w:val="nil"/>
              <w:left w:val="nil"/>
              <w:bottom w:val="nil"/>
              <w:right w:val="nil"/>
            </w:tcBorders>
            <w:shd w:val="clear" w:color="auto" w:fill="auto"/>
            <w:noWrap/>
            <w:vAlign w:val="center"/>
            <w:hideMark/>
          </w:tcPr>
          <w:p w14:paraId="773BF8E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52C864E6"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1.11</w:t>
            </w:r>
          </w:p>
          <w:p w14:paraId="6CD3A132"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(1.06 - 1.16)</w:t>
            </w:r>
          </w:p>
        </w:tc>
        <w:tc>
          <w:tcPr>
            <w:tcW w:w="1296" w:type="dxa"/>
            <w:tcBorders>
              <w:top w:val="nil"/>
              <w:left w:val="nil"/>
              <w:bottom w:val="nil"/>
              <w:right w:val="nil"/>
            </w:tcBorders>
            <w:shd w:val="clear" w:color="auto" w:fill="auto"/>
            <w:noWrap/>
            <w:vAlign w:val="center"/>
            <w:hideMark/>
          </w:tcPr>
          <w:p w14:paraId="0DDBEC9C"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1.10</w:t>
            </w:r>
          </w:p>
          <w:p w14:paraId="4910D04C"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(1.05 - 1.16)</w:t>
            </w:r>
          </w:p>
        </w:tc>
        <w:tc>
          <w:tcPr>
            <w:tcW w:w="1296" w:type="dxa"/>
            <w:tcBorders>
              <w:top w:val="nil"/>
              <w:left w:val="nil"/>
              <w:bottom w:val="nil"/>
              <w:right w:val="nil"/>
            </w:tcBorders>
            <w:shd w:val="clear" w:color="auto" w:fill="auto"/>
            <w:vAlign w:val="center"/>
            <w:hideMark/>
          </w:tcPr>
          <w:p w14:paraId="2513D338"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1.11</w:t>
            </w:r>
          </w:p>
          <w:p w14:paraId="049ADC7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(1.06 - 1.16)</w:t>
            </w:r>
          </w:p>
        </w:tc>
        <w:tc>
          <w:tcPr>
            <w:tcW w:w="1296" w:type="dxa"/>
            <w:tcBorders>
              <w:top w:val="nil"/>
              <w:left w:val="nil"/>
              <w:bottom w:val="nil"/>
              <w:right w:val="nil"/>
            </w:tcBorders>
            <w:shd w:val="clear" w:color="auto" w:fill="auto"/>
            <w:vAlign w:val="center"/>
            <w:hideMark/>
          </w:tcPr>
          <w:p w14:paraId="44099CBF"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1.11</w:t>
            </w:r>
          </w:p>
          <w:p w14:paraId="3FCF367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(1.06 - 1.16)</w:t>
            </w:r>
          </w:p>
        </w:tc>
        <w:tc>
          <w:tcPr>
            <w:tcW w:w="1296" w:type="dxa"/>
            <w:tcBorders>
              <w:top w:val="nil"/>
              <w:left w:val="nil"/>
              <w:bottom w:val="nil"/>
              <w:right w:val="nil"/>
            </w:tcBorders>
            <w:shd w:val="clear" w:color="auto" w:fill="auto"/>
            <w:noWrap/>
            <w:vAlign w:val="center"/>
            <w:hideMark/>
          </w:tcPr>
          <w:p w14:paraId="0B691600"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1.11</w:t>
            </w:r>
          </w:p>
          <w:p w14:paraId="597DBC44"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(1.06 - 1.16)</w:t>
            </w:r>
          </w:p>
        </w:tc>
        <w:tc>
          <w:tcPr>
            <w:tcW w:w="1296" w:type="dxa"/>
            <w:tcBorders>
              <w:top w:val="nil"/>
              <w:left w:val="nil"/>
              <w:bottom w:val="nil"/>
              <w:right w:val="nil"/>
            </w:tcBorders>
            <w:vAlign w:val="center"/>
          </w:tcPr>
          <w:p w14:paraId="47AC545E"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1.11</w:t>
            </w:r>
          </w:p>
          <w:p w14:paraId="392D87EB"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(1.06 - 1.16)</w:t>
            </w:r>
          </w:p>
        </w:tc>
        <w:tc>
          <w:tcPr>
            <w:tcW w:w="1296" w:type="dxa"/>
            <w:tcBorders>
              <w:top w:val="nil"/>
              <w:left w:val="nil"/>
              <w:bottom w:val="nil"/>
              <w:right w:val="nil"/>
            </w:tcBorders>
            <w:vAlign w:val="center"/>
          </w:tcPr>
          <w:p w14:paraId="22C4202F"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1.12</w:t>
            </w:r>
          </w:p>
          <w:p w14:paraId="59136E6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(1.08 - 1.17)</w:t>
            </w:r>
          </w:p>
        </w:tc>
      </w:tr>
      <w:tr w:rsidR="00A311C2" w:rsidRPr="00280B9D" w14:paraId="7706720A" w14:textId="77777777" w:rsidTr="00B700E9">
        <w:trPr>
          <w:trHeight w:val="285"/>
        </w:trPr>
        <w:tc>
          <w:tcPr>
            <w:tcW w:w="3402" w:type="dxa"/>
            <w:tcBorders>
              <w:top w:val="nil"/>
              <w:left w:val="nil"/>
              <w:bottom w:val="nil"/>
              <w:right w:val="nil"/>
            </w:tcBorders>
            <w:shd w:val="clear" w:color="auto" w:fill="auto"/>
            <w:noWrap/>
            <w:hideMark/>
          </w:tcPr>
          <w:p w14:paraId="315A9367"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Random glucose (mmol/l)</w:t>
            </w:r>
          </w:p>
        </w:tc>
        <w:tc>
          <w:tcPr>
            <w:tcW w:w="1296" w:type="dxa"/>
            <w:tcBorders>
              <w:top w:val="nil"/>
              <w:left w:val="nil"/>
              <w:bottom w:val="nil"/>
              <w:right w:val="nil"/>
            </w:tcBorders>
            <w:shd w:val="clear" w:color="auto" w:fill="auto"/>
            <w:noWrap/>
            <w:vAlign w:val="center"/>
            <w:hideMark/>
          </w:tcPr>
          <w:p w14:paraId="7AD5A75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7181950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1.52</w:t>
            </w:r>
          </w:p>
          <w:p w14:paraId="133F71C9"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lastRenderedPageBreak/>
              <w:t>(1.22 - 1.89)</w:t>
            </w:r>
          </w:p>
        </w:tc>
        <w:tc>
          <w:tcPr>
            <w:tcW w:w="1296" w:type="dxa"/>
            <w:tcBorders>
              <w:top w:val="nil"/>
              <w:left w:val="nil"/>
              <w:bottom w:val="nil"/>
              <w:right w:val="nil"/>
            </w:tcBorders>
            <w:shd w:val="clear" w:color="auto" w:fill="auto"/>
            <w:noWrap/>
            <w:vAlign w:val="center"/>
            <w:hideMark/>
          </w:tcPr>
          <w:p w14:paraId="03FCD4B6"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lastRenderedPageBreak/>
              <w:t>1.63</w:t>
            </w:r>
          </w:p>
          <w:p w14:paraId="1578EF6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lastRenderedPageBreak/>
              <w:t>(1.30 - 2.06)</w:t>
            </w:r>
          </w:p>
        </w:tc>
        <w:tc>
          <w:tcPr>
            <w:tcW w:w="1296" w:type="dxa"/>
            <w:tcBorders>
              <w:top w:val="nil"/>
              <w:left w:val="nil"/>
              <w:bottom w:val="nil"/>
              <w:right w:val="nil"/>
            </w:tcBorders>
            <w:shd w:val="clear" w:color="auto" w:fill="auto"/>
            <w:vAlign w:val="center"/>
            <w:hideMark/>
          </w:tcPr>
          <w:p w14:paraId="5B863A55"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lastRenderedPageBreak/>
              <w:t>1.66</w:t>
            </w:r>
          </w:p>
          <w:p w14:paraId="4778B3E2"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lastRenderedPageBreak/>
              <w:t>(1.35 - 2.05)</w:t>
            </w:r>
          </w:p>
        </w:tc>
        <w:tc>
          <w:tcPr>
            <w:tcW w:w="1296" w:type="dxa"/>
            <w:tcBorders>
              <w:top w:val="nil"/>
              <w:left w:val="nil"/>
              <w:bottom w:val="nil"/>
              <w:right w:val="nil"/>
            </w:tcBorders>
            <w:shd w:val="clear" w:color="auto" w:fill="auto"/>
            <w:vAlign w:val="center"/>
            <w:hideMark/>
          </w:tcPr>
          <w:p w14:paraId="7C99B93E"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lastRenderedPageBreak/>
              <w:t>1.65</w:t>
            </w:r>
          </w:p>
          <w:p w14:paraId="30647F0D"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lastRenderedPageBreak/>
              <w:t>(1.33 - 2.04)</w:t>
            </w:r>
          </w:p>
        </w:tc>
        <w:tc>
          <w:tcPr>
            <w:tcW w:w="1296" w:type="dxa"/>
            <w:tcBorders>
              <w:top w:val="nil"/>
              <w:left w:val="nil"/>
              <w:bottom w:val="nil"/>
              <w:right w:val="nil"/>
            </w:tcBorders>
            <w:shd w:val="clear" w:color="auto" w:fill="auto"/>
            <w:noWrap/>
            <w:vAlign w:val="center"/>
            <w:hideMark/>
          </w:tcPr>
          <w:p w14:paraId="1A6AF56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lastRenderedPageBreak/>
              <w:t>1.66</w:t>
            </w:r>
          </w:p>
          <w:p w14:paraId="14556EE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lastRenderedPageBreak/>
              <w:t>(1.34 - 2.05)</w:t>
            </w:r>
          </w:p>
        </w:tc>
        <w:tc>
          <w:tcPr>
            <w:tcW w:w="1296" w:type="dxa"/>
            <w:tcBorders>
              <w:top w:val="nil"/>
              <w:left w:val="nil"/>
              <w:bottom w:val="nil"/>
              <w:right w:val="nil"/>
            </w:tcBorders>
            <w:vAlign w:val="center"/>
          </w:tcPr>
          <w:p w14:paraId="2C8C3869"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vAlign w:val="center"/>
          </w:tcPr>
          <w:p w14:paraId="1A5CD93B"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r>
      <w:tr w:rsidR="00A311C2" w:rsidRPr="00280B9D" w14:paraId="7779C4B7" w14:textId="77777777" w:rsidTr="00B700E9">
        <w:trPr>
          <w:trHeight w:val="285"/>
        </w:trPr>
        <w:tc>
          <w:tcPr>
            <w:tcW w:w="3402" w:type="dxa"/>
            <w:tcBorders>
              <w:top w:val="nil"/>
              <w:left w:val="nil"/>
              <w:bottom w:val="nil"/>
              <w:right w:val="nil"/>
            </w:tcBorders>
            <w:shd w:val="clear" w:color="auto" w:fill="auto"/>
            <w:noWrap/>
            <w:hideMark/>
          </w:tcPr>
          <w:p w14:paraId="4D51E005"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lastRenderedPageBreak/>
              <w:t>Fructosamine (per 10umol/l)</w:t>
            </w:r>
          </w:p>
        </w:tc>
        <w:tc>
          <w:tcPr>
            <w:tcW w:w="1296" w:type="dxa"/>
            <w:tcBorders>
              <w:top w:val="nil"/>
              <w:left w:val="nil"/>
              <w:bottom w:val="nil"/>
              <w:right w:val="nil"/>
            </w:tcBorders>
            <w:shd w:val="clear" w:color="auto" w:fill="auto"/>
            <w:noWrap/>
            <w:vAlign w:val="center"/>
            <w:hideMark/>
          </w:tcPr>
          <w:p w14:paraId="590BF95B"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3B69F43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1.11</w:t>
            </w:r>
          </w:p>
          <w:p w14:paraId="6ACAF237"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(1.02 - 1.20)</w:t>
            </w:r>
          </w:p>
        </w:tc>
        <w:tc>
          <w:tcPr>
            <w:tcW w:w="1296" w:type="dxa"/>
            <w:tcBorders>
              <w:top w:val="nil"/>
              <w:left w:val="nil"/>
              <w:bottom w:val="nil"/>
              <w:right w:val="nil"/>
            </w:tcBorders>
            <w:shd w:val="clear" w:color="auto" w:fill="auto"/>
            <w:noWrap/>
            <w:vAlign w:val="center"/>
            <w:hideMark/>
          </w:tcPr>
          <w:p w14:paraId="06BB1B13"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1.13</w:t>
            </w:r>
          </w:p>
          <w:p w14:paraId="530A5B61"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(1.04 - 1.23)</w:t>
            </w:r>
          </w:p>
        </w:tc>
        <w:tc>
          <w:tcPr>
            <w:tcW w:w="1296" w:type="dxa"/>
            <w:tcBorders>
              <w:top w:val="nil"/>
              <w:left w:val="nil"/>
              <w:bottom w:val="nil"/>
              <w:right w:val="nil"/>
            </w:tcBorders>
            <w:shd w:val="clear" w:color="auto" w:fill="auto"/>
            <w:vAlign w:val="center"/>
            <w:hideMark/>
          </w:tcPr>
          <w:p w14:paraId="4F6069E9"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vAlign w:val="center"/>
            <w:hideMark/>
          </w:tcPr>
          <w:p w14:paraId="40CBE909"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69B7CC7E"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4B2CEFE4"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5FBC9CF"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0DAA790B" w14:textId="77777777" w:rsidTr="00B700E9">
        <w:trPr>
          <w:trHeight w:val="285"/>
        </w:trPr>
        <w:tc>
          <w:tcPr>
            <w:tcW w:w="3402" w:type="dxa"/>
            <w:tcBorders>
              <w:top w:val="nil"/>
              <w:left w:val="nil"/>
              <w:bottom w:val="nil"/>
              <w:right w:val="nil"/>
            </w:tcBorders>
            <w:shd w:val="clear" w:color="auto" w:fill="auto"/>
            <w:noWrap/>
            <w:hideMark/>
          </w:tcPr>
          <w:p w14:paraId="157C9B5E" w14:textId="5B3259FB"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S</w:t>
            </w:r>
            <w:r w:rsidR="00DC0FD2">
              <w:rPr>
                <w:rFonts w:ascii="Times New Roman" w:eastAsia="Times New Roman" w:hAnsi="Times New Roman" w:cs="Times New Roman"/>
                <w:color w:val="000000"/>
                <w:sz w:val="20"/>
                <w:szCs w:val="20"/>
                <w:lang w:eastAsia="en-GB"/>
              </w:rPr>
              <w:t>HBG</w:t>
            </w:r>
            <w:r w:rsidRPr="0086073F">
              <w:rPr>
                <w:rFonts w:ascii="Times New Roman" w:eastAsia="Times New Roman" w:hAnsi="Times New Roman" w:cs="Times New Roman"/>
                <w:color w:val="000000"/>
                <w:sz w:val="20"/>
                <w:szCs w:val="20"/>
                <w:lang w:eastAsia="en-GB"/>
              </w:rPr>
              <w:t xml:space="preserve"> (per 10nmol/l)</w:t>
            </w:r>
          </w:p>
        </w:tc>
        <w:tc>
          <w:tcPr>
            <w:tcW w:w="1296" w:type="dxa"/>
            <w:tcBorders>
              <w:top w:val="nil"/>
              <w:left w:val="nil"/>
              <w:bottom w:val="nil"/>
              <w:right w:val="nil"/>
            </w:tcBorders>
            <w:shd w:val="clear" w:color="auto" w:fill="auto"/>
            <w:noWrap/>
            <w:vAlign w:val="center"/>
            <w:hideMark/>
          </w:tcPr>
          <w:p w14:paraId="6861146D"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6F598B0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0.97</w:t>
            </w:r>
          </w:p>
          <w:p w14:paraId="5937D89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(0.96 - 0.99)</w:t>
            </w:r>
          </w:p>
        </w:tc>
        <w:tc>
          <w:tcPr>
            <w:tcW w:w="1296" w:type="dxa"/>
            <w:tcBorders>
              <w:top w:val="nil"/>
              <w:left w:val="nil"/>
              <w:bottom w:val="nil"/>
              <w:right w:val="nil"/>
            </w:tcBorders>
            <w:shd w:val="clear" w:color="auto" w:fill="auto"/>
            <w:noWrap/>
            <w:vAlign w:val="center"/>
            <w:hideMark/>
          </w:tcPr>
          <w:p w14:paraId="4E7E2B72"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0.98</w:t>
            </w:r>
          </w:p>
          <w:p w14:paraId="59558C87"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(0.96 - 0.99)</w:t>
            </w:r>
          </w:p>
        </w:tc>
        <w:tc>
          <w:tcPr>
            <w:tcW w:w="1296" w:type="dxa"/>
            <w:tcBorders>
              <w:top w:val="nil"/>
              <w:left w:val="nil"/>
              <w:bottom w:val="nil"/>
              <w:right w:val="nil"/>
            </w:tcBorders>
            <w:shd w:val="clear" w:color="auto" w:fill="auto"/>
            <w:vAlign w:val="center"/>
            <w:hideMark/>
          </w:tcPr>
          <w:p w14:paraId="41FD0843"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vAlign w:val="center"/>
            <w:hideMark/>
          </w:tcPr>
          <w:p w14:paraId="2332B76D"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6BB39634"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63963F47"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6066056"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1EEB5E97" w14:textId="77777777" w:rsidTr="00B700E9">
        <w:trPr>
          <w:trHeight w:val="285"/>
        </w:trPr>
        <w:tc>
          <w:tcPr>
            <w:tcW w:w="3402" w:type="dxa"/>
            <w:tcBorders>
              <w:top w:val="nil"/>
              <w:left w:val="nil"/>
              <w:bottom w:val="nil"/>
              <w:right w:val="nil"/>
            </w:tcBorders>
            <w:shd w:val="clear" w:color="auto" w:fill="auto"/>
            <w:noWrap/>
            <w:hideMark/>
          </w:tcPr>
          <w:p w14:paraId="5FF25E81"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 xml:space="preserve">Adiponectin (ug/ml) </w:t>
            </w:r>
            <w:r w:rsidRPr="00247AF1">
              <w:rPr>
                <w:rFonts w:ascii="Times New Roman" w:hAnsi="Times New Roman" w:cs="Times New Roman"/>
                <w:color w:val="312A2A"/>
                <w:sz w:val="20"/>
                <w:szCs w:val="20"/>
                <w:vertAlign w:val="superscript"/>
                <w:lang w:val="en-US"/>
              </w:rPr>
              <w:t>b</w:t>
            </w:r>
          </w:p>
        </w:tc>
        <w:tc>
          <w:tcPr>
            <w:tcW w:w="1296" w:type="dxa"/>
            <w:tcBorders>
              <w:top w:val="nil"/>
              <w:left w:val="nil"/>
              <w:bottom w:val="nil"/>
              <w:right w:val="nil"/>
            </w:tcBorders>
            <w:shd w:val="clear" w:color="auto" w:fill="auto"/>
            <w:noWrap/>
            <w:vAlign w:val="center"/>
            <w:hideMark/>
          </w:tcPr>
          <w:p w14:paraId="70206DF3"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2727037B"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0.73</w:t>
            </w:r>
          </w:p>
          <w:p w14:paraId="1EBD576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(0.60 - 0.89)</w:t>
            </w:r>
          </w:p>
        </w:tc>
        <w:tc>
          <w:tcPr>
            <w:tcW w:w="1296" w:type="dxa"/>
            <w:tcBorders>
              <w:top w:val="nil"/>
              <w:left w:val="nil"/>
              <w:bottom w:val="nil"/>
              <w:right w:val="nil"/>
            </w:tcBorders>
            <w:shd w:val="clear" w:color="auto" w:fill="auto"/>
            <w:noWrap/>
            <w:vAlign w:val="center"/>
            <w:hideMark/>
          </w:tcPr>
          <w:p w14:paraId="60CFF751"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0.73</w:t>
            </w:r>
          </w:p>
          <w:p w14:paraId="254FCEE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(0.60 - 0.90)</w:t>
            </w:r>
          </w:p>
        </w:tc>
        <w:tc>
          <w:tcPr>
            <w:tcW w:w="1296" w:type="dxa"/>
            <w:tcBorders>
              <w:top w:val="nil"/>
              <w:left w:val="nil"/>
              <w:bottom w:val="nil"/>
              <w:right w:val="nil"/>
            </w:tcBorders>
            <w:shd w:val="clear" w:color="auto" w:fill="auto"/>
            <w:vAlign w:val="center"/>
            <w:hideMark/>
          </w:tcPr>
          <w:p w14:paraId="01C0F353"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0.60</w:t>
            </w:r>
          </w:p>
          <w:p w14:paraId="6243593E"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(0.50 - 0.73)</w:t>
            </w:r>
          </w:p>
        </w:tc>
        <w:tc>
          <w:tcPr>
            <w:tcW w:w="1296" w:type="dxa"/>
            <w:tcBorders>
              <w:top w:val="nil"/>
              <w:left w:val="nil"/>
              <w:bottom w:val="nil"/>
              <w:right w:val="nil"/>
            </w:tcBorders>
            <w:shd w:val="clear" w:color="auto" w:fill="auto"/>
            <w:vAlign w:val="center"/>
            <w:hideMark/>
          </w:tcPr>
          <w:p w14:paraId="4CC3922A"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0.62</w:t>
            </w:r>
          </w:p>
          <w:p w14:paraId="05CB42A8"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(0.52 - 0.75)</w:t>
            </w:r>
          </w:p>
        </w:tc>
        <w:tc>
          <w:tcPr>
            <w:tcW w:w="1296" w:type="dxa"/>
            <w:tcBorders>
              <w:top w:val="nil"/>
              <w:left w:val="nil"/>
              <w:bottom w:val="nil"/>
              <w:right w:val="nil"/>
            </w:tcBorders>
            <w:shd w:val="clear" w:color="auto" w:fill="auto"/>
            <w:noWrap/>
            <w:vAlign w:val="center"/>
            <w:hideMark/>
          </w:tcPr>
          <w:p w14:paraId="61C8E200"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0.61</w:t>
            </w:r>
          </w:p>
          <w:p w14:paraId="7292F1F7"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(0.51 - 0.74)</w:t>
            </w:r>
          </w:p>
        </w:tc>
        <w:tc>
          <w:tcPr>
            <w:tcW w:w="1296" w:type="dxa"/>
            <w:tcBorders>
              <w:top w:val="nil"/>
              <w:left w:val="nil"/>
              <w:bottom w:val="nil"/>
              <w:right w:val="nil"/>
            </w:tcBorders>
            <w:vAlign w:val="center"/>
          </w:tcPr>
          <w:p w14:paraId="0A597404"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0.58</w:t>
            </w:r>
          </w:p>
          <w:p w14:paraId="24C4647E"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(0.48 - 0.70)</w:t>
            </w:r>
          </w:p>
        </w:tc>
        <w:tc>
          <w:tcPr>
            <w:tcW w:w="1296" w:type="dxa"/>
            <w:tcBorders>
              <w:top w:val="nil"/>
              <w:left w:val="nil"/>
              <w:bottom w:val="nil"/>
              <w:right w:val="nil"/>
            </w:tcBorders>
            <w:vAlign w:val="center"/>
          </w:tcPr>
          <w:p w14:paraId="1D50019A"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0.59</w:t>
            </w:r>
          </w:p>
          <w:p w14:paraId="215A43E5"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(0.49 - 0.70)</w:t>
            </w:r>
          </w:p>
        </w:tc>
      </w:tr>
      <w:tr w:rsidR="00A311C2" w:rsidRPr="00280B9D" w14:paraId="3E393770" w14:textId="77777777" w:rsidTr="00B700E9">
        <w:trPr>
          <w:trHeight w:val="285"/>
        </w:trPr>
        <w:tc>
          <w:tcPr>
            <w:tcW w:w="3402" w:type="dxa"/>
            <w:tcBorders>
              <w:top w:val="nil"/>
              <w:left w:val="nil"/>
              <w:bottom w:val="nil"/>
              <w:right w:val="nil"/>
            </w:tcBorders>
            <w:shd w:val="clear" w:color="auto" w:fill="auto"/>
            <w:noWrap/>
            <w:hideMark/>
          </w:tcPr>
          <w:p w14:paraId="46989BC0"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 xml:space="preserve">Triglycerides (mmol/l) </w:t>
            </w:r>
            <w:r w:rsidRPr="00247AF1">
              <w:rPr>
                <w:rFonts w:ascii="Times New Roman" w:hAnsi="Times New Roman" w:cs="Times New Roman"/>
                <w:color w:val="312A2A"/>
                <w:sz w:val="20"/>
                <w:szCs w:val="20"/>
                <w:vertAlign w:val="superscript"/>
                <w:lang w:val="en-US"/>
              </w:rPr>
              <w:t>b</w:t>
            </w:r>
          </w:p>
        </w:tc>
        <w:tc>
          <w:tcPr>
            <w:tcW w:w="1296" w:type="dxa"/>
            <w:tcBorders>
              <w:top w:val="nil"/>
              <w:left w:val="nil"/>
              <w:bottom w:val="nil"/>
              <w:right w:val="nil"/>
            </w:tcBorders>
            <w:shd w:val="clear" w:color="auto" w:fill="auto"/>
            <w:noWrap/>
            <w:vAlign w:val="center"/>
            <w:hideMark/>
          </w:tcPr>
          <w:p w14:paraId="679BE6D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62F4D5D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1.60</w:t>
            </w:r>
          </w:p>
          <w:p w14:paraId="65BCC1B1"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(1.08 - 2.38)</w:t>
            </w:r>
          </w:p>
        </w:tc>
        <w:tc>
          <w:tcPr>
            <w:tcW w:w="1296" w:type="dxa"/>
            <w:tcBorders>
              <w:top w:val="nil"/>
              <w:left w:val="nil"/>
              <w:bottom w:val="nil"/>
              <w:right w:val="nil"/>
            </w:tcBorders>
            <w:shd w:val="clear" w:color="auto" w:fill="auto"/>
            <w:noWrap/>
            <w:vAlign w:val="center"/>
            <w:hideMark/>
          </w:tcPr>
          <w:p w14:paraId="155F97AB"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vAlign w:val="center"/>
            <w:hideMark/>
          </w:tcPr>
          <w:p w14:paraId="0F4A31F9"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2C6BCF70"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3F01B515"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3F8CC5B7"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689C437"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35C1568D" w14:textId="77777777" w:rsidTr="004D1B3C">
        <w:trPr>
          <w:trHeight w:val="285"/>
        </w:trPr>
        <w:tc>
          <w:tcPr>
            <w:tcW w:w="3402" w:type="dxa"/>
            <w:tcBorders>
              <w:top w:val="nil"/>
              <w:left w:val="nil"/>
              <w:bottom w:val="nil"/>
              <w:right w:val="nil"/>
            </w:tcBorders>
            <w:shd w:val="clear" w:color="auto" w:fill="auto"/>
            <w:noWrap/>
            <w:vAlign w:val="center"/>
            <w:hideMark/>
          </w:tcPr>
          <w:p w14:paraId="3410AC23" w14:textId="77777777" w:rsidR="00A311C2" w:rsidRPr="003A70F8" w:rsidRDefault="00A311C2" w:rsidP="004D1B3C">
            <w:pPr>
              <w:spacing w:after="0" w:line="480" w:lineRule="auto"/>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Metabolome</w:t>
            </w:r>
          </w:p>
        </w:tc>
        <w:tc>
          <w:tcPr>
            <w:tcW w:w="1296" w:type="dxa"/>
            <w:tcBorders>
              <w:top w:val="nil"/>
              <w:left w:val="nil"/>
              <w:bottom w:val="nil"/>
              <w:right w:val="nil"/>
            </w:tcBorders>
            <w:shd w:val="clear" w:color="auto" w:fill="auto"/>
            <w:noWrap/>
            <w:vAlign w:val="center"/>
            <w:hideMark/>
          </w:tcPr>
          <w:p w14:paraId="7EA89C7E" w14:textId="77777777" w:rsidR="00A311C2" w:rsidRPr="0086073F" w:rsidRDefault="00A311C2" w:rsidP="004D1B3C">
            <w:pPr>
              <w:spacing w:after="0" w:line="480" w:lineRule="auto"/>
              <w:jc w:val="center"/>
              <w:rPr>
                <w:rFonts w:ascii="Times New Roman" w:eastAsia="Times New Roman" w:hAnsi="Times New Roman" w:cs="Times New Roman"/>
                <w:bCs/>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25888F8D"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02F7DEC8"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7A2A47DD"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4313E5BE"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6D618F8C"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52CCF2C8"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B8AC557" w14:textId="77777777" w:rsidR="00A311C2" w:rsidRPr="0086073F" w:rsidRDefault="00A311C2" w:rsidP="004D1B3C">
            <w:pPr>
              <w:spacing w:after="0" w:line="480" w:lineRule="auto"/>
              <w:jc w:val="center"/>
              <w:rPr>
                <w:rFonts w:ascii="Times New Roman" w:eastAsia="Times New Roman" w:hAnsi="Times New Roman" w:cs="Times New Roman"/>
                <w:sz w:val="20"/>
                <w:szCs w:val="20"/>
                <w:lang w:eastAsia="en-GB"/>
              </w:rPr>
            </w:pPr>
          </w:p>
        </w:tc>
      </w:tr>
      <w:tr w:rsidR="00A311C2" w:rsidRPr="00280B9D" w14:paraId="7DC39A82" w14:textId="77777777" w:rsidTr="00B700E9">
        <w:trPr>
          <w:trHeight w:val="285"/>
        </w:trPr>
        <w:tc>
          <w:tcPr>
            <w:tcW w:w="3402" w:type="dxa"/>
            <w:tcBorders>
              <w:top w:val="nil"/>
              <w:left w:val="nil"/>
              <w:bottom w:val="nil"/>
              <w:right w:val="nil"/>
            </w:tcBorders>
            <w:shd w:val="clear" w:color="auto" w:fill="auto"/>
            <w:noWrap/>
            <w:hideMark/>
          </w:tcPr>
          <w:p w14:paraId="55221EB0"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Triglycerides in medium HDL (per 10umol/l)</w:t>
            </w:r>
          </w:p>
        </w:tc>
        <w:tc>
          <w:tcPr>
            <w:tcW w:w="1296" w:type="dxa"/>
            <w:tcBorders>
              <w:top w:val="nil"/>
              <w:left w:val="nil"/>
              <w:bottom w:val="nil"/>
              <w:right w:val="nil"/>
            </w:tcBorders>
            <w:shd w:val="clear" w:color="auto" w:fill="auto"/>
            <w:noWrap/>
            <w:vAlign w:val="center"/>
            <w:hideMark/>
          </w:tcPr>
          <w:p w14:paraId="19001A02"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noWrap/>
            <w:vAlign w:val="center"/>
            <w:hideMark/>
          </w:tcPr>
          <w:p w14:paraId="33F290ED"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noWrap/>
            <w:vAlign w:val="center"/>
            <w:hideMark/>
          </w:tcPr>
          <w:p w14:paraId="7BAE9189"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1.36</w:t>
            </w:r>
          </w:p>
          <w:p w14:paraId="731232DF"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(1.14 - 1.61)</w:t>
            </w:r>
          </w:p>
        </w:tc>
        <w:tc>
          <w:tcPr>
            <w:tcW w:w="1296" w:type="dxa"/>
            <w:tcBorders>
              <w:top w:val="nil"/>
              <w:left w:val="nil"/>
              <w:bottom w:val="nil"/>
              <w:right w:val="nil"/>
            </w:tcBorders>
            <w:shd w:val="clear" w:color="auto" w:fill="auto"/>
            <w:vAlign w:val="center"/>
            <w:hideMark/>
          </w:tcPr>
          <w:p w14:paraId="1C3689D4"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nil"/>
              <w:right w:val="nil"/>
            </w:tcBorders>
            <w:shd w:val="clear" w:color="auto" w:fill="auto"/>
            <w:vAlign w:val="center"/>
            <w:hideMark/>
          </w:tcPr>
          <w:p w14:paraId="73524462"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shd w:val="clear" w:color="auto" w:fill="auto"/>
            <w:vAlign w:val="center"/>
            <w:hideMark/>
          </w:tcPr>
          <w:p w14:paraId="3616508C"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11CE8BF"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nil"/>
              <w:right w:val="nil"/>
            </w:tcBorders>
            <w:vAlign w:val="center"/>
          </w:tcPr>
          <w:p w14:paraId="1D19B1B8"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r>
      <w:tr w:rsidR="00A311C2" w:rsidRPr="00280B9D" w14:paraId="53D9FC8D" w14:textId="77777777" w:rsidTr="00B700E9">
        <w:trPr>
          <w:trHeight w:val="293"/>
        </w:trPr>
        <w:tc>
          <w:tcPr>
            <w:tcW w:w="3402" w:type="dxa"/>
            <w:tcBorders>
              <w:top w:val="nil"/>
              <w:left w:val="nil"/>
              <w:bottom w:val="single" w:sz="8" w:space="0" w:color="auto"/>
              <w:right w:val="nil"/>
            </w:tcBorders>
            <w:shd w:val="clear" w:color="auto" w:fill="auto"/>
            <w:noWrap/>
            <w:hideMark/>
          </w:tcPr>
          <w:p w14:paraId="540B760B" w14:textId="77777777" w:rsidR="00A311C2" w:rsidRPr="0086073F" w:rsidRDefault="00A311C2" w:rsidP="00B700E9">
            <w:pPr>
              <w:spacing w:after="0" w:line="276" w:lineRule="auto"/>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3-Hydroxybutyrate (per 10umol/l)</w:t>
            </w:r>
          </w:p>
        </w:tc>
        <w:tc>
          <w:tcPr>
            <w:tcW w:w="1296" w:type="dxa"/>
            <w:tcBorders>
              <w:top w:val="nil"/>
              <w:left w:val="nil"/>
              <w:bottom w:val="single" w:sz="8" w:space="0" w:color="auto"/>
              <w:right w:val="nil"/>
            </w:tcBorders>
            <w:shd w:val="clear" w:color="auto" w:fill="auto"/>
            <w:noWrap/>
            <w:vAlign w:val="center"/>
            <w:hideMark/>
          </w:tcPr>
          <w:p w14:paraId="56BC77C2"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single" w:sz="8" w:space="0" w:color="auto"/>
              <w:right w:val="nil"/>
            </w:tcBorders>
            <w:shd w:val="clear" w:color="auto" w:fill="auto"/>
            <w:noWrap/>
            <w:vAlign w:val="center"/>
            <w:hideMark/>
          </w:tcPr>
          <w:p w14:paraId="174B3FAC"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single" w:sz="8" w:space="0" w:color="auto"/>
              <w:right w:val="nil"/>
            </w:tcBorders>
            <w:shd w:val="clear" w:color="auto" w:fill="auto"/>
            <w:noWrap/>
            <w:vAlign w:val="center"/>
            <w:hideMark/>
          </w:tcPr>
          <w:p w14:paraId="3CD65611"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1.03</w:t>
            </w:r>
          </w:p>
          <w:p w14:paraId="05B0A6F1"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(1.01 - 1.06)</w:t>
            </w:r>
          </w:p>
        </w:tc>
        <w:tc>
          <w:tcPr>
            <w:tcW w:w="1296" w:type="dxa"/>
            <w:tcBorders>
              <w:top w:val="nil"/>
              <w:left w:val="nil"/>
              <w:bottom w:val="single" w:sz="8" w:space="0" w:color="auto"/>
              <w:right w:val="nil"/>
            </w:tcBorders>
            <w:shd w:val="clear" w:color="auto" w:fill="auto"/>
            <w:vAlign w:val="center"/>
            <w:hideMark/>
          </w:tcPr>
          <w:p w14:paraId="65011A14"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single" w:sz="8" w:space="0" w:color="auto"/>
              <w:right w:val="nil"/>
            </w:tcBorders>
            <w:shd w:val="clear" w:color="auto" w:fill="auto"/>
            <w:vAlign w:val="center"/>
            <w:hideMark/>
          </w:tcPr>
          <w:p w14:paraId="765269BF" w14:textId="77777777" w:rsidR="00A311C2" w:rsidRPr="0086073F" w:rsidRDefault="00A311C2" w:rsidP="00B700E9">
            <w:pPr>
              <w:spacing w:after="0" w:line="276" w:lineRule="auto"/>
              <w:jc w:val="center"/>
              <w:rPr>
                <w:rFonts w:ascii="Times New Roman" w:eastAsia="Times New Roman" w:hAnsi="Times New Roman" w:cs="Times New Roman"/>
                <w:sz w:val="20"/>
                <w:szCs w:val="20"/>
                <w:lang w:eastAsia="en-GB"/>
              </w:rPr>
            </w:pPr>
          </w:p>
        </w:tc>
        <w:tc>
          <w:tcPr>
            <w:tcW w:w="1296" w:type="dxa"/>
            <w:tcBorders>
              <w:top w:val="nil"/>
              <w:left w:val="nil"/>
              <w:bottom w:val="single" w:sz="8" w:space="0" w:color="auto"/>
              <w:right w:val="nil"/>
            </w:tcBorders>
            <w:shd w:val="clear" w:color="auto" w:fill="auto"/>
            <w:vAlign w:val="center"/>
            <w:hideMark/>
          </w:tcPr>
          <w:p w14:paraId="52AFC796"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single" w:sz="8" w:space="0" w:color="auto"/>
              <w:right w:val="nil"/>
            </w:tcBorders>
            <w:vAlign w:val="center"/>
          </w:tcPr>
          <w:p w14:paraId="3C88A16E"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c>
          <w:tcPr>
            <w:tcW w:w="1296" w:type="dxa"/>
            <w:tcBorders>
              <w:top w:val="nil"/>
              <w:left w:val="nil"/>
              <w:bottom w:val="single" w:sz="8" w:space="0" w:color="auto"/>
              <w:right w:val="nil"/>
            </w:tcBorders>
            <w:vAlign w:val="center"/>
          </w:tcPr>
          <w:p w14:paraId="60A5CDEE" w14:textId="77777777" w:rsidR="00A311C2" w:rsidRPr="0086073F" w:rsidRDefault="00A311C2" w:rsidP="00B700E9">
            <w:pPr>
              <w:spacing w:after="0" w:line="276" w:lineRule="auto"/>
              <w:jc w:val="center"/>
              <w:rPr>
                <w:rFonts w:ascii="Times New Roman" w:eastAsia="Times New Roman" w:hAnsi="Times New Roman" w:cs="Times New Roman"/>
                <w:color w:val="000000"/>
                <w:sz w:val="20"/>
                <w:szCs w:val="20"/>
                <w:lang w:eastAsia="en-GB"/>
              </w:rPr>
            </w:pPr>
          </w:p>
        </w:tc>
      </w:tr>
      <w:tr w:rsidR="00A311C2" w:rsidRPr="00280B9D" w14:paraId="31CD418D" w14:textId="77777777" w:rsidTr="004D1B3C">
        <w:trPr>
          <w:trHeight w:val="285"/>
        </w:trPr>
        <w:tc>
          <w:tcPr>
            <w:tcW w:w="3402" w:type="dxa"/>
            <w:tcBorders>
              <w:top w:val="single" w:sz="8" w:space="0" w:color="auto"/>
              <w:left w:val="nil"/>
              <w:bottom w:val="single" w:sz="8" w:space="0" w:color="auto"/>
              <w:right w:val="nil"/>
            </w:tcBorders>
            <w:shd w:val="clear" w:color="auto" w:fill="auto"/>
            <w:noWrap/>
            <w:vAlign w:val="center"/>
            <w:hideMark/>
          </w:tcPr>
          <w:p w14:paraId="6CBA85EF" w14:textId="77777777" w:rsidR="00A311C2" w:rsidRPr="003A70F8" w:rsidRDefault="00A311C2" w:rsidP="00B700E9">
            <w:pPr>
              <w:spacing w:after="0" w:line="276"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AUC</w:t>
            </w:r>
          </w:p>
        </w:tc>
        <w:tc>
          <w:tcPr>
            <w:tcW w:w="1296" w:type="dxa"/>
            <w:tcBorders>
              <w:top w:val="single" w:sz="8" w:space="0" w:color="auto"/>
              <w:left w:val="nil"/>
              <w:bottom w:val="single" w:sz="8" w:space="0" w:color="auto"/>
              <w:right w:val="nil"/>
            </w:tcBorders>
            <w:shd w:val="clear" w:color="auto" w:fill="auto"/>
            <w:noWrap/>
            <w:vAlign w:val="center"/>
            <w:hideMark/>
          </w:tcPr>
          <w:p w14:paraId="4AB1246D"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0.71</w:t>
            </w:r>
          </w:p>
          <w:p w14:paraId="08CF3428"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(0.68 - 0.74)</w:t>
            </w:r>
          </w:p>
        </w:tc>
        <w:tc>
          <w:tcPr>
            <w:tcW w:w="1296" w:type="dxa"/>
            <w:tcBorders>
              <w:top w:val="single" w:sz="8" w:space="0" w:color="auto"/>
              <w:left w:val="nil"/>
              <w:bottom w:val="single" w:sz="8" w:space="0" w:color="auto"/>
              <w:right w:val="nil"/>
            </w:tcBorders>
            <w:shd w:val="clear" w:color="auto" w:fill="auto"/>
            <w:noWrap/>
            <w:vAlign w:val="center"/>
            <w:hideMark/>
          </w:tcPr>
          <w:p w14:paraId="10108BBF"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0.77</w:t>
            </w:r>
          </w:p>
          <w:p w14:paraId="65CDCE1D" w14:textId="4EDCA184"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(0.73 - 0.8</w:t>
            </w:r>
            <w:r w:rsidR="006D5C9B">
              <w:rPr>
                <w:rFonts w:ascii="Times New Roman" w:hAnsi="Times New Roman" w:cs="Times New Roman"/>
                <w:sz w:val="20"/>
                <w:szCs w:val="20"/>
              </w:rPr>
              <w:t>0</w:t>
            </w:r>
            <w:r w:rsidRPr="0086073F">
              <w:rPr>
                <w:rFonts w:ascii="Times New Roman" w:hAnsi="Times New Roman" w:cs="Times New Roman"/>
                <w:sz w:val="20"/>
                <w:szCs w:val="20"/>
              </w:rPr>
              <w:t>)</w:t>
            </w:r>
          </w:p>
        </w:tc>
        <w:tc>
          <w:tcPr>
            <w:tcW w:w="1296" w:type="dxa"/>
            <w:tcBorders>
              <w:top w:val="single" w:sz="8" w:space="0" w:color="auto"/>
              <w:left w:val="nil"/>
              <w:bottom w:val="single" w:sz="8" w:space="0" w:color="auto"/>
              <w:right w:val="nil"/>
            </w:tcBorders>
            <w:shd w:val="clear" w:color="auto" w:fill="auto"/>
            <w:noWrap/>
            <w:vAlign w:val="center"/>
            <w:hideMark/>
          </w:tcPr>
          <w:p w14:paraId="2369236D"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0.77</w:t>
            </w:r>
          </w:p>
          <w:p w14:paraId="1380CDDD"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(0.74 - 0.81)</w:t>
            </w:r>
          </w:p>
        </w:tc>
        <w:tc>
          <w:tcPr>
            <w:tcW w:w="1296" w:type="dxa"/>
            <w:tcBorders>
              <w:top w:val="single" w:sz="8" w:space="0" w:color="auto"/>
              <w:left w:val="nil"/>
              <w:bottom w:val="single" w:sz="8" w:space="0" w:color="auto"/>
              <w:right w:val="nil"/>
            </w:tcBorders>
            <w:shd w:val="clear" w:color="auto" w:fill="auto"/>
            <w:vAlign w:val="center"/>
            <w:hideMark/>
          </w:tcPr>
          <w:p w14:paraId="4F6652C7"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0.72</w:t>
            </w:r>
          </w:p>
          <w:p w14:paraId="23827EAD"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(0.68 - 0.76)</w:t>
            </w:r>
          </w:p>
        </w:tc>
        <w:tc>
          <w:tcPr>
            <w:tcW w:w="1296" w:type="dxa"/>
            <w:tcBorders>
              <w:top w:val="single" w:sz="8" w:space="0" w:color="auto"/>
              <w:left w:val="nil"/>
              <w:bottom w:val="single" w:sz="8" w:space="0" w:color="auto"/>
              <w:right w:val="nil"/>
            </w:tcBorders>
            <w:shd w:val="clear" w:color="auto" w:fill="auto"/>
            <w:vAlign w:val="center"/>
            <w:hideMark/>
          </w:tcPr>
          <w:p w14:paraId="60427947"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0.73</w:t>
            </w:r>
          </w:p>
          <w:p w14:paraId="71338F1A"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(0.69 - 0.77)</w:t>
            </w:r>
          </w:p>
        </w:tc>
        <w:tc>
          <w:tcPr>
            <w:tcW w:w="1296" w:type="dxa"/>
            <w:tcBorders>
              <w:top w:val="single" w:sz="8" w:space="0" w:color="auto"/>
              <w:left w:val="nil"/>
              <w:bottom w:val="single" w:sz="8" w:space="0" w:color="auto"/>
              <w:right w:val="nil"/>
            </w:tcBorders>
            <w:shd w:val="clear" w:color="auto" w:fill="auto"/>
            <w:noWrap/>
            <w:vAlign w:val="center"/>
            <w:hideMark/>
          </w:tcPr>
          <w:p w14:paraId="6205D161"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0.73</w:t>
            </w:r>
          </w:p>
          <w:p w14:paraId="143E5686"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(0.69 - 0.77)</w:t>
            </w:r>
          </w:p>
        </w:tc>
        <w:tc>
          <w:tcPr>
            <w:tcW w:w="1296" w:type="dxa"/>
            <w:tcBorders>
              <w:top w:val="single" w:sz="8" w:space="0" w:color="auto"/>
              <w:left w:val="nil"/>
              <w:bottom w:val="single" w:sz="8" w:space="0" w:color="auto"/>
              <w:right w:val="nil"/>
            </w:tcBorders>
            <w:vAlign w:val="center"/>
          </w:tcPr>
          <w:p w14:paraId="368A15D1"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0.71</w:t>
            </w:r>
          </w:p>
          <w:p w14:paraId="6A73C32C"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(0.67 - 0.75)</w:t>
            </w:r>
          </w:p>
        </w:tc>
        <w:tc>
          <w:tcPr>
            <w:tcW w:w="1296" w:type="dxa"/>
            <w:tcBorders>
              <w:top w:val="single" w:sz="8" w:space="0" w:color="auto"/>
              <w:left w:val="nil"/>
              <w:bottom w:val="single" w:sz="8" w:space="0" w:color="auto"/>
              <w:right w:val="nil"/>
            </w:tcBorders>
            <w:vAlign w:val="center"/>
          </w:tcPr>
          <w:p w14:paraId="76135D6D"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0.68</w:t>
            </w:r>
          </w:p>
          <w:p w14:paraId="5FF414C2"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(0.64 – 0.72)</w:t>
            </w:r>
          </w:p>
        </w:tc>
      </w:tr>
      <w:tr w:rsidR="00A311C2" w:rsidRPr="00280B9D" w14:paraId="78545714" w14:textId="77777777" w:rsidTr="00CE77D8">
        <w:trPr>
          <w:trHeight w:val="285"/>
        </w:trPr>
        <w:tc>
          <w:tcPr>
            <w:tcW w:w="3402" w:type="dxa"/>
            <w:tcBorders>
              <w:top w:val="single" w:sz="8" w:space="0" w:color="auto"/>
              <w:left w:val="nil"/>
              <w:right w:val="nil"/>
            </w:tcBorders>
            <w:shd w:val="clear" w:color="auto" w:fill="auto"/>
            <w:noWrap/>
            <w:vAlign w:val="center"/>
          </w:tcPr>
          <w:p w14:paraId="2A58875B" w14:textId="709EA71F"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 xml:space="preserve">Internal </w:t>
            </w:r>
            <w:r w:rsidR="00BA3584">
              <w:rPr>
                <w:rFonts w:ascii="Times New Roman" w:eastAsia="Times New Roman" w:hAnsi="Times New Roman" w:cs="Times New Roman"/>
                <w:bCs/>
                <w:color w:val="000000"/>
                <w:sz w:val="20"/>
                <w:szCs w:val="20"/>
                <w:lang w:eastAsia="en-GB"/>
              </w:rPr>
              <w:t>v</w:t>
            </w:r>
            <w:r w:rsidRPr="0086073F">
              <w:rPr>
                <w:rFonts w:ascii="Times New Roman" w:eastAsia="Times New Roman" w:hAnsi="Times New Roman" w:cs="Times New Roman"/>
                <w:bCs/>
                <w:color w:val="000000"/>
                <w:sz w:val="20"/>
                <w:szCs w:val="20"/>
                <w:lang w:eastAsia="en-GB"/>
              </w:rPr>
              <w:t xml:space="preserve">alidation:  </w:t>
            </w:r>
            <w:r w:rsidR="00BA3584">
              <w:rPr>
                <w:rFonts w:ascii="Times New Roman" w:eastAsia="Times New Roman" w:hAnsi="Times New Roman" w:cs="Times New Roman"/>
                <w:bCs/>
                <w:color w:val="000000"/>
                <w:sz w:val="20"/>
                <w:szCs w:val="20"/>
                <w:lang w:eastAsia="en-GB"/>
              </w:rPr>
              <w:t>s</w:t>
            </w:r>
            <w:r w:rsidRPr="0086073F">
              <w:rPr>
                <w:rFonts w:ascii="Times New Roman" w:eastAsia="Times New Roman" w:hAnsi="Times New Roman" w:cs="Times New Roman"/>
                <w:bCs/>
                <w:color w:val="000000"/>
                <w:sz w:val="20"/>
                <w:szCs w:val="20"/>
                <w:lang w:eastAsia="en-GB"/>
              </w:rPr>
              <w:t xml:space="preserve">tandard </w:t>
            </w:r>
            <w:r w:rsidR="00BA3584">
              <w:rPr>
                <w:rFonts w:ascii="Times New Roman" w:eastAsia="Times New Roman" w:hAnsi="Times New Roman" w:cs="Times New Roman"/>
                <w:bCs/>
                <w:color w:val="000000"/>
                <w:sz w:val="20"/>
                <w:szCs w:val="20"/>
                <w:lang w:eastAsia="en-GB"/>
              </w:rPr>
              <w:t>m</w:t>
            </w:r>
            <w:r w:rsidRPr="0086073F">
              <w:rPr>
                <w:rFonts w:ascii="Times New Roman" w:eastAsia="Times New Roman" w:hAnsi="Times New Roman" w:cs="Times New Roman"/>
                <w:bCs/>
                <w:color w:val="000000"/>
                <w:sz w:val="20"/>
                <w:szCs w:val="20"/>
                <w:lang w:eastAsia="en-GB"/>
              </w:rPr>
              <w:t>ethod</w:t>
            </w:r>
          </w:p>
        </w:tc>
        <w:tc>
          <w:tcPr>
            <w:tcW w:w="1296" w:type="dxa"/>
            <w:tcBorders>
              <w:top w:val="single" w:sz="8" w:space="0" w:color="auto"/>
              <w:left w:val="nil"/>
              <w:right w:val="nil"/>
            </w:tcBorders>
            <w:shd w:val="clear" w:color="auto" w:fill="auto"/>
            <w:noWrap/>
            <w:vAlign w:val="center"/>
          </w:tcPr>
          <w:p w14:paraId="214D6C54"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0.70</w:t>
            </w:r>
          </w:p>
          <w:p w14:paraId="324183D2"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(0.66 - 0.74)</w:t>
            </w:r>
          </w:p>
        </w:tc>
        <w:tc>
          <w:tcPr>
            <w:tcW w:w="1296" w:type="dxa"/>
            <w:tcBorders>
              <w:top w:val="single" w:sz="8" w:space="0" w:color="auto"/>
              <w:left w:val="nil"/>
              <w:right w:val="nil"/>
            </w:tcBorders>
            <w:shd w:val="clear" w:color="auto" w:fill="auto"/>
            <w:noWrap/>
            <w:vAlign w:val="center"/>
          </w:tcPr>
          <w:p w14:paraId="166AD6B3"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0.75</w:t>
            </w:r>
          </w:p>
          <w:p w14:paraId="1BBB487A" w14:textId="3B763540"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(0.7</w:t>
            </w:r>
            <w:r w:rsidR="006D5C9B">
              <w:rPr>
                <w:rFonts w:ascii="Times New Roman" w:hAnsi="Times New Roman" w:cs="Times New Roman"/>
                <w:sz w:val="20"/>
                <w:szCs w:val="20"/>
              </w:rPr>
              <w:t>0</w:t>
            </w:r>
            <w:r w:rsidRPr="0086073F">
              <w:rPr>
                <w:rFonts w:ascii="Times New Roman" w:hAnsi="Times New Roman" w:cs="Times New Roman"/>
                <w:sz w:val="20"/>
                <w:szCs w:val="20"/>
              </w:rPr>
              <w:t xml:space="preserve"> - 0.81)</w:t>
            </w:r>
          </w:p>
        </w:tc>
        <w:tc>
          <w:tcPr>
            <w:tcW w:w="1296" w:type="dxa"/>
            <w:tcBorders>
              <w:top w:val="single" w:sz="8" w:space="0" w:color="auto"/>
              <w:left w:val="nil"/>
              <w:right w:val="nil"/>
            </w:tcBorders>
            <w:shd w:val="clear" w:color="auto" w:fill="auto"/>
            <w:noWrap/>
            <w:vAlign w:val="center"/>
          </w:tcPr>
          <w:p w14:paraId="7AD833AD"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0.75</w:t>
            </w:r>
          </w:p>
          <w:p w14:paraId="53437F5D"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(0.69 - 0.81)</w:t>
            </w:r>
          </w:p>
        </w:tc>
        <w:tc>
          <w:tcPr>
            <w:tcW w:w="1296" w:type="dxa"/>
            <w:tcBorders>
              <w:top w:val="single" w:sz="8" w:space="0" w:color="auto"/>
              <w:left w:val="nil"/>
              <w:right w:val="nil"/>
            </w:tcBorders>
            <w:shd w:val="clear" w:color="auto" w:fill="auto"/>
            <w:vAlign w:val="center"/>
          </w:tcPr>
          <w:p w14:paraId="5F79F4DD"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0.71</w:t>
            </w:r>
          </w:p>
          <w:p w14:paraId="64B3B992"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(0.67 - 0.76)</w:t>
            </w:r>
          </w:p>
        </w:tc>
        <w:tc>
          <w:tcPr>
            <w:tcW w:w="1296" w:type="dxa"/>
            <w:tcBorders>
              <w:top w:val="single" w:sz="8" w:space="0" w:color="auto"/>
              <w:left w:val="nil"/>
              <w:right w:val="nil"/>
            </w:tcBorders>
            <w:shd w:val="clear" w:color="auto" w:fill="auto"/>
            <w:vAlign w:val="center"/>
          </w:tcPr>
          <w:p w14:paraId="5DE2F678"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0.72</w:t>
            </w:r>
          </w:p>
          <w:p w14:paraId="67165107"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(0.67 - 0.77)</w:t>
            </w:r>
          </w:p>
        </w:tc>
        <w:tc>
          <w:tcPr>
            <w:tcW w:w="1296" w:type="dxa"/>
            <w:tcBorders>
              <w:top w:val="single" w:sz="8" w:space="0" w:color="auto"/>
              <w:left w:val="nil"/>
              <w:right w:val="nil"/>
            </w:tcBorders>
            <w:shd w:val="clear" w:color="auto" w:fill="auto"/>
            <w:noWrap/>
            <w:vAlign w:val="center"/>
          </w:tcPr>
          <w:p w14:paraId="5E2F67E9"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0.72</w:t>
            </w:r>
          </w:p>
          <w:p w14:paraId="5BB244D6"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(0.67 - 0.77)</w:t>
            </w:r>
          </w:p>
        </w:tc>
        <w:tc>
          <w:tcPr>
            <w:tcW w:w="1296" w:type="dxa"/>
            <w:tcBorders>
              <w:top w:val="single" w:sz="8" w:space="0" w:color="auto"/>
              <w:left w:val="nil"/>
              <w:right w:val="nil"/>
            </w:tcBorders>
            <w:vAlign w:val="center"/>
          </w:tcPr>
          <w:p w14:paraId="6107B4DC"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0.71</w:t>
            </w:r>
          </w:p>
          <w:p w14:paraId="7FB24412"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(0.67 - 0.75)</w:t>
            </w:r>
          </w:p>
        </w:tc>
        <w:tc>
          <w:tcPr>
            <w:tcW w:w="1296" w:type="dxa"/>
            <w:tcBorders>
              <w:top w:val="single" w:sz="8" w:space="0" w:color="auto"/>
              <w:left w:val="nil"/>
              <w:right w:val="nil"/>
            </w:tcBorders>
            <w:vAlign w:val="center"/>
          </w:tcPr>
          <w:p w14:paraId="74EA52CF"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0.68</w:t>
            </w:r>
          </w:p>
          <w:p w14:paraId="5C77BB2B"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eastAsia="Times New Roman" w:hAnsi="Times New Roman" w:cs="Times New Roman"/>
                <w:bCs/>
                <w:color w:val="000000"/>
                <w:sz w:val="20"/>
                <w:szCs w:val="20"/>
                <w:lang w:eastAsia="en-GB"/>
              </w:rPr>
              <w:t>(0.63 – 0.73)</w:t>
            </w:r>
          </w:p>
        </w:tc>
      </w:tr>
      <w:tr w:rsidR="00A311C2" w:rsidRPr="00280B9D" w14:paraId="6ECE7B42" w14:textId="77777777" w:rsidTr="00CE77D8">
        <w:trPr>
          <w:trHeight w:val="285"/>
        </w:trPr>
        <w:tc>
          <w:tcPr>
            <w:tcW w:w="3402" w:type="dxa"/>
            <w:tcBorders>
              <w:left w:val="nil"/>
              <w:bottom w:val="single" w:sz="12" w:space="0" w:color="auto"/>
              <w:right w:val="nil"/>
            </w:tcBorders>
            <w:shd w:val="clear" w:color="auto" w:fill="auto"/>
            <w:noWrap/>
            <w:vAlign w:val="center"/>
          </w:tcPr>
          <w:p w14:paraId="569DA123" w14:textId="314742EE" w:rsidR="00A311C2" w:rsidRPr="0086073F" w:rsidRDefault="00A311C2" w:rsidP="00B700E9">
            <w:pPr>
              <w:spacing w:after="0" w:line="276" w:lineRule="auto"/>
              <w:jc w:val="center"/>
              <w:rPr>
                <w:rFonts w:ascii="Times New Roman" w:eastAsia="Times New Roman" w:hAnsi="Times New Roman" w:cs="Times New Roman"/>
                <w:bCs/>
                <w:color w:val="000000"/>
                <w:sz w:val="20"/>
                <w:szCs w:val="20"/>
                <w:vertAlign w:val="superscript"/>
                <w:lang w:eastAsia="en-GB"/>
              </w:rPr>
            </w:pPr>
            <w:r w:rsidRPr="0086073F">
              <w:rPr>
                <w:rFonts w:ascii="Times New Roman" w:eastAsia="Times New Roman" w:hAnsi="Times New Roman" w:cs="Times New Roman"/>
                <w:bCs/>
                <w:color w:val="000000"/>
                <w:sz w:val="20"/>
                <w:szCs w:val="20"/>
                <w:lang w:eastAsia="en-GB"/>
              </w:rPr>
              <w:t xml:space="preserve">Altman </w:t>
            </w:r>
            <w:r w:rsidR="00BA3584">
              <w:rPr>
                <w:rFonts w:ascii="Times New Roman" w:eastAsia="Times New Roman" w:hAnsi="Times New Roman" w:cs="Times New Roman"/>
                <w:bCs/>
                <w:color w:val="000000"/>
                <w:sz w:val="20"/>
                <w:szCs w:val="20"/>
                <w:lang w:eastAsia="en-GB"/>
              </w:rPr>
              <w:t>m</w:t>
            </w:r>
            <w:r w:rsidRPr="0086073F">
              <w:rPr>
                <w:rFonts w:ascii="Times New Roman" w:eastAsia="Times New Roman" w:hAnsi="Times New Roman" w:cs="Times New Roman"/>
                <w:bCs/>
                <w:color w:val="000000"/>
                <w:sz w:val="20"/>
                <w:szCs w:val="20"/>
                <w:lang w:eastAsia="en-GB"/>
              </w:rPr>
              <w:t xml:space="preserve">ethod </w:t>
            </w:r>
            <w:r w:rsidRPr="00247AF1">
              <w:rPr>
                <w:rFonts w:ascii="Times New Roman" w:hAnsi="Times New Roman" w:cs="Times New Roman"/>
                <w:color w:val="312A2A"/>
                <w:sz w:val="20"/>
                <w:szCs w:val="20"/>
                <w:vertAlign w:val="superscript"/>
                <w:lang w:val="en-US"/>
              </w:rPr>
              <w:t>c</w:t>
            </w:r>
          </w:p>
        </w:tc>
        <w:tc>
          <w:tcPr>
            <w:tcW w:w="1296" w:type="dxa"/>
            <w:tcBorders>
              <w:left w:val="nil"/>
              <w:bottom w:val="single" w:sz="12" w:space="0" w:color="auto"/>
              <w:right w:val="nil"/>
            </w:tcBorders>
            <w:shd w:val="clear" w:color="auto" w:fill="auto"/>
            <w:noWrap/>
            <w:vAlign w:val="center"/>
          </w:tcPr>
          <w:p w14:paraId="783B93C1"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0.69</w:t>
            </w:r>
          </w:p>
          <w:p w14:paraId="20A03D5D"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(0.65 - 0.72)</w:t>
            </w:r>
          </w:p>
        </w:tc>
        <w:tc>
          <w:tcPr>
            <w:tcW w:w="1296" w:type="dxa"/>
            <w:tcBorders>
              <w:left w:val="nil"/>
              <w:bottom w:val="single" w:sz="12" w:space="0" w:color="auto"/>
              <w:right w:val="nil"/>
            </w:tcBorders>
            <w:shd w:val="clear" w:color="auto" w:fill="auto"/>
            <w:noWrap/>
            <w:vAlign w:val="center"/>
          </w:tcPr>
          <w:p w14:paraId="3E5EE1FE"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0.73</w:t>
            </w:r>
          </w:p>
          <w:p w14:paraId="59109282"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(0.68 - 0.78)</w:t>
            </w:r>
          </w:p>
        </w:tc>
        <w:tc>
          <w:tcPr>
            <w:tcW w:w="1296" w:type="dxa"/>
            <w:tcBorders>
              <w:left w:val="nil"/>
              <w:bottom w:val="single" w:sz="12" w:space="0" w:color="auto"/>
              <w:right w:val="nil"/>
            </w:tcBorders>
            <w:shd w:val="clear" w:color="auto" w:fill="auto"/>
            <w:noWrap/>
            <w:vAlign w:val="center"/>
          </w:tcPr>
          <w:p w14:paraId="6BD158C5" w14:textId="77777777" w:rsidR="00A311C2" w:rsidRPr="0086073F" w:rsidRDefault="00A311C2" w:rsidP="00B700E9">
            <w:pPr>
              <w:spacing w:after="0" w:line="276" w:lineRule="auto"/>
              <w:jc w:val="center"/>
              <w:rPr>
                <w:rFonts w:ascii="Times New Roman" w:hAnsi="Times New Roman" w:cs="Times New Roman"/>
                <w:sz w:val="20"/>
                <w:szCs w:val="20"/>
              </w:rPr>
            </w:pPr>
            <w:r w:rsidRPr="0086073F">
              <w:rPr>
                <w:rFonts w:ascii="Times New Roman" w:hAnsi="Times New Roman" w:cs="Times New Roman"/>
                <w:sz w:val="20"/>
                <w:szCs w:val="20"/>
              </w:rPr>
              <w:t>0.73</w:t>
            </w:r>
          </w:p>
          <w:p w14:paraId="59476BB6" w14:textId="012D21CC"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r w:rsidRPr="0086073F">
              <w:rPr>
                <w:rFonts w:ascii="Times New Roman" w:hAnsi="Times New Roman" w:cs="Times New Roman"/>
                <w:sz w:val="20"/>
                <w:szCs w:val="20"/>
              </w:rPr>
              <w:t>(0.66 - 0.8</w:t>
            </w:r>
            <w:r w:rsidR="006D5C9B">
              <w:rPr>
                <w:rFonts w:ascii="Times New Roman" w:hAnsi="Times New Roman" w:cs="Times New Roman"/>
                <w:sz w:val="20"/>
                <w:szCs w:val="20"/>
              </w:rPr>
              <w:t>0</w:t>
            </w:r>
            <w:r w:rsidRPr="0086073F">
              <w:rPr>
                <w:rFonts w:ascii="Times New Roman" w:hAnsi="Times New Roman" w:cs="Times New Roman"/>
                <w:sz w:val="20"/>
                <w:szCs w:val="20"/>
              </w:rPr>
              <w:t>)</w:t>
            </w:r>
          </w:p>
        </w:tc>
        <w:tc>
          <w:tcPr>
            <w:tcW w:w="1296" w:type="dxa"/>
            <w:tcBorders>
              <w:left w:val="nil"/>
              <w:bottom w:val="single" w:sz="12" w:space="0" w:color="auto"/>
              <w:right w:val="nil"/>
            </w:tcBorders>
            <w:shd w:val="clear" w:color="auto" w:fill="auto"/>
            <w:vAlign w:val="center"/>
          </w:tcPr>
          <w:p w14:paraId="23FBFF68"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p>
        </w:tc>
        <w:tc>
          <w:tcPr>
            <w:tcW w:w="1296" w:type="dxa"/>
            <w:tcBorders>
              <w:left w:val="nil"/>
              <w:bottom w:val="single" w:sz="12" w:space="0" w:color="auto"/>
              <w:right w:val="nil"/>
            </w:tcBorders>
            <w:shd w:val="clear" w:color="auto" w:fill="auto"/>
            <w:vAlign w:val="center"/>
          </w:tcPr>
          <w:p w14:paraId="15820DE7"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p>
        </w:tc>
        <w:tc>
          <w:tcPr>
            <w:tcW w:w="1296" w:type="dxa"/>
            <w:tcBorders>
              <w:left w:val="nil"/>
              <w:bottom w:val="single" w:sz="12" w:space="0" w:color="auto"/>
              <w:right w:val="nil"/>
            </w:tcBorders>
            <w:shd w:val="clear" w:color="auto" w:fill="auto"/>
            <w:noWrap/>
            <w:vAlign w:val="center"/>
          </w:tcPr>
          <w:p w14:paraId="395C1795"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lang w:eastAsia="en-GB"/>
              </w:rPr>
            </w:pPr>
          </w:p>
        </w:tc>
        <w:tc>
          <w:tcPr>
            <w:tcW w:w="1296" w:type="dxa"/>
            <w:tcBorders>
              <w:left w:val="nil"/>
              <w:bottom w:val="single" w:sz="12" w:space="0" w:color="auto"/>
              <w:right w:val="nil"/>
            </w:tcBorders>
            <w:vAlign w:val="center"/>
          </w:tcPr>
          <w:p w14:paraId="1D017F9B"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highlight w:val="yellow"/>
                <w:lang w:eastAsia="en-GB"/>
              </w:rPr>
            </w:pPr>
          </w:p>
        </w:tc>
        <w:tc>
          <w:tcPr>
            <w:tcW w:w="1296" w:type="dxa"/>
            <w:tcBorders>
              <w:left w:val="nil"/>
              <w:bottom w:val="single" w:sz="12" w:space="0" w:color="auto"/>
              <w:right w:val="nil"/>
            </w:tcBorders>
            <w:vAlign w:val="center"/>
          </w:tcPr>
          <w:p w14:paraId="5D8913EE" w14:textId="77777777" w:rsidR="00A311C2" w:rsidRPr="0086073F" w:rsidRDefault="00A311C2" w:rsidP="00B700E9">
            <w:pPr>
              <w:spacing w:after="0" w:line="276" w:lineRule="auto"/>
              <w:jc w:val="center"/>
              <w:rPr>
                <w:rFonts w:ascii="Times New Roman" w:eastAsia="Times New Roman" w:hAnsi="Times New Roman" w:cs="Times New Roman"/>
                <w:bCs/>
                <w:color w:val="000000"/>
                <w:sz w:val="20"/>
                <w:szCs w:val="20"/>
                <w:highlight w:val="yellow"/>
                <w:lang w:eastAsia="en-GB"/>
              </w:rPr>
            </w:pPr>
          </w:p>
        </w:tc>
      </w:tr>
    </w:tbl>
    <w:p w14:paraId="29DABFCE" w14:textId="52CA8710" w:rsidR="00DC0FD2" w:rsidRDefault="00DC0FD2" w:rsidP="00DC0FD2">
      <w:pPr>
        <w:spacing w:after="0"/>
        <w:rPr>
          <w:rFonts w:ascii="Times New Roman" w:hAnsi="Times New Roman" w:cs="Times New Roman"/>
          <w:sz w:val="20"/>
          <w:szCs w:val="20"/>
        </w:rPr>
      </w:pPr>
      <w:r w:rsidRPr="00BA01F8">
        <w:rPr>
          <w:rFonts w:ascii="Times New Roman" w:hAnsi="Times New Roman" w:cs="Times New Roman"/>
          <w:sz w:val="20"/>
          <w:szCs w:val="20"/>
        </w:rPr>
        <w:t xml:space="preserve">GDM – </w:t>
      </w:r>
      <w:r w:rsidR="00BA3584">
        <w:rPr>
          <w:rFonts w:ascii="Times New Roman" w:hAnsi="Times New Roman" w:cs="Times New Roman"/>
          <w:sz w:val="20"/>
          <w:szCs w:val="20"/>
        </w:rPr>
        <w:t>g</w:t>
      </w:r>
      <w:r w:rsidRPr="00BA01F8">
        <w:rPr>
          <w:rFonts w:ascii="Times New Roman" w:hAnsi="Times New Roman" w:cs="Times New Roman"/>
          <w:sz w:val="20"/>
          <w:szCs w:val="20"/>
        </w:rPr>
        <w:t xml:space="preserve">estational </w:t>
      </w:r>
      <w:r w:rsidR="00BA3584">
        <w:rPr>
          <w:rFonts w:ascii="Times New Roman" w:hAnsi="Times New Roman" w:cs="Times New Roman"/>
          <w:sz w:val="20"/>
          <w:szCs w:val="20"/>
        </w:rPr>
        <w:t>d</w:t>
      </w:r>
      <w:r w:rsidRPr="00BA01F8">
        <w:rPr>
          <w:rFonts w:ascii="Times New Roman" w:hAnsi="Times New Roman" w:cs="Times New Roman"/>
          <w:sz w:val="20"/>
          <w:szCs w:val="20"/>
        </w:rPr>
        <w:t>iabetes</w:t>
      </w:r>
      <w:r>
        <w:rPr>
          <w:rFonts w:ascii="Times New Roman" w:hAnsi="Times New Roman" w:cs="Times New Roman"/>
          <w:sz w:val="20"/>
          <w:szCs w:val="20"/>
        </w:rPr>
        <w:t xml:space="preserve">, OR – odds ratio, T2DM – type 2 diabetes mellitus, </w:t>
      </w:r>
      <w:r w:rsidRPr="00BA01F8">
        <w:rPr>
          <w:rFonts w:ascii="Times New Roman" w:hAnsi="Times New Roman" w:cs="Times New Roman"/>
          <w:sz w:val="20"/>
          <w:szCs w:val="20"/>
        </w:rPr>
        <w:t xml:space="preserve">HbA1c – </w:t>
      </w:r>
      <w:r w:rsidR="00BA3584">
        <w:rPr>
          <w:rFonts w:ascii="Times New Roman" w:hAnsi="Times New Roman" w:cs="Times New Roman"/>
          <w:sz w:val="20"/>
          <w:szCs w:val="20"/>
        </w:rPr>
        <w:t>h</w:t>
      </w:r>
      <w:r w:rsidRPr="00BA01F8">
        <w:rPr>
          <w:rFonts w:ascii="Times New Roman" w:hAnsi="Times New Roman" w:cs="Times New Roman"/>
          <w:sz w:val="20"/>
          <w:szCs w:val="20"/>
        </w:rPr>
        <w:t>aemoglobin A1c</w:t>
      </w:r>
      <w:r>
        <w:rPr>
          <w:rFonts w:ascii="Times New Roman" w:hAnsi="Times New Roman" w:cs="Times New Roman"/>
          <w:sz w:val="20"/>
          <w:szCs w:val="20"/>
        </w:rPr>
        <w:t>, HDL – high density lipoprotein</w:t>
      </w:r>
    </w:p>
    <w:p w14:paraId="47FD098B" w14:textId="77777777" w:rsidR="00DC0FD2" w:rsidRPr="00BA01F8" w:rsidRDefault="00DC0FD2" w:rsidP="00DC0FD2">
      <w:pPr>
        <w:spacing w:after="0"/>
        <w:rPr>
          <w:rFonts w:ascii="Times New Roman" w:hAnsi="Times New Roman" w:cs="Times New Roman"/>
          <w:sz w:val="20"/>
          <w:szCs w:val="20"/>
        </w:rPr>
      </w:pPr>
      <w:r w:rsidRPr="00BA01F8">
        <w:rPr>
          <w:rFonts w:ascii="Times New Roman" w:hAnsi="Times New Roman" w:cs="Times New Roman"/>
          <w:sz w:val="20"/>
          <w:szCs w:val="20"/>
        </w:rPr>
        <w:t>Model 1: Clinical model only</w:t>
      </w:r>
    </w:p>
    <w:p w14:paraId="5163ECD1" w14:textId="77777777" w:rsidR="00DC0FD2" w:rsidRPr="00BA01F8" w:rsidRDefault="00DC0FD2" w:rsidP="00DC0FD2">
      <w:pPr>
        <w:spacing w:after="0"/>
        <w:rPr>
          <w:rFonts w:ascii="Times New Roman" w:hAnsi="Times New Roman" w:cs="Times New Roman"/>
          <w:sz w:val="20"/>
          <w:szCs w:val="20"/>
        </w:rPr>
      </w:pPr>
      <w:r w:rsidRPr="00BA01F8">
        <w:rPr>
          <w:rFonts w:ascii="Times New Roman" w:hAnsi="Times New Roman" w:cs="Times New Roman"/>
          <w:sz w:val="20"/>
          <w:szCs w:val="20"/>
        </w:rPr>
        <w:t>Model 2: Clinical plus candidate biomarker model</w:t>
      </w:r>
    </w:p>
    <w:p w14:paraId="0180E72B" w14:textId="77777777" w:rsidR="00DC0FD2" w:rsidRPr="00BA01F8" w:rsidRDefault="00DC0FD2" w:rsidP="00DC0FD2">
      <w:pPr>
        <w:spacing w:after="0"/>
        <w:rPr>
          <w:rFonts w:ascii="Times New Roman" w:hAnsi="Times New Roman" w:cs="Times New Roman"/>
          <w:sz w:val="20"/>
          <w:szCs w:val="20"/>
        </w:rPr>
      </w:pPr>
      <w:r w:rsidRPr="00BA01F8">
        <w:rPr>
          <w:rFonts w:ascii="Times New Roman" w:hAnsi="Times New Roman" w:cs="Times New Roman"/>
          <w:sz w:val="20"/>
          <w:szCs w:val="20"/>
        </w:rPr>
        <w:t>Model 3: Clinical plus candidate biomarker plus metabolome model</w:t>
      </w:r>
    </w:p>
    <w:p w14:paraId="49311CE9" w14:textId="77777777" w:rsidR="00DC0FD2" w:rsidRDefault="00DC0FD2" w:rsidP="00DC0FD2">
      <w:pPr>
        <w:spacing w:after="0"/>
        <w:rPr>
          <w:rFonts w:ascii="Times New Roman" w:hAnsi="Times New Roman" w:cs="Times New Roman"/>
          <w:sz w:val="20"/>
          <w:szCs w:val="20"/>
        </w:rPr>
      </w:pPr>
      <w:r>
        <w:rPr>
          <w:rFonts w:ascii="Times New Roman" w:hAnsi="Times New Roman" w:cs="Times New Roman"/>
          <w:sz w:val="20"/>
          <w:szCs w:val="20"/>
        </w:rPr>
        <w:t>Model 4 – 8</w:t>
      </w:r>
      <w:r w:rsidRPr="00BA01F8">
        <w:rPr>
          <w:rFonts w:ascii="Times New Roman" w:hAnsi="Times New Roman" w:cs="Times New Roman"/>
          <w:sz w:val="20"/>
          <w:szCs w:val="20"/>
        </w:rPr>
        <w:t>: Clinically translatable models</w:t>
      </w:r>
    </w:p>
    <w:p w14:paraId="7C2EEAA3" w14:textId="77777777" w:rsidR="00DC0FD2" w:rsidRPr="00BA01F8" w:rsidRDefault="00DC0FD2" w:rsidP="00DC0FD2">
      <w:pPr>
        <w:spacing w:after="0"/>
        <w:rPr>
          <w:rFonts w:ascii="Times New Roman" w:hAnsi="Times New Roman" w:cs="Times New Roman"/>
          <w:sz w:val="20"/>
          <w:szCs w:val="20"/>
        </w:rPr>
      </w:pPr>
      <w:r>
        <w:rPr>
          <w:rFonts w:ascii="Times New Roman" w:hAnsi="Times New Roman" w:cs="Times New Roman"/>
          <w:sz w:val="20"/>
          <w:szCs w:val="20"/>
          <w:vertAlign w:val="superscript"/>
        </w:rPr>
        <w:t>a</w:t>
      </w:r>
      <w:r w:rsidRPr="00BA01F8">
        <w:rPr>
          <w:rFonts w:ascii="Times New Roman" w:hAnsi="Times New Roman" w:cs="Times New Roman"/>
          <w:sz w:val="20"/>
          <w:szCs w:val="20"/>
        </w:rPr>
        <w:t xml:space="preserve"> The referent category for this predictor was multiparous women without previous history of GDM</w:t>
      </w:r>
      <w:r>
        <w:rPr>
          <w:rFonts w:ascii="Times New Roman" w:hAnsi="Times New Roman" w:cs="Times New Roman"/>
          <w:sz w:val="20"/>
          <w:szCs w:val="20"/>
        </w:rPr>
        <w:t>.</w:t>
      </w:r>
      <w:r w:rsidRPr="00BA01F8">
        <w:rPr>
          <w:rFonts w:ascii="Times New Roman" w:hAnsi="Times New Roman" w:cs="Times New Roman"/>
          <w:sz w:val="20"/>
          <w:szCs w:val="20"/>
        </w:rPr>
        <w:t xml:space="preserve"> Nulliparous obese women were not at increased risk of GDM OR 1</w:t>
      </w:r>
      <w:r>
        <w:rPr>
          <w:rFonts w:ascii="Times New Roman" w:hAnsi="Times New Roman" w:cs="Times New Roman"/>
          <w:sz w:val="20"/>
          <w:szCs w:val="20"/>
        </w:rPr>
        <w:t>.</w:t>
      </w:r>
      <w:r w:rsidRPr="00BA01F8">
        <w:rPr>
          <w:rFonts w:ascii="Times New Roman" w:hAnsi="Times New Roman" w:cs="Times New Roman"/>
          <w:sz w:val="20"/>
          <w:szCs w:val="20"/>
        </w:rPr>
        <w:t>17 (95% CI 0</w:t>
      </w:r>
      <w:r>
        <w:rPr>
          <w:rFonts w:ascii="Times New Roman" w:hAnsi="Times New Roman" w:cs="Times New Roman"/>
          <w:sz w:val="20"/>
          <w:szCs w:val="20"/>
        </w:rPr>
        <w:t>.</w:t>
      </w:r>
      <w:r w:rsidRPr="00BA01F8">
        <w:rPr>
          <w:rFonts w:ascii="Times New Roman" w:hAnsi="Times New Roman" w:cs="Times New Roman"/>
          <w:sz w:val="20"/>
          <w:szCs w:val="20"/>
        </w:rPr>
        <w:t>88 – 1</w:t>
      </w:r>
      <w:r>
        <w:rPr>
          <w:rFonts w:ascii="Times New Roman" w:hAnsi="Times New Roman" w:cs="Times New Roman"/>
          <w:sz w:val="20"/>
          <w:szCs w:val="20"/>
        </w:rPr>
        <w:t>.</w:t>
      </w:r>
      <w:r w:rsidRPr="00BA01F8">
        <w:rPr>
          <w:rFonts w:ascii="Times New Roman" w:hAnsi="Times New Roman" w:cs="Times New Roman"/>
          <w:sz w:val="20"/>
          <w:szCs w:val="20"/>
        </w:rPr>
        <w:t>55) when compared to this referent group.</w:t>
      </w:r>
    </w:p>
    <w:p w14:paraId="2EEC6C46" w14:textId="77777777" w:rsidR="00DC0FD2" w:rsidRPr="00BA01F8" w:rsidRDefault="00DC0FD2" w:rsidP="00DC0FD2">
      <w:pPr>
        <w:spacing w:after="0"/>
        <w:rPr>
          <w:rFonts w:ascii="Times New Roman" w:hAnsi="Times New Roman" w:cs="Times New Roman"/>
          <w:sz w:val="20"/>
          <w:szCs w:val="20"/>
        </w:rPr>
      </w:pPr>
      <w:r w:rsidRPr="00247AF1">
        <w:rPr>
          <w:rFonts w:ascii="Times New Roman" w:hAnsi="Times New Roman" w:cs="Times New Roman"/>
          <w:color w:val="312A2A"/>
          <w:sz w:val="20"/>
          <w:szCs w:val="20"/>
          <w:vertAlign w:val="superscript"/>
          <w:lang w:val="en-US"/>
        </w:rPr>
        <w:t>b</w:t>
      </w:r>
      <w:r w:rsidRPr="00BA01F8">
        <w:rPr>
          <w:rFonts w:ascii="Times New Roman" w:eastAsia="Times New Roman" w:hAnsi="Times New Roman" w:cs="Times New Roman"/>
          <w:color w:val="000000"/>
          <w:sz w:val="20"/>
          <w:szCs w:val="20"/>
          <w:vertAlign w:val="superscript"/>
          <w:lang w:eastAsia="en-GB"/>
        </w:rPr>
        <w:t xml:space="preserve"> </w:t>
      </w:r>
      <w:r w:rsidRPr="00BA01F8">
        <w:rPr>
          <w:rFonts w:ascii="Times New Roman" w:eastAsia="Times New Roman" w:hAnsi="Times New Roman" w:cs="Times New Roman"/>
          <w:color w:val="000000"/>
          <w:sz w:val="20"/>
          <w:szCs w:val="20"/>
          <w:lang w:eastAsia="en-GB"/>
        </w:rPr>
        <w:t xml:space="preserve">log transformed to base2 </w:t>
      </w:r>
    </w:p>
    <w:p w14:paraId="410DA367" w14:textId="3666C288" w:rsidR="00DC0FD2" w:rsidRDefault="00DC0FD2" w:rsidP="00DC0FD2">
      <w:pPr>
        <w:spacing w:after="0"/>
        <w:rPr>
          <w:rFonts w:ascii="Times New Roman" w:hAnsi="Times New Roman" w:cs="Times New Roman"/>
          <w:sz w:val="20"/>
          <w:szCs w:val="20"/>
        </w:rPr>
        <w:sectPr w:rsidR="00DC0FD2" w:rsidSect="00C02624">
          <w:pgSz w:w="16840" w:h="11900" w:orient="landscape"/>
          <w:pgMar w:top="1440" w:right="1440" w:bottom="1440" w:left="1440" w:header="706" w:footer="706" w:gutter="0"/>
          <w:lnNumType w:countBy="1" w:restart="continuous"/>
          <w:cols w:space="708"/>
          <w:docGrid w:linePitch="360"/>
        </w:sectPr>
      </w:pPr>
      <w:r w:rsidRPr="00247AF1">
        <w:rPr>
          <w:rFonts w:ascii="Times New Roman" w:hAnsi="Times New Roman" w:cs="Times New Roman"/>
          <w:color w:val="312A2A"/>
          <w:sz w:val="20"/>
          <w:szCs w:val="20"/>
          <w:vertAlign w:val="superscript"/>
          <w:lang w:val="en-US"/>
        </w:rPr>
        <w:t>c</w:t>
      </w:r>
      <w:r w:rsidRPr="00A66B06">
        <w:rPr>
          <w:rFonts w:ascii="Times New Roman" w:hAnsi="Times New Roman" w:cs="Times New Roman"/>
          <w:sz w:val="20"/>
          <w:szCs w:val="20"/>
        </w:rPr>
        <w:t xml:space="preserve"> </w:t>
      </w:r>
      <w:r w:rsidRPr="00BA01F8">
        <w:rPr>
          <w:rFonts w:ascii="Times New Roman" w:hAnsi="Times New Roman" w:cs="Times New Roman"/>
          <w:sz w:val="20"/>
          <w:szCs w:val="20"/>
        </w:rPr>
        <w:t>Altman method w</w:t>
      </w:r>
      <w:r w:rsidR="00461027">
        <w:rPr>
          <w:rFonts w:ascii="Times New Roman" w:hAnsi="Times New Roman" w:cs="Times New Roman"/>
          <w:sz w:val="20"/>
          <w:szCs w:val="20"/>
        </w:rPr>
        <w:t>as</w:t>
      </w:r>
      <w:r w:rsidRPr="00BA01F8">
        <w:rPr>
          <w:rFonts w:ascii="Times New Roman" w:hAnsi="Times New Roman" w:cs="Times New Roman"/>
          <w:sz w:val="20"/>
          <w:szCs w:val="20"/>
        </w:rPr>
        <w:t xml:space="preserve"> not used for internal validation in models 4-</w:t>
      </w:r>
      <w:r>
        <w:rPr>
          <w:rFonts w:ascii="Times New Roman" w:hAnsi="Times New Roman" w:cs="Times New Roman"/>
          <w:sz w:val="20"/>
          <w:szCs w:val="20"/>
        </w:rPr>
        <w:t>8</w:t>
      </w:r>
      <w:r w:rsidRPr="00BA01F8">
        <w:rPr>
          <w:rFonts w:ascii="Times New Roman" w:hAnsi="Times New Roman" w:cs="Times New Roman"/>
          <w:sz w:val="20"/>
          <w:szCs w:val="20"/>
        </w:rPr>
        <w:t xml:space="preserve"> as stepwise procedures were not used for selection of factors in these models.</w:t>
      </w:r>
    </w:p>
    <w:p w14:paraId="19DD2B21" w14:textId="11D1FE2D" w:rsidR="00784B70" w:rsidRPr="005E6E41" w:rsidRDefault="00784B70" w:rsidP="005E6E41">
      <w:pPr>
        <w:spacing w:line="480" w:lineRule="auto"/>
        <w:jc w:val="both"/>
        <w:rPr>
          <w:rFonts w:ascii="Times New Roman" w:hAnsi="Times New Roman" w:cs="Times New Roman"/>
        </w:rPr>
      </w:pPr>
      <w:r w:rsidRPr="005E6E41">
        <w:rPr>
          <w:rFonts w:ascii="Times New Roman" w:hAnsi="Times New Roman" w:cs="Times New Roman"/>
        </w:rPr>
        <w:lastRenderedPageBreak/>
        <w:t xml:space="preserve">Models that would </w:t>
      </w:r>
      <w:r w:rsidR="00975ABF">
        <w:rPr>
          <w:rFonts w:ascii="Times New Roman" w:hAnsi="Times New Roman" w:cs="Times New Roman"/>
          <w:sz w:val="24"/>
          <w:szCs w:val="24"/>
        </w:rPr>
        <w:t>easily</w:t>
      </w:r>
      <w:r w:rsidRPr="005E6E41">
        <w:rPr>
          <w:rFonts w:ascii="Times New Roman" w:hAnsi="Times New Roman" w:cs="Times New Roman"/>
        </w:rPr>
        <w:t xml:space="preserve"> translate to the clinical setting were also explored. These focused on readily attainable clinical variables, and biomarkers with established and inexpensive assays. </w:t>
      </w:r>
      <w:r w:rsidR="00070726" w:rsidRPr="005E6E41">
        <w:rPr>
          <w:rFonts w:ascii="Times New Roman" w:hAnsi="Times New Roman" w:cs="Times New Roman"/>
        </w:rPr>
        <w:t xml:space="preserve">Models </w:t>
      </w:r>
      <w:r w:rsidRPr="005E6E41">
        <w:rPr>
          <w:rFonts w:ascii="Times New Roman" w:hAnsi="Times New Roman" w:cs="Times New Roman"/>
        </w:rPr>
        <w:t>showed good levels of discrimination (</w:t>
      </w:r>
      <w:r w:rsidR="00F14842" w:rsidRPr="005E6E41">
        <w:rPr>
          <w:rFonts w:ascii="Times New Roman" w:hAnsi="Times New Roman" w:cs="Times New Roman"/>
        </w:rPr>
        <w:t>AU</w:t>
      </w:r>
      <w:r w:rsidRPr="005E6E41">
        <w:rPr>
          <w:rFonts w:ascii="Times New Roman" w:hAnsi="Times New Roman" w:cs="Times New Roman"/>
        </w:rPr>
        <w:t>C &gt;0.7</w:t>
      </w:r>
      <w:r w:rsidR="00224A86" w:rsidRPr="005E6E41">
        <w:rPr>
          <w:rFonts w:ascii="Times New Roman" w:hAnsi="Times New Roman" w:cs="Times New Roman"/>
        </w:rPr>
        <w:t>0</w:t>
      </w:r>
      <w:r w:rsidRPr="005E6E41">
        <w:rPr>
          <w:rFonts w:ascii="Times New Roman" w:hAnsi="Times New Roman" w:cs="Times New Roman"/>
        </w:rPr>
        <w:t>) (Table 3). Models</w:t>
      </w:r>
      <w:r w:rsidR="00070726" w:rsidRPr="005E6E41">
        <w:rPr>
          <w:rFonts w:ascii="Times New Roman" w:hAnsi="Times New Roman" w:cs="Times New Roman"/>
        </w:rPr>
        <w:t xml:space="preserve"> also</w:t>
      </w:r>
      <w:r w:rsidRPr="005E6E41">
        <w:rPr>
          <w:rFonts w:ascii="Times New Roman" w:hAnsi="Times New Roman" w:cs="Times New Roman"/>
        </w:rPr>
        <w:t xml:space="preserve"> showed a high level of internal validity (Table 3)</w:t>
      </w:r>
      <w:r w:rsidR="0009056D" w:rsidRPr="005E6E41">
        <w:rPr>
          <w:rFonts w:ascii="Times New Roman" w:hAnsi="Times New Roman" w:cs="Times New Roman"/>
        </w:rPr>
        <w:t>.</w:t>
      </w:r>
    </w:p>
    <w:p w14:paraId="54CC5DF0" w14:textId="77777777" w:rsidR="00784B70" w:rsidRPr="00461751" w:rsidRDefault="00784B70" w:rsidP="00D46DB6">
      <w:pPr>
        <w:spacing w:line="480" w:lineRule="auto"/>
        <w:jc w:val="both"/>
        <w:rPr>
          <w:rFonts w:ascii="Times New Roman" w:hAnsi="Times New Roman" w:cs="Times New Roman"/>
        </w:rPr>
      </w:pPr>
    </w:p>
    <w:p w14:paraId="3F3CAEEF" w14:textId="2B57E6CD" w:rsidR="00784B70" w:rsidRPr="005E6E41" w:rsidRDefault="00784B70" w:rsidP="005E6E41">
      <w:pPr>
        <w:spacing w:line="480" w:lineRule="auto"/>
        <w:jc w:val="both"/>
        <w:rPr>
          <w:rFonts w:ascii="Times New Roman" w:hAnsi="Times New Roman" w:cs="Times New Roman"/>
        </w:rPr>
      </w:pPr>
      <w:r w:rsidRPr="005E6E41">
        <w:rPr>
          <w:rFonts w:ascii="Times New Roman" w:hAnsi="Times New Roman" w:cs="Times New Roman"/>
        </w:rPr>
        <w:t xml:space="preserve">Sensitivity, specificity and positive and negative predictive values were estimated at different risk thresholds for all models. </w:t>
      </w:r>
      <w:r w:rsidR="005B66A9" w:rsidRPr="005E6E41">
        <w:rPr>
          <w:rFonts w:ascii="Times New Roman" w:hAnsi="Times New Roman" w:cs="Times New Roman"/>
        </w:rPr>
        <w:t xml:space="preserve">Different thresholds were explored to balance sensitivity and specificity. </w:t>
      </w:r>
      <w:r w:rsidRPr="005E6E41">
        <w:rPr>
          <w:rFonts w:ascii="Times New Roman" w:hAnsi="Times New Roman" w:cs="Times New Roman"/>
        </w:rPr>
        <w:t>Setting the estimated risk for GDM at ≥35% as identifying the high-risk sub-g</w:t>
      </w:r>
      <w:r w:rsidR="00D84559" w:rsidRPr="005E6E41">
        <w:rPr>
          <w:rFonts w:ascii="Times New Roman" w:hAnsi="Times New Roman" w:cs="Times New Roman"/>
        </w:rPr>
        <w:t>roup, approximately 50% of this group</w:t>
      </w:r>
      <w:r w:rsidRPr="005E6E41">
        <w:rPr>
          <w:rFonts w:ascii="Times New Roman" w:hAnsi="Times New Roman" w:cs="Times New Roman"/>
        </w:rPr>
        <w:t xml:space="preserve"> progr</w:t>
      </w:r>
      <w:r w:rsidR="00DB58DC" w:rsidRPr="005E6E41">
        <w:rPr>
          <w:rFonts w:ascii="Times New Roman" w:hAnsi="Times New Roman" w:cs="Times New Roman"/>
        </w:rPr>
        <w:t>essed to GDM</w:t>
      </w:r>
      <w:r w:rsidRPr="005E6E41">
        <w:rPr>
          <w:rFonts w:ascii="Times New Roman" w:hAnsi="Times New Roman" w:cs="Times New Roman"/>
        </w:rPr>
        <w:t xml:space="preserve">, with 80% of those not developing GDM correctly identified as not at risk (Table </w:t>
      </w:r>
      <w:r w:rsidR="00E50D97" w:rsidRPr="005E6E41">
        <w:rPr>
          <w:rFonts w:ascii="Times New Roman" w:hAnsi="Times New Roman" w:cs="Times New Roman"/>
        </w:rPr>
        <w:t>4</w:t>
      </w:r>
      <w:r w:rsidRPr="005E6E41">
        <w:rPr>
          <w:rFonts w:ascii="Times New Roman" w:hAnsi="Times New Roman" w:cs="Times New Roman"/>
        </w:rPr>
        <w:t xml:space="preserve">). </w:t>
      </w:r>
    </w:p>
    <w:p w14:paraId="3D974E81" w14:textId="77777777" w:rsidR="00A83570" w:rsidRPr="00CE77D8" w:rsidRDefault="00A83570" w:rsidP="00A83570">
      <w:pPr>
        <w:spacing w:after="0"/>
        <w:rPr>
          <w:rFonts w:ascii="Times New Roman" w:eastAsia="Times New Roman" w:hAnsi="Times New Roman" w:cs="Times New Roman"/>
          <w:b/>
          <w:iCs/>
          <w:color w:val="000000"/>
          <w:lang w:eastAsia="en-GB"/>
        </w:rPr>
      </w:pPr>
      <w:r w:rsidRPr="00CE77D8">
        <w:rPr>
          <w:rFonts w:ascii="Times New Roman" w:eastAsia="Times New Roman" w:hAnsi="Times New Roman" w:cs="Times New Roman"/>
          <w:b/>
          <w:iCs/>
          <w:color w:val="000000"/>
          <w:lang w:eastAsia="en-GB"/>
        </w:rPr>
        <w:t>Table 4. Performance of models predicting GDM at risk threshold of ≥35%</w:t>
      </w:r>
    </w:p>
    <w:tbl>
      <w:tblPr>
        <w:tblW w:w="5840" w:type="dxa"/>
        <w:tblLook w:val="04A0" w:firstRow="1" w:lastRow="0" w:firstColumn="1" w:lastColumn="0" w:noHBand="0" w:noVBand="1"/>
      </w:tblPr>
      <w:tblGrid>
        <w:gridCol w:w="1134"/>
        <w:gridCol w:w="1326"/>
        <w:gridCol w:w="1340"/>
        <w:gridCol w:w="1020"/>
        <w:gridCol w:w="1020"/>
      </w:tblGrid>
      <w:tr w:rsidR="00C20B40" w:rsidRPr="00280B9D" w14:paraId="7FCF653F" w14:textId="77777777" w:rsidTr="00C20B40">
        <w:trPr>
          <w:trHeight w:val="315"/>
        </w:trPr>
        <w:tc>
          <w:tcPr>
            <w:tcW w:w="1134" w:type="dxa"/>
            <w:tcBorders>
              <w:top w:val="single" w:sz="12" w:space="0" w:color="auto"/>
              <w:left w:val="nil"/>
              <w:right w:val="nil"/>
            </w:tcBorders>
            <w:shd w:val="clear" w:color="auto" w:fill="auto"/>
            <w:noWrap/>
            <w:vAlign w:val="center"/>
            <w:hideMark/>
          </w:tcPr>
          <w:p w14:paraId="70AB70EB" w14:textId="77777777" w:rsidR="00C20B40" w:rsidRPr="003A70F8" w:rsidRDefault="00C20B40" w:rsidP="002F73CF">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Model</w:t>
            </w:r>
          </w:p>
        </w:tc>
        <w:tc>
          <w:tcPr>
            <w:tcW w:w="1326" w:type="dxa"/>
            <w:tcBorders>
              <w:top w:val="single" w:sz="12" w:space="0" w:color="auto"/>
              <w:left w:val="nil"/>
              <w:right w:val="nil"/>
            </w:tcBorders>
            <w:shd w:val="clear" w:color="auto" w:fill="auto"/>
            <w:noWrap/>
            <w:vAlign w:val="center"/>
            <w:hideMark/>
          </w:tcPr>
          <w:p w14:paraId="7C17E133" w14:textId="77777777" w:rsidR="00C20B40" w:rsidRPr="003A70F8" w:rsidRDefault="00C20B40" w:rsidP="00CE049A">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Sensitivity</w:t>
            </w:r>
          </w:p>
        </w:tc>
        <w:tc>
          <w:tcPr>
            <w:tcW w:w="1340" w:type="dxa"/>
            <w:tcBorders>
              <w:top w:val="single" w:sz="12" w:space="0" w:color="auto"/>
              <w:left w:val="nil"/>
              <w:right w:val="nil"/>
            </w:tcBorders>
            <w:shd w:val="clear" w:color="auto" w:fill="auto"/>
            <w:noWrap/>
            <w:vAlign w:val="center"/>
            <w:hideMark/>
          </w:tcPr>
          <w:p w14:paraId="3B276F11" w14:textId="77777777" w:rsidR="00C20B40" w:rsidRPr="003A70F8" w:rsidRDefault="00C20B40"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Specificity</w:t>
            </w:r>
          </w:p>
        </w:tc>
        <w:tc>
          <w:tcPr>
            <w:tcW w:w="1020" w:type="dxa"/>
            <w:tcBorders>
              <w:top w:val="single" w:sz="12" w:space="0" w:color="auto"/>
              <w:left w:val="nil"/>
              <w:right w:val="nil"/>
            </w:tcBorders>
            <w:shd w:val="clear" w:color="auto" w:fill="auto"/>
            <w:noWrap/>
            <w:vAlign w:val="center"/>
            <w:hideMark/>
          </w:tcPr>
          <w:p w14:paraId="72DCBDA8" w14:textId="77777777" w:rsidR="00C20B40" w:rsidRPr="003A70F8" w:rsidRDefault="00C20B40"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PPV</w:t>
            </w:r>
          </w:p>
        </w:tc>
        <w:tc>
          <w:tcPr>
            <w:tcW w:w="1020" w:type="dxa"/>
            <w:tcBorders>
              <w:top w:val="single" w:sz="12" w:space="0" w:color="auto"/>
              <w:left w:val="nil"/>
              <w:right w:val="nil"/>
            </w:tcBorders>
            <w:shd w:val="clear" w:color="auto" w:fill="auto"/>
            <w:vAlign w:val="center"/>
            <w:hideMark/>
          </w:tcPr>
          <w:p w14:paraId="1964D81C" w14:textId="77777777" w:rsidR="00C20B40" w:rsidRPr="003A70F8" w:rsidRDefault="00C20B40" w:rsidP="003D0C81">
            <w:pPr>
              <w:spacing w:after="0" w:line="360" w:lineRule="auto"/>
              <w:jc w:val="center"/>
              <w:rPr>
                <w:rFonts w:ascii="Times New Roman" w:eastAsia="Times New Roman" w:hAnsi="Times New Roman" w:cs="Times New Roman"/>
                <w:b/>
                <w:bCs/>
                <w:color w:val="000000"/>
                <w:sz w:val="20"/>
                <w:szCs w:val="20"/>
                <w:lang w:eastAsia="en-GB"/>
              </w:rPr>
            </w:pPr>
            <w:r w:rsidRPr="003A70F8">
              <w:rPr>
                <w:rFonts w:ascii="Times New Roman" w:eastAsia="Times New Roman" w:hAnsi="Times New Roman" w:cs="Times New Roman"/>
                <w:b/>
                <w:bCs/>
                <w:color w:val="000000"/>
                <w:sz w:val="20"/>
                <w:szCs w:val="20"/>
                <w:lang w:eastAsia="en-GB"/>
              </w:rPr>
              <w:t>NPV</w:t>
            </w:r>
          </w:p>
        </w:tc>
      </w:tr>
      <w:tr w:rsidR="00C20B40" w:rsidRPr="00280B9D" w14:paraId="79FFCAC3" w14:textId="77777777" w:rsidTr="00C20B40">
        <w:trPr>
          <w:trHeight w:val="315"/>
        </w:trPr>
        <w:tc>
          <w:tcPr>
            <w:tcW w:w="1134" w:type="dxa"/>
            <w:tcBorders>
              <w:top w:val="single" w:sz="12" w:space="0" w:color="auto"/>
              <w:left w:val="nil"/>
              <w:bottom w:val="nil"/>
              <w:right w:val="nil"/>
            </w:tcBorders>
            <w:shd w:val="clear" w:color="auto" w:fill="auto"/>
            <w:vAlign w:val="center"/>
            <w:hideMark/>
          </w:tcPr>
          <w:p w14:paraId="526C1FD7"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1</w:t>
            </w:r>
          </w:p>
        </w:tc>
        <w:tc>
          <w:tcPr>
            <w:tcW w:w="1326" w:type="dxa"/>
            <w:tcBorders>
              <w:top w:val="single" w:sz="12" w:space="0" w:color="auto"/>
              <w:left w:val="nil"/>
              <w:bottom w:val="nil"/>
              <w:right w:val="nil"/>
            </w:tcBorders>
            <w:shd w:val="clear" w:color="auto" w:fill="auto"/>
            <w:noWrap/>
            <w:vAlign w:val="center"/>
            <w:hideMark/>
          </w:tcPr>
          <w:p w14:paraId="190E61FC"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41.0</w:t>
            </w:r>
          </w:p>
        </w:tc>
        <w:tc>
          <w:tcPr>
            <w:tcW w:w="1340" w:type="dxa"/>
            <w:tcBorders>
              <w:top w:val="single" w:sz="12" w:space="0" w:color="auto"/>
              <w:left w:val="nil"/>
              <w:bottom w:val="nil"/>
              <w:right w:val="nil"/>
            </w:tcBorders>
            <w:shd w:val="clear" w:color="auto" w:fill="auto"/>
            <w:noWrap/>
            <w:vAlign w:val="center"/>
            <w:hideMark/>
          </w:tcPr>
          <w:p w14:paraId="57D1C315"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83.8</w:t>
            </w:r>
          </w:p>
        </w:tc>
        <w:tc>
          <w:tcPr>
            <w:tcW w:w="1020" w:type="dxa"/>
            <w:tcBorders>
              <w:top w:val="single" w:sz="12" w:space="0" w:color="auto"/>
              <w:left w:val="nil"/>
              <w:bottom w:val="nil"/>
              <w:right w:val="nil"/>
            </w:tcBorders>
            <w:shd w:val="clear" w:color="auto" w:fill="auto"/>
            <w:noWrap/>
            <w:vAlign w:val="center"/>
            <w:hideMark/>
          </w:tcPr>
          <w:p w14:paraId="2535E1DC"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47.0</w:t>
            </w:r>
          </w:p>
        </w:tc>
        <w:tc>
          <w:tcPr>
            <w:tcW w:w="1020" w:type="dxa"/>
            <w:tcBorders>
              <w:top w:val="single" w:sz="12" w:space="0" w:color="auto"/>
              <w:left w:val="nil"/>
              <w:bottom w:val="nil"/>
              <w:right w:val="nil"/>
            </w:tcBorders>
            <w:shd w:val="clear" w:color="auto" w:fill="auto"/>
            <w:vAlign w:val="center"/>
            <w:hideMark/>
          </w:tcPr>
          <w:p w14:paraId="1F26779C"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80.2</w:t>
            </w:r>
          </w:p>
        </w:tc>
      </w:tr>
      <w:tr w:rsidR="00C20B40" w:rsidRPr="00280B9D" w14:paraId="686F45E5" w14:textId="77777777" w:rsidTr="00C20B40">
        <w:trPr>
          <w:trHeight w:val="315"/>
        </w:trPr>
        <w:tc>
          <w:tcPr>
            <w:tcW w:w="1134" w:type="dxa"/>
            <w:tcBorders>
              <w:top w:val="nil"/>
              <w:left w:val="nil"/>
              <w:bottom w:val="nil"/>
              <w:right w:val="nil"/>
            </w:tcBorders>
            <w:shd w:val="clear" w:color="auto" w:fill="auto"/>
            <w:vAlign w:val="center"/>
            <w:hideMark/>
          </w:tcPr>
          <w:p w14:paraId="65128EC1"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2</w:t>
            </w:r>
          </w:p>
        </w:tc>
        <w:tc>
          <w:tcPr>
            <w:tcW w:w="1326" w:type="dxa"/>
            <w:tcBorders>
              <w:top w:val="nil"/>
              <w:left w:val="nil"/>
              <w:bottom w:val="nil"/>
              <w:right w:val="nil"/>
            </w:tcBorders>
            <w:shd w:val="clear" w:color="auto" w:fill="auto"/>
            <w:noWrap/>
            <w:vAlign w:val="center"/>
            <w:hideMark/>
          </w:tcPr>
          <w:p w14:paraId="13FB5BF5"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59.8</w:t>
            </w:r>
          </w:p>
        </w:tc>
        <w:tc>
          <w:tcPr>
            <w:tcW w:w="1340" w:type="dxa"/>
            <w:tcBorders>
              <w:top w:val="nil"/>
              <w:left w:val="nil"/>
              <w:bottom w:val="nil"/>
              <w:right w:val="nil"/>
            </w:tcBorders>
            <w:shd w:val="clear" w:color="auto" w:fill="auto"/>
            <w:noWrap/>
            <w:vAlign w:val="center"/>
            <w:hideMark/>
          </w:tcPr>
          <w:p w14:paraId="2D037150"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78.5</w:t>
            </w:r>
          </w:p>
        </w:tc>
        <w:tc>
          <w:tcPr>
            <w:tcW w:w="1020" w:type="dxa"/>
            <w:tcBorders>
              <w:top w:val="nil"/>
              <w:left w:val="nil"/>
              <w:bottom w:val="nil"/>
              <w:right w:val="nil"/>
            </w:tcBorders>
            <w:shd w:val="clear" w:color="auto" w:fill="auto"/>
            <w:noWrap/>
            <w:vAlign w:val="center"/>
            <w:hideMark/>
          </w:tcPr>
          <w:p w14:paraId="781EE373"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54.3</w:t>
            </w:r>
          </w:p>
        </w:tc>
        <w:tc>
          <w:tcPr>
            <w:tcW w:w="1020" w:type="dxa"/>
            <w:tcBorders>
              <w:top w:val="nil"/>
              <w:left w:val="nil"/>
              <w:bottom w:val="nil"/>
              <w:right w:val="nil"/>
            </w:tcBorders>
            <w:shd w:val="clear" w:color="auto" w:fill="auto"/>
            <w:vAlign w:val="center"/>
            <w:hideMark/>
          </w:tcPr>
          <w:p w14:paraId="5408A75D"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82.0</w:t>
            </w:r>
          </w:p>
        </w:tc>
      </w:tr>
      <w:tr w:rsidR="00C20B40" w:rsidRPr="00280B9D" w14:paraId="7A99D36A" w14:textId="77777777" w:rsidTr="00C20B40">
        <w:trPr>
          <w:trHeight w:val="315"/>
        </w:trPr>
        <w:tc>
          <w:tcPr>
            <w:tcW w:w="1134" w:type="dxa"/>
            <w:tcBorders>
              <w:top w:val="nil"/>
              <w:left w:val="nil"/>
              <w:bottom w:val="nil"/>
              <w:right w:val="nil"/>
            </w:tcBorders>
            <w:shd w:val="clear" w:color="auto" w:fill="auto"/>
            <w:vAlign w:val="center"/>
            <w:hideMark/>
          </w:tcPr>
          <w:p w14:paraId="0FD94314"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3</w:t>
            </w:r>
          </w:p>
        </w:tc>
        <w:tc>
          <w:tcPr>
            <w:tcW w:w="1326" w:type="dxa"/>
            <w:tcBorders>
              <w:top w:val="nil"/>
              <w:left w:val="nil"/>
              <w:bottom w:val="nil"/>
              <w:right w:val="nil"/>
            </w:tcBorders>
            <w:shd w:val="clear" w:color="auto" w:fill="auto"/>
            <w:noWrap/>
            <w:vAlign w:val="center"/>
            <w:hideMark/>
          </w:tcPr>
          <w:p w14:paraId="1CEF046D"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58.6</w:t>
            </w:r>
          </w:p>
        </w:tc>
        <w:tc>
          <w:tcPr>
            <w:tcW w:w="1340" w:type="dxa"/>
            <w:tcBorders>
              <w:top w:val="nil"/>
              <w:left w:val="nil"/>
              <w:bottom w:val="nil"/>
              <w:right w:val="nil"/>
            </w:tcBorders>
            <w:shd w:val="clear" w:color="auto" w:fill="auto"/>
            <w:noWrap/>
            <w:vAlign w:val="center"/>
            <w:hideMark/>
          </w:tcPr>
          <w:p w14:paraId="188978E1"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78.1</w:t>
            </w:r>
          </w:p>
        </w:tc>
        <w:tc>
          <w:tcPr>
            <w:tcW w:w="1020" w:type="dxa"/>
            <w:tcBorders>
              <w:top w:val="nil"/>
              <w:left w:val="nil"/>
              <w:bottom w:val="nil"/>
              <w:right w:val="nil"/>
            </w:tcBorders>
            <w:shd w:val="clear" w:color="auto" w:fill="auto"/>
            <w:noWrap/>
            <w:vAlign w:val="center"/>
            <w:hideMark/>
          </w:tcPr>
          <w:p w14:paraId="6CEF1AD0"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53.5</w:t>
            </w:r>
          </w:p>
        </w:tc>
        <w:tc>
          <w:tcPr>
            <w:tcW w:w="1020" w:type="dxa"/>
            <w:tcBorders>
              <w:top w:val="nil"/>
              <w:left w:val="nil"/>
              <w:bottom w:val="nil"/>
              <w:right w:val="nil"/>
            </w:tcBorders>
            <w:shd w:val="clear" w:color="auto" w:fill="auto"/>
            <w:vAlign w:val="center"/>
            <w:hideMark/>
          </w:tcPr>
          <w:p w14:paraId="2BE49DEB"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81.4</w:t>
            </w:r>
          </w:p>
        </w:tc>
      </w:tr>
      <w:tr w:rsidR="00C20B40" w:rsidRPr="00280B9D" w14:paraId="3986107F" w14:textId="77777777" w:rsidTr="00C20B40">
        <w:trPr>
          <w:trHeight w:val="285"/>
        </w:trPr>
        <w:tc>
          <w:tcPr>
            <w:tcW w:w="1134" w:type="dxa"/>
            <w:tcBorders>
              <w:top w:val="nil"/>
              <w:left w:val="nil"/>
              <w:bottom w:val="nil"/>
              <w:right w:val="nil"/>
            </w:tcBorders>
            <w:shd w:val="clear" w:color="auto" w:fill="auto"/>
            <w:noWrap/>
            <w:vAlign w:val="center"/>
            <w:hideMark/>
          </w:tcPr>
          <w:p w14:paraId="7A507AB9"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4</w:t>
            </w:r>
          </w:p>
        </w:tc>
        <w:tc>
          <w:tcPr>
            <w:tcW w:w="1326" w:type="dxa"/>
            <w:tcBorders>
              <w:top w:val="nil"/>
              <w:left w:val="nil"/>
              <w:bottom w:val="nil"/>
              <w:right w:val="nil"/>
            </w:tcBorders>
            <w:shd w:val="clear" w:color="auto" w:fill="auto"/>
            <w:noWrap/>
            <w:vAlign w:val="center"/>
            <w:hideMark/>
          </w:tcPr>
          <w:p w14:paraId="7C80F6BA"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54.8</w:t>
            </w:r>
          </w:p>
        </w:tc>
        <w:tc>
          <w:tcPr>
            <w:tcW w:w="1340" w:type="dxa"/>
            <w:tcBorders>
              <w:top w:val="nil"/>
              <w:left w:val="nil"/>
              <w:bottom w:val="nil"/>
              <w:right w:val="nil"/>
            </w:tcBorders>
            <w:shd w:val="clear" w:color="auto" w:fill="auto"/>
            <w:noWrap/>
            <w:vAlign w:val="center"/>
            <w:hideMark/>
          </w:tcPr>
          <w:p w14:paraId="7A863095"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77.7</w:t>
            </w:r>
          </w:p>
        </w:tc>
        <w:tc>
          <w:tcPr>
            <w:tcW w:w="1020" w:type="dxa"/>
            <w:tcBorders>
              <w:top w:val="nil"/>
              <w:left w:val="nil"/>
              <w:bottom w:val="nil"/>
              <w:right w:val="nil"/>
            </w:tcBorders>
            <w:shd w:val="clear" w:color="auto" w:fill="auto"/>
            <w:noWrap/>
            <w:vAlign w:val="center"/>
            <w:hideMark/>
          </w:tcPr>
          <w:p w14:paraId="0902BD71"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51.2</w:t>
            </w:r>
          </w:p>
        </w:tc>
        <w:tc>
          <w:tcPr>
            <w:tcW w:w="1020" w:type="dxa"/>
            <w:tcBorders>
              <w:top w:val="nil"/>
              <w:left w:val="nil"/>
              <w:bottom w:val="nil"/>
              <w:right w:val="nil"/>
            </w:tcBorders>
            <w:shd w:val="clear" w:color="auto" w:fill="auto"/>
            <w:noWrap/>
            <w:vAlign w:val="center"/>
            <w:hideMark/>
          </w:tcPr>
          <w:p w14:paraId="492A4E86"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80.1</w:t>
            </w:r>
          </w:p>
        </w:tc>
      </w:tr>
      <w:tr w:rsidR="00C20B40" w:rsidRPr="00280B9D" w14:paraId="0D1710C5" w14:textId="77777777" w:rsidTr="00C20B40">
        <w:trPr>
          <w:trHeight w:val="285"/>
        </w:trPr>
        <w:tc>
          <w:tcPr>
            <w:tcW w:w="1134" w:type="dxa"/>
            <w:tcBorders>
              <w:top w:val="nil"/>
              <w:left w:val="nil"/>
              <w:bottom w:val="nil"/>
              <w:right w:val="nil"/>
            </w:tcBorders>
            <w:shd w:val="clear" w:color="auto" w:fill="auto"/>
            <w:noWrap/>
            <w:vAlign w:val="center"/>
            <w:hideMark/>
          </w:tcPr>
          <w:p w14:paraId="6733B56C"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5</w:t>
            </w:r>
          </w:p>
        </w:tc>
        <w:tc>
          <w:tcPr>
            <w:tcW w:w="1326" w:type="dxa"/>
            <w:tcBorders>
              <w:top w:val="nil"/>
              <w:left w:val="nil"/>
              <w:bottom w:val="nil"/>
              <w:right w:val="nil"/>
            </w:tcBorders>
            <w:shd w:val="clear" w:color="auto" w:fill="auto"/>
            <w:noWrap/>
            <w:vAlign w:val="center"/>
            <w:hideMark/>
          </w:tcPr>
          <w:p w14:paraId="45C3CF8B"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56.0</w:t>
            </w:r>
          </w:p>
        </w:tc>
        <w:tc>
          <w:tcPr>
            <w:tcW w:w="1340" w:type="dxa"/>
            <w:tcBorders>
              <w:top w:val="nil"/>
              <w:left w:val="nil"/>
              <w:bottom w:val="nil"/>
              <w:right w:val="nil"/>
            </w:tcBorders>
            <w:shd w:val="clear" w:color="auto" w:fill="auto"/>
            <w:noWrap/>
            <w:vAlign w:val="center"/>
            <w:hideMark/>
          </w:tcPr>
          <w:p w14:paraId="03FDE323"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78.9</w:t>
            </w:r>
          </w:p>
        </w:tc>
        <w:tc>
          <w:tcPr>
            <w:tcW w:w="1020" w:type="dxa"/>
            <w:tcBorders>
              <w:top w:val="nil"/>
              <w:left w:val="nil"/>
              <w:bottom w:val="nil"/>
              <w:right w:val="nil"/>
            </w:tcBorders>
            <w:shd w:val="clear" w:color="auto" w:fill="auto"/>
            <w:noWrap/>
            <w:vAlign w:val="center"/>
            <w:hideMark/>
          </w:tcPr>
          <w:p w14:paraId="3DFF6ED0"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53.1</w:t>
            </w:r>
          </w:p>
        </w:tc>
        <w:tc>
          <w:tcPr>
            <w:tcW w:w="1020" w:type="dxa"/>
            <w:tcBorders>
              <w:top w:val="nil"/>
              <w:left w:val="nil"/>
              <w:bottom w:val="nil"/>
              <w:right w:val="nil"/>
            </w:tcBorders>
            <w:shd w:val="clear" w:color="auto" w:fill="auto"/>
            <w:noWrap/>
            <w:vAlign w:val="center"/>
            <w:hideMark/>
          </w:tcPr>
          <w:p w14:paraId="0B4AE4C7"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80.8</w:t>
            </w:r>
          </w:p>
        </w:tc>
      </w:tr>
      <w:tr w:rsidR="00C20B40" w:rsidRPr="00280B9D" w14:paraId="351B428B" w14:textId="77777777" w:rsidTr="00C20B40">
        <w:trPr>
          <w:trHeight w:val="285"/>
        </w:trPr>
        <w:tc>
          <w:tcPr>
            <w:tcW w:w="1134" w:type="dxa"/>
            <w:tcBorders>
              <w:top w:val="nil"/>
              <w:left w:val="nil"/>
              <w:bottom w:val="nil"/>
              <w:right w:val="nil"/>
            </w:tcBorders>
            <w:shd w:val="clear" w:color="auto" w:fill="auto"/>
            <w:noWrap/>
            <w:vAlign w:val="center"/>
            <w:hideMark/>
          </w:tcPr>
          <w:p w14:paraId="48EAFF60"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6</w:t>
            </w:r>
          </w:p>
        </w:tc>
        <w:tc>
          <w:tcPr>
            <w:tcW w:w="1326" w:type="dxa"/>
            <w:tcBorders>
              <w:top w:val="nil"/>
              <w:left w:val="nil"/>
              <w:bottom w:val="nil"/>
              <w:right w:val="nil"/>
            </w:tcBorders>
            <w:shd w:val="clear" w:color="auto" w:fill="auto"/>
            <w:noWrap/>
            <w:vAlign w:val="center"/>
            <w:hideMark/>
          </w:tcPr>
          <w:p w14:paraId="7A53ED59"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56.4</w:t>
            </w:r>
          </w:p>
        </w:tc>
        <w:tc>
          <w:tcPr>
            <w:tcW w:w="1340" w:type="dxa"/>
            <w:tcBorders>
              <w:top w:val="nil"/>
              <w:left w:val="nil"/>
              <w:bottom w:val="nil"/>
              <w:right w:val="nil"/>
            </w:tcBorders>
            <w:shd w:val="clear" w:color="auto" w:fill="auto"/>
            <w:noWrap/>
            <w:vAlign w:val="center"/>
            <w:hideMark/>
          </w:tcPr>
          <w:p w14:paraId="00C5699F"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77.3</w:t>
            </w:r>
          </w:p>
        </w:tc>
        <w:tc>
          <w:tcPr>
            <w:tcW w:w="1020" w:type="dxa"/>
            <w:tcBorders>
              <w:top w:val="nil"/>
              <w:left w:val="nil"/>
              <w:bottom w:val="nil"/>
              <w:right w:val="nil"/>
            </w:tcBorders>
            <w:shd w:val="clear" w:color="auto" w:fill="auto"/>
            <w:noWrap/>
            <w:vAlign w:val="center"/>
            <w:hideMark/>
          </w:tcPr>
          <w:p w14:paraId="307196A9"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51.5</w:t>
            </w:r>
          </w:p>
        </w:tc>
        <w:tc>
          <w:tcPr>
            <w:tcW w:w="1020" w:type="dxa"/>
            <w:tcBorders>
              <w:top w:val="nil"/>
              <w:left w:val="nil"/>
              <w:bottom w:val="nil"/>
              <w:right w:val="nil"/>
            </w:tcBorders>
            <w:shd w:val="clear" w:color="auto" w:fill="auto"/>
            <w:noWrap/>
            <w:vAlign w:val="center"/>
            <w:hideMark/>
          </w:tcPr>
          <w:p w14:paraId="10AD9715"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80.6</w:t>
            </w:r>
          </w:p>
        </w:tc>
      </w:tr>
      <w:tr w:rsidR="00C20B40" w:rsidRPr="00280B9D" w14:paraId="4072DF22" w14:textId="77777777" w:rsidTr="00C20B40">
        <w:trPr>
          <w:trHeight w:val="285"/>
        </w:trPr>
        <w:tc>
          <w:tcPr>
            <w:tcW w:w="1134" w:type="dxa"/>
            <w:tcBorders>
              <w:top w:val="nil"/>
              <w:left w:val="nil"/>
              <w:right w:val="nil"/>
            </w:tcBorders>
            <w:shd w:val="clear" w:color="auto" w:fill="auto"/>
            <w:noWrap/>
            <w:vAlign w:val="center"/>
          </w:tcPr>
          <w:p w14:paraId="71D4AB7B"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7</w:t>
            </w:r>
          </w:p>
        </w:tc>
        <w:tc>
          <w:tcPr>
            <w:tcW w:w="1326" w:type="dxa"/>
            <w:tcBorders>
              <w:top w:val="nil"/>
              <w:left w:val="nil"/>
              <w:right w:val="nil"/>
            </w:tcBorders>
            <w:shd w:val="clear" w:color="auto" w:fill="auto"/>
            <w:noWrap/>
            <w:vAlign w:val="center"/>
          </w:tcPr>
          <w:p w14:paraId="06C3777C"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52.7</w:t>
            </w:r>
          </w:p>
        </w:tc>
        <w:tc>
          <w:tcPr>
            <w:tcW w:w="1340" w:type="dxa"/>
            <w:tcBorders>
              <w:top w:val="nil"/>
              <w:left w:val="nil"/>
              <w:right w:val="nil"/>
            </w:tcBorders>
            <w:shd w:val="clear" w:color="auto" w:fill="auto"/>
            <w:noWrap/>
            <w:vAlign w:val="center"/>
          </w:tcPr>
          <w:p w14:paraId="13CB95CF"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75.7</w:t>
            </w:r>
          </w:p>
        </w:tc>
        <w:tc>
          <w:tcPr>
            <w:tcW w:w="1020" w:type="dxa"/>
            <w:tcBorders>
              <w:top w:val="nil"/>
              <w:left w:val="nil"/>
              <w:right w:val="nil"/>
            </w:tcBorders>
            <w:shd w:val="clear" w:color="auto" w:fill="auto"/>
            <w:noWrap/>
            <w:vAlign w:val="center"/>
          </w:tcPr>
          <w:p w14:paraId="043EDDCD"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48.1</w:t>
            </w:r>
          </w:p>
        </w:tc>
        <w:tc>
          <w:tcPr>
            <w:tcW w:w="1020" w:type="dxa"/>
            <w:tcBorders>
              <w:top w:val="nil"/>
              <w:left w:val="nil"/>
              <w:right w:val="nil"/>
            </w:tcBorders>
            <w:shd w:val="clear" w:color="auto" w:fill="auto"/>
            <w:noWrap/>
            <w:vAlign w:val="center"/>
          </w:tcPr>
          <w:p w14:paraId="7ACFAC67"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hAnsi="Times New Roman" w:cs="Times New Roman"/>
                <w:sz w:val="20"/>
                <w:szCs w:val="20"/>
              </w:rPr>
              <w:t>78.9</w:t>
            </w:r>
          </w:p>
        </w:tc>
      </w:tr>
      <w:tr w:rsidR="00C20B40" w:rsidRPr="00280B9D" w14:paraId="18C9E936" w14:textId="77777777" w:rsidTr="00C20B40">
        <w:trPr>
          <w:trHeight w:val="285"/>
        </w:trPr>
        <w:tc>
          <w:tcPr>
            <w:tcW w:w="1134" w:type="dxa"/>
            <w:tcBorders>
              <w:top w:val="nil"/>
              <w:left w:val="nil"/>
              <w:bottom w:val="single" w:sz="12" w:space="0" w:color="auto"/>
              <w:right w:val="nil"/>
            </w:tcBorders>
            <w:shd w:val="clear" w:color="auto" w:fill="auto"/>
            <w:noWrap/>
            <w:vAlign w:val="center"/>
          </w:tcPr>
          <w:p w14:paraId="11E6E53C" w14:textId="77777777" w:rsidR="00C20B40" w:rsidRPr="0086073F" w:rsidRDefault="00C20B40" w:rsidP="002F73CF">
            <w:pPr>
              <w:spacing w:after="0" w:line="360" w:lineRule="auto"/>
              <w:jc w:val="center"/>
              <w:rPr>
                <w:rFonts w:ascii="Times New Roman" w:eastAsia="Times New Roman" w:hAnsi="Times New Roman" w:cs="Times New Roman"/>
                <w:color w:val="000000"/>
                <w:sz w:val="20"/>
                <w:szCs w:val="20"/>
                <w:lang w:eastAsia="en-GB"/>
              </w:rPr>
            </w:pPr>
            <w:r w:rsidRPr="0086073F">
              <w:rPr>
                <w:rFonts w:ascii="Times New Roman" w:eastAsia="Times New Roman" w:hAnsi="Times New Roman" w:cs="Times New Roman"/>
                <w:color w:val="000000"/>
                <w:sz w:val="20"/>
                <w:szCs w:val="20"/>
                <w:lang w:eastAsia="en-GB"/>
              </w:rPr>
              <w:t>Model 8</w:t>
            </w:r>
          </w:p>
        </w:tc>
        <w:tc>
          <w:tcPr>
            <w:tcW w:w="1326" w:type="dxa"/>
            <w:tcBorders>
              <w:top w:val="nil"/>
              <w:left w:val="nil"/>
              <w:bottom w:val="single" w:sz="12" w:space="0" w:color="auto"/>
              <w:right w:val="nil"/>
            </w:tcBorders>
            <w:shd w:val="clear" w:color="auto" w:fill="auto"/>
            <w:noWrap/>
            <w:vAlign w:val="center"/>
          </w:tcPr>
          <w:p w14:paraId="61F4E604" w14:textId="77777777" w:rsidR="00C20B40" w:rsidRPr="0086073F" w:rsidRDefault="00C20B40" w:rsidP="002F73CF">
            <w:pPr>
              <w:spacing w:after="0" w:line="360" w:lineRule="auto"/>
              <w:jc w:val="center"/>
              <w:rPr>
                <w:rFonts w:ascii="Times New Roman" w:hAnsi="Times New Roman" w:cs="Times New Roman"/>
                <w:sz w:val="20"/>
                <w:szCs w:val="20"/>
              </w:rPr>
            </w:pPr>
            <w:r w:rsidRPr="0086073F">
              <w:rPr>
                <w:rFonts w:ascii="Times New Roman" w:hAnsi="Times New Roman" w:cs="Times New Roman"/>
                <w:sz w:val="20"/>
                <w:szCs w:val="20"/>
              </w:rPr>
              <w:t>47.3</w:t>
            </w:r>
          </w:p>
        </w:tc>
        <w:tc>
          <w:tcPr>
            <w:tcW w:w="1340" w:type="dxa"/>
            <w:tcBorders>
              <w:top w:val="nil"/>
              <w:left w:val="nil"/>
              <w:bottom w:val="single" w:sz="12" w:space="0" w:color="auto"/>
              <w:right w:val="nil"/>
            </w:tcBorders>
            <w:shd w:val="clear" w:color="auto" w:fill="auto"/>
            <w:noWrap/>
            <w:vAlign w:val="center"/>
          </w:tcPr>
          <w:p w14:paraId="0B2922A4" w14:textId="77777777" w:rsidR="00C20B40" w:rsidRPr="0086073F" w:rsidRDefault="00C20B40" w:rsidP="002F73CF">
            <w:pPr>
              <w:spacing w:after="0" w:line="360" w:lineRule="auto"/>
              <w:jc w:val="center"/>
              <w:rPr>
                <w:rFonts w:ascii="Times New Roman" w:hAnsi="Times New Roman" w:cs="Times New Roman"/>
                <w:sz w:val="20"/>
                <w:szCs w:val="20"/>
              </w:rPr>
            </w:pPr>
            <w:r w:rsidRPr="0086073F">
              <w:rPr>
                <w:rFonts w:ascii="Times New Roman" w:hAnsi="Times New Roman" w:cs="Times New Roman"/>
                <w:sz w:val="20"/>
                <w:szCs w:val="20"/>
              </w:rPr>
              <w:t>76.1</w:t>
            </w:r>
          </w:p>
        </w:tc>
        <w:tc>
          <w:tcPr>
            <w:tcW w:w="1020" w:type="dxa"/>
            <w:tcBorders>
              <w:top w:val="nil"/>
              <w:left w:val="nil"/>
              <w:bottom w:val="single" w:sz="12" w:space="0" w:color="auto"/>
              <w:right w:val="nil"/>
            </w:tcBorders>
            <w:shd w:val="clear" w:color="auto" w:fill="auto"/>
            <w:noWrap/>
            <w:vAlign w:val="center"/>
          </w:tcPr>
          <w:p w14:paraId="4422925E" w14:textId="77777777" w:rsidR="00C20B40" w:rsidRPr="0086073F" w:rsidRDefault="00C20B40" w:rsidP="002F73CF">
            <w:pPr>
              <w:spacing w:after="0" w:line="360" w:lineRule="auto"/>
              <w:jc w:val="center"/>
              <w:rPr>
                <w:rFonts w:ascii="Times New Roman" w:hAnsi="Times New Roman" w:cs="Times New Roman"/>
                <w:sz w:val="20"/>
                <w:szCs w:val="20"/>
              </w:rPr>
            </w:pPr>
            <w:r w:rsidRPr="0086073F">
              <w:rPr>
                <w:rFonts w:ascii="Times New Roman" w:hAnsi="Times New Roman" w:cs="Times New Roman"/>
                <w:sz w:val="20"/>
                <w:szCs w:val="20"/>
              </w:rPr>
              <w:t>45.8</w:t>
            </w:r>
          </w:p>
        </w:tc>
        <w:tc>
          <w:tcPr>
            <w:tcW w:w="1020" w:type="dxa"/>
            <w:tcBorders>
              <w:top w:val="nil"/>
              <w:left w:val="nil"/>
              <w:bottom w:val="single" w:sz="12" w:space="0" w:color="auto"/>
              <w:right w:val="nil"/>
            </w:tcBorders>
            <w:shd w:val="clear" w:color="auto" w:fill="auto"/>
            <w:noWrap/>
            <w:vAlign w:val="center"/>
          </w:tcPr>
          <w:p w14:paraId="7D56011A" w14:textId="77777777" w:rsidR="00C20B40" w:rsidRPr="0086073F" w:rsidRDefault="00C20B40" w:rsidP="002F73CF">
            <w:pPr>
              <w:spacing w:after="0" w:line="360" w:lineRule="auto"/>
              <w:jc w:val="center"/>
              <w:rPr>
                <w:rFonts w:ascii="Times New Roman" w:hAnsi="Times New Roman" w:cs="Times New Roman"/>
                <w:sz w:val="20"/>
                <w:szCs w:val="20"/>
              </w:rPr>
            </w:pPr>
            <w:r w:rsidRPr="0086073F">
              <w:rPr>
                <w:rFonts w:ascii="Times New Roman" w:hAnsi="Times New Roman" w:cs="Times New Roman"/>
                <w:sz w:val="20"/>
                <w:szCs w:val="20"/>
              </w:rPr>
              <w:t>77.2</w:t>
            </w:r>
          </w:p>
        </w:tc>
      </w:tr>
    </w:tbl>
    <w:p w14:paraId="150468AE" w14:textId="3D331885" w:rsidR="00A83570" w:rsidRDefault="00A83570" w:rsidP="00A83570">
      <w:pPr>
        <w:spacing w:after="0"/>
        <w:rPr>
          <w:rFonts w:ascii="Times New Roman" w:hAnsi="Times New Roman" w:cs="Times New Roman"/>
          <w:sz w:val="20"/>
          <w:szCs w:val="20"/>
        </w:rPr>
      </w:pPr>
      <w:r>
        <w:rPr>
          <w:rFonts w:ascii="Times New Roman" w:hAnsi="Times New Roman" w:cs="Times New Roman"/>
          <w:sz w:val="20"/>
          <w:szCs w:val="20"/>
        </w:rPr>
        <w:t xml:space="preserve">GDM – </w:t>
      </w:r>
      <w:r w:rsidR="009A4719">
        <w:rPr>
          <w:rFonts w:ascii="Times New Roman" w:hAnsi="Times New Roman" w:cs="Times New Roman"/>
          <w:sz w:val="20"/>
          <w:szCs w:val="20"/>
        </w:rPr>
        <w:t>g</w:t>
      </w:r>
      <w:r>
        <w:rPr>
          <w:rFonts w:ascii="Times New Roman" w:hAnsi="Times New Roman" w:cs="Times New Roman"/>
          <w:sz w:val="20"/>
          <w:szCs w:val="20"/>
        </w:rPr>
        <w:t xml:space="preserve">estational </w:t>
      </w:r>
      <w:r w:rsidR="009A4719">
        <w:rPr>
          <w:rFonts w:ascii="Times New Roman" w:hAnsi="Times New Roman" w:cs="Times New Roman"/>
          <w:sz w:val="20"/>
          <w:szCs w:val="20"/>
        </w:rPr>
        <w:t>d</w:t>
      </w:r>
      <w:r>
        <w:rPr>
          <w:rFonts w:ascii="Times New Roman" w:hAnsi="Times New Roman" w:cs="Times New Roman"/>
          <w:sz w:val="20"/>
          <w:szCs w:val="20"/>
        </w:rPr>
        <w:t>iabetes, PPV – positive predictive value,</w:t>
      </w:r>
      <w:r w:rsidR="00A811BA">
        <w:rPr>
          <w:rFonts w:ascii="Times New Roman" w:hAnsi="Times New Roman" w:cs="Times New Roman"/>
          <w:sz w:val="20"/>
          <w:szCs w:val="20"/>
        </w:rPr>
        <w:t xml:space="preserve"> </w:t>
      </w:r>
      <w:r>
        <w:rPr>
          <w:rFonts w:ascii="Times New Roman" w:hAnsi="Times New Roman" w:cs="Times New Roman"/>
          <w:sz w:val="20"/>
          <w:szCs w:val="20"/>
        </w:rPr>
        <w:t xml:space="preserve"> NPV – negative predictive value </w:t>
      </w:r>
    </w:p>
    <w:p w14:paraId="65308731" w14:textId="77777777" w:rsidR="00A83570" w:rsidRPr="00BA01F8" w:rsidRDefault="00A83570" w:rsidP="00A83570">
      <w:pPr>
        <w:spacing w:after="0"/>
        <w:rPr>
          <w:rFonts w:ascii="Times New Roman" w:hAnsi="Times New Roman" w:cs="Times New Roman"/>
          <w:sz w:val="20"/>
          <w:szCs w:val="20"/>
        </w:rPr>
      </w:pPr>
      <w:r w:rsidRPr="00BA01F8">
        <w:rPr>
          <w:rFonts w:ascii="Times New Roman" w:hAnsi="Times New Roman" w:cs="Times New Roman"/>
          <w:sz w:val="20"/>
          <w:szCs w:val="20"/>
        </w:rPr>
        <w:t>Model 1: Clinical model only</w:t>
      </w:r>
    </w:p>
    <w:p w14:paraId="11BF548C" w14:textId="77777777" w:rsidR="00A83570" w:rsidRPr="00BA01F8" w:rsidRDefault="00A83570" w:rsidP="00A83570">
      <w:pPr>
        <w:spacing w:after="0"/>
        <w:rPr>
          <w:rFonts w:ascii="Times New Roman" w:hAnsi="Times New Roman" w:cs="Times New Roman"/>
          <w:sz w:val="20"/>
          <w:szCs w:val="20"/>
        </w:rPr>
      </w:pPr>
      <w:r w:rsidRPr="00BA01F8">
        <w:rPr>
          <w:rFonts w:ascii="Times New Roman" w:hAnsi="Times New Roman" w:cs="Times New Roman"/>
          <w:sz w:val="20"/>
          <w:szCs w:val="20"/>
        </w:rPr>
        <w:t>Model 2: Clinical plus candidate biomarker model</w:t>
      </w:r>
    </w:p>
    <w:p w14:paraId="741B27FE" w14:textId="77777777" w:rsidR="00A83570" w:rsidRPr="00BA01F8" w:rsidRDefault="00A83570" w:rsidP="00A83570">
      <w:pPr>
        <w:spacing w:after="0"/>
        <w:rPr>
          <w:rFonts w:ascii="Times New Roman" w:hAnsi="Times New Roman" w:cs="Times New Roman"/>
          <w:sz w:val="20"/>
          <w:szCs w:val="20"/>
        </w:rPr>
      </w:pPr>
      <w:r w:rsidRPr="00BA01F8">
        <w:rPr>
          <w:rFonts w:ascii="Times New Roman" w:hAnsi="Times New Roman" w:cs="Times New Roman"/>
          <w:sz w:val="20"/>
          <w:szCs w:val="20"/>
        </w:rPr>
        <w:t>Model 3: Clinical plus candidate biomarker plus metabolome model</w:t>
      </w:r>
    </w:p>
    <w:p w14:paraId="50DA30C3" w14:textId="77777777" w:rsidR="00A83570" w:rsidRDefault="00A83570" w:rsidP="00A83570">
      <w:pPr>
        <w:spacing w:after="0"/>
        <w:rPr>
          <w:rFonts w:ascii="Times New Roman" w:hAnsi="Times New Roman" w:cs="Times New Roman"/>
          <w:sz w:val="20"/>
          <w:szCs w:val="20"/>
        </w:rPr>
      </w:pPr>
      <w:r w:rsidRPr="00BA01F8">
        <w:rPr>
          <w:rFonts w:ascii="Times New Roman" w:hAnsi="Times New Roman" w:cs="Times New Roman"/>
          <w:sz w:val="20"/>
          <w:szCs w:val="20"/>
        </w:rPr>
        <w:t>Model 4 – 8: Clinically translatable models</w:t>
      </w:r>
    </w:p>
    <w:p w14:paraId="22B27B1C" w14:textId="1D69FE15" w:rsidR="004D4E3A" w:rsidRPr="00762D20" w:rsidRDefault="00A83570" w:rsidP="005E6E41">
      <w:pPr>
        <w:spacing w:after="0" w:line="480" w:lineRule="auto"/>
        <w:jc w:val="both"/>
        <w:rPr>
          <w:rFonts w:ascii="Times New Roman" w:hAnsi="Times New Roman" w:cs="Times New Roman"/>
          <w:b/>
          <w:sz w:val="24"/>
          <w:szCs w:val="24"/>
        </w:rPr>
      </w:pPr>
      <w:r>
        <w:rPr>
          <w:rFonts w:ascii="Times New Roman" w:hAnsi="Times New Roman" w:cs="Times New Roman"/>
          <w:sz w:val="20"/>
          <w:szCs w:val="20"/>
        </w:rPr>
        <w:br w:type="page"/>
      </w:r>
      <w:r w:rsidR="0038581C" w:rsidRPr="005E6E41">
        <w:rPr>
          <w:rFonts w:ascii="Times New Roman" w:hAnsi="Times New Roman" w:cs="Times New Roman"/>
        </w:rPr>
        <w:lastRenderedPageBreak/>
        <w:t>When compared</w:t>
      </w:r>
      <w:r w:rsidR="00C653F5" w:rsidRPr="005E6E41">
        <w:rPr>
          <w:rFonts w:ascii="Times New Roman" w:hAnsi="Times New Roman" w:cs="Times New Roman"/>
        </w:rPr>
        <w:t xml:space="preserve"> to the analyses in the maximal number (</w:t>
      </w:r>
      <w:r w:rsidR="00D944D3" w:rsidRPr="005E6E41">
        <w:rPr>
          <w:rFonts w:ascii="Times New Roman" w:hAnsi="Times New Roman" w:cs="Times New Roman"/>
        </w:rPr>
        <w:t>n</w:t>
      </w:r>
      <w:r w:rsidR="00C653F5" w:rsidRPr="005E6E41">
        <w:rPr>
          <w:rFonts w:ascii="Times New Roman" w:hAnsi="Times New Roman" w:cs="Times New Roman"/>
        </w:rPr>
        <w:t>=1267)</w:t>
      </w:r>
      <w:r w:rsidR="004D4E3A" w:rsidRPr="005E6E41">
        <w:rPr>
          <w:rFonts w:ascii="Times New Roman" w:hAnsi="Times New Roman" w:cs="Times New Roman"/>
        </w:rPr>
        <w:t>,</w:t>
      </w:r>
      <w:r w:rsidR="00C653F5" w:rsidRPr="005E6E41">
        <w:rPr>
          <w:rFonts w:ascii="Times New Roman" w:hAnsi="Times New Roman" w:cs="Times New Roman"/>
        </w:rPr>
        <w:t xml:space="preserve"> the selected variables, their magnitude of associations and the AUC </w:t>
      </w:r>
      <w:r w:rsidR="00784B70" w:rsidRPr="005E6E41">
        <w:rPr>
          <w:rFonts w:ascii="Times New Roman" w:hAnsi="Times New Roman" w:cs="Times New Roman"/>
        </w:rPr>
        <w:t xml:space="preserve">were similar </w:t>
      </w:r>
      <w:r w:rsidR="00C653F5" w:rsidRPr="005E6E41">
        <w:rPr>
          <w:rFonts w:ascii="Times New Roman" w:hAnsi="Times New Roman" w:cs="Times New Roman"/>
        </w:rPr>
        <w:t>in the sub</w:t>
      </w:r>
      <w:r w:rsidR="00954CB0" w:rsidRPr="005E6E41">
        <w:rPr>
          <w:rFonts w:ascii="Times New Roman" w:hAnsi="Times New Roman" w:cs="Times New Roman"/>
        </w:rPr>
        <w:t>-</w:t>
      </w:r>
      <w:r w:rsidR="00C653F5" w:rsidRPr="005E6E41">
        <w:rPr>
          <w:rFonts w:ascii="Times New Roman" w:hAnsi="Times New Roman" w:cs="Times New Roman"/>
        </w:rPr>
        <w:t xml:space="preserve">groups that were </w:t>
      </w:r>
      <w:r w:rsidR="008365A1" w:rsidRPr="005E6E41">
        <w:rPr>
          <w:rFonts w:ascii="Times New Roman" w:hAnsi="Times New Roman" w:cs="Times New Roman"/>
        </w:rPr>
        <w:t>included in</w:t>
      </w:r>
      <w:r w:rsidR="00C653F5" w:rsidRPr="005E6E41">
        <w:rPr>
          <w:rFonts w:ascii="Times New Roman" w:hAnsi="Times New Roman" w:cs="Times New Roman"/>
        </w:rPr>
        <w:t xml:space="preserve"> Model 2 (</w:t>
      </w:r>
      <w:r w:rsidR="00D944D3" w:rsidRPr="005E6E41">
        <w:rPr>
          <w:rFonts w:ascii="Times New Roman" w:hAnsi="Times New Roman" w:cs="Times New Roman"/>
        </w:rPr>
        <w:t>n</w:t>
      </w:r>
      <w:r w:rsidR="00C653F5" w:rsidRPr="005E6E41">
        <w:rPr>
          <w:rFonts w:ascii="Times New Roman" w:hAnsi="Times New Roman" w:cs="Times New Roman"/>
        </w:rPr>
        <w:t>=805) (</w:t>
      </w:r>
      <w:r w:rsidR="00B665F1" w:rsidRPr="005E6E41">
        <w:rPr>
          <w:rFonts w:ascii="Times New Roman" w:hAnsi="Times New Roman" w:cs="Times New Roman"/>
        </w:rPr>
        <w:t>S</w:t>
      </w:r>
      <w:r w:rsidR="00A67891" w:rsidRPr="005E6E41">
        <w:rPr>
          <w:rFonts w:ascii="Times New Roman" w:hAnsi="Times New Roman" w:cs="Times New Roman"/>
        </w:rPr>
        <w:t>5</w:t>
      </w:r>
      <w:r w:rsidR="0040227F" w:rsidRPr="005E6E41">
        <w:rPr>
          <w:rFonts w:ascii="Times New Roman" w:hAnsi="Times New Roman" w:cs="Times New Roman"/>
        </w:rPr>
        <w:t xml:space="preserve"> </w:t>
      </w:r>
      <w:r w:rsidR="00C653F5" w:rsidRPr="005E6E41">
        <w:rPr>
          <w:rFonts w:ascii="Times New Roman" w:hAnsi="Times New Roman" w:cs="Times New Roman"/>
        </w:rPr>
        <w:t>Table). In the sub</w:t>
      </w:r>
      <w:r w:rsidR="00954CB0" w:rsidRPr="005E6E41">
        <w:rPr>
          <w:rFonts w:ascii="Times New Roman" w:hAnsi="Times New Roman" w:cs="Times New Roman"/>
        </w:rPr>
        <w:t>-</w:t>
      </w:r>
      <w:r w:rsidR="00C653F5" w:rsidRPr="005E6E41">
        <w:rPr>
          <w:rFonts w:ascii="Times New Roman" w:hAnsi="Times New Roman" w:cs="Times New Roman"/>
        </w:rPr>
        <w:t>group used in Model 3</w:t>
      </w:r>
      <w:r w:rsidR="00F67DF4" w:rsidRPr="005E6E41">
        <w:rPr>
          <w:rFonts w:ascii="Times New Roman" w:hAnsi="Times New Roman" w:cs="Times New Roman"/>
        </w:rPr>
        <w:t xml:space="preserve"> </w:t>
      </w:r>
      <w:r w:rsidR="00C653F5" w:rsidRPr="005E6E41">
        <w:rPr>
          <w:rFonts w:ascii="Times New Roman" w:hAnsi="Times New Roman" w:cs="Times New Roman"/>
        </w:rPr>
        <w:t>(</w:t>
      </w:r>
      <w:r w:rsidR="00D944D3" w:rsidRPr="005E6E41">
        <w:rPr>
          <w:rFonts w:ascii="Times New Roman" w:hAnsi="Times New Roman" w:cs="Times New Roman"/>
        </w:rPr>
        <w:t>n</w:t>
      </w:r>
      <w:r w:rsidR="00C653F5" w:rsidRPr="005E6E41">
        <w:rPr>
          <w:rFonts w:ascii="Times New Roman" w:hAnsi="Times New Roman" w:cs="Times New Roman"/>
        </w:rPr>
        <w:t>=770) the magnitudes of associations of anthropometric predictors with GDM were stronger and an additional predictor (waist:thigh) appeared in the clinical model for this sub-sample</w:t>
      </w:r>
      <w:r w:rsidR="00984E73" w:rsidRPr="005E6E41">
        <w:rPr>
          <w:rFonts w:ascii="Times New Roman" w:hAnsi="Times New Roman" w:cs="Times New Roman"/>
        </w:rPr>
        <w:t xml:space="preserve"> (</w:t>
      </w:r>
      <w:r w:rsidR="00B665F1" w:rsidRPr="005E6E41">
        <w:rPr>
          <w:rFonts w:ascii="Times New Roman" w:hAnsi="Times New Roman" w:cs="Times New Roman"/>
        </w:rPr>
        <w:t>S</w:t>
      </w:r>
      <w:r w:rsidR="00A67891" w:rsidRPr="005E6E41">
        <w:rPr>
          <w:rFonts w:ascii="Times New Roman" w:hAnsi="Times New Roman" w:cs="Times New Roman"/>
        </w:rPr>
        <w:t>5</w:t>
      </w:r>
      <w:r w:rsidR="0040227F" w:rsidRPr="005E6E41">
        <w:rPr>
          <w:rFonts w:ascii="Times New Roman" w:hAnsi="Times New Roman" w:cs="Times New Roman"/>
        </w:rPr>
        <w:t xml:space="preserve"> </w:t>
      </w:r>
      <w:r w:rsidR="00984E73" w:rsidRPr="005E6E41">
        <w:rPr>
          <w:rFonts w:ascii="Times New Roman" w:hAnsi="Times New Roman" w:cs="Times New Roman"/>
        </w:rPr>
        <w:t>Table). In both these sub</w:t>
      </w:r>
      <w:r w:rsidR="0009056D" w:rsidRPr="005E6E41">
        <w:rPr>
          <w:rFonts w:ascii="Times New Roman" w:hAnsi="Times New Roman" w:cs="Times New Roman"/>
        </w:rPr>
        <w:t>-</w:t>
      </w:r>
      <w:r w:rsidR="00984E73" w:rsidRPr="005E6E41">
        <w:rPr>
          <w:rFonts w:ascii="Times New Roman" w:hAnsi="Times New Roman" w:cs="Times New Roman"/>
        </w:rPr>
        <w:t>samples previous history of GD</w:t>
      </w:r>
      <w:r w:rsidR="00A06749" w:rsidRPr="005E6E41">
        <w:rPr>
          <w:rFonts w:ascii="Times New Roman" w:hAnsi="Times New Roman" w:cs="Times New Roman"/>
        </w:rPr>
        <w:t>M did not appear as a predictor</w:t>
      </w:r>
      <w:r w:rsidR="00984E73" w:rsidRPr="005E6E41">
        <w:rPr>
          <w:rFonts w:ascii="Times New Roman" w:hAnsi="Times New Roman" w:cs="Times New Roman"/>
        </w:rPr>
        <w:t xml:space="preserve"> despite its strong magnitude of association in the larger sample of 1267</w:t>
      </w:r>
      <w:r w:rsidR="00224A86" w:rsidRPr="005E6E41">
        <w:rPr>
          <w:rFonts w:ascii="Times New Roman" w:hAnsi="Times New Roman" w:cs="Times New Roman"/>
        </w:rPr>
        <w:t xml:space="preserve"> women</w:t>
      </w:r>
      <w:r w:rsidR="00984E73" w:rsidRPr="005E6E41">
        <w:rPr>
          <w:rFonts w:ascii="Times New Roman" w:hAnsi="Times New Roman" w:cs="Times New Roman"/>
        </w:rPr>
        <w:t xml:space="preserve">. This </w:t>
      </w:r>
      <w:r w:rsidR="00261A92" w:rsidRPr="005E6E41">
        <w:rPr>
          <w:rFonts w:ascii="Times New Roman" w:hAnsi="Times New Roman" w:cs="Times New Roman"/>
        </w:rPr>
        <w:t xml:space="preserve">is likely related to the </w:t>
      </w:r>
      <w:r w:rsidR="00984E73" w:rsidRPr="005E6E41">
        <w:rPr>
          <w:rFonts w:ascii="Times New Roman" w:hAnsi="Times New Roman" w:cs="Times New Roman"/>
        </w:rPr>
        <w:t>small</w:t>
      </w:r>
      <w:r w:rsidR="00EE253D" w:rsidRPr="005E6E41">
        <w:rPr>
          <w:rFonts w:ascii="Times New Roman" w:hAnsi="Times New Roman" w:cs="Times New Roman"/>
        </w:rPr>
        <w:t>er</w:t>
      </w:r>
      <w:r w:rsidR="00984E73" w:rsidRPr="005E6E41">
        <w:rPr>
          <w:rFonts w:ascii="Times New Roman" w:hAnsi="Times New Roman" w:cs="Times New Roman"/>
        </w:rPr>
        <w:t xml:space="preserve"> numbers of women with previous history of GDM</w:t>
      </w:r>
      <w:r w:rsidR="003049DF" w:rsidRPr="005E6E41">
        <w:rPr>
          <w:rFonts w:ascii="Times New Roman" w:hAnsi="Times New Roman" w:cs="Times New Roman"/>
        </w:rPr>
        <w:t xml:space="preserve"> </w:t>
      </w:r>
      <w:r w:rsidR="009E2240" w:rsidRPr="005E6E41">
        <w:rPr>
          <w:rFonts w:ascii="Times New Roman" w:hAnsi="Times New Roman" w:cs="Times New Roman"/>
        </w:rPr>
        <w:t xml:space="preserve">in </w:t>
      </w:r>
      <w:r w:rsidR="00EE253D" w:rsidRPr="005E6E41">
        <w:rPr>
          <w:rFonts w:ascii="Times New Roman" w:hAnsi="Times New Roman" w:cs="Times New Roman"/>
        </w:rPr>
        <w:t xml:space="preserve">models 2 and 3 </w:t>
      </w:r>
      <w:r w:rsidR="009E2240" w:rsidRPr="005E6E41">
        <w:rPr>
          <w:rFonts w:ascii="Times New Roman" w:hAnsi="Times New Roman" w:cs="Times New Roman"/>
        </w:rPr>
        <w:t>(</w:t>
      </w:r>
      <w:r w:rsidR="00EE253D" w:rsidRPr="005E6E41">
        <w:rPr>
          <w:rFonts w:ascii="Times New Roman" w:hAnsi="Times New Roman" w:cs="Times New Roman"/>
        </w:rPr>
        <w:t>n=</w:t>
      </w:r>
      <w:r w:rsidR="009E2240" w:rsidRPr="005E6E41">
        <w:rPr>
          <w:rFonts w:ascii="Times New Roman" w:hAnsi="Times New Roman" w:cs="Times New Roman"/>
        </w:rPr>
        <w:t xml:space="preserve">14, and </w:t>
      </w:r>
      <w:r w:rsidR="00EE253D" w:rsidRPr="005E6E41">
        <w:rPr>
          <w:rFonts w:ascii="Times New Roman" w:hAnsi="Times New Roman" w:cs="Times New Roman"/>
        </w:rPr>
        <w:t>n=</w:t>
      </w:r>
      <w:r w:rsidR="009E2240" w:rsidRPr="005E6E41">
        <w:rPr>
          <w:rFonts w:ascii="Times New Roman" w:hAnsi="Times New Roman" w:cs="Times New Roman"/>
        </w:rPr>
        <w:t>13</w:t>
      </w:r>
      <w:r w:rsidR="00EE253D" w:rsidRPr="005E6E41">
        <w:rPr>
          <w:rFonts w:ascii="Times New Roman" w:hAnsi="Times New Roman" w:cs="Times New Roman"/>
        </w:rPr>
        <w:t xml:space="preserve"> r</w:t>
      </w:r>
      <w:r w:rsidR="009E2240" w:rsidRPr="005E6E41">
        <w:rPr>
          <w:rFonts w:ascii="Times New Roman" w:hAnsi="Times New Roman" w:cs="Times New Roman"/>
        </w:rPr>
        <w:t xml:space="preserve">espectively). </w:t>
      </w:r>
      <w:r w:rsidR="00984E73" w:rsidRPr="005E6E41">
        <w:rPr>
          <w:rFonts w:ascii="Times New Roman" w:hAnsi="Times New Roman" w:cs="Times New Roman"/>
        </w:rPr>
        <w:t xml:space="preserve">Sensitivity analysis removing women with a previous history of GDM from Models 1-3 identified similar </w:t>
      </w:r>
      <w:r w:rsidR="00D67D84" w:rsidRPr="005E6E41">
        <w:rPr>
          <w:rFonts w:ascii="Times New Roman" w:hAnsi="Times New Roman" w:cs="Times New Roman"/>
        </w:rPr>
        <w:t xml:space="preserve">clinical </w:t>
      </w:r>
      <w:r w:rsidR="00984E73" w:rsidRPr="005E6E41">
        <w:rPr>
          <w:rFonts w:ascii="Times New Roman" w:hAnsi="Times New Roman" w:cs="Times New Roman"/>
        </w:rPr>
        <w:t>predictors, candidate biomarkers and NMR metabol</w:t>
      </w:r>
      <w:r w:rsidR="00D67D84" w:rsidRPr="005E6E41">
        <w:rPr>
          <w:rFonts w:ascii="Times New Roman" w:hAnsi="Times New Roman" w:cs="Times New Roman"/>
        </w:rPr>
        <w:t>ites</w:t>
      </w:r>
      <w:r w:rsidR="00984E73" w:rsidRPr="005E6E41">
        <w:rPr>
          <w:rFonts w:ascii="Times New Roman" w:hAnsi="Times New Roman" w:cs="Times New Roman"/>
        </w:rPr>
        <w:t>. Th</w:t>
      </w:r>
      <w:r w:rsidR="00F8432B" w:rsidRPr="005E6E41">
        <w:rPr>
          <w:rFonts w:ascii="Times New Roman" w:hAnsi="Times New Roman" w:cs="Times New Roman"/>
        </w:rPr>
        <w:t>ese</w:t>
      </w:r>
      <w:r w:rsidR="008365A1" w:rsidRPr="005E6E41">
        <w:rPr>
          <w:rFonts w:ascii="Times New Roman" w:hAnsi="Times New Roman" w:cs="Times New Roman"/>
        </w:rPr>
        <w:t xml:space="preserve"> model</w:t>
      </w:r>
      <w:r w:rsidR="00F8432B" w:rsidRPr="005E6E41">
        <w:rPr>
          <w:rFonts w:ascii="Times New Roman" w:hAnsi="Times New Roman" w:cs="Times New Roman"/>
        </w:rPr>
        <w:t>s</w:t>
      </w:r>
      <w:r w:rsidR="008365A1" w:rsidRPr="005E6E41">
        <w:rPr>
          <w:rFonts w:ascii="Times New Roman" w:hAnsi="Times New Roman" w:cs="Times New Roman"/>
        </w:rPr>
        <w:t xml:space="preserve"> included an </w:t>
      </w:r>
      <w:r w:rsidR="00984E73" w:rsidRPr="005E6E41">
        <w:rPr>
          <w:rFonts w:ascii="Times New Roman" w:hAnsi="Times New Roman" w:cs="Times New Roman"/>
        </w:rPr>
        <w:t>additional anthropometric</w:t>
      </w:r>
      <w:r w:rsidR="00D944D3" w:rsidRPr="005E6E41">
        <w:rPr>
          <w:rFonts w:ascii="Times New Roman" w:hAnsi="Times New Roman" w:cs="Times New Roman"/>
        </w:rPr>
        <w:t xml:space="preserve"> measure</w:t>
      </w:r>
      <w:r w:rsidR="00984E73" w:rsidRPr="005E6E41">
        <w:rPr>
          <w:rFonts w:ascii="Times New Roman" w:hAnsi="Times New Roman" w:cs="Times New Roman"/>
        </w:rPr>
        <w:t xml:space="preserve"> </w:t>
      </w:r>
      <w:r w:rsidR="00ED7647" w:rsidRPr="005E6E41">
        <w:rPr>
          <w:rFonts w:ascii="Times New Roman" w:hAnsi="Times New Roman" w:cs="Times New Roman"/>
        </w:rPr>
        <w:t>(waist:thigh)</w:t>
      </w:r>
      <w:r w:rsidR="00461027">
        <w:rPr>
          <w:rFonts w:ascii="Times New Roman" w:hAnsi="Times New Roman" w:cs="Times New Roman"/>
        </w:rPr>
        <w:t>,</w:t>
      </w:r>
      <w:r w:rsidR="007C6639">
        <w:rPr>
          <w:rFonts w:ascii="Times New Roman" w:hAnsi="Times New Roman" w:cs="Times New Roman"/>
          <w:sz w:val="24"/>
          <w:szCs w:val="24"/>
        </w:rPr>
        <w:t xml:space="preserve"> </w:t>
      </w:r>
      <w:r w:rsidR="00984E73" w:rsidRPr="005E6E41">
        <w:rPr>
          <w:rFonts w:ascii="Times New Roman" w:hAnsi="Times New Roman" w:cs="Times New Roman"/>
        </w:rPr>
        <w:t xml:space="preserve"> </w:t>
      </w:r>
      <w:r w:rsidR="00ED7647" w:rsidRPr="005E6E41">
        <w:rPr>
          <w:rFonts w:ascii="Times New Roman" w:hAnsi="Times New Roman" w:cs="Times New Roman"/>
        </w:rPr>
        <w:t>strengthen</w:t>
      </w:r>
      <w:r w:rsidR="008365A1" w:rsidRPr="005E6E41">
        <w:rPr>
          <w:rFonts w:ascii="Times New Roman" w:hAnsi="Times New Roman" w:cs="Times New Roman"/>
        </w:rPr>
        <w:t>ed</w:t>
      </w:r>
      <w:r w:rsidR="00ED7647" w:rsidRPr="005E6E41">
        <w:rPr>
          <w:rFonts w:ascii="Times New Roman" w:hAnsi="Times New Roman" w:cs="Times New Roman"/>
        </w:rPr>
        <w:t xml:space="preserve"> </w:t>
      </w:r>
      <w:r w:rsidR="007C6639">
        <w:rPr>
          <w:rFonts w:ascii="Times New Roman" w:hAnsi="Times New Roman" w:cs="Times New Roman"/>
          <w:sz w:val="24"/>
          <w:szCs w:val="24"/>
        </w:rPr>
        <w:t xml:space="preserve">the </w:t>
      </w:r>
      <w:r w:rsidR="00ED7647" w:rsidRPr="005E6E41">
        <w:rPr>
          <w:rFonts w:ascii="Times New Roman" w:hAnsi="Times New Roman" w:cs="Times New Roman"/>
        </w:rPr>
        <w:t>association of previously identified anthropometric measure</w:t>
      </w:r>
      <w:r w:rsidR="008365A1" w:rsidRPr="005E6E41">
        <w:rPr>
          <w:rFonts w:ascii="Times New Roman" w:hAnsi="Times New Roman" w:cs="Times New Roman"/>
        </w:rPr>
        <w:t>s</w:t>
      </w:r>
      <w:r w:rsidR="00C75436" w:rsidRPr="005E6E41">
        <w:rPr>
          <w:rFonts w:ascii="Times New Roman" w:hAnsi="Times New Roman" w:cs="Times New Roman"/>
        </w:rPr>
        <w:t>,</w:t>
      </w:r>
      <w:r w:rsidR="00ED7647" w:rsidRPr="005E6E41">
        <w:rPr>
          <w:rFonts w:ascii="Times New Roman" w:hAnsi="Times New Roman" w:cs="Times New Roman"/>
        </w:rPr>
        <w:t xml:space="preserve"> </w:t>
      </w:r>
      <w:r w:rsidR="00C75436" w:rsidRPr="005E6E41">
        <w:rPr>
          <w:rFonts w:ascii="Times New Roman" w:hAnsi="Times New Roman" w:cs="Times New Roman"/>
        </w:rPr>
        <w:t xml:space="preserve">and identified further </w:t>
      </w:r>
      <w:r w:rsidR="00ED7647" w:rsidRPr="005E6E41">
        <w:rPr>
          <w:rFonts w:ascii="Times New Roman" w:hAnsi="Times New Roman" w:cs="Times New Roman"/>
        </w:rPr>
        <w:t xml:space="preserve">candidate biomarkers and </w:t>
      </w:r>
      <w:r w:rsidR="00D944D3" w:rsidRPr="005E6E41">
        <w:rPr>
          <w:rFonts w:ascii="Times New Roman" w:hAnsi="Times New Roman" w:cs="Times New Roman"/>
        </w:rPr>
        <w:t xml:space="preserve">metabolites from the </w:t>
      </w:r>
      <w:r w:rsidR="00ED7647" w:rsidRPr="005E6E41">
        <w:rPr>
          <w:rFonts w:ascii="Times New Roman" w:hAnsi="Times New Roman" w:cs="Times New Roman"/>
        </w:rPr>
        <w:t>metabolome</w:t>
      </w:r>
      <w:r w:rsidR="00C75436" w:rsidRPr="005E6E41">
        <w:rPr>
          <w:rFonts w:ascii="Times New Roman" w:hAnsi="Times New Roman" w:cs="Times New Roman"/>
        </w:rPr>
        <w:t xml:space="preserve"> (</w:t>
      </w:r>
      <w:r w:rsidR="00B665F1" w:rsidRPr="005E6E41">
        <w:rPr>
          <w:rFonts w:ascii="Times New Roman" w:hAnsi="Times New Roman" w:cs="Times New Roman"/>
        </w:rPr>
        <w:t>S</w:t>
      </w:r>
      <w:r w:rsidR="00A67891" w:rsidRPr="005E6E41">
        <w:rPr>
          <w:rFonts w:ascii="Times New Roman" w:hAnsi="Times New Roman" w:cs="Times New Roman"/>
        </w:rPr>
        <w:t>6</w:t>
      </w:r>
      <w:r w:rsidR="00C75436" w:rsidRPr="005E6E41">
        <w:rPr>
          <w:rFonts w:ascii="Times New Roman" w:hAnsi="Times New Roman" w:cs="Times New Roman"/>
        </w:rPr>
        <w:t xml:space="preserve"> Table). T</w:t>
      </w:r>
      <w:r w:rsidR="00ED7647" w:rsidRPr="005E6E41">
        <w:rPr>
          <w:rFonts w:ascii="Times New Roman" w:hAnsi="Times New Roman" w:cs="Times New Roman"/>
        </w:rPr>
        <w:t>he AUC w</w:t>
      </w:r>
      <w:r w:rsidR="00F8432B" w:rsidRPr="005E6E41">
        <w:rPr>
          <w:rFonts w:ascii="Times New Roman" w:hAnsi="Times New Roman" w:cs="Times New Roman"/>
        </w:rPr>
        <w:t>ere</w:t>
      </w:r>
      <w:r w:rsidR="00ED7647" w:rsidRPr="005E6E41">
        <w:rPr>
          <w:rFonts w:ascii="Times New Roman" w:hAnsi="Times New Roman" w:cs="Times New Roman"/>
        </w:rPr>
        <w:t xml:space="preserve"> similar to</w:t>
      </w:r>
      <w:r w:rsidR="00C75436" w:rsidRPr="005E6E41">
        <w:rPr>
          <w:rFonts w:ascii="Times New Roman" w:hAnsi="Times New Roman" w:cs="Times New Roman"/>
        </w:rPr>
        <w:t xml:space="preserve"> those found in</w:t>
      </w:r>
      <w:r w:rsidR="00ED7647" w:rsidRPr="005E6E41">
        <w:rPr>
          <w:rFonts w:ascii="Times New Roman" w:hAnsi="Times New Roman" w:cs="Times New Roman"/>
        </w:rPr>
        <w:t xml:space="preserve"> the primary analysis </w:t>
      </w:r>
      <w:r w:rsidR="00F8432B" w:rsidRPr="005E6E41">
        <w:rPr>
          <w:rFonts w:ascii="Times New Roman" w:hAnsi="Times New Roman" w:cs="Times New Roman"/>
        </w:rPr>
        <w:t>in</w:t>
      </w:r>
      <w:r w:rsidR="00ED7647" w:rsidRPr="005E6E41">
        <w:rPr>
          <w:rFonts w:ascii="Times New Roman" w:hAnsi="Times New Roman" w:cs="Times New Roman"/>
        </w:rPr>
        <w:t xml:space="preserve"> Model</w:t>
      </w:r>
      <w:r w:rsidR="002839E8" w:rsidRPr="005E6E41">
        <w:rPr>
          <w:rFonts w:ascii="Times New Roman" w:hAnsi="Times New Roman" w:cs="Times New Roman"/>
        </w:rPr>
        <w:t>s</w:t>
      </w:r>
      <w:r w:rsidR="00ED7647" w:rsidRPr="005E6E41">
        <w:rPr>
          <w:rFonts w:ascii="Times New Roman" w:hAnsi="Times New Roman" w:cs="Times New Roman"/>
        </w:rPr>
        <w:t xml:space="preserve"> </w:t>
      </w:r>
      <w:r w:rsidR="00C75436" w:rsidRPr="005E6E41">
        <w:rPr>
          <w:rFonts w:ascii="Times New Roman" w:hAnsi="Times New Roman" w:cs="Times New Roman"/>
        </w:rPr>
        <w:t xml:space="preserve">1 </w:t>
      </w:r>
      <w:r w:rsidR="006307F7" w:rsidRPr="005E6E41">
        <w:rPr>
          <w:rFonts w:ascii="Times New Roman" w:hAnsi="Times New Roman" w:cs="Times New Roman"/>
        </w:rPr>
        <w:t>–</w:t>
      </w:r>
      <w:r w:rsidR="00C75436" w:rsidRPr="005E6E41">
        <w:rPr>
          <w:rFonts w:ascii="Times New Roman" w:hAnsi="Times New Roman" w:cs="Times New Roman"/>
        </w:rPr>
        <w:t xml:space="preserve"> 3</w:t>
      </w:r>
      <w:r w:rsidR="006307F7" w:rsidRPr="005E6E41">
        <w:rPr>
          <w:rFonts w:ascii="Times New Roman" w:hAnsi="Times New Roman" w:cs="Times New Roman"/>
        </w:rPr>
        <w:t>.</w:t>
      </w:r>
      <w:r w:rsidR="00ED7647" w:rsidRPr="005E6E41">
        <w:rPr>
          <w:rFonts w:ascii="Times New Roman" w:hAnsi="Times New Roman" w:cs="Times New Roman"/>
        </w:rPr>
        <w:t xml:space="preserve"> </w:t>
      </w:r>
      <w:r w:rsidR="004D4E3A" w:rsidRPr="00762D20">
        <w:rPr>
          <w:rFonts w:ascii="Times New Roman" w:hAnsi="Times New Roman" w:cs="Times New Roman"/>
          <w:b/>
          <w:sz w:val="24"/>
          <w:szCs w:val="24"/>
        </w:rPr>
        <w:br w:type="page"/>
      </w:r>
    </w:p>
    <w:p w14:paraId="48CB7C41" w14:textId="394B8ECF" w:rsidR="00784B70" w:rsidRPr="00461751" w:rsidRDefault="00784B70" w:rsidP="009A4719">
      <w:pPr>
        <w:pStyle w:val="Heading1"/>
        <w:spacing w:line="480" w:lineRule="auto"/>
      </w:pPr>
      <w:r w:rsidRPr="00461751">
        <w:lastRenderedPageBreak/>
        <w:t>Discussion</w:t>
      </w:r>
    </w:p>
    <w:p w14:paraId="67FC0806" w14:textId="1068E553" w:rsidR="009A1F18" w:rsidRPr="0082269F" w:rsidRDefault="007B7FC1" w:rsidP="009A4719">
      <w:pPr>
        <w:spacing w:line="480" w:lineRule="auto"/>
        <w:jc w:val="both"/>
        <w:rPr>
          <w:rFonts w:ascii="Times New Roman" w:hAnsi="Times New Roman" w:cs="Times New Roman"/>
        </w:rPr>
      </w:pPr>
      <w:r w:rsidRPr="0082269F">
        <w:rPr>
          <w:rFonts w:ascii="Times New Roman" w:hAnsi="Times New Roman" w:cs="Times New Roman"/>
        </w:rPr>
        <w:t xml:space="preserve">Current clinical guidelines for GDM risk assessment do not differentiate between obese women with differing metabolic risk. </w:t>
      </w:r>
      <w:r w:rsidR="003B1F4C" w:rsidRPr="0082269F">
        <w:rPr>
          <w:rFonts w:ascii="Times New Roman" w:hAnsi="Times New Roman" w:cs="Times New Roman"/>
        </w:rPr>
        <w:t>In this, the largest and most comprehensive study to date to investigate early pregnancy risk factors for later onset of GDM in obese women, we have used</w:t>
      </w:r>
      <w:r w:rsidR="00784B70" w:rsidRPr="0082269F">
        <w:rPr>
          <w:rFonts w:ascii="Times New Roman" w:hAnsi="Times New Roman" w:cs="Times New Roman"/>
        </w:rPr>
        <w:t xml:space="preserve"> an extensive range of clinical and biomarker variables </w:t>
      </w:r>
      <w:r w:rsidR="003B1F4C" w:rsidRPr="0082269F">
        <w:rPr>
          <w:rFonts w:ascii="Times New Roman" w:hAnsi="Times New Roman" w:cs="Times New Roman"/>
        </w:rPr>
        <w:t xml:space="preserve">to </w:t>
      </w:r>
      <w:r w:rsidR="00B14462" w:rsidRPr="0082269F">
        <w:rPr>
          <w:rFonts w:ascii="Times New Roman" w:hAnsi="Times New Roman" w:cs="Times New Roman"/>
        </w:rPr>
        <w:t xml:space="preserve">develop prediction tools to </w:t>
      </w:r>
      <w:r w:rsidR="00784B70" w:rsidRPr="0082269F">
        <w:rPr>
          <w:rFonts w:ascii="Times New Roman" w:hAnsi="Times New Roman" w:cs="Times New Roman"/>
        </w:rPr>
        <w:t>identify obese women at high risk of GDM</w:t>
      </w:r>
      <w:r w:rsidRPr="0082269F">
        <w:rPr>
          <w:rStyle w:val="CommentReference"/>
          <w:rFonts w:ascii="Times New Roman" w:hAnsi="Times New Roman" w:cs="Times New Roman"/>
          <w:sz w:val="22"/>
          <w:szCs w:val="22"/>
        </w:rPr>
        <w:t>.</w:t>
      </w:r>
      <w:r w:rsidR="00784B70" w:rsidRPr="0082269F">
        <w:rPr>
          <w:rFonts w:ascii="Times New Roman" w:hAnsi="Times New Roman" w:cs="Times New Roman"/>
        </w:rPr>
        <w:t xml:space="preserve"> The model with best discrimination combined four clinical characteristics with six candidate biomarkers.</w:t>
      </w:r>
      <w:r w:rsidR="003B1F4C" w:rsidRPr="0082269F">
        <w:rPr>
          <w:rFonts w:ascii="Times New Roman" w:hAnsi="Times New Roman" w:cs="Times New Roman"/>
        </w:rPr>
        <w:t xml:space="preserve"> M</w:t>
      </w:r>
      <w:r w:rsidR="00784B70" w:rsidRPr="0082269F">
        <w:rPr>
          <w:rFonts w:ascii="Times New Roman" w:hAnsi="Times New Roman" w:cs="Times New Roman"/>
        </w:rPr>
        <w:t xml:space="preserve">odels that focused on a few clinical factors and biomarkers readily available in clinical practice, and with minimal </w:t>
      </w:r>
      <w:r w:rsidR="00F8432B" w:rsidRPr="0082269F">
        <w:rPr>
          <w:rFonts w:ascii="Times New Roman" w:hAnsi="Times New Roman" w:cs="Times New Roman"/>
        </w:rPr>
        <w:t>cost</w:t>
      </w:r>
      <w:r w:rsidR="00784B70" w:rsidRPr="0082269F">
        <w:rPr>
          <w:rFonts w:ascii="Times New Roman" w:hAnsi="Times New Roman" w:cs="Times New Roman"/>
        </w:rPr>
        <w:t xml:space="preserve">, also performed well. </w:t>
      </w:r>
      <w:r w:rsidR="00491BA8" w:rsidRPr="0082269F">
        <w:rPr>
          <w:rFonts w:ascii="Times New Roman" w:hAnsi="Times New Roman" w:cs="Times New Roman"/>
        </w:rPr>
        <w:t>In addition, w</w:t>
      </w:r>
      <w:r w:rsidR="003B1F4C" w:rsidRPr="0082269F">
        <w:rPr>
          <w:rFonts w:ascii="Times New Roman" w:hAnsi="Times New Roman" w:cs="Times New Roman"/>
        </w:rPr>
        <w:t>e</w:t>
      </w:r>
      <w:r w:rsidR="00B14462" w:rsidRPr="0082269F">
        <w:rPr>
          <w:rFonts w:ascii="Times New Roman" w:hAnsi="Times New Roman" w:cs="Times New Roman"/>
        </w:rPr>
        <w:t xml:space="preserve"> identified</w:t>
      </w:r>
      <w:r w:rsidR="00C131AE" w:rsidRPr="0082269F">
        <w:rPr>
          <w:rFonts w:ascii="Times New Roman" w:hAnsi="Times New Roman" w:cs="Times New Roman"/>
        </w:rPr>
        <w:t xml:space="preserve"> a</w:t>
      </w:r>
      <w:r w:rsidR="00784B70" w:rsidRPr="0082269F">
        <w:rPr>
          <w:rFonts w:ascii="Times New Roman" w:hAnsi="Times New Roman" w:cs="Times New Roman"/>
        </w:rPr>
        <w:t xml:space="preserve"> model that does not require blood</w:t>
      </w:r>
      <w:r w:rsidR="003B1F4C" w:rsidRPr="0082269F">
        <w:rPr>
          <w:rFonts w:ascii="Times New Roman" w:hAnsi="Times New Roman" w:cs="Times New Roman"/>
        </w:rPr>
        <w:t xml:space="preserve"> sampling</w:t>
      </w:r>
      <w:r w:rsidR="00B14462" w:rsidRPr="0082269F">
        <w:rPr>
          <w:rFonts w:ascii="Times New Roman" w:hAnsi="Times New Roman" w:cs="Times New Roman"/>
        </w:rPr>
        <w:t xml:space="preserve">, which </w:t>
      </w:r>
      <w:r w:rsidR="00784B70" w:rsidRPr="0082269F">
        <w:rPr>
          <w:rFonts w:ascii="Times New Roman" w:hAnsi="Times New Roman" w:cs="Times New Roman"/>
        </w:rPr>
        <w:t xml:space="preserve">could be developed for low and middle income countries where the prevalence of GDM and obesity is </w:t>
      </w:r>
      <w:r w:rsidR="00B14462" w:rsidRPr="0082269F">
        <w:rPr>
          <w:rFonts w:ascii="Times New Roman" w:hAnsi="Times New Roman" w:cs="Times New Roman"/>
        </w:rPr>
        <w:t xml:space="preserve">rapidly </w:t>
      </w:r>
      <w:r w:rsidR="00784B70" w:rsidRPr="0082269F">
        <w:rPr>
          <w:rFonts w:ascii="Times New Roman" w:hAnsi="Times New Roman" w:cs="Times New Roman"/>
        </w:rPr>
        <w:t>increasing.</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0005799A" w:rsidRPr="0082269F">
        <w:rPr>
          <w:rFonts w:ascii="Times New Roman" w:hAnsi="Times New Roman" w:cs="Times New Roman"/>
          <w:noProof/>
        </w:rPr>
        <w:t>3</w:t>
      </w:r>
      <w:r w:rsidR="00184514" w:rsidRPr="0082269F">
        <w:rPr>
          <w:rFonts w:ascii="Times New Roman" w:hAnsi="Times New Roman" w:cs="Times New Roman"/>
          <w:noProof/>
        </w:rPr>
        <w:t>2</w:t>
      </w:r>
      <w:r w:rsidR="00131A40" w:rsidRPr="0082269F">
        <w:rPr>
          <w:rFonts w:ascii="Times New Roman" w:hAnsi="Times New Roman" w:cs="Times New Roman"/>
          <w:noProof/>
        </w:rPr>
        <w:t>]</w:t>
      </w:r>
      <w:r w:rsidR="00975ABF" w:rsidRPr="0082269F">
        <w:rPr>
          <w:rFonts w:ascii="Times New Roman" w:hAnsi="Times New Roman" w:cs="Times New Roman"/>
        </w:rPr>
        <w:t xml:space="preserve"> Clinical use of tests such as these which provide risk assessment at the first antenatal visit would enable prompt intervention (behavioural or pharmacological) in at risk women.</w:t>
      </w:r>
      <w:r w:rsidR="007C6639" w:rsidRPr="0082269F">
        <w:rPr>
          <w:rFonts w:ascii="Times New Roman" w:hAnsi="Times New Roman" w:cs="Times New Roman"/>
        </w:rPr>
        <w:t xml:space="preserve"> </w:t>
      </w:r>
      <w:r w:rsidR="009A1F18" w:rsidRPr="0082269F">
        <w:rPr>
          <w:rFonts w:ascii="Times New Roman" w:hAnsi="Times New Roman" w:cs="Times New Roman"/>
        </w:rPr>
        <w:t xml:space="preserve">Women </w:t>
      </w:r>
      <w:r w:rsidR="007C6639" w:rsidRPr="0082269F">
        <w:rPr>
          <w:rFonts w:ascii="Times New Roman" w:hAnsi="Times New Roman" w:cs="Times New Roman"/>
        </w:rPr>
        <w:t xml:space="preserve">identified as being at low risk of developing GDM </w:t>
      </w:r>
      <w:r w:rsidR="009A1F18" w:rsidRPr="0082269F">
        <w:rPr>
          <w:rFonts w:ascii="Times New Roman" w:hAnsi="Times New Roman" w:cs="Times New Roman"/>
        </w:rPr>
        <w:t xml:space="preserve">should be managed according to clinical guidelines </w:t>
      </w:r>
      <w:r w:rsidR="00F4315C" w:rsidRPr="0082269F">
        <w:rPr>
          <w:rFonts w:ascii="Times New Roman" w:hAnsi="Times New Roman" w:cs="Times New Roman"/>
        </w:rPr>
        <w:t>for all pregnant obese</w:t>
      </w:r>
      <w:r w:rsidR="007C6639" w:rsidRPr="0082269F">
        <w:rPr>
          <w:rFonts w:ascii="Times New Roman" w:hAnsi="Times New Roman" w:cs="Times New Roman"/>
        </w:rPr>
        <w:t xml:space="preserve"> women, </w:t>
      </w:r>
      <w:r w:rsidR="00AB5009">
        <w:rPr>
          <w:rFonts w:ascii="Times New Roman" w:hAnsi="Times New Roman" w:cs="Times New Roman"/>
        </w:rPr>
        <w:t>including</w:t>
      </w:r>
      <w:r w:rsidR="007C6639" w:rsidRPr="0082269F">
        <w:rPr>
          <w:rFonts w:ascii="Times New Roman" w:hAnsi="Times New Roman" w:cs="Times New Roman"/>
        </w:rPr>
        <w:t xml:space="preserve"> </w:t>
      </w:r>
      <w:r w:rsidR="00F4315C" w:rsidRPr="0082269F">
        <w:rPr>
          <w:rFonts w:ascii="Times New Roman" w:hAnsi="Times New Roman" w:cs="Times New Roman"/>
        </w:rPr>
        <w:t xml:space="preserve">dietary </w:t>
      </w:r>
      <w:r w:rsidR="007C6639" w:rsidRPr="0082269F">
        <w:rPr>
          <w:rFonts w:ascii="Times New Roman" w:hAnsi="Times New Roman" w:cs="Times New Roman"/>
        </w:rPr>
        <w:t xml:space="preserve">advice, </w:t>
      </w:r>
      <w:r w:rsidR="009A1F18" w:rsidRPr="0082269F">
        <w:rPr>
          <w:rFonts w:ascii="Times New Roman" w:hAnsi="Times New Roman" w:cs="Times New Roman"/>
        </w:rPr>
        <w:t xml:space="preserve">and be </w:t>
      </w:r>
      <w:r w:rsidR="007C6639" w:rsidRPr="0082269F">
        <w:rPr>
          <w:rFonts w:ascii="Times New Roman" w:hAnsi="Times New Roman" w:cs="Times New Roman"/>
        </w:rPr>
        <w:t xml:space="preserve">alerted to potential </w:t>
      </w:r>
      <w:r w:rsidR="009A1F18" w:rsidRPr="0082269F">
        <w:rPr>
          <w:rFonts w:ascii="Times New Roman" w:hAnsi="Times New Roman" w:cs="Times New Roman"/>
        </w:rPr>
        <w:t>risks during pregnancy and beyon</w:t>
      </w:r>
      <w:r w:rsidR="007C6639" w:rsidRPr="0082269F">
        <w:rPr>
          <w:rFonts w:ascii="Times New Roman" w:hAnsi="Times New Roman" w:cs="Times New Roman"/>
        </w:rPr>
        <w:t>d</w:t>
      </w:r>
      <w:r w:rsidR="009A1F18" w:rsidRPr="0082269F">
        <w:rPr>
          <w:rFonts w:ascii="Times New Roman" w:hAnsi="Times New Roman" w:cs="Times New Roman"/>
        </w:rPr>
        <w:t>.</w:t>
      </w:r>
    </w:p>
    <w:p w14:paraId="32479B5A" w14:textId="77777777" w:rsidR="009A1F18" w:rsidRPr="0082269F" w:rsidRDefault="009A1F18" w:rsidP="0082269F">
      <w:pPr>
        <w:spacing w:line="480" w:lineRule="auto"/>
        <w:jc w:val="both"/>
        <w:rPr>
          <w:rFonts w:ascii="Times New Roman" w:hAnsi="Times New Roman" w:cs="Times New Roman"/>
        </w:rPr>
      </w:pPr>
    </w:p>
    <w:p w14:paraId="65530B0B" w14:textId="63E14F18" w:rsidR="004D22D4" w:rsidRPr="0082269F" w:rsidRDefault="00784B70" w:rsidP="0082269F">
      <w:pPr>
        <w:spacing w:line="480" w:lineRule="auto"/>
        <w:jc w:val="both"/>
        <w:rPr>
          <w:rFonts w:ascii="Times New Roman" w:hAnsi="Times New Roman" w:cs="Times New Roman"/>
        </w:rPr>
      </w:pPr>
      <w:r w:rsidRPr="0082269F">
        <w:rPr>
          <w:rFonts w:ascii="Times New Roman" w:hAnsi="Times New Roman" w:cs="Times New Roman"/>
        </w:rPr>
        <w:t xml:space="preserve">The decision to focus on obese pregnant women was predicated by the increasing prevalence of obesity and GDM, the lack of predictive algorithms specific to obese women and because mechanistic pathways </w:t>
      </w:r>
      <w:r w:rsidR="00B14462" w:rsidRPr="0082269F">
        <w:rPr>
          <w:rFonts w:ascii="Times New Roman" w:hAnsi="Times New Roman" w:cs="Times New Roman"/>
        </w:rPr>
        <w:t xml:space="preserve">leading </w:t>
      </w:r>
      <w:r w:rsidRPr="0082269F">
        <w:rPr>
          <w:rFonts w:ascii="Times New Roman" w:hAnsi="Times New Roman" w:cs="Times New Roman"/>
        </w:rPr>
        <w:t xml:space="preserve">to GDM may differ in obese compared with </w:t>
      </w:r>
      <w:r w:rsidR="002419B9" w:rsidRPr="0082269F">
        <w:rPr>
          <w:rFonts w:ascii="Times New Roman" w:hAnsi="Times New Roman" w:cs="Times New Roman"/>
        </w:rPr>
        <w:t>normal weight</w:t>
      </w:r>
      <w:r w:rsidRPr="0082269F">
        <w:rPr>
          <w:rFonts w:ascii="Times New Roman" w:hAnsi="Times New Roman" w:cs="Times New Roman"/>
        </w:rPr>
        <w:t xml:space="preserve"> women. Obesity related GDM is </w:t>
      </w:r>
      <w:r w:rsidR="00B14462" w:rsidRPr="0082269F">
        <w:rPr>
          <w:rFonts w:ascii="Times New Roman" w:hAnsi="Times New Roman" w:cs="Times New Roman"/>
        </w:rPr>
        <w:t xml:space="preserve">initially </w:t>
      </w:r>
      <w:r w:rsidRPr="0082269F">
        <w:rPr>
          <w:rFonts w:ascii="Times New Roman" w:hAnsi="Times New Roman" w:cs="Times New Roman"/>
        </w:rPr>
        <w:t>associated with insulin resistance</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0005799A" w:rsidRPr="0082269F">
        <w:rPr>
          <w:rFonts w:ascii="Times New Roman" w:hAnsi="Times New Roman" w:cs="Times New Roman"/>
          <w:noProof/>
        </w:rPr>
        <w:t>3</w:t>
      </w:r>
      <w:r w:rsidR="00184514" w:rsidRPr="0082269F">
        <w:rPr>
          <w:rFonts w:ascii="Times New Roman" w:hAnsi="Times New Roman" w:cs="Times New Roman"/>
          <w:noProof/>
        </w:rPr>
        <w:t>3</w:t>
      </w:r>
      <w:r w:rsidR="00131A40" w:rsidRPr="0082269F">
        <w:rPr>
          <w:rFonts w:ascii="Times New Roman" w:hAnsi="Times New Roman" w:cs="Times New Roman"/>
          <w:noProof/>
        </w:rPr>
        <w:t>]</w:t>
      </w:r>
      <w:r w:rsidRPr="0082269F">
        <w:rPr>
          <w:rFonts w:ascii="Times New Roman" w:hAnsi="Times New Roman" w:cs="Times New Roman"/>
        </w:rPr>
        <w:t xml:space="preserve"> whereas</w:t>
      </w:r>
      <w:r w:rsidR="002419B9" w:rsidRPr="0082269F">
        <w:rPr>
          <w:rFonts w:ascii="Times New Roman" w:hAnsi="Times New Roman" w:cs="Times New Roman"/>
        </w:rPr>
        <w:t xml:space="preserve"> </w:t>
      </w:r>
      <w:r w:rsidRPr="0082269F">
        <w:rPr>
          <w:rFonts w:ascii="Times New Roman" w:hAnsi="Times New Roman" w:cs="Times New Roman"/>
        </w:rPr>
        <w:t xml:space="preserve">in lean women an inadequate insulin secretory response to the physiological state of insulin resistance in pregnancy </w:t>
      </w:r>
      <w:r w:rsidR="007B7FC1" w:rsidRPr="0082269F">
        <w:rPr>
          <w:rFonts w:ascii="Times New Roman" w:hAnsi="Times New Roman" w:cs="Times New Roman"/>
        </w:rPr>
        <w:t>is considered predominan</w:t>
      </w:r>
      <w:r w:rsidR="002419B9" w:rsidRPr="0082269F">
        <w:rPr>
          <w:rFonts w:ascii="Times New Roman" w:hAnsi="Times New Roman" w:cs="Times New Roman"/>
        </w:rPr>
        <w:t>t</w:t>
      </w:r>
      <w:r w:rsidRPr="0082269F">
        <w:rPr>
          <w:rFonts w:ascii="Times New Roman" w:hAnsi="Times New Roman" w:cs="Times New Roman"/>
        </w:rPr>
        <w:t>.</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0005799A" w:rsidRPr="0082269F">
        <w:rPr>
          <w:rFonts w:ascii="Times New Roman" w:hAnsi="Times New Roman" w:cs="Times New Roman"/>
          <w:noProof/>
        </w:rPr>
        <w:t>3</w:t>
      </w:r>
      <w:r w:rsidR="00184514" w:rsidRPr="0082269F">
        <w:rPr>
          <w:rFonts w:ascii="Times New Roman" w:hAnsi="Times New Roman" w:cs="Times New Roman"/>
          <w:noProof/>
        </w:rPr>
        <w:t>4</w:t>
      </w:r>
      <w:r w:rsidR="00131A40" w:rsidRPr="0082269F">
        <w:rPr>
          <w:rFonts w:ascii="Times New Roman" w:hAnsi="Times New Roman" w:cs="Times New Roman"/>
          <w:noProof/>
        </w:rPr>
        <w:t>]</w:t>
      </w:r>
      <w:r w:rsidRPr="0082269F">
        <w:rPr>
          <w:rFonts w:ascii="Times New Roman" w:hAnsi="Times New Roman" w:cs="Times New Roman"/>
        </w:rPr>
        <w:t xml:space="preserve"> The recognition that </w:t>
      </w:r>
      <w:r w:rsidR="002419B9" w:rsidRPr="0082269F">
        <w:rPr>
          <w:rFonts w:ascii="Times New Roman" w:hAnsi="Times New Roman" w:cs="Times New Roman"/>
        </w:rPr>
        <w:t xml:space="preserve">the </w:t>
      </w:r>
      <w:r w:rsidRPr="0082269F">
        <w:rPr>
          <w:rFonts w:ascii="Times New Roman" w:hAnsi="Times New Roman" w:cs="Times New Roman"/>
        </w:rPr>
        <w:t xml:space="preserve">metabolic defects </w:t>
      </w:r>
      <w:r w:rsidR="002419B9" w:rsidRPr="0082269F">
        <w:rPr>
          <w:rFonts w:ascii="Times New Roman" w:hAnsi="Times New Roman" w:cs="Times New Roman"/>
        </w:rPr>
        <w:t>of</w:t>
      </w:r>
      <w:r w:rsidRPr="0082269F">
        <w:rPr>
          <w:rFonts w:ascii="Times New Roman" w:hAnsi="Times New Roman" w:cs="Times New Roman"/>
        </w:rPr>
        <w:t xml:space="preserve"> maternal obesity are potentially modifiable has stimulated several well conducted RCTs that have tested behavioural (dietary and/or physical activity changes) and a pharmacological intervention (metformin) in early pregnancy to prevent GDM and associated adverse pregnancy outcomes.</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00184514" w:rsidRPr="0082269F">
        <w:rPr>
          <w:rFonts w:ascii="Times New Roman" w:hAnsi="Times New Roman" w:cs="Times New Roman"/>
          <w:noProof/>
        </w:rPr>
        <w:t>6</w:t>
      </w:r>
      <w:r w:rsidRPr="0082269F">
        <w:rPr>
          <w:rFonts w:ascii="Times New Roman" w:hAnsi="Times New Roman" w:cs="Times New Roman"/>
          <w:noProof/>
        </w:rPr>
        <w:t>-</w:t>
      </w:r>
      <w:r w:rsidR="00184514" w:rsidRPr="0082269F">
        <w:rPr>
          <w:rFonts w:ascii="Times New Roman" w:hAnsi="Times New Roman" w:cs="Times New Roman"/>
          <w:noProof/>
        </w:rPr>
        <w:t>9</w:t>
      </w:r>
      <w:r w:rsidR="00131A40" w:rsidRPr="0082269F">
        <w:rPr>
          <w:rFonts w:ascii="Times New Roman" w:hAnsi="Times New Roman" w:cs="Times New Roman"/>
        </w:rPr>
        <w:t>]</w:t>
      </w:r>
      <w:r w:rsidRPr="0082269F">
        <w:rPr>
          <w:rFonts w:ascii="Times New Roman" w:hAnsi="Times New Roman" w:cs="Times New Roman"/>
        </w:rPr>
        <w:t xml:space="preserve"> </w:t>
      </w:r>
      <w:r w:rsidR="001A12D0" w:rsidRPr="0082269F">
        <w:rPr>
          <w:rFonts w:ascii="Times New Roman" w:hAnsi="Times New Roman" w:cs="Times New Roman"/>
        </w:rPr>
        <w:t xml:space="preserve">Most have </w:t>
      </w:r>
      <w:r w:rsidRPr="0082269F">
        <w:rPr>
          <w:rFonts w:ascii="Times New Roman" w:hAnsi="Times New Roman" w:cs="Times New Roman"/>
        </w:rPr>
        <w:t xml:space="preserve">been </w:t>
      </w:r>
      <w:r w:rsidR="001A12D0" w:rsidRPr="0082269F">
        <w:rPr>
          <w:rFonts w:ascii="Times New Roman" w:hAnsi="Times New Roman" w:cs="Times New Roman"/>
        </w:rPr>
        <w:t>in</w:t>
      </w:r>
      <w:r w:rsidRPr="0082269F">
        <w:rPr>
          <w:rFonts w:ascii="Times New Roman" w:hAnsi="Times New Roman" w:cs="Times New Roman"/>
        </w:rPr>
        <w:t xml:space="preserve">effective, which we hypothesise is because treatment </w:t>
      </w:r>
      <w:r w:rsidR="002419B9" w:rsidRPr="0082269F">
        <w:rPr>
          <w:rFonts w:ascii="Times New Roman" w:hAnsi="Times New Roman" w:cs="Times New Roman"/>
        </w:rPr>
        <w:t>is</w:t>
      </w:r>
      <w:r w:rsidRPr="0082269F">
        <w:rPr>
          <w:rFonts w:ascii="Times New Roman" w:hAnsi="Times New Roman" w:cs="Times New Roman"/>
        </w:rPr>
        <w:t xml:space="preserve"> more likely to benefit </w:t>
      </w:r>
      <w:r w:rsidR="00F4315C" w:rsidRPr="0082269F">
        <w:rPr>
          <w:rFonts w:ascii="Times New Roman" w:hAnsi="Times New Roman" w:cs="Times New Roman"/>
        </w:rPr>
        <w:t xml:space="preserve">only </w:t>
      </w:r>
      <w:r w:rsidR="002419B9" w:rsidRPr="0082269F">
        <w:rPr>
          <w:rFonts w:ascii="Times New Roman" w:hAnsi="Times New Roman" w:cs="Times New Roman"/>
        </w:rPr>
        <w:t>the</w:t>
      </w:r>
      <w:r w:rsidRPr="0082269F">
        <w:rPr>
          <w:rFonts w:ascii="Times New Roman" w:hAnsi="Times New Roman" w:cs="Times New Roman"/>
        </w:rPr>
        <w:t xml:space="preserve"> sub-group with </w:t>
      </w:r>
      <w:r w:rsidR="002419B9" w:rsidRPr="0082269F">
        <w:rPr>
          <w:rFonts w:ascii="Times New Roman" w:hAnsi="Times New Roman" w:cs="Times New Roman"/>
        </w:rPr>
        <w:t xml:space="preserve">the </w:t>
      </w:r>
      <w:r w:rsidRPr="0082269F">
        <w:rPr>
          <w:rFonts w:ascii="Times New Roman" w:hAnsi="Times New Roman" w:cs="Times New Roman"/>
        </w:rPr>
        <w:t xml:space="preserve">highest </w:t>
      </w:r>
      <w:r w:rsidRPr="0082269F">
        <w:rPr>
          <w:rFonts w:ascii="Times New Roman" w:hAnsi="Times New Roman" w:cs="Times New Roman"/>
        </w:rPr>
        <w:lastRenderedPageBreak/>
        <w:t xml:space="preserve">metabolic risk. Having demonstrated the ability to </w:t>
      </w:r>
      <w:r w:rsidR="00EE253D" w:rsidRPr="0082269F">
        <w:rPr>
          <w:rFonts w:ascii="Times New Roman" w:hAnsi="Times New Roman" w:cs="Times New Roman"/>
        </w:rPr>
        <w:t xml:space="preserve">better identify obese women at risk of GDM </w:t>
      </w:r>
      <w:r w:rsidRPr="0082269F">
        <w:rPr>
          <w:rFonts w:ascii="Times New Roman" w:hAnsi="Times New Roman" w:cs="Times New Roman"/>
        </w:rPr>
        <w:t xml:space="preserve">there is now the potential through </w:t>
      </w:r>
      <w:r w:rsidR="00B14462" w:rsidRPr="0082269F">
        <w:rPr>
          <w:rFonts w:ascii="Times New Roman" w:hAnsi="Times New Roman" w:cs="Times New Roman"/>
        </w:rPr>
        <w:t xml:space="preserve">new </w:t>
      </w:r>
      <w:r w:rsidRPr="0082269F">
        <w:rPr>
          <w:rFonts w:ascii="Times New Roman" w:hAnsi="Times New Roman" w:cs="Times New Roman"/>
        </w:rPr>
        <w:t>RCTs to address this hypothesis.</w:t>
      </w:r>
    </w:p>
    <w:p w14:paraId="7BE5DD93" w14:textId="49BB7FA5" w:rsidR="00784B70" w:rsidRPr="0082269F" w:rsidRDefault="00784B70" w:rsidP="0082269F">
      <w:pPr>
        <w:spacing w:line="480" w:lineRule="auto"/>
        <w:jc w:val="both"/>
        <w:rPr>
          <w:rFonts w:ascii="Times New Roman" w:hAnsi="Times New Roman" w:cs="Times New Roman"/>
        </w:rPr>
      </w:pPr>
      <w:r w:rsidRPr="0082269F">
        <w:rPr>
          <w:rFonts w:ascii="Times New Roman" w:hAnsi="Times New Roman" w:cs="Times New Roman"/>
        </w:rPr>
        <w:t xml:space="preserve">As guidelines frequently recommend </w:t>
      </w:r>
      <w:r w:rsidR="00CB3483" w:rsidRPr="0082269F">
        <w:rPr>
          <w:rFonts w:ascii="Times New Roman" w:hAnsi="Times New Roman" w:cs="Times New Roman"/>
        </w:rPr>
        <w:t xml:space="preserve">specific </w:t>
      </w:r>
      <w:r w:rsidRPr="0082269F">
        <w:rPr>
          <w:rFonts w:ascii="Times New Roman" w:hAnsi="Times New Roman" w:cs="Times New Roman"/>
        </w:rPr>
        <w:t xml:space="preserve">care pathways </w:t>
      </w:r>
      <w:r w:rsidR="00CB3483" w:rsidRPr="0082269F">
        <w:rPr>
          <w:rFonts w:ascii="Times New Roman" w:hAnsi="Times New Roman" w:cs="Times New Roman"/>
        </w:rPr>
        <w:t xml:space="preserve">for </w:t>
      </w:r>
      <w:r w:rsidRPr="0082269F">
        <w:rPr>
          <w:rFonts w:ascii="Times New Roman" w:hAnsi="Times New Roman" w:cs="Times New Roman"/>
        </w:rPr>
        <w:t xml:space="preserve">women with a previous history of GDM we performed sensitivity analysis excluding these women. Since </w:t>
      </w:r>
      <w:r w:rsidR="00CB3483" w:rsidRPr="0082269F">
        <w:rPr>
          <w:rFonts w:ascii="Times New Roman" w:hAnsi="Times New Roman" w:cs="Times New Roman"/>
        </w:rPr>
        <w:t xml:space="preserve">GDM </w:t>
      </w:r>
      <w:r w:rsidRPr="0082269F">
        <w:rPr>
          <w:rFonts w:ascii="Times New Roman" w:hAnsi="Times New Roman" w:cs="Times New Roman"/>
        </w:rPr>
        <w:t xml:space="preserve">discrimination </w:t>
      </w:r>
      <w:r w:rsidR="00CB3483" w:rsidRPr="0082269F">
        <w:rPr>
          <w:rFonts w:ascii="Times New Roman" w:hAnsi="Times New Roman" w:cs="Times New Roman"/>
        </w:rPr>
        <w:t xml:space="preserve">remained similar </w:t>
      </w:r>
      <w:r w:rsidRPr="0082269F">
        <w:rPr>
          <w:rFonts w:ascii="Times New Roman" w:hAnsi="Times New Roman" w:cs="Times New Roman"/>
        </w:rPr>
        <w:t xml:space="preserve">for later GDM across the three comprehensive prediction models (Models 1-3), </w:t>
      </w:r>
      <w:r w:rsidR="00CE6988" w:rsidRPr="0082269F">
        <w:rPr>
          <w:rFonts w:ascii="Times New Roman" w:hAnsi="Times New Roman" w:cs="Times New Roman"/>
        </w:rPr>
        <w:t>there was</w:t>
      </w:r>
      <w:r w:rsidRPr="0082269F">
        <w:rPr>
          <w:rFonts w:ascii="Times New Roman" w:hAnsi="Times New Roman" w:cs="Times New Roman"/>
        </w:rPr>
        <w:t xml:space="preserve"> no rationale to support exclusion of previous GDM. </w:t>
      </w:r>
    </w:p>
    <w:p w14:paraId="3C7237CE" w14:textId="77777777" w:rsidR="00784B70" w:rsidRPr="0082269F" w:rsidRDefault="00784B70" w:rsidP="0082269F">
      <w:pPr>
        <w:spacing w:line="480" w:lineRule="auto"/>
        <w:jc w:val="both"/>
        <w:rPr>
          <w:rFonts w:ascii="Times New Roman" w:hAnsi="Times New Roman" w:cs="Times New Roman"/>
        </w:rPr>
      </w:pPr>
    </w:p>
    <w:p w14:paraId="04D3A6CB" w14:textId="1CB2981B" w:rsidR="00784B70" w:rsidRPr="0082269F" w:rsidRDefault="00784B70" w:rsidP="0082269F">
      <w:pPr>
        <w:spacing w:line="480" w:lineRule="auto"/>
        <w:jc w:val="both"/>
        <w:rPr>
          <w:rFonts w:ascii="Times New Roman" w:hAnsi="Times New Roman" w:cs="Times New Roman"/>
        </w:rPr>
      </w:pPr>
      <w:r w:rsidRPr="0082269F">
        <w:rPr>
          <w:rFonts w:ascii="Times New Roman" w:hAnsi="Times New Roman" w:cs="Times New Roman"/>
        </w:rPr>
        <w:t>BMI</w:t>
      </w:r>
      <w:r w:rsidR="00735F59" w:rsidRPr="0082269F">
        <w:rPr>
          <w:rFonts w:ascii="Times New Roman" w:hAnsi="Times New Roman" w:cs="Times New Roman"/>
        </w:rPr>
        <w:t xml:space="preserve"> </w:t>
      </w:r>
      <w:r w:rsidRPr="0082269F">
        <w:rPr>
          <w:rFonts w:ascii="Times New Roman" w:hAnsi="Times New Roman" w:cs="Times New Roman"/>
        </w:rPr>
        <w:t>which is recognised</w:t>
      </w:r>
      <w:r w:rsidR="00735F59" w:rsidRPr="0082269F">
        <w:rPr>
          <w:rFonts w:ascii="Times New Roman" w:hAnsi="Times New Roman" w:cs="Times New Roman"/>
        </w:rPr>
        <w:t>,</w:t>
      </w:r>
      <w:r w:rsidRPr="0082269F">
        <w:rPr>
          <w:rFonts w:ascii="Times New Roman" w:hAnsi="Times New Roman" w:cs="Times New Roman"/>
        </w:rPr>
        <w:t xml:space="preserve"> especially in pregnancy</w:t>
      </w:r>
      <w:r w:rsidR="00184514" w:rsidRPr="0082269F">
        <w:rPr>
          <w:rFonts w:ascii="Times New Roman" w:hAnsi="Times New Roman" w:cs="Times New Roman"/>
        </w:rPr>
        <w:t>,</w:t>
      </w:r>
      <w:r w:rsidRPr="0082269F">
        <w:rPr>
          <w:rFonts w:ascii="Times New Roman" w:hAnsi="Times New Roman" w:cs="Times New Roman"/>
        </w:rPr>
        <w:t xml:space="preserve"> to be a poor index of fat mass, was superseded </w:t>
      </w:r>
      <w:r w:rsidR="00CB3483" w:rsidRPr="0082269F">
        <w:rPr>
          <w:rFonts w:ascii="Times New Roman" w:hAnsi="Times New Roman" w:cs="Times New Roman"/>
        </w:rPr>
        <w:t xml:space="preserve"> in the statistical models </w:t>
      </w:r>
      <w:r w:rsidRPr="0082269F">
        <w:rPr>
          <w:rFonts w:ascii="Times New Roman" w:hAnsi="Times New Roman" w:cs="Times New Roman"/>
        </w:rPr>
        <w:t>by other anthropometric measures</w:t>
      </w:r>
      <w:r w:rsidR="00CB3483" w:rsidRPr="0082269F">
        <w:rPr>
          <w:rFonts w:ascii="Times New Roman" w:hAnsi="Times New Roman" w:cs="Times New Roman"/>
        </w:rPr>
        <w:t>, three of which were</w:t>
      </w:r>
      <w:r w:rsidRPr="0082269F">
        <w:rPr>
          <w:rFonts w:ascii="Times New Roman" w:hAnsi="Times New Roman" w:cs="Times New Roman"/>
        </w:rPr>
        <w:t xml:space="preserve"> independent predictors of GDM</w:t>
      </w:r>
      <w:r w:rsidR="00C92AD8" w:rsidRPr="0082269F">
        <w:rPr>
          <w:rFonts w:ascii="Times New Roman" w:hAnsi="Times New Roman" w:cs="Times New Roman"/>
        </w:rPr>
        <w:t>.</w:t>
      </w:r>
      <w:r w:rsidRPr="0082269F">
        <w:rPr>
          <w:rFonts w:ascii="Times New Roman" w:hAnsi="Times New Roman" w:cs="Times New Roman"/>
        </w:rPr>
        <w:t xml:space="preserve"> To our knowledge these simple measures, whilst recognised in a few earlier reports,</w:t>
      </w:r>
      <w:r w:rsidR="00E63F32" w:rsidRPr="0082269F">
        <w:rPr>
          <w:rFonts w:ascii="Times New Roman" w:hAnsi="Times New Roman" w:cs="Times New Roman"/>
        </w:rPr>
        <w:t xml:space="preserve"> </w:t>
      </w:r>
      <w:r w:rsidR="00131A40" w:rsidRPr="0082269F">
        <w:rPr>
          <w:rFonts w:ascii="Times New Roman" w:hAnsi="Times New Roman" w:cs="Times New Roman"/>
        </w:rPr>
        <w:t>[</w:t>
      </w:r>
      <w:r w:rsidR="00E63F32" w:rsidRPr="0082269F">
        <w:rPr>
          <w:rFonts w:ascii="Times New Roman" w:hAnsi="Times New Roman" w:cs="Times New Roman"/>
          <w:noProof/>
        </w:rPr>
        <w:t>3</w:t>
      </w:r>
      <w:r w:rsidR="00184514" w:rsidRPr="0082269F">
        <w:rPr>
          <w:rFonts w:ascii="Times New Roman" w:hAnsi="Times New Roman" w:cs="Times New Roman"/>
          <w:noProof/>
        </w:rPr>
        <w:t>5</w:t>
      </w:r>
      <w:r w:rsidR="00E63F32" w:rsidRPr="0082269F">
        <w:rPr>
          <w:rFonts w:ascii="Times New Roman" w:hAnsi="Times New Roman" w:cs="Times New Roman"/>
          <w:noProof/>
        </w:rPr>
        <w:t>-3</w:t>
      </w:r>
      <w:r w:rsidR="00184514" w:rsidRPr="0082269F">
        <w:rPr>
          <w:rFonts w:ascii="Times New Roman" w:hAnsi="Times New Roman" w:cs="Times New Roman"/>
          <w:noProof/>
        </w:rPr>
        <w:t>7</w:t>
      </w:r>
      <w:r w:rsidR="00131A40" w:rsidRPr="0082269F">
        <w:rPr>
          <w:rFonts w:ascii="Times New Roman" w:hAnsi="Times New Roman" w:cs="Times New Roman"/>
        </w:rPr>
        <w:t>]</w:t>
      </w:r>
      <w:r w:rsidRPr="0082269F">
        <w:rPr>
          <w:rFonts w:ascii="Times New Roman" w:hAnsi="Times New Roman" w:cs="Times New Roman"/>
        </w:rPr>
        <w:t xml:space="preserve"> have been largely ignored in assessment of GDM risk.</w:t>
      </w:r>
      <w:r w:rsidR="0009056D" w:rsidRPr="0082269F">
        <w:rPr>
          <w:rFonts w:ascii="Times New Roman" w:hAnsi="Times New Roman" w:cs="Times New Roman"/>
        </w:rPr>
        <w:t xml:space="preserve"> </w:t>
      </w:r>
      <w:r w:rsidRPr="0082269F">
        <w:rPr>
          <w:rFonts w:ascii="Times New Roman" w:hAnsi="Times New Roman" w:cs="Times New Roman"/>
        </w:rPr>
        <w:t>In contrast to clinical guidelines for GDM in the whole population, we found no evidence of a strong role of ethnicity in th</w:t>
      </w:r>
      <w:r w:rsidR="007F0770" w:rsidRPr="0082269F">
        <w:rPr>
          <w:rFonts w:ascii="Times New Roman" w:hAnsi="Times New Roman" w:cs="Times New Roman"/>
        </w:rPr>
        <w:t>is</w:t>
      </w:r>
      <w:r w:rsidRPr="0082269F">
        <w:rPr>
          <w:rFonts w:ascii="Times New Roman" w:hAnsi="Times New Roman" w:cs="Times New Roman"/>
        </w:rPr>
        <w:t xml:space="preserve"> mixed ethnic population</w:t>
      </w:r>
      <w:r w:rsidR="009E5E16" w:rsidRPr="0082269F">
        <w:rPr>
          <w:rFonts w:ascii="Times New Roman" w:hAnsi="Times New Roman" w:cs="Times New Roman"/>
        </w:rPr>
        <w:t>.</w:t>
      </w:r>
    </w:p>
    <w:p w14:paraId="46B25BC3" w14:textId="77777777" w:rsidR="00784B70" w:rsidRPr="0082269F" w:rsidRDefault="00784B70" w:rsidP="0082269F">
      <w:pPr>
        <w:spacing w:line="480" w:lineRule="auto"/>
        <w:jc w:val="both"/>
        <w:rPr>
          <w:rFonts w:ascii="Times New Roman" w:hAnsi="Times New Roman" w:cs="Times New Roman"/>
        </w:rPr>
      </w:pPr>
    </w:p>
    <w:p w14:paraId="43773383" w14:textId="4F4A506C" w:rsidR="00784B70" w:rsidRPr="0082269F" w:rsidRDefault="00784B70" w:rsidP="0082269F">
      <w:pPr>
        <w:spacing w:line="480" w:lineRule="auto"/>
        <w:jc w:val="both"/>
        <w:rPr>
          <w:rFonts w:ascii="Times New Roman" w:hAnsi="Times New Roman" w:cs="Times New Roman"/>
        </w:rPr>
      </w:pPr>
      <w:r w:rsidRPr="0082269F">
        <w:rPr>
          <w:rFonts w:ascii="Times New Roman" w:hAnsi="Times New Roman" w:cs="Times New Roman"/>
        </w:rPr>
        <w:t>To our knowledge this study is the first to address a wide range of biomarkers in prediction of GDM in obese women. As anticipated</w:t>
      </w:r>
      <w:r w:rsidR="00A06749" w:rsidRPr="0082269F">
        <w:rPr>
          <w:rFonts w:ascii="Times New Roman" w:hAnsi="Times New Roman" w:cs="Times New Roman"/>
        </w:rPr>
        <w:t>,</w:t>
      </w:r>
      <w:r w:rsidRPr="0082269F">
        <w:rPr>
          <w:rFonts w:ascii="Times New Roman" w:hAnsi="Times New Roman" w:cs="Times New Roman"/>
        </w:rPr>
        <w:t xml:space="preserve"> most candidate biomarkers were individually associated with the disorder. The identification of adiponectin in </w:t>
      </w:r>
      <w:r w:rsidR="00212A04" w:rsidRPr="0082269F">
        <w:rPr>
          <w:rFonts w:ascii="Times New Roman" w:hAnsi="Times New Roman" w:cs="Times New Roman"/>
        </w:rPr>
        <w:t>Models 2 and 3</w:t>
      </w:r>
      <w:r w:rsidRPr="0082269F">
        <w:rPr>
          <w:rFonts w:ascii="Times New Roman" w:hAnsi="Times New Roman" w:cs="Times New Roman"/>
        </w:rPr>
        <w:t xml:space="preserve"> concur</w:t>
      </w:r>
      <w:r w:rsidR="00CE6988" w:rsidRPr="0082269F">
        <w:rPr>
          <w:rFonts w:ascii="Times New Roman" w:hAnsi="Times New Roman" w:cs="Times New Roman"/>
        </w:rPr>
        <w:t>s</w:t>
      </w:r>
      <w:r w:rsidRPr="0082269F">
        <w:rPr>
          <w:rFonts w:ascii="Times New Roman" w:hAnsi="Times New Roman" w:cs="Times New Roman"/>
        </w:rPr>
        <w:t xml:space="preserve"> with a recent review which reported </w:t>
      </w:r>
      <w:r w:rsidR="00CE6988" w:rsidRPr="0082269F">
        <w:rPr>
          <w:rFonts w:ascii="Times New Roman" w:hAnsi="Times New Roman" w:cs="Times New Roman"/>
        </w:rPr>
        <w:t xml:space="preserve">that </w:t>
      </w:r>
      <w:r w:rsidRPr="0082269F">
        <w:rPr>
          <w:rFonts w:ascii="Times New Roman" w:hAnsi="Times New Roman" w:cs="Times New Roman"/>
        </w:rPr>
        <w:t xml:space="preserve">this adipokine </w:t>
      </w:r>
      <w:r w:rsidR="00CE6988" w:rsidRPr="0082269F">
        <w:rPr>
          <w:rFonts w:ascii="Times New Roman" w:hAnsi="Times New Roman" w:cs="Times New Roman"/>
        </w:rPr>
        <w:t>i</w:t>
      </w:r>
      <w:r w:rsidRPr="0082269F">
        <w:rPr>
          <w:rFonts w:ascii="Times New Roman" w:hAnsi="Times New Roman" w:cs="Times New Roman"/>
        </w:rPr>
        <w:t xml:space="preserve">s a predictor of GDM in women of mixed BMI. </w:t>
      </w:r>
      <w:r w:rsidR="00131A40" w:rsidRPr="0082269F">
        <w:rPr>
          <w:rFonts w:ascii="Times New Roman" w:hAnsi="Times New Roman" w:cs="Times New Roman"/>
        </w:rPr>
        <w:t>[</w:t>
      </w:r>
      <w:r w:rsidRPr="0082269F">
        <w:rPr>
          <w:rFonts w:ascii="Times New Roman" w:hAnsi="Times New Roman" w:cs="Times New Roman"/>
          <w:noProof/>
        </w:rPr>
        <w:t>3</w:t>
      </w:r>
      <w:r w:rsidR="00184514" w:rsidRPr="0082269F">
        <w:rPr>
          <w:rFonts w:ascii="Times New Roman" w:hAnsi="Times New Roman" w:cs="Times New Roman"/>
          <w:noProof/>
        </w:rPr>
        <w:t>8</w:t>
      </w:r>
      <w:r w:rsidR="00131A40" w:rsidRPr="0082269F">
        <w:rPr>
          <w:rFonts w:ascii="Times New Roman" w:hAnsi="Times New Roman" w:cs="Times New Roman"/>
          <w:noProof/>
        </w:rPr>
        <w:t>]</w:t>
      </w:r>
      <w:r w:rsidRPr="0082269F">
        <w:rPr>
          <w:rFonts w:ascii="Times New Roman" w:hAnsi="Times New Roman" w:cs="Times New Roman"/>
        </w:rPr>
        <w:t xml:space="preserve"> Of the NMR metabolites univariably associated with GDM, 56 were lipoprotein particle subclasses, with the majority being </w:t>
      </w:r>
      <w:r w:rsidR="00A311C2" w:rsidRPr="0082269F">
        <w:rPr>
          <w:rFonts w:ascii="Times New Roman" w:hAnsi="Times New Roman" w:cs="Times New Roman"/>
        </w:rPr>
        <w:t>very large density lipoprotein</w:t>
      </w:r>
      <w:r w:rsidRPr="0082269F">
        <w:rPr>
          <w:rFonts w:ascii="Times New Roman" w:hAnsi="Times New Roman" w:cs="Times New Roman"/>
        </w:rPr>
        <w:t xml:space="preserve"> particle subtypes. Branched chain amino acids, previously associated with insulin resistance and </w:t>
      </w:r>
      <w:r w:rsidR="00535057" w:rsidRPr="0082269F">
        <w:rPr>
          <w:rFonts w:ascii="Times New Roman" w:hAnsi="Times New Roman" w:cs="Times New Roman"/>
        </w:rPr>
        <w:t>type 2 diabetes</w:t>
      </w:r>
      <w:r w:rsidR="000A3E11" w:rsidRPr="0082269F">
        <w:rPr>
          <w:rFonts w:ascii="Times New Roman" w:hAnsi="Times New Roman" w:cs="Times New Roman"/>
        </w:rPr>
        <w:t xml:space="preserve"> mellitus</w:t>
      </w:r>
      <w:r w:rsidRPr="0082269F">
        <w:rPr>
          <w:rFonts w:ascii="Times New Roman" w:hAnsi="Times New Roman" w:cs="Times New Roman"/>
        </w:rPr>
        <w:t>,</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Pr="0082269F">
        <w:rPr>
          <w:rFonts w:ascii="Times New Roman" w:hAnsi="Times New Roman" w:cs="Times New Roman"/>
          <w:noProof/>
        </w:rPr>
        <w:t>3</w:t>
      </w:r>
      <w:r w:rsidR="00184514" w:rsidRPr="0082269F">
        <w:rPr>
          <w:rFonts w:ascii="Times New Roman" w:hAnsi="Times New Roman" w:cs="Times New Roman"/>
          <w:noProof/>
        </w:rPr>
        <w:t>9</w:t>
      </w:r>
      <w:r w:rsidRPr="0082269F">
        <w:rPr>
          <w:rFonts w:ascii="Times New Roman" w:hAnsi="Times New Roman" w:cs="Times New Roman"/>
          <w:noProof/>
        </w:rPr>
        <w:t xml:space="preserve">, </w:t>
      </w:r>
      <w:r w:rsidR="00184514" w:rsidRPr="0082269F">
        <w:rPr>
          <w:rFonts w:ascii="Times New Roman" w:hAnsi="Times New Roman" w:cs="Times New Roman"/>
          <w:noProof/>
        </w:rPr>
        <w:t>40</w:t>
      </w:r>
      <w:r w:rsidR="00131A40" w:rsidRPr="0082269F">
        <w:rPr>
          <w:rFonts w:ascii="Times New Roman" w:hAnsi="Times New Roman" w:cs="Times New Roman"/>
          <w:noProof/>
        </w:rPr>
        <w:t>]</w:t>
      </w:r>
      <w:r w:rsidRPr="0082269F">
        <w:rPr>
          <w:rFonts w:ascii="Times New Roman" w:hAnsi="Times New Roman" w:cs="Times New Roman"/>
        </w:rPr>
        <w:t xml:space="preserve"> were also associated. As only 2 of these metabolites were selected for inclusion in the combined model, </w:t>
      </w:r>
      <w:r w:rsidR="003E2EDD" w:rsidRPr="0082269F">
        <w:rPr>
          <w:rFonts w:ascii="Times New Roman" w:hAnsi="Times New Roman" w:cs="Times New Roman"/>
        </w:rPr>
        <w:t xml:space="preserve">and </w:t>
      </w:r>
      <w:r w:rsidRPr="0082269F">
        <w:rPr>
          <w:rFonts w:ascii="Times New Roman" w:hAnsi="Times New Roman" w:cs="Times New Roman"/>
        </w:rPr>
        <w:t>did not improve the test performance, th</w:t>
      </w:r>
      <w:r w:rsidR="003E2EDD" w:rsidRPr="0082269F">
        <w:rPr>
          <w:rFonts w:ascii="Times New Roman" w:hAnsi="Times New Roman" w:cs="Times New Roman"/>
        </w:rPr>
        <w:t xml:space="preserve">is </w:t>
      </w:r>
      <w:r w:rsidRPr="0082269F">
        <w:rPr>
          <w:rFonts w:ascii="Times New Roman" w:hAnsi="Times New Roman" w:cs="Times New Roman"/>
        </w:rPr>
        <w:t>metabolome</w:t>
      </w:r>
      <w:r w:rsidR="003E2EDD" w:rsidRPr="0082269F">
        <w:rPr>
          <w:rFonts w:ascii="Times New Roman" w:hAnsi="Times New Roman" w:cs="Times New Roman"/>
        </w:rPr>
        <w:t xml:space="preserve"> </w:t>
      </w:r>
      <w:r w:rsidRPr="0082269F">
        <w:rPr>
          <w:rFonts w:ascii="Times New Roman" w:hAnsi="Times New Roman" w:cs="Times New Roman"/>
        </w:rPr>
        <w:t xml:space="preserve">is unlikely to provide valuable biomarkers for clinical GDM prediction. </w:t>
      </w:r>
    </w:p>
    <w:p w14:paraId="14175B7A" w14:textId="77777777" w:rsidR="00F86E21" w:rsidRPr="0082269F" w:rsidRDefault="00F86E21" w:rsidP="0082269F">
      <w:pPr>
        <w:spacing w:line="480" w:lineRule="auto"/>
        <w:jc w:val="both"/>
        <w:rPr>
          <w:rFonts w:ascii="Times New Roman" w:hAnsi="Times New Roman" w:cs="Times New Roman"/>
        </w:rPr>
      </w:pPr>
    </w:p>
    <w:p w14:paraId="094D0887" w14:textId="5724A67E" w:rsidR="009B41B0" w:rsidRPr="0082269F" w:rsidRDefault="000B3A42" w:rsidP="0082269F">
      <w:pPr>
        <w:pStyle w:val="CommentText"/>
        <w:spacing w:line="480" w:lineRule="auto"/>
        <w:jc w:val="both"/>
        <w:rPr>
          <w:rFonts w:ascii="Times New Roman" w:hAnsi="Times New Roman" w:cs="Times New Roman"/>
          <w:sz w:val="22"/>
          <w:szCs w:val="22"/>
        </w:rPr>
      </w:pPr>
      <w:r w:rsidRPr="0082269F">
        <w:rPr>
          <w:rFonts w:ascii="Times New Roman" w:hAnsi="Times New Roman" w:cs="Times New Roman"/>
          <w:sz w:val="22"/>
          <w:szCs w:val="22"/>
        </w:rPr>
        <w:lastRenderedPageBreak/>
        <w:t xml:space="preserve">Current practice for </w:t>
      </w:r>
      <w:r w:rsidR="00735F59" w:rsidRPr="0082269F">
        <w:rPr>
          <w:rFonts w:ascii="Times New Roman" w:hAnsi="Times New Roman" w:cs="Times New Roman"/>
          <w:sz w:val="22"/>
          <w:szCs w:val="22"/>
        </w:rPr>
        <w:t xml:space="preserve">evaluating </w:t>
      </w:r>
      <w:r w:rsidR="00A06749" w:rsidRPr="0082269F">
        <w:rPr>
          <w:rFonts w:ascii="Times New Roman" w:hAnsi="Times New Roman" w:cs="Times New Roman"/>
          <w:sz w:val="22"/>
          <w:szCs w:val="22"/>
        </w:rPr>
        <w:t>GDM risk in</w:t>
      </w:r>
      <w:r w:rsidRPr="0082269F">
        <w:rPr>
          <w:rFonts w:ascii="Times New Roman" w:hAnsi="Times New Roman" w:cs="Times New Roman"/>
          <w:sz w:val="22"/>
          <w:szCs w:val="22"/>
        </w:rPr>
        <w:t xml:space="preserve"> pregnant women does not </w:t>
      </w:r>
      <w:r w:rsidR="00735F59" w:rsidRPr="0082269F">
        <w:rPr>
          <w:rFonts w:ascii="Times New Roman" w:hAnsi="Times New Roman" w:cs="Times New Roman"/>
          <w:sz w:val="22"/>
          <w:szCs w:val="22"/>
        </w:rPr>
        <w:t xml:space="preserve">include </w:t>
      </w:r>
      <w:r w:rsidR="00650A8F" w:rsidRPr="0082269F">
        <w:rPr>
          <w:rFonts w:ascii="Times New Roman" w:hAnsi="Times New Roman" w:cs="Times New Roman"/>
          <w:sz w:val="22"/>
          <w:szCs w:val="22"/>
        </w:rPr>
        <w:t xml:space="preserve">risk </w:t>
      </w:r>
      <w:r w:rsidR="00735F59" w:rsidRPr="0082269F">
        <w:rPr>
          <w:rFonts w:ascii="Times New Roman" w:hAnsi="Times New Roman" w:cs="Times New Roman"/>
          <w:sz w:val="22"/>
          <w:szCs w:val="22"/>
        </w:rPr>
        <w:t xml:space="preserve">stratification </w:t>
      </w:r>
      <w:r w:rsidR="00650A8F" w:rsidRPr="0082269F">
        <w:rPr>
          <w:rFonts w:ascii="Times New Roman" w:hAnsi="Times New Roman" w:cs="Times New Roman"/>
          <w:sz w:val="22"/>
          <w:szCs w:val="22"/>
        </w:rPr>
        <w:t xml:space="preserve">amongst obese women, </w:t>
      </w:r>
      <w:r w:rsidRPr="0082269F">
        <w:rPr>
          <w:rFonts w:ascii="Times New Roman" w:hAnsi="Times New Roman" w:cs="Times New Roman"/>
          <w:sz w:val="22"/>
          <w:szCs w:val="22"/>
        </w:rPr>
        <w:t>treat</w:t>
      </w:r>
      <w:r w:rsidR="00650A8F" w:rsidRPr="0082269F">
        <w:rPr>
          <w:rFonts w:ascii="Times New Roman" w:hAnsi="Times New Roman" w:cs="Times New Roman"/>
          <w:sz w:val="22"/>
          <w:szCs w:val="22"/>
        </w:rPr>
        <w:t>ing</w:t>
      </w:r>
      <w:r w:rsidRPr="0082269F">
        <w:rPr>
          <w:rFonts w:ascii="Times New Roman" w:hAnsi="Times New Roman" w:cs="Times New Roman"/>
          <w:sz w:val="22"/>
          <w:szCs w:val="22"/>
        </w:rPr>
        <w:t xml:space="preserve"> all </w:t>
      </w:r>
      <w:r w:rsidR="00735F59" w:rsidRPr="0082269F">
        <w:rPr>
          <w:rFonts w:ascii="Times New Roman" w:hAnsi="Times New Roman" w:cs="Times New Roman"/>
          <w:sz w:val="22"/>
          <w:szCs w:val="22"/>
        </w:rPr>
        <w:t xml:space="preserve">those </w:t>
      </w:r>
      <w:r w:rsidRPr="0082269F">
        <w:rPr>
          <w:rFonts w:ascii="Times New Roman" w:hAnsi="Times New Roman" w:cs="Times New Roman"/>
          <w:sz w:val="22"/>
          <w:szCs w:val="22"/>
        </w:rPr>
        <w:t xml:space="preserve">with a BMI of </w:t>
      </w:r>
      <w:r w:rsidR="00457C89" w:rsidRPr="00E82D23">
        <w:rPr>
          <w:rFonts w:ascii="Times New Roman" w:hAnsi="Times New Roman" w:cs="Times New Roman"/>
        </w:rPr>
        <w:t>≥</w:t>
      </w:r>
      <w:r w:rsidRPr="0082269F">
        <w:rPr>
          <w:rFonts w:ascii="Times New Roman" w:hAnsi="Times New Roman" w:cs="Times New Roman"/>
          <w:sz w:val="22"/>
          <w:szCs w:val="22"/>
        </w:rPr>
        <w:t>30kg</w:t>
      </w:r>
      <w:r w:rsidR="00FD57ED" w:rsidRPr="0082269F">
        <w:rPr>
          <w:rFonts w:ascii="Times New Roman" w:hAnsi="Times New Roman" w:cs="Times New Roman"/>
          <w:sz w:val="22"/>
          <w:szCs w:val="22"/>
        </w:rPr>
        <w:t>/m</w:t>
      </w:r>
      <w:r w:rsidR="00FD57ED" w:rsidRPr="0082269F">
        <w:rPr>
          <w:rFonts w:ascii="Times New Roman" w:hAnsi="Times New Roman" w:cs="Times New Roman"/>
          <w:sz w:val="22"/>
          <w:szCs w:val="22"/>
          <w:vertAlign w:val="superscript"/>
        </w:rPr>
        <w:t>2</w:t>
      </w:r>
      <w:r w:rsidRPr="0082269F">
        <w:rPr>
          <w:rFonts w:ascii="Times New Roman" w:hAnsi="Times New Roman" w:cs="Times New Roman"/>
          <w:sz w:val="22"/>
          <w:szCs w:val="22"/>
        </w:rPr>
        <w:t xml:space="preserve"> as</w:t>
      </w:r>
      <w:r w:rsidR="00FD57ED" w:rsidRPr="0082269F">
        <w:rPr>
          <w:rFonts w:ascii="Times New Roman" w:hAnsi="Times New Roman" w:cs="Times New Roman"/>
          <w:sz w:val="22"/>
          <w:szCs w:val="22"/>
        </w:rPr>
        <w:t xml:space="preserve"> high risk</w:t>
      </w:r>
      <w:r w:rsidRPr="0082269F">
        <w:rPr>
          <w:rFonts w:ascii="Times New Roman" w:hAnsi="Times New Roman" w:cs="Times New Roman"/>
          <w:sz w:val="22"/>
          <w:szCs w:val="22"/>
        </w:rPr>
        <w:t xml:space="preserve">. With </w:t>
      </w:r>
      <w:r w:rsidR="0095245B" w:rsidRPr="0082269F">
        <w:rPr>
          <w:rFonts w:ascii="Times New Roman" w:hAnsi="Times New Roman" w:cs="Times New Roman"/>
          <w:sz w:val="22"/>
          <w:szCs w:val="22"/>
        </w:rPr>
        <w:t xml:space="preserve">escalating </w:t>
      </w:r>
      <w:r w:rsidRPr="0082269F">
        <w:rPr>
          <w:rFonts w:ascii="Times New Roman" w:hAnsi="Times New Roman" w:cs="Times New Roman"/>
          <w:sz w:val="22"/>
          <w:szCs w:val="22"/>
        </w:rPr>
        <w:t>rates of obesity</w:t>
      </w:r>
      <w:r w:rsidR="0095245B" w:rsidRPr="0082269F">
        <w:rPr>
          <w:rFonts w:ascii="Times New Roman" w:hAnsi="Times New Roman" w:cs="Times New Roman"/>
          <w:sz w:val="22"/>
          <w:szCs w:val="22"/>
        </w:rPr>
        <w:t xml:space="preserve"> wor</w:t>
      </w:r>
      <w:r w:rsidR="00E84EB0" w:rsidRPr="0082269F">
        <w:rPr>
          <w:rFonts w:ascii="Times New Roman" w:hAnsi="Times New Roman" w:cs="Times New Roman"/>
          <w:sz w:val="22"/>
          <w:szCs w:val="22"/>
        </w:rPr>
        <w:t>ld</w:t>
      </w:r>
      <w:r w:rsidR="0095245B" w:rsidRPr="0082269F">
        <w:rPr>
          <w:rFonts w:ascii="Times New Roman" w:hAnsi="Times New Roman" w:cs="Times New Roman"/>
          <w:sz w:val="22"/>
          <w:szCs w:val="22"/>
        </w:rPr>
        <w:t>wide</w:t>
      </w:r>
      <w:r w:rsidRPr="0082269F">
        <w:rPr>
          <w:rFonts w:ascii="Times New Roman" w:hAnsi="Times New Roman" w:cs="Times New Roman"/>
          <w:sz w:val="22"/>
          <w:szCs w:val="22"/>
        </w:rPr>
        <w:t xml:space="preserve">, </w:t>
      </w:r>
      <w:r w:rsidR="003E2EDD" w:rsidRPr="0082269F">
        <w:rPr>
          <w:rFonts w:ascii="Times New Roman" w:hAnsi="Times New Roman" w:cs="Times New Roman"/>
          <w:sz w:val="22"/>
          <w:szCs w:val="22"/>
        </w:rPr>
        <w:t>these</w:t>
      </w:r>
      <w:r w:rsidR="00184514" w:rsidRPr="0082269F">
        <w:rPr>
          <w:rFonts w:ascii="Times New Roman" w:hAnsi="Times New Roman" w:cs="Times New Roman"/>
          <w:sz w:val="22"/>
          <w:szCs w:val="22"/>
        </w:rPr>
        <w:t xml:space="preserve"> </w:t>
      </w:r>
      <w:r w:rsidRPr="0082269F">
        <w:rPr>
          <w:rFonts w:ascii="Times New Roman" w:hAnsi="Times New Roman" w:cs="Times New Roman"/>
          <w:sz w:val="22"/>
          <w:szCs w:val="22"/>
        </w:rPr>
        <w:t xml:space="preserve">models </w:t>
      </w:r>
      <w:r w:rsidR="003E2EDD" w:rsidRPr="0082269F">
        <w:rPr>
          <w:rFonts w:ascii="Times New Roman" w:hAnsi="Times New Roman" w:cs="Times New Roman"/>
          <w:sz w:val="22"/>
          <w:szCs w:val="22"/>
        </w:rPr>
        <w:t xml:space="preserve">will </w:t>
      </w:r>
      <w:r w:rsidR="00650A8F" w:rsidRPr="0082269F">
        <w:rPr>
          <w:rFonts w:ascii="Times New Roman" w:hAnsi="Times New Roman" w:cs="Times New Roman"/>
          <w:sz w:val="22"/>
          <w:szCs w:val="22"/>
        </w:rPr>
        <w:t>become increasingly unuseful.  The clinical risk factors in the simple tool</w:t>
      </w:r>
      <w:r w:rsidR="00224A86" w:rsidRPr="0082269F">
        <w:rPr>
          <w:rFonts w:ascii="Times New Roman" w:hAnsi="Times New Roman" w:cs="Times New Roman"/>
          <w:sz w:val="22"/>
          <w:szCs w:val="22"/>
        </w:rPr>
        <w:t>s</w:t>
      </w:r>
      <w:r w:rsidR="00650A8F" w:rsidRPr="0082269F">
        <w:rPr>
          <w:rFonts w:ascii="Times New Roman" w:hAnsi="Times New Roman" w:cs="Times New Roman"/>
          <w:sz w:val="22"/>
          <w:szCs w:val="22"/>
        </w:rPr>
        <w:t xml:space="preserve"> are quick to measure</w:t>
      </w:r>
      <w:r w:rsidR="00FB7125" w:rsidRPr="0082269F">
        <w:rPr>
          <w:rFonts w:ascii="Times New Roman" w:hAnsi="Times New Roman" w:cs="Times New Roman"/>
          <w:sz w:val="22"/>
          <w:szCs w:val="22"/>
        </w:rPr>
        <w:t xml:space="preserve"> with minimal training</w:t>
      </w:r>
      <w:r w:rsidR="00CE4DD0" w:rsidRPr="0082269F">
        <w:rPr>
          <w:rFonts w:ascii="Times New Roman" w:hAnsi="Times New Roman" w:cs="Times New Roman"/>
          <w:sz w:val="22"/>
          <w:szCs w:val="22"/>
        </w:rPr>
        <w:t>,</w:t>
      </w:r>
      <w:r w:rsidR="00650A8F" w:rsidRPr="0082269F">
        <w:rPr>
          <w:rFonts w:ascii="Times New Roman" w:hAnsi="Times New Roman" w:cs="Times New Roman"/>
          <w:sz w:val="22"/>
          <w:szCs w:val="22"/>
        </w:rPr>
        <w:t xml:space="preserve"> and the biomarkers, HbA1c and adipon</w:t>
      </w:r>
      <w:r w:rsidR="00F94258" w:rsidRPr="0082269F">
        <w:rPr>
          <w:rFonts w:ascii="Times New Roman" w:hAnsi="Times New Roman" w:cs="Times New Roman"/>
          <w:sz w:val="22"/>
          <w:szCs w:val="22"/>
        </w:rPr>
        <w:t xml:space="preserve">ectin </w:t>
      </w:r>
      <w:r w:rsidR="003E2EDD" w:rsidRPr="0082269F">
        <w:rPr>
          <w:rFonts w:ascii="Times New Roman" w:hAnsi="Times New Roman" w:cs="Times New Roman"/>
          <w:sz w:val="22"/>
          <w:szCs w:val="22"/>
        </w:rPr>
        <w:t>are</w:t>
      </w:r>
      <w:r w:rsidR="00650A8F" w:rsidRPr="0082269F">
        <w:rPr>
          <w:rFonts w:ascii="Times New Roman" w:hAnsi="Times New Roman" w:cs="Times New Roman"/>
          <w:sz w:val="22"/>
          <w:szCs w:val="22"/>
        </w:rPr>
        <w:t xml:space="preserve"> readily </w:t>
      </w:r>
      <w:r w:rsidR="003E2EDD" w:rsidRPr="0082269F">
        <w:rPr>
          <w:rFonts w:ascii="Times New Roman" w:hAnsi="Times New Roman" w:cs="Times New Roman"/>
          <w:sz w:val="22"/>
          <w:szCs w:val="22"/>
        </w:rPr>
        <w:t>ac</w:t>
      </w:r>
      <w:r w:rsidR="0095245B" w:rsidRPr="0082269F">
        <w:rPr>
          <w:rFonts w:ascii="Times New Roman" w:hAnsi="Times New Roman" w:cs="Times New Roman"/>
          <w:sz w:val="22"/>
          <w:szCs w:val="22"/>
        </w:rPr>
        <w:t>cessible for</w:t>
      </w:r>
      <w:r w:rsidR="003E2EDD" w:rsidRPr="0082269F">
        <w:rPr>
          <w:rFonts w:ascii="Times New Roman" w:hAnsi="Times New Roman" w:cs="Times New Roman"/>
          <w:sz w:val="22"/>
          <w:szCs w:val="22"/>
        </w:rPr>
        <w:t xml:space="preserve"> </w:t>
      </w:r>
      <w:r w:rsidR="00650A8F" w:rsidRPr="0082269F">
        <w:rPr>
          <w:rFonts w:ascii="Times New Roman" w:hAnsi="Times New Roman" w:cs="Times New Roman"/>
          <w:sz w:val="22"/>
          <w:szCs w:val="22"/>
        </w:rPr>
        <w:t xml:space="preserve">routine clinical laboratory measurement. </w:t>
      </w:r>
      <w:r w:rsidR="005B66A9" w:rsidRPr="0082269F">
        <w:rPr>
          <w:rFonts w:ascii="Times New Roman" w:hAnsi="Times New Roman" w:cs="Times New Roman"/>
          <w:sz w:val="22"/>
          <w:szCs w:val="22"/>
        </w:rPr>
        <w:t>An added advantage is th</w:t>
      </w:r>
      <w:r w:rsidR="003E2EDD" w:rsidRPr="0082269F">
        <w:rPr>
          <w:rFonts w:ascii="Times New Roman" w:hAnsi="Times New Roman" w:cs="Times New Roman"/>
          <w:sz w:val="22"/>
          <w:szCs w:val="22"/>
        </w:rPr>
        <w:t xml:space="preserve">at the samples were </w:t>
      </w:r>
      <w:r w:rsidR="005B66A9" w:rsidRPr="0082269F">
        <w:rPr>
          <w:rFonts w:ascii="Times New Roman" w:hAnsi="Times New Roman" w:cs="Times New Roman"/>
          <w:sz w:val="22"/>
          <w:szCs w:val="22"/>
        </w:rPr>
        <w:t>non-fasted; there are</w:t>
      </w:r>
      <w:r w:rsidR="003E2EDD" w:rsidRPr="0082269F">
        <w:rPr>
          <w:rFonts w:ascii="Times New Roman" w:hAnsi="Times New Roman" w:cs="Times New Roman"/>
          <w:sz w:val="22"/>
          <w:szCs w:val="22"/>
        </w:rPr>
        <w:t xml:space="preserve"> </w:t>
      </w:r>
      <w:r w:rsidR="005B66A9" w:rsidRPr="0082269F">
        <w:rPr>
          <w:rFonts w:ascii="Times New Roman" w:hAnsi="Times New Roman" w:cs="Times New Roman"/>
          <w:sz w:val="22"/>
          <w:szCs w:val="22"/>
        </w:rPr>
        <w:t>practical and ethical issues in asking women in early pregnancy to attend a clinic appointment in the fasted state</w:t>
      </w:r>
      <w:r w:rsidR="009A1F18" w:rsidRPr="0082269F">
        <w:rPr>
          <w:rFonts w:ascii="Times New Roman" w:hAnsi="Times New Roman" w:cs="Times New Roman"/>
          <w:sz w:val="22"/>
          <w:szCs w:val="22"/>
        </w:rPr>
        <w:t>, and this is not current practice in the UK</w:t>
      </w:r>
      <w:r w:rsidR="005B66A9" w:rsidRPr="0082269F">
        <w:rPr>
          <w:rFonts w:ascii="Times New Roman" w:hAnsi="Times New Roman" w:cs="Times New Roman"/>
          <w:sz w:val="22"/>
          <w:szCs w:val="22"/>
        </w:rPr>
        <w:t xml:space="preserve">. </w:t>
      </w:r>
      <w:r w:rsidR="00902F14" w:rsidRPr="0082269F">
        <w:rPr>
          <w:rFonts w:ascii="Times New Roman" w:hAnsi="Times New Roman" w:cs="Times New Roman"/>
          <w:sz w:val="22"/>
          <w:szCs w:val="22"/>
        </w:rPr>
        <w:t xml:space="preserve">We acknowledge that a fasting sample may </w:t>
      </w:r>
      <w:r w:rsidR="005B6B95" w:rsidRPr="0082269F">
        <w:rPr>
          <w:rFonts w:ascii="Times New Roman" w:hAnsi="Times New Roman" w:cs="Times New Roman"/>
          <w:sz w:val="22"/>
          <w:szCs w:val="22"/>
        </w:rPr>
        <w:t xml:space="preserve">have </w:t>
      </w:r>
      <w:r w:rsidR="00902F14" w:rsidRPr="0082269F">
        <w:rPr>
          <w:rFonts w:ascii="Times New Roman" w:hAnsi="Times New Roman" w:cs="Times New Roman"/>
          <w:sz w:val="22"/>
          <w:szCs w:val="22"/>
        </w:rPr>
        <w:t>provide</w:t>
      </w:r>
      <w:r w:rsidR="005B6B95" w:rsidRPr="0082269F">
        <w:rPr>
          <w:rFonts w:ascii="Times New Roman" w:hAnsi="Times New Roman" w:cs="Times New Roman"/>
          <w:sz w:val="22"/>
          <w:szCs w:val="22"/>
        </w:rPr>
        <w:t>d</w:t>
      </w:r>
      <w:r w:rsidR="00902F14" w:rsidRPr="0082269F">
        <w:rPr>
          <w:rFonts w:ascii="Times New Roman" w:hAnsi="Times New Roman" w:cs="Times New Roman"/>
          <w:sz w:val="22"/>
          <w:szCs w:val="22"/>
        </w:rPr>
        <w:t xml:space="preserve"> additional predictive potential</w:t>
      </w:r>
      <w:r w:rsidR="000414A0" w:rsidRPr="0082269F">
        <w:rPr>
          <w:rFonts w:ascii="Times New Roman" w:hAnsi="Times New Roman" w:cs="Times New Roman"/>
          <w:sz w:val="22"/>
          <w:szCs w:val="22"/>
        </w:rPr>
        <w:t>,</w:t>
      </w:r>
      <w:r w:rsidR="00902F14" w:rsidRPr="0082269F">
        <w:rPr>
          <w:rFonts w:ascii="Times New Roman" w:hAnsi="Times New Roman" w:cs="Times New Roman"/>
          <w:sz w:val="22"/>
          <w:szCs w:val="22"/>
        </w:rPr>
        <w:t xml:space="preserve"> however the original study protocol was designed </w:t>
      </w:r>
      <w:r w:rsidR="005B6B95" w:rsidRPr="0082269F">
        <w:rPr>
          <w:rFonts w:ascii="Times New Roman" w:hAnsi="Times New Roman" w:cs="Times New Roman"/>
          <w:sz w:val="22"/>
          <w:szCs w:val="22"/>
        </w:rPr>
        <w:t>pragmatically to allow simple clinical translatability.</w:t>
      </w:r>
      <w:r w:rsidR="00902F14" w:rsidRPr="0082269F">
        <w:rPr>
          <w:rFonts w:ascii="Times New Roman" w:hAnsi="Times New Roman" w:cs="Times New Roman"/>
          <w:sz w:val="22"/>
          <w:szCs w:val="22"/>
        </w:rPr>
        <w:t xml:space="preserve"> </w:t>
      </w:r>
    </w:p>
    <w:p w14:paraId="4D79A852" w14:textId="77777777" w:rsidR="009B41B0" w:rsidRDefault="009B41B0" w:rsidP="0082269F">
      <w:pPr>
        <w:pStyle w:val="CommentText"/>
        <w:spacing w:line="480" w:lineRule="auto"/>
        <w:jc w:val="both"/>
        <w:rPr>
          <w:rFonts w:ascii="Times New Roman" w:hAnsi="Times New Roman" w:cs="Times New Roman"/>
          <w:sz w:val="24"/>
          <w:szCs w:val="24"/>
        </w:rPr>
      </w:pPr>
    </w:p>
    <w:p w14:paraId="5128E83A" w14:textId="4F9951B6" w:rsidR="00F94258" w:rsidRPr="0082269F" w:rsidRDefault="00650A8F" w:rsidP="00702AAC">
      <w:pPr>
        <w:pStyle w:val="CommentText"/>
        <w:spacing w:line="480" w:lineRule="auto"/>
        <w:jc w:val="both"/>
        <w:rPr>
          <w:rFonts w:ascii="Times New Roman" w:hAnsi="Times New Roman" w:cs="Times New Roman"/>
          <w:sz w:val="22"/>
          <w:szCs w:val="22"/>
        </w:rPr>
      </w:pPr>
      <w:r w:rsidRPr="0082269F">
        <w:rPr>
          <w:rFonts w:ascii="Times New Roman" w:hAnsi="Times New Roman" w:cs="Times New Roman"/>
          <w:sz w:val="22"/>
          <w:szCs w:val="22"/>
        </w:rPr>
        <w:t>Followi</w:t>
      </w:r>
      <w:r w:rsidR="00E84EB0" w:rsidRPr="0082269F">
        <w:rPr>
          <w:rFonts w:ascii="Times New Roman" w:hAnsi="Times New Roman" w:cs="Times New Roman"/>
          <w:sz w:val="22"/>
          <w:szCs w:val="22"/>
        </w:rPr>
        <w:t>n</w:t>
      </w:r>
      <w:r w:rsidRPr="0082269F">
        <w:rPr>
          <w:rFonts w:ascii="Times New Roman" w:hAnsi="Times New Roman" w:cs="Times New Roman"/>
          <w:sz w:val="22"/>
          <w:szCs w:val="22"/>
        </w:rPr>
        <w:t>g a recent report</w:t>
      </w:r>
      <w:r w:rsidR="00F94258" w:rsidRPr="0082269F">
        <w:rPr>
          <w:rFonts w:ascii="Times New Roman" w:hAnsi="Times New Roman" w:cs="Times New Roman"/>
          <w:sz w:val="22"/>
          <w:szCs w:val="22"/>
        </w:rPr>
        <w:t xml:space="preserve"> </w:t>
      </w:r>
      <w:r w:rsidR="0095245B" w:rsidRPr="0082269F">
        <w:rPr>
          <w:rFonts w:ascii="Times New Roman" w:hAnsi="Times New Roman" w:cs="Times New Roman"/>
          <w:sz w:val="22"/>
          <w:szCs w:val="22"/>
        </w:rPr>
        <w:t xml:space="preserve">of strong </w:t>
      </w:r>
      <w:r w:rsidR="003E2EDD" w:rsidRPr="0082269F">
        <w:rPr>
          <w:rFonts w:ascii="Times New Roman" w:hAnsi="Times New Roman" w:cs="Times New Roman"/>
          <w:sz w:val="22"/>
          <w:szCs w:val="22"/>
        </w:rPr>
        <w:t xml:space="preserve">associations between </w:t>
      </w:r>
      <w:r w:rsidR="00F94258" w:rsidRPr="0082269F">
        <w:rPr>
          <w:rFonts w:ascii="Times New Roman" w:hAnsi="Times New Roman" w:cs="Times New Roman"/>
          <w:sz w:val="22"/>
          <w:szCs w:val="22"/>
        </w:rPr>
        <w:t>abnormal OGTT</w:t>
      </w:r>
      <w:r w:rsidR="003E2EDD" w:rsidRPr="0082269F">
        <w:rPr>
          <w:rFonts w:ascii="Times New Roman" w:hAnsi="Times New Roman" w:cs="Times New Roman"/>
          <w:sz w:val="22"/>
          <w:szCs w:val="22"/>
        </w:rPr>
        <w:t>s</w:t>
      </w:r>
      <w:r w:rsidR="009B41B0" w:rsidRPr="0082269F">
        <w:rPr>
          <w:rFonts w:ascii="Times New Roman" w:hAnsi="Times New Roman" w:cs="Times New Roman"/>
          <w:sz w:val="22"/>
          <w:szCs w:val="22"/>
        </w:rPr>
        <w:t>, particularly raised fasting glucose,</w:t>
      </w:r>
      <w:r w:rsidR="003E2EDD" w:rsidRPr="0082269F">
        <w:rPr>
          <w:rFonts w:ascii="Times New Roman" w:hAnsi="Times New Roman" w:cs="Times New Roman"/>
          <w:sz w:val="22"/>
          <w:szCs w:val="22"/>
        </w:rPr>
        <w:t xml:space="preserve"> in obese women </w:t>
      </w:r>
      <w:r w:rsidR="00F94258" w:rsidRPr="0082269F">
        <w:rPr>
          <w:rFonts w:ascii="Times New Roman" w:hAnsi="Times New Roman" w:cs="Times New Roman"/>
          <w:sz w:val="22"/>
          <w:szCs w:val="22"/>
        </w:rPr>
        <w:t xml:space="preserve">in </w:t>
      </w:r>
      <w:r w:rsidRPr="0082269F">
        <w:rPr>
          <w:rFonts w:ascii="Times New Roman" w:hAnsi="Times New Roman" w:cs="Times New Roman"/>
          <w:sz w:val="22"/>
          <w:szCs w:val="22"/>
        </w:rPr>
        <w:t xml:space="preserve">early </w:t>
      </w:r>
      <w:r w:rsidR="00F94258" w:rsidRPr="0082269F">
        <w:rPr>
          <w:rFonts w:ascii="Times New Roman" w:hAnsi="Times New Roman" w:cs="Times New Roman"/>
          <w:sz w:val="22"/>
          <w:szCs w:val="22"/>
        </w:rPr>
        <w:t>pregnancy</w:t>
      </w:r>
      <w:r w:rsidRPr="0082269F">
        <w:rPr>
          <w:rFonts w:ascii="Times New Roman" w:hAnsi="Times New Roman" w:cs="Times New Roman"/>
          <w:sz w:val="22"/>
          <w:szCs w:val="22"/>
        </w:rPr>
        <w:t xml:space="preserve"> </w:t>
      </w:r>
      <w:r w:rsidR="003E2EDD" w:rsidRPr="0082269F">
        <w:rPr>
          <w:rFonts w:ascii="Times New Roman" w:hAnsi="Times New Roman" w:cs="Times New Roman"/>
          <w:sz w:val="22"/>
          <w:szCs w:val="22"/>
        </w:rPr>
        <w:t xml:space="preserve">and </w:t>
      </w:r>
      <w:r w:rsidR="002233FE" w:rsidRPr="0082269F">
        <w:rPr>
          <w:rFonts w:ascii="Times New Roman" w:hAnsi="Times New Roman" w:cs="Times New Roman"/>
          <w:sz w:val="22"/>
          <w:szCs w:val="22"/>
        </w:rPr>
        <w:t>measures of insulin resistance</w:t>
      </w:r>
      <w:r w:rsidR="00F837C4" w:rsidRPr="0082269F">
        <w:rPr>
          <w:rFonts w:ascii="Times New Roman" w:hAnsi="Times New Roman" w:cs="Times New Roman"/>
          <w:sz w:val="22"/>
          <w:szCs w:val="22"/>
        </w:rPr>
        <w:t xml:space="preserve"> </w:t>
      </w:r>
      <w:r w:rsidR="00184514" w:rsidRPr="0082269F">
        <w:rPr>
          <w:rFonts w:ascii="Times New Roman" w:hAnsi="Times New Roman" w:cs="Times New Roman"/>
          <w:sz w:val="22"/>
          <w:szCs w:val="22"/>
        </w:rPr>
        <w:t>[</w:t>
      </w:r>
      <w:r w:rsidR="00F656EC" w:rsidRPr="0082269F">
        <w:rPr>
          <w:rFonts w:ascii="Times New Roman" w:hAnsi="Times New Roman" w:cs="Times New Roman"/>
          <w:sz w:val="22"/>
          <w:szCs w:val="22"/>
        </w:rPr>
        <w:t>5</w:t>
      </w:r>
      <w:r w:rsidR="00184514" w:rsidRPr="0082269F">
        <w:rPr>
          <w:rFonts w:ascii="Times New Roman" w:hAnsi="Times New Roman" w:cs="Times New Roman"/>
          <w:sz w:val="22"/>
          <w:szCs w:val="22"/>
        </w:rPr>
        <w:t>]</w:t>
      </w:r>
      <w:r w:rsidR="00F94258" w:rsidRPr="0082269F">
        <w:rPr>
          <w:rFonts w:ascii="Times New Roman" w:hAnsi="Times New Roman" w:cs="Times New Roman"/>
          <w:sz w:val="22"/>
          <w:szCs w:val="22"/>
        </w:rPr>
        <w:t xml:space="preserve">, </w:t>
      </w:r>
      <w:r w:rsidR="003E2EDD" w:rsidRPr="0082269F">
        <w:rPr>
          <w:rFonts w:ascii="Times New Roman" w:hAnsi="Times New Roman" w:cs="Times New Roman"/>
          <w:sz w:val="22"/>
          <w:szCs w:val="22"/>
        </w:rPr>
        <w:t xml:space="preserve">an alternative </w:t>
      </w:r>
      <w:r w:rsidR="009B41B0" w:rsidRPr="0082269F">
        <w:rPr>
          <w:rFonts w:ascii="Times New Roman" w:hAnsi="Times New Roman" w:cs="Times New Roman"/>
          <w:sz w:val="22"/>
          <w:szCs w:val="22"/>
        </w:rPr>
        <w:t xml:space="preserve">to the use of an early prediction tool as described here might be </w:t>
      </w:r>
      <w:r w:rsidR="003E2EDD" w:rsidRPr="0082269F">
        <w:rPr>
          <w:rFonts w:ascii="Times New Roman" w:hAnsi="Times New Roman" w:cs="Times New Roman"/>
          <w:sz w:val="22"/>
          <w:szCs w:val="22"/>
        </w:rPr>
        <w:t xml:space="preserve">to </w:t>
      </w:r>
      <w:r w:rsidR="00F94258" w:rsidRPr="0082269F">
        <w:rPr>
          <w:rFonts w:ascii="Times New Roman" w:hAnsi="Times New Roman" w:cs="Times New Roman"/>
          <w:sz w:val="22"/>
          <w:szCs w:val="22"/>
        </w:rPr>
        <w:t>bring</w:t>
      </w:r>
      <w:r w:rsidR="003E2EDD" w:rsidRPr="0082269F">
        <w:rPr>
          <w:rFonts w:ascii="Times New Roman" w:hAnsi="Times New Roman" w:cs="Times New Roman"/>
          <w:sz w:val="22"/>
          <w:szCs w:val="22"/>
        </w:rPr>
        <w:t xml:space="preserve"> forward</w:t>
      </w:r>
      <w:r w:rsidR="00F94258" w:rsidRPr="0082269F">
        <w:rPr>
          <w:rFonts w:ascii="Times New Roman" w:hAnsi="Times New Roman" w:cs="Times New Roman"/>
          <w:sz w:val="22"/>
          <w:szCs w:val="22"/>
        </w:rPr>
        <w:t xml:space="preserve"> the OGTT</w:t>
      </w:r>
      <w:r w:rsidR="009B41B0" w:rsidRPr="0082269F">
        <w:rPr>
          <w:rFonts w:ascii="Times New Roman" w:hAnsi="Times New Roman" w:cs="Times New Roman"/>
          <w:sz w:val="22"/>
          <w:szCs w:val="22"/>
        </w:rPr>
        <w:t xml:space="preserve"> or simply measure fasting glucose. Other than the practicalities of fasting, an early OGTT has yet to be validated </w:t>
      </w:r>
      <w:r w:rsidR="00F4315C" w:rsidRPr="0082269F">
        <w:rPr>
          <w:rFonts w:ascii="Times New Roman" w:hAnsi="Times New Roman" w:cs="Times New Roman"/>
          <w:sz w:val="22"/>
          <w:szCs w:val="22"/>
        </w:rPr>
        <w:t>in</w:t>
      </w:r>
      <w:r w:rsidR="009B41B0" w:rsidRPr="0082269F">
        <w:rPr>
          <w:rFonts w:ascii="Times New Roman" w:hAnsi="Times New Roman" w:cs="Times New Roman"/>
          <w:sz w:val="22"/>
          <w:szCs w:val="22"/>
        </w:rPr>
        <w:t xml:space="preserve"> regard to </w:t>
      </w:r>
      <w:r w:rsidR="00402057" w:rsidRPr="0082269F">
        <w:rPr>
          <w:rFonts w:ascii="Times New Roman" w:hAnsi="Times New Roman" w:cs="Times New Roman"/>
          <w:sz w:val="22"/>
          <w:szCs w:val="22"/>
        </w:rPr>
        <w:t xml:space="preserve">maternal and neonatal outcomes or </w:t>
      </w:r>
      <w:r w:rsidR="009B41B0" w:rsidRPr="0082269F">
        <w:rPr>
          <w:rFonts w:ascii="Times New Roman" w:hAnsi="Times New Roman" w:cs="Times New Roman"/>
          <w:sz w:val="22"/>
          <w:szCs w:val="22"/>
        </w:rPr>
        <w:t>GDM, as traditionally diagnosed. Moreover, several studies in BMI heterogeneous populations have suggested that an early abnormal glucose test is not adequately sensitive or specific to replace a later OGTT for the diagnosis of GDM</w:t>
      </w:r>
      <w:r w:rsidR="00F94258" w:rsidRPr="0082269F">
        <w:rPr>
          <w:rFonts w:ascii="Times New Roman" w:hAnsi="Times New Roman" w:cs="Times New Roman"/>
          <w:sz w:val="22"/>
          <w:szCs w:val="22"/>
        </w:rPr>
        <w:t xml:space="preserve">. </w:t>
      </w:r>
      <w:r w:rsidR="00B03B01" w:rsidRPr="0082269F">
        <w:rPr>
          <w:rFonts w:ascii="Times New Roman" w:hAnsi="Times New Roman" w:cs="Times New Roman"/>
          <w:sz w:val="22"/>
          <w:szCs w:val="22"/>
        </w:rPr>
        <w:t>[41, 42</w:t>
      </w:r>
      <w:r w:rsidR="009B41B0" w:rsidRPr="0082269F">
        <w:rPr>
          <w:rFonts w:ascii="Times New Roman" w:hAnsi="Times New Roman" w:cs="Times New Roman"/>
          <w:sz w:val="22"/>
          <w:szCs w:val="22"/>
        </w:rPr>
        <w:t>] All such</w:t>
      </w:r>
      <w:r w:rsidR="00F94258" w:rsidRPr="0082269F">
        <w:rPr>
          <w:rFonts w:ascii="Times New Roman" w:hAnsi="Times New Roman" w:cs="Times New Roman"/>
          <w:sz w:val="22"/>
          <w:szCs w:val="22"/>
        </w:rPr>
        <w:t xml:space="preserve"> approaches require further validation and randomised controlled trials to determine the efficacy </w:t>
      </w:r>
      <w:r w:rsidR="002233FE" w:rsidRPr="0082269F">
        <w:rPr>
          <w:rFonts w:ascii="Times New Roman" w:hAnsi="Times New Roman" w:cs="Times New Roman"/>
          <w:sz w:val="22"/>
          <w:szCs w:val="22"/>
        </w:rPr>
        <w:t xml:space="preserve">of </w:t>
      </w:r>
      <w:r w:rsidR="00F94258" w:rsidRPr="0082269F">
        <w:rPr>
          <w:rFonts w:ascii="Times New Roman" w:hAnsi="Times New Roman" w:cs="Times New Roman"/>
          <w:sz w:val="22"/>
          <w:szCs w:val="22"/>
        </w:rPr>
        <w:t>either lifestyle or pharmacological intervention</w:t>
      </w:r>
      <w:r w:rsidR="002233FE" w:rsidRPr="0082269F">
        <w:rPr>
          <w:rFonts w:ascii="Times New Roman" w:hAnsi="Times New Roman" w:cs="Times New Roman"/>
          <w:sz w:val="22"/>
          <w:szCs w:val="22"/>
        </w:rPr>
        <w:t>s in early pregnancy targeted to those identified at risk.</w:t>
      </w:r>
    </w:p>
    <w:p w14:paraId="4F00031A" w14:textId="77777777" w:rsidR="00784B70" w:rsidRPr="00B12525" w:rsidRDefault="00784B70" w:rsidP="00702AAC">
      <w:pPr>
        <w:pStyle w:val="CommentText"/>
        <w:spacing w:line="480" w:lineRule="auto"/>
        <w:rPr>
          <w:rFonts w:ascii="Times New Roman" w:hAnsi="Times New Roman" w:cs="Times New Roman"/>
        </w:rPr>
      </w:pPr>
    </w:p>
    <w:p w14:paraId="4E83E678" w14:textId="22A6FD2F" w:rsidR="00784B70" w:rsidRPr="00762D20" w:rsidRDefault="00784B70" w:rsidP="00702AAC">
      <w:pPr>
        <w:pStyle w:val="Heading2"/>
        <w:spacing w:line="480" w:lineRule="auto"/>
      </w:pPr>
      <w:r w:rsidRPr="00762D20">
        <w:t>Study strengths and limitations</w:t>
      </w:r>
    </w:p>
    <w:p w14:paraId="352D6442" w14:textId="1F3F0E93" w:rsidR="00784B70" w:rsidRPr="007F1F4A" w:rsidRDefault="00784B70" w:rsidP="00702AAC">
      <w:pPr>
        <w:spacing w:before="240" w:line="480" w:lineRule="auto"/>
        <w:jc w:val="both"/>
        <w:rPr>
          <w:rFonts w:ascii="Times New Roman" w:hAnsi="Times New Roman" w:cs="Times New Roman"/>
        </w:rPr>
      </w:pPr>
      <w:r w:rsidRPr="0082269F">
        <w:rPr>
          <w:rFonts w:ascii="Times New Roman" w:hAnsi="Times New Roman" w:cs="Times New Roman"/>
        </w:rPr>
        <w:t>Strengths include novelty, large sample size and mixed ethnicity of the study population, as well as identification of a range of models with immediate clinical applicability. One limitation</w:t>
      </w:r>
      <w:r w:rsidR="00CE6988" w:rsidRPr="0082269F">
        <w:rPr>
          <w:rFonts w:ascii="Times New Roman" w:hAnsi="Times New Roman" w:cs="Times New Roman"/>
        </w:rPr>
        <w:t xml:space="preserve"> in terms of current practice</w:t>
      </w:r>
      <w:r w:rsidRPr="0082269F">
        <w:rPr>
          <w:rFonts w:ascii="Times New Roman" w:hAnsi="Times New Roman" w:cs="Times New Roman"/>
        </w:rPr>
        <w:t xml:space="preserve"> could be the use of IADPSG criteria to define GDM, which although recommended </w:t>
      </w:r>
      <w:r w:rsidRPr="0082269F">
        <w:rPr>
          <w:rFonts w:ascii="Times New Roman" w:hAnsi="Times New Roman" w:cs="Times New Roman"/>
        </w:rPr>
        <w:lastRenderedPageBreak/>
        <w:t xml:space="preserve">by </w:t>
      </w:r>
      <w:r w:rsidR="00A06749" w:rsidRPr="0082269F">
        <w:rPr>
          <w:rFonts w:ascii="Times New Roman" w:hAnsi="Times New Roman" w:cs="Times New Roman"/>
        </w:rPr>
        <w:t>the World Health Organiz</w:t>
      </w:r>
      <w:r w:rsidR="006418F0" w:rsidRPr="0082269F">
        <w:rPr>
          <w:rFonts w:ascii="Times New Roman" w:hAnsi="Times New Roman" w:cs="Times New Roman"/>
        </w:rPr>
        <w:t>ation</w:t>
      </w:r>
      <w:r w:rsidR="0005799A" w:rsidRPr="0082269F">
        <w:rPr>
          <w:rFonts w:ascii="Times New Roman" w:hAnsi="Times New Roman" w:cs="Times New Roman"/>
        </w:rPr>
        <w:t xml:space="preserve"> </w:t>
      </w:r>
      <w:r w:rsidR="00131A40" w:rsidRPr="0082269F">
        <w:rPr>
          <w:rFonts w:ascii="Times New Roman" w:hAnsi="Times New Roman" w:cs="Times New Roman"/>
        </w:rPr>
        <w:t>[</w:t>
      </w:r>
      <w:r w:rsidR="0005799A" w:rsidRPr="0082269F">
        <w:rPr>
          <w:rFonts w:ascii="Times New Roman" w:hAnsi="Times New Roman" w:cs="Times New Roman"/>
        </w:rPr>
        <w:t>4</w:t>
      </w:r>
      <w:r w:rsidR="00B03B01" w:rsidRPr="00B12525">
        <w:rPr>
          <w:rFonts w:ascii="Times New Roman" w:hAnsi="Times New Roman" w:cs="Times New Roman"/>
        </w:rPr>
        <w:t>3</w:t>
      </w:r>
      <w:r w:rsidR="00131A40" w:rsidRPr="0082269F">
        <w:rPr>
          <w:rFonts w:ascii="Times New Roman" w:hAnsi="Times New Roman" w:cs="Times New Roman"/>
        </w:rPr>
        <w:t>]</w:t>
      </w:r>
      <w:r w:rsidRPr="0082269F">
        <w:rPr>
          <w:rFonts w:ascii="Times New Roman" w:hAnsi="Times New Roman" w:cs="Times New Roman"/>
        </w:rPr>
        <w:t xml:space="preserve"> is not universally adopted.</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Pr="0082269F">
        <w:rPr>
          <w:rFonts w:ascii="Times New Roman" w:hAnsi="Times New Roman" w:cs="Times New Roman"/>
          <w:noProof/>
        </w:rPr>
        <w:t>3</w:t>
      </w:r>
      <w:r w:rsidR="00131A40" w:rsidRPr="0082269F">
        <w:rPr>
          <w:rFonts w:ascii="Times New Roman" w:hAnsi="Times New Roman" w:cs="Times New Roman"/>
          <w:noProof/>
        </w:rPr>
        <w:t>]</w:t>
      </w:r>
      <w:r w:rsidRPr="0082269F">
        <w:rPr>
          <w:rFonts w:ascii="Times New Roman" w:hAnsi="Times New Roman" w:cs="Times New Roman"/>
        </w:rPr>
        <w:t xml:space="preserve"> However, when tested using the current UK diagnostic criteria</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Pr="0082269F">
        <w:rPr>
          <w:rFonts w:ascii="Times New Roman" w:hAnsi="Times New Roman" w:cs="Times New Roman"/>
          <w:noProof/>
        </w:rPr>
        <w:t>3</w:t>
      </w:r>
      <w:r w:rsidR="00131A40" w:rsidRPr="0082269F">
        <w:rPr>
          <w:rFonts w:ascii="Times New Roman" w:hAnsi="Times New Roman" w:cs="Times New Roman"/>
          <w:noProof/>
        </w:rPr>
        <w:t>]</w:t>
      </w:r>
      <w:r w:rsidR="007122A2" w:rsidRPr="0082269F">
        <w:rPr>
          <w:rFonts w:ascii="Times New Roman" w:hAnsi="Times New Roman" w:cs="Times New Roman"/>
          <w:noProof/>
        </w:rPr>
        <w:t>,</w:t>
      </w:r>
      <w:r w:rsidRPr="0082269F">
        <w:rPr>
          <w:rFonts w:ascii="Times New Roman" w:hAnsi="Times New Roman" w:cs="Times New Roman"/>
        </w:rPr>
        <w:t xml:space="preserve"> performance of the prediction tools was </w:t>
      </w:r>
      <w:r w:rsidR="00880F3B" w:rsidRPr="0082269F">
        <w:rPr>
          <w:rFonts w:ascii="Times New Roman" w:hAnsi="Times New Roman" w:cs="Times New Roman"/>
        </w:rPr>
        <w:t>comparable</w:t>
      </w:r>
      <w:r w:rsidRPr="0082269F">
        <w:rPr>
          <w:rFonts w:ascii="Times New Roman" w:hAnsi="Times New Roman" w:cs="Times New Roman"/>
        </w:rPr>
        <w:t>. Up to 40% of participants had missing data on one or mo</w:t>
      </w:r>
      <w:r w:rsidR="009E5E16" w:rsidRPr="0082269F">
        <w:rPr>
          <w:rFonts w:ascii="Times New Roman" w:hAnsi="Times New Roman" w:cs="Times New Roman"/>
        </w:rPr>
        <w:t xml:space="preserve">re </w:t>
      </w:r>
      <w:r w:rsidRPr="0082269F">
        <w:rPr>
          <w:rFonts w:ascii="Times New Roman" w:hAnsi="Times New Roman" w:cs="Times New Roman"/>
        </w:rPr>
        <w:t>of the blood based biomarkers</w:t>
      </w:r>
      <w:r w:rsidR="00224A86" w:rsidRPr="0082269F">
        <w:rPr>
          <w:rFonts w:ascii="Times New Roman" w:hAnsi="Times New Roman" w:cs="Times New Roman"/>
        </w:rPr>
        <w:t xml:space="preserve"> or clinical characteristics</w:t>
      </w:r>
      <w:r w:rsidRPr="0082269F">
        <w:rPr>
          <w:rFonts w:ascii="Times New Roman" w:hAnsi="Times New Roman" w:cs="Times New Roman"/>
        </w:rPr>
        <w:t xml:space="preserve"> and sensitivity analysis did demonstrate some differences in smaller sub-samples, but performance was broadly similar. Because of the uniqueness of the data collection, external validation of the full model was not feasible but valid</w:t>
      </w:r>
      <w:r w:rsidR="005D6FC2" w:rsidRPr="0082269F">
        <w:rPr>
          <w:rFonts w:ascii="Times New Roman" w:hAnsi="Times New Roman" w:cs="Times New Roman"/>
        </w:rPr>
        <w:t>ity</w:t>
      </w:r>
      <w:r w:rsidRPr="0082269F">
        <w:rPr>
          <w:rFonts w:ascii="Times New Roman" w:hAnsi="Times New Roman" w:cs="Times New Roman"/>
        </w:rPr>
        <w:t xml:space="preserve"> was strongly supported by internal validation, using two complementary methods.</w:t>
      </w:r>
      <w:r w:rsidR="0009056D" w:rsidRPr="0082269F">
        <w:rPr>
          <w:rFonts w:ascii="Times New Roman" w:hAnsi="Times New Roman" w:cs="Times New Roman"/>
        </w:rPr>
        <w:t xml:space="preserve"> </w:t>
      </w:r>
      <w:r w:rsidR="00131A40" w:rsidRPr="0082269F">
        <w:rPr>
          <w:rFonts w:ascii="Times New Roman" w:hAnsi="Times New Roman" w:cs="Times New Roman"/>
        </w:rPr>
        <w:t>[</w:t>
      </w:r>
      <w:r w:rsidR="00F656EC" w:rsidRPr="0082269F">
        <w:rPr>
          <w:rFonts w:ascii="Times New Roman" w:hAnsi="Times New Roman" w:cs="Times New Roman"/>
          <w:noProof/>
        </w:rPr>
        <w:t>30</w:t>
      </w:r>
      <w:r w:rsidRPr="0082269F">
        <w:rPr>
          <w:rFonts w:ascii="Times New Roman" w:hAnsi="Times New Roman" w:cs="Times New Roman"/>
          <w:noProof/>
        </w:rPr>
        <w:t xml:space="preserve">, </w:t>
      </w:r>
      <w:r w:rsidR="008A0266" w:rsidRPr="0082269F">
        <w:rPr>
          <w:rFonts w:ascii="Times New Roman" w:hAnsi="Times New Roman" w:cs="Times New Roman"/>
          <w:noProof/>
        </w:rPr>
        <w:t>3</w:t>
      </w:r>
      <w:r w:rsidR="00F656EC" w:rsidRPr="0082269F">
        <w:rPr>
          <w:rFonts w:ascii="Times New Roman" w:hAnsi="Times New Roman" w:cs="Times New Roman"/>
          <w:noProof/>
        </w:rPr>
        <w:t>1</w:t>
      </w:r>
      <w:r w:rsidR="00131A40" w:rsidRPr="0082269F">
        <w:rPr>
          <w:rFonts w:ascii="Times New Roman" w:hAnsi="Times New Roman" w:cs="Times New Roman"/>
          <w:noProof/>
        </w:rPr>
        <w:t>]</w:t>
      </w:r>
      <w:r w:rsidRPr="0082269F">
        <w:rPr>
          <w:rFonts w:ascii="Times New Roman" w:hAnsi="Times New Roman" w:cs="Times New Roman"/>
        </w:rPr>
        <w:t xml:space="preserve"> </w:t>
      </w:r>
      <w:r w:rsidR="00AE3F38" w:rsidRPr="00EB6DD3">
        <w:rPr>
          <w:rFonts w:ascii="Times New Roman" w:hAnsi="Times New Roman" w:cs="Times New Roman"/>
        </w:rPr>
        <w:t xml:space="preserve">We recognise that the </w:t>
      </w:r>
      <w:r w:rsidR="00A25539" w:rsidRPr="00EB6DD3">
        <w:rPr>
          <w:rFonts w:ascii="Times New Roman" w:hAnsi="Times New Roman" w:cs="Times New Roman"/>
        </w:rPr>
        <w:t xml:space="preserve">study population </w:t>
      </w:r>
      <w:r w:rsidR="00AE3F38" w:rsidRPr="00EB6DD3">
        <w:rPr>
          <w:rFonts w:ascii="Times New Roman" w:hAnsi="Times New Roman" w:cs="Times New Roman"/>
        </w:rPr>
        <w:t xml:space="preserve">may not be representative of a ‘normal’ obstetric population </w:t>
      </w:r>
      <w:r w:rsidR="00A25539" w:rsidRPr="00EB6DD3">
        <w:rPr>
          <w:rFonts w:ascii="Times New Roman" w:hAnsi="Times New Roman" w:cs="Times New Roman"/>
        </w:rPr>
        <w:t xml:space="preserve">as they </w:t>
      </w:r>
      <w:r w:rsidR="00F4315C" w:rsidRPr="00EB6DD3">
        <w:rPr>
          <w:rFonts w:ascii="Times New Roman" w:hAnsi="Times New Roman" w:cs="Times New Roman"/>
        </w:rPr>
        <w:t>were participants in</w:t>
      </w:r>
      <w:r w:rsidR="00A25539" w:rsidRPr="00EB6DD3">
        <w:rPr>
          <w:rFonts w:ascii="Times New Roman" w:hAnsi="Times New Roman" w:cs="Times New Roman"/>
        </w:rPr>
        <w:t xml:space="preserve"> a</w:t>
      </w:r>
      <w:r w:rsidR="005B6B95" w:rsidRPr="00EB6DD3">
        <w:rPr>
          <w:rFonts w:ascii="Times New Roman" w:hAnsi="Times New Roman" w:cs="Times New Roman"/>
        </w:rPr>
        <w:t>n</w:t>
      </w:r>
      <w:r w:rsidR="00A25539" w:rsidRPr="00EB6DD3">
        <w:rPr>
          <w:rFonts w:ascii="Times New Roman" w:hAnsi="Times New Roman" w:cs="Times New Roman"/>
        </w:rPr>
        <w:t xml:space="preserve"> RCT</w:t>
      </w:r>
      <w:r w:rsidR="00F4315C" w:rsidRPr="00EB6DD3">
        <w:rPr>
          <w:rFonts w:ascii="Times New Roman" w:hAnsi="Times New Roman" w:cs="Times New Roman"/>
        </w:rPr>
        <w:t xml:space="preserve">, an important reason for </w:t>
      </w:r>
      <w:r w:rsidR="00AE3F38" w:rsidRPr="00EB6DD3">
        <w:rPr>
          <w:rFonts w:ascii="Times New Roman" w:hAnsi="Times New Roman" w:cs="Times New Roman"/>
        </w:rPr>
        <w:t xml:space="preserve">pursuing external validation of </w:t>
      </w:r>
      <w:r w:rsidR="00F4315C" w:rsidRPr="00EB6DD3">
        <w:rPr>
          <w:rFonts w:ascii="Times New Roman" w:hAnsi="Times New Roman" w:cs="Times New Roman"/>
        </w:rPr>
        <w:t xml:space="preserve">the </w:t>
      </w:r>
      <w:r w:rsidR="00AE3F38" w:rsidRPr="00EB6DD3">
        <w:rPr>
          <w:rFonts w:ascii="Times New Roman" w:hAnsi="Times New Roman" w:cs="Times New Roman"/>
        </w:rPr>
        <w:t xml:space="preserve">predictive models. </w:t>
      </w:r>
      <w:r w:rsidR="000A545E" w:rsidRPr="00B12525">
        <w:rPr>
          <w:rFonts w:ascii="Times New Roman" w:hAnsi="Times New Roman" w:cs="Times New Roman"/>
        </w:rPr>
        <w:t xml:space="preserve">Future evalution studies could also include validation at earlier gestations. </w:t>
      </w:r>
      <w:r w:rsidR="00F4315C" w:rsidRPr="00B12525">
        <w:rPr>
          <w:rFonts w:ascii="Times New Roman" w:hAnsi="Times New Roman" w:cs="Times New Roman"/>
        </w:rPr>
        <w:t xml:space="preserve">Previous GDM did not contribute to </w:t>
      </w:r>
      <w:r w:rsidR="00C20B40">
        <w:rPr>
          <w:rFonts w:ascii="Times New Roman" w:hAnsi="Times New Roman" w:cs="Times New Roman"/>
        </w:rPr>
        <w:t>M</w:t>
      </w:r>
      <w:r w:rsidR="00F4315C" w:rsidRPr="00B12525">
        <w:rPr>
          <w:rFonts w:ascii="Times New Roman" w:hAnsi="Times New Roman" w:cs="Times New Roman"/>
        </w:rPr>
        <w:t>odels</w:t>
      </w:r>
      <w:r w:rsidR="001910F5">
        <w:rPr>
          <w:rFonts w:ascii="Times New Roman" w:hAnsi="Times New Roman" w:cs="Times New Roman"/>
        </w:rPr>
        <w:t xml:space="preserve"> 2 and 3</w:t>
      </w:r>
      <w:r w:rsidR="00F4315C" w:rsidRPr="00B12525">
        <w:rPr>
          <w:rFonts w:ascii="Times New Roman" w:hAnsi="Times New Roman" w:cs="Times New Roman"/>
        </w:rPr>
        <w:t>, but a</w:t>
      </w:r>
      <w:r w:rsidR="009E5E16" w:rsidRPr="00B12525">
        <w:rPr>
          <w:rFonts w:ascii="Times New Roman" w:hAnsi="Times New Roman" w:cs="Times New Roman"/>
        </w:rPr>
        <w:t>s only 25 women in the cohort had GDM</w:t>
      </w:r>
      <w:r w:rsidR="009E5E16" w:rsidRPr="007F1F4A">
        <w:rPr>
          <w:rFonts w:ascii="Times New Roman" w:hAnsi="Times New Roman" w:cs="Times New Roman"/>
        </w:rPr>
        <w:t xml:space="preserve"> previously, of whom 11 did not develop the disorder in the index pregnancy</w:t>
      </w:r>
      <w:r w:rsidR="00E84EB0" w:rsidRPr="007F1F4A">
        <w:rPr>
          <w:rFonts w:ascii="Times New Roman" w:hAnsi="Times New Roman" w:cs="Times New Roman"/>
        </w:rPr>
        <w:t>,</w:t>
      </w:r>
      <w:r w:rsidR="009E5E16" w:rsidRPr="007F1F4A">
        <w:rPr>
          <w:rFonts w:ascii="Times New Roman" w:hAnsi="Times New Roman" w:cs="Times New Roman"/>
        </w:rPr>
        <w:t xml:space="preserve"> a previous history of GDM should be considered for inclusion in future validation studies. </w:t>
      </w:r>
      <w:r w:rsidRPr="007F1F4A">
        <w:rPr>
          <w:rFonts w:ascii="Times New Roman" w:hAnsi="Times New Roman" w:cs="Times New Roman"/>
        </w:rPr>
        <w:t>Whilst ethnicity was not</w:t>
      </w:r>
      <w:r w:rsidRPr="00762D20">
        <w:rPr>
          <w:rFonts w:ascii="Times New Roman" w:hAnsi="Times New Roman" w:cs="Times New Roman"/>
          <w:sz w:val="24"/>
          <w:szCs w:val="24"/>
        </w:rPr>
        <w:t xml:space="preserve"> </w:t>
      </w:r>
      <w:r w:rsidRPr="007F1F4A">
        <w:rPr>
          <w:rFonts w:ascii="Times New Roman" w:hAnsi="Times New Roman" w:cs="Times New Roman"/>
        </w:rPr>
        <w:t>selected as a predictor in our mixed ethnic population,</w:t>
      </w:r>
      <w:r w:rsidR="005C77FD" w:rsidRPr="007F1F4A">
        <w:rPr>
          <w:rFonts w:ascii="Times New Roman" w:hAnsi="Times New Roman" w:cs="Times New Roman"/>
        </w:rPr>
        <w:t xml:space="preserve"> </w:t>
      </w:r>
      <w:r w:rsidRPr="007F1F4A">
        <w:rPr>
          <w:rFonts w:ascii="Times New Roman" w:hAnsi="Times New Roman" w:cs="Times New Roman"/>
        </w:rPr>
        <w:t xml:space="preserve">repetition in specific ethnic groups would be </w:t>
      </w:r>
      <w:r w:rsidR="009E5E16" w:rsidRPr="007F1F4A">
        <w:rPr>
          <w:rFonts w:ascii="Times New Roman" w:hAnsi="Times New Roman" w:cs="Times New Roman"/>
        </w:rPr>
        <w:t>valuable</w:t>
      </w:r>
      <w:r w:rsidRPr="007F1F4A">
        <w:rPr>
          <w:rFonts w:ascii="Times New Roman" w:hAnsi="Times New Roman" w:cs="Times New Roman"/>
        </w:rPr>
        <w:t xml:space="preserve">. </w:t>
      </w:r>
    </w:p>
    <w:p w14:paraId="30B81ED3" w14:textId="2AC5F30C" w:rsidR="00E82D23" w:rsidRPr="007F1F4A" w:rsidRDefault="00784B70" w:rsidP="0082269F">
      <w:pPr>
        <w:spacing w:before="240" w:line="480" w:lineRule="auto"/>
        <w:jc w:val="both"/>
        <w:rPr>
          <w:rFonts w:ascii="Times New Roman" w:hAnsi="Times New Roman" w:cs="Times New Roman"/>
        </w:rPr>
        <w:sectPr w:rsidR="00E82D23" w:rsidRPr="007F1F4A" w:rsidSect="00070726">
          <w:pgSz w:w="11900" w:h="16840"/>
          <w:pgMar w:top="1440" w:right="1440" w:bottom="1440" w:left="1440" w:header="708" w:footer="708" w:gutter="0"/>
          <w:lnNumType w:countBy="1" w:restart="continuous"/>
          <w:cols w:space="708"/>
          <w:docGrid w:linePitch="360"/>
        </w:sectPr>
      </w:pPr>
      <w:r w:rsidRPr="007F1F4A">
        <w:rPr>
          <w:rFonts w:ascii="Times New Roman" w:hAnsi="Times New Roman" w:cs="Times New Roman"/>
        </w:rPr>
        <w:t>In summary, we have demonstrated a method to more accurately identify obese women at high risk of GDM</w:t>
      </w:r>
      <w:r w:rsidR="00976048" w:rsidRPr="007F1F4A">
        <w:rPr>
          <w:rFonts w:ascii="Times New Roman" w:hAnsi="Times New Roman" w:cs="Times New Roman"/>
        </w:rPr>
        <w:t xml:space="preserve"> than currently practised</w:t>
      </w:r>
      <w:r w:rsidRPr="007F1F4A">
        <w:rPr>
          <w:rFonts w:ascii="Times New Roman" w:hAnsi="Times New Roman" w:cs="Times New Roman"/>
        </w:rPr>
        <w:t xml:space="preserve">. To date, no </w:t>
      </w:r>
      <w:r w:rsidR="009E5E16" w:rsidRPr="007F1F4A">
        <w:rPr>
          <w:rFonts w:ascii="Times New Roman" w:hAnsi="Times New Roman" w:cs="Times New Roman"/>
        </w:rPr>
        <w:t xml:space="preserve">early pregnancy </w:t>
      </w:r>
      <w:r w:rsidRPr="007F1F4A">
        <w:rPr>
          <w:rFonts w:ascii="Times New Roman" w:hAnsi="Times New Roman" w:cs="Times New Roman"/>
        </w:rPr>
        <w:t xml:space="preserve">intervention in obese women has successfully reduced the risk of GDM. The use of </w:t>
      </w:r>
      <w:r w:rsidR="00CE6988" w:rsidRPr="007F1F4A">
        <w:rPr>
          <w:rFonts w:ascii="Times New Roman" w:hAnsi="Times New Roman" w:cs="Times New Roman"/>
        </w:rPr>
        <w:t>the</w:t>
      </w:r>
      <w:r w:rsidRPr="007F1F4A">
        <w:rPr>
          <w:rFonts w:ascii="Times New Roman" w:hAnsi="Times New Roman" w:cs="Times New Roman"/>
        </w:rPr>
        <w:t xml:space="preserve"> tool</w:t>
      </w:r>
      <w:r w:rsidR="00CE6988" w:rsidRPr="007F1F4A">
        <w:rPr>
          <w:rFonts w:ascii="Times New Roman" w:hAnsi="Times New Roman" w:cs="Times New Roman"/>
        </w:rPr>
        <w:t>s described</w:t>
      </w:r>
      <w:r w:rsidRPr="007F1F4A">
        <w:rPr>
          <w:rFonts w:ascii="Times New Roman" w:hAnsi="Times New Roman" w:cs="Times New Roman"/>
        </w:rPr>
        <w:t xml:space="preserve"> has the potential to enable targeted intervention for those at highest risk and therefore</w:t>
      </w:r>
      <w:r w:rsidR="00C92AD8" w:rsidRPr="007F1F4A">
        <w:rPr>
          <w:rFonts w:ascii="Times New Roman" w:hAnsi="Times New Roman" w:cs="Times New Roman"/>
        </w:rPr>
        <w:t xml:space="preserve"> likely to</w:t>
      </w:r>
      <w:r w:rsidRPr="007F1F4A">
        <w:rPr>
          <w:rFonts w:ascii="Times New Roman" w:hAnsi="Times New Roman" w:cs="Times New Roman"/>
        </w:rPr>
        <w:t xml:space="preserve"> benefit</w:t>
      </w:r>
      <w:r w:rsidR="00762D20">
        <w:rPr>
          <w:rFonts w:ascii="Times New Roman" w:hAnsi="Times New Roman" w:cs="Times New Roman"/>
          <w:sz w:val="24"/>
          <w:szCs w:val="24"/>
        </w:rPr>
        <w:t xml:space="preserve"> </w:t>
      </w:r>
      <w:r w:rsidRPr="007F1F4A">
        <w:rPr>
          <w:rFonts w:ascii="Times New Roman" w:hAnsi="Times New Roman" w:cs="Times New Roman"/>
        </w:rPr>
        <w:t>most.</w:t>
      </w:r>
      <w:r w:rsidR="000A545E" w:rsidRPr="007F1F4A">
        <w:rPr>
          <w:rFonts w:ascii="Times New Roman" w:hAnsi="Times New Roman" w:cs="Times New Roman"/>
        </w:rPr>
        <w:t xml:space="preserve">  </w:t>
      </w:r>
    </w:p>
    <w:p w14:paraId="35005308" w14:textId="77777777" w:rsidR="0000728C" w:rsidRPr="00461751" w:rsidRDefault="0053262D" w:rsidP="00CE77D8">
      <w:pPr>
        <w:pStyle w:val="Heading1"/>
        <w:spacing w:line="480" w:lineRule="auto"/>
      </w:pPr>
      <w:r w:rsidRPr="00461751">
        <w:lastRenderedPageBreak/>
        <w:t xml:space="preserve">Acknowledgements </w:t>
      </w:r>
    </w:p>
    <w:p w14:paraId="1349E45F" w14:textId="071BAE78" w:rsidR="00CE4DD0" w:rsidRPr="007F1F4A" w:rsidRDefault="000447D8" w:rsidP="000447D8">
      <w:pPr>
        <w:spacing w:line="360" w:lineRule="auto"/>
        <w:jc w:val="both"/>
        <w:rPr>
          <w:rFonts w:ascii="Times New Roman" w:hAnsi="Times New Roman" w:cs="Times New Roman"/>
          <w:color w:val="2E2E2E"/>
          <w:shd w:val="clear" w:color="auto" w:fill="FFFFFF"/>
        </w:rPr>
      </w:pPr>
      <w:r w:rsidRPr="007F1F4A">
        <w:rPr>
          <w:rFonts w:ascii="Times New Roman" w:hAnsi="Times New Roman" w:cs="Times New Roman"/>
          <w:shd w:val="clear" w:color="auto" w:fill="FFFFFF"/>
        </w:rPr>
        <w:t xml:space="preserve">We thank all staff in the UPBEAT consortium </w:t>
      </w:r>
      <w:r w:rsidR="00C619B7" w:rsidRPr="007F1F4A">
        <w:rPr>
          <w:rFonts w:ascii="Times New Roman" w:hAnsi="Times New Roman" w:cs="Times New Roman"/>
          <w:shd w:val="clear" w:color="auto" w:fill="FFFFFF"/>
        </w:rPr>
        <w:t xml:space="preserve">(full list of </w:t>
      </w:r>
      <w:r w:rsidR="00F86E21" w:rsidRPr="007F1F4A">
        <w:rPr>
          <w:rFonts w:ascii="Times New Roman" w:hAnsi="Times New Roman" w:cs="Times New Roman"/>
          <w:shd w:val="clear" w:color="auto" w:fill="FFFFFF"/>
        </w:rPr>
        <w:t>personnel</w:t>
      </w:r>
      <w:r w:rsidR="00C619B7" w:rsidRPr="007F1F4A">
        <w:rPr>
          <w:rFonts w:ascii="Times New Roman" w:hAnsi="Times New Roman" w:cs="Times New Roman"/>
          <w:shd w:val="clear" w:color="auto" w:fill="FFFFFF"/>
        </w:rPr>
        <w:t xml:space="preserve"> </w:t>
      </w:r>
      <w:r w:rsidR="00D44E05" w:rsidRPr="007F1F4A">
        <w:rPr>
          <w:rFonts w:ascii="Times New Roman" w:hAnsi="Times New Roman" w:cs="Times New Roman"/>
          <w:shd w:val="clear" w:color="auto" w:fill="FFFFFF"/>
        </w:rPr>
        <w:t>below</w:t>
      </w:r>
      <w:r w:rsidR="00C619B7" w:rsidRPr="007F1F4A">
        <w:rPr>
          <w:rFonts w:ascii="Times New Roman" w:hAnsi="Times New Roman" w:cs="Times New Roman"/>
          <w:shd w:val="clear" w:color="auto" w:fill="FFFFFF"/>
        </w:rPr>
        <w:t xml:space="preserve">) </w:t>
      </w:r>
      <w:r w:rsidRPr="007F1F4A">
        <w:rPr>
          <w:rFonts w:ascii="Times New Roman" w:hAnsi="Times New Roman" w:cs="Times New Roman"/>
          <w:shd w:val="clear" w:color="auto" w:fill="FFFFFF"/>
        </w:rPr>
        <w:t>and the participants in the trial for their patience, time, interest, and goodwill</w:t>
      </w:r>
      <w:r w:rsidRPr="007F1F4A">
        <w:rPr>
          <w:rFonts w:ascii="Times New Roman" w:hAnsi="Times New Roman" w:cs="Times New Roman"/>
          <w:color w:val="2E2E2E"/>
          <w:shd w:val="clear" w:color="auto" w:fill="FFFFFF"/>
        </w:rPr>
        <w:t>.</w:t>
      </w:r>
      <w:r w:rsidR="00CB5459" w:rsidRPr="007F1F4A">
        <w:rPr>
          <w:rFonts w:ascii="Times New Roman" w:hAnsi="Times New Roman" w:cs="Times New Roman"/>
          <w:color w:val="2E2E2E"/>
          <w:shd w:val="clear" w:color="auto" w:fill="FFFFFF"/>
        </w:rPr>
        <w:t xml:space="preserve"> </w:t>
      </w:r>
    </w:p>
    <w:p w14:paraId="59D538F6" w14:textId="655E25A0" w:rsidR="00D44E05" w:rsidRPr="007F1F4A" w:rsidRDefault="00D44E05" w:rsidP="00D44E05">
      <w:pPr>
        <w:spacing w:after="200" w:line="276" w:lineRule="auto"/>
        <w:rPr>
          <w:rFonts w:ascii="Calibri" w:eastAsia="Calibri" w:hAnsi="Calibri" w:cs="Times New Roman"/>
          <w:b/>
        </w:rPr>
      </w:pPr>
      <w:r w:rsidRPr="007F1F4A">
        <w:rPr>
          <w:rFonts w:ascii="Times New Roman" w:eastAsia="Calibri" w:hAnsi="Times New Roman" w:cs="Times New Roman"/>
          <w:b/>
        </w:rPr>
        <w:t xml:space="preserve">UPBEAT </w:t>
      </w:r>
      <w:r w:rsidR="001C424B">
        <w:rPr>
          <w:rFonts w:ascii="Times New Roman" w:eastAsia="Calibri" w:hAnsi="Times New Roman" w:cs="Times New Roman"/>
          <w:b/>
        </w:rPr>
        <w:t>c</w:t>
      </w:r>
      <w:r w:rsidRPr="007F1F4A">
        <w:rPr>
          <w:rFonts w:ascii="Times New Roman" w:eastAsia="Calibri" w:hAnsi="Times New Roman" w:cs="Times New Roman"/>
          <w:b/>
        </w:rPr>
        <w:t xml:space="preserve">onsortium </w:t>
      </w:r>
      <w:r w:rsidR="001C424B">
        <w:rPr>
          <w:rFonts w:ascii="Times New Roman" w:eastAsia="Calibri" w:hAnsi="Times New Roman" w:cs="Times New Roman"/>
          <w:b/>
        </w:rPr>
        <w:t>p</w:t>
      </w:r>
      <w:r w:rsidRPr="007F1F4A">
        <w:rPr>
          <w:rFonts w:ascii="Times New Roman" w:eastAsia="Calibri" w:hAnsi="Times New Roman" w:cs="Times New Roman"/>
          <w:b/>
        </w:rPr>
        <w:t>ersonnel</w:t>
      </w:r>
    </w:p>
    <w:p w14:paraId="63F71247" w14:textId="4AC13240"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King's College London/Guy's and St Thomas' NHS Foundation Trust</w:t>
      </w:r>
      <w:r w:rsidRPr="007F1F4A">
        <w:rPr>
          <w:rFonts w:ascii="Times New Roman" w:eastAsia="Calibri" w:hAnsi="Times New Roman" w:cs="Times New Roman"/>
        </w:rPr>
        <w:t xml:space="preserve"> Lucilla Poston</w:t>
      </w:r>
      <w:r w:rsidR="00461027">
        <w:rPr>
          <w:rFonts w:ascii="Times New Roman" w:eastAsia="Calibri" w:hAnsi="Times New Roman" w:cs="Times New Roman"/>
        </w:rPr>
        <w:t>,</w:t>
      </w:r>
      <w:r w:rsidR="00C8574A" w:rsidRPr="007F1F4A">
        <w:rPr>
          <w:rFonts w:ascii="Times New Roman" w:eastAsia="Calibri" w:hAnsi="Times New Roman" w:cs="Times New Roman"/>
        </w:rPr>
        <w:t xml:space="preserve"> </w:t>
      </w:r>
      <w:r w:rsidR="00461027">
        <w:rPr>
          <w:rFonts w:ascii="Times New Roman" w:eastAsia="Calibri" w:hAnsi="Times New Roman" w:cs="Times New Roman"/>
        </w:rPr>
        <w:t>l</w:t>
      </w:r>
      <w:r w:rsidR="00C8574A" w:rsidRPr="007F1F4A">
        <w:rPr>
          <w:rFonts w:ascii="Times New Roman" w:eastAsia="Calibri" w:hAnsi="Times New Roman" w:cs="Times New Roman"/>
        </w:rPr>
        <w:t xml:space="preserve">ead author for </w:t>
      </w:r>
      <w:r w:rsidR="00461027">
        <w:rPr>
          <w:rFonts w:ascii="Times New Roman" w:eastAsia="Calibri" w:hAnsi="Times New Roman" w:cs="Times New Roman"/>
        </w:rPr>
        <w:t>c</w:t>
      </w:r>
      <w:r w:rsidR="00C8574A" w:rsidRPr="007F1F4A">
        <w:rPr>
          <w:rFonts w:ascii="Times New Roman" w:eastAsia="Calibri" w:hAnsi="Times New Roman" w:cs="Times New Roman"/>
        </w:rPr>
        <w:t>onsortium (Lucilla.poston@kcl.ac.uk)</w:t>
      </w:r>
      <w:r w:rsidRPr="007F1F4A">
        <w:rPr>
          <w:rFonts w:ascii="Times New Roman" w:eastAsia="Calibri" w:hAnsi="Times New Roman" w:cs="Times New Roman"/>
        </w:rPr>
        <w:t>,  Andrew Shennan,  Annette Briley, Claire Singh, Paul Seed, Jane Sandall, Thomas Sanders, Nashita Patel, Angela Flynn, Shirlene Badger, Suzanne Barr, Bridget Holmes, Louise Goff,  Clare Hunt, Judy Filmer, Jeni Fetherstone, Laura Scholtz, Hayley Tarft, Anna Lucas, Tsigerada Tekletdadik, Deborah Ricketts, Carolyn Gill, Alex Seroge Ignatian, Catherine Boylen, Funso Adegoke, Elodie Lawley, James Butler, Rahat Maitland, Matias Vieira, Dharmintra Pasupathy.</w:t>
      </w:r>
    </w:p>
    <w:p w14:paraId="188510A0" w14:textId="403D77ED" w:rsidR="00D44E05" w:rsidRPr="00E03F1E" w:rsidRDefault="00D44E05" w:rsidP="00D44E05">
      <w:pPr>
        <w:spacing w:after="200" w:line="276" w:lineRule="auto"/>
        <w:rPr>
          <w:rFonts w:ascii="Times New Roman" w:eastAsia="Calibri" w:hAnsi="Times New Roman" w:cs="Times New Roman"/>
          <w:b/>
          <w:u w:val="single"/>
        </w:rPr>
      </w:pPr>
      <w:r w:rsidRPr="007F1F4A">
        <w:rPr>
          <w:rFonts w:ascii="Times New Roman" w:eastAsia="Calibri" w:hAnsi="Times New Roman" w:cs="Times New Roman"/>
          <w:b/>
          <w:u w:val="single"/>
        </w:rPr>
        <w:t>King's College Hospital</w:t>
      </w:r>
      <w:r w:rsidRPr="007F1F4A">
        <w:rPr>
          <w:rFonts w:ascii="Times New Roman" w:eastAsia="Calibri" w:hAnsi="Times New Roman" w:cs="Times New Roman"/>
        </w:rPr>
        <w:t xml:space="preserve"> Eugene Oteng-Ntim, Nina Khazaezadeh, Jill Demilew, Sile O'Connor, Yvonne Evans, Susan O'Donnell, Ari de la Llera, Georgina Gutzwiller, Linda Hagg. </w:t>
      </w:r>
    </w:p>
    <w:p w14:paraId="43DB9401" w14:textId="64D94127"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Newcastle University/Newcastle NHS Foundation Trust</w:t>
      </w:r>
      <w:r w:rsidRPr="007F1F4A">
        <w:rPr>
          <w:rFonts w:ascii="Times New Roman" w:eastAsia="Calibri" w:hAnsi="Times New Roman" w:cs="Times New Roman"/>
        </w:rPr>
        <w:t xml:space="preserve"> Stephen Robson, Ruth Bell, Louise Hayes, Tarja Kinnunen,  Catherine McParlin,  Nicola Miller, Alison Kimber, Jill Riches, Carly Allen, Claire Boag, Fiona Campbell, Andrea Fenn, Sarah Ritson, Alison Rennie, Robin Durkin, Gayle Gills, Roger Carr. </w:t>
      </w:r>
    </w:p>
    <w:p w14:paraId="59C9C7F3" w14:textId="59109E45"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Glasgow University and Greater Clyde Health board</w:t>
      </w:r>
      <w:r w:rsidRPr="007F1F4A">
        <w:rPr>
          <w:rFonts w:ascii="Times New Roman" w:eastAsia="Calibri" w:hAnsi="Times New Roman" w:cs="Times New Roman"/>
        </w:rPr>
        <w:t xml:space="preserve"> Scott Nelson, Naveed Sattar, Therese McSorley, Hilary Alba, Kirsteen Paterson, Janet Johnston, Suzanne Clements, Maxine Fernon, Savannah Bett, Laura Rooney, Sinead Miller, Paul Welsh, Lynn Cherry. </w:t>
      </w:r>
    </w:p>
    <w:p w14:paraId="2D088A19" w14:textId="2BB875EA"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Central Manchester Hospitals Foundation Trust</w:t>
      </w:r>
      <w:r w:rsidRPr="007F1F4A">
        <w:rPr>
          <w:rFonts w:ascii="Times New Roman" w:eastAsia="Calibri" w:hAnsi="Times New Roman" w:cs="Times New Roman"/>
        </w:rPr>
        <w:t xml:space="preserve"> Melissa Whitworth, Natalie Patterson, Sarah Lee, Rachel Grimshaw, Christine Hughes, Jay Brown. </w:t>
      </w:r>
    </w:p>
    <w:p w14:paraId="3BA6AC3C" w14:textId="218E2FB8"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City Hospital Sunderland</w:t>
      </w:r>
      <w:r w:rsidRPr="007F1F4A">
        <w:rPr>
          <w:rFonts w:ascii="Times New Roman" w:eastAsia="Calibri" w:hAnsi="Times New Roman" w:cs="Times New Roman"/>
        </w:rPr>
        <w:t xml:space="preserve"> Kim Hinshaw, Gillian Campbell, Joanne Knight. </w:t>
      </w:r>
    </w:p>
    <w:p w14:paraId="042A5AC2" w14:textId="093AE91D"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Bradford Royal Infirmary</w:t>
      </w:r>
      <w:r w:rsidRPr="007F1F4A">
        <w:rPr>
          <w:rFonts w:ascii="Times New Roman" w:eastAsia="Calibri" w:hAnsi="Times New Roman" w:cs="Times New Roman"/>
        </w:rPr>
        <w:t xml:space="preserve"> Diane Farrar, Vicky Jones, Gillian Butterfield, Jennifer Syson, Jennifer Eadle, Dawn Wood, Merane Todd. </w:t>
      </w:r>
    </w:p>
    <w:p w14:paraId="5C8DDA77" w14:textId="1B501C57" w:rsidR="00D44E05" w:rsidRPr="00E03F1E"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St George's NHS Trust</w:t>
      </w:r>
      <w:r w:rsidRPr="007F1F4A">
        <w:rPr>
          <w:rFonts w:ascii="Times New Roman" w:eastAsia="Calibri" w:hAnsi="Times New Roman" w:cs="Times New Roman"/>
          <w:b/>
        </w:rPr>
        <w:t>, London</w:t>
      </w:r>
      <w:r w:rsidRPr="007F1F4A">
        <w:rPr>
          <w:rFonts w:ascii="Times New Roman" w:eastAsia="Calibri" w:hAnsi="Times New Roman" w:cs="Times New Roman"/>
        </w:rPr>
        <w:t xml:space="preserve"> Asma Khalil, Deborah Brown, Paola Fernandez, Emma Co</w:t>
      </w:r>
      <w:r w:rsidR="00E03F1E">
        <w:rPr>
          <w:rFonts w:ascii="Times New Roman" w:eastAsia="Calibri" w:hAnsi="Times New Roman" w:cs="Times New Roman"/>
        </w:rPr>
        <w:t xml:space="preserve">usins, Melody Smith. </w:t>
      </w:r>
      <w:r w:rsidRPr="007F1F4A">
        <w:rPr>
          <w:rFonts w:ascii="Times New Roman" w:eastAsia="Calibri" w:hAnsi="Times New Roman" w:cs="Times New Roman"/>
          <w:b/>
        </w:rPr>
        <w:t xml:space="preserve"> </w:t>
      </w:r>
    </w:p>
    <w:p w14:paraId="4902F90C" w14:textId="4A164831"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University College London</w:t>
      </w:r>
      <w:r w:rsidRPr="007F1F4A">
        <w:rPr>
          <w:rFonts w:ascii="Times New Roman" w:eastAsia="Calibri" w:hAnsi="Times New Roman" w:cs="Times New Roman"/>
        </w:rPr>
        <w:t xml:space="preserve"> Jane Wardle,</w:t>
      </w:r>
      <w:r w:rsidR="00C8574A" w:rsidRPr="007F1F4A">
        <w:rPr>
          <w:rFonts w:ascii="Times New Roman" w:eastAsia="Calibri" w:hAnsi="Times New Roman" w:cs="Times New Roman"/>
        </w:rPr>
        <w:t xml:space="preserve"> Helen Croker, Laura Broomfield</w:t>
      </w:r>
      <w:r w:rsidRPr="007F1F4A">
        <w:rPr>
          <w:rFonts w:ascii="Times New Roman" w:eastAsia="Calibri" w:hAnsi="Times New Roman" w:cs="Times New Roman"/>
        </w:rPr>
        <w:t xml:space="preserve"> </w:t>
      </w:r>
      <w:r w:rsidR="00C8574A" w:rsidRPr="007F1F4A">
        <w:rPr>
          <w:rFonts w:ascii="Times New Roman" w:eastAsia="Calibri" w:hAnsi="Times New Roman" w:cs="Times New Roman"/>
        </w:rPr>
        <w:t xml:space="preserve">(Weight Concern - </w:t>
      </w:r>
      <w:r w:rsidRPr="007F1F4A">
        <w:rPr>
          <w:rFonts w:ascii="Times New Roman" w:eastAsia="Calibri" w:hAnsi="Times New Roman" w:cs="Times New Roman"/>
        </w:rPr>
        <w:t xml:space="preserve">Registered Charity.No. 1059686©) </w:t>
      </w:r>
    </w:p>
    <w:p w14:paraId="121917D4" w14:textId="1D8A8993" w:rsidR="00D44E05" w:rsidRPr="007F1F4A" w:rsidRDefault="00D44E05" w:rsidP="00D44E05">
      <w:pPr>
        <w:spacing w:after="200" w:line="276" w:lineRule="auto"/>
        <w:rPr>
          <w:rFonts w:ascii="Times New Roman" w:eastAsia="Calibri" w:hAnsi="Times New Roman" w:cs="Times New Roman"/>
        </w:rPr>
      </w:pPr>
      <w:r w:rsidRPr="007F1F4A">
        <w:rPr>
          <w:rFonts w:ascii="Times New Roman" w:eastAsia="Calibri" w:hAnsi="Times New Roman" w:cs="Times New Roman"/>
          <w:b/>
          <w:u w:val="single"/>
        </w:rPr>
        <w:t>University of Southampton</w:t>
      </w:r>
      <w:r w:rsidRPr="007F1F4A">
        <w:rPr>
          <w:rFonts w:ascii="Times New Roman" w:eastAsia="Calibri" w:hAnsi="Times New Roman" w:cs="Times New Roman"/>
        </w:rPr>
        <w:t xml:space="preserve"> Keith Godfrey, Sian Robinson</w:t>
      </w:r>
      <w:r w:rsidR="00C8574A" w:rsidRPr="007F1F4A">
        <w:rPr>
          <w:rFonts w:ascii="Times New Roman" w:eastAsia="Calibri" w:hAnsi="Times New Roman" w:cs="Times New Roman"/>
        </w:rPr>
        <w:t>,</w:t>
      </w:r>
      <w:r w:rsidRPr="007F1F4A">
        <w:rPr>
          <w:rFonts w:ascii="Times New Roman" w:eastAsia="Calibri" w:hAnsi="Times New Roman" w:cs="Times New Roman"/>
        </w:rPr>
        <w:t xml:space="preserve"> Sarah Canadine, </w:t>
      </w:r>
      <w:r w:rsidR="00C8574A" w:rsidRPr="007F1F4A">
        <w:rPr>
          <w:rFonts w:ascii="Times New Roman" w:eastAsia="Calibri" w:hAnsi="Times New Roman" w:cs="Times New Roman"/>
        </w:rPr>
        <w:t>Lynne Greenwood</w:t>
      </w:r>
      <w:r w:rsidRPr="007F1F4A">
        <w:rPr>
          <w:rFonts w:ascii="Times New Roman" w:eastAsia="Calibri" w:hAnsi="Times New Roman" w:cs="Times New Roman"/>
        </w:rPr>
        <w:t xml:space="preserve">. </w:t>
      </w:r>
    </w:p>
    <w:p w14:paraId="107A5E13" w14:textId="4E693BD0" w:rsidR="00CD29B4" w:rsidRPr="0047263B" w:rsidRDefault="00D44E05" w:rsidP="007F1F4A">
      <w:pPr>
        <w:spacing w:line="276" w:lineRule="auto"/>
        <w:jc w:val="both"/>
        <w:rPr>
          <w:rFonts w:ascii="Times New Roman" w:hAnsi="Times New Roman" w:cs="Times New Roman"/>
          <w:noProof/>
          <w:sz w:val="24"/>
          <w:szCs w:val="24"/>
          <w:lang w:val="en-US"/>
        </w:rPr>
      </w:pPr>
      <w:r w:rsidRPr="007F1F4A">
        <w:rPr>
          <w:rFonts w:ascii="Times New Roman" w:eastAsia="Calibri" w:hAnsi="Times New Roman" w:cs="Times New Roman"/>
          <w:b/>
          <w:u w:val="single"/>
        </w:rPr>
        <w:t>Trial Steering Committee</w:t>
      </w:r>
      <w:r w:rsidRPr="007F1F4A">
        <w:rPr>
          <w:rFonts w:ascii="Times New Roman" w:eastAsia="Calibri" w:hAnsi="Times New Roman" w:cs="Times New Roman"/>
        </w:rPr>
        <w:t xml:space="preserve"> Catherine Nelson-Piercy</w:t>
      </w:r>
      <w:r w:rsidR="00C8574A" w:rsidRPr="007F1F4A">
        <w:rPr>
          <w:rFonts w:ascii="Times New Roman" w:eastAsia="Calibri" w:hAnsi="Times New Roman" w:cs="Times New Roman"/>
        </w:rPr>
        <w:t xml:space="preserve">, </w:t>
      </w:r>
      <w:r w:rsidRPr="007F1F4A">
        <w:rPr>
          <w:rFonts w:ascii="Times New Roman" w:eastAsia="Calibri" w:hAnsi="Times New Roman" w:cs="Times New Roman"/>
        </w:rPr>
        <w:t>Stephanie Amiel</w:t>
      </w:r>
      <w:r w:rsidR="00C8574A" w:rsidRPr="007F1F4A">
        <w:rPr>
          <w:rFonts w:ascii="Times New Roman" w:eastAsia="Calibri" w:hAnsi="Times New Roman" w:cs="Times New Roman"/>
        </w:rPr>
        <w:t>,</w:t>
      </w:r>
      <w:r w:rsidRPr="007F1F4A">
        <w:rPr>
          <w:rFonts w:ascii="Times New Roman" w:eastAsia="Calibri" w:hAnsi="Times New Roman" w:cs="Times New Roman"/>
        </w:rPr>
        <w:t xml:space="preserve"> Gail Goldberg</w:t>
      </w:r>
      <w:r w:rsidR="00C8574A" w:rsidRPr="007F1F4A">
        <w:rPr>
          <w:rFonts w:ascii="Times New Roman" w:eastAsia="Calibri" w:hAnsi="Times New Roman" w:cs="Times New Roman"/>
        </w:rPr>
        <w:t>, Daghni Rajasingham, Penny Jackson,  Sara Kenyon,</w:t>
      </w:r>
      <w:r w:rsidRPr="007F1F4A">
        <w:rPr>
          <w:rFonts w:ascii="Times New Roman" w:eastAsia="Calibri" w:hAnsi="Times New Roman" w:cs="Times New Roman"/>
        </w:rPr>
        <w:t xml:space="preserve"> Patrick Catalano.</w:t>
      </w:r>
      <w:r w:rsidR="00CD29B4" w:rsidRPr="0047263B">
        <w:rPr>
          <w:rFonts w:ascii="Times New Roman" w:hAnsi="Times New Roman" w:cs="Times New Roman"/>
          <w:sz w:val="24"/>
          <w:szCs w:val="24"/>
        </w:rPr>
        <w:br w:type="page"/>
      </w:r>
    </w:p>
    <w:p w14:paraId="6E7491AA" w14:textId="4152DCC6" w:rsidR="00784B70" w:rsidRPr="006C010B" w:rsidRDefault="00784B70" w:rsidP="00CE77D8">
      <w:pPr>
        <w:pStyle w:val="Heading1"/>
        <w:spacing w:line="480" w:lineRule="auto"/>
      </w:pPr>
      <w:r w:rsidRPr="006C010B">
        <w:lastRenderedPageBreak/>
        <w:t>R</w:t>
      </w:r>
      <w:r w:rsidR="00020DB8" w:rsidRPr="006C010B">
        <w:t>eferences</w:t>
      </w:r>
    </w:p>
    <w:p w14:paraId="09050911" w14:textId="54803908" w:rsidR="00784B70" w:rsidRPr="00107C39" w:rsidRDefault="00784B70" w:rsidP="007F1F4A">
      <w:pPr>
        <w:pStyle w:val="EndNoteBibliography"/>
        <w:spacing w:after="0"/>
        <w:ind w:left="720" w:hanging="720"/>
        <w:rPr>
          <w:rFonts w:ascii="Times New Roman" w:hAnsi="Times New Roman" w:cs="Times New Roman"/>
        </w:rPr>
      </w:pPr>
      <w:bookmarkStart w:id="1" w:name="_ENREF_1"/>
      <w:r w:rsidRPr="006C010B">
        <w:rPr>
          <w:rFonts w:ascii="Times New Roman" w:hAnsi="Times New Roman" w:cs="Times New Roman"/>
        </w:rPr>
        <w:t>1.</w:t>
      </w:r>
      <w:r w:rsidRPr="006C010B">
        <w:rPr>
          <w:rFonts w:ascii="Times New Roman" w:hAnsi="Times New Roman" w:cs="Times New Roman"/>
        </w:rPr>
        <w:tab/>
      </w:r>
      <w:r w:rsidRPr="00107C39">
        <w:rPr>
          <w:rFonts w:ascii="Times New Roman" w:hAnsi="Times New Roman" w:cs="Times New Roman"/>
        </w:rPr>
        <w:t xml:space="preserve">(NCD-RisC) NRFC </w:t>
      </w:r>
      <w:r w:rsidR="00F62EC8" w:rsidRPr="00107C39">
        <w:rPr>
          <w:rFonts w:ascii="Times New Roman" w:hAnsi="Times New Roman" w:cs="Times New Roman"/>
        </w:rPr>
        <w:t xml:space="preserve"> </w:t>
      </w:r>
      <w:r w:rsidRPr="00107C39">
        <w:rPr>
          <w:rFonts w:ascii="Times New Roman" w:hAnsi="Times New Roman" w:cs="Times New Roman"/>
        </w:rPr>
        <w:t>Trends in adult body-mass index in 200 countries from 1975 to 2014: a pooled analysis of 1698 population-based measurement studies with 19.2 million participants. Lancet</w:t>
      </w:r>
      <w:r w:rsidR="00DD0051" w:rsidRPr="00107C39">
        <w:rPr>
          <w:rFonts w:ascii="Times New Roman" w:hAnsi="Times New Roman" w:cs="Times New Roman"/>
        </w:rPr>
        <w:t>.</w:t>
      </w:r>
      <w:r w:rsidRPr="00107C39">
        <w:rPr>
          <w:rFonts w:ascii="Times New Roman" w:hAnsi="Times New Roman" w:cs="Times New Roman"/>
        </w:rPr>
        <w:t xml:space="preserve"> </w:t>
      </w:r>
      <w:r w:rsidR="00DD0051" w:rsidRPr="00107C39">
        <w:rPr>
          <w:rFonts w:ascii="Times New Roman" w:hAnsi="Times New Roman" w:cs="Times New Roman"/>
        </w:rPr>
        <w:t>2016;</w:t>
      </w:r>
      <w:r w:rsidRPr="00107C39">
        <w:rPr>
          <w:rFonts w:ascii="Times New Roman" w:hAnsi="Times New Roman" w:cs="Times New Roman"/>
        </w:rPr>
        <w:t>387:</w:t>
      </w:r>
      <w:r w:rsidR="00DD0051" w:rsidRPr="00107C39">
        <w:rPr>
          <w:rFonts w:ascii="Times New Roman" w:hAnsi="Times New Roman" w:cs="Times New Roman"/>
        </w:rPr>
        <w:t xml:space="preserve"> </w:t>
      </w:r>
      <w:r w:rsidRPr="00107C39">
        <w:rPr>
          <w:rFonts w:ascii="Times New Roman" w:hAnsi="Times New Roman" w:cs="Times New Roman"/>
        </w:rPr>
        <w:t>1377-96</w:t>
      </w:r>
      <w:bookmarkEnd w:id="1"/>
      <w:r w:rsidR="00DD0051" w:rsidRPr="00107C39">
        <w:rPr>
          <w:rFonts w:ascii="Times New Roman" w:hAnsi="Times New Roman" w:cs="Times New Roman"/>
        </w:rPr>
        <w:t>.</w:t>
      </w:r>
    </w:p>
    <w:p w14:paraId="213990A4" w14:textId="2BC2AA24" w:rsidR="00784B70" w:rsidRPr="00107C39" w:rsidRDefault="00784B70" w:rsidP="007F1F4A">
      <w:pPr>
        <w:pStyle w:val="EndNoteBibliography"/>
        <w:spacing w:after="0"/>
        <w:ind w:left="720" w:hanging="720"/>
        <w:rPr>
          <w:rFonts w:ascii="Times New Roman" w:hAnsi="Times New Roman" w:cs="Times New Roman"/>
        </w:rPr>
      </w:pPr>
      <w:bookmarkStart w:id="2" w:name="_ENREF_2"/>
      <w:r w:rsidRPr="00107C39">
        <w:rPr>
          <w:rFonts w:ascii="Times New Roman" w:hAnsi="Times New Roman" w:cs="Times New Roman"/>
        </w:rPr>
        <w:t>2.</w:t>
      </w:r>
      <w:r w:rsidRPr="00107C39">
        <w:rPr>
          <w:rFonts w:ascii="Times New Roman" w:hAnsi="Times New Roman" w:cs="Times New Roman"/>
        </w:rPr>
        <w:tab/>
        <w:t>Torloni MR, Betran AP, Horta BL</w:t>
      </w:r>
      <w:r w:rsidR="00DD0051" w:rsidRPr="00107C39">
        <w:rPr>
          <w:rFonts w:ascii="Times New Roman" w:hAnsi="Times New Roman" w:cs="Times New Roman"/>
        </w:rPr>
        <w:t xml:space="preserve">, Nakamura MU, Atallah AN, Moron AF, </w:t>
      </w:r>
      <w:r w:rsidR="00F62EC8" w:rsidRPr="00107C39">
        <w:rPr>
          <w:rFonts w:ascii="Times New Roman" w:hAnsi="Times New Roman" w:cs="Times New Roman"/>
        </w:rPr>
        <w:t xml:space="preserve"> et al</w:t>
      </w:r>
      <w:r w:rsidR="00DD0051" w:rsidRPr="00107C39">
        <w:rPr>
          <w:rFonts w:ascii="Times New Roman" w:hAnsi="Times New Roman" w:cs="Times New Roman"/>
        </w:rPr>
        <w:t>.</w:t>
      </w:r>
      <w:r w:rsidR="00F62EC8" w:rsidRPr="00107C39">
        <w:rPr>
          <w:rFonts w:ascii="Times New Roman" w:hAnsi="Times New Roman" w:cs="Times New Roman"/>
        </w:rPr>
        <w:t xml:space="preserve"> </w:t>
      </w:r>
      <w:r w:rsidRPr="00107C39">
        <w:rPr>
          <w:rFonts w:ascii="Times New Roman" w:hAnsi="Times New Roman" w:cs="Times New Roman"/>
        </w:rPr>
        <w:t xml:space="preserve"> Prepregnancy BMI and the risk of gestational diabetes: a systematic review of the literature with meta-analysis. Obes Rev</w:t>
      </w:r>
      <w:r w:rsidR="00DD0051" w:rsidRPr="00107C39">
        <w:rPr>
          <w:rFonts w:ascii="Times New Roman" w:hAnsi="Times New Roman" w:cs="Times New Roman"/>
        </w:rPr>
        <w:t>. 2009;</w:t>
      </w:r>
      <w:r w:rsidRPr="00107C39">
        <w:rPr>
          <w:rFonts w:ascii="Times New Roman" w:hAnsi="Times New Roman" w:cs="Times New Roman"/>
        </w:rPr>
        <w:t>10: 194-203</w:t>
      </w:r>
      <w:bookmarkEnd w:id="2"/>
      <w:r w:rsidR="00DD0051" w:rsidRPr="00107C39">
        <w:rPr>
          <w:rFonts w:ascii="Times New Roman" w:hAnsi="Times New Roman" w:cs="Times New Roman"/>
        </w:rPr>
        <w:t>.</w:t>
      </w:r>
    </w:p>
    <w:p w14:paraId="386EB7A6" w14:textId="406368BA" w:rsidR="00784B70" w:rsidRPr="00107C39" w:rsidRDefault="00784B70" w:rsidP="007F1F4A">
      <w:pPr>
        <w:pStyle w:val="EndNoteBibliography"/>
        <w:spacing w:after="0"/>
        <w:ind w:left="720" w:hanging="720"/>
        <w:rPr>
          <w:rFonts w:ascii="Times New Roman" w:hAnsi="Times New Roman" w:cs="Times New Roman"/>
        </w:rPr>
      </w:pPr>
      <w:bookmarkStart w:id="3" w:name="_ENREF_3"/>
      <w:r w:rsidRPr="00107C39">
        <w:rPr>
          <w:rFonts w:ascii="Times New Roman" w:hAnsi="Times New Roman" w:cs="Times New Roman"/>
        </w:rPr>
        <w:t>3.</w:t>
      </w:r>
      <w:r w:rsidRPr="00107C39">
        <w:rPr>
          <w:rFonts w:ascii="Times New Roman" w:hAnsi="Times New Roman" w:cs="Times New Roman"/>
        </w:rPr>
        <w:tab/>
      </w:r>
      <w:r w:rsidR="00F62EC8" w:rsidRPr="00107C39">
        <w:rPr>
          <w:rFonts w:ascii="Times New Roman" w:hAnsi="Times New Roman" w:cs="Times New Roman"/>
        </w:rPr>
        <w:t>NICE guidelines</w:t>
      </w:r>
      <w:r w:rsidR="00DD0051" w:rsidRPr="00107C39">
        <w:rPr>
          <w:rFonts w:ascii="Times New Roman" w:hAnsi="Times New Roman" w:cs="Times New Roman"/>
        </w:rPr>
        <w:t>.</w:t>
      </w:r>
      <w:r w:rsidR="00F62EC8" w:rsidRPr="00107C39">
        <w:rPr>
          <w:rFonts w:ascii="Times New Roman" w:hAnsi="Times New Roman" w:cs="Times New Roman"/>
        </w:rPr>
        <w:t xml:space="preserve">  </w:t>
      </w:r>
      <w:r w:rsidRPr="00107C39">
        <w:rPr>
          <w:rFonts w:ascii="Times New Roman" w:hAnsi="Times New Roman" w:cs="Times New Roman"/>
        </w:rPr>
        <w:t>Diabetes in pregnancy: management of diabetes and its complications from preconception to the postnatal period</w:t>
      </w:r>
      <w:r w:rsidR="00FB1F8E" w:rsidRPr="00107C39">
        <w:rPr>
          <w:rFonts w:ascii="Times New Roman" w:hAnsi="Times New Roman" w:cs="Times New Roman"/>
        </w:rPr>
        <w:t xml:space="preserve">. </w:t>
      </w:r>
      <w:r w:rsidR="00DD0051" w:rsidRPr="00107C39">
        <w:rPr>
          <w:rFonts w:ascii="Times New Roman" w:hAnsi="Times New Roman" w:cs="Times New Roman"/>
        </w:rPr>
        <w:t xml:space="preserve">2015. </w:t>
      </w:r>
      <w:r w:rsidR="00FB1F8E" w:rsidRPr="00107C39">
        <w:rPr>
          <w:rFonts w:ascii="Times New Roman" w:hAnsi="Times New Roman" w:cs="Times New Roman"/>
        </w:rPr>
        <w:t>Available</w:t>
      </w:r>
      <w:r w:rsidR="00DD0051" w:rsidRPr="00107C39">
        <w:rPr>
          <w:rFonts w:ascii="Times New Roman" w:hAnsi="Times New Roman" w:cs="Times New Roman"/>
        </w:rPr>
        <w:t>:</w:t>
      </w:r>
      <w:r w:rsidR="00FB1F8E" w:rsidRPr="00107C39">
        <w:rPr>
          <w:rFonts w:ascii="Times New Roman" w:hAnsi="Times New Roman" w:cs="Times New Roman"/>
        </w:rPr>
        <w:t xml:space="preserve"> </w:t>
      </w:r>
      <w:r w:rsidR="008A0266" w:rsidRPr="00107C39">
        <w:rPr>
          <w:rFonts w:ascii="Times New Roman" w:hAnsi="Times New Roman" w:cs="Times New Roman"/>
        </w:rPr>
        <w:t xml:space="preserve"> </w:t>
      </w:r>
      <w:r w:rsidR="00F62EC8" w:rsidRPr="00107C39">
        <w:rPr>
          <w:rFonts w:ascii="Times New Roman" w:hAnsi="Times New Roman" w:cs="Times New Roman"/>
        </w:rPr>
        <w:t xml:space="preserve">nice.org.uk/guidance/ng3 </w:t>
      </w:r>
      <w:bookmarkEnd w:id="3"/>
    </w:p>
    <w:p w14:paraId="0A882D81" w14:textId="40B57B1E" w:rsidR="00784B70" w:rsidRPr="00107C39" w:rsidRDefault="00784B70" w:rsidP="007F1F4A">
      <w:pPr>
        <w:pStyle w:val="EndNoteBibliography"/>
        <w:spacing w:after="0"/>
        <w:ind w:left="720" w:hanging="720"/>
        <w:rPr>
          <w:rFonts w:ascii="Times New Roman" w:hAnsi="Times New Roman" w:cs="Times New Roman"/>
        </w:rPr>
      </w:pPr>
      <w:bookmarkStart w:id="4" w:name="_ENREF_4"/>
      <w:r w:rsidRPr="00107C39">
        <w:rPr>
          <w:rFonts w:ascii="Times New Roman" w:hAnsi="Times New Roman" w:cs="Times New Roman"/>
        </w:rPr>
        <w:t>4.</w:t>
      </w:r>
      <w:r w:rsidRPr="00107C39">
        <w:rPr>
          <w:rFonts w:ascii="Times New Roman" w:hAnsi="Times New Roman" w:cs="Times New Roman"/>
        </w:rPr>
        <w:tab/>
      </w:r>
      <w:r w:rsidR="00A34505" w:rsidRPr="00107C39">
        <w:rPr>
          <w:rFonts w:ascii="Times New Roman" w:hAnsi="Times New Roman" w:cs="Times New Roman"/>
        </w:rPr>
        <w:t>Sovio U, Murphy HR, Smith GC</w:t>
      </w:r>
      <w:r w:rsidR="00DD0051" w:rsidRPr="00107C39">
        <w:rPr>
          <w:rFonts w:ascii="Times New Roman" w:hAnsi="Times New Roman" w:cs="Times New Roman"/>
        </w:rPr>
        <w:t>.</w:t>
      </w:r>
      <w:r w:rsidR="00FB1F8E" w:rsidRPr="00107C39">
        <w:rPr>
          <w:rFonts w:ascii="Times New Roman" w:hAnsi="Times New Roman" w:cs="Times New Roman"/>
        </w:rPr>
        <w:t xml:space="preserve"> </w:t>
      </w:r>
      <w:r w:rsidR="00A34505" w:rsidRPr="00107C39">
        <w:rPr>
          <w:rFonts w:ascii="Times New Roman" w:hAnsi="Times New Roman" w:cs="Times New Roman"/>
        </w:rPr>
        <w:t xml:space="preserve"> Accelerated fetal growth </w:t>
      </w:r>
      <w:r w:rsidR="00A318AE" w:rsidRPr="00107C39">
        <w:rPr>
          <w:rFonts w:ascii="Times New Roman" w:hAnsi="Times New Roman" w:cs="Times New Roman"/>
        </w:rPr>
        <w:t>prior to diagnosis of gestational diabetes mellitus: A prospective cohort study of nulliparous women. Diabetes Care</w:t>
      </w:r>
      <w:r w:rsidR="00DD0051" w:rsidRPr="00107C39">
        <w:rPr>
          <w:rFonts w:ascii="Times New Roman" w:hAnsi="Times New Roman" w:cs="Times New Roman"/>
        </w:rPr>
        <w:t>. 2016;</w:t>
      </w:r>
      <w:r w:rsidR="00A318AE" w:rsidRPr="00107C39">
        <w:rPr>
          <w:rFonts w:ascii="Times New Roman" w:hAnsi="Times New Roman" w:cs="Times New Roman"/>
        </w:rPr>
        <w:t xml:space="preserve"> 39:</w:t>
      </w:r>
      <w:r w:rsidR="00DD0051" w:rsidRPr="00107C39">
        <w:rPr>
          <w:rFonts w:ascii="Times New Roman" w:hAnsi="Times New Roman" w:cs="Times New Roman"/>
        </w:rPr>
        <w:t xml:space="preserve"> </w:t>
      </w:r>
      <w:r w:rsidR="00A318AE" w:rsidRPr="00107C39">
        <w:rPr>
          <w:rFonts w:ascii="Times New Roman" w:hAnsi="Times New Roman" w:cs="Times New Roman"/>
        </w:rPr>
        <w:t>982-7</w:t>
      </w:r>
      <w:bookmarkEnd w:id="4"/>
      <w:r w:rsidR="004D1B3C" w:rsidRPr="00107C39">
        <w:rPr>
          <w:rFonts w:ascii="Times New Roman" w:hAnsi="Times New Roman" w:cs="Times New Roman"/>
        </w:rPr>
        <w:t>.</w:t>
      </w:r>
    </w:p>
    <w:p w14:paraId="3E5697CF" w14:textId="101DEE81" w:rsidR="00F656EC" w:rsidRPr="00107C39" w:rsidRDefault="00F656EC" w:rsidP="007F1F4A">
      <w:pPr>
        <w:pStyle w:val="EndNoteBibliography"/>
        <w:spacing w:after="0"/>
        <w:ind w:left="720" w:hanging="720"/>
        <w:rPr>
          <w:rFonts w:ascii="Times New Roman" w:hAnsi="Times New Roman" w:cs="Times New Roman"/>
        </w:rPr>
      </w:pPr>
      <w:r w:rsidRPr="00107C39">
        <w:rPr>
          <w:rFonts w:ascii="Times New Roman" w:hAnsi="Times New Roman" w:cs="Times New Roman"/>
        </w:rPr>
        <w:t>5.</w:t>
      </w:r>
      <w:r w:rsidRPr="00107C39">
        <w:rPr>
          <w:rFonts w:ascii="Times New Roman" w:hAnsi="Times New Roman" w:cs="Times New Roman"/>
        </w:rPr>
        <w:tab/>
        <w:t>Harreiter J, Simmons D, Desoye G</w:t>
      </w:r>
      <w:r w:rsidR="004D1B3C" w:rsidRPr="00107C39">
        <w:rPr>
          <w:rFonts w:ascii="Times New Roman" w:hAnsi="Times New Roman" w:cs="Times New Roman"/>
        </w:rPr>
        <w:t>, Corcoy R, Adelatado JM, Devlieger R,</w:t>
      </w:r>
      <w:r w:rsidR="00697EE5" w:rsidRPr="00107C39">
        <w:rPr>
          <w:rFonts w:ascii="Times New Roman" w:hAnsi="Times New Roman" w:cs="Times New Roman"/>
        </w:rPr>
        <w:t xml:space="preserve"> et al</w:t>
      </w:r>
      <w:r w:rsidR="004D1B3C" w:rsidRPr="00107C39">
        <w:rPr>
          <w:rFonts w:ascii="Times New Roman" w:hAnsi="Times New Roman" w:cs="Times New Roman"/>
        </w:rPr>
        <w:t>.</w:t>
      </w:r>
      <w:r w:rsidR="00697EE5" w:rsidRPr="00107C39">
        <w:rPr>
          <w:rFonts w:ascii="Times New Roman" w:hAnsi="Times New Roman" w:cs="Times New Roman"/>
        </w:rPr>
        <w:t xml:space="preserve">  IADPSG and WHO 2013 gestational diabetes mellitus criteria identify obese women with marked insulin resistance in early pregnancy. Diabetes Care</w:t>
      </w:r>
      <w:r w:rsidR="004D1B3C" w:rsidRPr="00107C39">
        <w:rPr>
          <w:rFonts w:ascii="Times New Roman" w:hAnsi="Times New Roman" w:cs="Times New Roman"/>
        </w:rPr>
        <w:t>. 2016;</w:t>
      </w:r>
      <w:r w:rsidR="00697EE5" w:rsidRPr="00107C39">
        <w:rPr>
          <w:rFonts w:ascii="Times New Roman" w:hAnsi="Times New Roman" w:cs="Times New Roman"/>
        </w:rPr>
        <w:t xml:space="preserve"> DOI:10.2337/dc16-0200 </w:t>
      </w:r>
    </w:p>
    <w:p w14:paraId="25466B4E" w14:textId="086D896E" w:rsidR="00784B70" w:rsidRPr="00107C39" w:rsidRDefault="00697EE5" w:rsidP="007F1F4A">
      <w:pPr>
        <w:pStyle w:val="EndNoteBibliography"/>
        <w:spacing w:after="0"/>
        <w:ind w:left="720" w:hanging="720"/>
        <w:rPr>
          <w:rFonts w:ascii="Times New Roman" w:hAnsi="Times New Roman" w:cs="Times New Roman"/>
        </w:rPr>
      </w:pPr>
      <w:bookmarkStart w:id="5" w:name="_ENREF_5"/>
      <w:r w:rsidRPr="00107C39">
        <w:rPr>
          <w:rFonts w:ascii="Times New Roman" w:hAnsi="Times New Roman" w:cs="Times New Roman"/>
        </w:rPr>
        <w:t>6</w:t>
      </w:r>
      <w:r w:rsidR="00784B70" w:rsidRPr="00107C39">
        <w:rPr>
          <w:rFonts w:ascii="Times New Roman" w:hAnsi="Times New Roman" w:cs="Times New Roman"/>
        </w:rPr>
        <w:t>.</w:t>
      </w:r>
      <w:r w:rsidR="00784B70" w:rsidRPr="00107C39">
        <w:rPr>
          <w:rFonts w:ascii="Times New Roman" w:hAnsi="Times New Roman" w:cs="Times New Roman"/>
        </w:rPr>
        <w:tab/>
        <w:t>Chiswick C, Reynolds RM, Denison F</w:t>
      </w:r>
      <w:r w:rsidR="004D1B3C" w:rsidRPr="00107C39">
        <w:rPr>
          <w:rFonts w:ascii="Times New Roman" w:hAnsi="Times New Roman" w:cs="Times New Roman"/>
        </w:rPr>
        <w:t>, Drake AJ, Forbes S, Newby DE,</w:t>
      </w:r>
      <w:r w:rsidR="00FB1F8E" w:rsidRPr="00107C39">
        <w:rPr>
          <w:rFonts w:ascii="Times New Roman" w:hAnsi="Times New Roman" w:cs="Times New Roman"/>
        </w:rPr>
        <w:t xml:space="preserve"> et al</w:t>
      </w:r>
      <w:r w:rsidR="004D1B3C" w:rsidRPr="00107C39">
        <w:rPr>
          <w:rFonts w:ascii="Times New Roman" w:hAnsi="Times New Roman" w:cs="Times New Roman"/>
        </w:rPr>
        <w:t>.</w:t>
      </w:r>
      <w:r w:rsidR="00784B70" w:rsidRPr="00107C39">
        <w:rPr>
          <w:rFonts w:ascii="Times New Roman" w:hAnsi="Times New Roman" w:cs="Times New Roman"/>
        </w:rPr>
        <w:t xml:space="preserve"> </w:t>
      </w:r>
      <w:r w:rsidR="00FB1F8E" w:rsidRPr="00107C39">
        <w:rPr>
          <w:rFonts w:ascii="Times New Roman" w:hAnsi="Times New Roman" w:cs="Times New Roman"/>
        </w:rPr>
        <w:t xml:space="preserve"> </w:t>
      </w:r>
      <w:r w:rsidR="00784B70" w:rsidRPr="00107C39">
        <w:rPr>
          <w:rFonts w:ascii="Times New Roman" w:hAnsi="Times New Roman" w:cs="Times New Roman"/>
        </w:rPr>
        <w:t>Effect of metformin on maternal and fetal outcomes in obese pregnant women (EMPOWaR): a randomised, double-blind, placebo-controlled trial. Lancet Diabetes Endocrinol</w:t>
      </w:r>
      <w:r w:rsidR="004D1B3C" w:rsidRPr="00107C39">
        <w:rPr>
          <w:rFonts w:ascii="Times New Roman" w:hAnsi="Times New Roman" w:cs="Times New Roman"/>
        </w:rPr>
        <w:t>. 2015;</w:t>
      </w:r>
      <w:r w:rsidR="00784B70" w:rsidRPr="00107C39">
        <w:rPr>
          <w:rFonts w:ascii="Times New Roman" w:hAnsi="Times New Roman" w:cs="Times New Roman"/>
        </w:rPr>
        <w:t>3:</w:t>
      </w:r>
      <w:r w:rsidR="004D1B3C" w:rsidRPr="00107C39">
        <w:rPr>
          <w:rFonts w:ascii="Times New Roman" w:hAnsi="Times New Roman" w:cs="Times New Roman"/>
        </w:rPr>
        <w:t xml:space="preserve"> </w:t>
      </w:r>
      <w:r w:rsidR="00784B70" w:rsidRPr="00107C39">
        <w:rPr>
          <w:rFonts w:ascii="Times New Roman" w:hAnsi="Times New Roman" w:cs="Times New Roman"/>
        </w:rPr>
        <w:t>778-86</w:t>
      </w:r>
      <w:bookmarkEnd w:id="5"/>
      <w:r w:rsidR="004D1B3C" w:rsidRPr="00107C39">
        <w:rPr>
          <w:rFonts w:ascii="Times New Roman" w:hAnsi="Times New Roman" w:cs="Times New Roman"/>
        </w:rPr>
        <w:t>.</w:t>
      </w:r>
    </w:p>
    <w:p w14:paraId="198F6714" w14:textId="101E748E" w:rsidR="00784B70" w:rsidRPr="00107C39" w:rsidRDefault="00697EE5" w:rsidP="007F1F4A">
      <w:pPr>
        <w:pStyle w:val="EndNoteBibliography"/>
        <w:spacing w:after="0"/>
        <w:ind w:left="720" w:hanging="720"/>
        <w:rPr>
          <w:rFonts w:ascii="Times New Roman" w:hAnsi="Times New Roman" w:cs="Times New Roman"/>
        </w:rPr>
      </w:pPr>
      <w:bookmarkStart w:id="6" w:name="_ENREF_6"/>
      <w:r w:rsidRPr="00107C39">
        <w:rPr>
          <w:rFonts w:ascii="Times New Roman" w:hAnsi="Times New Roman" w:cs="Times New Roman"/>
        </w:rPr>
        <w:t>7</w:t>
      </w:r>
      <w:r w:rsidR="00784B70" w:rsidRPr="00107C39">
        <w:rPr>
          <w:rFonts w:ascii="Times New Roman" w:hAnsi="Times New Roman" w:cs="Times New Roman"/>
        </w:rPr>
        <w:t>.</w:t>
      </w:r>
      <w:r w:rsidR="00784B70" w:rsidRPr="00107C39">
        <w:rPr>
          <w:rFonts w:ascii="Times New Roman" w:hAnsi="Times New Roman" w:cs="Times New Roman"/>
        </w:rPr>
        <w:tab/>
        <w:t>Dodd JM, Turnbull D, McPhee AJ</w:t>
      </w:r>
      <w:r w:rsidR="004D1B3C" w:rsidRPr="00107C39">
        <w:rPr>
          <w:rFonts w:ascii="Times New Roman" w:hAnsi="Times New Roman" w:cs="Times New Roman"/>
        </w:rPr>
        <w:t>, Deussen AR, Grivell RM, Yelland LN,</w:t>
      </w:r>
      <w:r w:rsidR="00FB1F8E" w:rsidRPr="00107C39">
        <w:rPr>
          <w:rFonts w:ascii="Times New Roman" w:hAnsi="Times New Roman" w:cs="Times New Roman"/>
        </w:rPr>
        <w:t xml:space="preserve"> et al</w:t>
      </w:r>
      <w:r w:rsidR="00AF77A8" w:rsidRPr="00107C39">
        <w:rPr>
          <w:rFonts w:ascii="Times New Roman" w:hAnsi="Times New Roman" w:cs="Times New Roman"/>
        </w:rPr>
        <w:t>, on behalf of the L</w:t>
      </w:r>
      <w:r w:rsidR="00626FD5" w:rsidRPr="00107C39">
        <w:rPr>
          <w:rFonts w:ascii="Times New Roman" w:hAnsi="Times New Roman" w:cs="Times New Roman"/>
        </w:rPr>
        <w:t>IMIT</w:t>
      </w:r>
      <w:r w:rsidR="00AF77A8" w:rsidRPr="00107C39">
        <w:rPr>
          <w:rFonts w:ascii="Times New Roman" w:hAnsi="Times New Roman" w:cs="Times New Roman"/>
        </w:rPr>
        <w:t xml:space="preserve"> Randomised Trial Group</w:t>
      </w:r>
      <w:r w:rsidR="004D1B3C" w:rsidRPr="00107C39">
        <w:rPr>
          <w:rFonts w:ascii="Times New Roman" w:hAnsi="Times New Roman" w:cs="Times New Roman"/>
        </w:rPr>
        <w:t>.</w:t>
      </w:r>
      <w:r w:rsidR="00FB1F8E" w:rsidRPr="00107C39">
        <w:rPr>
          <w:rFonts w:ascii="Times New Roman" w:hAnsi="Times New Roman" w:cs="Times New Roman"/>
        </w:rPr>
        <w:t xml:space="preserve"> </w:t>
      </w:r>
      <w:r w:rsidR="00784B70" w:rsidRPr="00107C39">
        <w:rPr>
          <w:rFonts w:ascii="Times New Roman" w:hAnsi="Times New Roman" w:cs="Times New Roman"/>
        </w:rPr>
        <w:t xml:space="preserve"> Antenatal lifestyle advice for women who are overweight or obese: LIMIT randomised trial. BMJ</w:t>
      </w:r>
      <w:r w:rsidR="004D1B3C" w:rsidRPr="00107C39">
        <w:rPr>
          <w:rFonts w:ascii="Times New Roman" w:hAnsi="Times New Roman" w:cs="Times New Roman"/>
        </w:rPr>
        <w:t>. 2014;</w:t>
      </w:r>
      <w:r w:rsidR="00784B70" w:rsidRPr="00107C39">
        <w:rPr>
          <w:rFonts w:ascii="Times New Roman" w:hAnsi="Times New Roman" w:cs="Times New Roman"/>
        </w:rPr>
        <w:t xml:space="preserve"> 348:</w:t>
      </w:r>
      <w:r w:rsidR="004D1B3C" w:rsidRPr="00107C39">
        <w:rPr>
          <w:rFonts w:ascii="Times New Roman" w:hAnsi="Times New Roman" w:cs="Times New Roman"/>
        </w:rPr>
        <w:t xml:space="preserve"> </w:t>
      </w:r>
      <w:r w:rsidR="00784B70" w:rsidRPr="00107C39">
        <w:rPr>
          <w:rFonts w:ascii="Times New Roman" w:hAnsi="Times New Roman" w:cs="Times New Roman"/>
        </w:rPr>
        <w:t>g1285</w:t>
      </w:r>
      <w:bookmarkEnd w:id="6"/>
      <w:r w:rsidR="004D1B3C" w:rsidRPr="00107C39">
        <w:rPr>
          <w:rFonts w:ascii="Times New Roman" w:hAnsi="Times New Roman" w:cs="Times New Roman"/>
        </w:rPr>
        <w:t>.</w:t>
      </w:r>
    </w:p>
    <w:p w14:paraId="2D7238A4" w14:textId="5C763B72" w:rsidR="00784B70" w:rsidRPr="00107C39" w:rsidRDefault="00697EE5" w:rsidP="007F1F4A">
      <w:pPr>
        <w:pStyle w:val="EndNoteBibliography"/>
        <w:spacing w:after="0"/>
        <w:ind w:left="720" w:hanging="720"/>
        <w:rPr>
          <w:rFonts w:ascii="Times New Roman" w:hAnsi="Times New Roman" w:cs="Times New Roman"/>
        </w:rPr>
      </w:pPr>
      <w:bookmarkStart w:id="7" w:name="_ENREF_7"/>
      <w:r w:rsidRPr="00107C39">
        <w:rPr>
          <w:rFonts w:ascii="Times New Roman" w:hAnsi="Times New Roman" w:cs="Times New Roman"/>
        </w:rPr>
        <w:t>8</w:t>
      </w:r>
      <w:r w:rsidR="00784B70" w:rsidRPr="00107C39">
        <w:rPr>
          <w:rFonts w:ascii="Times New Roman" w:hAnsi="Times New Roman" w:cs="Times New Roman"/>
        </w:rPr>
        <w:t>.</w:t>
      </w:r>
      <w:r w:rsidR="00784B70" w:rsidRPr="00107C39">
        <w:rPr>
          <w:rFonts w:ascii="Times New Roman" w:hAnsi="Times New Roman" w:cs="Times New Roman"/>
        </w:rPr>
        <w:tab/>
        <w:t>Poston L, Bell R, Croker H</w:t>
      </w:r>
      <w:r w:rsidR="004D1B3C" w:rsidRPr="00107C39">
        <w:rPr>
          <w:rFonts w:ascii="Times New Roman" w:hAnsi="Times New Roman" w:cs="Times New Roman"/>
        </w:rPr>
        <w:t>, Flynn AC, Godfrey KM, Goff L,</w:t>
      </w:r>
      <w:r w:rsidR="00FB1F8E" w:rsidRPr="00107C39">
        <w:rPr>
          <w:rFonts w:ascii="Times New Roman" w:hAnsi="Times New Roman" w:cs="Times New Roman"/>
        </w:rPr>
        <w:t xml:space="preserve"> et al</w:t>
      </w:r>
      <w:r w:rsidR="004D1B3C" w:rsidRPr="00107C39">
        <w:rPr>
          <w:rFonts w:ascii="Times New Roman" w:hAnsi="Times New Roman" w:cs="Times New Roman"/>
        </w:rPr>
        <w:t>.</w:t>
      </w:r>
      <w:r w:rsidR="00FB1F8E" w:rsidRPr="00107C39">
        <w:rPr>
          <w:rFonts w:ascii="Times New Roman" w:hAnsi="Times New Roman" w:cs="Times New Roman"/>
        </w:rPr>
        <w:t xml:space="preserve"> </w:t>
      </w:r>
      <w:r w:rsidR="00784B70" w:rsidRPr="00107C39">
        <w:rPr>
          <w:rFonts w:ascii="Times New Roman" w:hAnsi="Times New Roman" w:cs="Times New Roman"/>
        </w:rPr>
        <w:t>Effect of a behavioural intervention in obese pregnant women (the UPBEAT study): a multicentre, randomised controlled trial. Lancet Diabetes Endocrinol</w:t>
      </w:r>
      <w:r w:rsidR="004D1B3C" w:rsidRPr="00107C39">
        <w:rPr>
          <w:rFonts w:ascii="Times New Roman" w:hAnsi="Times New Roman" w:cs="Times New Roman"/>
        </w:rPr>
        <w:t>. 2015;</w:t>
      </w:r>
      <w:r w:rsidR="00784B70" w:rsidRPr="00107C39">
        <w:rPr>
          <w:rFonts w:ascii="Times New Roman" w:hAnsi="Times New Roman" w:cs="Times New Roman"/>
        </w:rPr>
        <w:t>3:</w:t>
      </w:r>
      <w:r w:rsidR="004D1B3C" w:rsidRPr="00107C39">
        <w:rPr>
          <w:rFonts w:ascii="Times New Roman" w:hAnsi="Times New Roman" w:cs="Times New Roman"/>
        </w:rPr>
        <w:t xml:space="preserve"> </w:t>
      </w:r>
      <w:r w:rsidR="00784B70" w:rsidRPr="00107C39">
        <w:rPr>
          <w:rFonts w:ascii="Times New Roman" w:hAnsi="Times New Roman" w:cs="Times New Roman"/>
        </w:rPr>
        <w:t>767-77</w:t>
      </w:r>
      <w:bookmarkEnd w:id="7"/>
      <w:r w:rsidR="004D1B3C" w:rsidRPr="00107C39">
        <w:rPr>
          <w:rFonts w:ascii="Times New Roman" w:hAnsi="Times New Roman" w:cs="Times New Roman"/>
        </w:rPr>
        <w:t>.</w:t>
      </w:r>
    </w:p>
    <w:p w14:paraId="11F3C545" w14:textId="6BECF9BA" w:rsidR="00784B70" w:rsidRPr="00107C39" w:rsidRDefault="00697EE5" w:rsidP="007F1F4A">
      <w:pPr>
        <w:pStyle w:val="EndNoteBibliography"/>
        <w:spacing w:after="0"/>
        <w:ind w:left="720" w:hanging="720"/>
        <w:rPr>
          <w:rFonts w:ascii="Times New Roman" w:hAnsi="Times New Roman" w:cs="Times New Roman"/>
        </w:rPr>
      </w:pPr>
      <w:bookmarkStart w:id="8" w:name="_ENREF_8"/>
      <w:r w:rsidRPr="00107C39">
        <w:rPr>
          <w:rFonts w:ascii="Times New Roman" w:hAnsi="Times New Roman" w:cs="Times New Roman"/>
        </w:rPr>
        <w:t>9</w:t>
      </w:r>
      <w:r w:rsidR="00784B70" w:rsidRPr="00107C39">
        <w:rPr>
          <w:rFonts w:ascii="Times New Roman" w:hAnsi="Times New Roman" w:cs="Times New Roman"/>
        </w:rPr>
        <w:t>.</w:t>
      </w:r>
      <w:r w:rsidR="00784B70" w:rsidRPr="00107C39">
        <w:rPr>
          <w:rFonts w:ascii="Times New Roman" w:hAnsi="Times New Roman" w:cs="Times New Roman"/>
        </w:rPr>
        <w:tab/>
        <w:t>Syngelaki A NK, Balani J, Hyer S</w:t>
      </w:r>
      <w:r w:rsidR="006F7A96" w:rsidRPr="00107C39">
        <w:rPr>
          <w:rFonts w:ascii="Times New Roman" w:hAnsi="Times New Roman" w:cs="Times New Roman"/>
        </w:rPr>
        <w:t>, Akolekar R, Kotecha R, Pastides A,</w:t>
      </w:r>
      <w:r w:rsidR="00FB1F8E" w:rsidRPr="00107C39">
        <w:rPr>
          <w:rFonts w:ascii="Times New Roman" w:hAnsi="Times New Roman" w:cs="Times New Roman"/>
        </w:rPr>
        <w:t xml:space="preserve"> et al</w:t>
      </w:r>
      <w:r w:rsidR="006F7A96" w:rsidRPr="00107C39">
        <w:rPr>
          <w:rFonts w:ascii="Times New Roman" w:hAnsi="Times New Roman" w:cs="Times New Roman"/>
        </w:rPr>
        <w:t>.</w:t>
      </w:r>
      <w:r w:rsidR="00FB1F8E" w:rsidRPr="00107C39">
        <w:rPr>
          <w:rFonts w:ascii="Times New Roman" w:hAnsi="Times New Roman" w:cs="Times New Roman"/>
        </w:rPr>
        <w:t xml:space="preserve"> </w:t>
      </w:r>
      <w:r w:rsidR="00784B70" w:rsidRPr="00107C39">
        <w:rPr>
          <w:rFonts w:ascii="Times New Roman" w:hAnsi="Times New Roman" w:cs="Times New Roman"/>
        </w:rPr>
        <w:t xml:space="preserve"> Metformin versus Placebo in Obese Pregnant Women without Diabetes Mellitus. N Engl J Med</w:t>
      </w:r>
      <w:r w:rsidR="006F7A96" w:rsidRPr="00107C39">
        <w:rPr>
          <w:rFonts w:ascii="Times New Roman" w:hAnsi="Times New Roman" w:cs="Times New Roman"/>
        </w:rPr>
        <w:t>. 2016;</w:t>
      </w:r>
      <w:r w:rsidR="00784B70" w:rsidRPr="00107C39">
        <w:rPr>
          <w:rFonts w:ascii="Times New Roman" w:hAnsi="Times New Roman" w:cs="Times New Roman"/>
        </w:rPr>
        <w:t>374:</w:t>
      </w:r>
      <w:r w:rsidR="006F7A96" w:rsidRPr="00107C39">
        <w:rPr>
          <w:rFonts w:ascii="Times New Roman" w:hAnsi="Times New Roman" w:cs="Times New Roman"/>
        </w:rPr>
        <w:t xml:space="preserve"> </w:t>
      </w:r>
      <w:r w:rsidR="00784B70" w:rsidRPr="00107C39">
        <w:rPr>
          <w:rFonts w:ascii="Times New Roman" w:hAnsi="Times New Roman" w:cs="Times New Roman"/>
        </w:rPr>
        <w:t>434-43</w:t>
      </w:r>
      <w:bookmarkEnd w:id="8"/>
      <w:r w:rsidR="006F7A96" w:rsidRPr="00107C39">
        <w:rPr>
          <w:rFonts w:ascii="Times New Roman" w:hAnsi="Times New Roman" w:cs="Times New Roman"/>
        </w:rPr>
        <w:t>.</w:t>
      </w:r>
    </w:p>
    <w:p w14:paraId="4FE3ABCD" w14:textId="1821A7BD" w:rsidR="00784B70" w:rsidRPr="00107C39" w:rsidRDefault="00697EE5" w:rsidP="007F1F4A">
      <w:pPr>
        <w:pStyle w:val="EndNoteBibliography"/>
        <w:spacing w:after="0"/>
        <w:ind w:left="720" w:hanging="720"/>
        <w:rPr>
          <w:rFonts w:ascii="Times New Roman" w:hAnsi="Times New Roman" w:cs="Times New Roman"/>
        </w:rPr>
      </w:pPr>
      <w:bookmarkStart w:id="9" w:name="_ENREF_9"/>
      <w:r w:rsidRPr="00107C39">
        <w:rPr>
          <w:rFonts w:ascii="Times New Roman" w:hAnsi="Times New Roman" w:cs="Times New Roman"/>
        </w:rPr>
        <w:t>10</w:t>
      </w:r>
      <w:r w:rsidR="00784B70" w:rsidRPr="00107C39">
        <w:rPr>
          <w:rFonts w:ascii="Times New Roman" w:hAnsi="Times New Roman" w:cs="Times New Roman"/>
        </w:rPr>
        <w:t>.</w:t>
      </w:r>
      <w:r w:rsidR="00784B70" w:rsidRPr="00107C39">
        <w:rPr>
          <w:rFonts w:ascii="Times New Roman" w:hAnsi="Times New Roman" w:cs="Times New Roman"/>
        </w:rPr>
        <w:tab/>
        <w:t>Graig LA, Phillips JK, Moses HL</w:t>
      </w:r>
      <w:r w:rsidR="006F7A96" w:rsidRPr="00107C39">
        <w:rPr>
          <w:rFonts w:ascii="Times New Roman" w:hAnsi="Times New Roman" w:cs="Times New Roman"/>
        </w:rPr>
        <w:t>.</w:t>
      </w:r>
      <w:r w:rsidR="00FB1F8E" w:rsidRPr="00107C39">
        <w:rPr>
          <w:rFonts w:ascii="Times New Roman" w:hAnsi="Times New Roman" w:cs="Times New Roman"/>
        </w:rPr>
        <w:t xml:space="preserve"> </w:t>
      </w:r>
      <w:r w:rsidR="00784B70" w:rsidRPr="00107C39">
        <w:rPr>
          <w:rFonts w:ascii="Times New Roman" w:hAnsi="Times New Roman" w:cs="Times New Roman"/>
        </w:rPr>
        <w:t>Biomarker tests for molecularly targeted therapies: key to unlocking precision medicine. Washington DC (US): The National Academies Press</w:t>
      </w:r>
      <w:bookmarkEnd w:id="9"/>
      <w:r w:rsidR="006F7A96" w:rsidRPr="00107C39">
        <w:rPr>
          <w:rFonts w:ascii="Times New Roman" w:hAnsi="Times New Roman" w:cs="Times New Roman"/>
        </w:rPr>
        <w:t>; 2016.</w:t>
      </w:r>
    </w:p>
    <w:p w14:paraId="6C42B91A" w14:textId="045FC611" w:rsidR="00784B70" w:rsidRPr="00107C39" w:rsidRDefault="00784B70" w:rsidP="007F1F4A">
      <w:pPr>
        <w:pStyle w:val="EndNoteBibliography"/>
        <w:spacing w:after="0"/>
        <w:ind w:left="720" w:hanging="720"/>
        <w:rPr>
          <w:rFonts w:ascii="Times New Roman" w:hAnsi="Times New Roman" w:cs="Times New Roman"/>
        </w:rPr>
      </w:pPr>
      <w:bookmarkStart w:id="10" w:name="_ENREF_10"/>
      <w:r w:rsidRPr="00107C39">
        <w:rPr>
          <w:rFonts w:ascii="Times New Roman" w:hAnsi="Times New Roman" w:cs="Times New Roman"/>
        </w:rPr>
        <w:t>1</w:t>
      </w:r>
      <w:r w:rsidR="00697EE5" w:rsidRPr="00107C39">
        <w:rPr>
          <w:rFonts w:ascii="Times New Roman" w:hAnsi="Times New Roman" w:cs="Times New Roman"/>
        </w:rPr>
        <w:t>1</w:t>
      </w:r>
      <w:r w:rsidRPr="00107C39">
        <w:rPr>
          <w:rFonts w:ascii="Times New Roman" w:hAnsi="Times New Roman" w:cs="Times New Roman"/>
        </w:rPr>
        <w:t>.</w:t>
      </w:r>
      <w:r w:rsidRPr="00107C39">
        <w:rPr>
          <w:rFonts w:ascii="Times New Roman" w:hAnsi="Times New Roman" w:cs="Times New Roman"/>
        </w:rPr>
        <w:tab/>
      </w:r>
      <w:r w:rsidR="005824CA" w:rsidRPr="00107C39">
        <w:rPr>
          <w:rFonts w:ascii="Times New Roman" w:hAnsi="Times New Roman" w:cs="Times New Roman"/>
        </w:rPr>
        <w:t>Women’s Health Care Physicians, The American College of Obstetricians and Gynecologists</w:t>
      </w:r>
      <w:r w:rsidR="006F7A96" w:rsidRPr="00107C39">
        <w:rPr>
          <w:rFonts w:ascii="Times New Roman" w:hAnsi="Times New Roman" w:cs="Times New Roman"/>
        </w:rPr>
        <w:t>.</w:t>
      </w:r>
      <w:r w:rsidR="005824CA" w:rsidRPr="00107C39">
        <w:rPr>
          <w:rFonts w:ascii="Times New Roman" w:hAnsi="Times New Roman" w:cs="Times New Roman"/>
        </w:rPr>
        <w:t xml:space="preserve"> Practice Bulletin No. 163 Summary: Screening for Fetal Aneuploidy. Obstet Gynecol</w:t>
      </w:r>
      <w:r w:rsidR="006F7A96" w:rsidRPr="00107C39">
        <w:rPr>
          <w:rFonts w:ascii="Times New Roman" w:hAnsi="Times New Roman" w:cs="Times New Roman"/>
        </w:rPr>
        <w:t>. 2016;</w:t>
      </w:r>
      <w:r w:rsidR="005824CA" w:rsidRPr="00107C39">
        <w:rPr>
          <w:rFonts w:ascii="Times New Roman" w:hAnsi="Times New Roman" w:cs="Times New Roman"/>
        </w:rPr>
        <w:t>127:</w:t>
      </w:r>
      <w:r w:rsidR="006F7A96" w:rsidRPr="00107C39">
        <w:rPr>
          <w:rFonts w:ascii="Times New Roman" w:hAnsi="Times New Roman" w:cs="Times New Roman"/>
        </w:rPr>
        <w:t xml:space="preserve"> </w:t>
      </w:r>
      <w:r w:rsidR="005824CA" w:rsidRPr="00107C39">
        <w:rPr>
          <w:rFonts w:ascii="Times New Roman" w:hAnsi="Times New Roman" w:cs="Times New Roman"/>
        </w:rPr>
        <w:t>979-81</w:t>
      </w:r>
      <w:bookmarkEnd w:id="10"/>
      <w:r w:rsidR="006F7A96" w:rsidRPr="00107C39">
        <w:rPr>
          <w:rFonts w:ascii="Times New Roman" w:hAnsi="Times New Roman" w:cs="Times New Roman"/>
        </w:rPr>
        <w:t>.</w:t>
      </w:r>
    </w:p>
    <w:p w14:paraId="56C40E49" w14:textId="59D72791" w:rsidR="00784B70" w:rsidRPr="00107C39" w:rsidRDefault="00784B70" w:rsidP="007F1F4A">
      <w:pPr>
        <w:pStyle w:val="EndNoteBibliography"/>
        <w:spacing w:after="0"/>
        <w:ind w:left="720" w:hanging="720"/>
        <w:rPr>
          <w:rFonts w:ascii="Times New Roman" w:hAnsi="Times New Roman" w:cs="Times New Roman"/>
        </w:rPr>
      </w:pPr>
      <w:bookmarkStart w:id="11" w:name="_ENREF_11"/>
      <w:r w:rsidRPr="00107C39">
        <w:rPr>
          <w:rFonts w:ascii="Times New Roman" w:hAnsi="Times New Roman" w:cs="Times New Roman"/>
        </w:rPr>
        <w:t>1</w:t>
      </w:r>
      <w:r w:rsidR="00697EE5" w:rsidRPr="00107C39">
        <w:rPr>
          <w:rFonts w:ascii="Times New Roman" w:hAnsi="Times New Roman" w:cs="Times New Roman"/>
        </w:rPr>
        <w:t>2</w:t>
      </w:r>
      <w:r w:rsidRPr="00107C39">
        <w:rPr>
          <w:rFonts w:ascii="Times New Roman" w:hAnsi="Times New Roman" w:cs="Times New Roman"/>
        </w:rPr>
        <w:t>.</w:t>
      </w:r>
      <w:r w:rsidRPr="00107C39">
        <w:rPr>
          <w:rFonts w:ascii="Times New Roman" w:hAnsi="Times New Roman" w:cs="Times New Roman"/>
        </w:rPr>
        <w:tab/>
        <w:t>Eleftheriades M, Papastefanou I, Lambrinoudaki I</w:t>
      </w:r>
      <w:r w:rsidR="006F7A96" w:rsidRPr="00107C39">
        <w:rPr>
          <w:rFonts w:ascii="Times New Roman" w:hAnsi="Times New Roman" w:cs="Times New Roman"/>
        </w:rPr>
        <w:t>,</w:t>
      </w:r>
      <w:r w:rsidR="00FB1F8E" w:rsidRPr="00107C39">
        <w:rPr>
          <w:rFonts w:ascii="Times New Roman" w:hAnsi="Times New Roman" w:cs="Times New Roman"/>
        </w:rPr>
        <w:t xml:space="preserve"> </w:t>
      </w:r>
      <w:r w:rsidR="006F7A96" w:rsidRPr="00107C39">
        <w:rPr>
          <w:rFonts w:ascii="Times New Roman" w:hAnsi="Times New Roman" w:cs="Times New Roman"/>
        </w:rPr>
        <w:t xml:space="preserve">Kappou D, Lavranos D, Akalestos A, </w:t>
      </w:r>
      <w:r w:rsidR="00FB1F8E" w:rsidRPr="00107C39">
        <w:rPr>
          <w:rFonts w:ascii="Times New Roman" w:hAnsi="Times New Roman" w:cs="Times New Roman"/>
        </w:rPr>
        <w:t>et al</w:t>
      </w:r>
      <w:r w:rsidR="006F7A96" w:rsidRPr="00107C39">
        <w:rPr>
          <w:rFonts w:ascii="Times New Roman" w:hAnsi="Times New Roman" w:cs="Times New Roman"/>
        </w:rPr>
        <w:t xml:space="preserve">. </w:t>
      </w:r>
      <w:r w:rsidR="00AF77A8" w:rsidRPr="00107C39">
        <w:rPr>
          <w:rFonts w:ascii="Times New Roman" w:hAnsi="Times New Roman" w:cs="Times New Roman"/>
        </w:rPr>
        <w:t xml:space="preserve"> </w:t>
      </w:r>
      <w:r w:rsidRPr="00107C39">
        <w:rPr>
          <w:rFonts w:ascii="Times New Roman" w:hAnsi="Times New Roman" w:cs="Times New Roman"/>
        </w:rPr>
        <w:t>Elevated placental growth factor concentrations at 11-14 weeks of gestation to predict gestational diabetes mellitus. Metabolism</w:t>
      </w:r>
      <w:r w:rsidR="006F7A96" w:rsidRPr="00107C39">
        <w:rPr>
          <w:rFonts w:ascii="Times New Roman" w:hAnsi="Times New Roman" w:cs="Times New Roman"/>
        </w:rPr>
        <w:t>. 2014;</w:t>
      </w:r>
      <w:r w:rsidRPr="00107C39">
        <w:rPr>
          <w:rFonts w:ascii="Times New Roman" w:hAnsi="Times New Roman" w:cs="Times New Roman"/>
        </w:rPr>
        <w:t>63:</w:t>
      </w:r>
      <w:r w:rsidR="006F7A96" w:rsidRPr="00107C39">
        <w:rPr>
          <w:rFonts w:ascii="Times New Roman" w:hAnsi="Times New Roman" w:cs="Times New Roman"/>
        </w:rPr>
        <w:t xml:space="preserve"> </w:t>
      </w:r>
      <w:r w:rsidRPr="00107C39">
        <w:rPr>
          <w:rFonts w:ascii="Times New Roman" w:hAnsi="Times New Roman" w:cs="Times New Roman"/>
        </w:rPr>
        <w:t>1419-25</w:t>
      </w:r>
      <w:bookmarkEnd w:id="11"/>
      <w:r w:rsidR="006F7A96" w:rsidRPr="00107C39">
        <w:rPr>
          <w:rFonts w:ascii="Times New Roman" w:hAnsi="Times New Roman" w:cs="Times New Roman"/>
        </w:rPr>
        <w:t>.</w:t>
      </w:r>
    </w:p>
    <w:p w14:paraId="3A64D977" w14:textId="3DA73420" w:rsidR="00784B70" w:rsidRPr="00107C39" w:rsidRDefault="00784B70" w:rsidP="007F1F4A">
      <w:pPr>
        <w:pStyle w:val="EndNoteBibliography"/>
        <w:spacing w:after="0"/>
        <w:ind w:left="720" w:hanging="720"/>
        <w:rPr>
          <w:rFonts w:ascii="Times New Roman" w:hAnsi="Times New Roman" w:cs="Times New Roman"/>
        </w:rPr>
      </w:pPr>
      <w:bookmarkStart w:id="12" w:name="_ENREF_12"/>
      <w:r w:rsidRPr="00107C39">
        <w:rPr>
          <w:rFonts w:ascii="Times New Roman" w:hAnsi="Times New Roman" w:cs="Times New Roman"/>
        </w:rPr>
        <w:t>1</w:t>
      </w:r>
      <w:r w:rsidR="00697EE5" w:rsidRPr="00107C39">
        <w:rPr>
          <w:rFonts w:ascii="Times New Roman" w:hAnsi="Times New Roman" w:cs="Times New Roman"/>
        </w:rPr>
        <w:t>3</w:t>
      </w:r>
      <w:r w:rsidRPr="00107C39">
        <w:rPr>
          <w:rFonts w:ascii="Times New Roman" w:hAnsi="Times New Roman" w:cs="Times New Roman"/>
        </w:rPr>
        <w:t>.</w:t>
      </w:r>
      <w:r w:rsidRPr="00107C39">
        <w:rPr>
          <w:rFonts w:ascii="Times New Roman" w:hAnsi="Times New Roman" w:cs="Times New Roman"/>
        </w:rPr>
        <w:tab/>
        <w:t>Enquobahrie DA, Denis M, Tadesse MG, Gelaye B, Ressom HW, Williams MA</w:t>
      </w:r>
      <w:r w:rsidR="006F7A96" w:rsidRPr="00107C39">
        <w:rPr>
          <w:rFonts w:ascii="Times New Roman" w:hAnsi="Times New Roman" w:cs="Times New Roman"/>
        </w:rPr>
        <w:t>.</w:t>
      </w:r>
      <w:r w:rsidR="00FB1F8E" w:rsidRPr="00107C39">
        <w:rPr>
          <w:rFonts w:ascii="Times New Roman" w:hAnsi="Times New Roman" w:cs="Times New Roman"/>
        </w:rPr>
        <w:t xml:space="preserve"> </w:t>
      </w:r>
      <w:r w:rsidRPr="00107C39">
        <w:rPr>
          <w:rFonts w:ascii="Times New Roman" w:hAnsi="Times New Roman" w:cs="Times New Roman"/>
        </w:rPr>
        <w:t xml:space="preserve"> Maternal Early Pregnancy Serum Metabolites and Risk of Gestational Diabetes Mellitus. J Clin Endocrinol Metab</w:t>
      </w:r>
      <w:r w:rsidR="006F7A96" w:rsidRPr="00107C39">
        <w:rPr>
          <w:rFonts w:ascii="Times New Roman" w:hAnsi="Times New Roman" w:cs="Times New Roman"/>
        </w:rPr>
        <w:t>. 2015;</w:t>
      </w:r>
      <w:r w:rsidRPr="00107C39">
        <w:rPr>
          <w:rFonts w:ascii="Times New Roman" w:hAnsi="Times New Roman" w:cs="Times New Roman"/>
        </w:rPr>
        <w:t xml:space="preserve"> 100:4348-56</w:t>
      </w:r>
      <w:bookmarkEnd w:id="12"/>
    </w:p>
    <w:p w14:paraId="49F786FE" w14:textId="4BA7942F" w:rsidR="00784B70" w:rsidRPr="00107C39" w:rsidRDefault="00784B70" w:rsidP="007F1F4A">
      <w:pPr>
        <w:pStyle w:val="EndNoteBibliography"/>
        <w:spacing w:after="0"/>
        <w:ind w:left="720" w:hanging="720"/>
        <w:rPr>
          <w:rFonts w:ascii="Times New Roman" w:hAnsi="Times New Roman" w:cs="Times New Roman"/>
        </w:rPr>
      </w:pPr>
      <w:bookmarkStart w:id="13" w:name="_ENREF_13"/>
      <w:r w:rsidRPr="00107C39">
        <w:rPr>
          <w:rFonts w:ascii="Times New Roman" w:hAnsi="Times New Roman" w:cs="Times New Roman"/>
        </w:rPr>
        <w:t>1</w:t>
      </w:r>
      <w:r w:rsidR="00697EE5" w:rsidRPr="00107C39">
        <w:rPr>
          <w:rFonts w:ascii="Times New Roman" w:hAnsi="Times New Roman" w:cs="Times New Roman"/>
        </w:rPr>
        <w:t>4</w:t>
      </w:r>
      <w:r w:rsidRPr="00107C39">
        <w:rPr>
          <w:rFonts w:ascii="Times New Roman" w:hAnsi="Times New Roman" w:cs="Times New Roman"/>
        </w:rPr>
        <w:t>.</w:t>
      </w:r>
      <w:r w:rsidRPr="00107C39">
        <w:rPr>
          <w:rFonts w:ascii="Times New Roman" w:hAnsi="Times New Roman" w:cs="Times New Roman"/>
        </w:rPr>
        <w:tab/>
        <w:t>Ferreira AF, Rezende JC, Vaikousi E, Akolekar R, Nicolaides KH</w:t>
      </w:r>
      <w:r w:rsidR="006C010B" w:rsidRPr="00107C39">
        <w:rPr>
          <w:rFonts w:ascii="Times New Roman" w:hAnsi="Times New Roman" w:cs="Times New Roman"/>
        </w:rPr>
        <w:t xml:space="preserve">. </w:t>
      </w:r>
      <w:r w:rsidRPr="00107C39">
        <w:rPr>
          <w:rFonts w:ascii="Times New Roman" w:hAnsi="Times New Roman" w:cs="Times New Roman"/>
        </w:rPr>
        <w:t>Maternal serum visfatin at 11-13 weeks of gestation in gestational diabetes mellitus. Clin Chem</w:t>
      </w:r>
      <w:r w:rsidR="006C010B" w:rsidRPr="00107C39">
        <w:rPr>
          <w:rFonts w:ascii="Times New Roman" w:hAnsi="Times New Roman" w:cs="Times New Roman"/>
        </w:rPr>
        <w:t>. 2011;</w:t>
      </w:r>
      <w:r w:rsidRPr="00107C39">
        <w:rPr>
          <w:rFonts w:ascii="Times New Roman" w:hAnsi="Times New Roman" w:cs="Times New Roman"/>
        </w:rPr>
        <w:t xml:space="preserve"> 57:</w:t>
      </w:r>
      <w:r w:rsidR="006C010B" w:rsidRPr="00107C39">
        <w:rPr>
          <w:rFonts w:ascii="Times New Roman" w:hAnsi="Times New Roman" w:cs="Times New Roman"/>
        </w:rPr>
        <w:t xml:space="preserve"> </w:t>
      </w:r>
      <w:r w:rsidRPr="00107C39">
        <w:rPr>
          <w:rFonts w:ascii="Times New Roman" w:hAnsi="Times New Roman" w:cs="Times New Roman"/>
        </w:rPr>
        <w:t>609-13</w:t>
      </w:r>
      <w:bookmarkEnd w:id="13"/>
      <w:r w:rsidR="006C010B" w:rsidRPr="00107C39">
        <w:rPr>
          <w:rFonts w:ascii="Times New Roman" w:hAnsi="Times New Roman" w:cs="Times New Roman"/>
        </w:rPr>
        <w:t>.</w:t>
      </w:r>
    </w:p>
    <w:p w14:paraId="3802932B" w14:textId="4FD1449C" w:rsidR="00784B70" w:rsidRPr="00107C39" w:rsidRDefault="00784B70" w:rsidP="007F1F4A">
      <w:pPr>
        <w:pStyle w:val="EndNoteBibliography"/>
        <w:spacing w:after="0"/>
        <w:ind w:left="720" w:hanging="720"/>
        <w:rPr>
          <w:rFonts w:ascii="Times New Roman" w:hAnsi="Times New Roman" w:cs="Times New Roman"/>
        </w:rPr>
      </w:pPr>
      <w:bookmarkStart w:id="14" w:name="_ENREF_14"/>
      <w:r w:rsidRPr="00107C39">
        <w:rPr>
          <w:rFonts w:ascii="Times New Roman" w:hAnsi="Times New Roman" w:cs="Times New Roman"/>
        </w:rPr>
        <w:t>1</w:t>
      </w:r>
      <w:r w:rsidR="00697EE5" w:rsidRPr="00107C39">
        <w:rPr>
          <w:rFonts w:ascii="Times New Roman" w:hAnsi="Times New Roman" w:cs="Times New Roman"/>
        </w:rPr>
        <w:t>5</w:t>
      </w:r>
      <w:r w:rsidRPr="00107C39">
        <w:rPr>
          <w:rFonts w:ascii="Times New Roman" w:hAnsi="Times New Roman" w:cs="Times New Roman"/>
        </w:rPr>
        <w:t>.</w:t>
      </w:r>
      <w:r w:rsidRPr="00107C39">
        <w:rPr>
          <w:rFonts w:ascii="Times New Roman" w:hAnsi="Times New Roman" w:cs="Times New Roman"/>
        </w:rPr>
        <w:tab/>
        <w:t>Harrison CL, Lombard CB, East C, Boyle J, Teede HJ</w:t>
      </w:r>
      <w:r w:rsidR="006C010B" w:rsidRPr="00107C39">
        <w:rPr>
          <w:rFonts w:ascii="Times New Roman" w:hAnsi="Times New Roman" w:cs="Times New Roman"/>
        </w:rPr>
        <w:t>.</w:t>
      </w:r>
      <w:r w:rsidRPr="00107C39">
        <w:rPr>
          <w:rFonts w:ascii="Times New Roman" w:hAnsi="Times New Roman" w:cs="Times New Roman"/>
        </w:rPr>
        <w:t xml:space="preserve"> Risk stratification in early pregnancy for women at increased risk of gestational diabetes. Diabetes Res Clin Pract</w:t>
      </w:r>
      <w:r w:rsidR="006C010B" w:rsidRPr="00107C39">
        <w:rPr>
          <w:rFonts w:ascii="Times New Roman" w:hAnsi="Times New Roman" w:cs="Times New Roman"/>
        </w:rPr>
        <w:t>. 2015;</w:t>
      </w:r>
      <w:r w:rsidRPr="00107C39">
        <w:rPr>
          <w:rFonts w:ascii="Times New Roman" w:hAnsi="Times New Roman" w:cs="Times New Roman"/>
        </w:rPr>
        <w:t>107:</w:t>
      </w:r>
      <w:r w:rsidR="006C010B" w:rsidRPr="00107C39">
        <w:rPr>
          <w:rFonts w:ascii="Times New Roman" w:hAnsi="Times New Roman" w:cs="Times New Roman"/>
        </w:rPr>
        <w:t xml:space="preserve"> </w:t>
      </w:r>
      <w:r w:rsidRPr="00107C39">
        <w:rPr>
          <w:rFonts w:ascii="Times New Roman" w:hAnsi="Times New Roman" w:cs="Times New Roman"/>
        </w:rPr>
        <w:t>61-8</w:t>
      </w:r>
      <w:bookmarkEnd w:id="14"/>
      <w:r w:rsidR="006C010B" w:rsidRPr="00107C39">
        <w:rPr>
          <w:rFonts w:ascii="Times New Roman" w:hAnsi="Times New Roman" w:cs="Times New Roman"/>
        </w:rPr>
        <w:t>.</w:t>
      </w:r>
    </w:p>
    <w:p w14:paraId="55D4AABE" w14:textId="169EB74C" w:rsidR="00784B70" w:rsidRPr="00107C39" w:rsidRDefault="00784B70" w:rsidP="007F1F4A">
      <w:pPr>
        <w:pStyle w:val="EndNoteBibliography"/>
        <w:spacing w:after="0"/>
        <w:ind w:left="720" w:hanging="720"/>
        <w:rPr>
          <w:rFonts w:ascii="Times New Roman" w:hAnsi="Times New Roman" w:cs="Times New Roman"/>
        </w:rPr>
      </w:pPr>
      <w:bookmarkStart w:id="15" w:name="_ENREF_15"/>
      <w:r w:rsidRPr="00107C39">
        <w:rPr>
          <w:rFonts w:ascii="Times New Roman" w:hAnsi="Times New Roman" w:cs="Times New Roman"/>
        </w:rPr>
        <w:t>1</w:t>
      </w:r>
      <w:r w:rsidR="00697EE5" w:rsidRPr="00107C39">
        <w:rPr>
          <w:rFonts w:ascii="Times New Roman" w:hAnsi="Times New Roman" w:cs="Times New Roman"/>
        </w:rPr>
        <w:t>6</w:t>
      </w:r>
      <w:r w:rsidRPr="00107C39">
        <w:rPr>
          <w:rFonts w:ascii="Times New Roman" w:hAnsi="Times New Roman" w:cs="Times New Roman"/>
        </w:rPr>
        <w:t>.</w:t>
      </w:r>
      <w:r w:rsidRPr="00107C39">
        <w:rPr>
          <w:rFonts w:ascii="Times New Roman" w:hAnsi="Times New Roman" w:cs="Times New Roman"/>
        </w:rPr>
        <w:tab/>
        <w:t>Nanda S, Savvidou M, Syngelaki A, Akolekar R, Nicolaides KH</w:t>
      </w:r>
      <w:r w:rsidR="006C010B" w:rsidRPr="00107C39">
        <w:rPr>
          <w:rFonts w:ascii="Times New Roman" w:hAnsi="Times New Roman" w:cs="Times New Roman"/>
        </w:rPr>
        <w:t>.</w:t>
      </w:r>
      <w:r w:rsidRPr="00107C39">
        <w:rPr>
          <w:rFonts w:ascii="Times New Roman" w:hAnsi="Times New Roman" w:cs="Times New Roman"/>
        </w:rPr>
        <w:t xml:space="preserve"> Prediction of gestational diabetes mellitus by maternal factors and biomarkers at 11 to 13 weeks. Prenat Diagn</w:t>
      </w:r>
      <w:r w:rsidR="006C010B" w:rsidRPr="00107C39">
        <w:rPr>
          <w:rFonts w:ascii="Times New Roman" w:hAnsi="Times New Roman" w:cs="Times New Roman"/>
        </w:rPr>
        <w:t>. 2011;</w:t>
      </w:r>
      <w:r w:rsidRPr="00107C39">
        <w:rPr>
          <w:rFonts w:ascii="Times New Roman" w:hAnsi="Times New Roman" w:cs="Times New Roman"/>
        </w:rPr>
        <w:t xml:space="preserve"> 31:</w:t>
      </w:r>
      <w:r w:rsidR="006C010B" w:rsidRPr="00107C39">
        <w:rPr>
          <w:rFonts w:ascii="Times New Roman" w:hAnsi="Times New Roman" w:cs="Times New Roman"/>
        </w:rPr>
        <w:t xml:space="preserve"> </w:t>
      </w:r>
      <w:r w:rsidRPr="00107C39">
        <w:rPr>
          <w:rFonts w:ascii="Times New Roman" w:hAnsi="Times New Roman" w:cs="Times New Roman"/>
        </w:rPr>
        <w:t>135-41</w:t>
      </w:r>
      <w:bookmarkEnd w:id="15"/>
      <w:r w:rsidR="006C010B" w:rsidRPr="00107C39">
        <w:rPr>
          <w:rFonts w:ascii="Times New Roman" w:hAnsi="Times New Roman" w:cs="Times New Roman"/>
        </w:rPr>
        <w:t>.</w:t>
      </w:r>
    </w:p>
    <w:p w14:paraId="5AA717DC" w14:textId="2298A189" w:rsidR="00784B70" w:rsidRPr="00107C39" w:rsidRDefault="00784B70" w:rsidP="007F1F4A">
      <w:pPr>
        <w:pStyle w:val="EndNoteBibliography"/>
        <w:spacing w:after="0"/>
        <w:ind w:left="720" w:hanging="720"/>
        <w:rPr>
          <w:rFonts w:ascii="Times New Roman" w:hAnsi="Times New Roman" w:cs="Times New Roman"/>
        </w:rPr>
      </w:pPr>
      <w:bookmarkStart w:id="16" w:name="_ENREF_16"/>
      <w:r w:rsidRPr="00107C39">
        <w:rPr>
          <w:rFonts w:ascii="Times New Roman" w:hAnsi="Times New Roman" w:cs="Times New Roman"/>
        </w:rPr>
        <w:t>1</w:t>
      </w:r>
      <w:r w:rsidR="00697EE5" w:rsidRPr="00107C39">
        <w:rPr>
          <w:rFonts w:ascii="Times New Roman" w:hAnsi="Times New Roman" w:cs="Times New Roman"/>
        </w:rPr>
        <w:t>7</w:t>
      </w:r>
      <w:r w:rsidRPr="00107C39">
        <w:rPr>
          <w:rFonts w:ascii="Times New Roman" w:hAnsi="Times New Roman" w:cs="Times New Roman"/>
        </w:rPr>
        <w:t>.</w:t>
      </w:r>
      <w:r w:rsidRPr="00107C39">
        <w:rPr>
          <w:rFonts w:ascii="Times New Roman" w:hAnsi="Times New Roman" w:cs="Times New Roman"/>
        </w:rPr>
        <w:tab/>
        <w:t>Savvidou M, Nelson SM, Makgoba M, Messow CM, Sattar N, Nicolaides K</w:t>
      </w:r>
      <w:r w:rsidR="006C010B" w:rsidRPr="00107C39">
        <w:rPr>
          <w:rFonts w:ascii="Times New Roman" w:hAnsi="Times New Roman" w:cs="Times New Roman"/>
        </w:rPr>
        <w:t>.</w:t>
      </w:r>
      <w:r w:rsidRPr="00107C39">
        <w:rPr>
          <w:rFonts w:ascii="Times New Roman" w:hAnsi="Times New Roman" w:cs="Times New Roman"/>
        </w:rPr>
        <w:t xml:space="preserve"> First-trimester prediction of gestational diabetes mellitus: examining the potential of combining maternal characteristics and laboratory measures. Diabetes</w:t>
      </w:r>
      <w:r w:rsidR="006C010B" w:rsidRPr="00107C39">
        <w:rPr>
          <w:rFonts w:ascii="Times New Roman" w:hAnsi="Times New Roman" w:cs="Times New Roman"/>
        </w:rPr>
        <w:t>. 2010;</w:t>
      </w:r>
      <w:r w:rsidRPr="00107C39">
        <w:rPr>
          <w:rFonts w:ascii="Times New Roman" w:hAnsi="Times New Roman" w:cs="Times New Roman"/>
        </w:rPr>
        <w:t xml:space="preserve"> 59:</w:t>
      </w:r>
      <w:r w:rsidR="006C010B" w:rsidRPr="00107C39">
        <w:rPr>
          <w:rFonts w:ascii="Times New Roman" w:hAnsi="Times New Roman" w:cs="Times New Roman"/>
        </w:rPr>
        <w:t xml:space="preserve"> </w:t>
      </w:r>
      <w:r w:rsidRPr="00107C39">
        <w:rPr>
          <w:rFonts w:ascii="Times New Roman" w:hAnsi="Times New Roman" w:cs="Times New Roman"/>
        </w:rPr>
        <w:t>3017-22</w:t>
      </w:r>
      <w:bookmarkEnd w:id="16"/>
      <w:r w:rsidR="006C010B" w:rsidRPr="00107C39">
        <w:rPr>
          <w:rFonts w:ascii="Times New Roman" w:hAnsi="Times New Roman" w:cs="Times New Roman"/>
        </w:rPr>
        <w:t>.</w:t>
      </w:r>
    </w:p>
    <w:p w14:paraId="574B2EC8" w14:textId="5D0D69AD" w:rsidR="00784B70" w:rsidRPr="00107C39" w:rsidRDefault="00784B70" w:rsidP="007F1F4A">
      <w:pPr>
        <w:pStyle w:val="EndNoteBibliography"/>
        <w:spacing w:after="0"/>
        <w:ind w:left="720" w:hanging="720"/>
        <w:rPr>
          <w:rFonts w:ascii="Times New Roman" w:hAnsi="Times New Roman" w:cs="Times New Roman"/>
        </w:rPr>
      </w:pPr>
      <w:bookmarkStart w:id="17" w:name="_ENREF_17"/>
      <w:r w:rsidRPr="00107C39">
        <w:rPr>
          <w:rFonts w:ascii="Times New Roman" w:hAnsi="Times New Roman" w:cs="Times New Roman"/>
        </w:rPr>
        <w:t>1</w:t>
      </w:r>
      <w:r w:rsidR="00697EE5" w:rsidRPr="00107C39">
        <w:rPr>
          <w:rFonts w:ascii="Times New Roman" w:hAnsi="Times New Roman" w:cs="Times New Roman"/>
        </w:rPr>
        <w:t>8</w:t>
      </w:r>
      <w:r w:rsidRPr="00107C39">
        <w:rPr>
          <w:rFonts w:ascii="Times New Roman" w:hAnsi="Times New Roman" w:cs="Times New Roman"/>
        </w:rPr>
        <w:t>.</w:t>
      </w:r>
      <w:r w:rsidRPr="00107C39">
        <w:rPr>
          <w:rFonts w:ascii="Times New Roman" w:hAnsi="Times New Roman" w:cs="Times New Roman"/>
        </w:rPr>
        <w:tab/>
        <w:t>Thériault S, Giguère Y, Massé J, Girouard J, Forest J-C</w:t>
      </w:r>
      <w:r w:rsidR="006C010B" w:rsidRPr="00107C39">
        <w:rPr>
          <w:rFonts w:ascii="Times New Roman" w:hAnsi="Times New Roman" w:cs="Times New Roman"/>
        </w:rPr>
        <w:t>.</w:t>
      </w:r>
      <w:r w:rsidRPr="00107C39">
        <w:rPr>
          <w:rFonts w:ascii="Times New Roman" w:hAnsi="Times New Roman" w:cs="Times New Roman"/>
        </w:rPr>
        <w:t xml:space="preserve"> Early prediction of gestational diabetes: a practical model combining clinical and biochemical markers. Clin Chem Lab Med </w:t>
      </w:r>
      <w:r w:rsidR="006C010B" w:rsidRPr="00107C39">
        <w:rPr>
          <w:rFonts w:ascii="Times New Roman" w:hAnsi="Times New Roman" w:cs="Times New Roman"/>
        </w:rPr>
        <w:t xml:space="preserve">2016; </w:t>
      </w:r>
      <w:r w:rsidRPr="00107C39">
        <w:rPr>
          <w:rFonts w:ascii="Times New Roman" w:hAnsi="Times New Roman" w:cs="Times New Roman"/>
        </w:rPr>
        <w:t>54:</w:t>
      </w:r>
      <w:r w:rsidR="006C010B" w:rsidRPr="00107C39">
        <w:rPr>
          <w:rFonts w:ascii="Times New Roman" w:hAnsi="Times New Roman" w:cs="Times New Roman"/>
        </w:rPr>
        <w:t xml:space="preserve"> </w:t>
      </w:r>
      <w:r w:rsidRPr="00107C39">
        <w:rPr>
          <w:rFonts w:ascii="Times New Roman" w:hAnsi="Times New Roman" w:cs="Times New Roman"/>
        </w:rPr>
        <w:t>509-18</w:t>
      </w:r>
      <w:bookmarkEnd w:id="17"/>
      <w:r w:rsidR="006C010B" w:rsidRPr="00107C39">
        <w:rPr>
          <w:rFonts w:ascii="Times New Roman" w:hAnsi="Times New Roman" w:cs="Times New Roman"/>
        </w:rPr>
        <w:t>.</w:t>
      </w:r>
    </w:p>
    <w:p w14:paraId="7A4EA304" w14:textId="40765101" w:rsidR="00784B70" w:rsidRPr="00107C39" w:rsidRDefault="00784B70" w:rsidP="007F1F4A">
      <w:pPr>
        <w:pStyle w:val="EndNoteBibliography"/>
        <w:spacing w:after="0"/>
        <w:ind w:left="720" w:hanging="720"/>
        <w:rPr>
          <w:rFonts w:ascii="Times New Roman" w:hAnsi="Times New Roman" w:cs="Times New Roman"/>
        </w:rPr>
      </w:pPr>
      <w:bookmarkStart w:id="18" w:name="_ENREF_18"/>
      <w:r w:rsidRPr="00107C39">
        <w:rPr>
          <w:rFonts w:ascii="Times New Roman" w:hAnsi="Times New Roman" w:cs="Times New Roman"/>
        </w:rPr>
        <w:lastRenderedPageBreak/>
        <w:t>1</w:t>
      </w:r>
      <w:r w:rsidR="00697EE5" w:rsidRPr="00107C39">
        <w:rPr>
          <w:rFonts w:ascii="Times New Roman" w:hAnsi="Times New Roman" w:cs="Times New Roman"/>
        </w:rPr>
        <w:t>9</w:t>
      </w:r>
      <w:r w:rsidRPr="00107C39">
        <w:rPr>
          <w:rFonts w:ascii="Times New Roman" w:hAnsi="Times New Roman" w:cs="Times New Roman"/>
        </w:rPr>
        <w:t>.</w:t>
      </w:r>
      <w:r w:rsidRPr="00107C39">
        <w:rPr>
          <w:rFonts w:ascii="Times New Roman" w:hAnsi="Times New Roman" w:cs="Times New Roman"/>
        </w:rPr>
        <w:tab/>
        <w:t>Maitland RA, Seed PT, Briley AL</w:t>
      </w:r>
      <w:r w:rsidR="00107C39" w:rsidRPr="00107C39">
        <w:rPr>
          <w:rFonts w:ascii="Times New Roman" w:hAnsi="Times New Roman" w:cs="Times New Roman"/>
        </w:rPr>
        <w:t>, Homsy M, Thomas S, Pasupathy D,</w:t>
      </w:r>
      <w:r w:rsidR="00FB1F8E" w:rsidRPr="00107C39">
        <w:rPr>
          <w:rFonts w:ascii="Times New Roman" w:hAnsi="Times New Roman" w:cs="Times New Roman"/>
        </w:rPr>
        <w:t xml:space="preserve"> et al</w:t>
      </w:r>
      <w:r w:rsidR="00080496" w:rsidRPr="00107C39">
        <w:rPr>
          <w:rFonts w:ascii="Times New Roman" w:hAnsi="Times New Roman" w:cs="Times New Roman"/>
        </w:rPr>
        <w:t xml:space="preserve"> on behalf of the UPBEAT Trial Consortium</w:t>
      </w:r>
      <w:r w:rsidR="00107C39" w:rsidRPr="00107C39">
        <w:rPr>
          <w:rFonts w:ascii="Times New Roman" w:hAnsi="Times New Roman" w:cs="Times New Roman"/>
        </w:rPr>
        <w:t>.</w:t>
      </w:r>
      <w:r w:rsidRPr="00107C39">
        <w:rPr>
          <w:rFonts w:ascii="Times New Roman" w:hAnsi="Times New Roman" w:cs="Times New Roman"/>
        </w:rPr>
        <w:t xml:space="preserve"> Prediction of gestational diabetes in obese pregnant women from the UK Pregnancies Better Eating and Activity (UPBEAT) pilot trial. Diabet Med</w:t>
      </w:r>
      <w:r w:rsidR="00107C39" w:rsidRPr="00107C39">
        <w:rPr>
          <w:rFonts w:ascii="Times New Roman" w:hAnsi="Times New Roman" w:cs="Times New Roman"/>
        </w:rPr>
        <w:t>. 2014;</w:t>
      </w:r>
      <w:r w:rsidRPr="00107C39">
        <w:rPr>
          <w:rFonts w:ascii="Times New Roman" w:hAnsi="Times New Roman" w:cs="Times New Roman"/>
        </w:rPr>
        <w:t xml:space="preserve"> 31:</w:t>
      </w:r>
      <w:r w:rsidR="00107C39" w:rsidRPr="00107C39">
        <w:rPr>
          <w:rFonts w:ascii="Times New Roman" w:hAnsi="Times New Roman" w:cs="Times New Roman"/>
        </w:rPr>
        <w:t xml:space="preserve"> </w:t>
      </w:r>
      <w:r w:rsidRPr="00107C39">
        <w:rPr>
          <w:rFonts w:ascii="Times New Roman" w:hAnsi="Times New Roman" w:cs="Times New Roman"/>
        </w:rPr>
        <w:t>963-70</w:t>
      </w:r>
      <w:bookmarkEnd w:id="18"/>
      <w:r w:rsidR="00107C39" w:rsidRPr="00107C39">
        <w:rPr>
          <w:rFonts w:ascii="Times New Roman" w:hAnsi="Times New Roman" w:cs="Times New Roman"/>
        </w:rPr>
        <w:t>.</w:t>
      </w:r>
    </w:p>
    <w:p w14:paraId="35D0D407" w14:textId="288DF03D" w:rsidR="00784B70" w:rsidRPr="00107C39" w:rsidRDefault="00697EE5" w:rsidP="007F1F4A">
      <w:pPr>
        <w:pStyle w:val="EndNoteBibliography"/>
        <w:spacing w:after="0"/>
        <w:ind w:left="720" w:hanging="720"/>
        <w:rPr>
          <w:rFonts w:ascii="Times New Roman" w:hAnsi="Times New Roman" w:cs="Times New Roman"/>
        </w:rPr>
      </w:pPr>
      <w:bookmarkStart w:id="19" w:name="_ENREF_19"/>
      <w:r w:rsidRPr="00107C39">
        <w:rPr>
          <w:rFonts w:ascii="Times New Roman" w:hAnsi="Times New Roman" w:cs="Times New Roman"/>
        </w:rPr>
        <w:t>20</w:t>
      </w:r>
      <w:r w:rsidR="00784B70" w:rsidRPr="00107C39">
        <w:rPr>
          <w:rFonts w:ascii="Times New Roman" w:hAnsi="Times New Roman" w:cs="Times New Roman"/>
        </w:rPr>
        <w:t>.</w:t>
      </w:r>
      <w:r w:rsidR="00784B70" w:rsidRPr="00107C39">
        <w:rPr>
          <w:rFonts w:ascii="Times New Roman" w:hAnsi="Times New Roman" w:cs="Times New Roman"/>
        </w:rPr>
        <w:tab/>
        <w:t>Briley AL, Barr S, Badger S</w:t>
      </w:r>
      <w:r w:rsidR="00107C39" w:rsidRPr="00107C39">
        <w:rPr>
          <w:rFonts w:ascii="Times New Roman" w:hAnsi="Times New Roman" w:cs="Times New Roman"/>
        </w:rPr>
        <w:t>, Bell R, Croker H, Godfrey KM,</w:t>
      </w:r>
      <w:r w:rsidR="00FB1F8E" w:rsidRPr="00107C39">
        <w:rPr>
          <w:rFonts w:ascii="Times New Roman" w:hAnsi="Times New Roman" w:cs="Times New Roman"/>
        </w:rPr>
        <w:t xml:space="preserve"> et al</w:t>
      </w:r>
      <w:r w:rsidR="00107C39" w:rsidRPr="00107C39">
        <w:rPr>
          <w:rFonts w:ascii="Times New Roman" w:hAnsi="Times New Roman" w:cs="Times New Roman"/>
        </w:rPr>
        <w:t>.</w:t>
      </w:r>
      <w:r w:rsidR="00784B70" w:rsidRPr="00107C39">
        <w:rPr>
          <w:rFonts w:ascii="Times New Roman" w:hAnsi="Times New Roman" w:cs="Times New Roman"/>
        </w:rPr>
        <w:t xml:space="preserve"> A complex intervention to improve pregnancy outcome in obese women; the UPBEAT randomised controlled trial. BMC Pregnancy Childbirth</w:t>
      </w:r>
      <w:r w:rsidR="00107C39" w:rsidRPr="00107C39">
        <w:rPr>
          <w:rFonts w:ascii="Times New Roman" w:hAnsi="Times New Roman" w:cs="Times New Roman"/>
        </w:rPr>
        <w:t>. 2014;</w:t>
      </w:r>
      <w:r w:rsidR="00784B70" w:rsidRPr="00107C39">
        <w:rPr>
          <w:rFonts w:ascii="Times New Roman" w:hAnsi="Times New Roman" w:cs="Times New Roman"/>
        </w:rPr>
        <w:t>14:</w:t>
      </w:r>
      <w:r w:rsidR="00107C39" w:rsidRPr="00107C39">
        <w:rPr>
          <w:rFonts w:ascii="Times New Roman" w:hAnsi="Times New Roman" w:cs="Times New Roman"/>
        </w:rPr>
        <w:t xml:space="preserve"> </w:t>
      </w:r>
      <w:r w:rsidR="00784B70" w:rsidRPr="00107C39">
        <w:rPr>
          <w:rFonts w:ascii="Times New Roman" w:hAnsi="Times New Roman" w:cs="Times New Roman"/>
        </w:rPr>
        <w:t>74</w:t>
      </w:r>
      <w:bookmarkEnd w:id="19"/>
      <w:r w:rsidR="00107C39" w:rsidRPr="00107C39">
        <w:rPr>
          <w:rFonts w:ascii="Times New Roman" w:hAnsi="Times New Roman" w:cs="Times New Roman"/>
        </w:rPr>
        <w:t>.</w:t>
      </w:r>
    </w:p>
    <w:p w14:paraId="2762E8E3" w14:textId="492F926D" w:rsidR="00784B70" w:rsidRPr="00107C39" w:rsidRDefault="00784B70" w:rsidP="007F1F4A">
      <w:pPr>
        <w:pStyle w:val="EndNoteBibliography"/>
        <w:spacing w:after="0"/>
        <w:ind w:left="720" w:hanging="720"/>
        <w:rPr>
          <w:rFonts w:ascii="Times New Roman" w:hAnsi="Times New Roman" w:cs="Times New Roman"/>
        </w:rPr>
      </w:pPr>
      <w:bookmarkStart w:id="20" w:name="_ENREF_20"/>
      <w:r w:rsidRPr="00107C39">
        <w:rPr>
          <w:rFonts w:ascii="Times New Roman" w:hAnsi="Times New Roman" w:cs="Times New Roman"/>
        </w:rPr>
        <w:t>2</w:t>
      </w:r>
      <w:r w:rsidR="00697EE5" w:rsidRPr="00107C39">
        <w:rPr>
          <w:rFonts w:ascii="Times New Roman" w:hAnsi="Times New Roman" w:cs="Times New Roman"/>
        </w:rPr>
        <w:t>1</w:t>
      </w:r>
      <w:r w:rsidRPr="00107C39">
        <w:rPr>
          <w:rFonts w:ascii="Times New Roman" w:hAnsi="Times New Roman" w:cs="Times New Roman"/>
        </w:rPr>
        <w:t>.</w:t>
      </w:r>
      <w:r w:rsidRPr="00107C39">
        <w:rPr>
          <w:rFonts w:ascii="Times New Roman" w:hAnsi="Times New Roman" w:cs="Times New Roman"/>
        </w:rPr>
        <w:tab/>
      </w:r>
      <w:r w:rsidR="006F2B3E" w:rsidRPr="00107C39">
        <w:rPr>
          <w:rFonts w:ascii="Times New Roman" w:hAnsi="Times New Roman" w:cs="Times New Roman"/>
        </w:rPr>
        <w:t>IADP</w:t>
      </w:r>
      <w:r w:rsidRPr="00107C39">
        <w:rPr>
          <w:rFonts w:ascii="Times New Roman" w:hAnsi="Times New Roman" w:cs="Times New Roman"/>
        </w:rPr>
        <w:t>SGC</w:t>
      </w:r>
      <w:r w:rsidR="006F2B3E" w:rsidRPr="00107C39">
        <w:rPr>
          <w:rFonts w:ascii="Times New Roman" w:hAnsi="Times New Roman" w:cs="Times New Roman"/>
        </w:rPr>
        <w:t xml:space="preserve"> Panel</w:t>
      </w:r>
      <w:r w:rsidR="00107C39" w:rsidRPr="00107C39">
        <w:rPr>
          <w:rFonts w:ascii="Times New Roman" w:hAnsi="Times New Roman" w:cs="Times New Roman"/>
        </w:rPr>
        <w:t>.</w:t>
      </w:r>
      <w:r w:rsidRPr="00107C39">
        <w:rPr>
          <w:rFonts w:ascii="Times New Roman" w:hAnsi="Times New Roman" w:cs="Times New Roman"/>
        </w:rPr>
        <w:t xml:space="preserve"> International Association of Diabetes and Pregnancy Study Groups Recommendations on the Diagnosis and Classification of Hyperglycemia in Pregnancy. Diabetes Care</w:t>
      </w:r>
      <w:r w:rsidR="00107C39" w:rsidRPr="00107C39">
        <w:rPr>
          <w:rFonts w:ascii="Times New Roman" w:hAnsi="Times New Roman" w:cs="Times New Roman"/>
        </w:rPr>
        <w:t>. 2010;</w:t>
      </w:r>
      <w:r w:rsidRPr="00107C39">
        <w:rPr>
          <w:rFonts w:ascii="Times New Roman" w:hAnsi="Times New Roman" w:cs="Times New Roman"/>
        </w:rPr>
        <w:t>3:</w:t>
      </w:r>
      <w:r w:rsidR="00107C39" w:rsidRPr="00107C39">
        <w:rPr>
          <w:rFonts w:ascii="Times New Roman" w:hAnsi="Times New Roman" w:cs="Times New Roman"/>
        </w:rPr>
        <w:t xml:space="preserve"> </w:t>
      </w:r>
      <w:r w:rsidRPr="00107C39">
        <w:rPr>
          <w:rFonts w:ascii="Times New Roman" w:hAnsi="Times New Roman" w:cs="Times New Roman"/>
        </w:rPr>
        <w:t>676-82</w:t>
      </w:r>
      <w:bookmarkEnd w:id="20"/>
      <w:r w:rsidR="00107C39" w:rsidRPr="00107C39">
        <w:rPr>
          <w:rFonts w:ascii="Times New Roman" w:hAnsi="Times New Roman" w:cs="Times New Roman"/>
        </w:rPr>
        <w:t>.</w:t>
      </w:r>
    </w:p>
    <w:p w14:paraId="188D05DD" w14:textId="5E56E597" w:rsidR="00784B70" w:rsidRPr="00107C39" w:rsidRDefault="00784B70" w:rsidP="007F1F4A">
      <w:pPr>
        <w:pStyle w:val="EndNoteBibliography"/>
        <w:spacing w:after="0"/>
        <w:ind w:left="720" w:hanging="720"/>
        <w:rPr>
          <w:rFonts w:ascii="Times New Roman" w:hAnsi="Times New Roman" w:cs="Times New Roman"/>
        </w:rPr>
      </w:pPr>
      <w:bookmarkStart w:id="21" w:name="_ENREF_21"/>
      <w:r w:rsidRPr="00107C39">
        <w:rPr>
          <w:rFonts w:ascii="Times New Roman" w:hAnsi="Times New Roman" w:cs="Times New Roman"/>
        </w:rPr>
        <w:t>2</w:t>
      </w:r>
      <w:r w:rsidR="00697EE5" w:rsidRPr="00107C39">
        <w:rPr>
          <w:rFonts w:ascii="Times New Roman" w:hAnsi="Times New Roman" w:cs="Times New Roman"/>
        </w:rPr>
        <w:t>2</w:t>
      </w:r>
      <w:r w:rsidRPr="00107C39">
        <w:rPr>
          <w:rFonts w:ascii="Times New Roman" w:hAnsi="Times New Roman" w:cs="Times New Roman"/>
        </w:rPr>
        <w:t>.</w:t>
      </w:r>
      <w:r w:rsidRPr="00107C39">
        <w:rPr>
          <w:rFonts w:ascii="Times New Roman" w:hAnsi="Times New Roman" w:cs="Times New Roman"/>
        </w:rPr>
        <w:tab/>
        <w:t>Harrison GG BE, Carter JEL, Johnston FE, Lohman TG, Pollock ML, Roche AF, Wilmore J</w:t>
      </w:r>
      <w:r w:rsidR="00FB1F8E" w:rsidRPr="00107C39">
        <w:rPr>
          <w:rFonts w:ascii="Times New Roman" w:hAnsi="Times New Roman" w:cs="Times New Roman"/>
        </w:rPr>
        <w:t xml:space="preserve"> </w:t>
      </w:r>
      <w:r w:rsidRPr="00107C39">
        <w:rPr>
          <w:rFonts w:ascii="Times New Roman" w:hAnsi="Times New Roman" w:cs="Times New Roman"/>
        </w:rPr>
        <w:t xml:space="preserve"> Skinfold thicknesses and measurement technique. In</w:t>
      </w:r>
      <w:r w:rsidR="003D5125" w:rsidRPr="00107C39">
        <w:rPr>
          <w:rFonts w:ascii="Times New Roman" w:hAnsi="Times New Roman" w:cs="Times New Roman"/>
        </w:rPr>
        <w:t>:</w:t>
      </w:r>
      <w:r w:rsidR="00E11D69" w:rsidRPr="00107C39">
        <w:rPr>
          <w:rFonts w:ascii="Times New Roman" w:hAnsi="Times New Roman" w:cs="Times New Roman"/>
        </w:rPr>
        <w:t xml:space="preserve"> </w:t>
      </w:r>
      <w:r w:rsidRPr="00107C39">
        <w:rPr>
          <w:rFonts w:ascii="Times New Roman" w:hAnsi="Times New Roman" w:cs="Times New Roman"/>
        </w:rPr>
        <w:t>Lohman TG RA, Martorell R</w:t>
      </w:r>
      <w:r w:rsidR="001B1397" w:rsidRPr="00107C39">
        <w:rPr>
          <w:rFonts w:ascii="Times New Roman" w:hAnsi="Times New Roman" w:cs="Times New Roman"/>
        </w:rPr>
        <w:t>,</w:t>
      </w:r>
      <w:r w:rsidRPr="00107C39">
        <w:rPr>
          <w:rFonts w:ascii="Times New Roman" w:hAnsi="Times New Roman" w:cs="Times New Roman"/>
        </w:rPr>
        <w:t xml:space="preserve"> </w:t>
      </w:r>
      <w:r w:rsidR="003D5125" w:rsidRPr="00107C39">
        <w:rPr>
          <w:rFonts w:ascii="Times New Roman" w:hAnsi="Times New Roman" w:cs="Times New Roman"/>
        </w:rPr>
        <w:t>e</w:t>
      </w:r>
      <w:r w:rsidRPr="00107C39">
        <w:rPr>
          <w:rFonts w:ascii="Times New Roman" w:hAnsi="Times New Roman" w:cs="Times New Roman"/>
        </w:rPr>
        <w:t>d</w:t>
      </w:r>
      <w:r w:rsidR="001B1397" w:rsidRPr="00107C39">
        <w:rPr>
          <w:rFonts w:ascii="Times New Roman" w:hAnsi="Times New Roman" w:cs="Times New Roman"/>
        </w:rPr>
        <w:t>itor</w:t>
      </w:r>
      <w:r w:rsidR="008A0266" w:rsidRPr="00107C39">
        <w:rPr>
          <w:rFonts w:ascii="Times New Roman" w:hAnsi="Times New Roman" w:cs="Times New Roman"/>
        </w:rPr>
        <w:t>s</w:t>
      </w:r>
      <w:r w:rsidR="001B1397" w:rsidRPr="00107C39">
        <w:rPr>
          <w:rFonts w:ascii="Times New Roman" w:hAnsi="Times New Roman" w:cs="Times New Roman"/>
        </w:rPr>
        <w:t>.</w:t>
      </w:r>
      <w:r w:rsidR="00FB6B47" w:rsidRPr="00107C39">
        <w:rPr>
          <w:rFonts w:ascii="Times New Roman" w:hAnsi="Times New Roman" w:cs="Times New Roman"/>
        </w:rPr>
        <w:t xml:space="preserve"> Anthropometric Standardization Manual.</w:t>
      </w:r>
      <w:r w:rsidRPr="00107C39">
        <w:rPr>
          <w:rFonts w:ascii="Times New Roman" w:hAnsi="Times New Roman" w:cs="Times New Roman"/>
        </w:rPr>
        <w:t xml:space="preserve"> University of Michigan</w:t>
      </w:r>
      <w:r w:rsidR="008A0266" w:rsidRPr="00107C39">
        <w:rPr>
          <w:rFonts w:ascii="Times New Roman" w:hAnsi="Times New Roman" w:cs="Times New Roman"/>
        </w:rPr>
        <w:t>,</w:t>
      </w:r>
      <w:r w:rsidRPr="00107C39">
        <w:rPr>
          <w:rFonts w:ascii="Times New Roman" w:hAnsi="Times New Roman" w:cs="Times New Roman"/>
        </w:rPr>
        <w:t xml:space="preserve"> Human Kinetics Books, Champaign</w:t>
      </w:r>
      <w:r w:rsidR="001B1397" w:rsidRPr="00107C39">
        <w:rPr>
          <w:rFonts w:ascii="Times New Roman" w:hAnsi="Times New Roman" w:cs="Times New Roman"/>
        </w:rPr>
        <w:t>; 1991.</w:t>
      </w:r>
      <w:r w:rsidRPr="00107C39">
        <w:rPr>
          <w:rFonts w:ascii="Times New Roman" w:hAnsi="Times New Roman" w:cs="Times New Roman"/>
        </w:rPr>
        <w:t xml:space="preserve"> </w:t>
      </w:r>
      <w:r w:rsidR="008A0266" w:rsidRPr="00107C39">
        <w:rPr>
          <w:rFonts w:ascii="Times New Roman" w:hAnsi="Times New Roman" w:cs="Times New Roman"/>
        </w:rPr>
        <w:t xml:space="preserve"> </w:t>
      </w:r>
      <w:r w:rsidR="00107C39" w:rsidRPr="00107C39">
        <w:rPr>
          <w:rFonts w:ascii="Times New Roman" w:hAnsi="Times New Roman" w:cs="Times New Roman"/>
        </w:rPr>
        <w:t>p</w:t>
      </w:r>
      <w:r w:rsidR="00DD5A5D" w:rsidRPr="00107C39">
        <w:rPr>
          <w:rFonts w:ascii="Times New Roman" w:hAnsi="Times New Roman" w:cs="Times New Roman"/>
        </w:rPr>
        <w:t>p</w:t>
      </w:r>
      <w:r w:rsidRPr="00107C39">
        <w:rPr>
          <w:rFonts w:ascii="Times New Roman" w:hAnsi="Times New Roman" w:cs="Times New Roman"/>
        </w:rPr>
        <w:t xml:space="preserve"> 55-70</w:t>
      </w:r>
      <w:bookmarkEnd w:id="21"/>
    </w:p>
    <w:p w14:paraId="7526A801" w14:textId="569231A0" w:rsidR="00784B70" w:rsidRPr="00107C39" w:rsidRDefault="00784B70" w:rsidP="007F1F4A">
      <w:pPr>
        <w:pStyle w:val="EndNoteBibliography"/>
        <w:spacing w:after="0"/>
        <w:ind w:left="720" w:hanging="720"/>
        <w:rPr>
          <w:rFonts w:ascii="Times New Roman" w:hAnsi="Times New Roman" w:cs="Times New Roman"/>
        </w:rPr>
      </w:pPr>
      <w:bookmarkStart w:id="22" w:name="_ENREF_22"/>
      <w:r w:rsidRPr="00107C39">
        <w:rPr>
          <w:rFonts w:ascii="Times New Roman" w:hAnsi="Times New Roman" w:cs="Times New Roman"/>
        </w:rPr>
        <w:t>2</w:t>
      </w:r>
      <w:r w:rsidR="00697EE5" w:rsidRPr="00107C39">
        <w:rPr>
          <w:rFonts w:ascii="Times New Roman" w:hAnsi="Times New Roman" w:cs="Times New Roman"/>
        </w:rPr>
        <w:t>3</w:t>
      </w:r>
      <w:r w:rsidRPr="00107C39">
        <w:rPr>
          <w:rFonts w:ascii="Times New Roman" w:hAnsi="Times New Roman" w:cs="Times New Roman"/>
        </w:rPr>
        <w:t>.</w:t>
      </w:r>
      <w:r w:rsidRPr="00107C39">
        <w:rPr>
          <w:rFonts w:ascii="Times New Roman" w:hAnsi="Times New Roman" w:cs="Times New Roman"/>
        </w:rPr>
        <w:tab/>
        <w:t>Sattar N, Wannamethee SG, Forouhi NG</w:t>
      </w:r>
      <w:r w:rsidR="00DD5A5D" w:rsidRPr="00107C39">
        <w:rPr>
          <w:rFonts w:ascii="Times New Roman" w:hAnsi="Times New Roman" w:cs="Times New Roman"/>
        </w:rPr>
        <w:t xml:space="preserve"> (2008)</w:t>
      </w:r>
      <w:r w:rsidRPr="00107C39">
        <w:rPr>
          <w:rFonts w:ascii="Times New Roman" w:hAnsi="Times New Roman" w:cs="Times New Roman"/>
        </w:rPr>
        <w:t xml:space="preserve"> Novel biochemical risk factors for type 2 diabetes: pathogenic insights or prediction possibilities? Diabetologia 51:926-40</w:t>
      </w:r>
      <w:bookmarkEnd w:id="22"/>
    </w:p>
    <w:p w14:paraId="48983FD3" w14:textId="03CA9642" w:rsidR="00A471CF" w:rsidRPr="00107C39" w:rsidRDefault="00A471CF" w:rsidP="007F1F4A">
      <w:pPr>
        <w:pStyle w:val="EndNoteBibliography"/>
        <w:spacing w:after="0"/>
        <w:ind w:left="720" w:hanging="720"/>
        <w:rPr>
          <w:rFonts w:ascii="Times New Roman" w:hAnsi="Times New Roman" w:cs="Times New Roman"/>
        </w:rPr>
      </w:pPr>
      <w:r w:rsidRPr="00107C39">
        <w:rPr>
          <w:rFonts w:ascii="Times New Roman" w:hAnsi="Times New Roman" w:cs="Times New Roman"/>
        </w:rPr>
        <w:t>2</w:t>
      </w:r>
      <w:r w:rsidR="00697EE5" w:rsidRPr="00107C39">
        <w:rPr>
          <w:rFonts w:ascii="Times New Roman" w:hAnsi="Times New Roman" w:cs="Times New Roman"/>
        </w:rPr>
        <w:t>4</w:t>
      </w:r>
      <w:r w:rsidRPr="00107C39">
        <w:rPr>
          <w:rFonts w:ascii="Times New Roman" w:hAnsi="Times New Roman" w:cs="Times New Roman"/>
        </w:rPr>
        <w:t>.</w:t>
      </w:r>
      <w:r w:rsidRPr="00107C39">
        <w:rPr>
          <w:rFonts w:ascii="Times New Roman" w:hAnsi="Times New Roman" w:cs="Times New Roman"/>
        </w:rPr>
        <w:tab/>
        <w:t>Wurtz P, Havulinna AS, Soininen  P</w:t>
      </w:r>
      <w:r w:rsidR="00DD5A5D" w:rsidRPr="00107C39">
        <w:rPr>
          <w:rFonts w:ascii="Times New Roman" w:hAnsi="Times New Roman" w:cs="Times New Roman"/>
        </w:rPr>
        <w:t xml:space="preserve"> et al (2015)</w:t>
      </w:r>
      <w:r w:rsidR="002B7C1B" w:rsidRPr="00107C39">
        <w:rPr>
          <w:rFonts w:ascii="Times New Roman" w:hAnsi="Times New Roman" w:cs="Times New Roman"/>
        </w:rPr>
        <w:t xml:space="preserve"> </w:t>
      </w:r>
      <w:r w:rsidRPr="00107C39">
        <w:rPr>
          <w:rFonts w:ascii="Times New Roman" w:hAnsi="Times New Roman" w:cs="Times New Roman"/>
        </w:rPr>
        <w:t>Metabolite profiling and cardiovascular event risk: A prospective study of 3 population-based cohorts. Circulation  131:774-785</w:t>
      </w:r>
    </w:p>
    <w:p w14:paraId="2AD6946E" w14:textId="422DD077" w:rsidR="00A471CF" w:rsidRPr="00107C39" w:rsidRDefault="00A471CF" w:rsidP="007F1F4A">
      <w:pPr>
        <w:pStyle w:val="EndNoteBibliography"/>
        <w:spacing w:after="0"/>
        <w:ind w:left="720" w:hanging="720"/>
        <w:rPr>
          <w:rFonts w:ascii="Times New Roman" w:hAnsi="Times New Roman" w:cs="Times New Roman"/>
        </w:rPr>
      </w:pPr>
      <w:r w:rsidRPr="00107C39">
        <w:rPr>
          <w:rFonts w:ascii="Times New Roman" w:hAnsi="Times New Roman" w:cs="Times New Roman"/>
        </w:rPr>
        <w:t>2</w:t>
      </w:r>
      <w:r w:rsidR="00697EE5" w:rsidRPr="00107C39">
        <w:rPr>
          <w:rFonts w:ascii="Times New Roman" w:hAnsi="Times New Roman" w:cs="Times New Roman"/>
        </w:rPr>
        <w:t>5</w:t>
      </w:r>
      <w:r w:rsidRPr="00107C39">
        <w:rPr>
          <w:rFonts w:ascii="Times New Roman" w:hAnsi="Times New Roman" w:cs="Times New Roman"/>
        </w:rPr>
        <w:t>.</w:t>
      </w:r>
      <w:r w:rsidRPr="00107C39">
        <w:rPr>
          <w:rFonts w:ascii="Times New Roman" w:hAnsi="Times New Roman" w:cs="Times New Roman"/>
        </w:rPr>
        <w:tab/>
        <w:t>Fischer K, Kettunen J, Wurtz P</w:t>
      </w:r>
      <w:r w:rsidR="00DD5A5D" w:rsidRPr="00107C39">
        <w:rPr>
          <w:rFonts w:ascii="Times New Roman" w:hAnsi="Times New Roman" w:cs="Times New Roman"/>
        </w:rPr>
        <w:t xml:space="preserve"> et al (2014)</w:t>
      </w:r>
      <w:r w:rsidRPr="00107C39">
        <w:rPr>
          <w:rFonts w:ascii="Times New Roman" w:hAnsi="Times New Roman" w:cs="Times New Roman"/>
        </w:rPr>
        <w:t xml:space="preserve"> Biomarker profiling by nuclear magnetic resonance spectroscopy for the prediction of all-cause mortality: An observational study of 17,345 persons. PLoS</w:t>
      </w:r>
      <w:r w:rsidR="008074EF" w:rsidRPr="00107C39">
        <w:rPr>
          <w:rFonts w:ascii="Times New Roman" w:hAnsi="Times New Roman" w:cs="Times New Roman"/>
        </w:rPr>
        <w:t xml:space="preserve"> Med</w:t>
      </w:r>
      <w:r w:rsidR="00B425FB" w:rsidRPr="00107C39">
        <w:rPr>
          <w:rFonts w:ascii="Times New Roman" w:hAnsi="Times New Roman" w:cs="Times New Roman"/>
        </w:rPr>
        <w:t>. 2014;</w:t>
      </w:r>
      <w:r w:rsidR="008074EF" w:rsidRPr="00107C39">
        <w:rPr>
          <w:rFonts w:ascii="Times New Roman" w:hAnsi="Times New Roman" w:cs="Times New Roman"/>
        </w:rPr>
        <w:t>11:</w:t>
      </w:r>
      <w:r w:rsidR="00B425FB" w:rsidRPr="00107C39">
        <w:rPr>
          <w:rFonts w:ascii="Times New Roman" w:hAnsi="Times New Roman" w:cs="Times New Roman"/>
        </w:rPr>
        <w:t xml:space="preserve"> </w:t>
      </w:r>
      <w:r w:rsidR="008074EF" w:rsidRPr="00107C39">
        <w:rPr>
          <w:rFonts w:ascii="Times New Roman" w:hAnsi="Times New Roman" w:cs="Times New Roman"/>
        </w:rPr>
        <w:t>e1001606</w:t>
      </w:r>
      <w:r w:rsidR="00B425FB" w:rsidRPr="00107C39">
        <w:rPr>
          <w:rFonts w:ascii="Times New Roman" w:hAnsi="Times New Roman" w:cs="Times New Roman"/>
        </w:rPr>
        <w:t>.</w:t>
      </w:r>
    </w:p>
    <w:p w14:paraId="0508FE01" w14:textId="7AAC133C" w:rsidR="00A471CF" w:rsidRPr="00107C39" w:rsidRDefault="008074EF" w:rsidP="007F1F4A">
      <w:pPr>
        <w:pStyle w:val="EndNoteBibliography"/>
        <w:spacing w:after="0"/>
        <w:ind w:left="720" w:hanging="720"/>
        <w:rPr>
          <w:rFonts w:ascii="Times New Roman" w:hAnsi="Times New Roman" w:cs="Times New Roman"/>
        </w:rPr>
      </w:pPr>
      <w:r w:rsidRPr="00107C39">
        <w:rPr>
          <w:rFonts w:ascii="Times New Roman" w:hAnsi="Times New Roman" w:cs="Times New Roman"/>
        </w:rPr>
        <w:t>2</w:t>
      </w:r>
      <w:r w:rsidR="00697EE5" w:rsidRPr="00107C39">
        <w:rPr>
          <w:rFonts w:ascii="Times New Roman" w:hAnsi="Times New Roman" w:cs="Times New Roman"/>
        </w:rPr>
        <w:t>6</w:t>
      </w:r>
      <w:r w:rsidR="00A471CF" w:rsidRPr="00107C39">
        <w:rPr>
          <w:rFonts w:ascii="Times New Roman" w:hAnsi="Times New Roman" w:cs="Times New Roman"/>
        </w:rPr>
        <w:t>.</w:t>
      </w:r>
      <w:r w:rsidR="00A471CF" w:rsidRPr="00107C39">
        <w:rPr>
          <w:rFonts w:ascii="Times New Roman" w:hAnsi="Times New Roman" w:cs="Times New Roman"/>
        </w:rPr>
        <w:tab/>
      </w:r>
      <w:r w:rsidRPr="00107C39">
        <w:rPr>
          <w:rFonts w:ascii="Times New Roman" w:hAnsi="Times New Roman" w:cs="Times New Roman"/>
        </w:rPr>
        <w:t>Wurtz P, Makinen VP, Soininen P</w:t>
      </w:r>
      <w:r w:rsidR="00B425FB" w:rsidRPr="00107C39">
        <w:rPr>
          <w:rFonts w:ascii="Times New Roman" w:hAnsi="Times New Roman" w:cs="Times New Roman"/>
        </w:rPr>
        <w:t>, Kangas AJ, Tukiainen T, Kettunen J,</w:t>
      </w:r>
      <w:r w:rsidR="00DD5A5D" w:rsidRPr="00107C39">
        <w:rPr>
          <w:rFonts w:ascii="Times New Roman" w:hAnsi="Times New Roman" w:cs="Times New Roman"/>
        </w:rPr>
        <w:t xml:space="preserve"> et al</w:t>
      </w:r>
      <w:r w:rsidR="00B425FB" w:rsidRPr="00107C39">
        <w:rPr>
          <w:rFonts w:ascii="Times New Roman" w:hAnsi="Times New Roman" w:cs="Times New Roman"/>
        </w:rPr>
        <w:t>.</w:t>
      </w:r>
      <w:r w:rsidRPr="00107C39">
        <w:rPr>
          <w:rFonts w:ascii="Times New Roman" w:hAnsi="Times New Roman" w:cs="Times New Roman"/>
        </w:rPr>
        <w:t xml:space="preserve"> Metabolic signatures of insulin resistance in 7098 young adults. Diabetes</w:t>
      </w:r>
      <w:r w:rsidR="00B425FB" w:rsidRPr="00107C39">
        <w:rPr>
          <w:rFonts w:ascii="Times New Roman" w:hAnsi="Times New Roman" w:cs="Times New Roman"/>
        </w:rPr>
        <w:t>. 2012;</w:t>
      </w:r>
      <w:r w:rsidRPr="00107C39">
        <w:rPr>
          <w:rFonts w:ascii="Times New Roman" w:hAnsi="Times New Roman" w:cs="Times New Roman"/>
        </w:rPr>
        <w:t>61:</w:t>
      </w:r>
      <w:r w:rsidR="00B425FB" w:rsidRPr="00107C39">
        <w:rPr>
          <w:rFonts w:ascii="Times New Roman" w:hAnsi="Times New Roman" w:cs="Times New Roman"/>
        </w:rPr>
        <w:t xml:space="preserve"> </w:t>
      </w:r>
      <w:r w:rsidRPr="00107C39">
        <w:rPr>
          <w:rFonts w:ascii="Times New Roman" w:hAnsi="Times New Roman" w:cs="Times New Roman"/>
        </w:rPr>
        <w:t>1372-80</w:t>
      </w:r>
      <w:r w:rsidR="00B425FB" w:rsidRPr="00107C39">
        <w:rPr>
          <w:rFonts w:ascii="Times New Roman" w:hAnsi="Times New Roman" w:cs="Times New Roman"/>
        </w:rPr>
        <w:t>.</w:t>
      </w:r>
    </w:p>
    <w:p w14:paraId="7808C427" w14:textId="3667A8FB" w:rsidR="00545BAF" w:rsidRPr="00107C39" w:rsidRDefault="008074EF" w:rsidP="007F1F4A">
      <w:pPr>
        <w:pStyle w:val="EndNoteBibliography"/>
        <w:spacing w:after="0"/>
        <w:ind w:left="720" w:hanging="720"/>
        <w:rPr>
          <w:rFonts w:ascii="Times New Roman" w:hAnsi="Times New Roman" w:cs="Times New Roman"/>
        </w:rPr>
      </w:pPr>
      <w:r w:rsidRPr="00107C39">
        <w:rPr>
          <w:rFonts w:ascii="Times New Roman" w:hAnsi="Times New Roman" w:cs="Times New Roman"/>
        </w:rPr>
        <w:t>2</w:t>
      </w:r>
      <w:r w:rsidR="00697EE5" w:rsidRPr="00107C39">
        <w:rPr>
          <w:rFonts w:ascii="Times New Roman" w:hAnsi="Times New Roman" w:cs="Times New Roman"/>
        </w:rPr>
        <w:t>7</w:t>
      </w:r>
      <w:r w:rsidR="00A471CF" w:rsidRPr="00107C39">
        <w:rPr>
          <w:rFonts w:ascii="Times New Roman" w:hAnsi="Times New Roman" w:cs="Times New Roman"/>
        </w:rPr>
        <w:t>.</w:t>
      </w:r>
      <w:r w:rsidR="00A471CF" w:rsidRPr="00107C39">
        <w:rPr>
          <w:rFonts w:ascii="Times New Roman" w:hAnsi="Times New Roman" w:cs="Times New Roman"/>
        </w:rPr>
        <w:tab/>
      </w:r>
      <w:r w:rsidR="00E11D69" w:rsidRPr="00107C39">
        <w:rPr>
          <w:rFonts w:ascii="Times New Roman" w:hAnsi="Times New Roman" w:cs="Times New Roman"/>
        </w:rPr>
        <w:t>Soininen P, Kangas AJ, Wurtz P, Suna T, Ala-Korpela M</w:t>
      </w:r>
      <w:r w:rsidR="00B425FB" w:rsidRPr="00107C39">
        <w:rPr>
          <w:rFonts w:ascii="Times New Roman" w:hAnsi="Times New Roman" w:cs="Times New Roman"/>
        </w:rPr>
        <w:t>.</w:t>
      </w:r>
      <w:r w:rsidR="00E11D69" w:rsidRPr="00107C39">
        <w:rPr>
          <w:rFonts w:ascii="Times New Roman" w:hAnsi="Times New Roman" w:cs="Times New Roman"/>
        </w:rPr>
        <w:t xml:space="preserve"> Quantitative serum nuclear magnetic resonance metabolomics in cardiovascular epidemiology and genetics. Circ Cardiovasc Genet</w:t>
      </w:r>
      <w:r w:rsidR="00B425FB" w:rsidRPr="00107C39">
        <w:rPr>
          <w:rFonts w:ascii="Times New Roman" w:hAnsi="Times New Roman" w:cs="Times New Roman"/>
        </w:rPr>
        <w:t>. 2015;</w:t>
      </w:r>
      <w:r w:rsidR="00E11D69" w:rsidRPr="00107C39">
        <w:rPr>
          <w:rFonts w:ascii="Times New Roman" w:hAnsi="Times New Roman" w:cs="Times New Roman"/>
        </w:rPr>
        <w:t>8:</w:t>
      </w:r>
      <w:r w:rsidR="00B425FB" w:rsidRPr="00107C39">
        <w:rPr>
          <w:rFonts w:ascii="Times New Roman" w:hAnsi="Times New Roman" w:cs="Times New Roman"/>
        </w:rPr>
        <w:t xml:space="preserve"> </w:t>
      </w:r>
      <w:r w:rsidR="00E11D69" w:rsidRPr="00107C39">
        <w:rPr>
          <w:rFonts w:ascii="Times New Roman" w:hAnsi="Times New Roman" w:cs="Times New Roman"/>
        </w:rPr>
        <w:t>192-206</w:t>
      </w:r>
      <w:r w:rsidR="00B425FB" w:rsidRPr="00107C39">
        <w:rPr>
          <w:rFonts w:ascii="Times New Roman" w:hAnsi="Times New Roman" w:cs="Times New Roman"/>
        </w:rPr>
        <w:t>.</w:t>
      </w:r>
      <w:r w:rsidR="00E11D69" w:rsidRPr="00107C39">
        <w:rPr>
          <w:rFonts w:ascii="Times New Roman" w:hAnsi="Times New Roman" w:cs="Times New Roman"/>
        </w:rPr>
        <w:t xml:space="preserve"> </w:t>
      </w:r>
      <w:bookmarkStart w:id="23" w:name="_ENREF_23"/>
    </w:p>
    <w:p w14:paraId="67081B75" w14:textId="119D0DAA" w:rsidR="00784B70" w:rsidRPr="00107C39" w:rsidRDefault="00784B70" w:rsidP="007F1F4A">
      <w:pPr>
        <w:pStyle w:val="EndNoteBibliography"/>
        <w:spacing w:after="0"/>
        <w:ind w:left="720" w:hanging="720"/>
        <w:rPr>
          <w:rFonts w:ascii="Times New Roman" w:hAnsi="Times New Roman" w:cs="Times New Roman"/>
        </w:rPr>
      </w:pPr>
      <w:r w:rsidRPr="00107C39">
        <w:rPr>
          <w:rFonts w:ascii="Times New Roman" w:hAnsi="Times New Roman" w:cs="Times New Roman"/>
        </w:rPr>
        <w:t>2</w:t>
      </w:r>
      <w:r w:rsidR="00697EE5" w:rsidRPr="00107C39">
        <w:rPr>
          <w:rFonts w:ascii="Times New Roman" w:hAnsi="Times New Roman" w:cs="Times New Roman"/>
        </w:rPr>
        <w:t>8</w:t>
      </w:r>
      <w:r w:rsidRPr="00107C39">
        <w:rPr>
          <w:rFonts w:ascii="Times New Roman" w:hAnsi="Times New Roman" w:cs="Times New Roman"/>
        </w:rPr>
        <w:t>.</w:t>
      </w:r>
      <w:r w:rsidRPr="00107C39">
        <w:rPr>
          <w:rFonts w:ascii="Times New Roman" w:hAnsi="Times New Roman" w:cs="Times New Roman"/>
        </w:rPr>
        <w:tab/>
        <w:t>Wright E RP</w:t>
      </w:r>
      <w:r w:rsidR="00B425FB" w:rsidRPr="00107C39">
        <w:rPr>
          <w:rFonts w:ascii="Times New Roman" w:hAnsi="Times New Roman" w:cs="Times New Roman"/>
        </w:rPr>
        <w:t>.</w:t>
      </w:r>
      <w:r w:rsidR="00DD5A5D" w:rsidRPr="00107C39">
        <w:rPr>
          <w:rFonts w:ascii="Times New Roman" w:hAnsi="Times New Roman" w:cs="Times New Roman"/>
        </w:rPr>
        <w:t xml:space="preserve"> </w:t>
      </w:r>
      <w:r w:rsidRPr="00107C39">
        <w:rPr>
          <w:rFonts w:ascii="Times New Roman" w:hAnsi="Times New Roman" w:cs="Times New Roman"/>
        </w:rPr>
        <w:t xml:space="preserve"> Age-specific reference intervals ("normal ranges")</w:t>
      </w:r>
      <w:r w:rsidR="00B425FB" w:rsidRPr="00107C39">
        <w:rPr>
          <w:rFonts w:ascii="Times New Roman" w:hAnsi="Times New Roman" w:cs="Times New Roman"/>
        </w:rPr>
        <w:t>.</w:t>
      </w:r>
      <w:r w:rsidRPr="00107C39">
        <w:rPr>
          <w:rFonts w:ascii="Times New Roman" w:hAnsi="Times New Roman" w:cs="Times New Roman"/>
        </w:rPr>
        <w:t xml:space="preserve"> Stata Technical Bulletin; </w:t>
      </w:r>
      <w:r w:rsidR="00B425FB" w:rsidRPr="00107C39">
        <w:rPr>
          <w:rFonts w:ascii="Times New Roman" w:hAnsi="Times New Roman" w:cs="Times New Roman"/>
        </w:rPr>
        <w:t xml:space="preserve">1996. pp. </w:t>
      </w:r>
      <w:r w:rsidRPr="00107C39">
        <w:rPr>
          <w:rFonts w:ascii="Times New Roman" w:hAnsi="Times New Roman" w:cs="Times New Roman"/>
        </w:rPr>
        <w:t>24-3</w:t>
      </w:r>
      <w:r w:rsidR="00BE3EA4" w:rsidRPr="00107C39">
        <w:rPr>
          <w:rFonts w:ascii="Times New Roman" w:hAnsi="Times New Roman" w:cs="Times New Roman"/>
        </w:rPr>
        <w:t>4</w:t>
      </w:r>
      <w:bookmarkEnd w:id="23"/>
      <w:r w:rsidR="00B425FB" w:rsidRPr="00107C39">
        <w:rPr>
          <w:rFonts w:ascii="Times New Roman" w:hAnsi="Times New Roman" w:cs="Times New Roman"/>
        </w:rPr>
        <w:t>.</w:t>
      </w:r>
    </w:p>
    <w:p w14:paraId="3D124354" w14:textId="71A0E7A2" w:rsidR="00784B70" w:rsidRPr="00107C39" w:rsidRDefault="006F2B3E" w:rsidP="007F1F4A">
      <w:pPr>
        <w:pStyle w:val="EndNoteBibliography"/>
        <w:spacing w:after="0"/>
        <w:ind w:left="720" w:hanging="720"/>
        <w:rPr>
          <w:rFonts w:ascii="Times New Roman" w:hAnsi="Times New Roman" w:cs="Times New Roman"/>
        </w:rPr>
      </w:pPr>
      <w:bookmarkStart w:id="24" w:name="_ENREF_24"/>
      <w:r w:rsidRPr="00107C39">
        <w:rPr>
          <w:rFonts w:ascii="Times New Roman" w:hAnsi="Times New Roman" w:cs="Times New Roman"/>
        </w:rPr>
        <w:t>2</w:t>
      </w:r>
      <w:r w:rsidR="00697EE5" w:rsidRPr="00107C39">
        <w:rPr>
          <w:rFonts w:ascii="Times New Roman" w:hAnsi="Times New Roman" w:cs="Times New Roman"/>
        </w:rPr>
        <w:t>9</w:t>
      </w:r>
      <w:r w:rsidRPr="00107C39">
        <w:rPr>
          <w:rFonts w:ascii="Times New Roman" w:hAnsi="Times New Roman" w:cs="Times New Roman"/>
        </w:rPr>
        <w:t>.</w:t>
      </w:r>
      <w:r w:rsidRPr="00107C39">
        <w:rPr>
          <w:rFonts w:ascii="Times New Roman" w:hAnsi="Times New Roman" w:cs="Times New Roman"/>
        </w:rPr>
        <w:tab/>
      </w:r>
      <w:r w:rsidR="004A04C5" w:rsidRPr="00107C39">
        <w:rPr>
          <w:rFonts w:ascii="Times New Roman" w:hAnsi="Times New Roman" w:cs="Times New Roman"/>
        </w:rPr>
        <w:t>Mayo Clinic Patient Care &amp; Health Information</w:t>
      </w:r>
      <w:r w:rsidR="00DD5A5D" w:rsidRPr="00107C39">
        <w:rPr>
          <w:rFonts w:ascii="Times New Roman" w:hAnsi="Times New Roman" w:cs="Times New Roman"/>
        </w:rPr>
        <w:t xml:space="preserve"> </w:t>
      </w:r>
      <w:r w:rsidR="004A04C5" w:rsidRPr="00107C39">
        <w:rPr>
          <w:rFonts w:ascii="Times New Roman" w:hAnsi="Times New Roman" w:cs="Times New Roman"/>
        </w:rPr>
        <w:t>. Available</w:t>
      </w:r>
      <w:r w:rsidR="00B425FB" w:rsidRPr="00107C39">
        <w:rPr>
          <w:rFonts w:ascii="Times New Roman" w:hAnsi="Times New Roman" w:cs="Times New Roman"/>
        </w:rPr>
        <w:t>:</w:t>
      </w:r>
      <w:r w:rsidR="004A04C5" w:rsidRPr="00107C39">
        <w:rPr>
          <w:rFonts w:ascii="Times New Roman" w:hAnsi="Times New Roman" w:cs="Times New Roman"/>
        </w:rPr>
        <w:t xml:space="preserve"> </w:t>
      </w:r>
      <w:r w:rsidR="007F1F4A" w:rsidRPr="007F1F4A">
        <w:rPr>
          <w:rFonts w:ascii="Times New Roman" w:hAnsi="Times New Roman" w:cs="Times New Roman"/>
        </w:rPr>
        <w:t>http://www.mayoclinic.org/tests-</w:t>
      </w:r>
      <w:r w:rsidR="00784B70" w:rsidRPr="00107C39">
        <w:rPr>
          <w:rFonts w:ascii="Times New Roman" w:hAnsi="Times New Roman" w:cs="Times New Roman"/>
        </w:rPr>
        <w:t>procedures/cholesterol-test/details/results/rsc-20169555</w:t>
      </w:r>
      <w:bookmarkEnd w:id="24"/>
    </w:p>
    <w:p w14:paraId="00ADAF9B" w14:textId="67C5CEA2" w:rsidR="00784B70" w:rsidRPr="00107C39" w:rsidRDefault="00697EE5" w:rsidP="007F1F4A">
      <w:pPr>
        <w:pStyle w:val="EndNoteBibliography"/>
        <w:spacing w:after="0"/>
        <w:ind w:left="720" w:hanging="720"/>
        <w:rPr>
          <w:rFonts w:ascii="Times New Roman" w:hAnsi="Times New Roman" w:cs="Times New Roman"/>
        </w:rPr>
      </w:pPr>
      <w:bookmarkStart w:id="25" w:name="_ENREF_25"/>
      <w:r w:rsidRPr="00107C39">
        <w:rPr>
          <w:rFonts w:ascii="Times New Roman" w:hAnsi="Times New Roman" w:cs="Times New Roman"/>
        </w:rPr>
        <w:t>30</w:t>
      </w:r>
      <w:r w:rsidR="00784B70" w:rsidRPr="00107C39">
        <w:rPr>
          <w:rFonts w:ascii="Times New Roman" w:hAnsi="Times New Roman" w:cs="Times New Roman"/>
        </w:rPr>
        <w:t>.</w:t>
      </w:r>
      <w:r w:rsidR="00784B70" w:rsidRPr="00107C39">
        <w:rPr>
          <w:rFonts w:ascii="Times New Roman" w:hAnsi="Times New Roman" w:cs="Times New Roman"/>
        </w:rPr>
        <w:tab/>
        <w:t>Altman DG, Andersen PK</w:t>
      </w:r>
      <w:r w:rsidR="00B425FB" w:rsidRPr="00107C39">
        <w:rPr>
          <w:rFonts w:ascii="Times New Roman" w:hAnsi="Times New Roman" w:cs="Times New Roman"/>
        </w:rPr>
        <w:t>.</w:t>
      </w:r>
      <w:r w:rsidR="00784B70" w:rsidRPr="00107C39">
        <w:rPr>
          <w:rFonts w:ascii="Times New Roman" w:hAnsi="Times New Roman" w:cs="Times New Roman"/>
        </w:rPr>
        <w:t xml:space="preserve"> Bootstrap investigation of the stability of a cox regression model. Stat Med</w:t>
      </w:r>
      <w:r w:rsidR="00B425FB" w:rsidRPr="00107C39">
        <w:rPr>
          <w:rFonts w:ascii="Times New Roman" w:hAnsi="Times New Roman" w:cs="Times New Roman"/>
        </w:rPr>
        <w:t>. 1989;</w:t>
      </w:r>
      <w:r w:rsidR="00784B70" w:rsidRPr="00107C39">
        <w:rPr>
          <w:rFonts w:ascii="Times New Roman" w:hAnsi="Times New Roman" w:cs="Times New Roman"/>
        </w:rPr>
        <w:t>8:</w:t>
      </w:r>
      <w:r w:rsidR="00B425FB" w:rsidRPr="00107C39">
        <w:rPr>
          <w:rFonts w:ascii="Times New Roman" w:hAnsi="Times New Roman" w:cs="Times New Roman"/>
        </w:rPr>
        <w:t xml:space="preserve"> </w:t>
      </w:r>
      <w:r w:rsidR="00784B70" w:rsidRPr="00107C39">
        <w:rPr>
          <w:rFonts w:ascii="Times New Roman" w:hAnsi="Times New Roman" w:cs="Times New Roman"/>
        </w:rPr>
        <w:t>771-83</w:t>
      </w:r>
      <w:bookmarkEnd w:id="25"/>
      <w:r w:rsidR="00B425FB" w:rsidRPr="00107C39">
        <w:rPr>
          <w:rFonts w:ascii="Times New Roman" w:hAnsi="Times New Roman" w:cs="Times New Roman"/>
        </w:rPr>
        <w:t>.</w:t>
      </w:r>
    </w:p>
    <w:p w14:paraId="17E403A5" w14:textId="4CD08DF0" w:rsidR="00DD5A5D" w:rsidRPr="00107C39" w:rsidRDefault="008A0266" w:rsidP="007F1F4A">
      <w:pPr>
        <w:pStyle w:val="EndNoteBibliography"/>
        <w:spacing w:after="0"/>
        <w:ind w:left="720" w:hanging="720"/>
        <w:rPr>
          <w:rFonts w:ascii="Times New Roman" w:hAnsi="Times New Roman" w:cs="Times New Roman"/>
        </w:rPr>
      </w:pPr>
      <w:bookmarkStart w:id="26" w:name="_ENREF_26"/>
      <w:r w:rsidRPr="00107C39">
        <w:rPr>
          <w:rFonts w:ascii="Times New Roman" w:hAnsi="Times New Roman" w:cs="Times New Roman"/>
        </w:rPr>
        <w:t>3</w:t>
      </w:r>
      <w:r w:rsidR="00697EE5" w:rsidRPr="00107C39">
        <w:rPr>
          <w:rFonts w:ascii="Times New Roman" w:hAnsi="Times New Roman" w:cs="Times New Roman"/>
        </w:rPr>
        <w:t>1</w:t>
      </w:r>
      <w:r w:rsidR="00784B70" w:rsidRPr="00107C39">
        <w:rPr>
          <w:rFonts w:ascii="Times New Roman" w:hAnsi="Times New Roman" w:cs="Times New Roman"/>
        </w:rPr>
        <w:t>.</w:t>
      </w:r>
      <w:r w:rsidR="00784B70" w:rsidRPr="00107C39">
        <w:rPr>
          <w:rFonts w:ascii="Times New Roman" w:hAnsi="Times New Roman" w:cs="Times New Roman"/>
        </w:rPr>
        <w:tab/>
      </w:r>
      <w:r w:rsidR="00B955AE">
        <w:rPr>
          <w:rFonts w:ascii="Times New Roman" w:hAnsi="Times New Roman" w:cs="Times New Roman"/>
        </w:rPr>
        <w:t>Ivanescu AE, Li P, George B, Brown AW, Keith SW, Raju D, et al. The importance of prediction model validation and assessment in obesity and nutrition research. Int J Obes (Lond).</w:t>
      </w:r>
      <w:bookmarkEnd w:id="26"/>
      <w:r w:rsidR="00B955AE">
        <w:rPr>
          <w:rFonts w:ascii="Times New Roman" w:hAnsi="Times New Roman" w:cs="Times New Roman"/>
        </w:rPr>
        <w:t xml:space="preserve"> 2016;40: 887-94.</w:t>
      </w:r>
    </w:p>
    <w:p w14:paraId="212822FC" w14:textId="21736EB2" w:rsidR="00784B70" w:rsidRPr="00107C39" w:rsidRDefault="0005799A" w:rsidP="007F1F4A">
      <w:pPr>
        <w:pStyle w:val="EndNoteBibliography"/>
        <w:spacing w:after="0"/>
        <w:ind w:left="720" w:hanging="720"/>
        <w:rPr>
          <w:rFonts w:ascii="Times New Roman" w:hAnsi="Times New Roman" w:cs="Times New Roman"/>
        </w:rPr>
      </w:pPr>
      <w:bookmarkStart w:id="27" w:name="_ENREF_27"/>
      <w:r w:rsidRPr="00107C39">
        <w:rPr>
          <w:rFonts w:ascii="Times New Roman" w:hAnsi="Times New Roman" w:cs="Times New Roman"/>
        </w:rPr>
        <w:t>3</w:t>
      </w:r>
      <w:r w:rsidR="00697EE5" w:rsidRPr="00107C39">
        <w:rPr>
          <w:rFonts w:ascii="Times New Roman" w:hAnsi="Times New Roman" w:cs="Times New Roman"/>
        </w:rPr>
        <w:t>2</w:t>
      </w:r>
      <w:r w:rsidR="00784B70" w:rsidRPr="00107C39">
        <w:rPr>
          <w:rFonts w:ascii="Times New Roman" w:hAnsi="Times New Roman" w:cs="Times New Roman"/>
        </w:rPr>
        <w:t>.</w:t>
      </w:r>
      <w:r w:rsidR="00784B70" w:rsidRPr="00107C39">
        <w:rPr>
          <w:rFonts w:ascii="Times New Roman" w:hAnsi="Times New Roman" w:cs="Times New Roman"/>
        </w:rPr>
        <w:tab/>
        <w:t>Malik VS, Willett WC, Hu FB</w:t>
      </w:r>
      <w:r w:rsidR="00B425FB" w:rsidRPr="00107C39">
        <w:rPr>
          <w:rFonts w:ascii="Times New Roman" w:hAnsi="Times New Roman" w:cs="Times New Roman"/>
        </w:rPr>
        <w:t>.</w:t>
      </w:r>
      <w:r w:rsidR="00DD5A5D" w:rsidRPr="00107C39">
        <w:rPr>
          <w:rFonts w:ascii="Times New Roman" w:hAnsi="Times New Roman" w:cs="Times New Roman"/>
        </w:rPr>
        <w:t xml:space="preserve"> </w:t>
      </w:r>
      <w:r w:rsidR="00784B70" w:rsidRPr="00107C39">
        <w:rPr>
          <w:rFonts w:ascii="Times New Roman" w:hAnsi="Times New Roman" w:cs="Times New Roman"/>
        </w:rPr>
        <w:t>Global obesity: trends, risk factors and policy implications. Nat Rev Endocrinol</w:t>
      </w:r>
      <w:r w:rsidR="00B425FB" w:rsidRPr="00107C39">
        <w:rPr>
          <w:rFonts w:ascii="Times New Roman" w:hAnsi="Times New Roman" w:cs="Times New Roman"/>
        </w:rPr>
        <w:t>. 2013;</w:t>
      </w:r>
      <w:r w:rsidR="00784B70" w:rsidRPr="00107C39">
        <w:rPr>
          <w:rFonts w:ascii="Times New Roman" w:hAnsi="Times New Roman" w:cs="Times New Roman"/>
        </w:rPr>
        <w:t>9:</w:t>
      </w:r>
      <w:r w:rsidR="00B425FB" w:rsidRPr="00107C39">
        <w:rPr>
          <w:rFonts w:ascii="Times New Roman" w:hAnsi="Times New Roman" w:cs="Times New Roman"/>
        </w:rPr>
        <w:t xml:space="preserve"> </w:t>
      </w:r>
      <w:r w:rsidR="00784B70" w:rsidRPr="00107C39">
        <w:rPr>
          <w:rFonts w:ascii="Times New Roman" w:hAnsi="Times New Roman" w:cs="Times New Roman"/>
        </w:rPr>
        <w:t>13-27</w:t>
      </w:r>
      <w:bookmarkEnd w:id="27"/>
      <w:r w:rsidR="00B425FB" w:rsidRPr="00107C39">
        <w:rPr>
          <w:rFonts w:ascii="Times New Roman" w:hAnsi="Times New Roman" w:cs="Times New Roman"/>
        </w:rPr>
        <w:t>.</w:t>
      </w:r>
    </w:p>
    <w:p w14:paraId="1BD2F39B" w14:textId="051F19C0" w:rsidR="00784B70" w:rsidRPr="00107C39" w:rsidRDefault="0005799A" w:rsidP="007F1F4A">
      <w:pPr>
        <w:pStyle w:val="EndNoteBibliography"/>
        <w:spacing w:after="0"/>
        <w:ind w:left="720" w:hanging="720"/>
        <w:rPr>
          <w:rFonts w:ascii="Times New Roman" w:hAnsi="Times New Roman" w:cs="Times New Roman"/>
        </w:rPr>
      </w:pPr>
      <w:bookmarkStart w:id="28" w:name="_ENREF_28"/>
      <w:r w:rsidRPr="00107C39">
        <w:rPr>
          <w:rFonts w:ascii="Times New Roman" w:hAnsi="Times New Roman" w:cs="Times New Roman"/>
        </w:rPr>
        <w:t>3</w:t>
      </w:r>
      <w:r w:rsidR="00697EE5" w:rsidRPr="00107C39">
        <w:rPr>
          <w:rFonts w:ascii="Times New Roman" w:hAnsi="Times New Roman" w:cs="Times New Roman"/>
        </w:rPr>
        <w:t>3</w:t>
      </w:r>
      <w:r w:rsidR="00784B70" w:rsidRPr="00107C39">
        <w:rPr>
          <w:rFonts w:ascii="Times New Roman" w:hAnsi="Times New Roman" w:cs="Times New Roman"/>
        </w:rPr>
        <w:t>.</w:t>
      </w:r>
      <w:r w:rsidR="00784B70" w:rsidRPr="00107C39">
        <w:rPr>
          <w:rFonts w:ascii="Times New Roman" w:hAnsi="Times New Roman" w:cs="Times New Roman"/>
        </w:rPr>
        <w:tab/>
        <w:t>Nelson SM, Matthews P, Poston L</w:t>
      </w:r>
      <w:r w:rsidR="00B425FB" w:rsidRPr="00107C39">
        <w:rPr>
          <w:rFonts w:ascii="Times New Roman" w:hAnsi="Times New Roman" w:cs="Times New Roman"/>
        </w:rPr>
        <w:t>.</w:t>
      </w:r>
      <w:r w:rsidR="00784B70" w:rsidRPr="00107C39">
        <w:rPr>
          <w:rFonts w:ascii="Times New Roman" w:hAnsi="Times New Roman" w:cs="Times New Roman"/>
        </w:rPr>
        <w:t xml:space="preserve"> Maternal metabolism and obesity: modifiable determinants of pregnancy outcome. Hum Reprod Update</w:t>
      </w:r>
      <w:r w:rsidR="00B425FB" w:rsidRPr="00107C39">
        <w:rPr>
          <w:rFonts w:ascii="Times New Roman" w:hAnsi="Times New Roman" w:cs="Times New Roman"/>
        </w:rPr>
        <w:t>. 2010;</w:t>
      </w:r>
      <w:r w:rsidR="00784B70" w:rsidRPr="00107C39">
        <w:rPr>
          <w:rFonts w:ascii="Times New Roman" w:hAnsi="Times New Roman" w:cs="Times New Roman"/>
        </w:rPr>
        <w:t>16:</w:t>
      </w:r>
      <w:r w:rsidR="00B425FB" w:rsidRPr="00107C39">
        <w:rPr>
          <w:rFonts w:ascii="Times New Roman" w:hAnsi="Times New Roman" w:cs="Times New Roman"/>
        </w:rPr>
        <w:t xml:space="preserve"> </w:t>
      </w:r>
      <w:r w:rsidR="00784B70" w:rsidRPr="00107C39">
        <w:rPr>
          <w:rFonts w:ascii="Times New Roman" w:hAnsi="Times New Roman" w:cs="Times New Roman"/>
        </w:rPr>
        <w:t>255-75</w:t>
      </w:r>
      <w:bookmarkEnd w:id="28"/>
      <w:r w:rsidR="00B425FB" w:rsidRPr="00107C39">
        <w:rPr>
          <w:rFonts w:ascii="Times New Roman" w:hAnsi="Times New Roman" w:cs="Times New Roman"/>
        </w:rPr>
        <w:t>.</w:t>
      </w:r>
    </w:p>
    <w:p w14:paraId="06D8392C" w14:textId="0FD222E5" w:rsidR="00784B70" w:rsidRPr="00107C39" w:rsidRDefault="0005799A" w:rsidP="007F1F4A">
      <w:pPr>
        <w:pStyle w:val="EndNoteBibliography"/>
        <w:spacing w:after="0"/>
        <w:ind w:left="720" w:hanging="720"/>
        <w:rPr>
          <w:rFonts w:ascii="Times New Roman" w:hAnsi="Times New Roman" w:cs="Times New Roman"/>
        </w:rPr>
      </w:pPr>
      <w:bookmarkStart w:id="29" w:name="_ENREF_29"/>
      <w:r w:rsidRPr="00107C39">
        <w:rPr>
          <w:rFonts w:ascii="Times New Roman" w:hAnsi="Times New Roman" w:cs="Times New Roman"/>
        </w:rPr>
        <w:t>3</w:t>
      </w:r>
      <w:r w:rsidR="00697EE5" w:rsidRPr="00107C39">
        <w:rPr>
          <w:rFonts w:ascii="Times New Roman" w:hAnsi="Times New Roman" w:cs="Times New Roman"/>
        </w:rPr>
        <w:t>4</w:t>
      </w:r>
      <w:r w:rsidR="00784B70" w:rsidRPr="00107C39">
        <w:rPr>
          <w:rFonts w:ascii="Times New Roman" w:hAnsi="Times New Roman" w:cs="Times New Roman"/>
        </w:rPr>
        <w:t>.</w:t>
      </w:r>
      <w:r w:rsidR="00784B70" w:rsidRPr="00107C39">
        <w:rPr>
          <w:rFonts w:ascii="Times New Roman" w:hAnsi="Times New Roman" w:cs="Times New Roman"/>
        </w:rPr>
        <w:tab/>
        <w:t>Kautzky-Willer A, Prager R, Waldhausl W</w:t>
      </w:r>
      <w:r w:rsidR="00B425FB" w:rsidRPr="00107C39">
        <w:rPr>
          <w:rFonts w:ascii="Times New Roman" w:hAnsi="Times New Roman" w:cs="Times New Roman"/>
        </w:rPr>
        <w:t>,</w:t>
      </w:r>
      <w:r w:rsidR="00715F9C" w:rsidRPr="00107C39">
        <w:rPr>
          <w:rFonts w:ascii="Times New Roman" w:hAnsi="Times New Roman" w:cs="Times New Roman"/>
        </w:rPr>
        <w:t xml:space="preserve"> Pacini G, Thomasth k, Wagner OF,</w:t>
      </w:r>
      <w:r w:rsidR="00DD5A5D" w:rsidRPr="00107C39">
        <w:rPr>
          <w:rFonts w:ascii="Times New Roman" w:hAnsi="Times New Roman" w:cs="Times New Roman"/>
        </w:rPr>
        <w:t xml:space="preserve"> et al</w:t>
      </w:r>
      <w:r w:rsidR="00715F9C" w:rsidRPr="00107C39">
        <w:rPr>
          <w:rFonts w:ascii="Times New Roman" w:hAnsi="Times New Roman" w:cs="Times New Roman"/>
        </w:rPr>
        <w:t>.</w:t>
      </w:r>
      <w:r w:rsidR="00DD5A5D" w:rsidRPr="00107C39">
        <w:rPr>
          <w:rFonts w:ascii="Times New Roman" w:hAnsi="Times New Roman" w:cs="Times New Roman"/>
        </w:rPr>
        <w:t xml:space="preserve"> </w:t>
      </w:r>
      <w:r w:rsidR="00784B70" w:rsidRPr="00107C39">
        <w:rPr>
          <w:rFonts w:ascii="Times New Roman" w:hAnsi="Times New Roman" w:cs="Times New Roman"/>
        </w:rPr>
        <w:t>Pronounced insulin resistance and inadequate beta-cell secretion characterize lean gestational diabetes during and after pregnancy. Diabetes Care</w:t>
      </w:r>
      <w:r w:rsidR="00715F9C" w:rsidRPr="00107C39">
        <w:rPr>
          <w:rFonts w:ascii="Times New Roman" w:hAnsi="Times New Roman" w:cs="Times New Roman"/>
        </w:rPr>
        <w:t>. 1997;</w:t>
      </w:r>
      <w:r w:rsidR="00784B70" w:rsidRPr="00107C39">
        <w:rPr>
          <w:rFonts w:ascii="Times New Roman" w:hAnsi="Times New Roman" w:cs="Times New Roman"/>
        </w:rPr>
        <w:t>20:</w:t>
      </w:r>
      <w:r w:rsidR="00715F9C" w:rsidRPr="00107C39">
        <w:rPr>
          <w:rFonts w:ascii="Times New Roman" w:hAnsi="Times New Roman" w:cs="Times New Roman"/>
        </w:rPr>
        <w:t xml:space="preserve"> </w:t>
      </w:r>
      <w:r w:rsidR="00784B70" w:rsidRPr="00107C39">
        <w:rPr>
          <w:rFonts w:ascii="Times New Roman" w:hAnsi="Times New Roman" w:cs="Times New Roman"/>
        </w:rPr>
        <w:t>1717-23</w:t>
      </w:r>
      <w:bookmarkEnd w:id="29"/>
      <w:r w:rsidR="00715F9C" w:rsidRPr="00107C39">
        <w:rPr>
          <w:rFonts w:ascii="Times New Roman" w:hAnsi="Times New Roman" w:cs="Times New Roman"/>
        </w:rPr>
        <w:t>.</w:t>
      </w:r>
    </w:p>
    <w:p w14:paraId="3015FD21" w14:textId="0D0B0D84" w:rsidR="00784B70" w:rsidRPr="00107C39" w:rsidRDefault="0005799A" w:rsidP="007F1F4A">
      <w:pPr>
        <w:pStyle w:val="EndNoteBibliography"/>
        <w:spacing w:after="0"/>
        <w:ind w:left="720" w:hanging="720"/>
        <w:rPr>
          <w:rFonts w:ascii="Times New Roman" w:hAnsi="Times New Roman" w:cs="Times New Roman"/>
        </w:rPr>
      </w:pPr>
      <w:bookmarkStart w:id="30" w:name="_ENREF_30"/>
      <w:r w:rsidRPr="00107C39">
        <w:rPr>
          <w:rFonts w:ascii="Times New Roman" w:hAnsi="Times New Roman" w:cs="Times New Roman"/>
        </w:rPr>
        <w:t>3</w:t>
      </w:r>
      <w:r w:rsidR="00697EE5" w:rsidRPr="00107C39">
        <w:rPr>
          <w:rFonts w:ascii="Times New Roman" w:hAnsi="Times New Roman" w:cs="Times New Roman"/>
        </w:rPr>
        <w:t>5</w:t>
      </w:r>
      <w:r w:rsidR="00784B70" w:rsidRPr="00107C39">
        <w:rPr>
          <w:rFonts w:ascii="Times New Roman" w:hAnsi="Times New Roman" w:cs="Times New Roman"/>
        </w:rPr>
        <w:t>.</w:t>
      </w:r>
      <w:r w:rsidR="00784B70" w:rsidRPr="00107C39">
        <w:rPr>
          <w:rFonts w:ascii="Times New Roman" w:hAnsi="Times New Roman" w:cs="Times New Roman"/>
        </w:rPr>
        <w:tab/>
        <w:t>Huidobro MA, Prentice AM, A JCF, Ro</w:t>
      </w:r>
      <w:r w:rsidR="006F2B3E" w:rsidRPr="00107C39">
        <w:rPr>
          <w:rFonts w:ascii="Times New Roman" w:hAnsi="Times New Roman" w:cs="Times New Roman"/>
        </w:rPr>
        <w:t>zowski NJ</w:t>
      </w:r>
      <w:r w:rsidR="00715F9C" w:rsidRPr="00107C39">
        <w:rPr>
          <w:rFonts w:ascii="Times New Roman" w:hAnsi="Times New Roman" w:cs="Times New Roman"/>
        </w:rPr>
        <w:t xml:space="preserve">. </w:t>
      </w:r>
      <w:r w:rsidR="00784B70" w:rsidRPr="00107C39">
        <w:rPr>
          <w:rFonts w:ascii="Times New Roman" w:hAnsi="Times New Roman" w:cs="Times New Roman"/>
        </w:rPr>
        <w:t>Anthropometry as predictor o</w:t>
      </w:r>
      <w:r w:rsidR="006F2B3E" w:rsidRPr="00107C39">
        <w:rPr>
          <w:rFonts w:ascii="Times New Roman" w:hAnsi="Times New Roman" w:cs="Times New Roman"/>
        </w:rPr>
        <w:t>f gestational diabetes mellitus</w:t>
      </w:r>
      <w:r w:rsidR="00784B70" w:rsidRPr="00107C39">
        <w:rPr>
          <w:rFonts w:ascii="Times New Roman" w:hAnsi="Times New Roman" w:cs="Times New Roman"/>
        </w:rPr>
        <w:t>. Rev Med Chil</w:t>
      </w:r>
      <w:r w:rsidR="00715F9C" w:rsidRPr="00107C39">
        <w:rPr>
          <w:rFonts w:ascii="Times New Roman" w:hAnsi="Times New Roman" w:cs="Times New Roman"/>
        </w:rPr>
        <w:t>. 2010;</w:t>
      </w:r>
      <w:r w:rsidR="00784B70" w:rsidRPr="00107C39">
        <w:rPr>
          <w:rFonts w:ascii="Times New Roman" w:hAnsi="Times New Roman" w:cs="Times New Roman"/>
        </w:rPr>
        <w:t>138:</w:t>
      </w:r>
      <w:r w:rsidR="00715F9C" w:rsidRPr="00107C39">
        <w:rPr>
          <w:rFonts w:ascii="Times New Roman" w:hAnsi="Times New Roman" w:cs="Times New Roman"/>
        </w:rPr>
        <w:t xml:space="preserve"> </w:t>
      </w:r>
      <w:r w:rsidR="00784B70" w:rsidRPr="00107C39">
        <w:rPr>
          <w:rFonts w:ascii="Times New Roman" w:hAnsi="Times New Roman" w:cs="Times New Roman"/>
        </w:rPr>
        <w:t>1373-7</w:t>
      </w:r>
      <w:bookmarkEnd w:id="30"/>
      <w:r w:rsidR="00715F9C" w:rsidRPr="00107C39">
        <w:rPr>
          <w:rFonts w:ascii="Times New Roman" w:hAnsi="Times New Roman" w:cs="Times New Roman"/>
        </w:rPr>
        <w:t>.</w:t>
      </w:r>
    </w:p>
    <w:p w14:paraId="569C964B" w14:textId="61467324" w:rsidR="00784B70" w:rsidRPr="00107C39" w:rsidRDefault="0005799A" w:rsidP="007F1F4A">
      <w:pPr>
        <w:pStyle w:val="EndNoteBibliography"/>
        <w:spacing w:after="0"/>
        <w:ind w:left="720" w:hanging="720"/>
        <w:rPr>
          <w:rFonts w:ascii="Times New Roman" w:hAnsi="Times New Roman" w:cs="Times New Roman"/>
        </w:rPr>
      </w:pPr>
      <w:bookmarkStart w:id="31" w:name="_ENREF_31"/>
      <w:r w:rsidRPr="00107C39">
        <w:rPr>
          <w:rFonts w:ascii="Times New Roman" w:hAnsi="Times New Roman" w:cs="Times New Roman"/>
        </w:rPr>
        <w:t>3</w:t>
      </w:r>
      <w:r w:rsidR="00697EE5" w:rsidRPr="00107C39">
        <w:rPr>
          <w:rFonts w:ascii="Times New Roman" w:hAnsi="Times New Roman" w:cs="Times New Roman"/>
        </w:rPr>
        <w:t>6</w:t>
      </w:r>
      <w:r w:rsidR="00784B70" w:rsidRPr="00107C39">
        <w:rPr>
          <w:rFonts w:ascii="Times New Roman" w:hAnsi="Times New Roman" w:cs="Times New Roman"/>
        </w:rPr>
        <w:t>.</w:t>
      </w:r>
      <w:r w:rsidR="00784B70" w:rsidRPr="00107C39">
        <w:rPr>
          <w:rFonts w:ascii="Times New Roman" w:hAnsi="Times New Roman" w:cs="Times New Roman"/>
        </w:rPr>
        <w:tab/>
        <w:t>Sommer C, Jenum AK, Waage CW, Morkrid K, Sletner L, Birkeland KI</w:t>
      </w:r>
      <w:r w:rsidR="00715F9C" w:rsidRPr="00107C39">
        <w:rPr>
          <w:rFonts w:ascii="Times New Roman" w:hAnsi="Times New Roman" w:cs="Times New Roman"/>
        </w:rPr>
        <w:t>.</w:t>
      </w:r>
      <w:r w:rsidR="00DD5A5D" w:rsidRPr="00107C39">
        <w:rPr>
          <w:rFonts w:ascii="Times New Roman" w:hAnsi="Times New Roman" w:cs="Times New Roman"/>
        </w:rPr>
        <w:t xml:space="preserve"> </w:t>
      </w:r>
      <w:r w:rsidR="00784B70" w:rsidRPr="00107C39">
        <w:rPr>
          <w:rFonts w:ascii="Times New Roman" w:hAnsi="Times New Roman" w:cs="Times New Roman"/>
        </w:rPr>
        <w:t>Ethnic differences in BMI, subcutaneous fat, and serum leptin levels during and after pregnancy and risk of gestational diabetes. Eur J Endocrinol</w:t>
      </w:r>
      <w:r w:rsidR="00715F9C" w:rsidRPr="00107C39">
        <w:rPr>
          <w:rFonts w:ascii="Times New Roman" w:hAnsi="Times New Roman" w:cs="Times New Roman"/>
        </w:rPr>
        <w:t>. 2015;</w:t>
      </w:r>
      <w:r w:rsidR="00784B70" w:rsidRPr="00107C39">
        <w:rPr>
          <w:rFonts w:ascii="Times New Roman" w:hAnsi="Times New Roman" w:cs="Times New Roman"/>
        </w:rPr>
        <w:t>172:</w:t>
      </w:r>
      <w:r w:rsidR="00715F9C" w:rsidRPr="00107C39">
        <w:rPr>
          <w:rFonts w:ascii="Times New Roman" w:hAnsi="Times New Roman" w:cs="Times New Roman"/>
        </w:rPr>
        <w:t xml:space="preserve"> </w:t>
      </w:r>
      <w:r w:rsidR="00784B70" w:rsidRPr="00107C39">
        <w:rPr>
          <w:rFonts w:ascii="Times New Roman" w:hAnsi="Times New Roman" w:cs="Times New Roman"/>
        </w:rPr>
        <w:t>649-56</w:t>
      </w:r>
      <w:bookmarkEnd w:id="31"/>
      <w:r w:rsidR="00715F9C" w:rsidRPr="00107C39">
        <w:rPr>
          <w:rFonts w:ascii="Times New Roman" w:hAnsi="Times New Roman" w:cs="Times New Roman"/>
        </w:rPr>
        <w:t>.</w:t>
      </w:r>
    </w:p>
    <w:p w14:paraId="503E9F63" w14:textId="5952567A" w:rsidR="00784B70" w:rsidRPr="00107C39" w:rsidRDefault="0005799A" w:rsidP="007F1F4A">
      <w:pPr>
        <w:pStyle w:val="EndNoteBibliography"/>
        <w:spacing w:after="0"/>
        <w:ind w:left="720" w:hanging="720"/>
        <w:rPr>
          <w:rFonts w:ascii="Times New Roman" w:hAnsi="Times New Roman" w:cs="Times New Roman"/>
        </w:rPr>
      </w:pPr>
      <w:bookmarkStart w:id="32" w:name="_ENREF_32"/>
      <w:r w:rsidRPr="00107C39">
        <w:rPr>
          <w:rFonts w:ascii="Times New Roman" w:hAnsi="Times New Roman" w:cs="Times New Roman"/>
        </w:rPr>
        <w:t>3</w:t>
      </w:r>
      <w:r w:rsidR="00697EE5" w:rsidRPr="00107C39">
        <w:rPr>
          <w:rFonts w:ascii="Times New Roman" w:hAnsi="Times New Roman" w:cs="Times New Roman"/>
        </w:rPr>
        <w:t>7</w:t>
      </w:r>
      <w:r w:rsidR="00784B70" w:rsidRPr="00107C39">
        <w:rPr>
          <w:rFonts w:ascii="Times New Roman" w:hAnsi="Times New Roman" w:cs="Times New Roman"/>
        </w:rPr>
        <w:t>.</w:t>
      </w:r>
      <w:r w:rsidR="00784B70" w:rsidRPr="00107C39">
        <w:rPr>
          <w:rFonts w:ascii="Times New Roman" w:hAnsi="Times New Roman" w:cs="Times New Roman"/>
        </w:rPr>
        <w:tab/>
        <w:t>Tomedi LE, Simhan HN, Chang CC, McTigue KM, Bodnar LM</w:t>
      </w:r>
      <w:r w:rsidR="00715F9C" w:rsidRPr="00107C39">
        <w:rPr>
          <w:rFonts w:ascii="Times New Roman" w:hAnsi="Times New Roman" w:cs="Times New Roman"/>
        </w:rPr>
        <w:t>.</w:t>
      </w:r>
      <w:r w:rsidR="00DD5A5D" w:rsidRPr="00107C39">
        <w:rPr>
          <w:rFonts w:ascii="Times New Roman" w:hAnsi="Times New Roman" w:cs="Times New Roman"/>
        </w:rPr>
        <w:t xml:space="preserve"> </w:t>
      </w:r>
      <w:r w:rsidR="00784B70" w:rsidRPr="00107C39">
        <w:rPr>
          <w:rFonts w:ascii="Times New Roman" w:hAnsi="Times New Roman" w:cs="Times New Roman"/>
        </w:rPr>
        <w:t>Gestational weight gain, early pregnancy maternal adiposity distribution, and maternal hyperglycemia. Ma</w:t>
      </w:r>
      <w:r w:rsidR="006F2B3E" w:rsidRPr="00107C39">
        <w:rPr>
          <w:rFonts w:ascii="Times New Roman" w:hAnsi="Times New Roman" w:cs="Times New Roman"/>
        </w:rPr>
        <w:t>tern Child Health J</w:t>
      </w:r>
      <w:r w:rsidR="00715F9C" w:rsidRPr="00107C39">
        <w:rPr>
          <w:rFonts w:ascii="Times New Roman" w:hAnsi="Times New Roman" w:cs="Times New Roman"/>
        </w:rPr>
        <w:t>.</w:t>
      </w:r>
      <w:r w:rsidR="00784B70" w:rsidRPr="00107C39">
        <w:rPr>
          <w:rFonts w:ascii="Times New Roman" w:hAnsi="Times New Roman" w:cs="Times New Roman"/>
        </w:rPr>
        <w:t xml:space="preserve"> </w:t>
      </w:r>
      <w:r w:rsidR="00715F9C" w:rsidRPr="00107C39">
        <w:rPr>
          <w:rFonts w:ascii="Times New Roman" w:hAnsi="Times New Roman" w:cs="Times New Roman"/>
        </w:rPr>
        <w:t>2014;</w:t>
      </w:r>
      <w:r w:rsidR="00784B70" w:rsidRPr="00107C39">
        <w:rPr>
          <w:rFonts w:ascii="Times New Roman" w:hAnsi="Times New Roman" w:cs="Times New Roman"/>
        </w:rPr>
        <w:t>18:</w:t>
      </w:r>
      <w:r w:rsidR="00715F9C" w:rsidRPr="00107C39">
        <w:rPr>
          <w:rFonts w:ascii="Times New Roman" w:hAnsi="Times New Roman" w:cs="Times New Roman"/>
        </w:rPr>
        <w:t xml:space="preserve"> </w:t>
      </w:r>
      <w:r w:rsidR="00784B70" w:rsidRPr="00107C39">
        <w:rPr>
          <w:rFonts w:ascii="Times New Roman" w:hAnsi="Times New Roman" w:cs="Times New Roman"/>
        </w:rPr>
        <w:t>1265-70</w:t>
      </w:r>
      <w:bookmarkEnd w:id="32"/>
      <w:r w:rsidR="00715F9C" w:rsidRPr="00107C39">
        <w:rPr>
          <w:rFonts w:ascii="Times New Roman" w:hAnsi="Times New Roman" w:cs="Times New Roman"/>
        </w:rPr>
        <w:t>.</w:t>
      </w:r>
    </w:p>
    <w:p w14:paraId="0D757CEC" w14:textId="7FDE0B06" w:rsidR="00784B70" w:rsidRPr="00107C39" w:rsidRDefault="00784B70" w:rsidP="007F1F4A">
      <w:pPr>
        <w:pStyle w:val="EndNoteBibliography"/>
        <w:spacing w:after="0"/>
        <w:ind w:left="720" w:hanging="720"/>
        <w:rPr>
          <w:rFonts w:ascii="Times New Roman" w:hAnsi="Times New Roman" w:cs="Times New Roman"/>
        </w:rPr>
      </w:pPr>
      <w:bookmarkStart w:id="33" w:name="_ENREF_33"/>
      <w:r w:rsidRPr="00107C39">
        <w:rPr>
          <w:rFonts w:ascii="Times New Roman" w:hAnsi="Times New Roman" w:cs="Times New Roman"/>
        </w:rPr>
        <w:t>3</w:t>
      </w:r>
      <w:r w:rsidR="00697EE5" w:rsidRPr="00107C39">
        <w:rPr>
          <w:rFonts w:ascii="Times New Roman" w:hAnsi="Times New Roman" w:cs="Times New Roman"/>
        </w:rPr>
        <w:t>8</w:t>
      </w:r>
      <w:r w:rsidRPr="00107C39">
        <w:rPr>
          <w:rFonts w:ascii="Times New Roman" w:hAnsi="Times New Roman" w:cs="Times New Roman"/>
        </w:rPr>
        <w:t>.</w:t>
      </w:r>
      <w:r w:rsidRPr="00107C39">
        <w:rPr>
          <w:rFonts w:ascii="Times New Roman" w:hAnsi="Times New Roman" w:cs="Times New Roman"/>
        </w:rPr>
        <w:tab/>
        <w:t>Iliodromiti S, Sassarini J, Kelsey TW, Lindsay RS, Sattar N, Nelson SM</w:t>
      </w:r>
      <w:r w:rsidR="00715F9C" w:rsidRPr="00107C39">
        <w:rPr>
          <w:rFonts w:ascii="Times New Roman" w:hAnsi="Times New Roman" w:cs="Times New Roman"/>
        </w:rPr>
        <w:t>.</w:t>
      </w:r>
      <w:r w:rsidR="00DD5A5D" w:rsidRPr="00107C39">
        <w:rPr>
          <w:rFonts w:ascii="Times New Roman" w:hAnsi="Times New Roman" w:cs="Times New Roman"/>
        </w:rPr>
        <w:t xml:space="preserve"> </w:t>
      </w:r>
      <w:r w:rsidRPr="00107C39">
        <w:rPr>
          <w:rFonts w:ascii="Times New Roman" w:hAnsi="Times New Roman" w:cs="Times New Roman"/>
        </w:rPr>
        <w:t>Accuracy of circulating adiponectin for predicting gestational diabetes: a systematic review and meta-analysis. Diabetologia</w:t>
      </w:r>
      <w:r w:rsidR="00715F9C" w:rsidRPr="00107C39">
        <w:rPr>
          <w:rFonts w:ascii="Times New Roman" w:hAnsi="Times New Roman" w:cs="Times New Roman"/>
        </w:rPr>
        <w:t>. 2016;</w:t>
      </w:r>
      <w:bookmarkEnd w:id="33"/>
      <w:r w:rsidR="006F2B3E" w:rsidRPr="00107C39">
        <w:rPr>
          <w:rFonts w:ascii="Times New Roman" w:hAnsi="Times New Roman" w:cs="Times New Roman"/>
        </w:rPr>
        <w:t xml:space="preserve"> 59:</w:t>
      </w:r>
      <w:r w:rsidR="00715F9C" w:rsidRPr="00107C39">
        <w:rPr>
          <w:rFonts w:ascii="Times New Roman" w:hAnsi="Times New Roman" w:cs="Times New Roman"/>
        </w:rPr>
        <w:t xml:space="preserve"> </w:t>
      </w:r>
      <w:r w:rsidR="006F2B3E" w:rsidRPr="00107C39">
        <w:rPr>
          <w:rFonts w:ascii="Times New Roman" w:hAnsi="Times New Roman" w:cs="Times New Roman"/>
        </w:rPr>
        <w:t>692</w:t>
      </w:r>
      <w:r w:rsidR="006F2B3E" w:rsidRPr="00107C39">
        <w:rPr>
          <w:rFonts w:ascii="Times New Roman" w:hAnsi="Times New Roman" w:cs="Times New Roman"/>
        </w:rPr>
        <w:softHyphen/>
      </w:r>
      <w:r w:rsidR="006F2B3E" w:rsidRPr="00107C39">
        <w:rPr>
          <w:rFonts w:ascii="Times New Roman" w:hAnsi="Times New Roman" w:cs="Times New Roman"/>
        </w:rPr>
        <w:softHyphen/>
      </w:r>
      <w:r w:rsidR="00D0629F" w:rsidRPr="00107C39">
        <w:rPr>
          <w:rFonts w:ascii="Times New Roman" w:hAnsi="Times New Roman" w:cs="Times New Roman"/>
        </w:rPr>
        <w:t>-</w:t>
      </w:r>
      <w:r w:rsidR="006F2B3E" w:rsidRPr="00107C39">
        <w:rPr>
          <w:rFonts w:ascii="Times New Roman" w:hAnsi="Times New Roman" w:cs="Times New Roman"/>
        </w:rPr>
        <w:t>9</w:t>
      </w:r>
      <w:r w:rsidR="00715F9C" w:rsidRPr="00107C39">
        <w:rPr>
          <w:rFonts w:ascii="Times New Roman" w:hAnsi="Times New Roman" w:cs="Times New Roman"/>
        </w:rPr>
        <w:t>.</w:t>
      </w:r>
    </w:p>
    <w:p w14:paraId="6F46290C" w14:textId="0789D069" w:rsidR="00784B70" w:rsidRPr="00107C39" w:rsidRDefault="00784B70" w:rsidP="007F1F4A">
      <w:pPr>
        <w:pStyle w:val="EndNoteBibliography"/>
        <w:spacing w:after="0"/>
        <w:ind w:left="720" w:hanging="720"/>
        <w:rPr>
          <w:rFonts w:ascii="Times New Roman" w:hAnsi="Times New Roman" w:cs="Times New Roman"/>
        </w:rPr>
      </w:pPr>
      <w:bookmarkStart w:id="34" w:name="_ENREF_34"/>
      <w:r w:rsidRPr="00107C39">
        <w:rPr>
          <w:rFonts w:ascii="Times New Roman" w:hAnsi="Times New Roman" w:cs="Times New Roman"/>
        </w:rPr>
        <w:lastRenderedPageBreak/>
        <w:t>3</w:t>
      </w:r>
      <w:r w:rsidR="00697EE5" w:rsidRPr="00107C39">
        <w:rPr>
          <w:rFonts w:ascii="Times New Roman" w:hAnsi="Times New Roman" w:cs="Times New Roman"/>
        </w:rPr>
        <w:t>9</w:t>
      </w:r>
      <w:r w:rsidRPr="00107C39">
        <w:rPr>
          <w:rFonts w:ascii="Times New Roman" w:hAnsi="Times New Roman" w:cs="Times New Roman"/>
        </w:rPr>
        <w:t>.</w:t>
      </w:r>
      <w:r w:rsidRPr="00107C39">
        <w:rPr>
          <w:rFonts w:ascii="Times New Roman" w:hAnsi="Times New Roman" w:cs="Times New Roman"/>
        </w:rPr>
        <w:tab/>
        <w:t>Scholtens DM</w:t>
      </w:r>
      <w:r w:rsidR="00D0629F" w:rsidRPr="00107C39">
        <w:rPr>
          <w:rFonts w:ascii="Times New Roman" w:hAnsi="Times New Roman" w:cs="Times New Roman"/>
        </w:rPr>
        <w:t>, Muehlbauer</w:t>
      </w:r>
      <w:r w:rsidRPr="00107C39">
        <w:rPr>
          <w:rFonts w:ascii="Times New Roman" w:hAnsi="Times New Roman" w:cs="Times New Roman"/>
        </w:rPr>
        <w:t xml:space="preserve"> MJ, Daya NR</w:t>
      </w:r>
      <w:r w:rsidR="006C010B" w:rsidRPr="00107C39">
        <w:rPr>
          <w:rFonts w:ascii="Times New Roman" w:hAnsi="Times New Roman" w:cs="Times New Roman"/>
        </w:rPr>
        <w:t>, Stevens RD, Dyer AR, Lowe LP,</w:t>
      </w:r>
      <w:r w:rsidR="00DD5A5D" w:rsidRPr="00107C39">
        <w:rPr>
          <w:rFonts w:ascii="Times New Roman" w:hAnsi="Times New Roman" w:cs="Times New Roman"/>
        </w:rPr>
        <w:t xml:space="preserve"> et al</w:t>
      </w:r>
      <w:r w:rsidR="006C010B" w:rsidRPr="00107C39">
        <w:rPr>
          <w:rFonts w:ascii="Times New Roman" w:hAnsi="Times New Roman" w:cs="Times New Roman"/>
        </w:rPr>
        <w:t>.</w:t>
      </w:r>
      <w:r w:rsidR="00DD5A5D" w:rsidRPr="00107C39">
        <w:rPr>
          <w:rFonts w:ascii="Times New Roman" w:hAnsi="Times New Roman" w:cs="Times New Roman"/>
        </w:rPr>
        <w:t xml:space="preserve"> </w:t>
      </w:r>
      <w:r w:rsidRPr="00107C39">
        <w:rPr>
          <w:rFonts w:ascii="Times New Roman" w:hAnsi="Times New Roman" w:cs="Times New Roman"/>
        </w:rPr>
        <w:t>for  the HAPO study Cooperative Research Group. Metabolomics reveals broad-scale metabolic perturbations in hyperglycemic mothers during pregnancy. Diabetes Care</w:t>
      </w:r>
      <w:r w:rsidR="006C010B" w:rsidRPr="00107C39">
        <w:rPr>
          <w:rFonts w:ascii="Times New Roman" w:hAnsi="Times New Roman" w:cs="Times New Roman"/>
        </w:rPr>
        <w:t>. 2014;</w:t>
      </w:r>
      <w:r w:rsidRPr="00107C39">
        <w:rPr>
          <w:rFonts w:ascii="Times New Roman" w:hAnsi="Times New Roman" w:cs="Times New Roman"/>
        </w:rPr>
        <w:t>37</w:t>
      </w:r>
      <w:bookmarkEnd w:id="34"/>
      <w:r w:rsidR="00D0629F" w:rsidRPr="00107C39">
        <w:rPr>
          <w:rFonts w:ascii="Times New Roman" w:hAnsi="Times New Roman" w:cs="Times New Roman"/>
        </w:rPr>
        <w:t>:</w:t>
      </w:r>
      <w:r w:rsidR="006C010B" w:rsidRPr="00107C39">
        <w:rPr>
          <w:rFonts w:ascii="Times New Roman" w:hAnsi="Times New Roman" w:cs="Times New Roman"/>
        </w:rPr>
        <w:t xml:space="preserve"> </w:t>
      </w:r>
      <w:r w:rsidR="00D0629F" w:rsidRPr="00107C39">
        <w:rPr>
          <w:rFonts w:ascii="Times New Roman" w:hAnsi="Times New Roman" w:cs="Times New Roman"/>
        </w:rPr>
        <w:t>158-66</w:t>
      </w:r>
      <w:r w:rsidR="006C010B" w:rsidRPr="00107C39">
        <w:rPr>
          <w:rFonts w:ascii="Times New Roman" w:hAnsi="Times New Roman" w:cs="Times New Roman"/>
        </w:rPr>
        <w:t>.</w:t>
      </w:r>
    </w:p>
    <w:p w14:paraId="71A19DDA" w14:textId="1CB13D49" w:rsidR="00784B70" w:rsidRDefault="00697EE5" w:rsidP="007F1F4A">
      <w:pPr>
        <w:pStyle w:val="EndNoteBibliography"/>
        <w:spacing w:after="0"/>
        <w:ind w:left="720" w:hanging="720"/>
        <w:rPr>
          <w:rFonts w:ascii="Times New Roman" w:hAnsi="Times New Roman" w:cs="Times New Roman"/>
        </w:rPr>
      </w:pPr>
      <w:bookmarkStart w:id="35" w:name="_ENREF_35"/>
      <w:r w:rsidRPr="00107C39">
        <w:rPr>
          <w:rFonts w:ascii="Times New Roman" w:hAnsi="Times New Roman" w:cs="Times New Roman"/>
        </w:rPr>
        <w:t>40</w:t>
      </w:r>
      <w:r w:rsidR="00784B70" w:rsidRPr="00107C39">
        <w:rPr>
          <w:rFonts w:ascii="Times New Roman" w:hAnsi="Times New Roman" w:cs="Times New Roman"/>
        </w:rPr>
        <w:t>.</w:t>
      </w:r>
      <w:r w:rsidR="00784B70" w:rsidRPr="00107C39">
        <w:rPr>
          <w:rFonts w:ascii="Times New Roman" w:hAnsi="Times New Roman" w:cs="Times New Roman"/>
        </w:rPr>
        <w:tab/>
        <w:t>Tillin T, Hughes AD, Wang Q</w:t>
      </w:r>
      <w:r w:rsidR="006C010B" w:rsidRPr="00107C39">
        <w:rPr>
          <w:rFonts w:ascii="Times New Roman" w:hAnsi="Times New Roman" w:cs="Times New Roman"/>
        </w:rPr>
        <w:t>, Wurtz P, Ala- Korpela M, Sattar N,</w:t>
      </w:r>
      <w:r w:rsidR="00DD5A5D" w:rsidRPr="00107C39">
        <w:rPr>
          <w:rFonts w:ascii="Times New Roman" w:hAnsi="Times New Roman" w:cs="Times New Roman"/>
        </w:rPr>
        <w:t xml:space="preserve"> et al</w:t>
      </w:r>
      <w:r w:rsidR="006C010B" w:rsidRPr="00107C39">
        <w:rPr>
          <w:rFonts w:ascii="Times New Roman" w:hAnsi="Times New Roman" w:cs="Times New Roman"/>
        </w:rPr>
        <w:t>.</w:t>
      </w:r>
      <w:r w:rsidR="00DD5A5D" w:rsidRPr="00107C39">
        <w:rPr>
          <w:rFonts w:ascii="Times New Roman" w:hAnsi="Times New Roman" w:cs="Times New Roman"/>
        </w:rPr>
        <w:t xml:space="preserve"> </w:t>
      </w:r>
      <w:r w:rsidR="00784B70" w:rsidRPr="00107C39">
        <w:rPr>
          <w:rFonts w:ascii="Times New Roman" w:hAnsi="Times New Roman" w:cs="Times New Roman"/>
        </w:rPr>
        <w:t>Diabetes risk and amino acid profiles: cross-sectional and prospective analyses of ethnicity, amino acids and diabetes in a South Asian and European cohort from the SABRE (Southall And Brent REvisited) Study. Diabetologia</w:t>
      </w:r>
      <w:r w:rsidR="006C010B" w:rsidRPr="00107C39">
        <w:rPr>
          <w:rFonts w:ascii="Times New Roman" w:hAnsi="Times New Roman" w:cs="Times New Roman"/>
        </w:rPr>
        <w:t>. 2015;</w:t>
      </w:r>
      <w:r w:rsidR="00784B70" w:rsidRPr="00107C39">
        <w:rPr>
          <w:rFonts w:ascii="Times New Roman" w:hAnsi="Times New Roman" w:cs="Times New Roman"/>
        </w:rPr>
        <w:t>58:</w:t>
      </w:r>
      <w:r w:rsidR="006C010B" w:rsidRPr="00107C39">
        <w:rPr>
          <w:rFonts w:ascii="Times New Roman" w:hAnsi="Times New Roman" w:cs="Times New Roman"/>
        </w:rPr>
        <w:t xml:space="preserve"> </w:t>
      </w:r>
      <w:r w:rsidR="00784B70" w:rsidRPr="00107C39">
        <w:rPr>
          <w:rFonts w:ascii="Times New Roman" w:hAnsi="Times New Roman" w:cs="Times New Roman"/>
        </w:rPr>
        <w:t>968-79</w:t>
      </w:r>
      <w:bookmarkEnd w:id="35"/>
      <w:r w:rsidR="006C010B" w:rsidRPr="00107C39">
        <w:rPr>
          <w:rFonts w:ascii="Times New Roman" w:hAnsi="Times New Roman" w:cs="Times New Roman"/>
        </w:rPr>
        <w:t>.</w:t>
      </w:r>
    </w:p>
    <w:p w14:paraId="4DD3F25C" w14:textId="77777777" w:rsidR="00853506" w:rsidRDefault="00B03B01" w:rsidP="007F1F4A">
      <w:pPr>
        <w:pStyle w:val="EndNoteBibliography"/>
        <w:spacing w:after="0"/>
        <w:ind w:left="720" w:hanging="720"/>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00853506">
        <w:rPr>
          <w:rFonts w:ascii="Times New Roman" w:hAnsi="Times New Roman" w:cs="Times New Roman"/>
        </w:rPr>
        <w:t>Zhu W-W, Yang H-X, Yan J, Wang Z-L, Li X-R, Wu H-R,  et al. Evaluation of the value of fasting plasma glucose in the first prenatal visit to diagnose gestational diabetes mellitus in China. Diabetes Care. 2013;36:586-590.</w:t>
      </w:r>
    </w:p>
    <w:p w14:paraId="4BDD3FA6" w14:textId="26080EAB" w:rsidR="00B03B01" w:rsidRPr="00107C39" w:rsidRDefault="00853506" w:rsidP="007F1F4A">
      <w:pPr>
        <w:pStyle w:val="EndNoteBibliography"/>
        <w:spacing w:after="0"/>
        <w:ind w:left="720" w:hanging="720"/>
        <w:rPr>
          <w:rFonts w:ascii="Times New Roman" w:hAnsi="Times New Roman" w:cs="Times New Roman"/>
        </w:rPr>
      </w:pPr>
      <w:r>
        <w:rPr>
          <w:rFonts w:ascii="Times New Roman" w:hAnsi="Times New Roman" w:cs="Times New Roman"/>
        </w:rPr>
        <w:t>42.</w:t>
      </w:r>
      <w:r>
        <w:rPr>
          <w:rFonts w:ascii="Times New Roman" w:hAnsi="Times New Roman" w:cs="Times New Roman"/>
        </w:rPr>
        <w:tab/>
        <w:t xml:space="preserve">Corrado F, D’Anna R, Cannata ML, Interdonato ML, Pintaudi B, Di Benedetto A. Correspondence between first-trimester fasting glycaemia, and oral glucose tolerance test in gestational diabetes mellitus. Diabetes Metab. 2012;38:458-461 </w:t>
      </w:r>
    </w:p>
    <w:p w14:paraId="1ADD3A88" w14:textId="1E2C6C02" w:rsidR="00156312" w:rsidRPr="00107C39" w:rsidRDefault="0005799A" w:rsidP="007F1F4A">
      <w:pPr>
        <w:pStyle w:val="EndNoteBibliography"/>
        <w:ind w:left="720" w:hanging="720"/>
        <w:rPr>
          <w:rFonts w:ascii="Times New Roman" w:hAnsi="Times New Roman" w:cs="Times New Roman"/>
        </w:rPr>
      </w:pPr>
      <w:bookmarkStart w:id="36" w:name="_ENREF_36"/>
      <w:r w:rsidRPr="00107C39">
        <w:rPr>
          <w:rFonts w:ascii="Times New Roman" w:hAnsi="Times New Roman" w:cs="Times New Roman"/>
        </w:rPr>
        <w:t>4</w:t>
      </w:r>
      <w:r w:rsidR="00CE12BB">
        <w:rPr>
          <w:rFonts w:ascii="Times New Roman" w:hAnsi="Times New Roman" w:cs="Times New Roman"/>
        </w:rPr>
        <w:t>3</w:t>
      </w:r>
      <w:r w:rsidR="00784B70" w:rsidRPr="00107C39">
        <w:rPr>
          <w:rFonts w:ascii="Times New Roman" w:hAnsi="Times New Roman" w:cs="Times New Roman"/>
        </w:rPr>
        <w:t>.</w:t>
      </w:r>
      <w:r w:rsidR="00784B70" w:rsidRPr="00107C39">
        <w:rPr>
          <w:rFonts w:ascii="Times New Roman" w:hAnsi="Times New Roman" w:cs="Times New Roman"/>
        </w:rPr>
        <w:tab/>
        <w:t>WHO Guidelines Approved by the Guidelines Review Committee</w:t>
      </w:r>
      <w:r w:rsidR="006C010B" w:rsidRPr="00107C39">
        <w:rPr>
          <w:rFonts w:ascii="Times New Roman" w:hAnsi="Times New Roman" w:cs="Times New Roman"/>
        </w:rPr>
        <w:t>.</w:t>
      </w:r>
      <w:r w:rsidR="00DD5A5D" w:rsidRPr="00107C39">
        <w:rPr>
          <w:rFonts w:ascii="Times New Roman" w:hAnsi="Times New Roman" w:cs="Times New Roman"/>
        </w:rPr>
        <w:t xml:space="preserve"> </w:t>
      </w:r>
      <w:r w:rsidR="00784B70" w:rsidRPr="00107C39">
        <w:rPr>
          <w:rFonts w:ascii="Times New Roman" w:hAnsi="Times New Roman" w:cs="Times New Roman"/>
        </w:rPr>
        <w:t>Diagnostic Criteria and Classification of Hyperglycaemia First Detected in Pregnancy. Geneva: World Health Organization Copyright (c)</w:t>
      </w:r>
      <w:r w:rsidR="006C010B" w:rsidRPr="00107C39">
        <w:rPr>
          <w:rFonts w:ascii="Times New Roman" w:hAnsi="Times New Roman" w:cs="Times New Roman"/>
        </w:rPr>
        <w:t>,</w:t>
      </w:r>
      <w:r w:rsidR="00784B70" w:rsidRPr="00107C39">
        <w:rPr>
          <w:rFonts w:ascii="Times New Roman" w:hAnsi="Times New Roman" w:cs="Times New Roman"/>
        </w:rPr>
        <w:t xml:space="preserve"> World He</w:t>
      </w:r>
      <w:r w:rsidR="00D0629F" w:rsidRPr="00107C39">
        <w:rPr>
          <w:rFonts w:ascii="Times New Roman" w:hAnsi="Times New Roman" w:cs="Times New Roman"/>
        </w:rPr>
        <w:t>alth Organization</w:t>
      </w:r>
      <w:bookmarkEnd w:id="36"/>
      <w:r w:rsidR="006C010B" w:rsidRPr="00107C39">
        <w:rPr>
          <w:rFonts w:ascii="Times New Roman" w:hAnsi="Times New Roman" w:cs="Times New Roman"/>
        </w:rPr>
        <w:t>; 2013.</w:t>
      </w:r>
    </w:p>
    <w:p w14:paraId="60DC3A54" w14:textId="77777777" w:rsidR="00156312" w:rsidRPr="00BA01F8" w:rsidRDefault="00156312" w:rsidP="006D56AF">
      <w:pPr>
        <w:spacing w:after="0" w:line="240" w:lineRule="auto"/>
        <w:rPr>
          <w:rFonts w:ascii="Times New Roman" w:hAnsi="Times New Roman" w:cs="Times New Roman"/>
          <w:sz w:val="20"/>
          <w:szCs w:val="20"/>
        </w:rPr>
      </w:pPr>
    </w:p>
    <w:p w14:paraId="7BB6911D" w14:textId="77777777" w:rsidR="00156312" w:rsidRPr="00BA01F8" w:rsidRDefault="00156312" w:rsidP="00156312">
      <w:pPr>
        <w:rPr>
          <w:rFonts w:ascii="Times New Roman" w:hAnsi="Times New Roman" w:cs="Times New Roman"/>
          <w:sz w:val="20"/>
          <w:szCs w:val="20"/>
        </w:rPr>
      </w:pPr>
    </w:p>
    <w:p w14:paraId="25E9F541" w14:textId="77777777" w:rsidR="00156312" w:rsidRPr="00BA01F8" w:rsidRDefault="00156312" w:rsidP="00156312">
      <w:pPr>
        <w:rPr>
          <w:rFonts w:ascii="Times New Roman" w:hAnsi="Times New Roman" w:cs="Times New Roman"/>
          <w:sz w:val="20"/>
          <w:szCs w:val="20"/>
        </w:rPr>
      </w:pPr>
    </w:p>
    <w:p w14:paraId="3A947CA9" w14:textId="7C735673" w:rsidR="00B665F1" w:rsidRDefault="00B665F1" w:rsidP="00B71619">
      <w:pPr>
        <w:spacing w:after="0" w:line="240" w:lineRule="auto"/>
      </w:pPr>
    </w:p>
    <w:p w14:paraId="4AEC6DB8" w14:textId="77777777" w:rsidR="00B665F1" w:rsidRPr="00B665F1" w:rsidRDefault="00B665F1" w:rsidP="00D2769F"/>
    <w:p w14:paraId="299777AA" w14:textId="77777777" w:rsidR="00B665F1" w:rsidRPr="00D2769F" w:rsidRDefault="00B665F1" w:rsidP="00D2769F"/>
    <w:p w14:paraId="6AD064C5" w14:textId="77777777" w:rsidR="00B665F1" w:rsidRPr="00D2769F" w:rsidRDefault="00B665F1" w:rsidP="00D2769F"/>
    <w:p w14:paraId="1C1AF455" w14:textId="77777777" w:rsidR="00B665F1" w:rsidRPr="00D2769F" w:rsidRDefault="00B665F1" w:rsidP="00D2769F"/>
    <w:p w14:paraId="420B61C4" w14:textId="77777777" w:rsidR="00B665F1" w:rsidRPr="00D2769F" w:rsidRDefault="00B665F1" w:rsidP="00D2769F"/>
    <w:p w14:paraId="6052DF8D" w14:textId="77777777" w:rsidR="00B665F1" w:rsidRPr="001B2AB5" w:rsidRDefault="00B665F1" w:rsidP="00D2769F"/>
    <w:p w14:paraId="35ECB47D" w14:textId="77777777" w:rsidR="00B665F1" w:rsidRPr="00B665F1" w:rsidRDefault="00B665F1" w:rsidP="00D2769F"/>
    <w:p w14:paraId="090C0231" w14:textId="77777777" w:rsidR="00B665F1" w:rsidRPr="00B665F1" w:rsidRDefault="00B665F1" w:rsidP="00D2769F"/>
    <w:p w14:paraId="63F9C328" w14:textId="77777777" w:rsidR="00B665F1" w:rsidRPr="00B665F1" w:rsidRDefault="00B665F1" w:rsidP="00D2769F"/>
    <w:p w14:paraId="21E31558" w14:textId="77777777" w:rsidR="00B665F1" w:rsidRPr="00B665F1" w:rsidRDefault="00B665F1" w:rsidP="00D2769F"/>
    <w:p w14:paraId="3B50F511" w14:textId="77777777" w:rsidR="00B665F1" w:rsidRPr="00B665F1" w:rsidRDefault="00B665F1" w:rsidP="00D2769F"/>
    <w:p w14:paraId="57D0FD70" w14:textId="77777777" w:rsidR="00B665F1" w:rsidRPr="00B665F1" w:rsidRDefault="00B665F1" w:rsidP="00D2769F"/>
    <w:p w14:paraId="5F852109" w14:textId="77777777" w:rsidR="00B665F1" w:rsidRPr="00B665F1" w:rsidRDefault="00B665F1" w:rsidP="00D2769F"/>
    <w:p w14:paraId="75C8D026" w14:textId="77777777" w:rsidR="00B665F1" w:rsidRPr="00B665F1" w:rsidRDefault="00B665F1" w:rsidP="00D2769F"/>
    <w:p w14:paraId="1FB38430" w14:textId="77777777" w:rsidR="00B665F1" w:rsidRPr="00B665F1" w:rsidRDefault="00B665F1" w:rsidP="00D2769F"/>
    <w:p w14:paraId="50689AFE" w14:textId="77777777" w:rsidR="00B665F1" w:rsidRPr="00B665F1" w:rsidRDefault="00B665F1" w:rsidP="00D2769F"/>
    <w:p w14:paraId="50F909D9" w14:textId="77777777" w:rsidR="00B665F1" w:rsidRPr="00B665F1" w:rsidRDefault="00B665F1" w:rsidP="00D2769F"/>
    <w:p w14:paraId="5D94A5B7" w14:textId="77777777" w:rsidR="00B665F1" w:rsidRPr="00B665F1" w:rsidRDefault="00B665F1" w:rsidP="00D2769F"/>
    <w:p w14:paraId="467F8CA2" w14:textId="77777777" w:rsidR="00B665F1" w:rsidRPr="00B665F1" w:rsidRDefault="00B665F1" w:rsidP="00D2769F"/>
    <w:p w14:paraId="19F1902F" w14:textId="0D92F35D" w:rsidR="00D2769F" w:rsidRPr="00FE7513" w:rsidRDefault="00D2769F" w:rsidP="00CE77D8">
      <w:pPr>
        <w:pStyle w:val="Heading1"/>
        <w:spacing w:line="480" w:lineRule="auto"/>
      </w:pPr>
      <w:r w:rsidRPr="00FE7513">
        <w:lastRenderedPageBreak/>
        <w:t xml:space="preserve">Supporting </w:t>
      </w:r>
      <w:r w:rsidR="0075300B">
        <w:t>Information</w:t>
      </w:r>
      <w:r w:rsidRPr="00FE7513">
        <w:t>:</w:t>
      </w:r>
    </w:p>
    <w:p w14:paraId="09199F41" w14:textId="6F6CE4E6" w:rsidR="00D2769F" w:rsidRPr="007F1F4A" w:rsidRDefault="00616D27" w:rsidP="00616D27">
      <w:pPr>
        <w:spacing w:after="0"/>
        <w:rPr>
          <w:rFonts w:ascii="Times New Roman" w:hAnsi="Times New Roman" w:cs="Times New Roman"/>
          <w:b/>
        </w:rPr>
      </w:pPr>
      <w:r w:rsidRPr="007F1F4A">
        <w:rPr>
          <w:rFonts w:ascii="Times New Roman" w:hAnsi="Times New Roman" w:cs="Times New Roman"/>
          <w:b/>
        </w:rPr>
        <w:t>S</w:t>
      </w:r>
      <w:r w:rsidR="00A67891" w:rsidRPr="007F1F4A">
        <w:rPr>
          <w:rFonts w:ascii="Times New Roman" w:hAnsi="Times New Roman" w:cs="Times New Roman"/>
          <w:b/>
        </w:rPr>
        <w:t>1</w:t>
      </w:r>
      <w:r w:rsidRPr="007F1F4A">
        <w:rPr>
          <w:rFonts w:ascii="Times New Roman" w:hAnsi="Times New Roman" w:cs="Times New Roman"/>
          <w:b/>
        </w:rPr>
        <w:t xml:space="preserve"> </w:t>
      </w:r>
      <w:r w:rsidR="00D2769F" w:rsidRPr="007F1F4A">
        <w:rPr>
          <w:rFonts w:ascii="Times New Roman" w:hAnsi="Times New Roman" w:cs="Times New Roman"/>
          <w:b/>
        </w:rPr>
        <w:t xml:space="preserve">Table: Candidate </w:t>
      </w:r>
      <w:r w:rsidR="006C41B5">
        <w:rPr>
          <w:rFonts w:ascii="Times New Roman" w:hAnsi="Times New Roman" w:cs="Times New Roman"/>
          <w:b/>
        </w:rPr>
        <w:t>b</w:t>
      </w:r>
      <w:r w:rsidR="00D2769F" w:rsidRPr="007F1F4A">
        <w:rPr>
          <w:rFonts w:ascii="Times New Roman" w:hAnsi="Times New Roman" w:cs="Times New Roman"/>
          <w:b/>
        </w:rPr>
        <w:t xml:space="preserve">iomarker </w:t>
      </w:r>
      <w:r w:rsidR="006C41B5">
        <w:rPr>
          <w:rFonts w:ascii="Times New Roman" w:hAnsi="Times New Roman" w:cs="Times New Roman"/>
          <w:b/>
        </w:rPr>
        <w:t>a</w:t>
      </w:r>
      <w:r w:rsidR="00D2769F" w:rsidRPr="007F1F4A">
        <w:rPr>
          <w:rFonts w:ascii="Times New Roman" w:hAnsi="Times New Roman" w:cs="Times New Roman"/>
          <w:b/>
        </w:rPr>
        <w:t xml:space="preserve">nalytical </w:t>
      </w:r>
      <w:r w:rsidR="006C41B5">
        <w:rPr>
          <w:rFonts w:ascii="Times New Roman" w:hAnsi="Times New Roman" w:cs="Times New Roman"/>
          <w:b/>
        </w:rPr>
        <w:t>m</w:t>
      </w:r>
      <w:r w:rsidR="00D2769F" w:rsidRPr="007F1F4A">
        <w:rPr>
          <w:rFonts w:ascii="Times New Roman" w:hAnsi="Times New Roman" w:cs="Times New Roman"/>
          <w:b/>
        </w:rPr>
        <w:t>ethodologies</w:t>
      </w:r>
    </w:p>
    <w:p w14:paraId="36FF4360" w14:textId="378095EF" w:rsidR="00D2769F" w:rsidRPr="007F1F4A" w:rsidRDefault="00616D27" w:rsidP="00616D27">
      <w:pPr>
        <w:spacing w:after="0"/>
        <w:rPr>
          <w:rFonts w:ascii="Times New Roman" w:hAnsi="Times New Roman" w:cs="Times New Roman"/>
          <w:b/>
        </w:rPr>
      </w:pPr>
      <w:r w:rsidRPr="007F1F4A">
        <w:rPr>
          <w:rFonts w:ascii="Times New Roman" w:hAnsi="Times New Roman" w:cs="Times New Roman"/>
          <w:b/>
        </w:rPr>
        <w:t>S</w:t>
      </w:r>
      <w:r w:rsidR="00A67891" w:rsidRPr="007F1F4A">
        <w:rPr>
          <w:rFonts w:ascii="Times New Roman" w:hAnsi="Times New Roman" w:cs="Times New Roman"/>
          <w:b/>
        </w:rPr>
        <w:t xml:space="preserve">2 </w:t>
      </w:r>
      <w:r w:rsidRPr="007F1F4A">
        <w:rPr>
          <w:rFonts w:ascii="Times New Roman" w:hAnsi="Times New Roman" w:cs="Times New Roman"/>
          <w:b/>
        </w:rPr>
        <w:t>Table</w:t>
      </w:r>
      <w:r w:rsidR="00D2769F" w:rsidRPr="007F1F4A">
        <w:rPr>
          <w:rFonts w:ascii="Times New Roman" w:hAnsi="Times New Roman" w:cs="Times New Roman"/>
          <w:b/>
        </w:rPr>
        <w:t>: Metabolites measured as part of targeted NMR metabolome</w:t>
      </w:r>
    </w:p>
    <w:p w14:paraId="79C88DA4" w14:textId="69F81307" w:rsidR="00D2769F" w:rsidRPr="007F1F4A" w:rsidRDefault="00616D27" w:rsidP="00616D27">
      <w:pPr>
        <w:spacing w:after="0"/>
        <w:rPr>
          <w:rFonts w:ascii="Times New Roman" w:hAnsi="Times New Roman" w:cs="Times New Roman"/>
          <w:b/>
        </w:rPr>
      </w:pPr>
      <w:r w:rsidRPr="007F1F4A">
        <w:rPr>
          <w:rFonts w:ascii="Times New Roman" w:hAnsi="Times New Roman" w:cs="Times New Roman"/>
          <w:b/>
        </w:rPr>
        <w:t>S</w:t>
      </w:r>
      <w:r w:rsidR="00A67891" w:rsidRPr="007F1F4A">
        <w:rPr>
          <w:rFonts w:ascii="Times New Roman" w:hAnsi="Times New Roman" w:cs="Times New Roman"/>
          <w:b/>
        </w:rPr>
        <w:t>3</w:t>
      </w:r>
      <w:r w:rsidRPr="007F1F4A">
        <w:rPr>
          <w:rFonts w:ascii="Times New Roman" w:hAnsi="Times New Roman" w:cs="Times New Roman"/>
          <w:b/>
        </w:rPr>
        <w:t xml:space="preserve"> Table</w:t>
      </w:r>
      <w:r w:rsidR="00D2769F" w:rsidRPr="007F1F4A">
        <w:rPr>
          <w:rFonts w:ascii="Times New Roman" w:hAnsi="Times New Roman" w:cs="Times New Roman"/>
          <w:b/>
        </w:rPr>
        <w:t>: Targeted NMR metabolome associated with GDM</w:t>
      </w:r>
    </w:p>
    <w:p w14:paraId="1DEECFA1" w14:textId="2ABB7474" w:rsidR="00D2769F" w:rsidRPr="007F1F4A" w:rsidRDefault="00616D27" w:rsidP="00616D27">
      <w:pPr>
        <w:spacing w:after="0"/>
        <w:rPr>
          <w:rFonts w:ascii="Times New Roman" w:hAnsi="Times New Roman" w:cs="Times New Roman"/>
          <w:b/>
        </w:rPr>
      </w:pPr>
      <w:r w:rsidRPr="007F1F4A">
        <w:rPr>
          <w:rFonts w:ascii="Times New Roman" w:hAnsi="Times New Roman" w:cs="Times New Roman"/>
          <w:b/>
        </w:rPr>
        <w:t>S</w:t>
      </w:r>
      <w:r w:rsidR="00A67891" w:rsidRPr="007F1F4A">
        <w:rPr>
          <w:rFonts w:ascii="Times New Roman" w:hAnsi="Times New Roman" w:cs="Times New Roman"/>
          <w:b/>
        </w:rPr>
        <w:t>4</w:t>
      </w:r>
      <w:r w:rsidRPr="007F1F4A">
        <w:rPr>
          <w:rFonts w:ascii="Times New Roman" w:hAnsi="Times New Roman" w:cs="Times New Roman"/>
          <w:b/>
        </w:rPr>
        <w:t xml:space="preserve"> Table</w:t>
      </w:r>
      <w:r w:rsidR="00D2769F" w:rsidRPr="007F1F4A">
        <w:rPr>
          <w:rFonts w:ascii="Times New Roman" w:hAnsi="Times New Roman" w:cs="Times New Roman"/>
          <w:b/>
        </w:rPr>
        <w:t xml:space="preserve">: </w:t>
      </w:r>
      <w:r w:rsidR="00D2769F" w:rsidRPr="007F1F4A">
        <w:rPr>
          <w:rFonts w:ascii="Times New Roman" w:eastAsia="Calibri" w:hAnsi="Times New Roman" w:cs="Times New Roman"/>
          <w:b/>
        </w:rPr>
        <w:t>Calibration of Models 1–3</w:t>
      </w:r>
    </w:p>
    <w:p w14:paraId="6DA0217C" w14:textId="194F8E4A" w:rsidR="00D2769F" w:rsidRPr="007F1F4A" w:rsidRDefault="00616D27" w:rsidP="00616D27">
      <w:pPr>
        <w:spacing w:after="0"/>
        <w:rPr>
          <w:rFonts w:ascii="Times New Roman" w:hAnsi="Times New Roman" w:cs="Times New Roman"/>
          <w:b/>
        </w:rPr>
      </w:pPr>
      <w:r w:rsidRPr="007F1F4A">
        <w:rPr>
          <w:rFonts w:ascii="Times New Roman" w:hAnsi="Times New Roman" w:cs="Times New Roman"/>
          <w:b/>
        </w:rPr>
        <w:t>S</w:t>
      </w:r>
      <w:r w:rsidR="00A67891" w:rsidRPr="007F1F4A">
        <w:rPr>
          <w:rFonts w:ascii="Times New Roman" w:hAnsi="Times New Roman" w:cs="Times New Roman"/>
          <w:b/>
        </w:rPr>
        <w:t>5</w:t>
      </w:r>
      <w:r w:rsidRPr="007F1F4A">
        <w:rPr>
          <w:rFonts w:ascii="Times New Roman" w:hAnsi="Times New Roman" w:cs="Times New Roman"/>
          <w:b/>
        </w:rPr>
        <w:t xml:space="preserve"> Table</w:t>
      </w:r>
      <w:r w:rsidR="00D2769F" w:rsidRPr="007F1F4A">
        <w:rPr>
          <w:rFonts w:ascii="Times New Roman" w:hAnsi="Times New Roman" w:cs="Times New Roman"/>
          <w:b/>
        </w:rPr>
        <w:t xml:space="preserve">: Exploring potential impact of missing data by examining clinical predictor associations with GDM on different subsamples </w:t>
      </w:r>
    </w:p>
    <w:p w14:paraId="3331959F" w14:textId="3AF5A4B7" w:rsidR="00D2769F" w:rsidRPr="007F1F4A" w:rsidRDefault="00616D27" w:rsidP="00616D27">
      <w:pPr>
        <w:spacing w:after="0"/>
        <w:rPr>
          <w:rFonts w:ascii="Times New Roman" w:hAnsi="Times New Roman" w:cs="Times New Roman"/>
          <w:b/>
        </w:rPr>
      </w:pPr>
      <w:r w:rsidRPr="007F1F4A">
        <w:rPr>
          <w:rFonts w:ascii="Times New Roman" w:hAnsi="Times New Roman" w:cs="Times New Roman"/>
          <w:b/>
        </w:rPr>
        <w:t>S</w:t>
      </w:r>
      <w:r w:rsidR="00A67891" w:rsidRPr="007F1F4A">
        <w:rPr>
          <w:rFonts w:ascii="Times New Roman" w:hAnsi="Times New Roman" w:cs="Times New Roman"/>
          <w:b/>
        </w:rPr>
        <w:t>6</w:t>
      </w:r>
      <w:r w:rsidRPr="007F1F4A">
        <w:rPr>
          <w:rFonts w:ascii="Times New Roman" w:hAnsi="Times New Roman" w:cs="Times New Roman"/>
          <w:b/>
        </w:rPr>
        <w:t xml:space="preserve"> Table</w:t>
      </w:r>
      <w:r w:rsidR="00D2769F" w:rsidRPr="007F1F4A">
        <w:rPr>
          <w:rFonts w:ascii="Times New Roman" w:hAnsi="Times New Roman" w:cs="Times New Roman"/>
          <w:b/>
        </w:rPr>
        <w:t>: Sensitivity analysis for Models 1-3 excluding women with previous GDM</w:t>
      </w:r>
    </w:p>
    <w:p w14:paraId="466BE592" w14:textId="77777777" w:rsidR="00616D27" w:rsidRPr="007F1F4A" w:rsidRDefault="00616D27" w:rsidP="00616D27">
      <w:pPr>
        <w:jc w:val="both"/>
        <w:rPr>
          <w:u w:val="single"/>
        </w:rPr>
      </w:pPr>
    </w:p>
    <w:sectPr w:rsidR="00616D27" w:rsidRPr="007F1F4A" w:rsidSect="006325F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B5BEB" w14:textId="77777777" w:rsidR="00DC66E2" w:rsidRDefault="00DC66E2">
      <w:pPr>
        <w:spacing w:after="0" w:line="240" w:lineRule="auto"/>
      </w:pPr>
      <w:r>
        <w:separator/>
      </w:r>
    </w:p>
  </w:endnote>
  <w:endnote w:type="continuationSeparator" w:id="0">
    <w:p w14:paraId="1B36B6D0" w14:textId="77777777" w:rsidR="00DC66E2" w:rsidRDefault="00DC6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0087"/>
      <w:docPartObj>
        <w:docPartGallery w:val="Page Numbers (Bottom of Page)"/>
        <w:docPartUnique/>
      </w:docPartObj>
    </w:sdtPr>
    <w:sdtEndPr>
      <w:rPr>
        <w:noProof/>
      </w:rPr>
    </w:sdtEndPr>
    <w:sdtContent>
      <w:p w14:paraId="364C47C1" w14:textId="14139E8B" w:rsidR="00461027" w:rsidRDefault="00461027">
        <w:pPr>
          <w:pStyle w:val="Footer"/>
          <w:jc w:val="center"/>
        </w:pPr>
        <w:r>
          <w:fldChar w:fldCharType="begin"/>
        </w:r>
        <w:r>
          <w:instrText xml:space="preserve"> PAGE   \* MERGEFORMAT </w:instrText>
        </w:r>
        <w:r>
          <w:fldChar w:fldCharType="separate"/>
        </w:r>
        <w:r w:rsidR="00F57567">
          <w:rPr>
            <w:noProof/>
          </w:rPr>
          <w:t>1</w:t>
        </w:r>
        <w:r>
          <w:rPr>
            <w:noProof/>
          </w:rPr>
          <w:fldChar w:fldCharType="end"/>
        </w:r>
      </w:p>
    </w:sdtContent>
  </w:sdt>
  <w:p w14:paraId="335CB3C2" w14:textId="77777777" w:rsidR="00461027" w:rsidRDefault="00461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995208"/>
      <w:docPartObj>
        <w:docPartGallery w:val="Page Numbers (Bottom of Page)"/>
        <w:docPartUnique/>
      </w:docPartObj>
    </w:sdtPr>
    <w:sdtEndPr>
      <w:rPr>
        <w:noProof/>
      </w:rPr>
    </w:sdtEndPr>
    <w:sdtContent>
      <w:p w14:paraId="7287D108" w14:textId="77777777" w:rsidR="00461027" w:rsidRDefault="00461027">
        <w:pPr>
          <w:pStyle w:val="Footer"/>
          <w:jc w:val="center"/>
        </w:pPr>
        <w:r>
          <w:fldChar w:fldCharType="begin"/>
        </w:r>
        <w:r>
          <w:instrText xml:space="preserve"> PAGE   \* MERGEFORMAT </w:instrText>
        </w:r>
        <w:r>
          <w:fldChar w:fldCharType="separate"/>
        </w:r>
        <w:r w:rsidR="00F57567">
          <w:rPr>
            <w:noProof/>
          </w:rPr>
          <w:t>26</w:t>
        </w:r>
        <w:r>
          <w:rPr>
            <w:noProof/>
          </w:rPr>
          <w:fldChar w:fldCharType="end"/>
        </w:r>
      </w:p>
    </w:sdtContent>
  </w:sdt>
  <w:p w14:paraId="5F6B1385" w14:textId="77777777" w:rsidR="00461027" w:rsidRDefault="0046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BAABD" w14:textId="77777777" w:rsidR="00DC66E2" w:rsidRDefault="00DC66E2">
      <w:pPr>
        <w:spacing w:after="0" w:line="240" w:lineRule="auto"/>
      </w:pPr>
      <w:r>
        <w:separator/>
      </w:r>
    </w:p>
  </w:footnote>
  <w:footnote w:type="continuationSeparator" w:id="0">
    <w:p w14:paraId="2B482437" w14:textId="77777777" w:rsidR="00DC66E2" w:rsidRDefault="00DC6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121"/>
    <w:multiLevelType w:val="hybridMultilevel"/>
    <w:tmpl w:val="C9348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543E25"/>
    <w:multiLevelType w:val="hybridMultilevel"/>
    <w:tmpl w:val="8D14D402"/>
    <w:lvl w:ilvl="0" w:tplc="688AE89E">
      <w:start w:val="9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2868F4"/>
    <w:multiLevelType w:val="hybridMultilevel"/>
    <w:tmpl w:val="9C2E1C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41218F"/>
    <w:multiLevelType w:val="hybridMultilevel"/>
    <w:tmpl w:val="3F0C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B46D5D"/>
    <w:multiLevelType w:val="hybridMultilevel"/>
    <w:tmpl w:val="A3384CE2"/>
    <w:lvl w:ilvl="0" w:tplc="BD56FD08">
      <w:start w:val="6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CB538A"/>
    <w:multiLevelType w:val="hybridMultilevel"/>
    <w:tmpl w:val="A53EC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7C556F"/>
    <w:multiLevelType w:val="hybridMultilevel"/>
    <w:tmpl w:val="C7FCA0F2"/>
    <w:lvl w:ilvl="0" w:tplc="F03014F8">
      <w:start w:val="20"/>
      <w:numFmt w:val="bullet"/>
      <w:lvlText w:val="-"/>
      <w:lvlJc w:val="left"/>
      <w:pPr>
        <w:ind w:left="405" w:hanging="360"/>
      </w:pPr>
      <w:rPr>
        <w:rFonts w:ascii="Cambria" w:eastAsiaTheme="minorHAnsi" w:hAnsi="Cambria"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nsid w:val="5D427133"/>
    <w:multiLevelType w:val="hybridMultilevel"/>
    <w:tmpl w:val="A6C0B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F508C3"/>
    <w:multiLevelType w:val="hybridMultilevel"/>
    <w:tmpl w:val="A85E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D147A0"/>
    <w:multiLevelType w:val="hybridMultilevel"/>
    <w:tmpl w:val="8258D4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0"/>
  </w:num>
  <w:num w:numId="5">
    <w:abstractNumId w:val="3"/>
  </w:num>
  <w:num w:numId="6">
    <w:abstractNumId w:val="8"/>
  </w:num>
  <w:num w:numId="7">
    <w:abstractNumId w:val="1"/>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84B70"/>
    <w:rsid w:val="000023D3"/>
    <w:rsid w:val="00004576"/>
    <w:rsid w:val="0000728C"/>
    <w:rsid w:val="000105D3"/>
    <w:rsid w:val="00012E1D"/>
    <w:rsid w:val="000174F0"/>
    <w:rsid w:val="00020DB8"/>
    <w:rsid w:val="00022E3F"/>
    <w:rsid w:val="000232DE"/>
    <w:rsid w:val="0002492B"/>
    <w:rsid w:val="000313BE"/>
    <w:rsid w:val="00032FBA"/>
    <w:rsid w:val="00040F28"/>
    <w:rsid w:val="00041438"/>
    <w:rsid w:val="000414A0"/>
    <w:rsid w:val="000447D8"/>
    <w:rsid w:val="0005799A"/>
    <w:rsid w:val="000647CF"/>
    <w:rsid w:val="000653B0"/>
    <w:rsid w:val="00070726"/>
    <w:rsid w:val="000731B9"/>
    <w:rsid w:val="00073A82"/>
    <w:rsid w:val="00080496"/>
    <w:rsid w:val="0009056D"/>
    <w:rsid w:val="00091092"/>
    <w:rsid w:val="0009257C"/>
    <w:rsid w:val="00096CE0"/>
    <w:rsid w:val="000A1962"/>
    <w:rsid w:val="000A3E11"/>
    <w:rsid w:val="000A545E"/>
    <w:rsid w:val="000A69A7"/>
    <w:rsid w:val="000B06C0"/>
    <w:rsid w:val="000B3A42"/>
    <w:rsid w:val="000C2471"/>
    <w:rsid w:val="000C5B6E"/>
    <w:rsid w:val="000D4086"/>
    <w:rsid w:val="000E151E"/>
    <w:rsid w:val="000E3C64"/>
    <w:rsid w:val="000E7208"/>
    <w:rsid w:val="000E7A3D"/>
    <w:rsid w:val="000F5B13"/>
    <w:rsid w:val="000F5BFD"/>
    <w:rsid w:val="00101242"/>
    <w:rsid w:val="001073B0"/>
    <w:rsid w:val="00107C39"/>
    <w:rsid w:val="00116FDE"/>
    <w:rsid w:val="00120FD2"/>
    <w:rsid w:val="00131A40"/>
    <w:rsid w:val="00134833"/>
    <w:rsid w:val="001359C0"/>
    <w:rsid w:val="001405E2"/>
    <w:rsid w:val="00143376"/>
    <w:rsid w:val="00156312"/>
    <w:rsid w:val="00165383"/>
    <w:rsid w:val="00167440"/>
    <w:rsid w:val="00181B68"/>
    <w:rsid w:val="00184514"/>
    <w:rsid w:val="001910F5"/>
    <w:rsid w:val="0019644A"/>
    <w:rsid w:val="001A12D0"/>
    <w:rsid w:val="001A3108"/>
    <w:rsid w:val="001A673C"/>
    <w:rsid w:val="001B1397"/>
    <w:rsid w:val="001B2220"/>
    <w:rsid w:val="001B2AB5"/>
    <w:rsid w:val="001C424B"/>
    <w:rsid w:val="001D3060"/>
    <w:rsid w:val="001D50EA"/>
    <w:rsid w:val="001E51D5"/>
    <w:rsid w:val="001E5541"/>
    <w:rsid w:val="001E7EFA"/>
    <w:rsid w:val="001F205F"/>
    <w:rsid w:val="002039F4"/>
    <w:rsid w:val="00203E2A"/>
    <w:rsid w:val="00212A04"/>
    <w:rsid w:val="00215143"/>
    <w:rsid w:val="002168DE"/>
    <w:rsid w:val="00221FCA"/>
    <w:rsid w:val="002233FE"/>
    <w:rsid w:val="00224A86"/>
    <w:rsid w:val="0023357E"/>
    <w:rsid w:val="002419B9"/>
    <w:rsid w:val="0024510C"/>
    <w:rsid w:val="00245ED6"/>
    <w:rsid w:val="00247AF1"/>
    <w:rsid w:val="00252350"/>
    <w:rsid w:val="002574C4"/>
    <w:rsid w:val="00261A92"/>
    <w:rsid w:val="00267D3F"/>
    <w:rsid w:val="00267EED"/>
    <w:rsid w:val="002747EB"/>
    <w:rsid w:val="00275B76"/>
    <w:rsid w:val="002774A4"/>
    <w:rsid w:val="00280B9D"/>
    <w:rsid w:val="002839E8"/>
    <w:rsid w:val="002952BD"/>
    <w:rsid w:val="00297C2C"/>
    <w:rsid w:val="002A31EE"/>
    <w:rsid w:val="002A47EF"/>
    <w:rsid w:val="002B3102"/>
    <w:rsid w:val="002B3547"/>
    <w:rsid w:val="002B7C1B"/>
    <w:rsid w:val="002C05A5"/>
    <w:rsid w:val="002D434D"/>
    <w:rsid w:val="002D74B3"/>
    <w:rsid w:val="002E0659"/>
    <w:rsid w:val="002E08F7"/>
    <w:rsid w:val="002F2516"/>
    <w:rsid w:val="002F708B"/>
    <w:rsid w:val="002F73CF"/>
    <w:rsid w:val="003049DF"/>
    <w:rsid w:val="0031100E"/>
    <w:rsid w:val="00315C51"/>
    <w:rsid w:val="00322FBE"/>
    <w:rsid w:val="00323534"/>
    <w:rsid w:val="0033071A"/>
    <w:rsid w:val="00332DFD"/>
    <w:rsid w:val="00334A48"/>
    <w:rsid w:val="00343AEC"/>
    <w:rsid w:val="00347565"/>
    <w:rsid w:val="003539DD"/>
    <w:rsid w:val="00357A52"/>
    <w:rsid w:val="00366184"/>
    <w:rsid w:val="00367A5A"/>
    <w:rsid w:val="00374D2D"/>
    <w:rsid w:val="003768DF"/>
    <w:rsid w:val="00380A71"/>
    <w:rsid w:val="00384FD1"/>
    <w:rsid w:val="0038581C"/>
    <w:rsid w:val="00396FA5"/>
    <w:rsid w:val="003A70F8"/>
    <w:rsid w:val="003B1F4C"/>
    <w:rsid w:val="003B5410"/>
    <w:rsid w:val="003B77C1"/>
    <w:rsid w:val="003B7E9C"/>
    <w:rsid w:val="003C39AE"/>
    <w:rsid w:val="003C3B36"/>
    <w:rsid w:val="003C4AA4"/>
    <w:rsid w:val="003C5F4F"/>
    <w:rsid w:val="003D0C81"/>
    <w:rsid w:val="003D1D99"/>
    <w:rsid w:val="003D2992"/>
    <w:rsid w:val="003D3FC9"/>
    <w:rsid w:val="003D5125"/>
    <w:rsid w:val="003D5BC5"/>
    <w:rsid w:val="003D7305"/>
    <w:rsid w:val="003D7BF2"/>
    <w:rsid w:val="003E000A"/>
    <w:rsid w:val="003E2EDD"/>
    <w:rsid w:val="003E3438"/>
    <w:rsid w:val="003E37ED"/>
    <w:rsid w:val="003E3C51"/>
    <w:rsid w:val="003E78E0"/>
    <w:rsid w:val="003F2ED0"/>
    <w:rsid w:val="003F41C5"/>
    <w:rsid w:val="003F4739"/>
    <w:rsid w:val="003F55D4"/>
    <w:rsid w:val="003F6353"/>
    <w:rsid w:val="00402057"/>
    <w:rsid w:val="0040227F"/>
    <w:rsid w:val="00402A40"/>
    <w:rsid w:val="00407CDC"/>
    <w:rsid w:val="00413863"/>
    <w:rsid w:val="004175B3"/>
    <w:rsid w:val="00423640"/>
    <w:rsid w:val="00426744"/>
    <w:rsid w:val="00430D14"/>
    <w:rsid w:val="004312C2"/>
    <w:rsid w:val="00434341"/>
    <w:rsid w:val="00435C47"/>
    <w:rsid w:val="00441FFE"/>
    <w:rsid w:val="0044522C"/>
    <w:rsid w:val="00445FE6"/>
    <w:rsid w:val="0045323D"/>
    <w:rsid w:val="00457C89"/>
    <w:rsid w:val="00461027"/>
    <w:rsid w:val="00461751"/>
    <w:rsid w:val="00463B51"/>
    <w:rsid w:val="0046664F"/>
    <w:rsid w:val="0047263B"/>
    <w:rsid w:val="00473D55"/>
    <w:rsid w:val="00474993"/>
    <w:rsid w:val="004815EA"/>
    <w:rsid w:val="00487A28"/>
    <w:rsid w:val="004906DE"/>
    <w:rsid w:val="00491BA8"/>
    <w:rsid w:val="00495645"/>
    <w:rsid w:val="004A04C5"/>
    <w:rsid w:val="004A301E"/>
    <w:rsid w:val="004A7926"/>
    <w:rsid w:val="004B1417"/>
    <w:rsid w:val="004B15DE"/>
    <w:rsid w:val="004C0FDE"/>
    <w:rsid w:val="004C3157"/>
    <w:rsid w:val="004C5AD4"/>
    <w:rsid w:val="004C7DB8"/>
    <w:rsid w:val="004D0B4B"/>
    <w:rsid w:val="004D1B3C"/>
    <w:rsid w:val="004D22D4"/>
    <w:rsid w:val="004D4E3A"/>
    <w:rsid w:val="004D6664"/>
    <w:rsid w:val="004E2B3D"/>
    <w:rsid w:val="004E4B73"/>
    <w:rsid w:val="004F74F4"/>
    <w:rsid w:val="004F7701"/>
    <w:rsid w:val="00504DF2"/>
    <w:rsid w:val="005075CD"/>
    <w:rsid w:val="0051046D"/>
    <w:rsid w:val="005158B4"/>
    <w:rsid w:val="00516ED0"/>
    <w:rsid w:val="005269BB"/>
    <w:rsid w:val="00526D24"/>
    <w:rsid w:val="0053262D"/>
    <w:rsid w:val="00535057"/>
    <w:rsid w:val="005441DB"/>
    <w:rsid w:val="005443B9"/>
    <w:rsid w:val="00544B1D"/>
    <w:rsid w:val="00545BAF"/>
    <w:rsid w:val="00550080"/>
    <w:rsid w:val="005560C8"/>
    <w:rsid w:val="0056046F"/>
    <w:rsid w:val="00566AF7"/>
    <w:rsid w:val="0057619E"/>
    <w:rsid w:val="00582029"/>
    <w:rsid w:val="005824CA"/>
    <w:rsid w:val="00584334"/>
    <w:rsid w:val="0059479F"/>
    <w:rsid w:val="00595460"/>
    <w:rsid w:val="00597526"/>
    <w:rsid w:val="005A21D2"/>
    <w:rsid w:val="005A30A5"/>
    <w:rsid w:val="005A31E2"/>
    <w:rsid w:val="005A3BAD"/>
    <w:rsid w:val="005A3C3F"/>
    <w:rsid w:val="005A73AC"/>
    <w:rsid w:val="005B66A9"/>
    <w:rsid w:val="005B6B95"/>
    <w:rsid w:val="005C0860"/>
    <w:rsid w:val="005C5B5D"/>
    <w:rsid w:val="005C77FD"/>
    <w:rsid w:val="005C7B50"/>
    <w:rsid w:val="005D0FA2"/>
    <w:rsid w:val="005D5488"/>
    <w:rsid w:val="005D6FC2"/>
    <w:rsid w:val="005E32BC"/>
    <w:rsid w:val="005E3C8C"/>
    <w:rsid w:val="005E3C96"/>
    <w:rsid w:val="005E6551"/>
    <w:rsid w:val="005E6E41"/>
    <w:rsid w:val="005F29C7"/>
    <w:rsid w:val="005F3E6E"/>
    <w:rsid w:val="0060075D"/>
    <w:rsid w:val="0060521C"/>
    <w:rsid w:val="00605822"/>
    <w:rsid w:val="006074AA"/>
    <w:rsid w:val="006113B0"/>
    <w:rsid w:val="00612D1E"/>
    <w:rsid w:val="00616D27"/>
    <w:rsid w:val="00626243"/>
    <w:rsid w:val="00626FD5"/>
    <w:rsid w:val="006307F7"/>
    <w:rsid w:val="006321BC"/>
    <w:rsid w:val="006325F6"/>
    <w:rsid w:val="00633541"/>
    <w:rsid w:val="00635625"/>
    <w:rsid w:val="00636FE4"/>
    <w:rsid w:val="006378AA"/>
    <w:rsid w:val="00640471"/>
    <w:rsid w:val="0064070C"/>
    <w:rsid w:val="00641738"/>
    <w:rsid w:val="006418F0"/>
    <w:rsid w:val="00647990"/>
    <w:rsid w:val="006508CF"/>
    <w:rsid w:val="00650A8F"/>
    <w:rsid w:val="00651BD9"/>
    <w:rsid w:val="0065240B"/>
    <w:rsid w:val="006543AD"/>
    <w:rsid w:val="00654E52"/>
    <w:rsid w:val="00656804"/>
    <w:rsid w:val="00665FE4"/>
    <w:rsid w:val="006666C2"/>
    <w:rsid w:val="00666AA7"/>
    <w:rsid w:val="0067477E"/>
    <w:rsid w:val="00674FD1"/>
    <w:rsid w:val="006877C3"/>
    <w:rsid w:val="00693D12"/>
    <w:rsid w:val="00697EE5"/>
    <w:rsid w:val="006A09E4"/>
    <w:rsid w:val="006A0E86"/>
    <w:rsid w:val="006B1B2E"/>
    <w:rsid w:val="006B1E72"/>
    <w:rsid w:val="006B2899"/>
    <w:rsid w:val="006B29BA"/>
    <w:rsid w:val="006B5F5F"/>
    <w:rsid w:val="006C010B"/>
    <w:rsid w:val="006C41B5"/>
    <w:rsid w:val="006C67F9"/>
    <w:rsid w:val="006D56AF"/>
    <w:rsid w:val="006D5962"/>
    <w:rsid w:val="006D5C9B"/>
    <w:rsid w:val="006E7335"/>
    <w:rsid w:val="006F2B3E"/>
    <w:rsid w:val="006F7A96"/>
    <w:rsid w:val="00702AAC"/>
    <w:rsid w:val="0070323D"/>
    <w:rsid w:val="00710A04"/>
    <w:rsid w:val="00711B60"/>
    <w:rsid w:val="007122A2"/>
    <w:rsid w:val="007132BE"/>
    <w:rsid w:val="00715F9C"/>
    <w:rsid w:val="00724910"/>
    <w:rsid w:val="00727033"/>
    <w:rsid w:val="007301D0"/>
    <w:rsid w:val="00731454"/>
    <w:rsid w:val="00733BAD"/>
    <w:rsid w:val="00735F59"/>
    <w:rsid w:val="00736B80"/>
    <w:rsid w:val="007477B8"/>
    <w:rsid w:val="0075300B"/>
    <w:rsid w:val="00761DFA"/>
    <w:rsid w:val="00762D20"/>
    <w:rsid w:val="007829C6"/>
    <w:rsid w:val="0078475F"/>
    <w:rsid w:val="00784B70"/>
    <w:rsid w:val="007A06F3"/>
    <w:rsid w:val="007A2408"/>
    <w:rsid w:val="007A3E77"/>
    <w:rsid w:val="007A6328"/>
    <w:rsid w:val="007A7302"/>
    <w:rsid w:val="007B067A"/>
    <w:rsid w:val="007B31D8"/>
    <w:rsid w:val="007B7F0B"/>
    <w:rsid w:val="007B7FC1"/>
    <w:rsid w:val="007C6639"/>
    <w:rsid w:val="007C7A18"/>
    <w:rsid w:val="007D078C"/>
    <w:rsid w:val="007D1692"/>
    <w:rsid w:val="007D6971"/>
    <w:rsid w:val="007E03D3"/>
    <w:rsid w:val="007E2B38"/>
    <w:rsid w:val="007E421A"/>
    <w:rsid w:val="007E4846"/>
    <w:rsid w:val="007F0770"/>
    <w:rsid w:val="007F13EB"/>
    <w:rsid w:val="007F1F4A"/>
    <w:rsid w:val="007F6144"/>
    <w:rsid w:val="007F7E44"/>
    <w:rsid w:val="007F7FC4"/>
    <w:rsid w:val="00801AEE"/>
    <w:rsid w:val="008025F8"/>
    <w:rsid w:val="008058AA"/>
    <w:rsid w:val="008074EF"/>
    <w:rsid w:val="00811254"/>
    <w:rsid w:val="00814FF1"/>
    <w:rsid w:val="0082269F"/>
    <w:rsid w:val="0082441E"/>
    <w:rsid w:val="00825DD1"/>
    <w:rsid w:val="008365A1"/>
    <w:rsid w:val="0084026A"/>
    <w:rsid w:val="00840B35"/>
    <w:rsid w:val="00840B5C"/>
    <w:rsid w:val="00841927"/>
    <w:rsid w:val="00852C0C"/>
    <w:rsid w:val="00853506"/>
    <w:rsid w:val="0086073F"/>
    <w:rsid w:val="00863DDC"/>
    <w:rsid w:val="00866607"/>
    <w:rsid w:val="00866C39"/>
    <w:rsid w:val="00880F3B"/>
    <w:rsid w:val="00887410"/>
    <w:rsid w:val="008A0266"/>
    <w:rsid w:val="008A19FD"/>
    <w:rsid w:val="008A638F"/>
    <w:rsid w:val="008C56BD"/>
    <w:rsid w:val="008C7205"/>
    <w:rsid w:val="008D27FE"/>
    <w:rsid w:val="008D56C1"/>
    <w:rsid w:val="008E3CE4"/>
    <w:rsid w:val="008E3D80"/>
    <w:rsid w:val="008F3986"/>
    <w:rsid w:val="008F46E1"/>
    <w:rsid w:val="008F642F"/>
    <w:rsid w:val="00901AA5"/>
    <w:rsid w:val="00902F14"/>
    <w:rsid w:val="0090322A"/>
    <w:rsid w:val="00907088"/>
    <w:rsid w:val="009072B7"/>
    <w:rsid w:val="00917449"/>
    <w:rsid w:val="009269DA"/>
    <w:rsid w:val="0093051D"/>
    <w:rsid w:val="00940265"/>
    <w:rsid w:val="00940A96"/>
    <w:rsid w:val="00945C02"/>
    <w:rsid w:val="009518FD"/>
    <w:rsid w:val="0095245B"/>
    <w:rsid w:val="00954CB0"/>
    <w:rsid w:val="00955A98"/>
    <w:rsid w:val="009574AF"/>
    <w:rsid w:val="00957C3E"/>
    <w:rsid w:val="00961029"/>
    <w:rsid w:val="00965649"/>
    <w:rsid w:val="00967D04"/>
    <w:rsid w:val="00974DB9"/>
    <w:rsid w:val="00975ABF"/>
    <w:rsid w:val="00975D1F"/>
    <w:rsid w:val="00976048"/>
    <w:rsid w:val="0097715E"/>
    <w:rsid w:val="0098100F"/>
    <w:rsid w:val="0098111F"/>
    <w:rsid w:val="00984E73"/>
    <w:rsid w:val="00987AC7"/>
    <w:rsid w:val="00996408"/>
    <w:rsid w:val="009A1F18"/>
    <w:rsid w:val="009A2CB8"/>
    <w:rsid w:val="009A4719"/>
    <w:rsid w:val="009B41B0"/>
    <w:rsid w:val="009C34A9"/>
    <w:rsid w:val="009C3795"/>
    <w:rsid w:val="009C3A85"/>
    <w:rsid w:val="009C44B4"/>
    <w:rsid w:val="009C543E"/>
    <w:rsid w:val="009E2240"/>
    <w:rsid w:val="009E3920"/>
    <w:rsid w:val="009E5E16"/>
    <w:rsid w:val="009F2429"/>
    <w:rsid w:val="009F72C7"/>
    <w:rsid w:val="00A011D2"/>
    <w:rsid w:val="00A01473"/>
    <w:rsid w:val="00A03BBC"/>
    <w:rsid w:val="00A03E32"/>
    <w:rsid w:val="00A06749"/>
    <w:rsid w:val="00A13213"/>
    <w:rsid w:val="00A13FE9"/>
    <w:rsid w:val="00A16411"/>
    <w:rsid w:val="00A25539"/>
    <w:rsid w:val="00A311C2"/>
    <w:rsid w:val="00A318AE"/>
    <w:rsid w:val="00A323C1"/>
    <w:rsid w:val="00A34505"/>
    <w:rsid w:val="00A367B8"/>
    <w:rsid w:val="00A42E90"/>
    <w:rsid w:val="00A471CF"/>
    <w:rsid w:val="00A553F1"/>
    <w:rsid w:val="00A57194"/>
    <w:rsid w:val="00A60469"/>
    <w:rsid w:val="00A65181"/>
    <w:rsid w:val="00A67891"/>
    <w:rsid w:val="00A70766"/>
    <w:rsid w:val="00A72BF4"/>
    <w:rsid w:val="00A811BA"/>
    <w:rsid w:val="00A83327"/>
    <w:rsid w:val="00A83570"/>
    <w:rsid w:val="00A92AAF"/>
    <w:rsid w:val="00A931A1"/>
    <w:rsid w:val="00A96986"/>
    <w:rsid w:val="00AA4991"/>
    <w:rsid w:val="00AA6217"/>
    <w:rsid w:val="00AA7BC9"/>
    <w:rsid w:val="00AB0E00"/>
    <w:rsid w:val="00AB2928"/>
    <w:rsid w:val="00AB32B2"/>
    <w:rsid w:val="00AB37CB"/>
    <w:rsid w:val="00AB3D28"/>
    <w:rsid w:val="00AB5009"/>
    <w:rsid w:val="00AC08F5"/>
    <w:rsid w:val="00AC20E4"/>
    <w:rsid w:val="00AC2521"/>
    <w:rsid w:val="00AC2FDC"/>
    <w:rsid w:val="00AC3091"/>
    <w:rsid w:val="00AC63AF"/>
    <w:rsid w:val="00AD24F5"/>
    <w:rsid w:val="00AD2BCC"/>
    <w:rsid w:val="00AD5E05"/>
    <w:rsid w:val="00AE2366"/>
    <w:rsid w:val="00AE3F38"/>
    <w:rsid w:val="00AE63FF"/>
    <w:rsid w:val="00AF77A8"/>
    <w:rsid w:val="00B00A2E"/>
    <w:rsid w:val="00B03B01"/>
    <w:rsid w:val="00B12525"/>
    <w:rsid w:val="00B14462"/>
    <w:rsid w:val="00B21382"/>
    <w:rsid w:val="00B3281D"/>
    <w:rsid w:val="00B32F0D"/>
    <w:rsid w:val="00B42276"/>
    <w:rsid w:val="00B425FB"/>
    <w:rsid w:val="00B46CDB"/>
    <w:rsid w:val="00B52286"/>
    <w:rsid w:val="00B5302A"/>
    <w:rsid w:val="00B56C85"/>
    <w:rsid w:val="00B60D64"/>
    <w:rsid w:val="00B665F1"/>
    <w:rsid w:val="00B66DDC"/>
    <w:rsid w:val="00B700E9"/>
    <w:rsid w:val="00B71619"/>
    <w:rsid w:val="00B73643"/>
    <w:rsid w:val="00B765CF"/>
    <w:rsid w:val="00B90921"/>
    <w:rsid w:val="00B955AE"/>
    <w:rsid w:val="00BA3584"/>
    <w:rsid w:val="00BA3FA6"/>
    <w:rsid w:val="00BA5615"/>
    <w:rsid w:val="00BB461C"/>
    <w:rsid w:val="00BB7B49"/>
    <w:rsid w:val="00BC1001"/>
    <w:rsid w:val="00BC22F2"/>
    <w:rsid w:val="00BD2DB0"/>
    <w:rsid w:val="00BE2ECB"/>
    <w:rsid w:val="00BE3EA4"/>
    <w:rsid w:val="00BE54F0"/>
    <w:rsid w:val="00BE674F"/>
    <w:rsid w:val="00BF7D94"/>
    <w:rsid w:val="00C02624"/>
    <w:rsid w:val="00C0489D"/>
    <w:rsid w:val="00C04C94"/>
    <w:rsid w:val="00C07C4C"/>
    <w:rsid w:val="00C1190D"/>
    <w:rsid w:val="00C131AE"/>
    <w:rsid w:val="00C134BF"/>
    <w:rsid w:val="00C16DDA"/>
    <w:rsid w:val="00C2003C"/>
    <w:rsid w:val="00C2052C"/>
    <w:rsid w:val="00C20925"/>
    <w:rsid w:val="00C20B40"/>
    <w:rsid w:val="00C23A4F"/>
    <w:rsid w:val="00C26BDF"/>
    <w:rsid w:val="00C2764E"/>
    <w:rsid w:val="00C363EB"/>
    <w:rsid w:val="00C45409"/>
    <w:rsid w:val="00C45E60"/>
    <w:rsid w:val="00C470BD"/>
    <w:rsid w:val="00C55B24"/>
    <w:rsid w:val="00C619B7"/>
    <w:rsid w:val="00C63A20"/>
    <w:rsid w:val="00C63FDC"/>
    <w:rsid w:val="00C653F5"/>
    <w:rsid w:val="00C7502F"/>
    <w:rsid w:val="00C75436"/>
    <w:rsid w:val="00C802EA"/>
    <w:rsid w:val="00C81FB9"/>
    <w:rsid w:val="00C84095"/>
    <w:rsid w:val="00C8574A"/>
    <w:rsid w:val="00C92AD8"/>
    <w:rsid w:val="00C96ED2"/>
    <w:rsid w:val="00C9775C"/>
    <w:rsid w:val="00CA2159"/>
    <w:rsid w:val="00CB173C"/>
    <w:rsid w:val="00CB3483"/>
    <w:rsid w:val="00CB5459"/>
    <w:rsid w:val="00CD1E35"/>
    <w:rsid w:val="00CD29B4"/>
    <w:rsid w:val="00CD668A"/>
    <w:rsid w:val="00CD6E47"/>
    <w:rsid w:val="00CE049A"/>
    <w:rsid w:val="00CE12BB"/>
    <w:rsid w:val="00CE3FF0"/>
    <w:rsid w:val="00CE4DD0"/>
    <w:rsid w:val="00CE6988"/>
    <w:rsid w:val="00CE77D8"/>
    <w:rsid w:val="00CF11F7"/>
    <w:rsid w:val="00CF1C14"/>
    <w:rsid w:val="00CF4E2A"/>
    <w:rsid w:val="00CF5188"/>
    <w:rsid w:val="00CF5FEA"/>
    <w:rsid w:val="00CF72E6"/>
    <w:rsid w:val="00D0629F"/>
    <w:rsid w:val="00D064A8"/>
    <w:rsid w:val="00D1219F"/>
    <w:rsid w:val="00D12CAD"/>
    <w:rsid w:val="00D15923"/>
    <w:rsid w:val="00D170F5"/>
    <w:rsid w:val="00D22D03"/>
    <w:rsid w:val="00D26D37"/>
    <w:rsid w:val="00D2769F"/>
    <w:rsid w:val="00D27F9E"/>
    <w:rsid w:val="00D3420E"/>
    <w:rsid w:val="00D3580B"/>
    <w:rsid w:val="00D4114D"/>
    <w:rsid w:val="00D44E05"/>
    <w:rsid w:val="00D45ABD"/>
    <w:rsid w:val="00D45D97"/>
    <w:rsid w:val="00D46DB6"/>
    <w:rsid w:val="00D51965"/>
    <w:rsid w:val="00D538B2"/>
    <w:rsid w:val="00D548F2"/>
    <w:rsid w:val="00D608D0"/>
    <w:rsid w:val="00D6204B"/>
    <w:rsid w:val="00D626C2"/>
    <w:rsid w:val="00D64C90"/>
    <w:rsid w:val="00D669EB"/>
    <w:rsid w:val="00D67D84"/>
    <w:rsid w:val="00D839AB"/>
    <w:rsid w:val="00D83B6D"/>
    <w:rsid w:val="00D84559"/>
    <w:rsid w:val="00D91AAF"/>
    <w:rsid w:val="00D93CB7"/>
    <w:rsid w:val="00D944D3"/>
    <w:rsid w:val="00DB16AD"/>
    <w:rsid w:val="00DB2A48"/>
    <w:rsid w:val="00DB58DC"/>
    <w:rsid w:val="00DB5FE9"/>
    <w:rsid w:val="00DC0FD2"/>
    <w:rsid w:val="00DC1054"/>
    <w:rsid w:val="00DC66E2"/>
    <w:rsid w:val="00DC6AC2"/>
    <w:rsid w:val="00DD0051"/>
    <w:rsid w:val="00DD0588"/>
    <w:rsid w:val="00DD1D89"/>
    <w:rsid w:val="00DD45EF"/>
    <w:rsid w:val="00DD5A5D"/>
    <w:rsid w:val="00DF4677"/>
    <w:rsid w:val="00DF61A2"/>
    <w:rsid w:val="00E006AF"/>
    <w:rsid w:val="00E03F1E"/>
    <w:rsid w:val="00E0690C"/>
    <w:rsid w:val="00E072BB"/>
    <w:rsid w:val="00E11D69"/>
    <w:rsid w:val="00E15987"/>
    <w:rsid w:val="00E15E24"/>
    <w:rsid w:val="00E24025"/>
    <w:rsid w:val="00E2784F"/>
    <w:rsid w:val="00E33293"/>
    <w:rsid w:val="00E36240"/>
    <w:rsid w:val="00E423CB"/>
    <w:rsid w:val="00E451D6"/>
    <w:rsid w:val="00E45CDE"/>
    <w:rsid w:val="00E5032A"/>
    <w:rsid w:val="00E50D97"/>
    <w:rsid w:val="00E538B8"/>
    <w:rsid w:val="00E54B2E"/>
    <w:rsid w:val="00E63F32"/>
    <w:rsid w:val="00E6491A"/>
    <w:rsid w:val="00E726F5"/>
    <w:rsid w:val="00E7290B"/>
    <w:rsid w:val="00E73F93"/>
    <w:rsid w:val="00E73F9F"/>
    <w:rsid w:val="00E76D53"/>
    <w:rsid w:val="00E80042"/>
    <w:rsid w:val="00E80629"/>
    <w:rsid w:val="00E82D23"/>
    <w:rsid w:val="00E848B5"/>
    <w:rsid w:val="00E84EB0"/>
    <w:rsid w:val="00E94695"/>
    <w:rsid w:val="00EA4093"/>
    <w:rsid w:val="00EA5117"/>
    <w:rsid w:val="00EB2428"/>
    <w:rsid w:val="00EB3E93"/>
    <w:rsid w:val="00EB52F7"/>
    <w:rsid w:val="00EB6DD3"/>
    <w:rsid w:val="00EB7DBA"/>
    <w:rsid w:val="00EC6D44"/>
    <w:rsid w:val="00ED1845"/>
    <w:rsid w:val="00ED7647"/>
    <w:rsid w:val="00EE0FA1"/>
    <w:rsid w:val="00EE253D"/>
    <w:rsid w:val="00EE2636"/>
    <w:rsid w:val="00EE7CAE"/>
    <w:rsid w:val="00EF09B5"/>
    <w:rsid w:val="00EF2EF7"/>
    <w:rsid w:val="00F000C7"/>
    <w:rsid w:val="00F03476"/>
    <w:rsid w:val="00F108D2"/>
    <w:rsid w:val="00F14842"/>
    <w:rsid w:val="00F21C5D"/>
    <w:rsid w:val="00F24A39"/>
    <w:rsid w:val="00F260F1"/>
    <w:rsid w:val="00F3070A"/>
    <w:rsid w:val="00F33594"/>
    <w:rsid w:val="00F370A5"/>
    <w:rsid w:val="00F408C4"/>
    <w:rsid w:val="00F42194"/>
    <w:rsid w:val="00F4315C"/>
    <w:rsid w:val="00F47100"/>
    <w:rsid w:val="00F5049B"/>
    <w:rsid w:val="00F51D0E"/>
    <w:rsid w:val="00F57567"/>
    <w:rsid w:val="00F608DF"/>
    <w:rsid w:val="00F62EC8"/>
    <w:rsid w:val="00F6399E"/>
    <w:rsid w:val="00F656EC"/>
    <w:rsid w:val="00F67DF4"/>
    <w:rsid w:val="00F73C9D"/>
    <w:rsid w:val="00F8246B"/>
    <w:rsid w:val="00F82F0B"/>
    <w:rsid w:val="00F837C4"/>
    <w:rsid w:val="00F8432B"/>
    <w:rsid w:val="00F86E21"/>
    <w:rsid w:val="00F92498"/>
    <w:rsid w:val="00F94258"/>
    <w:rsid w:val="00FA6B00"/>
    <w:rsid w:val="00FB1F8E"/>
    <w:rsid w:val="00FB6B47"/>
    <w:rsid w:val="00FB7125"/>
    <w:rsid w:val="00FD57ED"/>
    <w:rsid w:val="00FE021C"/>
    <w:rsid w:val="00FE5A3B"/>
    <w:rsid w:val="00FE7513"/>
    <w:rsid w:val="00FF26EB"/>
    <w:rsid w:val="00FF6ACD"/>
    <w:rsid w:val="00FF6E1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70"/>
    <w:pPr>
      <w:spacing w:after="160" w:line="259" w:lineRule="auto"/>
    </w:pPr>
    <w:rPr>
      <w:rFonts w:eastAsiaTheme="minorHAnsi"/>
      <w:sz w:val="22"/>
      <w:szCs w:val="22"/>
      <w:lang w:val="en-GB"/>
    </w:rPr>
  </w:style>
  <w:style w:type="paragraph" w:styleId="Heading1">
    <w:name w:val="heading 1"/>
    <w:basedOn w:val="Normal"/>
    <w:next w:val="Normal"/>
    <w:link w:val="Heading1Char"/>
    <w:uiPriority w:val="9"/>
    <w:qFormat/>
    <w:rsid w:val="00A57194"/>
    <w:pPr>
      <w:keepNext/>
      <w:keepLines/>
      <w:spacing w:before="480" w:after="0"/>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uiPriority w:val="9"/>
    <w:unhideWhenUsed/>
    <w:qFormat/>
    <w:rsid w:val="00C7502F"/>
    <w:pPr>
      <w:keepNext/>
      <w:keepLines/>
      <w:spacing w:before="200" w:after="0"/>
      <w:outlineLvl w:val="1"/>
    </w:pPr>
    <w:rPr>
      <w:rFonts w:ascii="Times New Roman" w:eastAsiaTheme="majorEastAsia" w:hAnsi="Times New Roman"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70"/>
    <w:rPr>
      <w:rFonts w:eastAsiaTheme="minorHAnsi"/>
      <w:sz w:val="22"/>
      <w:szCs w:val="22"/>
      <w:lang w:val="en-GB"/>
    </w:rPr>
  </w:style>
  <w:style w:type="paragraph" w:styleId="Footer">
    <w:name w:val="footer"/>
    <w:basedOn w:val="Normal"/>
    <w:link w:val="FooterChar"/>
    <w:uiPriority w:val="99"/>
    <w:unhideWhenUsed/>
    <w:rsid w:val="00784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70"/>
    <w:rPr>
      <w:rFonts w:eastAsiaTheme="minorHAnsi"/>
      <w:sz w:val="22"/>
      <w:szCs w:val="22"/>
      <w:lang w:val="en-GB"/>
    </w:rPr>
  </w:style>
  <w:style w:type="character" w:styleId="CommentReference">
    <w:name w:val="annotation reference"/>
    <w:basedOn w:val="DefaultParagraphFont"/>
    <w:uiPriority w:val="99"/>
    <w:semiHidden/>
    <w:unhideWhenUsed/>
    <w:rsid w:val="00784B70"/>
    <w:rPr>
      <w:sz w:val="16"/>
      <w:szCs w:val="16"/>
    </w:rPr>
  </w:style>
  <w:style w:type="paragraph" w:styleId="CommentText">
    <w:name w:val="annotation text"/>
    <w:basedOn w:val="Normal"/>
    <w:link w:val="CommentTextChar"/>
    <w:uiPriority w:val="99"/>
    <w:unhideWhenUsed/>
    <w:rsid w:val="00784B70"/>
    <w:pPr>
      <w:spacing w:line="240" w:lineRule="auto"/>
    </w:pPr>
    <w:rPr>
      <w:sz w:val="20"/>
      <w:szCs w:val="20"/>
    </w:rPr>
  </w:style>
  <w:style w:type="character" w:customStyle="1" w:styleId="CommentTextChar">
    <w:name w:val="Comment Text Char"/>
    <w:basedOn w:val="DefaultParagraphFont"/>
    <w:link w:val="CommentText"/>
    <w:uiPriority w:val="99"/>
    <w:rsid w:val="00784B70"/>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784B70"/>
    <w:rPr>
      <w:b/>
      <w:bCs/>
    </w:rPr>
  </w:style>
  <w:style w:type="character" w:customStyle="1" w:styleId="CommentSubjectChar">
    <w:name w:val="Comment Subject Char"/>
    <w:basedOn w:val="CommentTextChar"/>
    <w:link w:val="CommentSubject"/>
    <w:uiPriority w:val="99"/>
    <w:semiHidden/>
    <w:rsid w:val="00784B70"/>
    <w:rPr>
      <w:rFonts w:eastAsiaTheme="minorHAnsi"/>
      <w:b/>
      <w:bCs/>
      <w:sz w:val="20"/>
      <w:szCs w:val="20"/>
      <w:lang w:val="en-GB"/>
    </w:rPr>
  </w:style>
  <w:style w:type="paragraph" w:styleId="BalloonText">
    <w:name w:val="Balloon Text"/>
    <w:basedOn w:val="Normal"/>
    <w:link w:val="BalloonTextChar"/>
    <w:uiPriority w:val="99"/>
    <w:semiHidden/>
    <w:unhideWhenUsed/>
    <w:rsid w:val="00784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B70"/>
    <w:rPr>
      <w:rFonts w:ascii="Tahoma" w:eastAsiaTheme="minorHAnsi" w:hAnsi="Tahoma" w:cs="Tahoma"/>
      <w:sz w:val="16"/>
      <w:szCs w:val="16"/>
      <w:lang w:val="en-GB"/>
    </w:rPr>
  </w:style>
  <w:style w:type="paragraph" w:styleId="ListParagraph">
    <w:name w:val="List Paragraph"/>
    <w:basedOn w:val="Normal"/>
    <w:uiPriority w:val="34"/>
    <w:qFormat/>
    <w:rsid w:val="00784B70"/>
    <w:pPr>
      <w:ind w:left="720"/>
      <w:contextualSpacing/>
    </w:pPr>
  </w:style>
  <w:style w:type="character" w:styleId="Hyperlink">
    <w:name w:val="Hyperlink"/>
    <w:basedOn w:val="DefaultParagraphFont"/>
    <w:uiPriority w:val="99"/>
    <w:unhideWhenUsed/>
    <w:rsid w:val="00784B70"/>
    <w:rPr>
      <w:color w:val="0000FF" w:themeColor="hyperlink"/>
      <w:u w:val="single"/>
    </w:rPr>
  </w:style>
  <w:style w:type="paragraph" w:customStyle="1" w:styleId="EndNoteBibliographyTitle">
    <w:name w:val="EndNote Bibliography Title"/>
    <w:basedOn w:val="Normal"/>
    <w:link w:val="EndNoteBibliographyTitleChar"/>
    <w:rsid w:val="00784B7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84B70"/>
    <w:rPr>
      <w:rFonts w:ascii="Calibri" w:eastAsiaTheme="minorHAnsi" w:hAnsi="Calibri"/>
      <w:noProof/>
      <w:sz w:val="22"/>
      <w:szCs w:val="22"/>
      <w:lang w:val="en-US"/>
    </w:rPr>
  </w:style>
  <w:style w:type="paragraph" w:customStyle="1" w:styleId="EndNoteBibliography">
    <w:name w:val="EndNote Bibliography"/>
    <w:basedOn w:val="Normal"/>
    <w:link w:val="EndNoteBibliographyChar"/>
    <w:rsid w:val="00784B7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84B70"/>
    <w:rPr>
      <w:rFonts w:ascii="Calibri" w:eastAsiaTheme="minorHAnsi" w:hAnsi="Calibri"/>
      <w:noProof/>
      <w:sz w:val="22"/>
      <w:szCs w:val="22"/>
      <w:lang w:val="en-US"/>
    </w:rPr>
  </w:style>
  <w:style w:type="character" w:styleId="PlaceholderText">
    <w:name w:val="Placeholder Text"/>
    <w:basedOn w:val="DefaultParagraphFont"/>
    <w:uiPriority w:val="99"/>
    <w:semiHidden/>
    <w:rsid w:val="00784B70"/>
    <w:rPr>
      <w:color w:val="808080"/>
    </w:rPr>
  </w:style>
  <w:style w:type="character" w:styleId="FollowedHyperlink">
    <w:name w:val="FollowedHyperlink"/>
    <w:basedOn w:val="DefaultParagraphFont"/>
    <w:uiPriority w:val="99"/>
    <w:semiHidden/>
    <w:unhideWhenUsed/>
    <w:rsid w:val="00784B70"/>
    <w:rPr>
      <w:color w:val="800080" w:themeColor="followedHyperlink"/>
      <w:u w:val="single"/>
    </w:rPr>
  </w:style>
  <w:style w:type="paragraph" w:styleId="Revision">
    <w:name w:val="Revision"/>
    <w:hidden/>
    <w:uiPriority w:val="99"/>
    <w:semiHidden/>
    <w:rsid w:val="00784B70"/>
    <w:rPr>
      <w:rFonts w:eastAsiaTheme="minorHAnsi"/>
      <w:sz w:val="22"/>
      <w:szCs w:val="22"/>
      <w:lang w:val="en-GB"/>
    </w:rPr>
  </w:style>
  <w:style w:type="paragraph" w:styleId="NormalWeb">
    <w:name w:val="Normal (Web)"/>
    <w:basedOn w:val="Normal"/>
    <w:uiPriority w:val="99"/>
    <w:semiHidden/>
    <w:unhideWhenUsed/>
    <w:rsid w:val="00784B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Style">
    <w:name w:val="rStyle"/>
    <w:rsid w:val="00784B70"/>
    <w:rPr>
      <w:b/>
      <w:bCs w:val="0"/>
      <w:color w:val="1F3864"/>
      <w:sz w:val="40"/>
      <w:szCs w:val="40"/>
    </w:rPr>
  </w:style>
  <w:style w:type="character" w:styleId="LineNumber">
    <w:name w:val="line number"/>
    <w:basedOn w:val="DefaultParagraphFont"/>
    <w:uiPriority w:val="99"/>
    <w:semiHidden/>
    <w:unhideWhenUsed/>
    <w:rsid w:val="00784B70"/>
  </w:style>
  <w:style w:type="character" w:customStyle="1" w:styleId="Heading1Char">
    <w:name w:val="Heading 1 Char"/>
    <w:basedOn w:val="DefaultParagraphFont"/>
    <w:link w:val="Heading1"/>
    <w:uiPriority w:val="9"/>
    <w:rsid w:val="00A57194"/>
    <w:rPr>
      <w:rFonts w:ascii="Times New Roman" w:eastAsiaTheme="majorEastAsia" w:hAnsi="Times New Roman" w:cstheme="majorBidi"/>
      <w:b/>
      <w:bCs/>
      <w:sz w:val="36"/>
      <w:szCs w:val="28"/>
      <w:lang w:val="en-GB"/>
    </w:rPr>
  </w:style>
  <w:style w:type="character" w:customStyle="1" w:styleId="Heading2Char">
    <w:name w:val="Heading 2 Char"/>
    <w:basedOn w:val="DefaultParagraphFont"/>
    <w:link w:val="Heading2"/>
    <w:uiPriority w:val="9"/>
    <w:rsid w:val="00C7502F"/>
    <w:rPr>
      <w:rFonts w:ascii="Times New Roman" w:eastAsiaTheme="majorEastAsia" w:hAnsi="Times New Roman" w:cstheme="majorBidi"/>
      <w:b/>
      <w:bCs/>
      <w:sz w:val="32"/>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70"/>
    <w:pPr>
      <w:spacing w:after="160" w:line="259" w:lineRule="auto"/>
    </w:pPr>
    <w:rPr>
      <w:rFonts w:eastAsiaTheme="minorHAnsi"/>
      <w:sz w:val="22"/>
      <w:szCs w:val="22"/>
      <w:lang w:val="en-GB"/>
    </w:rPr>
  </w:style>
  <w:style w:type="paragraph" w:styleId="Heading1">
    <w:name w:val="heading 1"/>
    <w:basedOn w:val="Normal"/>
    <w:next w:val="Normal"/>
    <w:link w:val="Heading1Char"/>
    <w:uiPriority w:val="9"/>
    <w:qFormat/>
    <w:rsid w:val="00A57194"/>
    <w:pPr>
      <w:keepNext/>
      <w:keepLines/>
      <w:spacing w:before="480" w:after="0"/>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uiPriority w:val="9"/>
    <w:unhideWhenUsed/>
    <w:qFormat/>
    <w:rsid w:val="00C7502F"/>
    <w:pPr>
      <w:keepNext/>
      <w:keepLines/>
      <w:spacing w:before="200" w:after="0"/>
      <w:outlineLvl w:val="1"/>
    </w:pPr>
    <w:rPr>
      <w:rFonts w:ascii="Times New Roman" w:eastAsiaTheme="majorEastAsia" w:hAnsi="Times New Roman"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70"/>
    <w:rPr>
      <w:rFonts w:eastAsiaTheme="minorHAnsi"/>
      <w:sz w:val="22"/>
      <w:szCs w:val="22"/>
      <w:lang w:val="en-GB"/>
    </w:rPr>
  </w:style>
  <w:style w:type="paragraph" w:styleId="Footer">
    <w:name w:val="footer"/>
    <w:basedOn w:val="Normal"/>
    <w:link w:val="FooterChar"/>
    <w:uiPriority w:val="99"/>
    <w:unhideWhenUsed/>
    <w:rsid w:val="00784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70"/>
    <w:rPr>
      <w:rFonts w:eastAsiaTheme="minorHAnsi"/>
      <w:sz w:val="22"/>
      <w:szCs w:val="22"/>
      <w:lang w:val="en-GB"/>
    </w:rPr>
  </w:style>
  <w:style w:type="character" w:styleId="CommentReference">
    <w:name w:val="annotation reference"/>
    <w:basedOn w:val="DefaultParagraphFont"/>
    <w:uiPriority w:val="99"/>
    <w:semiHidden/>
    <w:unhideWhenUsed/>
    <w:rsid w:val="00784B70"/>
    <w:rPr>
      <w:sz w:val="16"/>
      <w:szCs w:val="16"/>
    </w:rPr>
  </w:style>
  <w:style w:type="paragraph" w:styleId="CommentText">
    <w:name w:val="annotation text"/>
    <w:basedOn w:val="Normal"/>
    <w:link w:val="CommentTextChar"/>
    <w:uiPriority w:val="99"/>
    <w:unhideWhenUsed/>
    <w:rsid w:val="00784B70"/>
    <w:pPr>
      <w:spacing w:line="240" w:lineRule="auto"/>
    </w:pPr>
    <w:rPr>
      <w:sz w:val="20"/>
      <w:szCs w:val="20"/>
    </w:rPr>
  </w:style>
  <w:style w:type="character" w:customStyle="1" w:styleId="CommentTextChar">
    <w:name w:val="Comment Text Char"/>
    <w:basedOn w:val="DefaultParagraphFont"/>
    <w:link w:val="CommentText"/>
    <w:uiPriority w:val="99"/>
    <w:rsid w:val="00784B70"/>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784B70"/>
    <w:rPr>
      <w:b/>
      <w:bCs/>
    </w:rPr>
  </w:style>
  <w:style w:type="character" w:customStyle="1" w:styleId="CommentSubjectChar">
    <w:name w:val="Comment Subject Char"/>
    <w:basedOn w:val="CommentTextChar"/>
    <w:link w:val="CommentSubject"/>
    <w:uiPriority w:val="99"/>
    <w:semiHidden/>
    <w:rsid w:val="00784B70"/>
    <w:rPr>
      <w:rFonts w:eastAsiaTheme="minorHAnsi"/>
      <w:b/>
      <w:bCs/>
      <w:sz w:val="20"/>
      <w:szCs w:val="20"/>
      <w:lang w:val="en-GB"/>
    </w:rPr>
  </w:style>
  <w:style w:type="paragraph" w:styleId="BalloonText">
    <w:name w:val="Balloon Text"/>
    <w:basedOn w:val="Normal"/>
    <w:link w:val="BalloonTextChar"/>
    <w:uiPriority w:val="99"/>
    <w:semiHidden/>
    <w:unhideWhenUsed/>
    <w:rsid w:val="00784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B70"/>
    <w:rPr>
      <w:rFonts w:ascii="Tahoma" w:eastAsiaTheme="minorHAnsi" w:hAnsi="Tahoma" w:cs="Tahoma"/>
      <w:sz w:val="16"/>
      <w:szCs w:val="16"/>
      <w:lang w:val="en-GB"/>
    </w:rPr>
  </w:style>
  <w:style w:type="paragraph" w:styleId="ListParagraph">
    <w:name w:val="List Paragraph"/>
    <w:basedOn w:val="Normal"/>
    <w:uiPriority w:val="34"/>
    <w:qFormat/>
    <w:rsid w:val="00784B70"/>
    <w:pPr>
      <w:ind w:left="720"/>
      <w:contextualSpacing/>
    </w:pPr>
  </w:style>
  <w:style w:type="character" w:styleId="Hyperlink">
    <w:name w:val="Hyperlink"/>
    <w:basedOn w:val="DefaultParagraphFont"/>
    <w:uiPriority w:val="99"/>
    <w:unhideWhenUsed/>
    <w:rsid w:val="00784B70"/>
    <w:rPr>
      <w:color w:val="0000FF" w:themeColor="hyperlink"/>
      <w:u w:val="single"/>
    </w:rPr>
  </w:style>
  <w:style w:type="paragraph" w:customStyle="1" w:styleId="EndNoteBibliographyTitle">
    <w:name w:val="EndNote Bibliography Title"/>
    <w:basedOn w:val="Normal"/>
    <w:link w:val="EndNoteBibliographyTitleChar"/>
    <w:rsid w:val="00784B7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84B70"/>
    <w:rPr>
      <w:rFonts w:ascii="Calibri" w:eastAsiaTheme="minorHAnsi" w:hAnsi="Calibri"/>
      <w:noProof/>
      <w:sz w:val="22"/>
      <w:szCs w:val="22"/>
      <w:lang w:val="en-US"/>
    </w:rPr>
  </w:style>
  <w:style w:type="paragraph" w:customStyle="1" w:styleId="EndNoteBibliography">
    <w:name w:val="EndNote Bibliography"/>
    <w:basedOn w:val="Normal"/>
    <w:link w:val="EndNoteBibliographyChar"/>
    <w:rsid w:val="00784B7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84B70"/>
    <w:rPr>
      <w:rFonts w:ascii="Calibri" w:eastAsiaTheme="minorHAnsi" w:hAnsi="Calibri"/>
      <w:noProof/>
      <w:sz w:val="22"/>
      <w:szCs w:val="22"/>
      <w:lang w:val="en-US"/>
    </w:rPr>
  </w:style>
  <w:style w:type="character" w:styleId="PlaceholderText">
    <w:name w:val="Placeholder Text"/>
    <w:basedOn w:val="DefaultParagraphFont"/>
    <w:uiPriority w:val="99"/>
    <w:semiHidden/>
    <w:rsid w:val="00784B70"/>
    <w:rPr>
      <w:color w:val="808080"/>
    </w:rPr>
  </w:style>
  <w:style w:type="character" w:styleId="FollowedHyperlink">
    <w:name w:val="FollowedHyperlink"/>
    <w:basedOn w:val="DefaultParagraphFont"/>
    <w:uiPriority w:val="99"/>
    <w:semiHidden/>
    <w:unhideWhenUsed/>
    <w:rsid w:val="00784B70"/>
    <w:rPr>
      <w:color w:val="800080" w:themeColor="followedHyperlink"/>
      <w:u w:val="single"/>
    </w:rPr>
  </w:style>
  <w:style w:type="paragraph" w:styleId="Revision">
    <w:name w:val="Revision"/>
    <w:hidden/>
    <w:uiPriority w:val="99"/>
    <w:semiHidden/>
    <w:rsid w:val="00784B70"/>
    <w:rPr>
      <w:rFonts w:eastAsiaTheme="minorHAnsi"/>
      <w:sz w:val="22"/>
      <w:szCs w:val="22"/>
      <w:lang w:val="en-GB"/>
    </w:rPr>
  </w:style>
  <w:style w:type="paragraph" w:styleId="NormalWeb">
    <w:name w:val="Normal (Web)"/>
    <w:basedOn w:val="Normal"/>
    <w:uiPriority w:val="99"/>
    <w:semiHidden/>
    <w:unhideWhenUsed/>
    <w:rsid w:val="00784B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Style">
    <w:name w:val="rStyle"/>
    <w:rsid w:val="00784B70"/>
    <w:rPr>
      <w:b/>
      <w:bCs w:val="0"/>
      <w:color w:val="1F3864"/>
      <w:sz w:val="40"/>
      <w:szCs w:val="40"/>
    </w:rPr>
  </w:style>
  <w:style w:type="character" w:styleId="LineNumber">
    <w:name w:val="line number"/>
    <w:basedOn w:val="DefaultParagraphFont"/>
    <w:uiPriority w:val="99"/>
    <w:semiHidden/>
    <w:unhideWhenUsed/>
    <w:rsid w:val="00784B70"/>
  </w:style>
  <w:style w:type="character" w:customStyle="1" w:styleId="Heading1Char">
    <w:name w:val="Heading 1 Char"/>
    <w:basedOn w:val="DefaultParagraphFont"/>
    <w:link w:val="Heading1"/>
    <w:uiPriority w:val="9"/>
    <w:rsid w:val="00A57194"/>
    <w:rPr>
      <w:rFonts w:ascii="Times New Roman" w:eastAsiaTheme="majorEastAsia" w:hAnsi="Times New Roman" w:cstheme="majorBidi"/>
      <w:b/>
      <w:bCs/>
      <w:sz w:val="36"/>
      <w:szCs w:val="28"/>
      <w:lang w:val="en-GB"/>
    </w:rPr>
  </w:style>
  <w:style w:type="character" w:customStyle="1" w:styleId="Heading2Char">
    <w:name w:val="Heading 2 Char"/>
    <w:basedOn w:val="DefaultParagraphFont"/>
    <w:link w:val="Heading2"/>
    <w:uiPriority w:val="9"/>
    <w:rsid w:val="00C7502F"/>
    <w:rPr>
      <w:rFonts w:ascii="Times New Roman" w:eastAsiaTheme="majorEastAsia" w:hAnsi="Times New Roman" w:cstheme="majorBidi"/>
      <w:b/>
      <w:bCs/>
      <w:sz w:val="32"/>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2362">
      <w:bodyDiv w:val="1"/>
      <w:marLeft w:val="0"/>
      <w:marRight w:val="0"/>
      <w:marTop w:val="0"/>
      <w:marBottom w:val="0"/>
      <w:divBdr>
        <w:top w:val="none" w:sz="0" w:space="0" w:color="auto"/>
        <w:left w:val="none" w:sz="0" w:space="0" w:color="auto"/>
        <w:bottom w:val="none" w:sz="0" w:space="0" w:color="auto"/>
        <w:right w:val="none" w:sz="0" w:space="0" w:color="auto"/>
      </w:divBdr>
    </w:div>
    <w:div w:id="1273054077">
      <w:bodyDiv w:val="1"/>
      <w:marLeft w:val="0"/>
      <w:marRight w:val="0"/>
      <w:marTop w:val="0"/>
      <w:marBottom w:val="0"/>
      <w:divBdr>
        <w:top w:val="none" w:sz="0" w:space="0" w:color="auto"/>
        <w:left w:val="none" w:sz="0" w:space="0" w:color="auto"/>
        <w:bottom w:val="none" w:sz="0" w:space="0" w:color="auto"/>
        <w:right w:val="none" w:sz="0" w:space="0" w:color="auto"/>
      </w:divBdr>
    </w:div>
    <w:div w:id="1521047042">
      <w:bodyDiv w:val="1"/>
      <w:marLeft w:val="0"/>
      <w:marRight w:val="0"/>
      <w:marTop w:val="0"/>
      <w:marBottom w:val="0"/>
      <w:divBdr>
        <w:top w:val="none" w:sz="0" w:space="0" w:color="auto"/>
        <w:left w:val="none" w:sz="0" w:space="0" w:color="auto"/>
        <w:bottom w:val="none" w:sz="0" w:space="0" w:color="auto"/>
        <w:right w:val="none" w:sz="0" w:space="0" w:color="auto"/>
      </w:divBdr>
    </w:div>
    <w:div w:id="1674255596">
      <w:bodyDiv w:val="1"/>
      <w:marLeft w:val="0"/>
      <w:marRight w:val="0"/>
      <w:marTop w:val="0"/>
      <w:marBottom w:val="0"/>
      <w:divBdr>
        <w:top w:val="none" w:sz="0" w:space="0" w:color="auto"/>
        <w:left w:val="none" w:sz="0" w:space="0" w:color="auto"/>
        <w:bottom w:val="none" w:sz="0" w:space="0" w:color="auto"/>
        <w:right w:val="none" w:sz="0" w:space="0" w:color="auto"/>
      </w:divBdr>
    </w:div>
    <w:div w:id="1915387319">
      <w:bodyDiv w:val="1"/>
      <w:marLeft w:val="0"/>
      <w:marRight w:val="0"/>
      <w:marTop w:val="0"/>
      <w:marBottom w:val="0"/>
      <w:divBdr>
        <w:top w:val="none" w:sz="0" w:space="0" w:color="auto"/>
        <w:left w:val="none" w:sz="0" w:space="0" w:color="auto"/>
        <w:bottom w:val="none" w:sz="0" w:space="0" w:color="auto"/>
        <w:right w:val="none" w:sz="0" w:space="0" w:color="auto"/>
      </w:divBdr>
    </w:div>
    <w:div w:id="202161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harmintra.Pasupathy@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2DCC-EA90-497B-BA64-D894D0EF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7407</Words>
  <Characters>42225</Characters>
  <Application>Microsoft Office Word</Application>
  <DocSecurity>4</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Matias Costa Vieira</dc:creator>
  <cp:lastModifiedBy>Karen Drake</cp:lastModifiedBy>
  <cp:revision>2</cp:revision>
  <cp:lastPrinted>2016-10-27T13:26:00Z</cp:lastPrinted>
  <dcterms:created xsi:type="dcterms:W3CDTF">2016-11-30T10:54:00Z</dcterms:created>
  <dcterms:modified xsi:type="dcterms:W3CDTF">2016-11-30T10:54:00Z</dcterms:modified>
</cp:coreProperties>
</file>