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4AE" w:rsidRDefault="00E64250" w:rsidP="00E64250">
      <w:pPr>
        <w:jc w:val="center"/>
        <w:rPr>
          <w:rFonts w:ascii="Times New Roman" w:hAnsi="Times New Roman" w:cs="Times New Roman"/>
          <w:b/>
          <w:sz w:val="24"/>
          <w:szCs w:val="24"/>
        </w:rPr>
      </w:pPr>
      <w:r w:rsidRPr="00E64250">
        <w:rPr>
          <w:rFonts w:ascii="Times New Roman" w:hAnsi="Times New Roman" w:cs="Times New Roman"/>
          <w:b/>
          <w:sz w:val="24"/>
          <w:szCs w:val="24"/>
        </w:rPr>
        <w:t>SHUTTING THE DOOR ON HORIZONTAL EFFECT</w:t>
      </w:r>
    </w:p>
    <w:p w:rsidR="003122F2" w:rsidRPr="003122F2" w:rsidRDefault="003122F2" w:rsidP="00E64250">
      <w:pPr>
        <w:jc w:val="center"/>
        <w:rPr>
          <w:rFonts w:ascii="Times New Roman" w:hAnsi="Times New Roman" w:cs="Times New Roman"/>
          <w:b/>
          <w:sz w:val="24"/>
          <w:szCs w:val="24"/>
        </w:rPr>
      </w:pPr>
      <w:r w:rsidRPr="003122F2">
        <w:rPr>
          <w:rFonts w:ascii="Times New Roman" w:hAnsi="Times New Roman" w:cs="Times New Roman"/>
          <w:b/>
          <w:sz w:val="24"/>
          <w:szCs w:val="24"/>
        </w:rPr>
        <w:t xml:space="preserve">McDonald v </w:t>
      </w:r>
      <w:proofErr w:type="gramStart"/>
      <w:r w:rsidRPr="003122F2">
        <w:rPr>
          <w:rFonts w:ascii="Times New Roman" w:hAnsi="Times New Roman" w:cs="Times New Roman"/>
          <w:b/>
          <w:sz w:val="24"/>
          <w:szCs w:val="24"/>
        </w:rPr>
        <w:t>McDonald[</w:t>
      </w:r>
      <w:proofErr w:type="gramEnd"/>
      <w:r w:rsidRPr="003122F2">
        <w:rPr>
          <w:rFonts w:ascii="Times New Roman" w:hAnsi="Times New Roman" w:cs="Times New Roman"/>
          <w:b/>
          <w:sz w:val="24"/>
          <w:szCs w:val="24"/>
        </w:rPr>
        <w:t>2016] UKSC 28</w:t>
      </w:r>
    </w:p>
    <w:p w:rsidR="003122F2" w:rsidRDefault="003122F2" w:rsidP="00E64250">
      <w:pPr>
        <w:jc w:val="center"/>
        <w:rPr>
          <w:rFonts w:ascii="Times New Roman" w:hAnsi="Times New Roman" w:cs="Times New Roman"/>
          <w:b/>
          <w:sz w:val="24"/>
          <w:szCs w:val="24"/>
        </w:rPr>
      </w:pPr>
    </w:p>
    <w:p w:rsidR="003122F2" w:rsidRPr="003122F2" w:rsidRDefault="003122F2" w:rsidP="003122F2">
      <w:pPr>
        <w:rPr>
          <w:rFonts w:ascii="Times New Roman" w:hAnsi="Times New Roman" w:cs="Times New Roman"/>
          <w:sz w:val="24"/>
          <w:szCs w:val="24"/>
        </w:rPr>
      </w:pPr>
      <w:r w:rsidRPr="003122F2">
        <w:rPr>
          <w:rFonts w:ascii="Times New Roman" w:hAnsi="Times New Roman" w:cs="Times New Roman"/>
          <w:b/>
          <w:sz w:val="24"/>
          <w:szCs w:val="24"/>
        </w:rPr>
        <w:t>Keywords:</w:t>
      </w:r>
      <w:r w:rsidRPr="003122F2">
        <w:rPr>
          <w:rFonts w:ascii="Times New Roman" w:hAnsi="Times New Roman" w:cs="Times New Roman"/>
          <w:sz w:val="24"/>
          <w:szCs w:val="24"/>
        </w:rPr>
        <w:t xml:space="preserve"> Eviction; Possession Orders; Article 8 Right to respect for private and family life and home; Horizontal Effect; Proportionality; Assured </w:t>
      </w:r>
      <w:proofErr w:type="spellStart"/>
      <w:r w:rsidRPr="003122F2">
        <w:rPr>
          <w:rFonts w:ascii="Times New Roman" w:hAnsi="Times New Roman" w:cs="Times New Roman"/>
          <w:sz w:val="24"/>
          <w:szCs w:val="24"/>
        </w:rPr>
        <w:t>shorthold</w:t>
      </w:r>
      <w:proofErr w:type="spellEnd"/>
      <w:r w:rsidRPr="003122F2">
        <w:rPr>
          <w:rFonts w:ascii="Times New Roman" w:hAnsi="Times New Roman" w:cs="Times New Roman"/>
          <w:sz w:val="24"/>
          <w:szCs w:val="24"/>
        </w:rPr>
        <w:t xml:space="preserve"> tenancies</w:t>
      </w:r>
    </w:p>
    <w:p w:rsidR="003122F2" w:rsidRPr="003122F2" w:rsidRDefault="003122F2" w:rsidP="003122F2">
      <w:pPr>
        <w:rPr>
          <w:rFonts w:ascii="Times New Roman" w:hAnsi="Times New Roman" w:cs="Times New Roman"/>
          <w:sz w:val="24"/>
          <w:szCs w:val="24"/>
        </w:rPr>
      </w:pPr>
      <w:r w:rsidRPr="003122F2">
        <w:rPr>
          <w:rFonts w:ascii="Times New Roman" w:hAnsi="Times New Roman" w:cs="Times New Roman"/>
          <w:b/>
          <w:sz w:val="24"/>
          <w:szCs w:val="24"/>
        </w:rPr>
        <w:t>Legislation:</w:t>
      </w:r>
      <w:r w:rsidRPr="003122F2">
        <w:rPr>
          <w:rFonts w:ascii="Times New Roman" w:hAnsi="Times New Roman" w:cs="Times New Roman"/>
          <w:sz w:val="24"/>
          <w:szCs w:val="24"/>
        </w:rPr>
        <w:t xml:space="preserve"> European Convention on Human Rights and </w:t>
      </w:r>
      <w:r w:rsidR="00611802">
        <w:rPr>
          <w:rFonts w:ascii="Times New Roman" w:hAnsi="Times New Roman" w:cs="Times New Roman"/>
          <w:sz w:val="24"/>
          <w:szCs w:val="24"/>
        </w:rPr>
        <w:t>F</w:t>
      </w:r>
      <w:r w:rsidRPr="003122F2">
        <w:rPr>
          <w:rFonts w:ascii="Times New Roman" w:hAnsi="Times New Roman" w:cs="Times New Roman"/>
          <w:sz w:val="24"/>
          <w:szCs w:val="24"/>
        </w:rPr>
        <w:t xml:space="preserve">undamental </w:t>
      </w:r>
      <w:r w:rsidR="00611802">
        <w:rPr>
          <w:rFonts w:ascii="Times New Roman" w:hAnsi="Times New Roman" w:cs="Times New Roman"/>
          <w:sz w:val="24"/>
          <w:szCs w:val="24"/>
        </w:rPr>
        <w:t>F</w:t>
      </w:r>
      <w:r w:rsidRPr="003122F2">
        <w:rPr>
          <w:rFonts w:ascii="Times New Roman" w:hAnsi="Times New Roman" w:cs="Times New Roman"/>
          <w:sz w:val="24"/>
          <w:szCs w:val="24"/>
        </w:rPr>
        <w:t xml:space="preserve">reedoms </w:t>
      </w:r>
      <w:r w:rsidR="00EF0697">
        <w:rPr>
          <w:rFonts w:ascii="Times New Roman" w:hAnsi="Times New Roman" w:cs="Times New Roman"/>
          <w:sz w:val="24"/>
          <w:szCs w:val="24"/>
        </w:rPr>
        <w:t>A</w:t>
      </w:r>
      <w:r w:rsidRPr="003122F2">
        <w:rPr>
          <w:rFonts w:ascii="Times New Roman" w:hAnsi="Times New Roman" w:cs="Times New Roman"/>
          <w:sz w:val="24"/>
          <w:szCs w:val="24"/>
        </w:rPr>
        <w:t xml:space="preserve">rt 8, </w:t>
      </w:r>
      <w:r w:rsidR="00923E08">
        <w:rPr>
          <w:rFonts w:ascii="Times New Roman" w:hAnsi="Times New Roman" w:cs="Times New Roman"/>
          <w:sz w:val="24"/>
          <w:szCs w:val="24"/>
        </w:rPr>
        <w:t>Human Rights Act 1998 s</w:t>
      </w:r>
      <w:r w:rsidR="00EF0697">
        <w:rPr>
          <w:rFonts w:ascii="Times New Roman" w:hAnsi="Times New Roman" w:cs="Times New Roman"/>
          <w:sz w:val="24"/>
          <w:szCs w:val="24"/>
        </w:rPr>
        <w:t>3 and s</w:t>
      </w:r>
      <w:r w:rsidR="00923E08">
        <w:rPr>
          <w:rFonts w:ascii="Times New Roman" w:hAnsi="Times New Roman" w:cs="Times New Roman"/>
          <w:sz w:val="24"/>
          <w:szCs w:val="24"/>
        </w:rPr>
        <w:t xml:space="preserve">6, </w:t>
      </w:r>
      <w:r w:rsidRPr="003122F2">
        <w:rPr>
          <w:rFonts w:ascii="Times New Roman" w:hAnsi="Times New Roman" w:cs="Times New Roman"/>
          <w:sz w:val="24"/>
          <w:szCs w:val="24"/>
        </w:rPr>
        <w:t>Housing Act 1988 s21(4)</w:t>
      </w:r>
      <w:r w:rsidR="00EF0697">
        <w:rPr>
          <w:rFonts w:ascii="Times New Roman" w:hAnsi="Times New Roman" w:cs="Times New Roman"/>
          <w:sz w:val="24"/>
          <w:szCs w:val="24"/>
        </w:rPr>
        <w:t xml:space="preserve">, </w:t>
      </w:r>
      <w:r w:rsidRPr="003122F2">
        <w:rPr>
          <w:rFonts w:ascii="Times New Roman" w:hAnsi="Times New Roman" w:cs="Times New Roman"/>
          <w:sz w:val="24"/>
          <w:szCs w:val="24"/>
        </w:rPr>
        <w:t xml:space="preserve"> </w:t>
      </w:r>
      <w:r w:rsidR="00EF0697">
        <w:rPr>
          <w:rFonts w:ascii="Times New Roman" w:hAnsi="Times New Roman" w:cs="Times New Roman"/>
          <w:sz w:val="24"/>
          <w:szCs w:val="24"/>
        </w:rPr>
        <w:t>Housing Act 1980 s89(1)</w:t>
      </w:r>
    </w:p>
    <w:p w:rsidR="003122F2" w:rsidRDefault="003122F2" w:rsidP="003122F2">
      <w:pPr>
        <w:rPr>
          <w:rFonts w:ascii="Times New Roman" w:hAnsi="Times New Roman" w:cs="Times New Roman"/>
          <w:sz w:val="24"/>
          <w:szCs w:val="24"/>
        </w:rPr>
      </w:pPr>
      <w:r w:rsidRPr="003122F2">
        <w:rPr>
          <w:rFonts w:ascii="Times New Roman" w:hAnsi="Times New Roman" w:cs="Times New Roman"/>
          <w:b/>
          <w:sz w:val="24"/>
          <w:szCs w:val="24"/>
        </w:rPr>
        <w:t>Cases:</w:t>
      </w:r>
      <w:r w:rsidRPr="003122F2">
        <w:rPr>
          <w:rFonts w:ascii="Times New Roman" w:hAnsi="Times New Roman" w:cs="Times New Roman"/>
          <w:sz w:val="24"/>
          <w:szCs w:val="24"/>
        </w:rPr>
        <w:t xml:space="preserve"> McDonald v McDonald </w:t>
      </w:r>
      <w:r>
        <w:rPr>
          <w:rFonts w:ascii="Times New Roman" w:hAnsi="Times New Roman" w:cs="Times New Roman"/>
          <w:sz w:val="24"/>
          <w:szCs w:val="24"/>
        </w:rPr>
        <w:t>[2016] UKSC 28</w:t>
      </w:r>
    </w:p>
    <w:p w:rsidR="003122F2" w:rsidRPr="003122F2" w:rsidRDefault="003122F2" w:rsidP="003122F2">
      <w:pPr>
        <w:rPr>
          <w:rFonts w:ascii="Times New Roman" w:hAnsi="Times New Roman" w:cs="Times New Roman"/>
          <w:sz w:val="24"/>
          <w:szCs w:val="24"/>
        </w:rPr>
      </w:pPr>
      <w:r w:rsidRPr="003122F2">
        <w:rPr>
          <w:rFonts w:ascii="Times New Roman" w:hAnsi="Times New Roman" w:cs="Times New Roman"/>
          <w:b/>
          <w:sz w:val="24"/>
          <w:szCs w:val="24"/>
        </w:rPr>
        <w:t>Introduction</w:t>
      </w:r>
    </w:p>
    <w:p w:rsidR="003122F2" w:rsidRDefault="003122F2" w:rsidP="003122F2">
      <w:pPr>
        <w:rPr>
          <w:rFonts w:ascii="Times New Roman" w:hAnsi="Times New Roman" w:cs="Times New Roman"/>
          <w:sz w:val="24"/>
          <w:szCs w:val="24"/>
        </w:rPr>
      </w:pPr>
      <w:r w:rsidRPr="003122F2">
        <w:rPr>
          <w:rFonts w:ascii="Times New Roman" w:hAnsi="Times New Roman" w:cs="Times New Roman"/>
          <w:sz w:val="24"/>
          <w:szCs w:val="24"/>
        </w:rPr>
        <w:t xml:space="preserve">In </w:t>
      </w:r>
      <w:r w:rsidRPr="003122F2">
        <w:rPr>
          <w:rFonts w:ascii="Times New Roman" w:hAnsi="Times New Roman" w:cs="Times New Roman"/>
          <w:i/>
          <w:sz w:val="24"/>
          <w:szCs w:val="24"/>
        </w:rPr>
        <w:t xml:space="preserve">Manchester CC v </w:t>
      </w:r>
      <w:proofErr w:type="spellStart"/>
      <w:proofErr w:type="gramStart"/>
      <w:r w:rsidRPr="003122F2">
        <w:rPr>
          <w:rFonts w:ascii="Times New Roman" w:hAnsi="Times New Roman" w:cs="Times New Roman"/>
          <w:i/>
          <w:sz w:val="24"/>
          <w:szCs w:val="24"/>
        </w:rPr>
        <w:t>Pinnock</w:t>
      </w:r>
      <w:proofErr w:type="spellEnd"/>
      <w:proofErr w:type="gramEnd"/>
      <w:r w:rsidRPr="003122F2">
        <w:rPr>
          <w:rStyle w:val="FootnoteReference"/>
          <w:rFonts w:ascii="Times New Roman" w:hAnsi="Times New Roman" w:cs="Times New Roman"/>
          <w:i/>
          <w:sz w:val="24"/>
          <w:szCs w:val="24"/>
        </w:rPr>
        <w:footnoteReference w:id="1"/>
      </w:r>
      <w:r w:rsidR="00A53FC8">
        <w:rPr>
          <w:rFonts w:ascii="Times New Roman" w:hAnsi="Times New Roman" w:cs="Times New Roman"/>
          <w:sz w:val="24"/>
          <w:szCs w:val="24"/>
        </w:rPr>
        <w:t>(</w:t>
      </w:r>
      <w:proofErr w:type="spellStart"/>
      <w:r w:rsidR="00A53FC8" w:rsidRPr="00A53FC8">
        <w:rPr>
          <w:rFonts w:ascii="Times New Roman" w:hAnsi="Times New Roman" w:cs="Times New Roman"/>
          <w:i/>
          <w:sz w:val="24"/>
          <w:szCs w:val="24"/>
        </w:rPr>
        <w:t>Pinnock</w:t>
      </w:r>
      <w:proofErr w:type="spellEnd"/>
      <w:r w:rsidR="00A53FC8">
        <w:rPr>
          <w:rFonts w:ascii="Times New Roman" w:hAnsi="Times New Roman" w:cs="Times New Roman"/>
          <w:sz w:val="24"/>
          <w:szCs w:val="24"/>
        </w:rPr>
        <w:t>)</w:t>
      </w:r>
      <w:r w:rsidRPr="003122F2">
        <w:rPr>
          <w:rFonts w:ascii="Times New Roman" w:hAnsi="Times New Roman" w:cs="Times New Roman"/>
          <w:i/>
          <w:sz w:val="24"/>
          <w:szCs w:val="24"/>
        </w:rPr>
        <w:t xml:space="preserve"> </w:t>
      </w:r>
      <w:r w:rsidRPr="003122F2">
        <w:rPr>
          <w:rFonts w:ascii="Times New Roman" w:hAnsi="Times New Roman" w:cs="Times New Roman"/>
          <w:sz w:val="24"/>
          <w:szCs w:val="24"/>
        </w:rPr>
        <w:t xml:space="preserve">and </w:t>
      </w:r>
      <w:r w:rsidRPr="003122F2">
        <w:rPr>
          <w:rFonts w:ascii="Times New Roman" w:hAnsi="Times New Roman" w:cs="Times New Roman"/>
          <w:i/>
          <w:sz w:val="24"/>
          <w:szCs w:val="24"/>
        </w:rPr>
        <w:t>Hounslow LBC v Powell</w:t>
      </w:r>
      <w:r w:rsidRPr="003122F2">
        <w:rPr>
          <w:rStyle w:val="FootnoteReference"/>
          <w:rFonts w:ascii="Times New Roman" w:hAnsi="Times New Roman" w:cs="Times New Roman"/>
          <w:i/>
          <w:sz w:val="24"/>
          <w:szCs w:val="24"/>
        </w:rPr>
        <w:footnoteReference w:id="2"/>
      </w:r>
      <w:r w:rsidR="00A53FC8" w:rsidRPr="00A53FC8">
        <w:rPr>
          <w:rFonts w:ascii="Times New Roman" w:hAnsi="Times New Roman" w:cs="Times New Roman"/>
          <w:sz w:val="24"/>
          <w:szCs w:val="24"/>
        </w:rPr>
        <w:t>(</w:t>
      </w:r>
      <w:r w:rsidR="00A53FC8">
        <w:rPr>
          <w:rFonts w:ascii="Times New Roman" w:hAnsi="Times New Roman" w:cs="Times New Roman"/>
          <w:i/>
          <w:sz w:val="24"/>
          <w:szCs w:val="24"/>
        </w:rPr>
        <w:t>Powell</w:t>
      </w:r>
      <w:r w:rsidR="00A53FC8" w:rsidRPr="00A53FC8">
        <w:rPr>
          <w:rFonts w:ascii="Times New Roman" w:hAnsi="Times New Roman" w:cs="Times New Roman"/>
          <w:sz w:val="24"/>
          <w:szCs w:val="24"/>
        </w:rPr>
        <w:t>)</w:t>
      </w:r>
      <w:r w:rsidRPr="003122F2">
        <w:rPr>
          <w:rFonts w:ascii="Times New Roman" w:hAnsi="Times New Roman" w:cs="Times New Roman"/>
          <w:sz w:val="24"/>
          <w:szCs w:val="24"/>
        </w:rPr>
        <w:t xml:space="preserve"> the Supreme Court accepted the clear and consistent line of decisions from the European Court of Human Rights (the Strasbourg Court) that a person at risk of being dispossessed of his or her home should have the right to question the proportionality of this interference with his or her Article 8 right to respect for th</w:t>
      </w:r>
      <w:r w:rsidR="00507B8E">
        <w:rPr>
          <w:rFonts w:ascii="Times New Roman" w:hAnsi="Times New Roman" w:cs="Times New Roman"/>
          <w:sz w:val="24"/>
          <w:szCs w:val="24"/>
        </w:rPr>
        <w:t>eir</w:t>
      </w:r>
      <w:r w:rsidRPr="003122F2">
        <w:rPr>
          <w:rFonts w:ascii="Times New Roman" w:hAnsi="Times New Roman" w:cs="Times New Roman"/>
          <w:sz w:val="24"/>
          <w:szCs w:val="24"/>
        </w:rPr>
        <w:t xml:space="preserve"> home before an independent tribunal. However, they </w:t>
      </w:r>
      <w:r>
        <w:rPr>
          <w:rFonts w:ascii="Times New Roman" w:hAnsi="Times New Roman" w:cs="Times New Roman"/>
          <w:sz w:val="24"/>
          <w:szCs w:val="24"/>
        </w:rPr>
        <w:t xml:space="preserve">did so </w:t>
      </w:r>
      <w:r w:rsidRPr="003122F2">
        <w:rPr>
          <w:rFonts w:ascii="Times New Roman" w:hAnsi="Times New Roman" w:cs="Times New Roman"/>
          <w:sz w:val="24"/>
          <w:szCs w:val="24"/>
        </w:rPr>
        <w:t xml:space="preserve">only in relation to a dispossession by a public authority and specifically left open the question of whether the </w:t>
      </w:r>
      <w:r w:rsidR="00E74208">
        <w:rPr>
          <w:rFonts w:ascii="Times New Roman" w:hAnsi="Times New Roman" w:cs="Times New Roman"/>
          <w:sz w:val="24"/>
          <w:szCs w:val="24"/>
        </w:rPr>
        <w:t xml:space="preserve">tenant of a private landlord </w:t>
      </w:r>
      <w:r w:rsidRPr="003122F2">
        <w:rPr>
          <w:rFonts w:ascii="Times New Roman" w:hAnsi="Times New Roman" w:cs="Times New Roman"/>
          <w:sz w:val="24"/>
          <w:szCs w:val="24"/>
        </w:rPr>
        <w:t>enjoy</w:t>
      </w:r>
      <w:r w:rsidR="00A53FC8">
        <w:rPr>
          <w:rFonts w:ascii="Times New Roman" w:hAnsi="Times New Roman" w:cs="Times New Roman"/>
          <w:sz w:val="24"/>
          <w:szCs w:val="24"/>
        </w:rPr>
        <w:t>ed</w:t>
      </w:r>
      <w:r w:rsidRPr="003122F2">
        <w:rPr>
          <w:rFonts w:ascii="Times New Roman" w:hAnsi="Times New Roman" w:cs="Times New Roman"/>
          <w:sz w:val="24"/>
          <w:szCs w:val="24"/>
        </w:rPr>
        <w:t xml:space="preserve"> a similar right.</w:t>
      </w:r>
      <w:r w:rsidRPr="003122F2">
        <w:rPr>
          <w:rStyle w:val="FootnoteReference"/>
          <w:rFonts w:ascii="Times New Roman" w:hAnsi="Times New Roman" w:cs="Times New Roman"/>
          <w:sz w:val="24"/>
          <w:szCs w:val="24"/>
        </w:rPr>
        <w:footnoteReference w:id="3"/>
      </w:r>
      <w:r w:rsidRPr="003122F2">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hAnsi="Times New Roman" w:cs="Times New Roman"/>
          <w:i/>
          <w:sz w:val="24"/>
          <w:szCs w:val="24"/>
        </w:rPr>
        <w:t>McDonald</w:t>
      </w:r>
      <w:r>
        <w:rPr>
          <w:rFonts w:ascii="Times New Roman" w:hAnsi="Times New Roman" w:cs="Times New Roman"/>
          <w:sz w:val="24"/>
          <w:szCs w:val="24"/>
        </w:rPr>
        <w:t xml:space="preserve"> the</w:t>
      </w:r>
      <w:r w:rsidR="0007502E">
        <w:rPr>
          <w:rFonts w:ascii="Times New Roman" w:hAnsi="Times New Roman" w:cs="Times New Roman"/>
          <w:sz w:val="24"/>
          <w:szCs w:val="24"/>
        </w:rPr>
        <w:t xml:space="preserve"> Supreme Court</w:t>
      </w:r>
      <w:r>
        <w:rPr>
          <w:rFonts w:ascii="Times New Roman" w:hAnsi="Times New Roman" w:cs="Times New Roman"/>
          <w:sz w:val="24"/>
          <w:szCs w:val="24"/>
        </w:rPr>
        <w:t xml:space="preserve"> answer</w:t>
      </w:r>
      <w:r w:rsidR="0007502E">
        <w:rPr>
          <w:rFonts w:ascii="Times New Roman" w:hAnsi="Times New Roman" w:cs="Times New Roman"/>
          <w:sz w:val="24"/>
          <w:szCs w:val="24"/>
        </w:rPr>
        <w:t>ed</w:t>
      </w:r>
      <w:r>
        <w:rPr>
          <w:rFonts w:ascii="Times New Roman" w:hAnsi="Times New Roman" w:cs="Times New Roman"/>
          <w:sz w:val="24"/>
          <w:szCs w:val="24"/>
        </w:rPr>
        <w:t xml:space="preserve"> this question</w:t>
      </w:r>
      <w:r w:rsidR="00207DAE">
        <w:rPr>
          <w:rFonts w:ascii="Times New Roman" w:hAnsi="Times New Roman" w:cs="Times New Roman"/>
          <w:sz w:val="24"/>
          <w:szCs w:val="24"/>
        </w:rPr>
        <w:t xml:space="preserve"> in the negative</w:t>
      </w:r>
      <w:r>
        <w:rPr>
          <w:rFonts w:ascii="Times New Roman" w:hAnsi="Times New Roman" w:cs="Times New Roman"/>
          <w:sz w:val="24"/>
          <w:szCs w:val="24"/>
        </w:rPr>
        <w:t>.</w:t>
      </w:r>
      <w:r w:rsidR="00207DAE">
        <w:rPr>
          <w:rFonts w:ascii="Times New Roman" w:hAnsi="Times New Roman" w:cs="Times New Roman"/>
          <w:sz w:val="24"/>
          <w:szCs w:val="24"/>
        </w:rPr>
        <w:t xml:space="preserve"> In so doing the</w:t>
      </w:r>
      <w:r w:rsidR="0007502E">
        <w:rPr>
          <w:rFonts w:ascii="Times New Roman" w:hAnsi="Times New Roman" w:cs="Times New Roman"/>
          <w:sz w:val="24"/>
          <w:szCs w:val="24"/>
        </w:rPr>
        <w:t>y</w:t>
      </w:r>
      <w:r w:rsidR="00207DAE">
        <w:rPr>
          <w:rFonts w:ascii="Times New Roman" w:hAnsi="Times New Roman" w:cs="Times New Roman"/>
          <w:sz w:val="24"/>
          <w:szCs w:val="24"/>
        </w:rPr>
        <w:t xml:space="preserve"> also provided an insight into the</w:t>
      </w:r>
      <w:r w:rsidR="00671CB3">
        <w:rPr>
          <w:rFonts w:ascii="Times New Roman" w:hAnsi="Times New Roman" w:cs="Times New Roman"/>
          <w:sz w:val="24"/>
          <w:szCs w:val="24"/>
        </w:rPr>
        <w:t>ir views on the</w:t>
      </w:r>
      <w:r w:rsidR="00207DAE">
        <w:rPr>
          <w:rFonts w:ascii="Times New Roman" w:hAnsi="Times New Roman" w:cs="Times New Roman"/>
          <w:sz w:val="24"/>
          <w:szCs w:val="24"/>
        </w:rPr>
        <w:t xml:space="preserve"> horizontal effect of the Human Rights Act 1998 (HRA 1998) on private law.</w:t>
      </w:r>
    </w:p>
    <w:p w:rsidR="00611802" w:rsidRPr="003122F2" w:rsidRDefault="00671CB3" w:rsidP="003122F2">
      <w:pPr>
        <w:rPr>
          <w:rFonts w:ascii="Times New Roman" w:hAnsi="Times New Roman" w:cs="Times New Roman"/>
          <w:sz w:val="24"/>
          <w:szCs w:val="24"/>
        </w:rPr>
      </w:pPr>
      <w:r>
        <w:rPr>
          <w:rFonts w:ascii="Times New Roman" w:hAnsi="Times New Roman" w:cs="Times New Roman"/>
          <w:sz w:val="24"/>
          <w:szCs w:val="24"/>
        </w:rPr>
        <w:t>T</w:t>
      </w:r>
      <w:r w:rsidR="00611802">
        <w:rPr>
          <w:rFonts w:ascii="Times New Roman" w:hAnsi="Times New Roman" w:cs="Times New Roman"/>
          <w:sz w:val="24"/>
          <w:szCs w:val="24"/>
        </w:rPr>
        <w:t xml:space="preserve">he Supreme Court’s restrictive approach to the application of Article 8 to assured </w:t>
      </w:r>
      <w:proofErr w:type="spellStart"/>
      <w:r w:rsidR="00611802">
        <w:rPr>
          <w:rFonts w:ascii="Times New Roman" w:hAnsi="Times New Roman" w:cs="Times New Roman"/>
          <w:sz w:val="24"/>
          <w:szCs w:val="24"/>
        </w:rPr>
        <w:t>shorthold</w:t>
      </w:r>
      <w:proofErr w:type="spellEnd"/>
      <w:r w:rsidR="00611802">
        <w:rPr>
          <w:rFonts w:ascii="Times New Roman" w:hAnsi="Times New Roman" w:cs="Times New Roman"/>
          <w:sz w:val="24"/>
          <w:szCs w:val="24"/>
        </w:rPr>
        <w:t xml:space="preserve"> tenancies (AST) in the private sector</w:t>
      </w:r>
      <w:r>
        <w:rPr>
          <w:rFonts w:ascii="Times New Roman" w:hAnsi="Times New Roman" w:cs="Times New Roman"/>
          <w:sz w:val="24"/>
          <w:szCs w:val="24"/>
        </w:rPr>
        <w:t>,</w:t>
      </w:r>
      <w:r w:rsidR="00611802">
        <w:rPr>
          <w:rFonts w:ascii="Times New Roman" w:hAnsi="Times New Roman" w:cs="Times New Roman"/>
          <w:sz w:val="24"/>
          <w:szCs w:val="24"/>
        </w:rPr>
        <w:t xml:space="preserve"> whilst no doubt welcomed by landlords</w:t>
      </w:r>
      <w:r>
        <w:rPr>
          <w:rFonts w:ascii="Times New Roman" w:hAnsi="Times New Roman" w:cs="Times New Roman"/>
          <w:sz w:val="24"/>
          <w:szCs w:val="24"/>
        </w:rPr>
        <w:t>,</w:t>
      </w:r>
      <w:r w:rsidR="00611802">
        <w:rPr>
          <w:rFonts w:ascii="Times New Roman" w:hAnsi="Times New Roman" w:cs="Times New Roman"/>
          <w:sz w:val="24"/>
          <w:szCs w:val="24"/>
        </w:rPr>
        <w:t xml:space="preserve"> is disappointing to the emergence of human rights protection of the home.</w:t>
      </w:r>
      <w:r>
        <w:rPr>
          <w:rFonts w:ascii="Times New Roman" w:hAnsi="Times New Roman" w:cs="Times New Roman"/>
          <w:sz w:val="24"/>
          <w:szCs w:val="24"/>
        </w:rPr>
        <w:t xml:space="preserve"> It is understood that the decision is to be appealed to the Strasbourg Court and thus </w:t>
      </w:r>
      <w:r w:rsidR="00507B8E">
        <w:rPr>
          <w:rFonts w:ascii="Times New Roman" w:hAnsi="Times New Roman" w:cs="Times New Roman"/>
          <w:sz w:val="24"/>
          <w:szCs w:val="24"/>
        </w:rPr>
        <w:t xml:space="preserve">this decision </w:t>
      </w:r>
      <w:r>
        <w:rPr>
          <w:rFonts w:ascii="Times New Roman" w:hAnsi="Times New Roman" w:cs="Times New Roman"/>
          <w:sz w:val="24"/>
          <w:szCs w:val="24"/>
        </w:rPr>
        <w:t xml:space="preserve">may not be the final word. </w:t>
      </w:r>
    </w:p>
    <w:p w:rsidR="00E64250" w:rsidRPr="00193567" w:rsidRDefault="00193567" w:rsidP="00E64250">
      <w:pPr>
        <w:rPr>
          <w:rFonts w:ascii="Times New Roman" w:hAnsi="Times New Roman" w:cs="Times New Roman"/>
          <w:b/>
          <w:sz w:val="24"/>
          <w:szCs w:val="24"/>
        </w:rPr>
      </w:pPr>
      <w:r>
        <w:rPr>
          <w:rFonts w:ascii="Times New Roman" w:hAnsi="Times New Roman" w:cs="Times New Roman"/>
          <w:b/>
          <w:sz w:val="24"/>
          <w:szCs w:val="24"/>
        </w:rPr>
        <w:t xml:space="preserve">The </w:t>
      </w:r>
      <w:r w:rsidR="00E64250" w:rsidRPr="00193567">
        <w:rPr>
          <w:rFonts w:ascii="Times New Roman" w:hAnsi="Times New Roman" w:cs="Times New Roman"/>
          <w:b/>
          <w:sz w:val="24"/>
          <w:szCs w:val="24"/>
        </w:rPr>
        <w:t>F</w:t>
      </w:r>
      <w:r w:rsidR="00DA04A0" w:rsidRPr="00193567">
        <w:rPr>
          <w:rFonts w:ascii="Times New Roman" w:hAnsi="Times New Roman" w:cs="Times New Roman"/>
          <w:b/>
          <w:sz w:val="24"/>
          <w:szCs w:val="24"/>
        </w:rPr>
        <w:t>acts</w:t>
      </w:r>
    </w:p>
    <w:p w:rsidR="006532D9" w:rsidRDefault="007C0F86" w:rsidP="00E64250">
      <w:pPr>
        <w:autoSpaceDE w:val="0"/>
        <w:autoSpaceDN w:val="0"/>
        <w:adjustRightInd w:val="0"/>
        <w:spacing w:after="0" w:line="240" w:lineRule="auto"/>
        <w:rPr>
          <w:rFonts w:ascii="Times New Roman" w:hAnsi="Times New Roman" w:cs="Times New Roman"/>
          <w:color w:val="000000"/>
          <w:sz w:val="24"/>
          <w:szCs w:val="24"/>
        </w:rPr>
      </w:pPr>
      <w:r w:rsidRPr="00D02939">
        <w:rPr>
          <w:rFonts w:ascii="Times New Roman" w:hAnsi="Times New Roman" w:cs="Times New Roman"/>
          <w:color w:val="000000"/>
          <w:sz w:val="24"/>
          <w:szCs w:val="24"/>
        </w:rPr>
        <w:t xml:space="preserve">The facts of </w:t>
      </w:r>
      <w:r w:rsidRPr="00671CB3">
        <w:rPr>
          <w:rFonts w:ascii="Times New Roman" w:hAnsi="Times New Roman" w:cs="Times New Roman"/>
          <w:i/>
          <w:color w:val="000000"/>
          <w:sz w:val="24"/>
          <w:szCs w:val="24"/>
        </w:rPr>
        <w:t>McDonald</w:t>
      </w:r>
      <w:r w:rsidRPr="00D02939">
        <w:rPr>
          <w:rFonts w:ascii="Times New Roman" w:hAnsi="Times New Roman" w:cs="Times New Roman"/>
          <w:color w:val="000000"/>
          <w:sz w:val="24"/>
          <w:szCs w:val="24"/>
        </w:rPr>
        <w:t xml:space="preserve"> </w:t>
      </w:r>
      <w:r w:rsidR="00671CB3">
        <w:rPr>
          <w:rFonts w:ascii="Times New Roman" w:hAnsi="Times New Roman" w:cs="Times New Roman"/>
          <w:color w:val="000000"/>
          <w:sz w:val="24"/>
          <w:szCs w:val="24"/>
        </w:rPr>
        <w:t>are unusual</w:t>
      </w:r>
      <w:r w:rsidR="003312C5">
        <w:rPr>
          <w:rFonts w:ascii="Times New Roman" w:hAnsi="Times New Roman" w:cs="Times New Roman"/>
          <w:color w:val="000000"/>
          <w:sz w:val="24"/>
          <w:szCs w:val="24"/>
        </w:rPr>
        <w:t xml:space="preserve">. It is not the straightforward case of a landlord wishing to evict their tenant but </w:t>
      </w:r>
      <w:r w:rsidR="00671CB3">
        <w:rPr>
          <w:rFonts w:ascii="Times New Roman" w:hAnsi="Times New Roman" w:cs="Times New Roman"/>
          <w:color w:val="000000"/>
          <w:sz w:val="24"/>
          <w:szCs w:val="24"/>
        </w:rPr>
        <w:t xml:space="preserve">a mortgage repossession case </w:t>
      </w:r>
      <w:r w:rsidR="003312C5">
        <w:rPr>
          <w:rFonts w:ascii="Times New Roman" w:hAnsi="Times New Roman" w:cs="Times New Roman"/>
          <w:color w:val="000000"/>
          <w:sz w:val="24"/>
          <w:szCs w:val="24"/>
        </w:rPr>
        <w:t xml:space="preserve">which </w:t>
      </w:r>
      <w:r w:rsidR="00671CB3">
        <w:rPr>
          <w:rFonts w:ascii="Times New Roman" w:hAnsi="Times New Roman" w:cs="Times New Roman"/>
          <w:color w:val="000000"/>
          <w:sz w:val="24"/>
          <w:szCs w:val="24"/>
        </w:rPr>
        <w:t>utilis</w:t>
      </w:r>
      <w:r w:rsidR="003312C5">
        <w:rPr>
          <w:rFonts w:ascii="Times New Roman" w:hAnsi="Times New Roman" w:cs="Times New Roman"/>
          <w:color w:val="000000"/>
          <w:sz w:val="24"/>
          <w:szCs w:val="24"/>
        </w:rPr>
        <w:t>e</w:t>
      </w:r>
      <w:r w:rsidR="00E74208">
        <w:rPr>
          <w:rFonts w:ascii="Times New Roman" w:hAnsi="Times New Roman" w:cs="Times New Roman"/>
          <w:color w:val="000000"/>
          <w:sz w:val="24"/>
          <w:szCs w:val="24"/>
        </w:rPr>
        <w:t>d</w:t>
      </w:r>
      <w:r w:rsidR="00671CB3">
        <w:rPr>
          <w:rFonts w:ascii="Times New Roman" w:hAnsi="Times New Roman" w:cs="Times New Roman"/>
          <w:color w:val="000000"/>
          <w:sz w:val="24"/>
          <w:szCs w:val="24"/>
        </w:rPr>
        <w:t xml:space="preserve"> the route of appointing a receiver</w:t>
      </w:r>
      <w:r w:rsidR="00507B8E">
        <w:rPr>
          <w:rFonts w:ascii="Times New Roman" w:hAnsi="Times New Roman" w:cs="Times New Roman"/>
          <w:color w:val="000000"/>
          <w:sz w:val="24"/>
          <w:szCs w:val="24"/>
        </w:rPr>
        <w:t xml:space="preserve"> </w:t>
      </w:r>
      <w:r w:rsidR="00E74208">
        <w:rPr>
          <w:rFonts w:ascii="Times New Roman" w:hAnsi="Times New Roman" w:cs="Times New Roman"/>
          <w:color w:val="000000"/>
          <w:sz w:val="24"/>
          <w:szCs w:val="24"/>
        </w:rPr>
        <w:t>to initiate repossession as a prelude to sale</w:t>
      </w:r>
      <w:r w:rsidR="003312C5">
        <w:rPr>
          <w:rFonts w:ascii="Times New Roman" w:hAnsi="Times New Roman" w:cs="Times New Roman"/>
          <w:color w:val="000000"/>
          <w:sz w:val="24"/>
          <w:szCs w:val="24"/>
        </w:rPr>
        <w:t>.</w:t>
      </w:r>
      <w:r w:rsidR="00671CB3">
        <w:rPr>
          <w:rFonts w:ascii="Times New Roman" w:hAnsi="Times New Roman" w:cs="Times New Roman"/>
          <w:color w:val="000000"/>
          <w:sz w:val="24"/>
          <w:szCs w:val="24"/>
        </w:rPr>
        <w:t xml:space="preserve"> The case </w:t>
      </w:r>
      <w:r w:rsidRPr="00D02939">
        <w:rPr>
          <w:rFonts w:ascii="Times New Roman" w:hAnsi="Times New Roman" w:cs="Times New Roman"/>
          <w:color w:val="000000"/>
          <w:sz w:val="24"/>
          <w:szCs w:val="24"/>
        </w:rPr>
        <w:t>tell</w:t>
      </w:r>
      <w:r w:rsidR="00671CB3">
        <w:rPr>
          <w:rFonts w:ascii="Times New Roman" w:hAnsi="Times New Roman" w:cs="Times New Roman"/>
          <w:color w:val="000000"/>
          <w:sz w:val="24"/>
          <w:szCs w:val="24"/>
        </w:rPr>
        <w:t>s</w:t>
      </w:r>
      <w:r w:rsidRPr="00D02939">
        <w:rPr>
          <w:rFonts w:ascii="Times New Roman" w:hAnsi="Times New Roman" w:cs="Times New Roman"/>
          <w:color w:val="000000"/>
          <w:sz w:val="24"/>
          <w:szCs w:val="24"/>
        </w:rPr>
        <w:t xml:space="preserve"> the sad story of parent</w:t>
      </w:r>
      <w:r w:rsidR="00DA04A0">
        <w:rPr>
          <w:rFonts w:ascii="Times New Roman" w:hAnsi="Times New Roman" w:cs="Times New Roman"/>
          <w:color w:val="000000"/>
          <w:sz w:val="24"/>
          <w:szCs w:val="24"/>
        </w:rPr>
        <w:t>s</w:t>
      </w:r>
      <w:r w:rsidRPr="00D02939">
        <w:rPr>
          <w:rFonts w:ascii="Times New Roman" w:hAnsi="Times New Roman" w:cs="Times New Roman"/>
          <w:color w:val="000000"/>
          <w:sz w:val="24"/>
          <w:szCs w:val="24"/>
        </w:rPr>
        <w:t xml:space="preserve"> wishing to secure accommodation for their mentally troubled daughter</w:t>
      </w:r>
      <w:r w:rsidR="005E15E0">
        <w:rPr>
          <w:rFonts w:ascii="Times New Roman" w:hAnsi="Times New Roman" w:cs="Times New Roman"/>
          <w:color w:val="000000"/>
          <w:sz w:val="24"/>
          <w:szCs w:val="24"/>
        </w:rPr>
        <w:t>, Fiona</w:t>
      </w:r>
      <w:r w:rsidRPr="00D02939">
        <w:rPr>
          <w:rFonts w:ascii="Times New Roman" w:hAnsi="Times New Roman" w:cs="Times New Roman"/>
          <w:color w:val="000000"/>
          <w:sz w:val="24"/>
          <w:szCs w:val="24"/>
        </w:rPr>
        <w:t xml:space="preserve">. </w:t>
      </w:r>
      <w:r w:rsidR="00872324" w:rsidRPr="00D02939">
        <w:rPr>
          <w:rFonts w:ascii="Times New Roman" w:hAnsi="Times New Roman" w:cs="Times New Roman"/>
          <w:color w:val="000000"/>
          <w:sz w:val="24"/>
          <w:szCs w:val="24"/>
        </w:rPr>
        <w:t xml:space="preserve">In May 2005 </w:t>
      </w:r>
      <w:r w:rsidR="005E15E0">
        <w:rPr>
          <w:rFonts w:ascii="Times New Roman" w:hAnsi="Times New Roman" w:cs="Times New Roman"/>
          <w:color w:val="000000"/>
          <w:sz w:val="24"/>
          <w:szCs w:val="24"/>
        </w:rPr>
        <w:t xml:space="preserve">they </w:t>
      </w:r>
      <w:r w:rsidR="00DA04A0">
        <w:rPr>
          <w:rFonts w:ascii="Times New Roman" w:hAnsi="Times New Roman" w:cs="Times New Roman"/>
          <w:color w:val="000000"/>
          <w:sz w:val="24"/>
          <w:szCs w:val="24"/>
        </w:rPr>
        <w:t xml:space="preserve">bought </w:t>
      </w:r>
      <w:r w:rsidR="006532D9" w:rsidRPr="00D02939">
        <w:rPr>
          <w:rFonts w:ascii="Times New Roman" w:hAnsi="Times New Roman" w:cs="Times New Roman"/>
          <w:color w:val="000000"/>
          <w:sz w:val="24"/>
          <w:szCs w:val="24"/>
        </w:rPr>
        <w:t xml:space="preserve">what they hoped would be </w:t>
      </w:r>
      <w:r w:rsidR="00DA04A0">
        <w:rPr>
          <w:rFonts w:ascii="Times New Roman" w:hAnsi="Times New Roman" w:cs="Times New Roman"/>
          <w:color w:val="000000"/>
          <w:sz w:val="24"/>
          <w:szCs w:val="24"/>
        </w:rPr>
        <w:t xml:space="preserve">a </w:t>
      </w:r>
      <w:r w:rsidR="006532D9" w:rsidRPr="00D02939">
        <w:rPr>
          <w:rFonts w:ascii="Times New Roman" w:hAnsi="Times New Roman" w:cs="Times New Roman"/>
          <w:color w:val="000000"/>
          <w:sz w:val="24"/>
          <w:szCs w:val="24"/>
        </w:rPr>
        <w:t xml:space="preserve">permanent </w:t>
      </w:r>
      <w:r w:rsidR="00DA04A0">
        <w:rPr>
          <w:rFonts w:ascii="Times New Roman" w:hAnsi="Times New Roman" w:cs="Times New Roman"/>
          <w:color w:val="000000"/>
          <w:sz w:val="24"/>
          <w:szCs w:val="24"/>
        </w:rPr>
        <w:t xml:space="preserve">home for Fiona </w:t>
      </w:r>
      <w:r w:rsidR="006532D9" w:rsidRPr="00D02939">
        <w:rPr>
          <w:rFonts w:ascii="Times New Roman" w:hAnsi="Times New Roman" w:cs="Times New Roman"/>
          <w:color w:val="000000"/>
          <w:sz w:val="24"/>
          <w:szCs w:val="24"/>
        </w:rPr>
        <w:t xml:space="preserve">by </w:t>
      </w:r>
      <w:r w:rsidR="00E64250" w:rsidRPr="00D02939">
        <w:rPr>
          <w:rFonts w:ascii="Times New Roman" w:hAnsi="Times New Roman" w:cs="Times New Roman"/>
          <w:color w:val="000000"/>
          <w:sz w:val="24"/>
          <w:szCs w:val="24"/>
        </w:rPr>
        <w:t>borrowing from</w:t>
      </w:r>
      <w:r w:rsidR="00872324" w:rsidRPr="00D02939">
        <w:rPr>
          <w:rFonts w:ascii="Times New Roman" w:hAnsi="Times New Roman" w:cs="Times New Roman"/>
          <w:color w:val="000000"/>
          <w:sz w:val="24"/>
          <w:szCs w:val="24"/>
        </w:rPr>
        <w:t xml:space="preserve"> </w:t>
      </w:r>
      <w:r w:rsidR="00E64250" w:rsidRPr="00D02939">
        <w:rPr>
          <w:rFonts w:ascii="Times New Roman" w:hAnsi="Times New Roman" w:cs="Times New Roman"/>
          <w:color w:val="000000"/>
          <w:sz w:val="24"/>
          <w:szCs w:val="24"/>
        </w:rPr>
        <w:t xml:space="preserve">Capital Homes </w:t>
      </w:r>
      <w:r w:rsidR="00671CB3">
        <w:rPr>
          <w:rFonts w:ascii="Times New Roman" w:hAnsi="Times New Roman" w:cs="Times New Roman"/>
          <w:color w:val="000000"/>
          <w:sz w:val="24"/>
          <w:szCs w:val="24"/>
        </w:rPr>
        <w:t xml:space="preserve">Loans </w:t>
      </w:r>
      <w:r w:rsidR="00E64250" w:rsidRPr="00D02939">
        <w:rPr>
          <w:rFonts w:ascii="Times New Roman" w:hAnsi="Times New Roman" w:cs="Times New Roman"/>
          <w:color w:val="000000"/>
          <w:sz w:val="24"/>
          <w:szCs w:val="24"/>
        </w:rPr>
        <w:t>Ltd (CHL)</w:t>
      </w:r>
      <w:r w:rsidR="00193567">
        <w:rPr>
          <w:rFonts w:ascii="Times New Roman" w:hAnsi="Times New Roman" w:cs="Times New Roman"/>
          <w:color w:val="000000"/>
          <w:sz w:val="24"/>
          <w:szCs w:val="24"/>
        </w:rPr>
        <w:t xml:space="preserve">. The mortgage was interest only with the capital repayable at the end of </w:t>
      </w:r>
      <w:r w:rsidR="006532D9" w:rsidRPr="00D02939">
        <w:rPr>
          <w:rFonts w:ascii="Times New Roman" w:hAnsi="Times New Roman" w:cs="Times New Roman"/>
          <w:color w:val="000000"/>
          <w:sz w:val="24"/>
          <w:szCs w:val="24"/>
        </w:rPr>
        <w:t xml:space="preserve">the comparatively short term of 8 years. The house was </w:t>
      </w:r>
      <w:r w:rsidR="00A53FC8">
        <w:rPr>
          <w:rFonts w:ascii="Times New Roman" w:hAnsi="Times New Roman" w:cs="Times New Roman"/>
          <w:color w:val="000000"/>
          <w:sz w:val="24"/>
          <w:szCs w:val="24"/>
        </w:rPr>
        <w:t xml:space="preserve">rented </w:t>
      </w:r>
      <w:r w:rsidR="006532D9" w:rsidRPr="00D02939">
        <w:rPr>
          <w:rFonts w:ascii="Times New Roman" w:hAnsi="Times New Roman" w:cs="Times New Roman"/>
          <w:color w:val="000000"/>
          <w:sz w:val="24"/>
          <w:szCs w:val="24"/>
        </w:rPr>
        <w:t xml:space="preserve">to Fiona </w:t>
      </w:r>
      <w:r w:rsidR="00E64250" w:rsidRPr="00D02939">
        <w:rPr>
          <w:rFonts w:ascii="Times New Roman" w:hAnsi="Times New Roman" w:cs="Times New Roman"/>
          <w:color w:val="000000"/>
          <w:sz w:val="24"/>
          <w:szCs w:val="24"/>
        </w:rPr>
        <w:t>on a</w:t>
      </w:r>
      <w:r w:rsidR="00872324" w:rsidRPr="00D02939">
        <w:rPr>
          <w:rFonts w:ascii="Times New Roman" w:hAnsi="Times New Roman" w:cs="Times New Roman"/>
          <w:color w:val="000000"/>
          <w:sz w:val="24"/>
          <w:szCs w:val="24"/>
        </w:rPr>
        <w:t xml:space="preserve"> succession of</w:t>
      </w:r>
      <w:r w:rsidR="00E64250" w:rsidRPr="00D02939">
        <w:rPr>
          <w:rFonts w:ascii="Times New Roman" w:hAnsi="Times New Roman" w:cs="Times New Roman"/>
          <w:color w:val="000000"/>
          <w:sz w:val="24"/>
          <w:szCs w:val="24"/>
        </w:rPr>
        <w:t xml:space="preserve"> AST</w:t>
      </w:r>
      <w:r w:rsidR="00B4724D">
        <w:rPr>
          <w:rFonts w:ascii="Times New Roman" w:hAnsi="Times New Roman" w:cs="Times New Roman"/>
          <w:color w:val="000000"/>
          <w:sz w:val="24"/>
          <w:szCs w:val="24"/>
        </w:rPr>
        <w:t>s</w:t>
      </w:r>
      <w:r w:rsidR="00207DAE">
        <w:rPr>
          <w:rFonts w:ascii="Times New Roman" w:hAnsi="Times New Roman" w:cs="Times New Roman"/>
          <w:color w:val="000000"/>
          <w:sz w:val="24"/>
          <w:szCs w:val="24"/>
        </w:rPr>
        <w:t xml:space="preserve"> with the mortgage interest partly met from </w:t>
      </w:r>
      <w:r w:rsidR="00A53FC8">
        <w:rPr>
          <w:rFonts w:ascii="Times New Roman" w:hAnsi="Times New Roman" w:cs="Times New Roman"/>
          <w:color w:val="000000"/>
          <w:sz w:val="24"/>
          <w:szCs w:val="24"/>
        </w:rPr>
        <w:t xml:space="preserve">the rent funded by </w:t>
      </w:r>
      <w:r w:rsidR="00207DAE">
        <w:rPr>
          <w:rFonts w:ascii="Times New Roman" w:hAnsi="Times New Roman" w:cs="Times New Roman"/>
          <w:color w:val="000000"/>
          <w:sz w:val="24"/>
          <w:szCs w:val="24"/>
        </w:rPr>
        <w:t xml:space="preserve">Fiona’s housing benefit. </w:t>
      </w:r>
    </w:p>
    <w:p w:rsidR="003F72F9" w:rsidRPr="00D02939" w:rsidRDefault="003F72F9" w:rsidP="00E64250">
      <w:pPr>
        <w:autoSpaceDE w:val="0"/>
        <w:autoSpaceDN w:val="0"/>
        <w:adjustRightInd w:val="0"/>
        <w:spacing w:after="0" w:line="240" w:lineRule="auto"/>
        <w:rPr>
          <w:rFonts w:ascii="Times New Roman" w:hAnsi="Times New Roman" w:cs="Times New Roman"/>
          <w:color w:val="000000"/>
          <w:sz w:val="24"/>
          <w:szCs w:val="24"/>
        </w:rPr>
      </w:pPr>
    </w:p>
    <w:p w:rsidR="00592F07" w:rsidRPr="00D02939" w:rsidRDefault="00E64250" w:rsidP="00E64250">
      <w:pPr>
        <w:autoSpaceDE w:val="0"/>
        <w:autoSpaceDN w:val="0"/>
        <w:adjustRightInd w:val="0"/>
        <w:spacing w:after="0" w:line="240" w:lineRule="auto"/>
        <w:rPr>
          <w:rFonts w:ascii="Times New Roman" w:hAnsi="Times New Roman" w:cs="Times New Roman"/>
          <w:color w:val="000000"/>
          <w:sz w:val="24"/>
          <w:szCs w:val="24"/>
        </w:rPr>
      </w:pPr>
      <w:r w:rsidRPr="00D02939">
        <w:rPr>
          <w:rFonts w:ascii="Times New Roman" w:hAnsi="Times New Roman" w:cs="Times New Roman"/>
          <w:color w:val="000000"/>
          <w:sz w:val="24"/>
          <w:szCs w:val="24"/>
        </w:rPr>
        <w:lastRenderedPageBreak/>
        <w:t>Unfortunately the McDonalds were unable to keep up the</w:t>
      </w:r>
      <w:r w:rsidR="00E17F9D">
        <w:rPr>
          <w:rFonts w:ascii="Times New Roman" w:hAnsi="Times New Roman" w:cs="Times New Roman"/>
          <w:color w:val="000000"/>
          <w:sz w:val="24"/>
          <w:szCs w:val="24"/>
        </w:rPr>
        <w:t>ir</w:t>
      </w:r>
      <w:r w:rsidR="006532D9" w:rsidRPr="00D02939">
        <w:rPr>
          <w:rFonts w:ascii="Times New Roman" w:hAnsi="Times New Roman" w:cs="Times New Roman"/>
          <w:color w:val="000000"/>
          <w:sz w:val="24"/>
          <w:szCs w:val="24"/>
        </w:rPr>
        <w:t xml:space="preserve"> </w:t>
      </w:r>
      <w:r w:rsidRPr="00D02939">
        <w:rPr>
          <w:rFonts w:ascii="Times New Roman" w:hAnsi="Times New Roman" w:cs="Times New Roman"/>
          <w:color w:val="000000"/>
          <w:sz w:val="24"/>
          <w:szCs w:val="24"/>
        </w:rPr>
        <w:t>mortgage repayments</w:t>
      </w:r>
      <w:r w:rsidR="006532D9" w:rsidRPr="00D02939">
        <w:rPr>
          <w:rFonts w:ascii="Times New Roman" w:hAnsi="Times New Roman" w:cs="Times New Roman"/>
          <w:color w:val="000000"/>
          <w:sz w:val="24"/>
          <w:szCs w:val="24"/>
        </w:rPr>
        <w:t xml:space="preserve"> due to a decline in their business fortunes</w:t>
      </w:r>
      <w:r w:rsidR="00FF6713" w:rsidRPr="00D02939">
        <w:rPr>
          <w:rFonts w:ascii="Times New Roman" w:hAnsi="Times New Roman" w:cs="Times New Roman"/>
          <w:color w:val="000000"/>
          <w:sz w:val="24"/>
          <w:szCs w:val="24"/>
        </w:rPr>
        <w:t xml:space="preserve"> and CHL appointed receivers </w:t>
      </w:r>
      <w:r w:rsidR="00872324" w:rsidRPr="00D02939">
        <w:rPr>
          <w:rFonts w:ascii="Times New Roman" w:hAnsi="Times New Roman" w:cs="Times New Roman"/>
          <w:color w:val="000000"/>
          <w:sz w:val="24"/>
          <w:szCs w:val="24"/>
        </w:rPr>
        <w:t xml:space="preserve">in August 2008 </w:t>
      </w:r>
      <w:r w:rsidR="00FF6713" w:rsidRPr="00D02939">
        <w:rPr>
          <w:rFonts w:ascii="Times New Roman" w:hAnsi="Times New Roman" w:cs="Times New Roman"/>
          <w:color w:val="000000"/>
          <w:sz w:val="24"/>
          <w:szCs w:val="24"/>
        </w:rPr>
        <w:t xml:space="preserve">to protect their position as mortgagees. The receivers took no immediate steps to evict Fiona. </w:t>
      </w:r>
      <w:r w:rsidR="00207DAE">
        <w:rPr>
          <w:rFonts w:ascii="Times New Roman" w:hAnsi="Times New Roman" w:cs="Times New Roman"/>
          <w:color w:val="000000"/>
          <w:sz w:val="24"/>
          <w:szCs w:val="24"/>
        </w:rPr>
        <w:t>T</w:t>
      </w:r>
      <w:r w:rsidR="00FF6713" w:rsidRPr="00D02939">
        <w:rPr>
          <w:rFonts w:ascii="Times New Roman" w:hAnsi="Times New Roman" w:cs="Times New Roman"/>
          <w:color w:val="000000"/>
          <w:sz w:val="24"/>
          <w:szCs w:val="24"/>
        </w:rPr>
        <w:t>he rent was regularly paid and the arrears of interest were not large.  Nevertheless, the</w:t>
      </w:r>
      <w:r w:rsidR="00872324" w:rsidRPr="00D02939">
        <w:rPr>
          <w:rFonts w:ascii="Times New Roman" w:hAnsi="Times New Roman" w:cs="Times New Roman"/>
          <w:color w:val="000000"/>
          <w:sz w:val="24"/>
          <w:szCs w:val="24"/>
        </w:rPr>
        <w:t xml:space="preserve"> arrears</w:t>
      </w:r>
      <w:r w:rsidR="00FF6713" w:rsidRPr="00D02939">
        <w:rPr>
          <w:rFonts w:ascii="Times New Roman" w:hAnsi="Times New Roman" w:cs="Times New Roman"/>
          <w:color w:val="000000"/>
          <w:sz w:val="24"/>
          <w:szCs w:val="24"/>
        </w:rPr>
        <w:t xml:space="preserve"> persisted and </w:t>
      </w:r>
      <w:r w:rsidR="00872324" w:rsidRPr="00D02939">
        <w:rPr>
          <w:rFonts w:ascii="Times New Roman" w:hAnsi="Times New Roman" w:cs="Times New Roman"/>
          <w:color w:val="000000"/>
          <w:sz w:val="24"/>
          <w:szCs w:val="24"/>
        </w:rPr>
        <w:t xml:space="preserve">the receivers </w:t>
      </w:r>
      <w:r w:rsidR="008A4B15">
        <w:rPr>
          <w:rFonts w:ascii="Times New Roman" w:hAnsi="Times New Roman" w:cs="Times New Roman"/>
          <w:color w:val="000000"/>
          <w:sz w:val="24"/>
          <w:szCs w:val="24"/>
        </w:rPr>
        <w:t xml:space="preserve">finally </w:t>
      </w:r>
      <w:r w:rsidR="00872324" w:rsidRPr="00D02939">
        <w:rPr>
          <w:rFonts w:ascii="Times New Roman" w:hAnsi="Times New Roman" w:cs="Times New Roman"/>
          <w:color w:val="000000"/>
          <w:sz w:val="24"/>
          <w:szCs w:val="24"/>
        </w:rPr>
        <w:t>served notice to terminate Fiona’s tenancy with effect from 14 March 2012</w:t>
      </w:r>
      <w:r w:rsidR="00592F07" w:rsidRPr="00D02939">
        <w:rPr>
          <w:rFonts w:ascii="Times New Roman" w:hAnsi="Times New Roman" w:cs="Times New Roman"/>
          <w:color w:val="000000"/>
          <w:sz w:val="24"/>
          <w:szCs w:val="24"/>
        </w:rPr>
        <w:t xml:space="preserve">. Their intention was </w:t>
      </w:r>
      <w:r w:rsidR="00872324" w:rsidRPr="00D02939">
        <w:rPr>
          <w:rFonts w:ascii="Times New Roman" w:hAnsi="Times New Roman" w:cs="Times New Roman"/>
          <w:color w:val="000000"/>
          <w:sz w:val="24"/>
          <w:szCs w:val="24"/>
        </w:rPr>
        <w:t>to regain possession pursuant to s</w:t>
      </w:r>
      <w:r w:rsidR="00507B8E">
        <w:rPr>
          <w:rFonts w:ascii="Times New Roman" w:hAnsi="Times New Roman" w:cs="Times New Roman"/>
          <w:color w:val="000000"/>
          <w:sz w:val="24"/>
          <w:szCs w:val="24"/>
        </w:rPr>
        <w:t xml:space="preserve">ection </w:t>
      </w:r>
      <w:r w:rsidR="00872324" w:rsidRPr="00D02939">
        <w:rPr>
          <w:rFonts w:ascii="Times New Roman" w:hAnsi="Times New Roman" w:cs="Times New Roman"/>
          <w:color w:val="000000"/>
          <w:sz w:val="24"/>
          <w:szCs w:val="24"/>
        </w:rPr>
        <w:t>21</w:t>
      </w:r>
      <w:r w:rsidR="005E15E0">
        <w:rPr>
          <w:rFonts w:ascii="Times New Roman" w:hAnsi="Times New Roman" w:cs="Times New Roman"/>
          <w:color w:val="000000"/>
          <w:sz w:val="24"/>
          <w:szCs w:val="24"/>
        </w:rPr>
        <w:t>(4)</w:t>
      </w:r>
      <w:r w:rsidR="00872324" w:rsidRPr="00D02939">
        <w:rPr>
          <w:rFonts w:ascii="Times New Roman" w:hAnsi="Times New Roman" w:cs="Times New Roman"/>
          <w:color w:val="000000"/>
          <w:sz w:val="24"/>
          <w:szCs w:val="24"/>
        </w:rPr>
        <w:t xml:space="preserve"> of the Housing Act 1988</w:t>
      </w:r>
      <w:r w:rsidR="00207DAE">
        <w:rPr>
          <w:rFonts w:ascii="Times New Roman" w:hAnsi="Times New Roman" w:cs="Times New Roman"/>
          <w:color w:val="000000"/>
          <w:sz w:val="24"/>
          <w:szCs w:val="24"/>
        </w:rPr>
        <w:t xml:space="preserve"> (Section 21(4))</w:t>
      </w:r>
      <w:r w:rsidR="00872324" w:rsidRPr="00D02939">
        <w:rPr>
          <w:rFonts w:ascii="Times New Roman" w:hAnsi="Times New Roman" w:cs="Times New Roman"/>
          <w:color w:val="000000"/>
          <w:sz w:val="24"/>
          <w:szCs w:val="24"/>
        </w:rPr>
        <w:t xml:space="preserve">. </w:t>
      </w:r>
      <w:r w:rsidR="00592F07" w:rsidRPr="00D02939">
        <w:rPr>
          <w:rFonts w:ascii="Times New Roman" w:hAnsi="Times New Roman" w:cs="Times New Roman"/>
          <w:color w:val="000000"/>
          <w:sz w:val="24"/>
          <w:szCs w:val="24"/>
        </w:rPr>
        <w:t xml:space="preserve">The 8 year mortgage term was due to expire on 12 May 2013 when CHL would be looking for full capital repayment of the loan. No doubt the receivers had this repayment deadline also in mind. </w:t>
      </w:r>
    </w:p>
    <w:p w:rsidR="00592F07" w:rsidRPr="00D02939" w:rsidRDefault="00592F07" w:rsidP="00E64250">
      <w:pPr>
        <w:autoSpaceDE w:val="0"/>
        <w:autoSpaceDN w:val="0"/>
        <w:adjustRightInd w:val="0"/>
        <w:spacing w:after="0" w:line="240" w:lineRule="auto"/>
        <w:rPr>
          <w:rFonts w:ascii="Times New Roman" w:hAnsi="Times New Roman" w:cs="Times New Roman"/>
          <w:color w:val="000000"/>
          <w:sz w:val="24"/>
          <w:szCs w:val="24"/>
        </w:rPr>
      </w:pPr>
    </w:p>
    <w:p w:rsidR="00D02939" w:rsidRPr="00D02939" w:rsidRDefault="00E64250" w:rsidP="00D02939">
      <w:pPr>
        <w:autoSpaceDE w:val="0"/>
        <w:autoSpaceDN w:val="0"/>
        <w:adjustRightInd w:val="0"/>
        <w:spacing w:after="0" w:line="240" w:lineRule="auto"/>
        <w:rPr>
          <w:rFonts w:ascii="Times New Roman" w:hAnsi="Times New Roman" w:cs="Times New Roman"/>
          <w:color w:val="000000"/>
          <w:sz w:val="24"/>
          <w:szCs w:val="24"/>
        </w:rPr>
      </w:pPr>
      <w:r w:rsidRPr="00D02939">
        <w:rPr>
          <w:rFonts w:ascii="Times New Roman" w:hAnsi="Times New Roman" w:cs="Times New Roman"/>
          <w:color w:val="000000"/>
          <w:sz w:val="24"/>
          <w:szCs w:val="24"/>
        </w:rPr>
        <w:t>Fiona</w:t>
      </w:r>
      <w:r w:rsidR="00DA04A0">
        <w:rPr>
          <w:rFonts w:ascii="Times New Roman" w:hAnsi="Times New Roman" w:cs="Times New Roman"/>
          <w:color w:val="000000"/>
          <w:sz w:val="24"/>
          <w:szCs w:val="24"/>
        </w:rPr>
        <w:t xml:space="preserve"> </w:t>
      </w:r>
      <w:r w:rsidR="00D02939" w:rsidRPr="00D02939">
        <w:rPr>
          <w:rFonts w:ascii="Times New Roman" w:hAnsi="Times New Roman" w:cs="Times New Roman"/>
          <w:color w:val="000000"/>
          <w:sz w:val="24"/>
          <w:szCs w:val="24"/>
        </w:rPr>
        <w:t xml:space="preserve">had </w:t>
      </w:r>
      <w:r w:rsidRPr="00D02939">
        <w:rPr>
          <w:rFonts w:ascii="Times New Roman" w:hAnsi="Times New Roman" w:cs="Times New Roman"/>
          <w:color w:val="000000"/>
          <w:sz w:val="24"/>
          <w:szCs w:val="24"/>
        </w:rPr>
        <w:t xml:space="preserve">resisted the possession order </w:t>
      </w:r>
      <w:r w:rsidR="00D02939" w:rsidRPr="00D02939">
        <w:rPr>
          <w:rFonts w:ascii="Times New Roman" w:hAnsi="Times New Roman" w:cs="Times New Roman"/>
          <w:color w:val="000000"/>
          <w:sz w:val="24"/>
          <w:szCs w:val="24"/>
        </w:rPr>
        <w:t xml:space="preserve">in the lower courts </w:t>
      </w:r>
      <w:r w:rsidRPr="00D02939">
        <w:rPr>
          <w:rFonts w:ascii="Times New Roman" w:hAnsi="Times New Roman" w:cs="Times New Roman"/>
          <w:color w:val="000000"/>
          <w:sz w:val="24"/>
          <w:szCs w:val="24"/>
        </w:rPr>
        <w:t>on two grounds. First, she claimed that a possession order would</w:t>
      </w:r>
      <w:r w:rsidR="00D02939" w:rsidRPr="00D02939">
        <w:rPr>
          <w:rFonts w:ascii="Times New Roman" w:hAnsi="Times New Roman" w:cs="Times New Roman"/>
          <w:color w:val="000000"/>
          <w:sz w:val="24"/>
          <w:szCs w:val="24"/>
        </w:rPr>
        <w:t xml:space="preserve"> </w:t>
      </w:r>
      <w:r w:rsidRPr="00D02939">
        <w:rPr>
          <w:rFonts w:ascii="Times New Roman" w:hAnsi="Times New Roman" w:cs="Times New Roman"/>
          <w:color w:val="000000"/>
          <w:sz w:val="24"/>
          <w:szCs w:val="24"/>
        </w:rPr>
        <w:t xml:space="preserve">breach her right to respect for her home under </w:t>
      </w:r>
      <w:r w:rsidR="009D3866">
        <w:rPr>
          <w:rFonts w:ascii="Times New Roman" w:hAnsi="Times New Roman" w:cs="Times New Roman"/>
          <w:color w:val="000000"/>
          <w:sz w:val="24"/>
          <w:szCs w:val="24"/>
        </w:rPr>
        <w:t>Article</w:t>
      </w:r>
      <w:r w:rsidRPr="00D02939">
        <w:rPr>
          <w:rFonts w:ascii="Times New Roman" w:hAnsi="Times New Roman" w:cs="Times New Roman"/>
          <w:color w:val="000000"/>
          <w:sz w:val="24"/>
          <w:szCs w:val="24"/>
        </w:rPr>
        <w:t>.8</w:t>
      </w:r>
      <w:r w:rsidR="005E15E0">
        <w:rPr>
          <w:rFonts w:ascii="Times New Roman" w:hAnsi="Times New Roman" w:cs="Times New Roman"/>
          <w:color w:val="000000"/>
          <w:sz w:val="24"/>
          <w:szCs w:val="24"/>
        </w:rPr>
        <w:t>.</w:t>
      </w:r>
      <w:r w:rsidRPr="00D02939">
        <w:rPr>
          <w:rFonts w:ascii="Times New Roman" w:hAnsi="Times New Roman" w:cs="Times New Roman"/>
          <w:color w:val="000000"/>
          <w:sz w:val="24"/>
          <w:szCs w:val="24"/>
        </w:rPr>
        <w:t xml:space="preserve"> </w:t>
      </w:r>
      <w:r w:rsidR="005E15E0">
        <w:rPr>
          <w:rFonts w:ascii="Times New Roman" w:hAnsi="Times New Roman" w:cs="Times New Roman"/>
          <w:color w:val="000000"/>
          <w:sz w:val="24"/>
          <w:szCs w:val="24"/>
        </w:rPr>
        <w:t xml:space="preserve">Section </w:t>
      </w:r>
      <w:r w:rsidRPr="00E17F9D">
        <w:rPr>
          <w:rFonts w:ascii="Times New Roman" w:hAnsi="Times New Roman" w:cs="Times New Roman"/>
          <w:sz w:val="24"/>
          <w:szCs w:val="24"/>
        </w:rPr>
        <w:t xml:space="preserve">21(4) </w:t>
      </w:r>
      <w:r w:rsidRPr="00D02939">
        <w:rPr>
          <w:rFonts w:ascii="Times New Roman" w:hAnsi="Times New Roman" w:cs="Times New Roman"/>
          <w:color w:val="000000"/>
          <w:sz w:val="24"/>
          <w:szCs w:val="24"/>
        </w:rPr>
        <w:t>mandate</w:t>
      </w:r>
      <w:r w:rsidR="00E17F9D">
        <w:rPr>
          <w:rFonts w:ascii="Times New Roman" w:hAnsi="Times New Roman" w:cs="Times New Roman"/>
          <w:color w:val="000000"/>
          <w:sz w:val="24"/>
          <w:szCs w:val="24"/>
        </w:rPr>
        <w:t>s</w:t>
      </w:r>
      <w:r w:rsidRPr="00D02939">
        <w:rPr>
          <w:rFonts w:ascii="Times New Roman" w:hAnsi="Times New Roman" w:cs="Times New Roman"/>
          <w:color w:val="000000"/>
          <w:sz w:val="24"/>
          <w:szCs w:val="24"/>
        </w:rPr>
        <w:t xml:space="preserve"> possession </w:t>
      </w:r>
      <w:r w:rsidR="00193567">
        <w:rPr>
          <w:rFonts w:ascii="Times New Roman" w:hAnsi="Times New Roman" w:cs="Times New Roman"/>
          <w:color w:val="000000"/>
          <w:sz w:val="24"/>
          <w:szCs w:val="24"/>
        </w:rPr>
        <w:t xml:space="preserve">on proof that the tenancy had been brought to an end by a </w:t>
      </w:r>
      <w:r w:rsidR="00207DAE">
        <w:rPr>
          <w:rFonts w:ascii="Times New Roman" w:hAnsi="Times New Roman" w:cs="Times New Roman"/>
          <w:color w:val="000000"/>
          <w:sz w:val="24"/>
          <w:szCs w:val="24"/>
        </w:rPr>
        <w:t>two</w:t>
      </w:r>
      <w:r w:rsidR="00193567">
        <w:rPr>
          <w:rFonts w:ascii="Times New Roman" w:hAnsi="Times New Roman" w:cs="Times New Roman"/>
          <w:color w:val="000000"/>
          <w:sz w:val="24"/>
          <w:szCs w:val="24"/>
        </w:rPr>
        <w:t xml:space="preserve"> months notice to quit</w:t>
      </w:r>
      <w:r w:rsidR="00E17F9D">
        <w:rPr>
          <w:rFonts w:ascii="Times New Roman" w:hAnsi="Times New Roman" w:cs="Times New Roman"/>
          <w:color w:val="000000"/>
          <w:sz w:val="24"/>
          <w:szCs w:val="24"/>
        </w:rPr>
        <w:t xml:space="preserve"> and thus d</w:t>
      </w:r>
      <w:r w:rsidR="005E15E0">
        <w:rPr>
          <w:rFonts w:ascii="Times New Roman" w:hAnsi="Times New Roman" w:cs="Times New Roman"/>
          <w:color w:val="000000"/>
          <w:sz w:val="24"/>
          <w:szCs w:val="24"/>
        </w:rPr>
        <w:t>id</w:t>
      </w:r>
      <w:r w:rsidR="00E17F9D">
        <w:rPr>
          <w:rFonts w:ascii="Times New Roman" w:hAnsi="Times New Roman" w:cs="Times New Roman"/>
          <w:color w:val="000000"/>
          <w:sz w:val="24"/>
          <w:szCs w:val="24"/>
        </w:rPr>
        <w:t xml:space="preserve"> not allow </w:t>
      </w:r>
      <w:r w:rsidRPr="00D02939">
        <w:rPr>
          <w:rFonts w:ascii="Times New Roman" w:hAnsi="Times New Roman" w:cs="Times New Roman"/>
          <w:color w:val="000000"/>
          <w:sz w:val="24"/>
          <w:szCs w:val="24"/>
        </w:rPr>
        <w:t xml:space="preserve">the court </w:t>
      </w:r>
      <w:r w:rsidR="00E17F9D">
        <w:rPr>
          <w:rFonts w:ascii="Times New Roman" w:hAnsi="Times New Roman" w:cs="Times New Roman"/>
          <w:color w:val="000000"/>
          <w:sz w:val="24"/>
          <w:szCs w:val="24"/>
        </w:rPr>
        <w:t xml:space="preserve">discretion </w:t>
      </w:r>
      <w:r w:rsidRPr="00D02939">
        <w:rPr>
          <w:rFonts w:ascii="Times New Roman" w:hAnsi="Times New Roman" w:cs="Times New Roman"/>
          <w:color w:val="000000"/>
          <w:sz w:val="24"/>
          <w:szCs w:val="24"/>
        </w:rPr>
        <w:t xml:space="preserve">to consider the proportionality of </w:t>
      </w:r>
      <w:r w:rsidR="00CD6AAF">
        <w:rPr>
          <w:rFonts w:ascii="Times New Roman" w:hAnsi="Times New Roman" w:cs="Times New Roman"/>
          <w:color w:val="000000"/>
          <w:sz w:val="24"/>
          <w:szCs w:val="24"/>
        </w:rPr>
        <w:t>her eviction</w:t>
      </w:r>
      <w:r w:rsidRPr="00D02939">
        <w:rPr>
          <w:rFonts w:ascii="Times New Roman" w:hAnsi="Times New Roman" w:cs="Times New Roman"/>
          <w:color w:val="000000"/>
          <w:sz w:val="24"/>
          <w:szCs w:val="24"/>
        </w:rPr>
        <w:t>.</w:t>
      </w:r>
      <w:r w:rsidR="00FC2D83">
        <w:rPr>
          <w:rStyle w:val="FootnoteReference"/>
          <w:rFonts w:ascii="Times New Roman" w:hAnsi="Times New Roman" w:cs="Times New Roman"/>
          <w:color w:val="000000"/>
          <w:sz w:val="24"/>
          <w:szCs w:val="24"/>
        </w:rPr>
        <w:footnoteReference w:id="4"/>
      </w:r>
      <w:r w:rsidRPr="00D02939">
        <w:rPr>
          <w:rFonts w:ascii="Times New Roman" w:hAnsi="Times New Roman" w:cs="Times New Roman"/>
          <w:color w:val="000000"/>
          <w:sz w:val="24"/>
          <w:szCs w:val="24"/>
        </w:rPr>
        <w:t>Secondly</w:t>
      </w:r>
      <w:r w:rsidR="003408E6">
        <w:rPr>
          <w:rFonts w:ascii="Times New Roman" w:hAnsi="Times New Roman" w:cs="Times New Roman"/>
          <w:color w:val="000000"/>
          <w:sz w:val="24"/>
          <w:szCs w:val="24"/>
        </w:rPr>
        <w:t>,</w:t>
      </w:r>
      <w:r w:rsidRPr="00D02939">
        <w:rPr>
          <w:rFonts w:ascii="Times New Roman" w:hAnsi="Times New Roman" w:cs="Times New Roman"/>
          <w:color w:val="000000"/>
          <w:sz w:val="24"/>
          <w:szCs w:val="24"/>
        </w:rPr>
        <w:t xml:space="preserve"> she claimed that her tenancy had not been terminated, because the requisite</w:t>
      </w:r>
      <w:r w:rsidR="00D02939" w:rsidRPr="00D02939">
        <w:rPr>
          <w:rFonts w:ascii="Times New Roman" w:hAnsi="Times New Roman" w:cs="Times New Roman"/>
          <w:color w:val="000000"/>
          <w:sz w:val="24"/>
          <w:szCs w:val="24"/>
        </w:rPr>
        <w:t xml:space="preserve"> </w:t>
      </w:r>
      <w:r w:rsidRPr="00D02939">
        <w:rPr>
          <w:rFonts w:ascii="Times New Roman" w:hAnsi="Times New Roman" w:cs="Times New Roman"/>
          <w:color w:val="000000"/>
          <w:sz w:val="24"/>
          <w:szCs w:val="24"/>
        </w:rPr>
        <w:t>notice had been served without the authority of her landlords, namely her parents.</w:t>
      </w:r>
      <w:r w:rsidR="00D02939" w:rsidRPr="00D02939">
        <w:rPr>
          <w:rFonts w:ascii="Times New Roman" w:hAnsi="Times New Roman" w:cs="Times New Roman"/>
          <w:color w:val="000000"/>
          <w:sz w:val="24"/>
          <w:szCs w:val="24"/>
        </w:rPr>
        <w:t xml:space="preserve"> </w:t>
      </w:r>
      <w:r w:rsidR="00E74208">
        <w:rPr>
          <w:rFonts w:ascii="Times New Roman" w:hAnsi="Times New Roman" w:cs="Times New Roman"/>
          <w:color w:val="000000"/>
          <w:sz w:val="24"/>
          <w:szCs w:val="24"/>
        </w:rPr>
        <w:t>Both grounds were dismissed at first instance and by the Court of Appeal but i</w:t>
      </w:r>
      <w:r w:rsidR="00D02939" w:rsidRPr="00D02939">
        <w:rPr>
          <w:rFonts w:ascii="Times New Roman" w:hAnsi="Times New Roman" w:cs="Times New Roman"/>
          <w:color w:val="000000"/>
          <w:sz w:val="24"/>
          <w:szCs w:val="24"/>
        </w:rPr>
        <w:t xml:space="preserve">t </w:t>
      </w:r>
      <w:proofErr w:type="gramStart"/>
      <w:r w:rsidR="00D02939" w:rsidRPr="00D02939">
        <w:rPr>
          <w:rFonts w:ascii="Times New Roman" w:hAnsi="Times New Roman" w:cs="Times New Roman"/>
          <w:color w:val="000000"/>
          <w:sz w:val="24"/>
          <w:szCs w:val="24"/>
        </w:rPr>
        <w:t>was</w:t>
      </w:r>
      <w:proofErr w:type="gramEnd"/>
      <w:r w:rsidR="00D02939" w:rsidRPr="00D02939">
        <w:rPr>
          <w:rFonts w:ascii="Times New Roman" w:hAnsi="Times New Roman" w:cs="Times New Roman"/>
          <w:color w:val="000000"/>
          <w:sz w:val="24"/>
          <w:szCs w:val="24"/>
        </w:rPr>
        <w:t xml:space="preserve"> only upon the first ground that Fiona </w:t>
      </w:r>
      <w:r w:rsidR="005E15E0">
        <w:rPr>
          <w:rFonts w:ascii="Times New Roman" w:hAnsi="Times New Roman" w:cs="Times New Roman"/>
          <w:color w:val="000000"/>
          <w:sz w:val="24"/>
          <w:szCs w:val="24"/>
        </w:rPr>
        <w:t xml:space="preserve">appealed to </w:t>
      </w:r>
      <w:r w:rsidR="00D02939" w:rsidRPr="00D02939">
        <w:rPr>
          <w:rFonts w:ascii="Times New Roman" w:hAnsi="Times New Roman" w:cs="Times New Roman"/>
          <w:color w:val="000000"/>
          <w:sz w:val="24"/>
          <w:szCs w:val="24"/>
        </w:rPr>
        <w:t>the Supreme Court.</w:t>
      </w:r>
    </w:p>
    <w:p w:rsidR="00D02939" w:rsidRDefault="00D02939" w:rsidP="00D02939">
      <w:pPr>
        <w:autoSpaceDE w:val="0"/>
        <w:autoSpaceDN w:val="0"/>
        <w:adjustRightInd w:val="0"/>
        <w:spacing w:after="0" w:line="240" w:lineRule="auto"/>
        <w:rPr>
          <w:rFonts w:ascii="Arial" w:hAnsi="Arial" w:cs="Arial"/>
          <w:color w:val="000000"/>
          <w:sz w:val="20"/>
          <w:szCs w:val="20"/>
        </w:rPr>
      </w:pPr>
    </w:p>
    <w:p w:rsidR="00DA04A0" w:rsidRPr="00193567" w:rsidRDefault="00D02939" w:rsidP="00D02939">
      <w:pPr>
        <w:autoSpaceDE w:val="0"/>
        <w:autoSpaceDN w:val="0"/>
        <w:adjustRightInd w:val="0"/>
        <w:spacing w:after="0" w:line="240" w:lineRule="auto"/>
        <w:rPr>
          <w:rFonts w:ascii="Times New Roman" w:hAnsi="Times New Roman" w:cs="Times New Roman"/>
          <w:b/>
          <w:color w:val="000000"/>
          <w:sz w:val="24"/>
          <w:szCs w:val="24"/>
        </w:rPr>
      </w:pPr>
      <w:r w:rsidRPr="00193567">
        <w:rPr>
          <w:rFonts w:ascii="Times New Roman" w:hAnsi="Times New Roman" w:cs="Times New Roman"/>
          <w:b/>
          <w:color w:val="000000"/>
          <w:sz w:val="24"/>
          <w:szCs w:val="24"/>
        </w:rPr>
        <w:t>The Decision</w:t>
      </w:r>
    </w:p>
    <w:p w:rsidR="00DA04A0" w:rsidRDefault="00DA04A0" w:rsidP="00D02939">
      <w:pPr>
        <w:autoSpaceDE w:val="0"/>
        <w:autoSpaceDN w:val="0"/>
        <w:adjustRightInd w:val="0"/>
        <w:spacing w:after="0" w:line="240" w:lineRule="auto"/>
        <w:rPr>
          <w:rFonts w:ascii="Times New Roman" w:hAnsi="Times New Roman" w:cs="Times New Roman"/>
          <w:color w:val="000000"/>
          <w:sz w:val="24"/>
          <w:szCs w:val="24"/>
        </w:rPr>
      </w:pPr>
    </w:p>
    <w:p w:rsidR="00E64250" w:rsidRDefault="0078075E" w:rsidP="00D029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Supreme Court gave a unanimous judgment dismissing Fiona’s appeal. The judgment was given by Lord Neuberger and Lady Hale with whom Lords Kerr, Reed and </w:t>
      </w:r>
      <w:proofErr w:type="spellStart"/>
      <w:r>
        <w:rPr>
          <w:rFonts w:ascii="Times New Roman" w:hAnsi="Times New Roman" w:cs="Times New Roman"/>
          <w:color w:val="000000"/>
          <w:sz w:val="24"/>
          <w:szCs w:val="24"/>
        </w:rPr>
        <w:t>Carnworth</w:t>
      </w:r>
      <w:proofErr w:type="spellEnd"/>
      <w:r>
        <w:rPr>
          <w:rFonts w:ascii="Times New Roman" w:hAnsi="Times New Roman" w:cs="Times New Roman"/>
          <w:color w:val="000000"/>
          <w:sz w:val="24"/>
          <w:szCs w:val="24"/>
        </w:rPr>
        <w:t xml:space="preserve"> agreed. </w:t>
      </w:r>
      <w:r w:rsidR="00DA04A0">
        <w:rPr>
          <w:rFonts w:ascii="Times New Roman" w:hAnsi="Times New Roman" w:cs="Times New Roman"/>
          <w:color w:val="000000"/>
          <w:sz w:val="24"/>
          <w:szCs w:val="24"/>
        </w:rPr>
        <w:t xml:space="preserve">There were three </w:t>
      </w:r>
      <w:r w:rsidR="00193567">
        <w:rPr>
          <w:rFonts w:ascii="Times New Roman" w:hAnsi="Times New Roman" w:cs="Times New Roman"/>
          <w:color w:val="000000"/>
          <w:sz w:val="24"/>
          <w:szCs w:val="24"/>
        </w:rPr>
        <w:t xml:space="preserve">interdependent </w:t>
      </w:r>
      <w:r w:rsidR="00DA04A0">
        <w:rPr>
          <w:rFonts w:ascii="Times New Roman" w:hAnsi="Times New Roman" w:cs="Times New Roman"/>
          <w:color w:val="000000"/>
          <w:sz w:val="24"/>
          <w:szCs w:val="24"/>
        </w:rPr>
        <w:t>issues argued before the Supreme Court all of which were dismissed</w:t>
      </w:r>
      <w:r w:rsidR="005E15E0">
        <w:rPr>
          <w:rFonts w:ascii="Times New Roman" w:hAnsi="Times New Roman" w:cs="Times New Roman"/>
          <w:color w:val="000000"/>
          <w:sz w:val="24"/>
          <w:szCs w:val="24"/>
        </w:rPr>
        <w:t xml:space="preserve"> upon more solid reasoning tha</w:t>
      </w:r>
      <w:r w:rsidR="00207DAE">
        <w:rPr>
          <w:rFonts w:ascii="Times New Roman" w:hAnsi="Times New Roman" w:cs="Times New Roman"/>
          <w:color w:val="000000"/>
          <w:sz w:val="24"/>
          <w:szCs w:val="24"/>
        </w:rPr>
        <w:t>n</w:t>
      </w:r>
      <w:r w:rsidR="005E15E0">
        <w:rPr>
          <w:rFonts w:ascii="Times New Roman" w:hAnsi="Times New Roman" w:cs="Times New Roman"/>
          <w:color w:val="000000"/>
          <w:sz w:val="24"/>
          <w:szCs w:val="24"/>
        </w:rPr>
        <w:t xml:space="preserve"> </w:t>
      </w:r>
      <w:r w:rsidR="00E74208">
        <w:rPr>
          <w:rFonts w:ascii="Times New Roman" w:hAnsi="Times New Roman" w:cs="Times New Roman"/>
          <w:color w:val="000000"/>
          <w:sz w:val="24"/>
          <w:szCs w:val="24"/>
        </w:rPr>
        <w:t>had been</w:t>
      </w:r>
      <w:r w:rsidR="005E15E0">
        <w:rPr>
          <w:rFonts w:ascii="Times New Roman" w:hAnsi="Times New Roman" w:cs="Times New Roman"/>
          <w:color w:val="000000"/>
          <w:sz w:val="24"/>
          <w:szCs w:val="24"/>
        </w:rPr>
        <w:t xml:space="preserve"> expressed by the Court of Appeal</w:t>
      </w:r>
      <w:r w:rsidR="00DA04A0">
        <w:rPr>
          <w:rFonts w:ascii="Times New Roman" w:hAnsi="Times New Roman" w:cs="Times New Roman"/>
          <w:color w:val="000000"/>
          <w:sz w:val="24"/>
          <w:szCs w:val="24"/>
        </w:rPr>
        <w:t>.</w:t>
      </w:r>
      <w:r w:rsidR="005E15E0">
        <w:rPr>
          <w:rStyle w:val="FootnoteReference"/>
          <w:rFonts w:ascii="Times New Roman" w:hAnsi="Times New Roman" w:cs="Times New Roman"/>
          <w:color w:val="000000"/>
          <w:sz w:val="24"/>
          <w:szCs w:val="24"/>
        </w:rPr>
        <w:footnoteReference w:id="5"/>
      </w:r>
      <w:r w:rsidR="00D02939" w:rsidRPr="00D02939">
        <w:rPr>
          <w:rFonts w:ascii="Times New Roman" w:hAnsi="Times New Roman" w:cs="Times New Roman"/>
          <w:color w:val="000000"/>
          <w:sz w:val="24"/>
          <w:szCs w:val="24"/>
        </w:rPr>
        <w:t xml:space="preserve"> </w:t>
      </w:r>
    </w:p>
    <w:p w:rsidR="0078075E" w:rsidRDefault="0078075E" w:rsidP="00D02939">
      <w:pPr>
        <w:autoSpaceDE w:val="0"/>
        <w:autoSpaceDN w:val="0"/>
        <w:adjustRightInd w:val="0"/>
        <w:spacing w:after="0" w:line="240" w:lineRule="auto"/>
        <w:rPr>
          <w:rFonts w:ascii="Times New Roman" w:hAnsi="Times New Roman" w:cs="Times New Roman"/>
          <w:color w:val="000000"/>
          <w:sz w:val="24"/>
          <w:szCs w:val="24"/>
        </w:rPr>
      </w:pPr>
    </w:p>
    <w:p w:rsidR="004D4B70" w:rsidRPr="0078075E" w:rsidRDefault="004D4B70" w:rsidP="00D02939">
      <w:pPr>
        <w:autoSpaceDE w:val="0"/>
        <w:autoSpaceDN w:val="0"/>
        <w:adjustRightInd w:val="0"/>
        <w:spacing w:after="0" w:line="240" w:lineRule="auto"/>
        <w:rPr>
          <w:rFonts w:ascii="Times New Roman" w:hAnsi="Times New Roman" w:cs="Times New Roman"/>
          <w:i/>
          <w:color w:val="000000"/>
          <w:sz w:val="24"/>
          <w:szCs w:val="24"/>
        </w:rPr>
      </w:pPr>
      <w:r w:rsidRPr="0078075E">
        <w:rPr>
          <w:rFonts w:ascii="Times New Roman" w:hAnsi="Times New Roman" w:cs="Times New Roman"/>
          <w:i/>
          <w:color w:val="000000"/>
          <w:sz w:val="24"/>
          <w:szCs w:val="24"/>
        </w:rPr>
        <w:t>The First Issue</w:t>
      </w:r>
    </w:p>
    <w:p w:rsidR="004D4B70" w:rsidRDefault="004D4B70" w:rsidP="00D02939">
      <w:pPr>
        <w:autoSpaceDE w:val="0"/>
        <w:autoSpaceDN w:val="0"/>
        <w:adjustRightInd w:val="0"/>
        <w:spacing w:after="0" w:line="240" w:lineRule="auto"/>
        <w:rPr>
          <w:rFonts w:ascii="Times New Roman" w:hAnsi="Times New Roman" w:cs="Times New Roman"/>
          <w:color w:val="000000"/>
          <w:sz w:val="24"/>
          <w:szCs w:val="24"/>
        </w:rPr>
      </w:pPr>
    </w:p>
    <w:p w:rsidR="00B61244" w:rsidRDefault="00193567" w:rsidP="00D029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first and main issue concerned the nature of </w:t>
      </w:r>
      <w:r w:rsidR="00CD6AAF">
        <w:rPr>
          <w:rFonts w:ascii="Times New Roman" w:hAnsi="Times New Roman" w:cs="Times New Roman"/>
          <w:color w:val="000000"/>
          <w:sz w:val="24"/>
          <w:szCs w:val="24"/>
        </w:rPr>
        <w:t>a court</w:t>
      </w:r>
      <w:r>
        <w:rPr>
          <w:rFonts w:ascii="Times New Roman" w:hAnsi="Times New Roman" w:cs="Times New Roman"/>
          <w:color w:val="000000"/>
          <w:sz w:val="24"/>
          <w:szCs w:val="24"/>
        </w:rPr>
        <w:t xml:space="preserve">’s duty </w:t>
      </w:r>
      <w:r w:rsidR="00B61244">
        <w:rPr>
          <w:rFonts w:ascii="Times New Roman" w:hAnsi="Times New Roman" w:cs="Times New Roman"/>
          <w:color w:val="000000"/>
          <w:sz w:val="24"/>
          <w:szCs w:val="24"/>
        </w:rPr>
        <w:t xml:space="preserve">to act in a human rights compatible manner </w:t>
      </w:r>
      <w:r>
        <w:rPr>
          <w:rFonts w:ascii="Times New Roman" w:hAnsi="Times New Roman" w:cs="Times New Roman"/>
          <w:color w:val="000000"/>
          <w:sz w:val="24"/>
          <w:szCs w:val="24"/>
        </w:rPr>
        <w:t>under section 6 of the HRA 1998</w:t>
      </w:r>
      <w:r w:rsidR="00B61244">
        <w:rPr>
          <w:rFonts w:ascii="Times New Roman" w:hAnsi="Times New Roman" w:cs="Times New Roman"/>
          <w:color w:val="000000"/>
          <w:sz w:val="24"/>
          <w:szCs w:val="24"/>
        </w:rPr>
        <w:t xml:space="preserve">. It was argued </w:t>
      </w:r>
      <w:r w:rsidR="00B4724D">
        <w:rPr>
          <w:rFonts w:ascii="Times New Roman" w:hAnsi="Times New Roman" w:cs="Times New Roman"/>
          <w:color w:val="000000"/>
          <w:sz w:val="24"/>
          <w:szCs w:val="24"/>
        </w:rPr>
        <w:t xml:space="preserve">on behalf of Fiona </w:t>
      </w:r>
      <w:r w:rsidR="00B61244">
        <w:rPr>
          <w:rFonts w:ascii="Times New Roman" w:hAnsi="Times New Roman" w:cs="Times New Roman"/>
          <w:color w:val="000000"/>
          <w:sz w:val="24"/>
          <w:szCs w:val="24"/>
        </w:rPr>
        <w:t xml:space="preserve">that this duty required a court to consider the proportionality of </w:t>
      </w:r>
      <w:r w:rsidR="00CD6AAF">
        <w:rPr>
          <w:rFonts w:ascii="Times New Roman" w:hAnsi="Times New Roman" w:cs="Times New Roman"/>
          <w:color w:val="000000"/>
          <w:sz w:val="24"/>
          <w:szCs w:val="24"/>
        </w:rPr>
        <w:t xml:space="preserve">an order for possession </w:t>
      </w:r>
      <w:r w:rsidR="00B61244">
        <w:rPr>
          <w:rFonts w:ascii="Times New Roman" w:hAnsi="Times New Roman" w:cs="Times New Roman"/>
          <w:color w:val="000000"/>
          <w:sz w:val="24"/>
          <w:szCs w:val="24"/>
        </w:rPr>
        <w:t xml:space="preserve">in favour of a private landlord made </w:t>
      </w:r>
      <w:r w:rsidR="00CD6AAF">
        <w:rPr>
          <w:rFonts w:ascii="Times New Roman" w:hAnsi="Times New Roman" w:cs="Times New Roman"/>
          <w:color w:val="000000"/>
          <w:sz w:val="24"/>
          <w:szCs w:val="24"/>
        </w:rPr>
        <w:t>pursuant to s</w:t>
      </w:r>
      <w:r w:rsidR="00207DAE">
        <w:rPr>
          <w:rFonts w:ascii="Times New Roman" w:hAnsi="Times New Roman" w:cs="Times New Roman"/>
          <w:color w:val="000000"/>
          <w:sz w:val="24"/>
          <w:szCs w:val="24"/>
        </w:rPr>
        <w:t xml:space="preserve">ection </w:t>
      </w:r>
      <w:r w:rsidR="00CD6AAF">
        <w:rPr>
          <w:rFonts w:ascii="Times New Roman" w:hAnsi="Times New Roman" w:cs="Times New Roman"/>
          <w:color w:val="000000"/>
          <w:sz w:val="24"/>
          <w:szCs w:val="24"/>
        </w:rPr>
        <w:t>21(4</w:t>
      </w:r>
      <w:r w:rsidR="00B61244">
        <w:rPr>
          <w:rFonts w:ascii="Times New Roman" w:hAnsi="Times New Roman" w:cs="Times New Roman"/>
          <w:color w:val="000000"/>
          <w:sz w:val="24"/>
          <w:szCs w:val="24"/>
        </w:rPr>
        <w:t>)</w:t>
      </w:r>
      <w:r w:rsidR="00CD6AAF">
        <w:rPr>
          <w:rFonts w:ascii="Times New Roman" w:hAnsi="Times New Roman" w:cs="Times New Roman"/>
          <w:color w:val="000000"/>
          <w:sz w:val="24"/>
          <w:szCs w:val="24"/>
        </w:rPr>
        <w:t xml:space="preserve">. </w:t>
      </w:r>
      <w:r w:rsidR="00647DB4">
        <w:rPr>
          <w:rFonts w:ascii="Times New Roman" w:hAnsi="Times New Roman" w:cs="Times New Roman"/>
          <w:color w:val="000000"/>
          <w:sz w:val="24"/>
          <w:szCs w:val="24"/>
        </w:rPr>
        <w:t>Th</w:t>
      </w:r>
      <w:r w:rsidR="005E15E0">
        <w:rPr>
          <w:rFonts w:ascii="Times New Roman" w:hAnsi="Times New Roman" w:cs="Times New Roman"/>
          <w:color w:val="000000"/>
          <w:sz w:val="24"/>
          <w:szCs w:val="24"/>
        </w:rPr>
        <w:t xml:space="preserve">is </w:t>
      </w:r>
      <w:r w:rsidR="00647DB4">
        <w:rPr>
          <w:rFonts w:ascii="Times New Roman" w:hAnsi="Times New Roman" w:cs="Times New Roman"/>
          <w:color w:val="000000"/>
          <w:sz w:val="24"/>
          <w:szCs w:val="24"/>
        </w:rPr>
        <w:t xml:space="preserve">issue </w:t>
      </w:r>
      <w:r w:rsidR="00D46FAE" w:rsidRPr="00D46FAE">
        <w:rPr>
          <w:rFonts w:ascii="Times New Roman" w:hAnsi="Times New Roman" w:cs="Times New Roman"/>
          <w:color w:val="000000"/>
          <w:sz w:val="24"/>
          <w:szCs w:val="24"/>
        </w:rPr>
        <w:t>was framed differently</w:t>
      </w:r>
      <w:r w:rsidR="005E15E0">
        <w:rPr>
          <w:rFonts w:ascii="Times New Roman" w:hAnsi="Times New Roman" w:cs="Times New Roman"/>
          <w:color w:val="000000"/>
          <w:sz w:val="24"/>
          <w:szCs w:val="24"/>
        </w:rPr>
        <w:t xml:space="preserve"> </w:t>
      </w:r>
      <w:r w:rsidR="00B4724D">
        <w:rPr>
          <w:rFonts w:ascii="Times New Roman" w:hAnsi="Times New Roman" w:cs="Times New Roman"/>
          <w:color w:val="000000"/>
          <w:sz w:val="24"/>
          <w:szCs w:val="24"/>
        </w:rPr>
        <w:t xml:space="preserve">from </w:t>
      </w:r>
      <w:r w:rsidR="00C20545">
        <w:rPr>
          <w:rFonts w:ascii="Times New Roman" w:hAnsi="Times New Roman" w:cs="Times New Roman"/>
          <w:color w:val="000000"/>
          <w:sz w:val="24"/>
          <w:szCs w:val="24"/>
        </w:rPr>
        <w:t>that</w:t>
      </w:r>
      <w:r w:rsidR="005E15E0">
        <w:rPr>
          <w:rFonts w:ascii="Times New Roman" w:hAnsi="Times New Roman" w:cs="Times New Roman"/>
          <w:color w:val="000000"/>
          <w:sz w:val="24"/>
          <w:szCs w:val="24"/>
        </w:rPr>
        <w:t xml:space="preserve"> </w:t>
      </w:r>
      <w:r w:rsidR="00C20545">
        <w:rPr>
          <w:rFonts w:ascii="Times New Roman" w:hAnsi="Times New Roman" w:cs="Times New Roman"/>
          <w:color w:val="000000"/>
          <w:sz w:val="24"/>
          <w:szCs w:val="24"/>
        </w:rPr>
        <w:t xml:space="preserve">considered by </w:t>
      </w:r>
      <w:r w:rsidR="001B5EED">
        <w:rPr>
          <w:rFonts w:ascii="Times New Roman" w:hAnsi="Times New Roman" w:cs="Times New Roman"/>
          <w:color w:val="000000"/>
          <w:sz w:val="24"/>
          <w:szCs w:val="24"/>
        </w:rPr>
        <w:t>the Court of Appeal</w:t>
      </w:r>
      <w:r w:rsidR="00B4724D">
        <w:rPr>
          <w:rFonts w:ascii="Times New Roman" w:hAnsi="Times New Roman" w:cs="Times New Roman"/>
          <w:color w:val="000000"/>
          <w:sz w:val="24"/>
          <w:szCs w:val="24"/>
        </w:rPr>
        <w:t xml:space="preserve">. The Court of Appeal had considered and rejected Fiona’s </w:t>
      </w:r>
      <w:r w:rsidR="00E74208">
        <w:rPr>
          <w:rFonts w:ascii="Times New Roman" w:hAnsi="Times New Roman" w:cs="Times New Roman"/>
          <w:color w:val="000000"/>
          <w:sz w:val="24"/>
          <w:szCs w:val="24"/>
        </w:rPr>
        <w:t xml:space="preserve">counsel’s argument </w:t>
      </w:r>
      <w:r w:rsidR="00B62119">
        <w:rPr>
          <w:rFonts w:ascii="Times New Roman" w:hAnsi="Times New Roman" w:cs="Times New Roman"/>
          <w:color w:val="000000"/>
          <w:sz w:val="24"/>
          <w:szCs w:val="24"/>
        </w:rPr>
        <w:t xml:space="preserve">based on section 3 of the HRA 1998 </w:t>
      </w:r>
      <w:r w:rsidR="00B4724D">
        <w:rPr>
          <w:rFonts w:ascii="Times New Roman" w:hAnsi="Times New Roman" w:cs="Times New Roman"/>
          <w:color w:val="000000"/>
          <w:sz w:val="24"/>
          <w:szCs w:val="24"/>
        </w:rPr>
        <w:t xml:space="preserve">that the mandatory nature of </w:t>
      </w:r>
      <w:r w:rsidR="00D46FAE">
        <w:rPr>
          <w:rFonts w:ascii="Times New Roman" w:hAnsi="Times New Roman" w:cs="Times New Roman"/>
          <w:color w:val="000000"/>
          <w:sz w:val="24"/>
          <w:szCs w:val="24"/>
        </w:rPr>
        <w:t xml:space="preserve">section 21(4) </w:t>
      </w:r>
      <w:r w:rsidR="00B4724D">
        <w:rPr>
          <w:rFonts w:ascii="Times New Roman" w:hAnsi="Times New Roman" w:cs="Times New Roman"/>
          <w:color w:val="000000"/>
          <w:sz w:val="24"/>
          <w:szCs w:val="24"/>
        </w:rPr>
        <w:t>was itself incompatible</w:t>
      </w:r>
      <w:r w:rsidR="00E74208">
        <w:rPr>
          <w:rFonts w:ascii="Times New Roman" w:hAnsi="Times New Roman" w:cs="Times New Roman"/>
          <w:color w:val="000000"/>
          <w:sz w:val="24"/>
          <w:szCs w:val="24"/>
        </w:rPr>
        <w:t xml:space="preserve"> and thus the court</w:t>
      </w:r>
      <w:r w:rsidR="00B62119">
        <w:rPr>
          <w:rFonts w:ascii="Times New Roman" w:hAnsi="Times New Roman" w:cs="Times New Roman"/>
          <w:color w:val="000000"/>
          <w:sz w:val="24"/>
          <w:szCs w:val="24"/>
        </w:rPr>
        <w:t xml:space="preserve"> </w:t>
      </w:r>
      <w:r w:rsidR="00E74208">
        <w:rPr>
          <w:rFonts w:ascii="Times New Roman" w:hAnsi="Times New Roman" w:cs="Times New Roman"/>
          <w:color w:val="000000"/>
          <w:sz w:val="24"/>
          <w:szCs w:val="24"/>
        </w:rPr>
        <w:t xml:space="preserve">should </w:t>
      </w:r>
      <w:r w:rsidR="00B62119">
        <w:rPr>
          <w:rFonts w:ascii="Times New Roman" w:hAnsi="Times New Roman" w:cs="Times New Roman"/>
          <w:color w:val="000000"/>
          <w:sz w:val="24"/>
          <w:szCs w:val="24"/>
        </w:rPr>
        <w:t xml:space="preserve">read into </w:t>
      </w:r>
      <w:r w:rsidR="00E74208">
        <w:rPr>
          <w:rFonts w:ascii="Times New Roman" w:hAnsi="Times New Roman" w:cs="Times New Roman"/>
          <w:color w:val="000000"/>
          <w:sz w:val="24"/>
          <w:szCs w:val="24"/>
        </w:rPr>
        <w:t>the section</w:t>
      </w:r>
      <w:r w:rsidR="00B62119">
        <w:rPr>
          <w:rFonts w:ascii="Times New Roman" w:hAnsi="Times New Roman" w:cs="Times New Roman"/>
          <w:color w:val="000000"/>
          <w:sz w:val="24"/>
          <w:szCs w:val="24"/>
        </w:rPr>
        <w:t xml:space="preserve"> </w:t>
      </w:r>
      <w:proofErr w:type="gramStart"/>
      <w:r w:rsidR="00B62119">
        <w:rPr>
          <w:rFonts w:ascii="Times New Roman" w:hAnsi="Times New Roman" w:cs="Times New Roman"/>
          <w:color w:val="000000"/>
          <w:sz w:val="24"/>
          <w:szCs w:val="24"/>
        </w:rPr>
        <w:t>a discretion</w:t>
      </w:r>
      <w:proofErr w:type="gramEnd"/>
      <w:r w:rsidR="00B62119">
        <w:rPr>
          <w:rFonts w:ascii="Times New Roman" w:hAnsi="Times New Roman" w:cs="Times New Roman"/>
          <w:color w:val="000000"/>
          <w:sz w:val="24"/>
          <w:szCs w:val="24"/>
        </w:rPr>
        <w:t xml:space="preserve"> to consider the proportionality. </w:t>
      </w:r>
      <w:r w:rsidR="00B4724D">
        <w:rPr>
          <w:rFonts w:ascii="Times New Roman" w:hAnsi="Times New Roman" w:cs="Times New Roman"/>
          <w:color w:val="000000"/>
          <w:sz w:val="24"/>
          <w:szCs w:val="24"/>
        </w:rPr>
        <w:t xml:space="preserve"> </w:t>
      </w:r>
      <w:r w:rsidR="00B61244">
        <w:rPr>
          <w:rFonts w:ascii="Times New Roman" w:hAnsi="Times New Roman" w:cs="Times New Roman"/>
          <w:color w:val="000000"/>
          <w:sz w:val="24"/>
          <w:szCs w:val="24"/>
        </w:rPr>
        <w:t xml:space="preserve"> </w:t>
      </w:r>
    </w:p>
    <w:p w:rsidR="00AD11C3" w:rsidRDefault="00AD11C3" w:rsidP="00D02939">
      <w:pPr>
        <w:autoSpaceDE w:val="0"/>
        <w:autoSpaceDN w:val="0"/>
        <w:adjustRightInd w:val="0"/>
        <w:spacing w:after="0" w:line="240" w:lineRule="auto"/>
        <w:rPr>
          <w:rFonts w:ascii="Times New Roman" w:hAnsi="Times New Roman" w:cs="Times New Roman"/>
          <w:color w:val="000000"/>
          <w:sz w:val="24"/>
          <w:szCs w:val="24"/>
        </w:rPr>
      </w:pPr>
    </w:p>
    <w:p w:rsidR="005D780D" w:rsidRDefault="005D780D" w:rsidP="00D029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the court in pursuance of its </w:t>
      </w:r>
      <w:r w:rsidR="00DA1C3C">
        <w:rPr>
          <w:rFonts w:ascii="Times New Roman" w:hAnsi="Times New Roman" w:cs="Times New Roman"/>
          <w:color w:val="000000"/>
          <w:sz w:val="24"/>
          <w:szCs w:val="24"/>
        </w:rPr>
        <w:t xml:space="preserve">section 6 </w:t>
      </w:r>
      <w:proofErr w:type="gramStart"/>
      <w:r>
        <w:rPr>
          <w:rFonts w:ascii="Times New Roman" w:hAnsi="Times New Roman" w:cs="Times New Roman"/>
          <w:color w:val="000000"/>
          <w:sz w:val="24"/>
          <w:szCs w:val="24"/>
        </w:rPr>
        <w:t>duty</w:t>
      </w:r>
      <w:proofErr w:type="gramEnd"/>
      <w:r>
        <w:rPr>
          <w:rFonts w:ascii="Times New Roman" w:hAnsi="Times New Roman" w:cs="Times New Roman"/>
          <w:color w:val="000000"/>
          <w:sz w:val="24"/>
          <w:szCs w:val="24"/>
        </w:rPr>
        <w:t xml:space="preserve"> is required </w:t>
      </w:r>
      <w:r w:rsidR="00B61244">
        <w:rPr>
          <w:rFonts w:ascii="Times New Roman" w:hAnsi="Times New Roman" w:cs="Times New Roman"/>
          <w:color w:val="000000"/>
          <w:sz w:val="24"/>
          <w:szCs w:val="24"/>
        </w:rPr>
        <w:t xml:space="preserve">to consider </w:t>
      </w:r>
      <w:r w:rsidR="00C20545">
        <w:rPr>
          <w:rFonts w:ascii="Times New Roman" w:hAnsi="Times New Roman" w:cs="Times New Roman"/>
          <w:color w:val="000000"/>
          <w:sz w:val="24"/>
          <w:szCs w:val="24"/>
        </w:rPr>
        <w:t xml:space="preserve">the </w:t>
      </w:r>
      <w:r w:rsidR="00B61244">
        <w:rPr>
          <w:rFonts w:ascii="Times New Roman" w:hAnsi="Times New Roman" w:cs="Times New Roman"/>
          <w:color w:val="000000"/>
          <w:sz w:val="24"/>
          <w:szCs w:val="24"/>
        </w:rPr>
        <w:t>proportionality of a possession order</w:t>
      </w:r>
      <w:r w:rsidR="00C20545">
        <w:rPr>
          <w:rFonts w:ascii="Times New Roman" w:hAnsi="Times New Roman" w:cs="Times New Roman"/>
          <w:color w:val="000000"/>
          <w:sz w:val="24"/>
          <w:szCs w:val="24"/>
        </w:rPr>
        <w:t>,</w:t>
      </w:r>
      <w:r w:rsidR="00B612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position of a</w:t>
      </w:r>
      <w:r w:rsidR="00DA1C3C">
        <w:rPr>
          <w:rFonts w:ascii="Times New Roman" w:hAnsi="Times New Roman" w:cs="Times New Roman"/>
          <w:color w:val="000000"/>
          <w:sz w:val="24"/>
          <w:szCs w:val="24"/>
        </w:rPr>
        <w:t>n occupier</w:t>
      </w:r>
      <w:r>
        <w:rPr>
          <w:rFonts w:ascii="Times New Roman" w:hAnsi="Times New Roman" w:cs="Times New Roman"/>
          <w:color w:val="000000"/>
          <w:sz w:val="24"/>
          <w:szCs w:val="24"/>
        </w:rPr>
        <w:t xml:space="preserve"> facing eviction </w:t>
      </w:r>
      <w:r w:rsidR="00DA1C3C">
        <w:rPr>
          <w:rFonts w:ascii="Times New Roman" w:hAnsi="Times New Roman" w:cs="Times New Roman"/>
          <w:color w:val="000000"/>
          <w:sz w:val="24"/>
          <w:szCs w:val="24"/>
        </w:rPr>
        <w:t>from their home by</w:t>
      </w:r>
      <w:r>
        <w:rPr>
          <w:rFonts w:ascii="Times New Roman" w:hAnsi="Times New Roman" w:cs="Times New Roman"/>
          <w:color w:val="000000"/>
          <w:sz w:val="24"/>
          <w:szCs w:val="24"/>
        </w:rPr>
        <w:t xml:space="preserve"> either a public sector or a private landlord </w:t>
      </w:r>
      <w:r w:rsidR="00AD11C3">
        <w:rPr>
          <w:rFonts w:ascii="Times New Roman" w:hAnsi="Times New Roman" w:cs="Times New Roman"/>
          <w:color w:val="000000"/>
          <w:sz w:val="24"/>
          <w:szCs w:val="24"/>
        </w:rPr>
        <w:t>becomes</w:t>
      </w:r>
      <w:r>
        <w:rPr>
          <w:rFonts w:ascii="Times New Roman" w:hAnsi="Times New Roman" w:cs="Times New Roman"/>
          <w:color w:val="000000"/>
          <w:sz w:val="24"/>
          <w:szCs w:val="24"/>
        </w:rPr>
        <w:t xml:space="preserve"> somewhat similar. The distinction is that a private landlord may also claim that their human right to the protection of their possessions under Article 1 Protocol 1 has been infringed.</w:t>
      </w:r>
      <w:r>
        <w:rPr>
          <w:rStyle w:val="FootnoteReference"/>
          <w:rFonts w:ascii="Times New Roman" w:hAnsi="Times New Roman" w:cs="Times New Roman"/>
          <w:color w:val="000000"/>
          <w:sz w:val="24"/>
          <w:szCs w:val="24"/>
        </w:rPr>
        <w:footnoteReference w:id="6"/>
      </w:r>
      <w:r>
        <w:rPr>
          <w:rFonts w:ascii="Times New Roman" w:hAnsi="Times New Roman" w:cs="Times New Roman"/>
          <w:color w:val="000000"/>
          <w:sz w:val="24"/>
          <w:szCs w:val="24"/>
        </w:rPr>
        <w:t xml:space="preserve"> The court must then balance the respective human rights of the tenant under Article 8 and their landlord under Article 1 Protocol 1. </w:t>
      </w:r>
    </w:p>
    <w:p w:rsidR="00DA1C3C" w:rsidRDefault="00DA1C3C" w:rsidP="00D02939">
      <w:pPr>
        <w:autoSpaceDE w:val="0"/>
        <w:autoSpaceDN w:val="0"/>
        <w:adjustRightInd w:val="0"/>
        <w:spacing w:after="0" w:line="240" w:lineRule="auto"/>
        <w:rPr>
          <w:rFonts w:ascii="Times New Roman" w:hAnsi="Times New Roman" w:cs="Times New Roman"/>
          <w:color w:val="000000"/>
          <w:sz w:val="24"/>
          <w:szCs w:val="24"/>
        </w:rPr>
      </w:pPr>
    </w:p>
    <w:p w:rsidR="00B70B10" w:rsidRDefault="00DA1C3C" w:rsidP="00D029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Although the Supreme Court accepted that Article 8 is engaged by possession </w:t>
      </w:r>
      <w:r w:rsidR="001B5EED">
        <w:rPr>
          <w:rFonts w:ascii="Times New Roman" w:hAnsi="Times New Roman" w:cs="Times New Roman"/>
          <w:color w:val="000000"/>
          <w:sz w:val="24"/>
          <w:szCs w:val="24"/>
        </w:rPr>
        <w:t xml:space="preserve">proceedings </w:t>
      </w:r>
      <w:r>
        <w:rPr>
          <w:rFonts w:ascii="Times New Roman" w:hAnsi="Times New Roman" w:cs="Times New Roman"/>
          <w:color w:val="000000"/>
          <w:sz w:val="24"/>
          <w:szCs w:val="24"/>
        </w:rPr>
        <w:t>of a tenant’s home brought by a private landlord, they revert</w:t>
      </w:r>
      <w:r w:rsidR="00BB22EA">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to what is essentially the position </w:t>
      </w:r>
      <w:r>
        <w:rPr>
          <w:rFonts w:ascii="Times New Roman" w:hAnsi="Times New Roman" w:cs="Times New Roman"/>
          <w:color w:val="000000"/>
          <w:sz w:val="24"/>
          <w:szCs w:val="24"/>
        </w:rPr>
        <w:lastRenderedPageBreak/>
        <w:t xml:space="preserve">the House of Lord originally took in </w:t>
      </w:r>
      <w:r w:rsidR="00E17F9D">
        <w:rPr>
          <w:rFonts w:ascii="Times New Roman" w:hAnsi="Times New Roman" w:cs="Times New Roman"/>
          <w:color w:val="000000"/>
          <w:sz w:val="24"/>
          <w:szCs w:val="24"/>
        </w:rPr>
        <w:t xml:space="preserve">relation to public sector tenancies in </w:t>
      </w:r>
      <w:proofErr w:type="spellStart"/>
      <w:r>
        <w:rPr>
          <w:rFonts w:ascii="Times New Roman" w:hAnsi="Times New Roman" w:cs="Times New Roman"/>
          <w:i/>
          <w:color w:val="000000"/>
          <w:sz w:val="24"/>
          <w:szCs w:val="24"/>
        </w:rPr>
        <w:t>Qazi</w:t>
      </w:r>
      <w:proofErr w:type="spellEnd"/>
      <w:r>
        <w:rPr>
          <w:rFonts w:ascii="Times New Roman" w:hAnsi="Times New Roman" w:cs="Times New Roman"/>
          <w:i/>
          <w:color w:val="000000"/>
          <w:sz w:val="24"/>
          <w:szCs w:val="24"/>
        </w:rPr>
        <w:t xml:space="preserve"> v Harrow LBC</w:t>
      </w:r>
      <w:r w:rsidR="00C67574" w:rsidRPr="00C20545">
        <w:rPr>
          <w:rStyle w:val="FootnoteReference"/>
          <w:rFonts w:ascii="Times New Roman" w:hAnsi="Times New Roman" w:cs="Times New Roman"/>
          <w:color w:val="000000"/>
          <w:sz w:val="24"/>
          <w:szCs w:val="24"/>
        </w:rPr>
        <w:footnoteReference w:id="7"/>
      </w:r>
      <w:r w:rsidR="001B5EED" w:rsidRPr="00C20545">
        <w:rPr>
          <w:rFonts w:ascii="Times New Roman" w:hAnsi="Times New Roman" w:cs="Times New Roman"/>
          <w:color w:val="000000"/>
          <w:sz w:val="24"/>
          <w:szCs w:val="24"/>
        </w:rPr>
        <w:t xml:space="preserve">- </w:t>
      </w:r>
      <w:r w:rsidR="001B5EED">
        <w:rPr>
          <w:rFonts w:ascii="Times New Roman" w:hAnsi="Times New Roman" w:cs="Times New Roman"/>
          <w:color w:val="000000"/>
          <w:sz w:val="24"/>
          <w:szCs w:val="24"/>
        </w:rPr>
        <w:t xml:space="preserve">namely </w:t>
      </w:r>
      <w:r>
        <w:rPr>
          <w:rFonts w:ascii="Times New Roman" w:hAnsi="Times New Roman" w:cs="Times New Roman"/>
          <w:color w:val="000000"/>
          <w:sz w:val="24"/>
          <w:szCs w:val="24"/>
        </w:rPr>
        <w:t>that the legal relationship between the parties provides the justification for th</w:t>
      </w:r>
      <w:r w:rsidR="001B5EED">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infringement to the respect due to the tenant’s home.</w:t>
      </w:r>
      <w:r w:rsidR="00F63D9E">
        <w:rPr>
          <w:rStyle w:val="FootnoteReference"/>
          <w:rFonts w:ascii="Times New Roman" w:hAnsi="Times New Roman" w:cs="Times New Roman"/>
          <w:color w:val="000000"/>
          <w:sz w:val="24"/>
          <w:szCs w:val="24"/>
        </w:rPr>
        <w:footnoteReference w:id="8"/>
      </w:r>
      <w:r w:rsidR="00F63D9E">
        <w:rPr>
          <w:rFonts w:ascii="Times New Roman" w:hAnsi="Times New Roman" w:cs="Times New Roman"/>
          <w:color w:val="000000"/>
          <w:sz w:val="24"/>
          <w:szCs w:val="24"/>
        </w:rPr>
        <w:t xml:space="preserve"> That legal relationship is </w:t>
      </w:r>
      <w:r w:rsidR="00B70B10">
        <w:rPr>
          <w:rFonts w:ascii="Times New Roman" w:hAnsi="Times New Roman" w:cs="Times New Roman"/>
          <w:color w:val="000000"/>
          <w:sz w:val="24"/>
          <w:szCs w:val="24"/>
        </w:rPr>
        <w:t xml:space="preserve">articulated </w:t>
      </w:r>
      <w:r w:rsidR="00F63D9E">
        <w:rPr>
          <w:rFonts w:ascii="Times New Roman" w:hAnsi="Times New Roman" w:cs="Times New Roman"/>
          <w:color w:val="000000"/>
          <w:sz w:val="24"/>
          <w:szCs w:val="24"/>
        </w:rPr>
        <w:t>by th</w:t>
      </w:r>
      <w:r w:rsidR="001B5EED">
        <w:rPr>
          <w:rFonts w:ascii="Times New Roman" w:hAnsi="Times New Roman" w:cs="Times New Roman"/>
          <w:color w:val="000000"/>
          <w:sz w:val="24"/>
          <w:szCs w:val="24"/>
        </w:rPr>
        <w:t>e parties’</w:t>
      </w:r>
      <w:r w:rsidR="00F63D9E">
        <w:rPr>
          <w:rFonts w:ascii="Times New Roman" w:hAnsi="Times New Roman" w:cs="Times New Roman"/>
          <w:color w:val="000000"/>
          <w:sz w:val="24"/>
          <w:szCs w:val="24"/>
        </w:rPr>
        <w:t xml:space="preserve"> contractual tenancy agreement and its legislative regulation. </w:t>
      </w:r>
      <w:r w:rsidR="001B5EED">
        <w:rPr>
          <w:rFonts w:ascii="Times New Roman" w:hAnsi="Times New Roman" w:cs="Times New Roman"/>
          <w:color w:val="000000"/>
          <w:sz w:val="24"/>
          <w:szCs w:val="24"/>
        </w:rPr>
        <w:t>As an AST Fiona’s contractual tenancy was regulated by the</w:t>
      </w:r>
      <w:r w:rsidR="00F63D9E">
        <w:rPr>
          <w:rFonts w:ascii="Times New Roman" w:hAnsi="Times New Roman" w:cs="Times New Roman"/>
          <w:color w:val="000000"/>
          <w:sz w:val="24"/>
          <w:szCs w:val="24"/>
        </w:rPr>
        <w:t xml:space="preserve"> </w:t>
      </w:r>
      <w:r w:rsidR="00BB22EA">
        <w:rPr>
          <w:rFonts w:ascii="Times New Roman" w:hAnsi="Times New Roman" w:cs="Times New Roman"/>
          <w:color w:val="000000"/>
          <w:sz w:val="24"/>
          <w:szCs w:val="24"/>
        </w:rPr>
        <w:t xml:space="preserve">safeguards contained in the </w:t>
      </w:r>
      <w:r w:rsidR="00F63D9E">
        <w:rPr>
          <w:rFonts w:ascii="Times New Roman" w:hAnsi="Times New Roman" w:cs="Times New Roman"/>
          <w:color w:val="000000"/>
          <w:sz w:val="24"/>
          <w:szCs w:val="24"/>
        </w:rPr>
        <w:t xml:space="preserve">Protection from Eviction Act </w:t>
      </w:r>
      <w:r w:rsidR="00BB22EA">
        <w:rPr>
          <w:rFonts w:ascii="Times New Roman" w:hAnsi="Times New Roman" w:cs="Times New Roman"/>
          <w:color w:val="000000"/>
          <w:sz w:val="24"/>
          <w:szCs w:val="24"/>
        </w:rPr>
        <w:t xml:space="preserve">1977, the Housing Act 1988 – in particular the requirement for a court order to recover possession and the grounds </w:t>
      </w:r>
      <w:r w:rsidR="00B62119">
        <w:rPr>
          <w:rFonts w:ascii="Times New Roman" w:hAnsi="Times New Roman" w:cs="Times New Roman"/>
          <w:color w:val="000000"/>
          <w:sz w:val="24"/>
          <w:szCs w:val="24"/>
        </w:rPr>
        <w:t xml:space="preserve">for </w:t>
      </w:r>
      <w:r w:rsidR="00BB22EA">
        <w:rPr>
          <w:rFonts w:ascii="Times New Roman" w:hAnsi="Times New Roman" w:cs="Times New Roman"/>
          <w:color w:val="000000"/>
          <w:sz w:val="24"/>
          <w:szCs w:val="24"/>
        </w:rPr>
        <w:t xml:space="preserve">possession - and by section 89 of the Housing Act 1980 which </w:t>
      </w:r>
      <w:r w:rsidR="00AD11C3">
        <w:rPr>
          <w:rFonts w:ascii="Times New Roman" w:hAnsi="Times New Roman" w:cs="Times New Roman"/>
          <w:color w:val="000000"/>
          <w:sz w:val="24"/>
          <w:szCs w:val="24"/>
        </w:rPr>
        <w:t xml:space="preserve">dictates </w:t>
      </w:r>
      <w:r w:rsidR="00B62119">
        <w:rPr>
          <w:rFonts w:ascii="Times New Roman" w:hAnsi="Times New Roman" w:cs="Times New Roman"/>
          <w:color w:val="000000"/>
          <w:sz w:val="24"/>
          <w:szCs w:val="24"/>
        </w:rPr>
        <w:t xml:space="preserve">the </w:t>
      </w:r>
      <w:r w:rsidR="00BB22EA">
        <w:rPr>
          <w:rFonts w:ascii="Times New Roman" w:hAnsi="Times New Roman" w:cs="Times New Roman"/>
          <w:color w:val="000000"/>
          <w:sz w:val="24"/>
          <w:szCs w:val="24"/>
        </w:rPr>
        <w:t>tim</w:t>
      </w:r>
      <w:r w:rsidR="00B62119">
        <w:rPr>
          <w:rFonts w:ascii="Times New Roman" w:hAnsi="Times New Roman" w:cs="Times New Roman"/>
          <w:color w:val="000000"/>
          <w:sz w:val="24"/>
          <w:szCs w:val="24"/>
        </w:rPr>
        <w:t>ing of</w:t>
      </w:r>
      <w:r w:rsidR="00C67574">
        <w:rPr>
          <w:rFonts w:ascii="Times New Roman" w:hAnsi="Times New Roman" w:cs="Times New Roman"/>
          <w:color w:val="000000"/>
          <w:sz w:val="24"/>
          <w:szCs w:val="24"/>
        </w:rPr>
        <w:t xml:space="preserve"> the</w:t>
      </w:r>
      <w:r w:rsidR="00BB22EA">
        <w:rPr>
          <w:rFonts w:ascii="Times New Roman" w:hAnsi="Times New Roman" w:cs="Times New Roman"/>
          <w:color w:val="000000"/>
          <w:sz w:val="24"/>
          <w:szCs w:val="24"/>
        </w:rPr>
        <w:t xml:space="preserve"> execution of </w:t>
      </w:r>
      <w:r w:rsidR="003408E6">
        <w:rPr>
          <w:rFonts w:ascii="Times New Roman" w:hAnsi="Times New Roman" w:cs="Times New Roman"/>
          <w:color w:val="000000"/>
          <w:sz w:val="24"/>
          <w:szCs w:val="24"/>
        </w:rPr>
        <w:t>the</w:t>
      </w:r>
      <w:r w:rsidR="0031549D">
        <w:rPr>
          <w:rFonts w:ascii="Times New Roman" w:hAnsi="Times New Roman" w:cs="Times New Roman"/>
          <w:color w:val="000000"/>
          <w:sz w:val="24"/>
          <w:szCs w:val="24"/>
        </w:rPr>
        <w:t xml:space="preserve"> </w:t>
      </w:r>
      <w:r w:rsidR="00BB22EA">
        <w:rPr>
          <w:rFonts w:ascii="Times New Roman" w:hAnsi="Times New Roman" w:cs="Times New Roman"/>
          <w:color w:val="000000"/>
          <w:sz w:val="24"/>
          <w:szCs w:val="24"/>
        </w:rPr>
        <w:t xml:space="preserve">possession order.  </w:t>
      </w:r>
    </w:p>
    <w:p w:rsidR="00B70B10" w:rsidRDefault="00B70B10" w:rsidP="00D02939">
      <w:pPr>
        <w:autoSpaceDE w:val="0"/>
        <w:autoSpaceDN w:val="0"/>
        <w:adjustRightInd w:val="0"/>
        <w:spacing w:after="0" w:line="240" w:lineRule="auto"/>
        <w:rPr>
          <w:rFonts w:ascii="Times New Roman" w:hAnsi="Times New Roman" w:cs="Times New Roman"/>
          <w:color w:val="000000"/>
          <w:sz w:val="24"/>
          <w:szCs w:val="24"/>
        </w:rPr>
      </w:pPr>
    </w:p>
    <w:p w:rsidR="00DA1C3C" w:rsidRDefault="00C94143" w:rsidP="00D029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Supreme Court </w:t>
      </w:r>
      <w:r w:rsidR="00DF75BB">
        <w:rPr>
          <w:rFonts w:ascii="Times New Roman" w:hAnsi="Times New Roman" w:cs="Times New Roman"/>
          <w:sz w:val="24"/>
          <w:szCs w:val="24"/>
        </w:rPr>
        <w:t xml:space="preserve">accepted </w:t>
      </w:r>
      <w:r>
        <w:rPr>
          <w:rFonts w:ascii="Times New Roman" w:hAnsi="Times New Roman" w:cs="Times New Roman"/>
          <w:sz w:val="24"/>
          <w:szCs w:val="24"/>
        </w:rPr>
        <w:t>that a tenant might challenge the human rights compatibility of th</w:t>
      </w:r>
      <w:r w:rsidR="00B70B10">
        <w:rPr>
          <w:rFonts w:ascii="Times New Roman" w:hAnsi="Times New Roman" w:cs="Times New Roman"/>
          <w:sz w:val="24"/>
          <w:szCs w:val="24"/>
        </w:rPr>
        <w:t>is</w:t>
      </w:r>
      <w:r>
        <w:rPr>
          <w:rFonts w:ascii="Times New Roman" w:hAnsi="Times New Roman" w:cs="Times New Roman"/>
          <w:sz w:val="24"/>
          <w:szCs w:val="24"/>
        </w:rPr>
        <w:t xml:space="preserve"> legislative framework pursuant to section </w:t>
      </w:r>
      <w:r w:rsidR="000E3897">
        <w:rPr>
          <w:rFonts w:ascii="Times New Roman" w:hAnsi="Times New Roman" w:cs="Times New Roman"/>
          <w:sz w:val="24"/>
          <w:szCs w:val="24"/>
        </w:rPr>
        <w:t>3</w:t>
      </w:r>
      <w:r>
        <w:rPr>
          <w:rFonts w:ascii="Times New Roman" w:hAnsi="Times New Roman" w:cs="Times New Roman"/>
          <w:sz w:val="24"/>
          <w:szCs w:val="24"/>
        </w:rPr>
        <w:t xml:space="preserve"> of the HRA 1998, although clearly they felt that this would be inappropriate</w:t>
      </w:r>
      <w:r w:rsidR="00DF75BB" w:rsidRPr="00DF75BB">
        <w:rPr>
          <w:rFonts w:ascii="Times New Roman" w:hAnsi="Times New Roman" w:cs="Times New Roman"/>
          <w:sz w:val="24"/>
          <w:szCs w:val="24"/>
        </w:rPr>
        <w:t xml:space="preserve"> </w:t>
      </w:r>
      <w:r w:rsidR="00DF75BB">
        <w:rPr>
          <w:rFonts w:ascii="Times New Roman" w:hAnsi="Times New Roman" w:cs="Times New Roman"/>
          <w:sz w:val="24"/>
          <w:szCs w:val="24"/>
        </w:rPr>
        <w:t>in the case of section 21(4)</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w:t>
      </w:r>
      <w:r w:rsidR="00F63D9E">
        <w:rPr>
          <w:rFonts w:ascii="Times New Roman" w:hAnsi="Times New Roman" w:cs="Times New Roman"/>
          <w:color w:val="000000"/>
          <w:sz w:val="24"/>
          <w:szCs w:val="24"/>
        </w:rPr>
        <w:t xml:space="preserve">ndeed </w:t>
      </w:r>
      <w:r>
        <w:rPr>
          <w:rFonts w:ascii="Times New Roman" w:hAnsi="Times New Roman" w:cs="Times New Roman"/>
          <w:color w:val="000000"/>
          <w:sz w:val="24"/>
          <w:szCs w:val="24"/>
        </w:rPr>
        <w:t xml:space="preserve">they </w:t>
      </w:r>
      <w:r w:rsidR="00F63D9E">
        <w:rPr>
          <w:rFonts w:ascii="Times New Roman" w:hAnsi="Times New Roman" w:cs="Times New Roman"/>
          <w:color w:val="000000"/>
          <w:sz w:val="24"/>
          <w:szCs w:val="24"/>
        </w:rPr>
        <w:t xml:space="preserve">were at pains to review in some detail the policy that lay behind </w:t>
      </w:r>
      <w:r>
        <w:rPr>
          <w:rFonts w:ascii="Times New Roman" w:hAnsi="Times New Roman" w:cs="Times New Roman"/>
          <w:color w:val="000000"/>
          <w:sz w:val="24"/>
          <w:szCs w:val="24"/>
        </w:rPr>
        <w:t>ASTs</w:t>
      </w:r>
      <w:r w:rsidR="00F63D9E">
        <w:rPr>
          <w:rFonts w:ascii="Times New Roman" w:hAnsi="Times New Roman" w:cs="Times New Roman"/>
          <w:color w:val="000000"/>
          <w:sz w:val="24"/>
          <w:szCs w:val="24"/>
        </w:rPr>
        <w:t xml:space="preserve"> – namely the abandonment of any meaningful security of tenure or rent control within the private </w:t>
      </w:r>
      <w:r w:rsidR="00C67574">
        <w:rPr>
          <w:rFonts w:ascii="Times New Roman" w:hAnsi="Times New Roman" w:cs="Times New Roman"/>
          <w:color w:val="000000"/>
          <w:sz w:val="24"/>
          <w:szCs w:val="24"/>
        </w:rPr>
        <w:t xml:space="preserve">rental </w:t>
      </w:r>
      <w:r w:rsidR="00F63D9E">
        <w:rPr>
          <w:rFonts w:ascii="Times New Roman" w:hAnsi="Times New Roman" w:cs="Times New Roman"/>
          <w:color w:val="000000"/>
          <w:sz w:val="24"/>
          <w:szCs w:val="24"/>
        </w:rPr>
        <w:t xml:space="preserve">sector to encourage </w:t>
      </w:r>
      <w:r w:rsidR="00AF5FDD">
        <w:rPr>
          <w:rFonts w:ascii="Times New Roman" w:hAnsi="Times New Roman" w:cs="Times New Roman"/>
          <w:color w:val="000000"/>
          <w:sz w:val="24"/>
          <w:szCs w:val="24"/>
        </w:rPr>
        <w:t>the supply of private rented accommodation</w:t>
      </w:r>
      <w:r w:rsidR="00F63D9E">
        <w:rPr>
          <w:rFonts w:ascii="Times New Roman" w:hAnsi="Times New Roman" w:cs="Times New Roman"/>
          <w:color w:val="000000"/>
          <w:sz w:val="24"/>
          <w:szCs w:val="24"/>
        </w:rPr>
        <w:t>.</w:t>
      </w:r>
      <w:r w:rsidR="00F63D9E">
        <w:rPr>
          <w:rStyle w:val="FootnoteReference"/>
          <w:rFonts w:ascii="Times New Roman" w:hAnsi="Times New Roman" w:cs="Times New Roman"/>
          <w:color w:val="000000"/>
          <w:sz w:val="24"/>
          <w:szCs w:val="24"/>
        </w:rPr>
        <w:footnoteReference w:id="10"/>
      </w:r>
      <w:r w:rsidR="00DA1C3C">
        <w:rPr>
          <w:rFonts w:ascii="Times New Roman" w:hAnsi="Times New Roman" w:cs="Times New Roman"/>
          <w:color w:val="000000"/>
          <w:sz w:val="24"/>
          <w:szCs w:val="24"/>
        </w:rPr>
        <w:t xml:space="preserve">  </w:t>
      </w:r>
    </w:p>
    <w:p w:rsidR="004D4B70" w:rsidRDefault="004D4B70" w:rsidP="00D02939">
      <w:pPr>
        <w:autoSpaceDE w:val="0"/>
        <w:autoSpaceDN w:val="0"/>
        <w:adjustRightInd w:val="0"/>
        <w:spacing w:after="0" w:line="240" w:lineRule="auto"/>
        <w:rPr>
          <w:rFonts w:ascii="Times New Roman" w:hAnsi="Times New Roman" w:cs="Times New Roman"/>
          <w:color w:val="000000"/>
          <w:sz w:val="24"/>
          <w:szCs w:val="24"/>
        </w:rPr>
      </w:pPr>
    </w:p>
    <w:p w:rsidR="00A7667D" w:rsidRDefault="00D50099" w:rsidP="00562C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remaining element of the court’s duties under the HRA 1998 looked to the court’s duty under section 2 to take account of Strasbourg case law. As the Court of Appeal before them, the Supreme Court </w:t>
      </w:r>
      <w:r w:rsidR="004D4B70">
        <w:rPr>
          <w:rFonts w:ascii="Times New Roman" w:hAnsi="Times New Roman" w:cs="Times New Roman"/>
          <w:color w:val="000000"/>
          <w:sz w:val="24"/>
          <w:szCs w:val="24"/>
        </w:rPr>
        <w:t>concluded that there was not yet “clear and authoritative guidance”</w:t>
      </w:r>
      <w:r w:rsidR="004D4B70">
        <w:rPr>
          <w:rStyle w:val="FootnoteReference"/>
          <w:rFonts w:ascii="Times New Roman" w:hAnsi="Times New Roman" w:cs="Times New Roman"/>
          <w:color w:val="000000"/>
          <w:sz w:val="24"/>
          <w:szCs w:val="24"/>
        </w:rPr>
        <w:footnoteReference w:id="11"/>
      </w:r>
      <w:r w:rsidR="004D4B70">
        <w:rPr>
          <w:rFonts w:ascii="Times New Roman" w:hAnsi="Times New Roman" w:cs="Times New Roman"/>
          <w:color w:val="000000"/>
          <w:sz w:val="24"/>
          <w:szCs w:val="24"/>
        </w:rPr>
        <w:t xml:space="preserve"> dictating </w:t>
      </w:r>
      <w:r w:rsidR="00A7667D">
        <w:rPr>
          <w:rFonts w:ascii="Times New Roman" w:hAnsi="Times New Roman" w:cs="Times New Roman"/>
          <w:color w:val="000000"/>
          <w:sz w:val="24"/>
          <w:szCs w:val="24"/>
        </w:rPr>
        <w:t xml:space="preserve">a </w:t>
      </w:r>
      <w:r w:rsidR="004D4B70">
        <w:rPr>
          <w:rFonts w:ascii="Times New Roman" w:hAnsi="Times New Roman" w:cs="Times New Roman"/>
          <w:color w:val="000000"/>
          <w:sz w:val="24"/>
          <w:szCs w:val="24"/>
        </w:rPr>
        <w:t>consideration of proportionality in repossession proceedings of the home by a private landlord.</w:t>
      </w:r>
      <w:r w:rsidR="004D4B70">
        <w:rPr>
          <w:rStyle w:val="FootnoteReference"/>
          <w:rFonts w:ascii="Times New Roman" w:hAnsi="Times New Roman" w:cs="Times New Roman"/>
          <w:color w:val="000000"/>
          <w:sz w:val="24"/>
          <w:szCs w:val="24"/>
        </w:rPr>
        <w:footnoteReference w:id="12"/>
      </w:r>
      <w:r w:rsidR="004D4B70">
        <w:rPr>
          <w:rFonts w:ascii="Times New Roman" w:hAnsi="Times New Roman" w:cs="Times New Roman"/>
          <w:color w:val="000000"/>
          <w:sz w:val="24"/>
          <w:szCs w:val="24"/>
        </w:rPr>
        <w:t xml:space="preserve"> </w:t>
      </w:r>
    </w:p>
    <w:p w:rsidR="0078075E" w:rsidRDefault="0078075E">
      <w:pPr>
        <w:autoSpaceDE w:val="0"/>
        <w:autoSpaceDN w:val="0"/>
        <w:adjustRightInd w:val="0"/>
        <w:spacing w:after="0" w:line="240" w:lineRule="auto"/>
        <w:rPr>
          <w:rFonts w:ascii="Times New Roman" w:hAnsi="Times New Roman" w:cs="Times New Roman"/>
          <w:sz w:val="24"/>
          <w:szCs w:val="24"/>
        </w:rPr>
      </w:pPr>
    </w:p>
    <w:p w:rsidR="0078075E" w:rsidRDefault="0078075E" w:rsidP="007807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was not strictly necessary for the court to go onto consider the second or third issues, both of which depend</w:t>
      </w:r>
      <w:r w:rsidR="00991372">
        <w:rPr>
          <w:rFonts w:ascii="Times New Roman" w:hAnsi="Times New Roman" w:cs="Times New Roman"/>
          <w:sz w:val="24"/>
          <w:szCs w:val="24"/>
        </w:rPr>
        <w:t>ed</w:t>
      </w:r>
      <w:r>
        <w:rPr>
          <w:rFonts w:ascii="Times New Roman" w:hAnsi="Times New Roman" w:cs="Times New Roman"/>
          <w:sz w:val="24"/>
          <w:szCs w:val="24"/>
        </w:rPr>
        <w:t xml:space="preserve"> on a finding in Fiona’s favour on the </w:t>
      </w:r>
      <w:r w:rsidR="00F3483E">
        <w:rPr>
          <w:rFonts w:ascii="Times New Roman" w:hAnsi="Times New Roman" w:cs="Times New Roman"/>
          <w:sz w:val="24"/>
          <w:szCs w:val="24"/>
        </w:rPr>
        <w:t>previous</w:t>
      </w:r>
      <w:r>
        <w:rPr>
          <w:rFonts w:ascii="Times New Roman" w:hAnsi="Times New Roman" w:cs="Times New Roman"/>
          <w:sz w:val="24"/>
          <w:szCs w:val="24"/>
        </w:rPr>
        <w:t xml:space="preserve"> issue</w:t>
      </w:r>
      <w:r w:rsidR="00F3483E">
        <w:rPr>
          <w:rFonts w:ascii="Times New Roman" w:hAnsi="Times New Roman" w:cs="Times New Roman"/>
          <w:sz w:val="24"/>
          <w:szCs w:val="24"/>
        </w:rPr>
        <w:t>. However, given the</w:t>
      </w:r>
      <w:r w:rsidR="00150303">
        <w:rPr>
          <w:rFonts w:ascii="Times New Roman" w:hAnsi="Times New Roman" w:cs="Times New Roman"/>
          <w:sz w:val="24"/>
          <w:szCs w:val="24"/>
        </w:rPr>
        <w:t>ir</w:t>
      </w:r>
      <w:r w:rsidR="00F3483E">
        <w:rPr>
          <w:rFonts w:ascii="Times New Roman" w:hAnsi="Times New Roman" w:cs="Times New Roman"/>
          <w:sz w:val="24"/>
          <w:szCs w:val="24"/>
        </w:rPr>
        <w:t xml:space="preserve"> importance in </w:t>
      </w:r>
      <w:r w:rsidR="00991372">
        <w:rPr>
          <w:rFonts w:ascii="Times New Roman" w:hAnsi="Times New Roman" w:cs="Times New Roman"/>
          <w:sz w:val="24"/>
          <w:szCs w:val="24"/>
        </w:rPr>
        <w:t>the</w:t>
      </w:r>
      <w:r w:rsidR="00F3483E">
        <w:rPr>
          <w:rFonts w:ascii="Times New Roman" w:hAnsi="Times New Roman" w:cs="Times New Roman"/>
          <w:sz w:val="24"/>
          <w:szCs w:val="24"/>
        </w:rPr>
        <w:t xml:space="preserve"> wider context,</w:t>
      </w:r>
      <w:r w:rsidR="0031549D">
        <w:rPr>
          <w:rFonts w:ascii="Times New Roman" w:hAnsi="Times New Roman" w:cs="Times New Roman"/>
          <w:sz w:val="24"/>
          <w:szCs w:val="24"/>
        </w:rPr>
        <w:t xml:space="preserve"> the Supreme Court</w:t>
      </w:r>
      <w:r>
        <w:rPr>
          <w:rFonts w:ascii="Times New Roman" w:hAnsi="Times New Roman" w:cs="Times New Roman"/>
          <w:sz w:val="24"/>
          <w:szCs w:val="24"/>
        </w:rPr>
        <w:t xml:space="preserve"> did express their obiter opinion. </w:t>
      </w:r>
    </w:p>
    <w:p w:rsidR="0078075E" w:rsidRDefault="0078075E" w:rsidP="0078075E">
      <w:pPr>
        <w:autoSpaceDE w:val="0"/>
        <w:autoSpaceDN w:val="0"/>
        <w:adjustRightInd w:val="0"/>
        <w:spacing w:after="0" w:line="240" w:lineRule="auto"/>
        <w:rPr>
          <w:rFonts w:ascii="Times New Roman" w:hAnsi="Times New Roman" w:cs="Times New Roman"/>
          <w:sz w:val="24"/>
          <w:szCs w:val="24"/>
        </w:rPr>
      </w:pPr>
    </w:p>
    <w:p w:rsidR="0078075E" w:rsidRDefault="0078075E" w:rsidP="007807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Second Issue</w:t>
      </w:r>
    </w:p>
    <w:p w:rsidR="0078075E" w:rsidRDefault="0078075E">
      <w:pPr>
        <w:autoSpaceDE w:val="0"/>
        <w:autoSpaceDN w:val="0"/>
        <w:adjustRightInd w:val="0"/>
        <w:spacing w:after="0" w:line="240" w:lineRule="auto"/>
        <w:rPr>
          <w:rFonts w:ascii="Times New Roman" w:hAnsi="Times New Roman" w:cs="Times New Roman"/>
          <w:sz w:val="24"/>
          <w:szCs w:val="24"/>
        </w:rPr>
      </w:pPr>
    </w:p>
    <w:p w:rsidR="004B5D84" w:rsidRDefault="00F3483E" w:rsidP="004511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second issue concerned the court’s duties under section 3 and its interface with section 4 of the HRA 1998. Section 3 requires a court so far as it is able to interpret legislation in a human rights compatible manner. If they are unable to do so then section 4 enables the court to issue a</w:t>
      </w:r>
      <w:r w:rsidR="00150303">
        <w:rPr>
          <w:rFonts w:ascii="Times New Roman" w:hAnsi="Times New Roman" w:cs="Times New Roman"/>
          <w:sz w:val="24"/>
          <w:szCs w:val="24"/>
        </w:rPr>
        <w:t xml:space="preserve"> </w:t>
      </w:r>
      <w:r w:rsidR="00B01AA7">
        <w:rPr>
          <w:rFonts w:ascii="Times New Roman" w:hAnsi="Times New Roman" w:cs="Times New Roman"/>
          <w:sz w:val="24"/>
          <w:szCs w:val="24"/>
        </w:rPr>
        <w:t xml:space="preserve">declaration </w:t>
      </w:r>
      <w:r w:rsidR="00150303">
        <w:rPr>
          <w:rFonts w:ascii="Times New Roman" w:hAnsi="Times New Roman" w:cs="Times New Roman"/>
          <w:sz w:val="24"/>
          <w:szCs w:val="24"/>
        </w:rPr>
        <w:t xml:space="preserve">of incompatibility </w:t>
      </w:r>
      <w:r>
        <w:rPr>
          <w:rFonts w:ascii="Times New Roman" w:hAnsi="Times New Roman" w:cs="Times New Roman"/>
          <w:sz w:val="24"/>
          <w:szCs w:val="24"/>
        </w:rPr>
        <w:t xml:space="preserve">signally </w:t>
      </w:r>
      <w:r w:rsidR="00B01AA7">
        <w:rPr>
          <w:rFonts w:ascii="Times New Roman" w:hAnsi="Times New Roman" w:cs="Times New Roman"/>
          <w:sz w:val="24"/>
          <w:szCs w:val="24"/>
        </w:rPr>
        <w:t xml:space="preserve">that </w:t>
      </w:r>
      <w:r>
        <w:rPr>
          <w:rFonts w:ascii="Times New Roman" w:hAnsi="Times New Roman" w:cs="Times New Roman"/>
          <w:sz w:val="24"/>
          <w:szCs w:val="24"/>
        </w:rPr>
        <w:t xml:space="preserve">Parliament </w:t>
      </w:r>
      <w:r w:rsidR="00B01AA7">
        <w:rPr>
          <w:rFonts w:ascii="Times New Roman" w:hAnsi="Times New Roman" w:cs="Times New Roman"/>
          <w:sz w:val="24"/>
          <w:szCs w:val="24"/>
        </w:rPr>
        <w:t xml:space="preserve">may wish to consider the </w:t>
      </w:r>
      <w:r>
        <w:rPr>
          <w:rFonts w:ascii="Times New Roman" w:hAnsi="Times New Roman" w:cs="Times New Roman"/>
          <w:sz w:val="24"/>
          <w:szCs w:val="24"/>
        </w:rPr>
        <w:t>amendment</w:t>
      </w:r>
      <w:r w:rsidR="0031549D">
        <w:rPr>
          <w:rFonts w:ascii="Times New Roman" w:hAnsi="Times New Roman" w:cs="Times New Roman"/>
          <w:sz w:val="24"/>
          <w:szCs w:val="24"/>
        </w:rPr>
        <w:t xml:space="preserve"> or repeal</w:t>
      </w:r>
      <w:r>
        <w:rPr>
          <w:rFonts w:ascii="Times New Roman" w:hAnsi="Times New Roman" w:cs="Times New Roman"/>
          <w:sz w:val="24"/>
          <w:szCs w:val="24"/>
        </w:rPr>
        <w:t xml:space="preserve"> of the offending legislation. </w:t>
      </w:r>
    </w:p>
    <w:p w:rsidR="004B5D84" w:rsidRDefault="004B5D84" w:rsidP="004511EB">
      <w:pPr>
        <w:autoSpaceDE w:val="0"/>
        <w:autoSpaceDN w:val="0"/>
        <w:adjustRightInd w:val="0"/>
        <w:spacing w:after="0" w:line="240" w:lineRule="auto"/>
        <w:rPr>
          <w:rFonts w:ascii="Times New Roman" w:hAnsi="Times New Roman" w:cs="Times New Roman"/>
          <w:sz w:val="24"/>
          <w:szCs w:val="24"/>
        </w:rPr>
      </w:pPr>
    </w:p>
    <w:p w:rsidR="00150303" w:rsidRDefault="004511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Fiona had succeeded on the first issue, her counsel maintained that the court, in pursuance of their section 3 duty, could read into the mandatory terms of section 21(4) </w:t>
      </w:r>
      <w:proofErr w:type="gramStart"/>
      <w:r>
        <w:rPr>
          <w:rFonts w:ascii="Times New Roman" w:hAnsi="Times New Roman" w:cs="Times New Roman"/>
          <w:sz w:val="24"/>
          <w:szCs w:val="24"/>
        </w:rPr>
        <w:t>a</w:t>
      </w:r>
      <w:r w:rsidR="00DF75BB">
        <w:rPr>
          <w:rFonts w:ascii="Times New Roman" w:hAnsi="Times New Roman" w:cs="Times New Roman"/>
          <w:sz w:val="24"/>
          <w:szCs w:val="24"/>
        </w:rPr>
        <w:t xml:space="preserve"> </w:t>
      </w:r>
      <w:r>
        <w:rPr>
          <w:rFonts w:ascii="Times New Roman" w:hAnsi="Times New Roman" w:cs="Times New Roman"/>
          <w:sz w:val="24"/>
          <w:szCs w:val="24"/>
        </w:rPr>
        <w:t>discretion</w:t>
      </w:r>
      <w:proofErr w:type="gramEnd"/>
      <w:r>
        <w:rPr>
          <w:rFonts w:ascii="Times New Roman" w:hAnsi="Times New Roman" w:cs="Times New Roman"/>
          <w:sz w:val="24"/>
          <w:szCs w:val="24"/>
        </w:rPr>
        <w:t xml:space="preserve"> for the court to consider the proportionality of the possession order. The Supreme Court had achieved compatibility of the relevant statutory provisions in both </w:t>
      </w:r>
      <w:proofErr w:type="spellStart"/>
      <w:r>
        <w:rPr>
          <w:rFonts w:ascii="Times New Roman" w:hAnsi="Times New Roman" w:cs="Times New Roman"/>
          <w:i/>
          <w:sz w:val="24"/>
          <w:szCs w:val="24"/>
        </w:rPr>
        <w:t>Pinnock</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 xml:space="preserve">Powell </w:t>
      </w:r>
      <w:r w:rsidR="0031549D">
        <w:rPr>
          <w:rFonts w:ascii="Times New Roman" w:hAnsi="Times New Roman" w:cs="Times New Roman"/>
          <w:sz w:val="24"/>
          <w:szCs w:val="24"/>
        </w:rPr>
        <w:t>in</w:t>
      </w:r>
      <w:r>
        <w:rPr>
          <w:rFonts w:ascii="Times New Roman" w:hAnsi="Times New Roman" w:cs="Times New Roman"/>
          <w:sz w:val="24"/>
          <w:szCs w:val="24"/>
        </w:rPr>
        <w:t xml:space="preserve"> this </w:t>
      </w:r>
      <w:r w:rsidR="0031549D">
        <w:rPr>
          <w:rFonts w:ascii="Times New Roman" w:hAnsi="Times New Roman" w:cs="Times New Roman"/>
          <w:sz w:val="24"/>
          <w:szCs w:val="24"/>
        </w:rPr>
        <w:t>way</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EE769C">
        <w:rPr>
          <w:rFonts w:ascii="Times New Roman" w:hAnsi="Times New Roman" w:cs="Times New Roman"/>
          <w:sz w:val="24"/>
          <w:szCs w:val="24"/>
        </w:rPr>
        <w:t>Although t</w:t>
      </w:r>
      <w:r w:rsidR="004D73A1">
        <w:rPr>
          <w:rFonts w:ascii="Times New Roman" w:hAnsi="Times New Roman" w:cs="Times New Roman"/>
          <w:sz w:val="24"/>
          <w:szCs w:val="24"/>
        </w:rPr>
        <w:t>he Supreme Court was initially attracted by the analogy</w:t>
      </w:r>
      <w:r w:rsidR="00E25F23">
        <w:rPr>
          <w:rFonts w:ascii="Times New Roman" w:hAnsi="Times New Roman" w:cs="Times New Roman"/>
          <w:sz w:val="24"/>
          <w:szCs w:val="24"/>
        </w:rPr>
        <w:t>,</w:t>
      </w:r>
      <w:r w:rsidR="004D73A1">
        <w:rPr>
          <w:rFonts w:ascii="Times New Roman" w:hAnsi="Times New Roman" w:cs="Times New Roman"/>
          <w:sz w:val="24"/>
          <w:szCs w:val="24"/>
        </w:rPr>
        <w:t xml:space="preserve"> </w:t>
      </w:r>
      <w:r w:rsidR="00EE769C">
        <w:rPr>
          <w:rFonts w:ascii="Times New Roman" w:hAnsi="Times New Roman" w:cs="Times New Roman"/>
          <w:sz w:val="24"/>
          <w:szCs w:val="24"/>
        </w:rPr>
        <w:t xml:space="preserve">they </w:t>
      </w:r>
      <w:r w:rsidR="004D73A1">
        <w:rPr>
          <w:rFonts w:ascii="Times New Roman" w:hAnsi="Times New Roman" w:cs="Times New Roman"/>
          <w:sz w:val="24"/>
          <w:szCs w:val="24"/>
        </w:rPr>
        <w:t xml:space="preserve">decided there were cogent reasons why </w:t>
      </w:r>
      <w:r w:rsidR="00E25F23">
        <w:rPr>
          <w:rFonts w:ascii="Times New Roman" w:hAnsi="Times New Roman" w:cs="Times New Roman"/>
          <w:sz w:val="24"/>
          <w:szCs w:val="24"/>
        </w:rPr>
        <w:t xml:space="preserve">section 3 </w:t>
      </w:r>
      <w:r w:rsidR="004B5D84">
        <w:rPr>
          <w:rFonts w:ascii="Times New Roman" w:hAnsi="Times New Roman" w:cs="Times New Roman"/>
          <w:sz w:val="24"/>
          <w:szCs w:val="24"/>
        </w:rPr>
        <w:t>c</w:t>
      </w:r>
      <w:r w:rsidR="00E25F23">
        <w:rPr>
          <w:rFonts w:ascii="Times New Roman" w:hAnsi="Times New Roman" w:cs="Times New Roman"/>
          <w:sz w:val="24"/>
          <w:szCs w:val="24"/>
        </w:rPr>
        <w:t>ould not be employed</w:t>
      </w:r>
      <w:r w:rsidR="004D73A1">
        <w:rPr>
          <w:rFonts w:ascii="Times New Roman" w:hAnsi="Times New Roman" w:cs="Times New Roman"/>
          <w:sz w:val="24"/>
          <w:szCs w:val="24"/>
        </w:rPr>
        <w:t xml:space="preserve">. </w:t>
      </w:r>
      <w:r w:rsidR="00741E0C">
        <w:rPr>
          <w:rFonts w:ascii="Times New Roman" w:hAnsi="Times New Roman" w:cs="Times New Roman"/>
          <w:sz w:val="24"/>
          <w:szCs w:val="24"/>
        </w:rPr>
        <w:t xml:space="preserve">They repeated the distinction that had been made in </w:t>
      </w:r>
      <w:proofErr w:type="spellStart"/>
      <w:r w:rsidR="00741E0C">
        <w:rPr>
          <w:rFonts w:ascii="Times New Roman" w:hAnsi="Times New Roman" w:cs="Times New Roman"/>
          <w:i/>
          <w:sz w:val="24"/>
          <w:szCs w:val="24"/>
        </w:rPr>
        <w:t>Ghaidan</w:t>
      </w:r>
      <w:proofErr w:type="spellEnd"/>
      <w:r w:rsidR="00741E0C">
        <w:rPr>
          <w:rFonts w:ascii="Times New Roman" w:hAnsi="Times New Roman" w:cs="Times New Roman"/>
          <w:i/>
          <w:sz w:val="24"/>
          <w:szCs w:val="24"/>
        </w:rPr>
        <w:t xml:space="preserve"> v </w:t>
      </w:r>
      <w:proofErr w:type="spellStart"/>
      <w:r w:rsidR="00741E0C">
        <w:rPr>
          <w:rFonts w:ascii="Times New Roman" w:hAnsi="Times New Roman" w:cs="Times New Roman"/>
          <w:i/>
          <w:sz w:val="24"/>
          <w:szCs w:val="24"/>
        </w:rPr>
        <w:t>Godin</w:t>
      </w:r>
      <w:proofErr w:type="spellEnd"/>
      <w:r w:rsidR="00741E0C">
        <w:rPr>
          <w:rFonts w:ascii="Times New Roman" w:hAnsi="Times New Roman" w:cs="Times New Roman"/>
          <w:i/>
          <w:sz w:val="24"/>
          <w:szCs w:val="24"/>
        </w:rPr>
        <w:t xml:space="preserve">-Mendoza </w:t>
      </w:r>
      <w:r w:rsidR="00741E0C" w:rsidRPr="004B5D84">
        <w:rPr>
          <w:rStyle w:val="FootnoteReference"/>
          <w:rFonts w:ascii="Times New Roman" w:hAnsi="Times New Roman" w:cs="Times New Roman"/>
          <w:sz w:val="24"/>
          <w:szCs w:val="24"/>
        </w:rPr>
        <w:footnoteReference w:id="13"/>
      </w:r>
      <w:r w:rsidR="00741E0C" w:rsidRPr="004B5D84">
        <w:rPr>
          <w:rFonts w:ascii="Times New Roman" w:hAnsi="Times New Roman" w:cs="Times New Roman"/>
          <w:sz w:val="24"/>
          <w:szCs w:val="24"/>
        </w:rPr>
        <w:t xml:space="preserve"> </w:t>
      </w:r>
      <w:r w:rsidR="00741E0C">
        <w:rPr>
          <w:rFonts w:ascii="Times New Roman" w:hAnsi="Times New Roman" w:cs="Times New Roman"/>
          <w:sz w:val="24"/>
          <w:szCs w:val="24"/>
        </w:rPr>
        <w:t xml:space="preserve">between interpretation and amendment. The former is for the courts and the latter for Parliament.  Although on occasions the line </w:t>
      </w:r>
      <w:r w:rsidR="0031549D">
        <w:rPr>
          <w:rFonts w:ascii="Times New Roman" w:hAnsi="Times New Roman" w:cs="Times New Roman"/>
          <w:sz w:val="24"/>
          <w:szCs w:val="24"/>
        </w:rPr>
        <w:t xml:space="preserve">between interpretation and amendment </w:t>
      </w:r>
      <w:r w:rsidR="00741E0C">
        <w:rPr>
          <w:rFonts w:ascii="Times New Roman" w:hAnsi="Times New Roman" w:cs="Times New Roman"/>
          <w:sz w:val="24"/>
          <w:szCs w:val="24"/>
        </w:rPr>
        <w:t xml:space="preserve">may be fine, in the case of section 21(4) the Supreme Court </w:t>
      </w:r>
      <w:r w:rsidR="00741E0C">
        <w:rPr>
          <w:rFonts w:ascii="Times New Roman" w:hAnsi="Times New Roman" w:cs="Times New Roman"/>
          <w:sz w:val="24"/>
          <w:szCs w:val="24"/>
        </w:rPr>
        <w:lastRenderedPageBreak/>
        <w:t xml:space="preserve">felt that reading in a requirement for proportionality would run </w:t>
      </w:r>
      <w:r w:rsidR="0031549D">
        <w:rPr>
          <w:rFonts w:ascii="Times New Roman" w:hAnsi="Times New Roman" w:cs="Times New Roman"/>
          <w:sz w:val="24"/>
          <w:szCs w:val="24"/>
        </w:rPr>
        <w:t xml:space="preserve">so </w:t>
      </w:r>
      <w:r w:rsidR="00741E0C">
        <w:rPr>
          <w:rFonts w:ascii="Times New Roman" w:hAnsi="Times New Roman" w:cs="Times New Roman"/>
          <w:sz w:val="24"/>
          <w:szCs w:val="24"/>
        </w:rPr>
        <w:t>counter to the scheme of the legislative policy governing private sector tenancies</w:t>
      </w:r>
      <w:r w:rsidR="0031549D">
        <w:rPr>
          <w:rFonts w:ascii="Times New Roman" w:hAnsi="Times New Roman" w:cs="Times New Roman"/>
          <w:sz w:val="24"/>
          <w:szCs w:val="24"/>
        </w:rPr>
        <w:t xml:space="preserve"> that it would amount to amendment</w:t>
      </w:r>
      <w:r w:rsidR="00741E0C">
        <w:rPr>
          <w:rFonts w:ascii="Times New Roman" w:hAnsi="Times New Roman" w:cs="Times New Roman"/>
          <w:sz w:val="24"/>
          <w:szCs w:val="24"/>
        </w:rPr>
        <w:t xml:space="preserve">. </w:t>
      </w:r>
    </w:p>
    <w:p w:rsidR="00804EC7" w:rsidRDefault="00804EC7">
      <w:pPr>
        <w:autoSpaceDE w:val="0"/>
        <w:autoSpaceDN w:val="0"/>
        <w:adjustRightInd w:val="0"/>
        <w:spacing w:after="0" w:line="240" w:lineRule="auto"/>
        <w:rPr>
          <w:rFonts w:ascii="Times New Roman" w:hAnsi="Times New Roman" w:cs="Times New Roman"/>
          <w:sz w:val="24"/>
          <w:szCs w:val="24"/>
        </w:rPr>
      </w:pPr>
    </w:p>
    <w:p w:rsidR="00735B0E" w:rsidRPr="00735B0E" w:rsidRDefault="003154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Supreme Court also drew three interlinked reasons why possession proceedings by public and private landlords</w:t>
      </w:r>
      <w:r w:rsidR="00DF75BB">
        <w:rPr>
          <w:rFonts w:ascii="Times New Roman" w:hAnsi="Times New Roman" w:cs="Times New Roman"/>
          <w:sz w:val="24"/>
          <w:szCs w:val="24"/>
        </w:rPr>
        <w:t xml:space="preserve"> can be distinguished</w:t>
      </w:r>
      <w:r>
        <w:rPr>
          <w:rFonts w:ascii="Times New Roman" w:hAnsi="Times New Roman" w:cs="Times New Roman"/>
          <w:sz w:val="24"/>
          <w:szCs w:val="24"/>
        </w:rPr>
        <w:t>.</w:t>
      </w:r>
      <w:r w:rsidRPr="000F795E">
        <w:rPr>
          <w:rFonts w:ascii="Times New Roman" w:hAnsi="Times New Roman" w:cs="Times New Roman"/>
          <w:sz w:val="24"/>
          <w:szCs w:val="24"/>
        </w:rPr>
        <w:t xml:space="preserve"> </w:t>
      </w:r>
      <w:r w:rsidR="004D73A1">
        <w:rPr>
          <w:rFonts w:ascii="Times New Roman" w:hAnsi="Times New Roman" w:cs="Times New Roman"/>
          <w:sz w:val="24"/>
          <w:szCs w:val="24"/>
        </w:rPr>
        <w:t xml:space="preserve">First, a public authority’s decisions are subject to public law scrutiny in particular the duty to act reasonably. A private landlord is not subject to </w:t>
      </w:r>
      <w:r w:rsidR="004B5D84">
        <w:rPr>
          <w:rFonts w:ascii="Times New Roman" w:hAnsi="Times New Roman" w:cs="Times New Roman"/>
          <w:sz w:val="24"/>
          <w:szCs w:val="24"/>
        </w:rPr>
        <w:t>the same</w:t>
      </w:r>
      <w:r w:rsidR="004D73A1">
        <w:rPr>
          <w:rFonts w:ascii="Times New Roman" w:hAnsi="Times New Roman" w:cs="Times New Roman"/>
          <w:sz w:val="24"/>
          <w:szCs w:val="24"/>
        </w:rPr>
        <w:t xml:space="preserve"> constrains – he or she can </w:t>
      </w:r>
      <w:r w:rsidR="004B5D84">
        <w:rPr>
          <w:rFonts w:ascii="Times New Roman" w:hAnsi="Times New Roman" w:cs="Times New Roman"/>
          <w:sz w:val="24"/>
          <w:szCs w:val="24"/>
        </w:rPr>
        <w:t xml:space="preserve">generally </w:t>
      </w:r>
      <w:r w:rsidR="00150303">
        <w:rPr>
          <w:rFonts w:ascii="Times New Roman" w:hAnsi="Times New Roman" w:cs="Times New Roman"/>
          <w:sz w:val="24"/>
          <w:szCs w:val="24"/>
        </w:rPr>
        <w:t xml:space="preserve">exercise </w:t>
      </w:r>
      <w:r w:rsidR="004D73A1">
        <w:rPr>
          <w:rFonts w:ascii="Times New Roman" w:hAnsi="Times New Roman" w:cs="Times New Roman"/>
          <w:sz w:val="24"/>
          <w:szCs w:val="24"/>
        </w:rPr>
        <w:t>their legal rights recover possession as they like.</w:t>
      </w:r>
      <w:r w:rsidR="004D73A1">
        <w:rPr>
          <w:rStyle w:val="FootnoteReference"/>
          <w:rFonts w:ascii="Times New Roman" w:hAnsi="Times New Roman" w:cs="Times New Roman"/>
          <w:sz w:val="24"/>
          <w:szCs w:val="24"/>
        </w:rPr>
        <w:footnoteReference w:id="14"/>
      </w:r>
      <w:r w:rsidR="004B5D84">
        <w:rPr>
          <w:rFonts w:ascii="Times New Roman" w:hAnsi="Times New Roman" w:cs="Times New Roman"/>
          <w:sz w:val="24"/>
          <w:szCs w:val="24"/>
        </w:rPr>
        <w:t xml:space="preserve"> </w:t>
      </w:r>
      <w:r w:rsidR="00FD196B">
        <w:rPr>
          <w:rFonts w:ascii="Times New Roman" w:hAnsi="Times New Roman" w:cs="Times New Roman"/>
          <w:sz w:val="24"/>
          <w:szCs w:val="24"/>
        </w:rPr>
        <w:t xml:space="preserve">There are </w:t>
      </w:r>
      <w:r w:rsidR="00DF75BB">
        <w:rPr>
          <w:rFonts w:ascii="Times New Roman" w:hAnsi="Times New Roman" w:cs="Times New Roman"/>
          <w:sz w:val="24"/>
          <w:szCs w:val="24"/>
        </w:rPr>
        <w:t xml:space="preserve">only limited </w:t>
      </w:r>
      <w:r w:rsidR="00FD196B">
        <w:rPr>
          <w:rFonts w:ascii="Times New Roman" w:hAnsi="Times New Roman" w:cs="Times New Roman"/>
          <w:sz w:val="24"/>
          <w:szCs w:val="24"/>
        </w:rPr>
        <w:t>constraints.</w:t>
      </w:r>
      <w:r w:rsidR="00DF75BB">
        <w:rPr>
          <w:rStyle w:val="FootnoteReference"/>
          <w:rFonts w:ascii="Times New Roman" w:hAnsi="Times New Roman" w:cs="Times New Roman"/>
          <w:sz w:val="24"/>
          <w:szCs w:val="24"/>
        </w:rPr>
        <w:footnoteReference w:id="15"/>
      </w:r>
      <w:r w:rsidR="00FD196B">
        <w:rPr>
          <w:rFonts w:ascii="Times New Roman" w:hAnsi="Times New Roman" w:cs="Times New Roman"/>
          <w:sz w:val="24"/>
          <w:szCs w:val="24"/>
        </w:rPr>
        <w:t xml:space="preserve"> </w:t>
      </w:r>
      <w:r w:rsidR="004D73A1">
        <w:rPr>
          <w:rFonts w:ascii="Times New Roman" w:hAnsi="Times New Roman" w:cs="Times New Roman"/>
          <w:sz w:val="24"/>
          <w:szCs w:val="24"/>
        </w:rPr>
        <w:t xml:space="preserve">Secondly, </w:t>
      </w:r>
      <w:r w:rsidR="00150303">
        <w:rPr>
          <w:rFonts w:ascii="Times New Roman" w:hAnsi="Times New Roman" w:cs="Times New Roman"/>
          <w:sz w:val="24"/>
          <w:szCs w:val="24"/>
        </w:rPr>
        <w:t xml:space="preserve">the court characterised </w:t>
      </w:r>
      <w:r w:rsidR="00735B0E">
        <w:rPr>
          <w:rFonts w:ascii="Times New Roman" w:hAnsi="Times New Roman" w:cs="Times New Roman"/>
          <w:sz w:val="24"/>
          <w:szCs w:val="24"/>
        </w:rPr>
        <w:t xml:space="preserve">the </w:t>
      </w:r>
      <w:r w:rsidR="000F795E">
        <w:rPr>
          <w:rFonts w:ascii="Times New Roman" w:hAnsi="Times New Roman" w:cs="Times New Roman"/>
          <w:sz w:val="24"/>
          <w:szCs w:val="24"/>
        </w:rPr>
        <w:t xml:space="preserve">statutory grounds </w:t>
      </w:r>
      <w:r w:rsidR="00735B0E">
        <w:rPr>
          <w:rFonts w:ascii="Times New Roman" w:hAnsi="Times New Roman" w:cs="Times New Roman"/>
          <w:sz w:val="24"/>
          <w:szCs w:val="24"/>
        </w:rPr>
        <w:t xml:space="preserve">at issue in </w:t>
      </w:r>
      <w:proofErr w:type="spellStart"/>
      <w:r w:rsidR="00735B0E">
        <w:rPr>
          <w:rFonts w:ascii="Times New Roman" w:hAnsi="Times New Roman" w:cs="Times New Roman"/>
          <w:i/>
          <w:sz w:val="24"/>
          <w:szCs w:val="24"/>
        </w:rPr>
        <w:t>Pinnock</w:t>
      </w:r>
      <w:proofErr w:type="spellEnd"/>
      <w:r w:rsidR="00735B0E">
        <w:rPr>
          <w:rFonts w:ascii="Times New Roman" w:hAnsi="Times New Roman" w:cs="Times New Roman"/>
          <w:sz w:val="24"/>
          <w:szCs w:val="24"/>
        </w:rPr>
        <w:t xml:space="preserve"> and </w:t>
      </w:r>
      <w:r w:rsidR="00735B0E">
        <w:rPr>
          <w:rFonts w:ascii="Times New Roman" w:hAnsi="Times New Roman" w:cs="Times New Roman"/>
          <w:i/>
          <w:sz w:val="24"/>
          <w:szCs w:val="24"/>
        </w:rPr>
        <w:t xml:space="preserve">Powell </w:t>
      </w:r>
      <w:r w:rsidR="00DF75BB">
        <w:rPr>
          <w:rFonts w:ascii="Times New Roman" w:hAnsi="Times New Roman" w:cs="Times New Roman"/>
          <w:sz w:val="24"/>
          <w:szCs w:val="24"/>
        </w:rPr>
        <w:t>as reasoned-based</w:t>
      </w:r>
      <w:r>
        <w:rPr>
          <w:rFonts w:ascii="Times New Roman" w:hAnsi="Times New Roman" w:cs="Times New Roman"/>
          <w:sz w:val="24"/>
          <w:szCs w:val="24"/>
        </w:rPr>
        <w:t>.</w:t>
      </w:r>
      <w:r w:rsidR="000F795E">
        <w:rPr>
          <w:rFonts w:ascii="Times New Roman" w:hAnsi="Times New Roman" w:cs="Times New Roman"/>
          <w:sz w:val="24"/>
          <w:szCs w:val="24"/>
        </w:rPr>
        <w:t xml:space="preserve"> </w:t>
      </w:r>
      <w:r>
        <w:rPr>
          <w:rFonts w:ascii="Times New Roman" w:hAnsi="Times New Roman" w:cs="Times New Roman"/>
          <w:sz w:val="24"/>
          <w:szCs w:val="24"/>
        </w:rPr>
        <w:t>A</w:t>
      </w:r>
      <w:r w:rsidR="00150303">
        <w:rPr>
          <w:rFonts w:ascii="Times New Roman" w:hAnsi="Times New Roman" w:cs="Times New Roman"/>
          <w:sz w:val="24"/>
          <w:szCs w:val="24"/>
        </w:rPr>
        <w:t xml:space="preserve"> public </w:t>
      </w:r>
      <w:r w:rsidR="00735B0E">
        <w:rPr>
          <w:rFonts w:ascii="Times New Roman" w:hAnsi="Times New Roman" w:cs="Times New Roman"/>
          <w:sz w:val="24"/>
          <w:szCs w:val="24"/>
        </w:rPr>
        <w:t xml:space="preserve">landlord </w:t>
      </w:r>
      <w:r>
        <w:rPr>
          <w:rFonts w:ascii="Times New Roman" w:hAnsi="Times New Roman" w:cs="Times New Roman"/>
          <w:sz w:val="24"/>
          <w:szCs w:val="24"/>
        </w:rPr>
        <w:t xml:space="preserve">needs </w:t>
      </w:r>
      <w:r w:rsidR="00150303">
        <w:rPr>
          <w:rFonts w:ascii="Times New Roman" w:hAnsi="Times New Roman" w:cs="Times New Roman"/>
          <w:sz w:val="24"/>
          <w:szCs w:val="24"/>
        </w:rPr>
        <w:t xml:space="preserve">to </w:t>
      </w:r>
      <w:r w:rsidR="00735B0E">
        <w:rPr>
          <w:rFonts w:ascii="Times New Roman" w:hAnsi="Times New Roman" w:cs="Times New Roman"/>
          <w:sz w:val="24"/>
          <w:szCs w:val="24"/>
        </w:rPr>
        <w:t xml:space="preserve">give reasons for their decision to evict which the tenant </w:t>
      </w:r>
      <w:r w:rsidR="00150303">
        <w:rPr>
          <w:rFonts w:ascii="Times New Roman" w:hAnsi="Times New Roman" w:cs="Times New Roman"/>
          <w:sz w:val="24"/>
          <w:szCs w:val="24"/>
        </w:rPr>
        <w:t>c</w:t>
      </w:r>
      <w:r w:rsidR="00DF75BB">
        <w:rPr>
          <w:rFonts w:ascii="Times New Roman" w:hAnsi="Times New Roman" w:cs="Times New Roman"/>
          <w:sz w:val="24"/>
          <w:szCs w:val="24"/>
        </w:rPr>
        <w:t>an</w:t>
      </w:r>
      <w:r w:rsidR="00150303">
        <w:rPr>
          <w:rFonts w:ascii="Times New Roman" w:hAnsi="Times New Roman" w:cs="Times New Roman"/>
          <w:sz w:val="24"/>
          <w:szCs w:val="24"/>
        </w:rPr>
        <w:t xml:space="preserve"> </w:t>
      </w:r>
      <w:r w:rsidR="00735B0E">
        <w:rPr>
          <w:rFonts w:ascii="Times New Roman" w:hAnsi="Times New Roman" w:cs="Times New Roman"/>
          <w:sz w:val="24"/>
          <w:szCs w:val="24"/>
        </w:rPr>
        <w:t>challenge</w:t>
      </w:r>
      <w:r w:rsidR="003408E6">
        <w:rPr>
          <w:rFonts w:ascii="Times New Roman" w:hAnsi="Times New Roman" w:cs="Times New Roman"/>
          <w:sz w:val="24"/>
          <w:szCs w:val="24"/>
        </w:rPr>
        <w:t>.</w:t>
      </w:r>
      <w:r w:rsidR="00DF75BB" w:rsidRPr="00DF75BB">
        <w:rPr>
          <w:rFonts w:ascii="Times New Roman" w:hAnsi="Times New Roman" w:cs="Times New Roman"/>
          <w:sz w:val="24"/>
          <w:szCs w:val="24"/>
        </w:rPr>
        <w:t xml:space="preserve"> </w:t>
      </w:r>
      <w:r w:rsidR="003408E6">
        <w:rPr>
          <w:rFonts w:ascii="Times New Roman" w:hAnsi="Times New Roman" w:cs="Times New Roman"/>
          <w:sz w:val="24"/>
          <w:szCs w:val="24"/>
        </w:rPr>
        <w:t>B</w:t>
      </w:r>
      <w:r w:rsidR="00DF75BB">
        <w:rPr>
          <w:rFonts w:ascii="Times New Roman" w:hAnsi="Times New Roman" w:cs="Times New Roman"/>
          <w:sz w:val="24"/>
          <w:szCs w:val="24"/>
        </w:rPr>
        <w:t>y contrast</w:t>
      </w:r>
      <w:r w:rsidR="00735B0E">
        <w:rPr>
          <w:rFonts w:ascii="Times New Roman" w:hAnsi="Times New Roman" w:cs="Times New Roman"/>
          <w:sz w:val="24"/>
          <w:szCs w:val="24"/>
        </w:rPr>
        <w:t xml:space="preserve"> </w:t>
      </w:r>
      <w:r w:rsidR="00DF75BB">
        <w:rPr>
          <w:rFonts w:ascii="Times New Roman" w:hAnsi="Times New Roman" w:cs="Times New Roman"/>
          <w:sz w:val="24"/>
          <w:szCs w:val="24"/>
        </w:rPr>
        <w:t>s</w:t>
      </w:r>
      <w:r w:rsidR="00735B0E">
        <w:rPr>
          <w:rFonts w:ascii="Times New Roman" w:hAnsi="Times New Roman" w:cs="Times New Roman"/>
          <w:sz w:val="24"/>
          <w:szCs w:val="24"/>
        </w:rPr>
        <w:t>ection 21(4) was “purely mechanical</w:t>
      </w:r>
      <w:r>
        <w:rPr>
          <w:rFonts w:ascii="Times New Roman" w:hAnsi="Times New Roman" w:cs="Times New Roman"/>
          <w:sz w:val="24"/>
          <w:szCs w:val="24"/>
        </w:rPr>
        <w:t>.</w:t>
      </w:r>
      <w:r w:rsidR="00735B0E">
        <w:rPr>
          <w:rFonts w:ascii="Times New Roman" w:hAnsi="Times New Roman" w:cs="Times New Roman"/>
          <w:sz w:val="24"/>
          <w:szCs w:val="24"/>
        </w:rPr>
        <w:t>”</w:t>
      </w:r>
      <w:r w:rsidR="00735B0E">
        <w:rPr>
          <w:rStyle w:val="FootnoteReference"/>
          <w:rFonts w:ascii="Times New Roman" w:hAnsi="Times New Roman" w:cs="Times New Roman"/>
          <w:sz w:val="24"/>
          <w:szCs w:val="24"/>
        </w:rPr>
        <w:footnoteReference w:id="16"/>
      </w:r>
      <w:r w:rsidR="00735B0E">
        <w:rPr>
          <w:rFonts w:ascii="Times New Roman" w:hAnsi="Times New Roman" w:cs="Times New Roman"/>
          <w:sz w:val="24"/>
          <w:szCs w:val="24"/>
        </w:rPr>
        <w:t xml:space="preserve"> </w:t>
      </w:r>
      <w:r w:rsidR="000F795E">
        <w:rPr>
          <w:rFonts w:ascii="Times New Roman" w:hAnsi="Times New Roman" w:cs="Times New Roman"/>
          <w:sz w:val="24"/>
          <w:szCs w:val="24"/>
        </w:rPr>
        <w:t xml:space="preserve">It does not require a landlord </w:t>
      </w:r>
      <w:r w:rsidR="00735B0E">
        <w:rPr>
          <w:rFonts w:ascii="Times New Roman" w:hAnsi="Times New Roman" w:cs="Times New Roman"/>
          <w:sz w:val="24"/>
          <w:szCs w:val="24"/>
        </w:rPr>
        <w:t xml:space="preserve">to </w:t>
      </w:r>
      <w:r w:rsidR="000F795E">
        <w:rPr>
          <w:rFonts w:ascii="Times New Roman" w:hAnsi="Times New Roman" w:cs="Times New Roman"/>
          <w:sz w:val="24"/>
          <w:szCs w:val="24"/>
        </w:rPr>
        <w:t xml:space="preserve">provide </w:t>
      </w:r>
      <w:r w:rsidR="00735B0E">
        <w:rPr>
          <w:rFonts w:ascii="Times New Roman" w:hAnsi="Times New Roman" w:cs="Times New Roman"/>
          <w:sz w:val="24"/>
          <w:szCs w:val="24"/>
        </w:rPr>
        <w:t xml:space="preserve">reasons for their decision to evict. Finally, a landlord that is characterised as public is subject to a direct section 6 duty to act compatibly. Again a private landlord is not under the same duty. </w:t>
      </w:r>
      <w:r w:rsidR="00EE769C">
        <w:rPr>
          <w:rFonts w:ascii="Times New Roman" w:hAnsi="Times New Roman" w:cs="Times New Roman"/>
          <w:sz w:val="24"/>
          <w:szCs w:val="24"/>
        </w:rPr>
        <w:t>Indirect h</w:t>
      </w:r>
      <w:r w:rsidR="00735B0E">
        <w:rPr>
          <w:rFonts w:ascii="Times New Roman" w:hAnsi="Times New Roman" w:cs="Times New Roman"/>
          <w:sz w:val="24"/>
          <w:szCs w:val="24"/>
        </w:rPr>
        <w:t>orizontal</w:t>
      </w:r>
      <w:r w:rsidR="000F795E">
        <w:rPr>
          <w:rFonts w:ascii="Times New Roman" w:hAnsi="Times New Roman" w:cs="Times New Roman"/>
          <w:sz w:val="24"/>
          <w:szCs w:val="24"/>
        </w:rPr>
        <w:t xml:space="preserve">ity </w:t>
      </w:r>
      <w:r w:rsidR="00735B0E">
        <w:rPr>
          <w:rFonts w:ascii="Times New Roman" w:hAnsi="Times New Roman" w:cs="Times New Roman"/>
          <w:sz w:val="24"/>
          <w:szCs w:val="24"/>
        </w:rPr>
        <w:t>springs</w:t>
      </w:r>
      <w:r w:rsidR="00EE769C">
        <w:rPr>
          <w:rFonts w:ascii="Times New Roman" w:hAnsi="Times New Roman" w:cs="Times New Roman"/>
          <w:sz w:val="24"/>
          <w:szCs w:val="24"/>
        </w:rPr>
        <w:t xml:space="preserve"> </w:t>
      </w:r>
      <w:r w:rsidR="00735B0E">
        <w:rPr>
          <w:rFonts w:ascii="Times New Roman" w:hAnsi="Times New Roman" w:cs="Times New Roman"/>
          <w:sz w:val="24"/>
          <w:szCs w:val="24"/>
        </w:rPr>
        <w:t>from the court’s duties under the HRA 1998</w:t>
      </w:r>
      <w:r w:rsidR="00EE769C">
        <w:rPr>
          <w:rFonts w:ascii="Times New Roman" w:hAnsi="Times New Roman" w:cs="Times New Roman"/>
          <w:sz w:val="24"/>
          <w:szCs w:val="24"/>
        </w:rPr>
        <w:t>.</w:t>
      </w:r>
      <w:r w:rsidR="00735B0E">
        <w:rPr>
          <w:rFonts w:ascii="Times New Roman" w:hAnsi="Times New Roman" w:cs="Times New Roman"/>
          <w:sz w:val="24"/>
          <w:szCs w:val="24"/>
        </w:rPr>
        <w:t xml:space="preserve"> </w:t>
      </w:r>
    </w:p>
    <w:p w:rsidR="00F3483E" w:rsidRDefault="00F3483E">
      <w:pPr>
        <w:autoSpaceDE w:val="0"/>
        <w:autoSpaceDN w:val="0"/>
        <w:adjustRightInd w:val="0"/>
        <w:spacing w:after="0" w:line="240" w:lineRule="auto"/>
        <w:rPr>
          <w:rFonts w:ascii="Times New Roman" w:hAnsi="Times New Roman" w:cs="Times New Roman"/>
          <w:sz w:val="24"/>
          <w:szCs w:val="24"/>
        </w:rPr>
      </w:pPr>
    </w:p>
    <w:p w:rsidR="00706BBD" w:rsidRDefault="0031523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Thus, if the first issue had been found in Fiona’s favour, the court would have issued a declaration of incompatibility rather than interpret section 21(4) to achieve human rights compatibility pursuant to section 3.</w:t>
      </w:r>
    </w:p>
    <w:p w:rsidR="0031523C" w:rsidRDefault="0031523C">
      <w:pPr>
        <w:autoSpaceDE w:val="0"/>
        <w:autoSpaceDN w:val="0"/>
        <w:adjustRightInd w:val="0"/>
        <w:spacing w:after="0" w:line="240" w:lineRule="auto"/>
        <w:rPr>
          <w:rFonts w:ascii="Times New Roman" w:hAnsi="Times New Roman" w:cs="Times New Roman"/>
          <w:i/>
          <w:sz w:val="24"/>
          <w:szCs w:val="24"/>
        </w:rPr>
      </w:pPr>
    </w:p>
    <w:p w:rsidR="00706BBD" w:rsidRDefault="00580E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The Third Issue</w:t>
      </w:r>
    </w:p>
    <w:p w:rsidR="00580E65" w:rsidRDefault="00580E65">
      <w:pPr>
        <w:autoSpaceDE w:val="0"/>
        <w:autoSpaceDN w:val="0"/>
        <w:adjustRightInd w:val="0"/>
        <w:spacing w:after="0" w:line="240" w:lineRule="auto"/>
        <w:rPr>
          <w:rFonts w:ascii="Times New Roman" w:hAnsi="Times New Roman" w:cs="Times New Roman"/>
          <w:sz w:val="24"/>
          <w:szCs w:val="24"/>
        </w:rPr>
      </w:pPr>
    </w:p>
    <w:p w:rsidR="00580E65" w:rsidRPr="00580E65" w:rsidRDefault="00580E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issue concerned what a </w:t>
      </w:r>
      <w:r w:rsidR="00E25F23">
        <w:rPr>
          <w:rFonts w:ascii="Times New Roman" w:hAnsi="Times New Roman" w:cs="Times New Roman"/>
          <w:sz w:val="24"/>
          <w:szCs w:val="24"/>
        </w:rPr>
        <w:t xml:space="preserve">court </w:t>
      </w:r>
      <w:r>
        <w:rPr>
          <w:rFonts w:ascii="Times New Roman" w:hAnsi="Times New Roman" w:cs="Times New Roman"/>
          <w:sz w:val="24"/>
          <w:szCs w:val="24"/>
        </w:rPr>
        <w:t xml:space="preserve">could have done if the first two issues had </w:t>
      </w:r>
      <w:r w:rsidR="00920C50">
        <w:rPr>
          <w:rFonts w:ascii="Times New Roman" w:hAnsi="Times New Roman" w:cs="Times New Roman"/>
          <w:sz w:val="24"/>
          <w:szCs w:val="24"/>
        </w:rPr>
        <w:t xml:space="preserve">gone </w:t>
      </w:r>
      <w:r>
        <w:rPr>
          <w:rFonts w:ascii="Times New Roman" w:hAnsi="Times New Roman" w:cs="Times New Roman"/>
          <w:sz w:val="24"/>
          <w:szCs w:val="24"/>
        </w:rPr>
        <w:t xml:space="preserve">in Fiona’s favour. </w:t>
      </w:r>
      <w:r w:rsidR="003408E6">
        <w:rPr>
          <w:rFonts w:ascii="Times New Roman" w:hAnsi="Times New Roman" w:cs="Times New Roman"/>
          <w:sz w:val="24"/>
          <w:szCs w:val="24"/>
        </w:rPr>
        <w:t>In particular c</w:t>
      </w:r>
      <w:r>
        <w:rPr>
          <w:rFonts w:ascii="Times New Roman" w:hAnsi="Times New Roman" w:cs="Times New Roman"/>
          <w:sz w:val="24"/>
          <w:szCs w:val="24"/>
        </w:rPr>
        <w:t xml:space="preserve">ould </w:t>
      </w:r>
      <w:r w:rsidR="003408E6">
        <w:rPr>
          <w:rFonts w:ascii="Times New Roman" w:hAnsi="Times New Roman" w:cs="Times New Roman"/>
          <w:sz w:val="24"/>
          <w:szCs w:val="24"/>
        </w:rPr>
        <w:t>a court</w:t>
      </w:r>
      <w:r w:rsidR="00E25F23">
        <w:rPr>
          <w:rFonts w:ascii="Times New Roman" w:hAnsi="Times New Roman" w:cs="Times New Roman"/>
          <w:sz w:val="24"/>
          <w:szCs w:val="24"/>
        </w:rPr>
        <w:t>,</w:t>
      </w:r>
      <w:r>
        <w:rPr>
          <w:rFonts w:ascii="Times New Roman" w:hAnsi="Times New Roman" w:cs="Times New Roman"/>
          <w:sz w:val="24"/>
          <w:szCs w:val="24"/>
        </w:rPr>
        <w:t xml:space="preserve"> in determining </w:t>
      </w:r>
      <w:r w:rsidR="00E25F23">
        <w:rPr>
          <w:rFonts w:ascii="Times New Roman" w:hAnsi="Times New Roman" w:cs="Times New Roman"/>
          <w:sz w:val="24"/>
          <w:szCs w:val="24"/>
        </w:rPr>
        <w:t>proportionality,</w:t>
      </w:r>
      <w:r>
        <w:rPr>
          <w:rFonts w:ascii="Times New Roman" w:hAnsi="Times New Roman" w:cs="Times New Roman"/>
          <w:sz w:val="24"/>
          <w:szCs w:val="24"/>
        </w:rPr>
        <w:t xml:space="preserve"> have refused to make a possession order? </w:t>
      </w:r>
      <w:r w:rsidR="006F382F">
        <w:rPr>
          <w:rFonts w:ascii="Times New Roman" w:hAnsi="Times New Roman" w:cs="Times New Roman"/>
          <w:sz w:val="24"/>
          <w:szCs w:val="24"/>
        </w:rPr>
        <w:t xml:space="preserve"> </w:t>
      </w:r>
      <w:r>
        <w:rPr>
          <w:rFonts w:ascii="Times New Roman" w:hAnsi="Times New Roman" w:cs="Times New Roman"/>
          <w:sz w:val="24"/>
          <w:szCs w:val="24"/>
        </w:rPr>
        <w:t>The focus turned to section 89(1) of the Housing Act 1980</w:t>
      </w:r>
      <w:r w:rsidR="0068455B">
        <w:rPr>
          <w:rFonts w:ascii="Times New Roman" w:hAnsi="Times New Roman" w:cs="Times New Roman"/>
          <w:sz w:val="24"/>
          <w:szCs w:val="24"/>
        </w:rPr>
        <w:t xml:space="preserve"> </w:t>
      </w:r>
      <w:r w:rsidR="00544C37">
        <w:rPr>
          <w:rFonts w:ascii="Times New Roman" w:hAnsi="Times New Roman" w:cs="Times New Roman"/>
          <w:sz w:val="24"/>
          <w:szCs w:val="24"/>
        </w:rPr>
        <w:t xml:space="preserve">and the time constraints it imposes upon </w:t>
      </w:r>
      <w:r w:rsidR="00E355F8">
        <w:rPr>
          <w:rFonts w:ascii="Times New Roman" w:hAnsi="Times New Roman" w:cs="Times New Roman"/>
          <w:sz w:val="24"/>
          <w:szCs w:val="24"/>
        </w:rPr>
        <w:t>the court</w:t>
      </w:r>
      <w:r w:rsidR="0068455B">
        <w:rPr>
          <w:rFonts w:ascii="Times New Roman" w:hAnsi="Times New Roman" w:cs="Times New Roman"/>
          <w:sz w:val="24"/>
          <w:szCs w:val="24"/>
        </w:rPr>
        <w:t>’</w:t>
      </w:r>
      <w:r w:rsidR="00E355F8">
        <w:rPr>
          <w:rFonts w:ascii="Times New Roman" w:hAnsi="Times New Roman" w:cs="Times New Roman"/>
          <w:sz w:val="24"/>
          <w:szCs w:val="24"/>
        </w:rPr>
        <w:t xml:space="preserve">s </w:t>
      </w:r>
      <w:r w:rsidR="00544C37">
        <w:rPr>
          <w:rFonts w:ascii="Times New Roman" w:hAnsi="Times New Roman" w:cs="Times New Roman"/>
          <w:sz w:val="24"/>
          <w:szCs w:val="24"/>
        </w:rPr>
        <w:t xml:space="preserve">discretion </w:t>
      </w:r>
      <w:r w:rsidR="00E355F8">
        <w:rPr>
          <w:rFonts w:ascii="Times New Roman" w:hAnsi="Times New Roman" w:cs="Times New Roman"/>
          <w:sz w:val="24"/>
          <w:szCs w:val="24"/>
        </w:rPr>
        <w:t>to suspend or postpone the execution of a possession order</w:t>
      </w:r>
      <w:r>
        <w:rPr>
          <w:rFonts w:ascii="Times New Roman" w:hAnsi="Times New Roman" w:cs="Times New Roman"/>
          <w:sz w:val="24"/>
          <w:szCs w:val="24"/>
        </w:rPr>
        <w:t xml:space="preserve">. </w:t>
      </w:r>
      <w:r w:rsidR="00E355F8">
        <w:rPr>
          <w:rFonts w:ascii="Times New Roman" w:hAnsi="Times New Roman" w:cs="Times New Roman"/>
          <w:sz w:val="24"/>
          <w:szCs w:val="24"/>
        </w:rPr>
        <w:t xml:space="preserve">Strict time limits can be problematic in human rights terms and </w:t>
      </w:r>
      <w:r>
        <w:rPr>
          <w:rFonts w:ascii="Times New Roman" w:hAnsi="Times New Roman" w:cs="Times New Roman"/>
          <w:sz w:val="24"/>
          <w:szCs w:val="24"/>
        </w:rPr>
        <w:t xml:space="preserve">Lord Neuberger in </w:t>
      </w:r>
      <w:proofErr w:type="spellStart"/>
      <w:r>
        <w:rPr>
          <w:rFonts w:ascii="Times New Roman" w:hAnsi="Times New Roman" w:cs="Times New Roman"/>
          <w:i/>
          <w:sz w:val="24"/>
          <w:szCs w:val="24"/>
        </w:rPr>
        <w:t>Pinnock</w:t>
      </w:r>
      <w:proofErr w:type="spellEnd"/>
      <w:r w:rsidR="00E25F23">
        <w:rPr>
          <w:rFonts w:ascii="Times New Roman" w:hAnsi="Times New Roman" w:cs="Times New Roman"/>
          <w:sz w:val="24"/>
          <w:szCs w:val="24"/>
        </w:rPr>
        <w:t xml:space="preserve"> had queried </w:t>
      </w:r>
      <w:r>
        <w:rPr>
          <w:rFonts w:ascii="Times New Roman" w:hAnsi="Times New Roman" w:cs="Times New Roman"/>
          <w:sz w:val="24"/>
          <w:szCs w:val="24"/>
        </w:rPr>
        <w:t xml:space="preserve">the compatibility of </w:t>
      </w:r>
      <w:r w:rsidR="00E434E7">
        <w:rPr>
          <w:rFonts w:ascii="Times New Roman" w:hAnsi="Times New Roman" w:cs="Times New Roman"/>
          <w:sz w:val="24"/>
          <w:szCs w:val="24"/>
        </w:rPr>
        <w:t>section 89(1)</w:t>
      </w:r>
      <w:r w:rsidR="00E355F8">
        <w:rPr>
          <w:rFonts w:ascii="Times New Roman" w:hAnsi="Times New Roman" w:cs="Times New Roman"/>
          <w:sz w:val="24"/>
          <w:szCs w:val="24"/>
        </w:rPr>
        <w:t>.</w:t>
      </w:r>
      <w:r w:rsidR="00544C37">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r w:rsidR="00E355F8">
        <w:rPr>
          <w:rFonts w:ascii="Times New Roman" w:hAnsi="Times New Roman" w:cs="Times New Roman"/>
          <w:sz w:val="24"/>
          <w:szCs w:val="24"/>
        </w:rPr>
        <w:t>However,</w:t>
      </w:r>
      <w:r>
        <w:rPr>
          <w:rFonts w:ascii="Times New Roman" w:hAnsi="Times New Roman" w:cs="Times New Roman"/>
          <w:sz w:val="24"/>
          <w:szCs w:val="24"/>
        </w:rPr>
        <w:t xml:space="preserve"> Lord Hope in </w:t>
      </w:r>
      <w:r>
        <w:rPr>
          <w:rFonts w:ascii="Times New Roman" w:hAnsi="Times New Roman" w:cs="Times New Roman"/>
          <w:i/>
          <w:sz w:val="24"/>
          <w:szCs w:val="24"/>
        </w:rPr>
        <w:t>Powell</w:t>
      </w:r>
      <w:r w:rsidR="00E355F8">
        <w:rPr>
          <w:rFonts w:ascii="Times New Roman" w:hAnsi="Times New Roman" w:cs="Times New Roman"/>
          <w:i/>
          <w:sz w:val="24"/>
          <w:szCs w:val="24"/>
        </w:rPr>
        <w:t xml:space="preserve"> </w:t>
      </w:r>
      <w:r w:rsidR="00675031">
        <w:rPr>
          <w:rFonts w:ascii="Times New Roman" w:hAnsi="Times New Roman" w:cs="Times New Roman"/>
          <w:sz w:val="24"/>
          <w:szCs w:val="24"/>
        </w:rPr>
        <w:t>overc</w:t>
      </w:r>
      <w:r w:rsidR="00E42732">
        <w:rPr>
          <w:rFonts w:ascii="Times New Roman" w:hAnsi="Times New Roman" w:cs="Times New Roman"/>
          <w:sz w:val="24"/>
          <w:szCs w:val="24"/>
        </w:rPr>
        <w:t>a</w:t>
      </w:r>
      <w:r w:rsidR="00675031">
        <w:rPr>
          <w:rFonts w:ascii="Times New Roman" w:hAnsi="Times New Roman" w:cs="Times New Roman"/>
          <w:sz w:val="24"/>
          <w:szCs w:val="24"/>
        </w:rPr>
        <w:t xml:space="preserve">me </w:t>
      </w:r>
      <w:r w:rsidR="00E355F8">
        <w:rPr>
          <w:rFonts w:ascii="Times New Roman" w:hAnsi="Times New Roman" w:cs="Times New Roman"/>
          <w:sz w:val="24"/>
          <w:szCs w:val="24"/>
        </w:rPr>
        <w:t>these doubts.</w:t>
      </w:r>
      <w:r w:rsidR="00544C37">
        <w:rPr>
          <w:rStyle w:val="FootnoteReference"/>
          <w:rFonts w:ascii="Times New Roman" w:hAnsi="Times New Roman" w:cs="Times New Roman"/>
          <w:sz w:val="24"/>
          <w:szCs w:val="24"/>
        </w:rPr>
        <w:footnoteReference w:id="18"/>
      </w:r>
      <w:r w:rsidR="00E355F8">
        <w:rPr>
          <w:rFonts w:ascii="Times New Roman" w:hAnsi="Times New Roman" w:cs="Times New Roman"/>
          <w:sz w:val="24"/>
          <w:szCs w:val="24"/>
        </w:rPr>
        <w:t xml:space="preserve"> </w:t>
      </w:r>
      <w:r w:rsidR="00E434E7">
        <w:rPr>
          <w:rFonts w:ascii="Times New Roman" w:hAnsi="Times New Roman" w:cs="Times New Roman"/>
          <w:sz w:val="24"/>
          <w:szCs w:val="24"/>
        </w:rPr>
        <w:t xml:space="preserve"> </w:t>
      </w:r>
      <w:r w:rsidR="00E355F8">
        <w:rPr>
          <w:rFonts w:ascii="Times New Roman" w:hAnsi="Times New Roman" w:cs="Times New Roman"/>
          <w:sz w:val="24"/>
          <w:szCs w:val="24"/>
        </w:rPr>
        <w:t xml:space="preserve">The Supreme Court did not explore these concerns in any depth but preferred to adopt the positive spin </w:t>
      </w:r>
      <w:r w:rsidR="00E42732">
        <w:rPr>
          <w:rFonts w:ascii="Times New Roman" w:hAnsi="Times New Roman" w:cs="Times New Roman"/>
          <w:sz w:val="24"/>
          <w:szCs w:val="24"/>
        </w:rPr>
        <w:t xml:space="preserve">provided </w:t>
      </w:r>
      <w:r w:rsidR="00E355F8">
        <w:rPr>
          <w:rFonts w:ascii="Times New Roman" w:hAnsi="Times New Roman" w:cs="Times New Roman"/>
          <w:sz w:val="24"/>
          <w:szCs w:val="24"/>
        </w:rPr>
        <w:t xml:space="preserve">by Lord Phillips in </w:t>
      </w:r>
      <w:r w:rsidR="00E355F8">
        <w:rPr>
          <w:rFonts w:ascii="Times New Roman" w:hAnsi="Times New Roman" w:cs="Times New Roman"/>
          <w:i/>
          <w:sz w:val="24"/>
          <w:szCs w:val="24"/>
        </w:rPr>
        <w:t xml:space="preserve">Powell </w:t>
      </w:r>
      <w:r w:rsidR="00E355F8">
        <w:rPr>
          <w:rFonts w:ascii="Times New Roman" w:hAnsi="Times New Roman" w:cs="Times New Roman"/>
          <w:sz w:val="24"/>
          <w:szCs w:val="24"/>
        </w:rPr>
        <w:t>who suggested that s</w:t>
      </w:r>
      <w:r w:rsidR="00544C37">
        <w:rPr>
          <w:rFonts w:ascii="Times New Roman" w:hAnsi="Times New Roman" w:cs="Times New Roman"/>
          <w:sz w:val="24"/>
          <w:szCs w:val="24"/>
        </w:rPr>
        <w:t xml:space="preserve">ection </w:t>
      </w:r>
      <w:r w:rsidR="00E355F8">
        <w:rPr>
          <w:rFonts w:ascii="Times New Roman" w:hAnsi="Times New Roman" w:cs="Times New Roman"/>
          <w:sz w:val="24"/>
          <w:szCs w:val="24"/>
        </w:rPr>
        <w:t xml:space="preserve">89(1) </w:t>
      </w:r>
      <w:r w:rsidR="0068455B">
        <w:rPr>
          <w:rFonts w:ascii="Times New Roman" w:hAnsi="Times New Roman" w:cs="Times New Roman"/>
          <w:sz w:val="24"/>
          <w:szCs w:val="24"/>
        </w:rPr>
        <w:t xml:space="preserve">actually </w:t>
      </w:r>
      <w:r w:rsidR="00E355F8">
        <w:rPr>
          <w:rFonts w:ascii="Times New Roman" w:hAnsi="Times New Roman" w:cs="Times New Roman"/>
          <w:sz w:val="24"/>
          <w:szCs w:val="24"/>
        </w:rPr>
        <w:t>increased the options available to the court.</w:t>
      </w:r>
      <w:r w:rsidR="00544C37">
        <w:rPr>
          <w:rStyle w:val="FootnoteReference"/>
          <w:rFonts w:ascii="Times New Roman" w:hAnsi="Times New Roman" w:cs="Times New Roman"/>
          <w:sz w:val="24"/>
          <w:szCs w:val="24"/>
        </w:rPr>
        <w:footnoteReference w:id="19"/>
      </w:r>
      <w:r w:rsidR="00E355F8">
        <w:rPr>
          <w:rFonts w:ascii="Times New Roman" w:hAnsi="Times New Roman" w:cs="Times New Roman"/>
          <w:sz w:val="24"/>
          <w:szCs w:val="24"/>
        </w:rPr>
        <w:t xml:space="preserve"> These options are </w:t>
      </w:r>
      <w:proofErr w:type="spellStart"/>
      <w:r w:rsidR="00E434E7">
        <w:rPr>
          <w:rFonts w:ascii="Times New Roman" w:hAnsi="Times New Roman" w:cs="Times New Roman"/>
          <w:sz w:val="24"/>
          <w:szCs w:val="24"/>
        </w:rPr>
        <w:t>i</w:t>
      </w:r>
      <w:proofErr w:type="spellEnd"/>
      <w:r w:rsidR="00E434E7">
        <w:rPr>
          <w:rFonts w:ascii="Times New Roman" w:hAnsi="Times New Roman" w:cs="Times New Roman"/>
          <w:sz w:val="24"/>
          <w:szCs w:val="24"/>
        </w:rPr>
        <w:t xml:space="preserve">) to make an immediate order for possession ii) to postpone the order for not more than 14 days iii) in cases of exceptional hardship to delay for not more than 6 weeks or iv) refuse to make an order. </w:t>
      </w:r>
      <w:r w:rsidR="00E355F8">
        <w:rPr>
          <w:rFonts w:ascii="Times New Roman" w:hAnsi="Times New Roman" w:cs="Times New Roman"/>
          <w:sz w:val="24"/>
          <w:szCs w:val="24"/>
        </w:rPr>
        <w:t xml:space="preserve"> </w:t>
      </w:r>
    </w:p>
    <w:p w:rsidR="00580E65" w:rsidRDefault="00580E65">
      <w:pPr>
        <w:autoSpaceDE w:val="0"/>
        <w:autoSpaceDN w:val="0"/>
        <w:adjustRightInd w:val="0"/>
        <w:spacing w:after="0" w:line="240" w:lineRule="auto"/>
        <w:rPr>
          <w:rFonts w:ascii="Times New Roman" w:hAnsi="Times New Roman" w:cs="Times New Roman"/>
          <w:sz w:val="24"/>
          <w:szCs w:val="24"/>
        </w:rPr>
      </w:pPr>
    </w:p>
    <w:p w:rsidR="00675031" w:rsidRDefault="00E434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Supreme Court described the cases when it would be proportionate for the court to refuse to make an order as “very few and far between” and that in the case of an AST from a private landlord “it is not easy to imagine circumstances in which the occupier’s article 8 rights would be so strong as to preclude the making, as opposed to the short postponement, of a possession order.”</w:t>
      </w:r>
      <w:r>
        <w:rPr>
          <w:rStyle w:val="FootnoteReference"/>
          <w:rFonts w:ascii="Times New Roman" w:hAnsi="Times New Roman" w:cs="Times New Roman"/>
          <w:sz w:val="24"/>
          <w:szCs w:val="24"/>
        </w:rPr>
        <w:footnoteReference w:id="20"/>
      </w:r>
      <w:r w:rsidR="003312C5">
        <w:rPr>
          <w:rFonts w:ascii="Times New Roman" w:hAnsi="Times New Roman" w:cs="Times New Roman"/>
          <w:sz w:val="24"/>
          <w:szCs w:val="24"/>
        </w:rPr>
        <w:t xml:space="preserve"> </w:t>
      </w:r>
      <w:r w:rsidR="005823E3">
        <w:rPr>
          <w:rFonts w:ascii="Times New Roman" w:hAnsi="Times New Roman" w:cs="Times New Roman"/>
          <w:sz w:val="24"/>
          <w:szCs w:val="24"/>
        </w:rPr>
        <w:t xml:space="preserve">The judge at first instance had indicated that he would have declined to have ordered possession in view </w:t>
      </w:r>
      <w:r w:rsidR="006F382F">
        <w:rPr>
          <w:rFonts w:ascii="Times New Roman" w:hAnsi="Times New Roman" w:cs="Times New Roman"/>
          <w:sz w:val="24"/>
          <w:szCs w:val="24"/>
        </w:rPr>
        <w:t xml:space="preserve">Fiona’s mental instability and </w:t>
      </w:r>
      <w:r w:rsidR="005823E3">
        <w:rPr>
          <w:rFonts w:ascii="Times New Roman" w:hAnsi="Times New Roman" w:cs="Times New Roman"/>
          <w:sz w:val="24"/>
          <w:szCs w:val="24"/>
        </w:rPr>
        <w:t xml:space="preserve">the fact that at the time of his judgement the arrears were small and the rent was being paid. By the time the case had </w:t>
      </w:r>
      <w:r w:rsidR="003408E6">
        <w:rPr>
          <w:rFonts w:ascii="Times New Roman" w:hAnsi="Times New Roman" w:cs="Times New Roman"/>
          <w:sz w:val="24"/>
          <w:szCs w:val="24"/>
        </w:rPr>
        <w:t xml:space="preserve">reached </w:t>
      </w:r>
      <w:r w:rsidR="005823E3">
        <w:rPr>
          <w:rFonts w:ascii="Times New Roman" w:hAnsi="Times New Roman" w:cs="Times New Roman"/>
          <w:sz w:val="24"/>
          <w:szCs w:val="24"/>
        </w:rPr>
        <w:t xml:space="preserve">the Court of Appeal </w:t>
      </w:r>
      <w:r w:rsidR="00982714">
        <w:rPr>
          <w:rFonts w:ascii="Times New Roman" w:hAnsi="Times New Roman" w:cs="Times New Roman"/>
          <w:sz w:val="24"/>
          <w:szCs w:val="24"/>
        </w:rPr>
        <w:t xml:space="preserve">the </w:t>
      </w:r>
      <w:r w:rsidR="005823E3">
        <w:rPr>
          <w:rFonts w:ascii="Times New Roman" w:hAnsi="Times New Roman" w:cs="Times New Roman"/>
          <w:sz w:val="24"/>
          <w:szCs w:val="24"/>
        </w:rPr>
        <w:t xml:space="preserve">loan capital </w:t>
      </w:r>
      <w:r w:rsidR="006F382F">
        <w:rPr>
          <w:rFonts w:ascii="Times New Roman" w:hAnsi="Times New Roman" w:cs="Times New Roman"/>
          <w:sz w:val="24"/>
          <w:szCs w:val="24"/>
        </w:rPr>
        <w:t xml:space="preserve">had become due and </w:t>
      </w:r>
      <w:r w:rsidR="00A65B01">
        <w:rPr>
          <w:rFonts w:ascii="Times New Roman" w:hAnsi="Times New Roman" w:cs="Times New Roman"/>
          <w:sz w:val="24"/>
          <w:szCs w:val="24"/>
        </w:rPr>
        <w:t xml:space="preserve">accordingly </w:t>
      </w:r>
      <w:r w:rsidR="005717F6">
        <w:rPr>
          <w:rFonts w:ascii="Times New Roman" w:hAnsi="Times New Roman" w:cs="Times New Roman"/>
          <w:sz w:val="24"/>
          <w:szCs w:val="24"/>
        </w:rPr>
        <w:t>t</w:t>
      </w:r>
      <w:r w:rsidR="006F382F">
        <w:rPr>
          <w:rFonts w:ascii="Times New Roman" w:hAnsi="Times New Roman" w:cs="Times New Roman"/>
          <w:sz w:val="24"/>
          <w:szCs w:val="24"/>
        </w:rPr>
        <w:t xml:space="preserve">he Court of </w:t>
      </w:r>
      <w:r w:rsidR="006F382F">
        <w:rPr>
          <w:rFonts w:ascii="Times New Roman" w:hAnsi="Times New Roman" w:cs="Times New Roman"/>
          <w:sz w:val="24"/>
          <w:szCs w:val="24"/>
        </w:rPr>
        <w:lastRenderedPageBreak/>
        <w:t xml:space="preserve">Appeal </w:t>
      </w:r>
      <w:r w:rsidR="00A65B01">
        <w:rPr>
          <w:rFonts w:ascii="Times New Roman" w:hAnsi="Times New Roman" w:cs="Times New Roman"/>
          <w:sz w:val="24"/>
          <w:szCs w:val="24"/>
        </w:rPr>
        <w:t xml:space="preserve">expressed the view that </w:t>
      </w:r>
      <w:r w:rsidR="003408E6">
        <w:rPr>
          <w:rFonts w:ascii="Times New Roman" w:hAnsi="Times New Roman" w:cs="Times New Roman"/>
          <w:sz w:val="24"/>
          <w:szCs w:val="24"/>
        </w:rPr>
        <w:t xml:space="preserve">would be </w:t>
      </w:r>
      <w:r w:rsidR="00A65B01">
        <w:rPr>
          <w:rFonts w:ascii="Times New Roman" w:hAnsi="Times New Roman" w:cs="Times New Roman"/>
          <w:sz w:val="24"/>
          <w:szCs w:val="24"/>
        </w:rPr>
        <w:t>dis</w:t>
      </w:r>
      <w:r w:rsidR="003408E6">
        <w:rPr>
          <w:rFonts w:ascii="Times New Roman" w:hAnsi="Times New Roman" w:cs="Times New Roman"/>
          <w:sz w:val="24"/>
          <w:szCs w:val="24"/>
        </w:rPr>
        <w:t xml:space="preserve">proportionate to refuse </w:t>
      </w:r>
      <w:r w:rsidR="006F382F">
        <w:rPr>
          <w:rFonts w:ascii="Times New Roman" w:hAnsi="Times New Roman" w:cs="Times New Roman"/>
          <w:sz w:val="24"/>
          <w:szCs w:val="24"/>
        </w:rPr>
        <w:t xml:space="preserve">repossession. </w:t>
      </w:r>
      <w:r w:rsidR="005823E3">
        <w:rPr>
          <w:rFonts w:ascii="Times New Roman" w:hAnsi="Times New Roman" w:cs="Times New Roman"/>
          <w:sz w:val="24"/>
          <w:szCs w:val="24"/>
        </w:rPr>
        <w:t>T</w:t>
      </w:r>
      <w:r w:rsidR="003312C5">
        <w:rPr>
          <w:rFonts w:ascii="Times New Roman" w:hAnsi="Times New Roman" w:cs="Times New Roman"/>
          <w:sz w:val="24"/>
          <w:szCs w:val="24"/>
        </w:rPr>
        <w:t>he Supreme C</w:t>
      </w:r>
      <w:r>
        <w:rPr>
          <w:rFonts w:ascii="Times New Roman" w:hAnsi="Times New Roman" w:cs="Times New Roman"/>
          <w:sz w:val="24"/>
          <w:szCs w:val="24"/>
        </w:rPr>
        <w:t>ourt</w:t>
      </w:r>
      <w:r w:rsidR="003312C5">
        <w:rPr>
          <w:rFonts w:ascii="Times New Roman" w:hAnsi="Times New Roman" w:cs="Times New Roman"/>
          <w:sz w:val="24"/>
          <w:szCs w:val="24"/>
        </w:rPr>
        <w:t xml:space="preserve"> agreed with the Court of Appeal </w:t>
      </w:r>
      <w:r>
        <w:rPr>
          <w:rFonts w:ascii="Times New Roman" w:hAnsi="Times New Roman" w:cs="Times New Roman"/>
          <w:sz w:val="24"/>
          <w:szCs w:val="24"/>
        </w:rPr>
        <w:t>that Fiona’s circumstances</w:t>
      </w:r>
      <w:r w:rsidR="00E25F23">
        <w:rPr>
          <w:rFonts w:ascii="Times New Roman" w:hAnsi="Times New Roman" w:cs="Times New Roman"/>
          <w:sz w:val="24"/>
          <w:szCs w:val="24"/>
        </w:rPr>
        <w:t xml:space="preserve"> </w:t>
      </w:r>
      <w:r w:rsidR="00CA366A">
        <w:rPr>
          <w:rFonts w:ascii="Times New Roman" w:hAnsi="Times New Roman" w:cs="Times New Roman"/>
          <w:sz w:val="24"/>
          <w:szCs w:val="24"/>
        </w:rPr>
        <w:t xml:space="preserve">were </w:t>
      </w:r>
      <w:r w:rsidR="003312C5">
        <w:rPr>
          <w:rFonts w:ascii="Times New Roman" w:hAnsi="Times New Roman" w:cs="Times New Roman"/>
          <w:sz w:val="24"/>
          <w:szCs w:val="24"/>
        </w:rPr>
        <w:t xml:space="preserve">not </w:t>
      </w:r>
      <w:r w:rsidR="00CA366A">
        <w:rPr>
          <w:rFonts w:ascii="Times New Roman" w:hAnsi="Times New Roman" w:cs="Times New Roman"/>
          <w:sz w:val="24"/>
          <w:szCs w:val="24"/>
        </w:rPr>
        <w:t>sufficiently</w:t>
      </w:r>
      <w:r w:rsidR="003312C5">
        <w:rPr>
          <w:rFonts w:ascii="Times New Roman" w:hAnsi="Times New Roman" w:cs="Times New Roman"/>
          <w:sz w:val="24"/>
          <w:szCs w:val="24"/>
        </w:rPr>
        <w:t xml:space="preserve"> compelling to </w:t>
      </w:r>
      <w:r w:rsidR="00CA366A">
        <w:rPr>
          <w:rFonts w:ascii="Times New Roman" w:hAnsi="Times New Roman" w:cs="Times New Roman"/>
          <w:sz w:val="24"/>
          <w:szCs w:val="24"/>
        </w:rPr>
        <w:t xml:space="preserve">have </w:t>
      </w:r>
      <w:r>
        <w:rPr>
          <w:rFonts w:ascii="Times New Roman" w:hAnsi="Times New Roman" w:cs="Times New Roman"/>
          <w:sz w:val="24"/>
          <w:szCs w:val="24"/>
        </w:rPr>
        <w:t>merit</w:t>
      </w:r>
      <w:r w:rsidR="005823E3">
        <w:rPr>
          <w:rFonts w:ascii="Times New Roman" w:hAnsi="Times New Roman" w:cs="Times New Roman"/>
          <w:sz w:val="24"/>
          <w:szCs w:val="24"/>
        </w:rPr>
        <w:t>ed</w:t>
      </w:r>
      <w:r>
        <w:rPr>
          <w:rFonts w:ascii="Times New Roman" w:hAnsi="Times New Roman" w:cs="Times New Roman"/>
          <w:sz w:val="24"/>
          <w:szCs w:val="24"/>
        </w:rPr>
        <w:t xml:space="preserve"> </w:t>
      </w:r>
      <w:r w:rsidR="00D3160D">
        <w:rPr>
          <w:rFonts w:ascii="Times New Roman" w:hAnsi="Times New Roman" w:cs="Times New Roman"/>
          <w:sz w:val="24"/>
          <w:szCs w:val="24"/>
        </w:rPr>
        <w:t>refusal</w:t>
      </w:r>
      <w:r w:rsidR="00CA366A">
        <w:rPr>
          <w:rFonts w:ascii="Times New Roman" w:hAnsi="Times New Roman" w:cs="Times New Roman"/>
          <w:sz w:val="24"/>
          <w:szCs w:val="24"/>
        </w:rPr>
        <w:t xml:space="preserve"> of possession</w:t>
      </w:r>
      <w:r w:rsidR="0068455B">
        <w:rPr>
          <w:rFonts w:ascii="Times New Roman" w:hAnsi="Times New Roman" w:cs="Times New Roman"/>
          <w:sz w:val="24"/>
          <w:szCs w:val="24"/>
        </w:rPr>
        <w:t xml:space="preserve">. </w:t>
      </w:r>
      <w:r w:rsidR="005717F6">
        <w:rPr>
          <w:rFonts w:ascii="Times New Roman" w:hAnsi="Times New Roman" w:cs="Times New Roman"/>
          <w:sz w:val="24"/>
          <w:szCs w:val="24"/>
        </w:rPr>
        <w:t>T</w:t>
      </w:r>
      <w:r w:rsidR="00E42732">
        <w:rPr>
          <w:rFonts w:ascii="Times New Roman" w:hAnsi="Times New Roman" w:cs="Times New Roman"/>
          <w:sz w:val="24"/>
          <w:szCs w:val="24"/>
        </w:rPr>
        <w:t>he Supreme Court looked only at</w:t>
      </w:r>
      <w:r w:rsidR="00CA366A">
        <w:rPr>
          <w:rFonts w:ascii="Times New Roman" w:hAnsi="Times New Roman" w:cs="Times New Roman"/>
          <w:sz w:val="24"/>
          <w:szCs w:val="24"/>
        </w:rPr>
        <w:t xml:space="preserve"> the effect that r</w:t>
      </w:r>
      <w:r w:rsidR="0068455B">
        <w:rPr>
          <w:rFonts w:ascii="Times New Roman" w:hAnsi="Times New Roman" w:cs="Times New Roman"/>
          <w:sz w:val="24"/>
          <w:szCs w:val="24"/>
        </w:rPr>
        <w:t xml:space="preserve">efusal </w:t>
      </w:r>
      <w:r w:rsidR="00CA366A">
        <w:rPr>
          <w:rFonts w:ascii="Times New Roman" w:hAnsi="Times New Roman" w:cs="Times New Roman"/>
          <w:sz w:val="24"/>
          <w:szCs w:val="24"/>
        </w:rPr>
        <w:t xml:space="preserve">of possession </w:t>
      </w:r>
      <w:r w:rsidR="00D3160D">
        <w:rPr>
          <w:rFonts w:ascii="Times New Roman" w:hAnsi="Times New Roman" w:cs="Times New Roman"/>
          <w:sz w:val="24"/>
          <w:szCs w:val="24"/>
        </w:rPr>
        <w:t xml:space="preserve">would have </w:t>
      </w:r>
      <w:r w:rsidR="00CA366A">
        <w:rPr>
          <w:rFonts w:ascii="Times New Roman" w:hAnsi="Times New Roman" w:cs="Times New Roman"/>
          <w:sz w:val="24"/>
          <w:szCs w:val="24"/>
        </w:rPr>
        <w:t xml:space="preserve">had on </w:t>
      </w:r>
      <w:r w:rsidR="00D3160D">
        <w:rPr>
          <w:rFonts w:ascii="Times New Roman" w:hAnsi="Times New Roman" w:cs="Times New Roman"/>
          <w:sz w:val="24"/>
          <w:szCs w:val="24"/>
        </w:rPr>
        <w:t>CHL</w:t>
      </w:r>
      <w:r w:rsidR="00A65B01">
        <w:rPr>
          <w:rFonts w:ascii="Times New Roman" w:hAnsi="Times New Roman" w:cs="Times New Roman"/>
          <w:sz w:val="24"/>
          <w:szCs w:val="24"/>
        </w:rPr>
        <w:t>. It</w:t>
      </w:r>
      <w:r w:rsidR="005717F6">
        <w:rPr>
          <w:rFonts w:ascii="Times New Roman" w:hAnsi="Times New Roman" w:cs="Times New Roman"/>
          <w:sz w:val="24"/>
          <w:szCs w:val="24"/>
        </w:rPr>
        <w:t xml:space="preserve"> </w:t>
      </w:r>
      <w:r w:rsidR="00CA366A">
        <w:rPr>
          <w:rFonts w:ascii="Times New Roman" w:hAnsi="Times New Roman" w:cs="Times New Roman"/>
          <w:sz w:val="24"/>
          <w:szCs w:val="24"/>
        </w:rPr>
        <w:t xml:space="preserve">would have left </w:t>
      </w:r>
      <w:r w:rsidR="00A65B01">
        <w:rPr>
          <w:rFonts w:ascii="Times New Roman" w:hAnsi="Times New Roman" w:cs="Times New Roman"/>
          <w:sz w:val="24"/>
          <w:szCs w:val="24"/>
        </w:rPr>
        <w:t xml:space="preserve">CHL </w:t>
      </w:r>
      <w:r w:rsidR="0068455B">
        <w:rPr>
          <w:rFonts w:ascii="Times New Roman" w:hAnsi="Times New Roman" w:cs="Times New Roman"/>
          <w:sz w:val="24"/>
          <w:szCs w:val="24"/>
        </w:rPr>
        <w:t>with no foreseeable prospect of r</w:t>
      </w:r>
      <w:r w:rsidR="00CA366A">
        <w:rPr>
          <w:rFonts w:ascii="Times New Roman" w:hAnsi="Times New Roman" w:cs="Times New Roman"/>
          <w:sz w:val="24"/>
          <w:szCs w:val="24"/>
        </w:rPr>
        <w:t xml:space="preserve">epayment of </w:t>
      </w:r>
      <w:r w:rsidR="00D3160D">
        <w:rPr>
          <w:rFonts w:ascii="Times New Roman" w:hAnsi="Times New Roman" w:cs="Times New Roman"/>
          <w:sz w:val="24"/>
          <w:szCs w:val="24"/>
        </w:rPr>
        <w:t>their loan</w:t>
      </w:r>
      <w:r w:rsidR="005717F6">
        <w:rPr>
          <w:rFonts w:ascii="Times New Roman" w:hAnsi="Times New Roman" w:cs="Times New Roman"/>
          <w:sz w:val="24"/>
          <w:szCs w:val="24"/>
        </w:rPr>
        <w:t xml:space="preserve"> - i</w:t>
      </w:r>
      <w:r w:rsidR="0068455B">
        <w:rPr>
          <w:rFonts w:ascii="Times New Roman" w:hAnsi="Times New Roman" w:cs="Times New Roman"/>
          <w:sz w:val="24"/>
          <w:szCs w:val="24"/>
        </w:rPr>
        <w:t xml:space="preserve">n itself </w:t>
      </w:r>
      <w:r w:rsidR="005717F6">
        <w:rPr>
          <w:rFonts w:ascii="Times New Roman" w:hAnsi="Times New Roman" w:cs="Times New Roman"/>
          <w:sz w:val="24"/>
          <w:szCs w:val="24"/>
        </w:rPr>
        <w:t xml:space="preserve">a possible </w:t>
      </w:r>
      <w:r w:rsidR="0068455B">
        <w:rPr>
          <w:rFonts w:ascii="Times New Roman" w:hAnsi="Times New Roman" w:cs="Times New Roman"/>
          <w:sz w:val="24"/>
          <w:szCs w:val="24"/>
        </w:rPr>
        <w:t>unjustified infringement of the</w:t>
      </w:r>
      <w:r w:rsidR="005717F6">
        <w:rPr>
          <w:rFonts w:ascii="Times New Roman" w:hAnsi="Times New Roman" w:cs="Times New Roman"/>
          <w:sz w:val="24"/>
          <w:szCs w:val="24"/>
        </w:rPr>
        <w:t>ir</w:t>
      </w:r>
      <w:r w:rsidR="0068455B">
        <w:rPr>
          <w:rFonts w:ascii="Times New Roman" w:hAnsi="Times New Roman" w:cs="Times New Roman"/>
          <w:sz w:val="24"/>
          <w:szCs w:val="24"/>
        </w:rPr>
        <w:t xml:space="preserve"> possessions under Article 1 Protocol 1</w:t>
      </w:r>
      <w:r w:rsidR="00D3160D">
        <w:rPr>
          <w:rFonts w:ascii="Times New Roman" w:hAnsi="Times New Roman" w:cs="Times New Roman"/>
          <w:sz w:val="24"/>
          <w:szCs w:val="24"/>
        </w:rPr>
        <w:t>.</w:t>
      </w:r>
      <w:r w:rsidR="005717F6" w:rsidRPr="005717F6">
        <w:rPr>
          <w:rStyle w:val="FootnoteReference"/>
          <w:rFonts w:ascii="Times New Roman" w:hAnsi="Times New Roman" w:cs="Times New Roman"/>
          <w:sz w:val="24"/>
          <w:szCs w:val="24"/>
        </w:rPr>
        <w:t xml:space="preserve"> </w:t>
      </w:r>
      <w:r w:rsidR="005717F6">
        <w:rPr>
          <w:rFonts w:ascii="Times New Roman" w:hAnsi="Times New Roman" w:cs="Times New Roman"/>
          <w:sz w:val="24"/>
          <w:szCs w:val="24"/>
        </w:rPr>
        <w:t>The effect of an eviction on Fiona’s medical condition did not feature in this hypothetical balancing exercise.</w:t>
      </w:r>
      <w:r w:rsidR="005717F6">
        <w:rPr>
          <w:rStyle w:val="FootnoteReference"/>
          <w:rFonts w:ascii="Times New Roman" w:hAnsi="Times New Roman" w:cs="Times New Roman"/>
          <w:sz w:val="24"/>
          <w:szCs w:val="24"/>
        </w:rPr>
        <w:footnoteReference w:id="21"/>
      </w:r>
      <w:r w:rsidR="00CA366A">
        <w:rPr>
          <w:rFonts w:ascii="Times New Roman" w:hAnsi="Times New Roman" w:cs="Times New Roman"/>
          <w:sz w:val="24"/>
          <w:szCs w:val="24"/>
        </w:rPr>
        <w:t xml:space="preserve">Fiona’s counsel </w:t>
      </w:r>
      <w:r w:rsidR="005717F6">
        <w:rPr>
          <w:rFonts w:ascii="Times New Roman" w:hAnsi="Times New Roman" w:cs="Times New Roman"/>
          <w:sz w:val="24"/>
          <w:szCs w:val="24"/>
        </w:rPr>
        <w:t xml:space="preserve">did </w:t>
      </w:r>
      <w:r w:rsidR="00CA366A">
        <w:rPr>
          <w:rFonts w:ascii="Times New Roman" w:hAnsi="Times New Roman" w:cs="Times New Roman"/>
          <w:sz w:val="24"/>
          <w:szCs w:val="24"/>
        </w:rPr>
        <w:t xml:space="preserve">raise the possibility of a sale of the house with Fiona remaining as sitting tenant but this </w:t>
      </w:r>
      <w:r w:rsidR="005717F6">
        <w:rPr>
          <w:rFonts w:ascii="Times New Roman" w:hAnsi="Times New Roman" w:cs="Times New Roman"/>
          <w:sz w:val="24"/>
          <w:szCs w:val="24"/>
        </w:rPr>
        <w:t xml:space="preserve">way forward </w:t>
      </w:r>
      <w:r w:rsidR="00CA366A">
        <w:rPr>
          <w:rFonts w:ascii="Times New Roman" w:hAnsi="Times New Roman" w:cs="Times New Roman"/>
          <w:sz w:val="24"/>
          <w:szCs w:val="24"/>
        </w:rPr>
        <w:t xml:space="preserve">was dismissed as unlikely and in any event a sale with vacant possession </w:t>
      </w:r>
      <w:r w:rsidR="00E42732">
        <w:rPr>
          <w:rFonts w:ascii="Times New Roman" w:hAnsi="Times New Roman" w:cs="Times New Roman"/>
          <w:sz w:val="24"/>
          <w:szCs w:val="24"/>
        </w:rPr>
        <w:t xml:space="preserve">was </w:t>
      </w:r>
      <w:r w:rsidR="00CA366A">
        <w:rPr>
          <w:rFonts w:ascii="Times New Roman" w:hAnsi="Times New Roman" w:cs="Times New Roman"/>
          <w:sz w:val="24"/>
          <w:szCs w:val="24"/>
        </w:rPr>
        <w:t xml:space="preserve">more likely to produce a balance that </w:t>
      </w:r>
      <w:r w:rsidR="00A65B01">
        <w:rPr>
          <w:rFonts w:ascii="Times New Roman" w:hAnsi="Times New Roman" w:cs="Times New Roman"/>
          <w:sz w:val="24"/>
          <w:szCs w:val="24"/>
        </w:rPr>
        <w:t xml:space="preserve">might </w:t>
      </w:r>
      <w:r w:rsidR="00CA366A">
        <w:rPr>
          <w:rFonts w:ascii="Times New Roman" w:hAnsi="Times New Roman" w:cs="Times New Roman"/>
          <w:sz w:val="24"/>
          <w:szCs w:val="24"/>
        </w:rPr>
        <w:t xml:space="preserve">fund alternative accommodation for Fiona. </w:t>
      </w:r>
    </w:p>
    <w:p w:rsidR="00675031" w:rsidRDefault="00675031">
      <w:pPr>
        <w:autoSpaceDE w:val="0"/>
        <w:autoSpaceDN w:val="0"/>
        <w:adjustRightInd w:val="0"/>
        <w:spacing w:after="0" w:line="240" w:lineRule="auto"/>
        <w:rPr>
          <w:rFonts w:ascii="Times New Roman" w:hAnsi="Times New Roman" w:cs="Times New Roman"/>
          <w:sz w:val="24"/>
          <w:szCs w:val="24"/>
        </w:rPr>
      </w:pPr>
    </w:p>
    <w:p w:rsidR="00F341C1" w:rsidRDefault="00F341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Comment</w:t>
      </w:r>
    </w:p>
    <w:p w:rsidR="00F341C1" w:rsidRDefault="00F341C1">
      <w:pPr>
        <w:autoSpaceDE w:val="0"/>
        <w:autoSpaceDN w:val="0"/>
        <w:adjustRightInd w:val="0"/>
        <w:spacing w:after="0" w:line="240" w:lineRule="auto"/>
        <w:rPr>
          <w:rFonts w:ascii="Times New Roman" w:hAnsi="Times New Roman" w:cs="Times New Roman"/>
          <w:sz w:val="24"/>
          <w:szCs w:val="24"/>
        </w:rPr>
      </w:pPr>
    </w:p>
    <w:p w:rsidR="00F341C1" w:rsidRDefault="00F341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McDonald </w:t>
      </w:r>
      <w:r>
        <w:rPr>
          <w:rFonts w:ascii="Times New Roman" w:hAnsi="Times New Roman" w:cs="Times New Roman"/>
          <w:sz w:val="24"/>
          <w:szCs w:val="24"/>
        </w:rPr>
        <w:t xml:space="preserve">will no doubt become known for rejecting horizontal effect between private parties in repossession proceedings which interfere with an occupier’s respect for their home under Article 8. </w:t>
      </w:r>
      <w:r w:rsidR="002606C7">
        <w:rPr>
          <w:rFonts w:ascii="Times New Roman" w:hAnsi="Times New Roman" w:cs="Times New Roman"/>
          <w:sz w:val="24"/>
          <w:szCs w:val="24"/>
        </w:rPr>
        <w:t xml:space="preserve">However, to do so overlooks the different ways in which horizontality can take effect and the </w:t>
      </w:r>
      <w:r w:rsidR="000377F5">
        <w:rPr>
          <w:rFonts w:ascii="Times New Roman" w:hAnsi="Times New Roman" w:cs="Times New Roman"/>
          <w:sz w:val="24"/>
          <w:szCs w:val="24"/>
        </w:rPr>
        <w:t xml:space="preserve">scope </w:t>
      </w:r>
      <w:r w:rsidR="002606C7">
        <w:rPr>
          <w:rFonts w:ascii="Times New Roman" w:hAnsi="Times New Roman" w:cs="Times New Roman"/>
          <w:sz w:val="24"/>
          <w:szCs w:val="24"/>
        </w:rPr>
        <w:t>of the Supreme Court’s decision.</w:t>
      </w:r>
      <w:r w:rsidR="00A65B01">
        <w:rPr>
          <w:rFonts w:ascii="Times New Roman" w:hAnsi="Times New Roman" w:cs="Times New Roman"/>
          <w:sz w:val="24"/>
          <w:szCs w:val="24"/>
        </w:rPr>
        <w:t xml:space="preserve"> </w:t>
      </w:r>
    </w:p>
    <w:p w:rsidR="00742376" w:rsidRDefault="00742376">
      <w:pPr>
        <w:autoSpaceDE w:val="0"/>
        <w:autoSpaceDN w:val="0"/>
        <w:adjustRightInd w:val="0"/>
        <w:spacing w:after="0" w:line="240" w:lineRule="auto"/>
        <w:rPr>
          <w:rFonts w:ascii="Times New Roman" w:hAnsi="Times New Roman" w:cs="Times New Roman"/>
          <w:sz w:val="24"/>
          <w:szCs w:val="24"/>
        </w:rPr>
      </w:pPr>
    </w:p>
    <w:p w:rsidR="007578CA" w:rsidRDefault="0074237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Horizontal effect can arise both from the court’s responsibilities under the HRA 1998 and from a State’s responsibilities under the ECHR itself. </w:t>
      </w:r>
      <w:r w:rsidR="00E92009">
        <w:rPr>
          <w:rFonts w:ascii="Times New Roman" w:hAnsi="Times New Roman" w:cs="Times New Roman"/>
          <w:sz w:val="24"/>
          <w:szCs w:val="24"/>
        </w:rPr>
        <w:t xml:space="preserve">Several of these </w:t>
      </w:r>
      <w:r>
        <w:rPr>
          <w:rFonts w:ascii="Times New Roman" w:hAnsi="Times New Roman" w:cs="Times New Roman"/>
          <w:sz w:val="24"/>
          <w:szCs w:val="24"/>
        </w:rPr>
        <w:t xml:space="preserve">different routes </w:t>
      </w:r>
      <w:r w:rsidR="00E92009">
        <w:rPr>
          <w:rFonts w:ascii="Times New Roman" w:hAnsi="Times New Roman" w:cs="Times New Roman"/>
          <w:sz w:val="24"/>
          <w:szCs w:val="24"/>
        </w:rPr>
        <w:t xml:space="preserve">to horizontality are evident within the </w:t>
      </w:r>
      <w:r w:rsidR="00E92009">
        <w:rPr>
          <w:rFonts w:ascii="Times New Roman" w:hAnsi="Times New Roman" w:cs="Times New Roman"/>
          <w:i/>
          <w:sz w:val="24"/>
          <w:szCs w:val="24"/>
        </w:rPr>
        <w:t xml:space="preserve">McDonald </w:t>
      </w:r>
      <w:r w:rsidR="00E92009">
        <w:rPr>
          <w:rFonts w:ascii="Times New Roman" w:hAnsi="Times New Roman" w:cs="Times New Roman"/>
          <w:sz w:val="24"/>
          <w:szCs w:val="24"/>
        </w:rPr>
        <w:t>litigation.</w:t>
      </w:r>
      <w:r w:rsidR="005A6730">
        <w:rPr>
          <w:rStyle w:val="FootnoteReference"/>
          <w:rFonts w:ascii="Times New Roman" w:hAnsi="Times New Roman" w:cs="Times New Roman"/>
          <w:sz w:val="24"/>
          <w:szCs w:val="24"/>
        </w:rPr>
        <w:footnoteReference w:id="22"/>
      </w:r>
      <w:r w:rsidR="00E92009">
        <w:rPr>
          <w:rFonts w:ascii="Times New Roman" w:hAnsi="Times New Roman" w:cs="Times New Roman"/>
          <w:sz w:val="24"/>
          <w:szCs w:val="24"/>
        </w:rPr>
        <w:t xml:space="preserve"> </w:t>
      </w:r>
    </w:p>
    <w:p w:rsidR="005717F6" w:rsidRDefault="005717F6">
      <w:pPr>
        <w:autoSpaceDE w:val="0"/>
        <w:autoSpaceDN w:val="0"/>
        <w:adjustRightInd w:val="0"/>
        <w:spacing w:after="0" w:line="240" w:lineRule="auto"/>
        <w:rPr>
          <w:rFonts w:ascii="Times New Roman" w:hAnsi="Times New Roman" w:cs="Times New Roman"/>
          <w:sz w:val="24"/>
          <w:szCs w:val="24"/>
        </w:rPr>
      </w:pPr>
    </w:p>
    <w:p w:rsidR="00562C27" w:rsidRDefault="00562C27">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Horizon</w:t>
      </w:r>
      <w:r w:rsidR="006E5280">
        <w:rPr>
          <w:rFonts w:ascii="Times New Roman" w:hAnsi="Times New Roman" w:cs="Times New Roman"/>
          <w:i/>
          <w:sz w:val="24"/>
          <w:szCs w:val="24"/>
        </w:rPr>
        <w:t>t</w:t>
      </w:r>
      <w:r>
        <w:rPr>
          <w:rFonts w:ascii="Times New Roman" w:hAnsi="Times New Roman" w:cs="Times New Roman"/>
          <w:i/>
          <w:sz w:val="24"/>
          <w:szCs w:val="24"/>
        </w:rPr>
        <w:t>ality</w:t>
      </w:r>
      <w:r w:rsidR="00A70EAF">
        <w:rPr>
          <w:rFonts w:ascii="Times New Roman" w:hAnsi="Times New Roman" w:cs="Times New Roman"/>
          <w:i/>
          <w:sz w:val="24"/>
          <w:szCs w:val="24"/>
        </w:rPr>
        <w:t xml:space="preserve"> </w:t>
      </w:r>
      <w:r w:rsidR="00A451BD">
        <w:rPr>
          <w:rFonts w:ascii="Times New Roman" w:hAnsi="Times New Roman" w:cs="Times New Roman"/>
          <w:i/>
          <w:sz w:val="24"/>
          <w:szCs w:val="24"/>
        </w:rPr>
        <w:t xml:space="preserve">under </w:t>
      </w:r>
      <w:r w:rsidR="00A70EAF">
        <w:rPr>
          <w:rFonts w:ascii="Times New Roman" w:hAnsi="Times New Roman" w:cs="Times New Roman"/>
          <w:i/>
          <w:sz w:val="24"/>
          <w:szCs w:val="24"/>
        </w:rPr>
        <w:t>Section 3 HRA 1998</w:t>
      </w:r>
    </w:p>
    <w:p w:rsidR="004C0C19" w:rsidRDefault="00562C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578CA">
        <w:rPr>
          <w:rFonts w:ascii="Times New Roman" w:hAnsi="Times New Roman" w:cs="Times New Roman"/>
          <w:sz w:val="24"/>
          <w:szCs w:val="24"/>
        </w:rPr>
        <w:t xml:space="preserve">irect statutory horizontal effect flows from the court’s responsibilities under section </w:t>
      </w:r>
      <w:r>
        <w:rPr>
          <w:rFonts w:ascii="Times New Roman" w:hAnsi="Times New Roman" w:cs="Times New Roman"/>
          <w:sz w:val="24"/>
          <w:szCs w:val="24"/>
        </w:rPr>
        <w:t>3</w:t>
      </w:r>
      <w:r w:rsidR="007578CA">
        <w:rPr>
          <w:rFonts w:ascii="Times New Roman" w:hAnsi="Times New Roman" w:cs="Times New Roman"/>
          <w:sz w:val="24"/>
          <w:szCs w:val="24"/>
        </w:rPr>
        <w:t xml:space="preserve"> of the HRA 1998 to interpret legislation in a human rights compatible manner. Both </w:t>
      </w:r>
      <w:proofErr w:type="spellStart"/>
      <w:r w:rsidR="007578CA">
        <w:rPr>
          <w:rFonts w:ascii="Times New Roman" w:hAnsi="Times New Roman" w:cs="Times New Roman"/>
          <w:i/>
          <w:sz w:val="24"/>
          <w:szCs w:val="24"/>
        </w:rPr>
        <w:t>Pinnock</w:t>
      </w:r>
      <w:proofErr w:type="spellEnd"/>
      <w:r w:rsidR="007578CA">
        <w:rPr>
          <w:rFonts w:ascii="Times New Roman" w:hAnsi="Times New Roman" w:cs="Times New Roman"/>
          <w:i/>
          <w:sz w:val="24"/>
          <w:szCs w:val="24"/>
        </w:rPr>
        <w:t xml:space="preserve"> </w:t>
      </w:r>
      <w:r w:rsidR="007578CA">
        <w:rPr>
          <w:rFonts w:ascii="Times New Roman" w:hAnsi="Times New Roman" w:cs="Times New Roman"/>
          <w:sz w:val="24"/>
          <w:szCs w:val="24"/>
        </w:rPr>
        <w:t xml:space="preserve">and </w:t>
      </w:r>
      <w:r w:rsidR="007578CA">
        <w:rPr>
          <w:rFonts w:ascii="Times New Roman" w:hAnsi="Times New Roman" w:cs="Times New Roman"/>
          <w:i/>
          <w:sz w:val="24"/>
          <w:szCs w:val="24"/>
        </w:rPr>
        <w:t xml:space="preserve">Powell </w:t>
      </w:r>
      <w:r w:rsidR="007578CA">
        <w:rPr>
          <w:rFonts w:ascii="Times New Roman" w:hAnsi="Times New Roman" w:cs="Times New Roman"/>
          <w:sz w:val="24"/>
          <w:szCs w:val="24"/>
        </w:rPr>
        <w:t xml:space="preserve">provide examples of </w:t>
      </w:r>
      <w:r w:rsidR="007F1115">
        <w:rPr>
          <w:rFonts w:ascii="Times New Roman" w:hAnsi="Times New Roman" w:cs="Times New Roman"/>
          <w:sz w:val="24"/>
          <w:szCs w:val="24"/>
        </w:rPr>
        <w:t>a</w:t>
      </w:r>
      <w:r w:rsidR="007578CA">
        <w:rPr>
          <w:rFonts w:ascii="Times New Roman" w:hAnsi="Times New Roman" w:cs="Times New Roman"/>
          <w:sz w:val="24"/>
          <w:szCs w:val="24"/>
        </w:rPr>
        <w:t xml:space="preserve"> </w:t>
      </w:r>
      <w:r w:rsidR="005A6730">
        <w:rPr>
          <w:rFonts w:ascii="Times New Roman" w:hAnsi="Times New Roman" w:cs="Times New Roman"/>
          <w:sz w:val="24"/>
          <w:szCs w:val="24"/>
        </w:rPr>
        <w:t xml:space="preserve">section </w:t>
      </w:r>
      <w:r w:rsidR="004C0C19">
        <w:rPr>
          <w:rFonts w:ascii="Times New Roman" w:hAnsi="Times New Roman" w:cs="Times New Roman"/>
          <w:sz w:val="24"/>
          <w:szCs w:val="24"/>
        </w:rPr>
        <w:t>3</w:t>
      </w:r>
      <w:r w:rsidR="005A6730">
        <w:rPr>
          <w:rFonts w:ascii="Times New Roman" w:hAnsi="Times New Roman" w:cs="Times New Roman"/>
          <w:sz w:val="24"/>
          <w:szCs w:val="24"/>
        </w:rPr>
        <w:t xml:space="preserve"> challenge to the </w:t>
      </w:r>
      <w:r w:rsidR="00E87699">
        <w:rPr>
          <w:rFonts w:ascii="Times New Roman" w:hAnsi="Times New Roman" w:cs="Times New Roman"/>
          <w:sz w:val="24"/>
          <w:szCs w:val="24"/>
        </w:rPr>
        <w:t>compatibility of legislation although in the context of vertical effect in public authority possession proceedings. There are examples of this form of horizontality in proceedings between private parties where one party has challenged the compatibility of legislation</w:t>
      </w:r>
      <w:r w:rsidR="00932D53">
        <w:rPr>
          <w:rFonts w:ascii="Times New Roman" w:hAnsi="Times New Roman" w:cs="Times New Roman"/>
          <w:sz w:val="24"/>
          <w:szCs w:val="24"/>
        </w:rPr>
        <w:t xml:space="preserve"> governing their private law rights</w:t>
      </w:r>
      <w:r w:rsidR="00E87699">
        <w:rPr>
          <w:rFonts w:ascii="Times New Roman" w:hAnsi="Times New Roman" w:cs="Times New Roman"/>
          <w:sz w:val="24"/>
          <w:szCs w:val="24"/>
        </w:rPr>
        <w:t xml:space="preserve">. </w:t>
      </w:r>
      <w:r w:rsidR="00A65B01">
        <w:rPr>
          <w:rFonts w:ascii="Times New Roman" w:hAnsi="Times New Roman" w:cs="Times New Roman"/>
          <w:sz w:val="24"/>
          <w:szCs w:val="24"/>
        </w:rPr>
        <w:t xml:space="preserve">For instance </w:t>
      </w:r>
      <w:proofErr w:type="spellStart"/>
      <w:r w:rsidR="00E87699">
        <w:rPr>
          <w:rFonts w:ascii="Times New Roman" w:hAnsi="Times New Roman" w:cs="Times New Roman"/>
          <w:i/>
          <w:sz w:val="24"/>
          <w:szCs w:val="24"/>
        </w:rPr>
        <w:t>Ghaidan</w:t>
      </w:r>
      <w:proofErr w:type="spellEnd"/>
      <w:r w:rsidR="00E87699">
        <w:rPr>
          <w:rFonts w:ascii="Times New Roman" w:hAnsi="Times New Roman" w:cs="Times New Roman"/>
          <w:i/>
          <w:sz w:val="24"/>
          <w:szCs w:val="24"/>
        </w:rPr>
        <w:t xml:space="preserve"> v </w:t>
      </w:r>
      <w:proofErr w:type="spellStart"/>
      <w:r w:rsidR="00E87699">
        <w:rPr>
          <w:rFonts w:ascii="Times New Roman" w:hAnsi="Times New Roman" w:cs="Times New Roman"/>
          <w:i/>
          <w:sz w:val="24"/>
          <w:szCs w:val="24"/>
        </w:rPr>
        <w:t>Godin</w:t>
      </w:r>
      <w:proofErr w:type="spellEnd"/>
      <w:r w:rsidR="00E87699">
        <w:rPr>
          <w:rFonts w:ascii="Times New Roman" w:hAnsi="Times New Roman" w:cs="Times New Roman"/>
          <w:i/>
          <w:sz w:val="24"/>
          <w:szCs w:val="24"/>
        </w:rPr>
        <w:t xml:space="preserve"> Mendoza</w:t>
      </w:r>
      <w:r w:rsidR="004C0C19">
        <w:rPr>
          <w:rStyle w:val="FootnoteReference"/>
          <w:rFonts w:ascii="Times New Roman" w:hAnsi="Times New Roman" w:cs="Times New Roman"/>
          <w:i/>
          <w:sz w:val="24"/>
          <w:szCs w:val="24"/>
        </w:rPr>
        <w:footnoteReference w:id="23"/>
      </w:r>
      <w:r w:rsidR="00E87699">
        <w:rPr>
          <w:rFonts w:ascii="Times New Roman" w:hAnsi="Times New Roman" w:cs="Times New Roman"/>
          <w:sz w:val="24"/>
          <w:szCs w:val="24"/>
        </w:rPr>
        <w:t xml:space="preserve"> </w:t>
      </w:r>
      <w:r w:rsidR="00A65B01">
        <w:rPr>
          <w:rFonts w:ascii="Times New Roman" w:hAnsi="Times New Roman" w:cs="Times New Roman"/>
          <w:sz w:val="24"/>
          <w:szCs w:val="24"/>
        </w:rPr>
        <w:t xml:space="preserve">successfully challenged </w:t>
      </w:r>
      <w:r w:rsidR="00E87699">
        <w:rPr>
          <w:rFonts w:ascii="Times New Roman" w:hAnsi="Times New Roman" w:cs="Times New Roman"/>
          <w:sz w:val="24"/>
          <w:szCs w:val="24"/>
        </w:rPr>
        <w:t>the discriminatory effect of the right to succeed to a secure tenancy pursuant to Articles 8 and 14.</w:t>
      </w:r>
      <w:r w:rsidR="00371738">
        <w:rPr>
          <w:rStyle w:val="FootnoteReference"/>
          <w:rFonts w:ascii="Times New Roman" w:hAnsi="Times New Roman" w:cs="Times New Roman"/>
          <w:sz w:val="24"/>
          <w:szCs w:val="24"/>
        </w:rPr>
        <w:footnoteReference w:id="24"/>
      </w:r>
      <w:r w:rsidR="00E87699">
        <w:rPr>
          <w:rFonts w:ascii="Times New Roman" w:hAnsi="Times New Roman" w:cs="Times New Roman"/>
          <w:sz w:val="24"/>
          <w:szCs w:val="24"/>
        </w:rPr>
        <w:t xml:space="preserve"> </w:t>
      </w:r>
    </w:p>
    <w:p w:rsidR="004C0C19" w:rsidRDefault="004C0C19">
      <w:pPr>
        <w:autoSpaceDE w:val="0"/>
        <w:autoSpaceDN w:val="0"/>
        <w:adjustRightInd w:val="0"/>
        <w:spacing w:after="0" w:line="240" w:lineRule="auto"/>
        <w:rPr>
          <w:rFonts w:ascii="Times New Roman" w:hAnsi="Times New Roman" w:cs="Times New Roman"/>
          <w:sz w:val="24"/>
          <w:szCs w:val="24"/>
        </w:rPr>
      </w:pPr>
    </w:p>
    <w:p w:rsidR="007578CA" w:rsidRDefault="008C42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995BC3">
        <w:rPr>
          <w:rFonts w:ascii="Times New Roman" w:hAnsi="Times New Roman" w:cs="Times New Roman"/>
          <w:sz w:val="24"/>
          <w:szCs w:val="24"/>
        </w:rPr>
        <w:t xml:space="preserve">he Court of Appeal </w:t>
      </w:r>
      <w:r>
        <w:rPr>
          <w:rFonts w:ascii="Times New Roman" w:hAnsi="Times New Roman" w:cs="Times New Roman"/>
          <w:sz w:val="24"/>
          <w:szCs w:val="24"/>
        </w:rPr>
        <w:t>had considered</w:t>
      </w:r>
      <w:r w:rsidR="00995BC3">
        <w:rPr>
          <w:rFonts w:ascii="Times New Roman" w:hAnsi="Times New Roman" w:cs="Times New Roman"/>
          <w:sz w:val="24"/>
          <w:szCs w:val="24"/>
        </w:rPr>
        <w:t xml:space="preserve"> </w:t>
      </w:r>
      <w:r w:rsidR="00932D53">
        <w:rPr>
          <w:rFonts w:ascii="Times New Roman" w:hAnsi="Times New Roman" w:cs="Times New Roman"/>
          <w:sz w:val="24"/>
          <w:szCs w:val="24"/>
        </w:rPr>
        <w:t xml:space="preserve">and accepted </w:t>
      </w:r>
      <w:r w:rsidR="00995BC3">
        <w:rPr>
          <w:rFonts w:ascii="Times New Roman" w:hAnsi="Times New Roman" w:cs="Times New Roman"/>
          <w:sz w:val="24"/>
          <w:szCs w:val="24"/>
        </w:rPr>
        <w:t xml:space="preserve">the compatibility of section 21(4) but </w:t>
      </w:r>
      <w:r w:rsidR="004C0C19">
        <w:rPr>
          <w:rFonts w:ascii="Times New Roman" w:hAnsi="Times New Roman" w:cs="Times New Roman"/>
          <w:sz w:val="24"/>
          <w:szCs w:val="24"/>
        </w:rPr>
        <w:t>th</w:t>
      </w:r>
      <w:r w:rsidR="00E92009">
        <w:rPr>
          <w:rFonts w:ascii="Times New Roman" w:hAnsi="Times New Roman" w:cs="Times New Roman"/>
          <w:sz w:val="24"/>
          <w:szCs w:val="24"/>
        </w:rPr>
        <w:t xml:space="preserve">is argument was not advanced </w:t>
      </w:r>
      <w:r w:rsidR="00932D53">
        <w:rPr>
          <w:rFonts w:ascii="Times New Roman" w:hAnsi="Times New Roman" w:cs="Times New Roman"/>
          <w:sz w:val="24"/>
          <w:szCs w:val="24"/>
        </w:rPr>
        <w:t>in this appeal and</w:t>
      </w:r>
      <w:r w:rsidR="00E92009">
        <w:rPr>
          <w:rFonts w:ascii="Times New Roman" w:hAnsi="Times New Roman" w:cs="Times New Roman"/>
          <w:sz w:val="24"/>
          <w:szCs w:val="24"/>
        </w:rPr>
        <w:t xml:space="preserve"> the</w:t>
      </w:r>
      <w:r w:rsidR="004C0C19">
        <w:rPr>
          <w:rFonts w:ascii="Times New Roman" w:hAnsi="Times New Roman" w:cs="Times New Roman"/>
          <w:sz w:val="24"/>
          <w:szCs w:val="24"/>
        </w:rPr>
        <w:t xml:space="preserve"> Supreme </w:t>
      </w:r>
      <w:r w:rsidR="00932D53">
        <w:rPr>
          <w:rFonts w:ascii="Times New Roman" w:hAnsi="Times New Roman" w:cs="Times New Roman"/>
          <w:sz w:val="24"/>
          <w:szCs w:val="24"/>
        </w:rPr>
        <w:t>Court indicated that Fiona’s counsel was right to drop this line of attack.</w:t>
      </w:r>
      <w:r w:rsidR="00E92009">
        <w:rPr>
          <w:rStyle w:val="FootnoteReference"/>
          <w:rFonts w:ascii="Times New Roman" w:hAnsi="Times New Roman" w:cs="Times New Roman"/>
          <w:sz w:val="24"/>
          <w:szCs w:val="24"/>
        </w:rPr>
        <w:footnoteReference w:id="25"/>
      </w:r>
      <w:r w:rsidR="007578CA">
        <w:rPr>
          <w:rFonts w:ascii="Times New Roman" w:hAnsi="Times New Roman" w:cs="Times New Roman"/>
          <w:sz w:val="24"/>
          <w:szCs w:val="24"/>
        </w:rPr>
        <w:t xml:space="preserve"> </w:t>
      </w:r>
      <w:r w:rsidR="005150A0">
        <w:rPr>
          <w:rFonts w:ascii="Times New Roman" w:hAnsi="Times New Roman" w:cs="Times New Roman"/>
          <w:sz w:val="24"/>
          <w:szCs w:val="24"/>
        </w:rPr>
        <w:t>The</w:t>
      </w:r>
      <w:r w:rsidR="00E92009">
        <w:rPr>
          <w:rFonts w:ascii="Times New Roman" w:hAnsi="Times New Roman" w:cs="Times New Roman"/>
          <w:sz w:val="24"/>
          <w:szCs w:val="24"/>
        </w:rPr>
        <w:t>ir</w:t>
      </w:r>
      <w:r w:rsidR="00995BC3">
        <w:rPr>
          <w:rFonts w:ascii="Times New Roman" w:hAnsi="Times New Roman" w:cs="Times New Roman"/>
          <w:sz w:val="24"/>
          <w:szCs w:val="24"/>
        </w:rPr>
        <w:t xml:space="preserve"> </w:t>
      </w:r>
      <w:r w:rsidR="005150A0">
        <w:rPr>
          <w:rFonts w:ascii="Times New Roman" w:hAnsi="Times New Roman" w:cs="Times New Roman"/>
          <w:sz w:val="24"/>
          <w:szCs w:val="24"/>
        </w:rPr>
        <w:t>reason</w:t>
      </w:r>
      <w:r w:rsidR="004C0C19">
        <w:rPr>
          <w:rFonts w:ascii="Times New Roman" w:hAnsi="Times New Roman" w:cs="Times New Roman"/>
          <w:sz w:val="24"/>
          <w:szCs w:val="24"/>
        </w:rPr>
        <w:t>s</w:t>
      </w:r>
      <w:r w:rsidR="005150A0">
        <w:rPr>
          <w:rFonts w:ascii="Times New Roman" w:hAnsi="Times New Roman" w:cs="Times New Roman"/>
          <w:sz w:val="24"/>
          <w:szCs w:val="24"/>
        </w:rPr>
        <w:t xml:space="preserve"> </w:t>
      </w:r>
      <w:r w:rsidR="004C0C19">
        <w:rPr>
          <w:rFonts w:ascii="Times New Roman" w:hAnsi="Times New Roman" w:cs="Times New Roman"/>
          <w:sz w:val="24"/>
          <w:szCs w:val="24"/>
        </w:rPr>
        <w:t>a</w:t>
      </w:r>
      <w:r w:rsidR="005150A0">
        <w:rPr>
          <w:rFonts w:ascii="Times New Roman" w:hAnsi="Times New Roman" w:cs="Times New Roman"/>
          <w:sz w:val="24"/>
          <w:szCs w:val="24"/>
        </w:rPr>
        <w:t xml:space="preserve">re encapsulated in their approach to </w:t>
      </w:r>
      <w:r w:rsidR="00371738">
        <w:rPr>
          <w:rFonts w:ascii="Times New Roman" w:hAnsi="Times New Roman" w:cs="Times New Roman"/>
          <w:sz w:val="24"/>
          <w:szCs w:val="24"/>
        </w:rPr>
        <w:t xml:space="preserve">the </w:t>
      </w:r>
      <w:r w:rsidR="00932D53">
        <w:rPr>
          <w:rFonts w:ascii="Times New Roman" w:hAnsi="Times New Roman" w:cs="Times New Roman"/>
          <w:sz w:val="24"/>
          <w:szCs w:val="24"/>
        </w:rPr>
        <w:t>horizontal</w:t>
      </w:r>
      <w:r w:rsidR="00371738">
        <w:rPr>
          <w:rFonts w:ascii="Times New Roman" w:hAnsi="Times New Roman" w:cs="Times New Roman"/>
          <w:sz w:val="24"/>
          <w:szCs w:val="24"/>
        </w:rPr>
        <w:t xml:space="preserve"> effect of </w:t>
      </w:r>
      <w:r w:rsidR="00995BC3">
        <w:rPr>
          <w:rFonts w:ascii="Times New Roman" w:hAnsi="Times New Roman" w:cs="Times New Roman"/>
          <w:sz w:val="24"/>
          <w:szCs w:val="24"/>
        </w:rPr>
        <w:t xml:space="preserve">section 6 </w:t>
      </w:r>
      <w:r w:rsidR="00932D53">
        <w:rPr>
          <w:rFonts w:ascii="Times New Roman" w:hAnsi="Times New Roman" w:cs="Times New Roman"/>
          <w:sz w:val="24"/>
          <w:szCs w:val="24"/>
        </w:rPr>
        <w:t>HRA 1998</w:t>
      </w:r>
      <w:r w:rsidR="005150A0">
        <w:rPr>
          <w:rFonts w:ascii="Times New Roman" w:hAnsi="Times New Roman" w:cs="Times New Roman"/>
          <w:sz w:val="24"/>
          <w:szCs w:val="24"/>
        </w:rPr>
        <w:t>.</w:t>
      </w:r>
    </w:p>
    <w:p w:rsidR="005A6730" w:rsidRDefault="005A6730">
      <w:pPr>
        <w:autoSpaceDE w:val="0"/>
        <w:autoSpaceDN w:val="0"/>
        <w:adjustRightInd w:val="0"/>
        <w:spacing w:after="0" w:line="240" w:lineRule="auto"/>
        <w:rPr>
          <w:rFonts w:ascii="Times New Roman" w:hAnsi="Times New Roman" w:cs="Times New Roman"/>
          <w:sz w:val="24"/>
          <w:szCs w:val="24"/>
        </w:rPr>
      </w:pPr>
    </w:p>
    <w:p w:rsidR="00562C27" w:rsidRDefault="00562C27">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Horizontality</w:t>
      </w:r>
      <w:r w:rsidR="00A451BD">
        <w:rPr>
          <w:rFonts w:ascii="Times New Roman" w:hAnsi="Times New Roman" w:cs="Times New Roman"/>
          <w:i/>
          <w:sz w:val="24"/>
          <w:szCs w:val="24"/>
        </w:rPr>
        <w:t xml:space="preserve"> under </w:t>
      </w:r>
      <w:r w:rsidR="00A70EAF">
        <w:rPr>
          <w:rFonts w:ascii="Times New Roman" w:hAnsi="Times New Roman" w:cs="Times New Roman"/>
          <w:i/>
          <w:sz w:val="24"/>
          <w:szCs w:val="24"/>
        </w:rPr>
        <w:t>Section 6 HRA 1998</w:t>
      </w:r>
    </w:p>
    <w:p w:rsidR="002268CD" w:rsidRDefault="00A0571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 6 require</w:t>
      </w:r>
      <w:r w:rsidR="009610E7">
        <w:rPr>
          <w:rFonts w:ascii="Times New Roman" w:hAnsi="Times New Roman" w:cs="Times New Roman"/>
          <w:sz w:val="24"/>
          <w:szCs w:val="24"/>
        </w:rPr>
        <w:t>s</w:t>
      </w:r>
      <w:r>
        <w:rPr>
          <w:rFonts w:ascii="Times New Roman" w:hAnsi="Times New Roman" w:cs="Times New Roman"/>
          <w:sz w:val="24"/>
          <w:szCs w:val="24"/>
        </w:rPr>
        <w:t xml:space="preserve"> all public authorit</w:t>
      </w:r>
      <w:r w:rsidR="005717F6">
        <w:rPr>
          <w:rFonts w:ascii="Times New Roman" w:hAnsi="Times New Roman" w:cs="Times New Roman"/>
          <w:sz w:val="24"/>
          <w:szCs w:val="24"/>
        </w:rPr>
        <w:t>ies</w:t>
      </w:r>
      <w:r>
        <w:rPr>
          <w:rFonts w:ascii="Times New Roman" w:hAnsi="Times New Roman" w:cs="Times New Roman"/>
          <w:sz w:val="24"/>
          <w:szCs w:val="24"/>
        </w:rPr>
        <w:t>, including the courts, to act in a human rights compliant manner. The scope of this duty has been the subject of much conjecture particular</w:t>
      </w:r>
      <w:r w:rsidR="009610E7">
        <w:rPr>
          <w:rFonts w:ascii="Times New Roman" w:hAnsi="Times New Roman" w:cs="Times New Roman"/>
          <w:sz w:val="24"/>
          <w:szCs w:val="24"/>
        </w:rPr>
        <w:t>ly</w:t>
      </w:r>
      <w:r>
        <w:rPr>
          <w:rFonts w:ascii="Times New Roman" w:hAnsi="Times New Roman" w:cs="Times New Roman"/>
          <w:sz w:val="24"/>
          <w:szCs w:val="24"/>
        </w:rPr>
        <w:t xml:space="preserve"> as regarding the court’s duty to develop the common law in a human rights </w:t>
      </w:r>
      <w:r>
        <w:rPr>
          <w:rFonts w:ascii="Times New Roman" w:hAnsi="Times New Roman" w:cs="Times New Roman"/>
          <w:sz w:val="24"/>
          <w:szCs w:val="24"/>
        </w:rPr>
        <w:lastRenderedPageBreak/>
        <w:t>compatible manner.</w:t>
      </w:r>
      <w:r w:rsidR="00371738">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r w:rsidR="00371738">
        <w:rPr>
          <w:rFonts w:ascii="Times New Roman" w:hAnsi="Times New Roman" w:cs="Times New Roman"/>
          <w:sz w:val="24"/>
          <w:szCs w:val="24"/>
        </w:rPr>
        <w:t xml:space="preserve">However, </w:t>
      </w:r>
      <w:r w:rsidR="007926F7">
        <w:rPr>
          <w:rFonts w:ascii="Times New Roman" w:hAnsi="Times New Roman" w:cs="Times New Roman"/>
          <w:sz w:val="24"/>
          <w:szCs w:val="24"/>
        </w:rPr>
        <w:t xml:space="preserve">it was </w:t>
      </w:r>
      <w:r w:rsidR="0036586E">
        <w:rPr>
          <w:rFonts w:ascii="Times New Roman" w:hAnsi="Times New Roman" w:cs="Times New Roman"/>
          <w:sz w:val="24"/>
          <w:szCs w:val="24"/>
        </w:rPr>
        <w:t xml:space="preserve">not this aspect of the court’s section 6 duty that was at issue in </w:t>
      </w:r>
      <w:r w:rsidR="0036586E" w:rsidRPr="0036586E">
        <w:rPr>
          <w:rFonts w:ascii="Times New Roman" w:hAnsi="Times New Roman" w:cs="Times New Roman"/>
          <w:i/>
          <w:sz w:val="24"/>
          <w:szCs w:val="24"/>
        </w:rPr>
        <w:t>McDonald</w:t>
      </w:r>
      <w:r w:rsidR="0036586E">
        <w:rPr>
          <w:rFonts w:ascii="Times New Roman" w:hAnsi="Times New Roman" w:cs="Times New Roman"/>
          <w:sz w:val="24"/>
          <w:szCs w:val="24"/>
        </w:rPr>
        <w:t xml:space="preserve">. Rather it was </w:t>
      </w:r>
      <w:r w:rsidR="007926F7">
        <w:rPr>
          <w:rFonts w:ascii="Times New Roman" w:hAnsi="Times New Roman" w:cs="Times New Roman"/>
          <w:sz w:val="24"/>
          <w:szCs w:val="24"/>
        </w:rPr>
        <w:t>remedial horizontality that shaped the Supreme Court’s response</w:t>
      </w:r>
      <w:r w:rsidR="00371738">
        <w:rPr>
          <w:rFonts w:ascii="Times New Roman" w:hAnsi="Times New Roman" w:cs="Times New Roman"/>
          <w:i/>
          <w:sz w:val="24"/>
          <w:szCs w:val="24"/>
        </w:rPr>
        <w:t>.</w:t>
      </w:r>
      <w:r w:rsidR="009610E7">
        <w:rPr>
          <w:rFonts w:ascii="Times New Roman" w:hAnsi="Times New Roman" w:cs="Times New Roman"/>
          <w:sz w:val="24"/>
          <w:szCs w:val="24"/>
        </w:rPr>
        <w:t xml:space="preserve"> Remedial horizontality relates to the court’s section 6 duty when granting remedial relief – in this case an order for possession.</w:t>
      </w:r>
      <w:r w:rsidR="007926F7">
        <w:rPr>
          <w:rStyle w:val="FootnoteReference"/>
          <w:rFonts w:ascii="Times New Roman" w:hAnsi="Times New Roman" w:cs="Times New Roman"/>
          <w:sz w:val="24"/>
          <w:szCs w:val="24"/>
        </w:rPr>
        <w:footnoteReference w:id="27"/>
      </w:r>
      <w:r w:rsidR="00F937CB">
        <w:rPr>
          <w:rFonts w:ascii="Times New Roman" w:hAnsi="Times New Roman" w:cs="Times New Roman"/>
          <w:sz w:val="24"/>
          <w:szCs w:val="24"/>
        </w:rPr>
        <w:t xml:space="preserve">Its ambit is thus potentially wider than statutory horizontality pursuant to section 3 although in </w:t>
      </w:r>
      <w:r w:rsidR="00F937CB">
        <w:rPr>
          <w:rFonts w:ascii="Times New Roman" w:hAnsi="Times New Roman" w:cs="Times New Roman"/>
          <w:i/>
          <w:sz w:val="24"/>
          <w:szCs w:val="24"/>
        </w:rPr>
        <w:t xml:space="preserve">McDonald </w:t>
      </w:r>
      <w:r w:rsidR="00F937CB">
        <w:rPr>
          <w:rFonts w:ascii="Times New Roman" w:hAnsi="Times New Roman" w:cs="Times New Roman"/>
          <w:sz w:val="24"/>
          <w:szCs w:val="24"/>
        </w:rPr>
        <w:t>the resulting issue is much the same.</w:t>
      </w:r>
      <w:r w:rsidR="007926F7">
        <w:rPr>
          <w:rFonts w:ascii="Times New Roman" w:hAnsi="Times New Roman" w:cs="Times New Roman"/>
          <w:sz w:val="24"/>
          <w:szCs w:val="24"/>
        </w:rPr>
        <w:t xml:space="preserve"> </w:t>
      </w:r>
      <w:r w:rsidR="009610E7">
        <w:rPr>
          <w:rFonts w:ascii="Times New Roman" w:hAnsi="Times New Roman" w:cs="Times New Roman"/>
          <w:sz w:val="24"/>
          <w:szCs w:val="24"/>
        </w:rPr>
        <w:t xml:space="preserve">The question that the Supreme Court addressed was did section 6 </w:t>
      </w:r>
      <w:r w:rsidR="00932D53">
        <w:rPr>
          <w:rFonts w:ascii="Times New Roman" w:hAnsi="Times New Roman" w:cs="Times New Roman"/>
          <w:sz w:val="24"/>
          <w:szCs w:val="24"/>
        </w:rPr>
        <w:t>requir</w:t>
      </w:r>
      <w:r w:rsidR="009610E7">
        <w:rPr>
          <w:rFonts w:ascii="Times New Roman" w:hAnsi="Times New Roman" w:cs="Times New Roman"/>
          <w:sz w:val="24"/>
          <w:szCs w:val="24"/>
        </w:rPr>
        <w:t>e</w:t>
      </w:r>
      <w:r w:rsidR="00932D53">
        <w:rPr>
          <w:rFonts w:ascii="Times New Roman" w:hAnsi="Times New Roman" w:cs="Times New Roman"/>
          <w:sz w:val="24"/>
          <w:szCs w:val="24"/>
        </w:rPr>
        <w:t xml:space="preserve"> </w:t>
      </w:r>
      <w:r w:rsidR="00A451BD">
        <w:rPr>
          <w:rFonts w:ascii="Times New Roman" w:hAnsi="Times New Roman" w:cs="Times New Roman"/>
          <w:sz w:val="24"/>
          <w:szCs w:val="24"/>
        </w:rPr>
        <w:t xml:space="preserve">a </w:t>
      </w:r>
      <w:r w:rsidR="005A6730">
        <w:rPr>
          <w:rFonts w:ascii="Times New Roman" w:hAnsi="Times New Roman" w:cs="Times New Roman"/>
          <w:sz w:val="24"/>
          <w:szCs w:val="24"/>
        </w:rPr>
        <w:t>court</w:t>
      </w:r>
      <w:r w:rsidR="00932D53">
        <w:rPr>
          <w:rFonts w:ascii="Times New Roman" w:hAnsi="Times New Roman" w:cs="Times New Roman"/>
          <w:sz w:val="24"/>
          <w:szCs w:val="24"/>
        </w:rPr>
        <w:t xml:space="preserve"> </w:t>
      </w:r>
      <w:r w:rsidR="00A42327">
        <w:rPr>
          <w:rFonts w:ascii="Times New Roman" w:hAnsi="Times New Roman" w:cs="Times New Roman"/>
          <w:sz w:val="24"/>
          <w:szCs w:val="24"/>
        </w:rPr>
        <w:t>to consider proportionality when deciding whether or not to make an order for possession</w:t>
      </w:r>
      <w:r w:rsidR="001029CC">
        <w:rPr>
          <w:rFonts w:ascii="Times New Roman" w:hAnsi="Times New Roman" w:cs="Times New Roman"/>
          <w:sz w:val="24"/>
          <w:szCs w:val="24"/>
        </w:rPr>
        <w:t xml:space="preserve"> pursuant to section 21(4)</w:t>
      </w:r>
      <w:r w:rsidR="009610E7">
        <w:rPr>
          <w:rFonts w:ascii="Times New Roman" w:hAnsi="Times New Roman" w:cs="Times New Roman"/>
          <w:sz w:val="24"/>
          <w:szCs w:val="24"/>
        </w:rPr>
        <w:t>?</w:t>
      </w:r>
      <w:r w:rsidR="002268CD">
        <w:rPr>
          <w:rFonts w:ascii="Times New Roman" w:hAnsi="Times New Roman" w:cs="Times New Roman"/>
          <w:sz w:val="24"/>
          <w:szCs w:val="24"/>
        </w:rPr>
        <w:t xml:space="preserve"> </w:t>
      </w:r>
      <w:r w:rsidR="004055B4">
        <w:rPr>
          <w:rFonts w:ascii="Times New Roman" w:hAnsi="Times New Roman" w:cs="Times New Roman"/>
          <w:sz w:val="24"/>
          <w:szCs w:val="24"/>
        </w:rPr>
        <w:t xml:space="preserve">In the light of </w:t>
      </w:r>
      <w:r w:rsidR="004C6FB1">
        <w:rPr>
          <w:rFonts w:ascii="Times New Roman" w:hAnsi="Times New Roman" w:cs="Times New Roman"/>
          <w:sz w:val="24"/>
          <w:szCs w:val="24"/>
        </w:rPr>
        <w:t xml:space="preserve">the </w:t>
      </w:r>
      <w:r w:rsidR="004055B4">
        <w:rPr>
          <w:rFonts w:ascii="Times New Roman" w:hAnsi="Times New Roman" w:cs="Times New Roman"/>
          <w:sz w:val="24"/>
          <w:szCs w:val="24"/>
        </w:rPr>
        <w:t>housing policy reflected in section 21</w:t>
      </w:r>
      <w:r w:rsidR="007F1115">
        <w:rPr>
          <w:rFonts w:ascii="Times New Roman" w:hAnsi="Times New Roman" w:cs="Times New Roman"/>
          <w:sz w:val="24"/>
          <w:szCs w:val="24"/>
        </w:rPr>
        <w:t>(4)</w:t>
      </w:r>
      <w:r w:rsidR="004C6FB1">
        <w:rPr>
          <w:rFonts w:ascii="Times New Roman" w:hAnsi="Times New Roman" w:cs="Times New Roman"/>
          <w:sz w:val="24"/>
          <w:szCs w:val="24"/>
        </w:rPr>
        <w:t>,</w:t>
      </w:r>
      <w:r w:rsidR="004055B4">
        <w:rPr>
          <w:rFonts w:ascii="Times New Roman" w:hAnsi="Times New Roman" w:cs="Times New Roman"/>
          <w:sz w:val="24"/>
          <w:szCs w:val="24"/>
        </w:rPr>
        <w:t xml:space="preserve"> the Supreme Court decided that they were not under </w:t>
      </w:r>
      <w:r w:rsidR="002268CD">
        <w:rPr>
          <w:rFonts w:ascii="Times New Roman" w:hAnsi="Times New Roman" w:cs="Times New Roman"/>
          <w:sz w:val="24"/>
          <w:szCs w:val="24"/>
        </w:rPr>
        <w:t xml:space="preserve">such </w:t>
      </w:r>
      <w:r w:rsidR="004055B4">
        <w:rPr>
          <w:rFonts w:ascii="Times New Roman" w:hAnsi="Times New Roman" w:cs="Times New Roman"/>
          <w:sz w:val="24"/>
          <w:szCs w:val="24"/>
        </w:rPr>
        <w:t>a duty</w:t>
      </w:r>
      <w:r w:rsidR="002268CD">
        <w:rPr>
          <w:rFonts w:ascii="Times New Roman" w:hAnsi="Times New Roman" w:cs="Times New Roman"/>
          <w:sz w:val="24"/>
          <w:szCs w:val="24"/>
        </w:rPr>
        <w:t xml:space="preserve">. </w:t>
      </w:r>
      <w:r w:rsidR="004055B4">
        <w:rPr>
          <w:rFonts w:ascii="Times New Roman" w:hAnsi="Times New Roman" w:cs="Times New Roman"/>
          <w:sz w:val="24"/>
          <w:szCs w:val="24"/>
        </w:rPr>
        <w:t xml:space="preserve">In </w:t>
      </w:r>
      <w:r w:rsidR="004C6FB1">
        <w:rPr>
          <w:rFonts w:ascii="Times New Roman" w:hAnsi="Times New Roman" w:cs="Times New Roman"/>
          <w:sz w:val="24"/>
          <w:szCs w:val="24"/>
        </w:rPr>
        <w:t xml:space="preserve">reaching this conclusion </w:t>
      </w:r>
      <w:r w:rsidR="002268CD">
        <w:rPr>
          <w:rFonts w:ascii="Times New Roman" w:hAnsi="Times New Roman" w:cs="Times New Roman"/>
          <w:sz w:val="24"/>
          <w:szCs w:val="24"/>
        </w:rPr>
        <w:t xml:space="preserve">it </w:t>
      </w:r>
      <w:r w:rsidR="004C6FB1">
        <w:rPr>
          <w:rFonts w:ascii="Times New Roman" w:hAnsi="Times New Roman" w:cs="Times New Roman"/>
          <w:sz w:val="24"/>
          <w:szCs w:val="24"/>
        </w:rPr>
        <w:t>i</w:t>
      </w:r>
      <w:r w:rsidR="002268CD">
        <w:rPr>
          <w:rFonts w:ascii="Times New Roman" w:hAnsi="Times New Roman" w:cs="Times New Roman"/>
          <w:sz w:val="24"/>
          <w:szCs w:val="24"/>
        </w:rPr>
        <w:t xml:space="preserve">s </w:t>
      </w:r>
      <w:r w:rsidR="0036586E">
        <w:rPr>
          <w:rFonts w:ascii="Times New Roman" w:hAnsi="Times New Roman" w:cs="Times New Roman"/>
          <w:sz w:val="24"/>
          <w:szCs w:val="24"/>
        </w:rPr>
        <w:t xml:space="preserve">clear </w:t>
      </w:r>
      <w:r w:rsidR="002268CD">
        <w:rPr>
          <w:rFonts w:ascii="Times New Roman" w:hAnsi="Times New Roman" w:cs="Times New Roman"/>
          <w:sz w:val="24"/>
          <w:szCs w:val="24"/>
        </w:rPr>
        <w:t xml:space="preserve">that </w:t>
      </w:r>
      <w:r w:rsidR="004055B4">
        <w:rPr>
          <w:rFonts w:ascii="Times New Roman" w:hAnsi="Times New Roman" w:cs="Times New Roman"/>
          <w:sz w:val="24"/>
          <w:szCs w:val="24"/>
        </w:rPr>
        <w:t xml:space="preserve">they </w:t>
      </w:r>
      <w:r w:rsidR="002268CD">
        <w:rPr>
          <w:rFonts w:ascii="Times New Roman" w:hAnsi="Times New Roman" w:cs="Times New Roman"/>
          <w:sz w:val="24"/>
          <w:szCs w:val="24"/>
        </w:rPr>
        <w:t xml:space="preserve">were concerned to </w:t>
      </w:r>
      <w:r w:rsidR="004055B4">
        <w:rPr>
          <w:rFonts w:ascii="Times New Roman" w:hAnsi="Times New Roman" w:cs="Times New Roman"/>
          <w:sz w:val="24"/>
          <w:szCs w:val="24"/>
        </w:rPr>
        <w:t>respect</w:t>
      </w:r>
      <w:r w:rsidR="0036586E">
        <w:rPr>
          <w:rFonts w:ascii="Times New Roman" w:hAnsi="Times New Roman" w:cs="Times New Roman"/>
          <w:sz w:val="24"/>
          <w:szCs w:val="24"/>
        </w:rPr>
        <w:t xml:space="preserve"> </w:t>
      </w:r>
      <w:r w:rsidR="002268CD">
        <w:rPr>
          <w:rFonts w:ascii="Times New Roman" w:hAnsi="Times New Roman" w:cs="Times New Roman"/>
          <w:sz w:val="24"/>
          <w:szCs w:val="24"/>
        </w:rPr>
        <w:t>their constitutional position</w:t>
      </w:r>
      <w:r w:rsidR="001029CC">
        <w:rPr>
          <w:rFonts w:ascii="Times New Roman" w:hAnsi="Times New Roman" w:cs="Times New Roman"/>
          <w:sz w:val="24"/>
          <w:szCs w:val="24"/>
        </w:rPr>
        <w:t>,</w:t>
      </w:r>
      <w:r w:rsidR="002268CD">
        <w:rPr>
          <w:rFonts w:ascii="Times New Roman" w:hAnsi="Times New Roman" w:cs="Times New Roman"/>
          <w:sz w:val="24"/>
          <w:szCs w:val="24"/>
        </w:rPr>
        <w:t xml:space="preserve"> </w:t>
      </w:r>
      <w:r w:rsidR="00371738">
        <w:rPr>
          <w:rFonts w:ascii="Times New Roman" w:hAnsi="Times New Roman" w:cs="Times New Roman"/>
          <w:sz w:val="24"/>
          <w:szCs w:val="24"/>
        </w:rPr>
        <w:t xml:space="preserve">as defined by </w:t>
      </w:r>
      <w:r w:rsidR="004055B4">
        <w:rPr>
          <w:rFonts w:ascii="Times New Roman" w:hAnsi="Times New Roman" w:cs="Times New Roman"/>
          <w:sz w:val="24"/>
          <w:szCs w:val="24"/>
        </w:rPr>
        <w:t>the separation of powers</w:t>
      </w:r>
      <w:r w:rsidR="001029CC">
        <w:rPr>
          <w:rFonts w:ascii="Times New Roman" w:hAnsi="Times New Roman" w:cs="Times New Roman"/>
          <w:sz w:val="24"/>
          <w:szCs w:val="24"/>
        </w:rPr>
        <w:t>,</w:t>
      </w:r>
      <w:r w:rsidR="004055B4">
        <w:rPr>
          <w:rFonts w:ascii="Times New Roman" w:hAnsi="Times New Roman" w:cs="Times New Roman"/>
          <w:sz w:val="24"/>
          <w:szCs w:val="24"/>
        </w:rPr>
        <w:t xml:space="preserve"> in which housing policy is a matter for Parliament</w:t>
      </w:r>
      <w:r w:rsidR="00F464EE">
        <w:rPr>
          <w:rFonts w:ascii="Times New Roman" w:hAnsi="Times New Roman" w:cs="Times New Roman"/>
          <w:sz w:val="24"/>
          <w:szCs w:val="24"/>
        </w:rPr>
        <w:t>.</w:t>
      </w:r>
      <w:r w:rsidR="004055B4">
        <w:rPr>
          <w:rFonts w:ascii="Times New Roman" w:hAnsi="Times New Roman" w:cs="Times New Roman"/>
          <w:sz w:val="24"/>
          <w:szCs w:val="24"/>
        </w:rPr>
        <w:t xml:space="preserve"> </w:t>
      </w:r>
    </w:p>
    <w:p w:rsidR="002268CD" w:rsidRDefault="002268CD">
      <w:pPr>
        <w:autoSpaceDE w:val="0"/>
        <w:autoSpaceDN w:val="0"/>
        <w:adjustRightInd w:val="0"/>
        <w:spacing w:after="0" w:line="240" w:lineRule="auto"/>
        <w:rPr>
          <w:rFonts w:ascii="Times New Roman" w:hAnsi="Times New Roman" w:cs="Times New Roman"/>
          <w:sz w:val="24"/>
          <w:szCs w:val="24"/>
        </w:rPr>
      </w:pPr>
    </w:p>
    <w:p w:rsidR="0036586E" w:rsidRDefault="00562C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2268CD">
        <w:rPr>
          <w:rFonts w:ascii="Times New Roman" w:hAnsi="Times New Roman" w:cs="Times New Roman"/>
          <w:sz w:val="24"/>
          <w:szCs w:val="24"/>
        </w:rPr>
        <w:t xml:space="preserve"> Supreme Court also</w:t>
      </w:r>
      <w:r>
        <w:rPr>
          <w:rFonts w:ascii="Times New Roman" w:hAnsi="Times New Roman" w:cs="Times New Roman"/>
          <w:sz w:val="24"/>
          <w:szCs w:val="24"/>
        </w:rPr>
        <w:t xml:space="preserve"> emphasised the contractual relationship of the parties under an AST as that relationship is shaped by legislative regulation.</w:t>
      </w:r>
      <w:r w:rsidR="00775662">
        <w:rPr>
          <w:rFonts w:ascii="Times New Roman" w:hAnsi="Times New Roman" w:cs="Times New Roman"/>
          <w:sz w:val="24"/>
          <w:szCs w:val="24"/>
        </w:rPr>
        <w:t xml:space="preserve"> </w:t>
      </w:r>
      <w:r w:rsidR="0036586E">
        <w:rPr>
          <w:rFonts w:ascii="Times New Roman" w:hAnsi="Times New Roman" w:cs="Times New Roman"/>
          <w:sz w:val="24"/>
          <w:szCs w:val="24"/>
        </w:rPr>
        <w:t>But</w:t>
      </w:r>
      <w:r w:rsidR="00BB126A">
        <w:rPr>
          <w:rFonts w:ascii="Times New Roman" w:hAnsi="Times New Roman" w:cs="Times New Roman"/>
          <w:sz w:val="24"/>
          <w:szCs w:val="24"/>
        </w:rPr>
        <w:t xml:space="preserve"> t</w:t>
      </w:r>
      <w:r w:rsidR="00775662">
        <w:rPr>
          <w:rFonts w:ascii="Times New Roman" w:hAnsi="Times New Roman" w:cs="Times New Roman"/>
          <w:sz w:val="24"/>
          <w:szCs w:val="24"/>
        </w:rPr>
        <w:t xml:space="preserve">hey </w:t>
      </w:r>
      <w:r w:rsidR="0036586E">
        <w:rPr>
          <w:rFonts w:ascii="Times New Roman" w:hAnsi="Times New Roman" w:cs="Times New Roman"/>
          <w:sz w:val="24"/>
          <w:szCs w:val="24"/>
        </w:rPr>
        <w:t xml:space="preserve">failed to </w:t>
      </w:r>
      <w:r w:rsidR="00775662">
        <w:rPr>
          <w:rFonts w:ascii="Times New Roman" w:hAnsi="Times New Roman" w:cs="Times New Roman"/>
          <w:sz w:val="24"/>
          <w:szCs w:val="24"/>
        </w:rPr>
        <w:t>note that the contractual freedom of tenants in the private rental housing market is illusory. If only AST</w:t>
      </w:r>
      <w:r w:rsidR="005F30B4">
        <w:rPr>
          <w:rFonts w:ascii="Times New Roman" w:hAnsi="Times New Roman" w:cs="Times New Roman"/>
          <w:sz w:val="24"/>
          <w:szCs w:val="24"/>
        </w:rPr>
        <w:t>s</w:t>
      </w:r>
      <w:r w:rsidR="00775662">
        <w:rPr>
          <w:rFonts w:ascii="Times New Roman" w:hAnsi="Times New Roman" w:cs="Times New Roman"/>
          <w:sz w:val="24"/>
          <w:szCs w:val="24"/>
        </w:rPr>
        <w:t xml:space="preserve"> are on offer that is all </w:t>
      </w:r>
      <w:r w:rsidR="00BB126A">
        <w:rPr>
          <w:rFonts w:ascii="Times New Roman" w:hAnsi="Times New Roman" w:cs="Times New Roman"/>
          <w:sz w:val="24"/>
          <w:szCs w:val="24"/>
        </w:rPr>
        <w:t xml:space="preserve">that private </w:t>
      </w:r>
      <w:r w:rsidR="00775662">
        <w:rPr>
          <w:rFonts w:ascii="Times New Roman" w:hAnsi="Times New Roman" w:cs="Times New Roman"/>
          <w:sz w:val="24"/>
          <w:szCs w:val="24"/>
        </w:rPr>
        <w:t xml:space="preserve">tenants can enter into. The very weak security of tenure afforded to AST tenants may work for those that have the few ties </w:t>
      </w:r>
      <w:r w:rsidR="009449DB">
        <w:rPr>
          <w:rFonts w:ascii="Times New Roman" w:hAnsi="Times New Roman" w:cs="Times New Roman"/>
          <w:sz w:val="24"/>
          <w:szCs w:val="24"/>
        </w:rPr>
        <w:t xml:space="preserve">and </w:t>
      </w:r>
      <w:r w:rsidR="00775662">
        <w:rPr>
          <w:rFonts w:ascii="Times New Roman" w:hAnsi="Times New Roman" w:cs="Times New Roman"/>
          <w:sz w:val="24"/>
          <w:szCs w:val="24"/>
        </w:rPr>
        <w:t xml:space="preserve">the resources, both financial and personal, to cope with the frequent changes of home that may result. But not all who have to resort to the private rental market value this flexibility – families with children wishing to maintain local ties are an obvious example. </w:t>
      </w:r>
      <w:r w:rsidR="0036586E">
        <w:rPr>
          <w:rFonts w:ascii="Times New Roman" w:hAnsi="Times New Roman" w:cs="Times New Roman"/>
          <w:sz w:val="24"/>
          <w:szCs w:val="24"/>
        </w:rPr>
        <w:t>The physically or mentally v</w:t>
      </w:r>
      <w:r w:rsidR="00775662">
        <w:rPr>
          <w:rFonts w:ascii="Times New Roman" w:hAnsi="Times New Roman" w:cs="Times New Roman"/>
          <w:sz w:val="24"/>
          <w:szCs w:val="24"/>
        </w:rPr>
        <w:t xml:space="preserve">ulnerable, like Fiona, may also </w:t>
      </w:r>
      <w:r w:rsidR="00371738">
        <w:rPr>
          <w:rFonts w:ascii="Times New Roman" w:hAnsi="Times New Roman" w:cs="Times New Roman"/>
          <w:sz w:val="24"/>
          <w:szCs w:val="24"/>
        </w:rPr>
        <w:t xml:space="preserve">need </w:t>
      </w:r>
      <w:r w:rsidR="00775662">
        <w:rPr>
          <w:rFonts w:ascii="Times New Roman" w:hAnsi="Times New Roman" w:cs="Times New Roman"/>
          <w:sz w:val="24"/>
          <w:szCs w:val="24"/>
        </w:rPr>
        <w:t>greater security of tenure</w:t>
      </w:r>
      <w:r w:rsidR="00371738">
        <w:rPr>
          <w:rFonts w:ascii="Times New Roman" w:hAnsi="Times New Roman" w:cs="Times New Roman"/>
          <w:sz w:val="24"/>
          <w:szCs w:val="24"/>
        </w:rPr>
        <w:t xml:space="preserve"> on health grounds</w:t>
      </w:r>
      <w:r w:rsidR="00775662">
        <w:rPr>
          <w:rFonts w:ascii="Times New Roman" w:hAnsi="Times New Roman" w:cs="Times New Roman"/>
          <w:sz w:val="24"/>
          <w:szCs w:val="24"/>
        </w:rPr>
        <w:t>.</w:t>
      </w:r>
      <w:r w:rsidR="00BB126A">
        <w:rPr>
          <w:rFonts w:ascii="Times New Roman" w:hAnsi="Times New Roman" w:cs="Times New Roman"/>
          <w:sz w:val="24"/>
          <w:szCs w:val="24"/>
        </w:rPr>
        <w:t xml:space="preserve"> </w:t>
      </w:r>
    </w:p>
    <w:p w:rsidR="0036586E" w:rsidRDefault="0036586E">
      <w:pPr>
        <w:autoSpaceDE w:val="0"/>
        <w:autoSpaceDN w:val="0"/>
        <w:adjustRightInd w:val="0"/>
        <w:spacing w:after="0" w:line="240" w:lineRule="auto"/>
        <w:rPr>
          <w:rFonts w:ascii="Times New Roman" w:hAnsi="Times New Roman" w:cs="Times New Roman"/>
          <w:sz w:val="24"/>
          <w:szCs w:val="24"/>
        </w:rPr>
      </w:pPr>
    </w:p>
    <w:p w:rsidR="00BB126A" w:rsidRDefault="008666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Although the Supreme Court noted that the policy shaping AST</w:t>
      </w:r>
      <w:r w:rsidR="005F30B4">
        <w:rPr>
          <w:rFonts w:ascii="Times New Roman" w:hAnsi="Times New Roman" w:cs="Times New Roman"/>
          <w:sz w:val="24"/>
          <w:szCs w:val="24"/>
        </w:rPr>
        <w:t>s</w:t>
      </w:r>
      <w:r>
        <w:rPr>
          <w:rFonts w:ascii="Times New Roman" w:hAnsi="Times New Roman" w:cs="Times New Roman"/>
          <w:sz w:val="24"/>
          <w:szCs w:val="24"/>
        </w:rPr>
        <w:t xml:space="preserve"> has not waive</w:t>
      </w:r>
      <w:r w:rsidR="00E9534F">
        <w:rPr>
          <w:rFonts w:ascii="Times New Roman" w:hAnsi="Times New Roman" w:cs="Times New Roman"/>
          <w:sz w:val="24"/>
          <w:szCs w:val="24"/>
        </w:rPr>
        <w:t>re</w:t>
      </w:r>
      <w:r>
        <w:rPr>
          <w:rFonts w:ascii="Times New Roman" w:hAnsi="Times New Roman" w:cs="Times New Roman"/>
          <w:sz w:val="24"/>
          <w:szCs w:val="24"/>
        </w:rPr>
        <w:t>d since the Housing Act 1988,</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it is undeniable that the housing market, and with it housing policy, has moved on. The significance of the private rental sector, and with it AST</w:t>
      </w:r>
      <w:r w:rsidR="005F30B4">
        <w:rPr>
          <w:rFonts w:ascii="Times New Roman" w:hAnsi="Times New Roman" w:cs="Times New Roman"/>
          <w:sz w:val="24"/>
          <w:szCs w:val="24"/>
        </w:rPr>
        <w:t>s</w:t>
      </w:r>
      <w:r>
        <w:rPr>
          <w:rFonts w:ascii="Times New Roman" w:hAnsi="Times New Roman" w:cs="Times New Roman"/>
          <w:sz w:val="24"/>
          <w:szCs w:val="24"/>
        </w:rPr>
        <w:t>, has grown considerably and now forms an important element of the housing market</w:t>
      </w:r>
      <w:r w:rsidR="005F30B4">
        <w:rPr>
          <w:rFonts w:ascii="Times New Roman" w:hAnsi="Times New Roman" w:cs="Times New Roman"/>
          <w:sz w:val="24"/>
          <w:szCs w:val="24"/>
        </w:rPr>
        <w:t>.</w:t>
      </w:r>
      <w:r>
        <w:rPr>
          <w:rFonts w:ascii="Times New Roman" w:hAnsi="Times New Roman" w:cs="Times New Roman"/>
          <w:sz w:val="24"/>
          <w:szCs w:val="24"/>
        </w:rPr>
        <w:t xml:space="preserve"> </w:t>
      </w:r>
      <w:r w:rsidR="0036586E" w:rsidRPr="007926F7">
        <w:rPr>
          <w:rFonts w:ascii="Times New Roman" w:hAnsi="Times New Roman" w:cs="Times New Roman"/>
        </w:rPr>
        <w:t>The private rental sector in England almost doubled in size between 2000 and 2012 mostly at the expense of the public rented sector</w:t>
      </w:r>
      <w:r w:rsidR="0036586E">
        <w:rPr>
          <w:rFonts w:ascii="Times New Roman" w:hAnsi="Times New Roman" w:cs="Times New Roman"/>
        </w:rPr>
        <w:t>.</w:t>
      </w:r>
      <w:r w:rsidR="0036586E" w:rsidRPr="0036586E">
        <w:rPr>
          <w:rStyle w:val="FootnoteReference"/>
          <w:rFonts w:ascii="Times New Roman" w:hAnsi="Times New Roman" w:cs="Times New Roman"/>
          <w:sz w:val="24"/>
          <w:szCs w:val="24"/>
        </w:rPr>
        <w:t xml:space="preserve"> </w:t>
      </w:r>
      <w:r w:rsidR="0036586E">
        <w:rPr>
          <w:rStyle w:val="FootnoteReference"/>
          <w:rFonts w:ascii="Times New Roman" w:hAnsi="Times New Roman" w:cs="Times New Roman"/>
          <w:sz w:val="24"/>
          <w:szCs w:val="24"/>
        </w:rPr>
        <w:footnoteReference w:id="29"/>
      </w:r>
      <w:r w:rsidR="0036586E">
        <w:rPr>
          <w:rFonts w:ascii="Times New Roman" w:hAnsi="Times New Roman" w:cs="Times New Roman"/>
          <w:sz w:val="24"/>
          <w:szCs w:val="24"/>
        </w:rPr>
        <w:t xml:space="preserve"> Accordingly, t</w:t>
      </w:r>
      <w:r>
        <w:rPr>
          <w:rFonts w:ascii="Times New Roman" w:hAnsi="Times New Roman" w:cs="Times New Roman"/>
          <w:sz w:val="24"/>
          <w:szCs w:val="24"/>
        </w:rPr>
        <w:t>here is growing disquiet at the limited protection it affords the diversity of AST tenants.</w:t>
      </w:r>
      <w:r w:rsidRPr="008666D5">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r w:rsidR="00F73427">
        <w:rPr>
          <w:rFonts w:ascii="Times New Roman" w:hAnsi="Times New Roman" w:cs="Times New Roman"/>
          <w:sz w:val="24"/>
          <w:szCs w:val="24"/>
        </w:rPr>
        <w:t xml:space="preserve">Admittedly these are policy issues but they are issues which are </w:t>
      </w:r>
      <w:r w:rsidR="00F464EE">
        <w:rPr>
          <w:rFonts w:ascii="Times New Roman" w:hAnsi="Times New Roman" w:cs="Times New Roman"/>
          <w:sz w:val="24"/>
          <w:szCs w:val="24"/>
        </w:rPr>
        <w:t xml:space="preserve">integral to </w:t>
      </w:r>
      <w:r w:rsidR="00A84639">
        <w:rPr>
          <w:rFonts w:ascii="Times New Roman" w:hAnsi="Times New Roman" w:cs="Times New Roman"/>
          <w:sz w:val="24"/>
          <w:szCs w:val="24"/>
        </w:rPr>
        <w:t xml:space="preserve">respect for the home under Article 8 which the HRA 1998 </w:t>
      </w:r>
      <w:r w:rsidR="00371738">
        <w:rPr>
          <w:rFonts w:ascii="Times New Roman" w:hAnsi="Times New Roman" w:cs="Times New Roman"/>
          <w:sz w:val="24"/>
          <w:szCs w:val="24"/>
        </w:rPr>
        <w:t xml:space="preserve">calls upon </w:t>
      </w:r>
      <w:r w:rsidR="00A84639">
        <w:rPr>
          <w:rFonts w:ascii="Times New Roman" w:hAnsi="Times New Roman" w:cs="Times New Roman"/>
          <w:sz w:val="24"/>
          <w:szCs w:val="24"/>
        </w:rPr>
        <w:t>the courts to</w:t>
      </w:r>
      <w:r w:rsidR="0036586E">
        <w:rPr>
          <w:rFonts w:ascii="Times New Roman" w:hAnsi="Times New Roman" w:cs="Times New Roman"/>
          <w:sz w:val="24"/>
          <w:szCs w:val="24"/>
        </w:rPr>
        <w:t xml:space="preserve"> adjudicate</w:t>
      </w:r>
      <w:r w:rsidR="00A84639">
        <w:rPr>
          <w:rFonts w:ascii="Times New Roman" w:hAnsi="Times New Roman" w:cs="Times New Roman"/>
          <w:sz w:val="24"/>
          <w:szCs w:val="24"/>
        </w:rPr>
        <w:t>.</w:t>
      </w:r>
    </w:p>
    <w:p w:rsidR="008666D5" w:rsidRDefault="008666D5">
      <w:pPr>
        <w:autoSpaceDE w:val="0"/>
        <w:autoSpaceDN w:val="0"/>
        <w:adjustRightInd w:val="0"/>
        <w:spacing w:after="0" w:line="240" w:lineRule="auto"/>
        <w:rPr>
          <w:rFonts w:ascii="Times New Roman" w:hAnsi="Times New Roman" w:cs="Times New Roman"/>
          <w:sz w:val="24"/>
          <w:szCs w:val="24"/>
        </w:rPr>
      </w:pPr>
    </w:p>
    <w:p w:rsidR="00BB126A" w:rsidRDefault="00BB12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Supreme Court also made no comment o</w:t>
      </w:r>
      <w:r w:rsidR="00F73427">
        <w:rPr>
          <w:rFonts w:ascii="Times New Roman" w:hAnsi="Times New Roman" w:cs="Times New Roman"/>
          <w:sz w:val="24"/>
          <w:szCs w:val="24"/>
        </w:rPr>
        <w:t>n</w:t>
      </w:r>
      <w:r>
        <w:rPr>
          <w:rFonts w:ascii="Times New Roman" w:hAnsi="Times New Roman" w:cs="Times New Roman"/>
          <w:sz w:val="24"/>
          <w:szCs w:val="24"/>
        </w:rPr>
        <w:t xml:space="preserve"> the context of Fiona’s </w:t>
      </w:r>
      <w:r w:rsidR="0036586E">
        <w:rPr>
          <w:rFonts w:ascii="Times New Roman" w:hAnsi="Times New Roman" w:cs="Times New Roman"/>
          <w:sz w:val="24"/>
          <w:szCs w:val="24"/>
        </w:rPr>
        <w:t xml:space="preserve">eviction </w:t>
      </w:r>
      <w:r w:rsidR="00A84639">
        <w:rPr>
          <w:rFonts w:ascii="Times New Roman" w:hAnsi="Times New Roman" w:cs="Times New Roman"/>
          <w:sz w:val="24"/>
          <w:szCs w:val="24"/>
        </w:rPr>
        <w:t xml:space="preserve">as </w:t>
      </w:r>
      <w:proofErr w:type="gramStart"/>
      <w:r w:rsidR="00A84639">
        <w:rPr>
          <w:rFonts w:ascii="Times New Roman" w:hAnsi="Times New Roman" w:cs="Times New Roman"/>
          <w:sz w:val="24"/>
          <w:szCs w:val="24"/>
        </w:rPr>
        <w:t xml:space="preserve">a </w:t>
      </w:r>
      <w:r w:rsidR="0036586E">
        <w:rPr>
          <w:rFonts w:ascii="Times New Roman" w:hAnsi="Times New Roman" w:cs="Times New Roman"/>
          <w:sz w:val="24"/>
          <w:szCs w:val="24"/>
        </w:rPr>
        <w:t>m</w:t>
      </w:r>
      <w:r w:rsidR="00A84639">
        <w:rPr>
          <w:rFonts w:ascii="Times New Roman" w:hAnsi="Times New Roman" w:cs="Times New Roman"/>
          <w:sz w:val="24"/>
          <w:szCs w:val="24"/>
        </w:rPr>
        <w:t>ortgage</w:t>
      </w:r>
      <w:proofErr w:type="gramEnd"/>
      <w:r w:rsidR="00A84639">
        <w:rPr>
          <w:rFonts w:ascii="Times New Roman" w:hAnsi="Times New Roman" w:cs="Times New Roman"/>
          <w:sz w:val="24"/>
          <w:szCs w:val="24"/>
        </w:rPr>
        <w:t xml:space="preserve"> </w:t>
      </w:r>
      <w:r>
        <w:rPr>
          <w:rFonts w:ascii="Times New Roman" w:hAnsi="Times New Roman" w:cs="Times New Roman"/>
          <w:sz w:val="24"/>
          <w:szCs w:val="24"/>
        </w:rPr>
        <w:t>repossession by a receiver which sidestepped the usual mortgage repossession safeguards</w:t>
      </w:r>
      <w:r w:rsidR="00F73427">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and has been the subject of concern both from Government</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and the mortgage industry.</w:t>
      </w:r>
      <w:r w:rsidR="00F73427">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w:t>
      </w:r>
    </w:p>
    <w:p w:rsidR="00775662" w:rsidRDefault="00775662">
      <w:pPr>
        <w:autoSpaceDE w:val="0"/>
        <w:autoSpaceDN w:val="0"/>
        <w:adjustRightInd w:val="0"/>
        <w:spacing w:after="0" w:line="240" w:lineRule="auto"/>
        <w:rPr>
          <w:rFonts w:ascii="Times New Roman" w:hAnsi="Times New Roman" w:cs="Times New Roman"/>
          <w:sz w:val="24"/>
          <w:szCs w:val="24"/>
        </w:rPr>
      </w:pPr>
    </w:p>
    <w:p w:rsidR="008159EC" w:rsidRDefault="000B71B2">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The </w:t>
      </w:r>
      <w:r w:rsidR="00A70EAF">
        <w:rPr>
          <w:rFonts w:ascii="Times New Roman" w:hAnsi="Times New Roman" w:cs="Times New Roman"/>
          <w:i/>
          <w:sz w:val="24"/>
          <w:szCs w:val="24"/>
        </w:rPr>
        <w:t xml:space="preserve">Relevance </w:t>
      </w:r>
      <w:proofErr w:type="gramStart"/>
      <w:r w:rsidR="00A70EAF">
        <w:rPr>
          <w:rFonts w:ascii="Times New Roman" w:hAnsi="Times New Roman" w:cs="Times New Roman"/>
          <w:i/>
          <w:sz w:val="24"/>
          <w:szCs w:val="24"/>
        </w:rPr>
        <w:t xml:space="preserve">of </w:t>
      </w:r>
      <w:r w:rsidR="008159EC">
        <w:rPr>
          <w:rFonts w:ascii="Times New Roman" w:hAnsi="Times New Roman" w:cs="Times New Roman"/>
          <w:i/>
          <w:sz w:val="24"/>
          <w:szCs w:val="24"/>
        </w:rPr>
        <w:t xml:space="preserve"> Strasbourg</w:t>
      </w:r>
      <w:proofErr w:type="gramEnd"/>
      <w:r w:rsidR="008159EC">
        <w:rPr>
          <w:rFonts w:ascii="Times New Roman" w:hAnsi="Times New Roman" w:cs="Times New Roman"/>
          <w:i/>
          <w:sz w:val="24"/>
          <w:szCs w:val="24"/>
        </w:rPr>
        <w:t xml:space="preserve"> Jurisprudence </w:t>
      </w:r>
      <w:r w:rsidR="00A70EAF">
        <w:rPr>
          <w:rFonts w:ascii="Times New Roman" w:hAnsi="Times New Roman" w:cs="Times New Roman"/>
          <w:i/>
          <w:sz w:val="24"/>
          <w:szCs w:val="24"/>
        </w:rPr>
        <w:t xml:space="preserve">– </w:t>
      </w:r>
      <w:r>
        <w:rPr>
          <w:rFonts w:ascii="Times New Roman" w:hAnsi="Times New Roman" w:cs="Times New Roman"/>
          <w:i/>
          <w:sz w:val="24"/>
          <w:szCs w:val="24"/>
        </w:rPr>
        <w:t>section 2 HRA 1998</w:t>
      </w:r>
    </w:p>
    <w:p w:rsidR="00562C27" w:rsidRDefault="00562C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Supreme Court did not believe that th</w:t>
      </w:r>
      <w:r w:rsidR="008159EC">
        <w:rPr>
          <w:rFonts w:ascii="Times New Roman" w:hAnsi="Times New Roman" w:cs="Times New Roman"/>
          <w:sz w:val="24"/>
          <w:szCs w:val="24"/>
        </w:rPr>
        <w:t xml:space="preserve">eir position on </w:t>
      </w:r>
      <w:r w:rsidR="001029CC">
        <w:rPr>
          <w:rFonts w:ascii="Times New Roman" w:hAnsi="Times New Roman" w:cs="Times New Roman"/>
          <w:sz w:val="24"/>
          <w:szCs w:val="24"/>
        </w:rPr>
        <w:t xml:space="preserve">remedial horizontality </w:t>
      </w:r>
      <w:r>
        <w:rPr>
          <w:rFonts w:ascii="Times New Roman" w:hAnsi="Times New Roman" w:cs="Times New Roman"/>
          <w:sz w:val="24"/>
          <w:szCs w:val="24"/>
        </w:rPr>
        <w:t xml:space="preserve">was at odds with their duty under section 2 of the HRA 1998 to have regard to the case law and opinions of the Strasbourg Court. </w:t>
      </w:r>
      <w:r w:rsidR="00220571">
        <w:rPr>
          <w:rFonts w:ascii="Times New Roman" w:hAnsi="Times New Roman" w:cs="Times New Roman"/>
          <w:sz w:val="24"/>
          <w:szCs w:val="24"/>
        </w:rPr>
        <w:t>T</w:t>
      </w:r>
      <w:r>
        <w:rPr>
          <w:rFonts w:ascii="Times New Roman" w:hAnsi="Times New Roman" w:cs="Times New Roman"/>
          <w:sz w:val="24"/>
          <w:szCs w:val="24"/>
        </w:rPr>
        <w:t xml:space="preserve">he Strasbourg Court has not </w:t>
      </w:r>
      <w:r w:rsidR="00220571">
        <w:rPr>
          <w:rFonts w:ascii="Times New Roman" w:hAnsi="Times New Roman" w:cs="Times New Roman"/>
          <w:sz w:val="24"/>
          <w:szCs w:val="24"/>
        </w:rPr>
        <w:t xml:space="preserve">specifically </w:t>
      </w:r>
      <w:r>
        <w:rPr>
          <w:rFonts w:ascii="Times New Roman" w:hAnsi="Times New Roman" w:cs="Times New Roman"/>
          <w:sz w:val="24"/>
          <w:szCs w:val="24"/>
        </w:rPr>
        <w:t xml:space="preserve">addressed the need for </w:t>
      </w:r>
      <w:r>
        <w:rPr>
          <w:rFonts w:ascii="Times New Roman" w:hAnsi="Times New Roman" w:cs="Times New Roman"/>
          <w:sz w:val="24"/>
          <w:szCs w:val="24"/>
        </w:rPr>
        <w:lastRenderedPageBreak/>
        <w:t>States</w:t>
      </w:r>
      <w:r w:rsidR="0075594B">
        <w:rPr>
          <w:rFonts w:ascii="Times New Roman" w:hAnsi="Times New Roman" w:cs="Times New Roman"/>
          <w:sz w:val="24"/>
          <w:szCs w:val="24"/>
        </w:rPr>
        <w:t>,</w:t>
      </w:r>
      <w:r>
        <w:rPr>
          <w:rFonts w:ascii="Times New Roman" w:hAnsi="Times New Roman" w:cs="Times New Roman"/>
          <w:sz w:val="24"/>
          <w:szCs w:val="24"/>
        </w:rPr>
        <w:t xml:space="preserve"> </w:t>
      </w:r>
      <w:r w:rsidR="0075594B">
        <w:rPr>
          <w:rFonts w:ascii="Times New Roman" w:hAnsi="Times New Roman" w:cs="Times New Roman"/>
          <w:sz w:val="24"/>
          <w:szCs w:val="24"/>
        </w:rPr>
        <w:t>in</w:t>
      </w:r>
      <w:r>
        <w:rPr>
          <w:rFonts w:ascii="Times New Roman" w:hAnsi="Times New Roman" w:cs="Times New Roman"/>
          <w:sz w:val="24"/>
          <w:szCs w:val="24"/>
        </w:rPr>
        <w:t xml:space="preserve"> shap</w:t>
      </w:r>
      <w:r w:rsidR="00F937CB">
        <w:rPr>
          <w:rFonts w:ascii="Times New Roman" w:hAnsi="Times New Roman" w:cs="Times New Roman"/>
          <w:sz w:val="24"/>
          <w:szCs w:val="24"/>
        </w:rPr>
        <w:t>ing</w:t>
      </w:r>
      <w:r>
        <w:rPr>
          <w:rFonts w:ascii="Times New Roman" w:hAnsi="Times New Roman" w:cs="Times New Roman"/>
          <w:sz w:val="24"/>
          <w:szCs w:val="24"/>
        </w:rPr>
        <w:t xml:space="preserve"> legislation</w:t>
      </w:r>
      <w:r w:rsidR="00F17654">
        <w:rPr>
          <w:rFonts w:ascii="Times New Roman" w:hAnsi="Times New Roman" w:cs="Times New Roman"/>
          <w:sz w:val="24"/>
          <w:szCs w:val="24"/>
        </w:rPr>
        <w:t xml:space="preserve"> implementing housing policy</w:t>
      </w:r>
      <w:r w:rsidR="0075594B">
        <w:rPr>
          <w:rFonts w:ascii="Times New Roman" w:hAnsi="Times New Roman" w:cs="Times New Roman"/>
          <w:sz w:val="24"/>
          <w:szCs w:val="24"/>
        </w:rPr>
        <w:t>,</w:t>
      </w:r>
      <w:r>
        <w:rPr>
          <w:rFonts w:ascii="Times New Roman" w:hAnsi="Times New Roman" w:cs="Times New Roman"/>
          <w:sz w:val="24"/>
          <w:szCs w:val="24"/>
        </w:rPr>
        <w:t xml:space="preserve"> to demand proportionality in possession proceedings by a private landlord</w:t>
      </w:r>
      <w:r w:rsidR="0036586E">
        <w:rPr>
          <w:rFonts w:ascii="Times New Roman" w:hAnsi="Times New Roman" w:cs="Times New Roman"/>
          <w:sz w:val="24"/>
          <w:szCs w:val="24"/>
        </w:rPr>
        <w:t xml:space="preserve"> but by the same token their clear statements on the </w:t>
      </w:r>
      <w:r w:rsidR="00220571">
        <w:rPr>
          <w:rFonts w:ascii="Times New Roman" w:hAnsi="Times New Roman" w:cs="Times New Roman"/>
          <w:sz w:val="24"/>
          <w:szCs w:val="24"/>
        </w:rPr>
        <w:t xml:space="preserve">need </w:t>
      </w:r>
      <w:r w:rsidR="0036586E">
        <w:rPr>
          <w:rFonts w:ascii="Times New Roman" w:hAnsi="Times New Roman" w:cs="Times New Roman"/>
          <w:sz w:val="24"/>
          <w:szCs w:val="24"/>
        </w:rPr>
        <w:t xml:space="preserve">for proportionality have </w:t>
      </w:r>
      <w:r w:rsidR="00220571">
        <w:rPr>
          <w:rFonts w:ascii="Times New Roman" w:hAnsi="Times New Roman" w:cs="Times New Roman"/>
          <w:sz w:val="24"/>
          <w:szCs w:val="24"/>
        </w:rPr>
        <w:t xml:space="preserve">been general in tone and </w:t>
      </w:r>
      <w:r w:rsidR="0036586E">
        <w:rPr>
          <w:rFonts w:ascii="Times New Roman" w:hAnsi="Times New Roman" w:cs="Times New Roman"/>
          <w:sz w:val="24"/>
          <w:szCs w:val="24"/>
        </w:rPr>
        <w:t>not restricted to public bodies</w:t>
      </w:r>
      <w:r>
        <w:rPr>
          <w:rFonts w:ascii="Times New Roman" w:hAnsi="Times New Roman" w:cs="Times New Roman"/>
          <w:sz w:val="24"/>
          <w:szCs w:val="24"/>
        </w:rPr>
        <w:t xml:space="preserve">. </w:t>
      </w:r>
    </w:p>
    <w:p w:rsidR="005150A0" w:rsidRDefault="005150A0">
      <w:pPr>
        <w:autoSpaceDE w:val="0"/>
        <w:autoSpaceDN w:val="0"/>
        <w:adjustRightInd w:val="0"/>
        <w:spacing w:after="0" w:line="240" w:lineRule="auto"/>
        <w:rPr>
          <w:rFonts w:ascii="Times New Roman" w:hAnsi="Times New Roman" w:cs="Times New Roman"/>
          <w:sz w:val="24"/>
          <w:szCs w:val="24"/>
        </w:rPr>
      </w:pPr>
    </w:p>
    <w:p w:rsidR="00562C27" w:rsidRDefault="00562C27" w:rsidP="00562C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line of cases from </w:t>
      </w:r>
      <w:r>
        <w:rPr>
          <w:rFonts w:ascii="Times New Roman" w:hAnsi="Times New Roman" w:cs="Times New Roman"/>
          <w:i/>
          <w:color w:val="000000"/>
          <w:sz w:val="24"/>
          <w:szCs w:val="24"/>
        </w:rPr>
        <w:t>Connors v UK</w:t>
      </w:r>
      <w:r>
        <w:rPr>
          <w:rStyle w:val="FootnoteReference"/>
          <w:rFonts w:ascii="Times New Roman" w:hAnsi="Times New Roman" w:cs="Times New Roman"/>
          <w:i/>
          <w:color w:val="000000"/>
          <w:sz w:val="24"/>
          <w:szCs w:val="24"/>
        </w:rPr>
        <w:footnoteReference w:id="34"/>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to </w:t>
      </w:r>
      <w:r>
        <w:rPr>
          <w:rFonts w:ascii="Times New Roman" w:hAnsi="Times New Roman" w:cs="Times New Roman"/>
          <w:i/>
          <w:color w:val="000000"/>
          <w:sz w:val="24"/>
          <w:szCs w:val="24"/>
        </w:rPr>
        <w:t>Kay v UK</w:t>
      </w:r>
      <w:r>
        <w:rPr>
          <w:rStyle w:val="FootnoteReference"/>
          <w:rFonts w:ascii="Times New Roman" w:hAnsi="Times New Roman" w:cs="Times New Roman"/>
          <w:i/>
          <w:color w:val="000000"/>
          <w:sz w:val="24"/>
          <w:szCs w:val="24"/>
        </w:rPr>
        <w:footnoteReference w:id="35"/>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taking in </w:t>
      </w:r>
      <w:proofErr w:type="spellStart"/>
      <w:r>
        <w:rPr>
          <w:rFonts w:ascii="Times New Roman" w:hAnsi="Times New Roman" w:cs="Times New Roman"/>
          <w:i/>
          <w:color w:val="000000"/>
          <w:sz w:val="24"/>
          <w:szCs w:val="24"/>
        </w:rPr>
        <w:t>Blecic</w:t>
      </w:r>
      <w:proofErr w:type="spellEnd"/>
      <w:r>
        <w:rPr>
          <w:rFonts w:ascii="Times New Roman" w:hAnsi="Times New Roman" w:cs="Times New Roman"/>
          <w:i/>
          <w:color w:val="000000"/>
          <w:sz w:val="24"/>
          <w:szCs w:val="24"/>
        </w:rPr>
        <w:t xml:space="preserve"> v Croatia,</w:t>
      </w:r>
      <w:r>
        <w:rPr>
          <w:rStyle w:val="FootnoteReference"/>
          <w:rFonts w:ascii="Times New Roman" w:hAnsi="Times New Roman" w:cs="Times New Roman"/>
          <w:i/>
          <w:color w:val="000000"/>
          <w:sz w:val="24"/>
          <w:szCs w:val="24"/>
        </w:rPr>
        <w:footnoteReference w:id="36"/>
      </w:r>
      <w:r>
        <w:rPr>
          <w:rFonts w:ascii="Times New Roman" w:hAnsi="Times New Roman" w:cs="Times New Roman"/>
          <w:i/>
          <w:color w:val="000000"/>
          <w:sz w:val="24"/>
          <w:szCs w:val="24"/>
        </w:rPr>
        <w:t xml:space="preserve"> McCann v UK,</w:t>
      </w:r>
      <w:r w:rsidRPr="005F0CC3">
        <w:rPr>
          <w:rStyle w:val="FootnoteReference"/>
          <w:rFonts w:ascii="Times New Roman" w:hAnsi="Times New Roman" w:cs="Times New Roman"/>
          <w:i/>
          <w:color w:val="000000"/>
          <w:sz w:val="24"/>
          <w:szCs w:val="24"/>
        </w:rPr>
        <w:t xml:space="preserve"> </w:t>
      </w:r>
      <w:r>
        <w:rPr>
          <w:rStyle w:val="FootnoteReference"/>
          <w:rFonts w:ascii="Times New Roman" w:hAnsi="Times New Roman" w:cs="Times New Roman"/>
          <w:i/>
          <w:color w:val="000000"/>
          <w:sz w:val="24"/>
          <w:szCs w:val="24"/>
        </w:rPr>
        <w:footnoteReference w:id="37"/>
      </w:r>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Cosic</w:t>
      </w:r>
      <w:proofErr w:type="spellEnd"/>
      <w:r>
        <w:rPr>
          <w:rFonts w:ascii="Times New Roman" w:hAnsi="Times New Roman" w:cs="Times New Roman"/>
          <w:i/>
          <w:color w:val="000000"/>
          <w:sz w:val="24"/>
          <w:szCs w:val="24"/>
        </w:rPr>
        <w:t xml:space="preserve"> v Croatia</w:t>
      </w:r>
      <w:r>
        <w:rPr>
          <w:rStyle w:val="FootnoteReference"/>
          <w:rFonts w:ascii="Times New Roman" w:hAnsi="Times New Roman" w:cs="Times New Roman"/>
          <w:i/>
          <w:color w:val="000000"/>
          <w:sz w:val="24"/>
          <w:szCs w:val="24"/>
        </w:rPr>
        <w:footnoteReference w:id="38"/>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and </w:t>
      </w:r>
      <w:proofErr w:type="spellStart"/>
      <w:r w:rsidRPr="004D4B70">
        <w:rPr>
          <w:rFonts w:ascii="Times New Roman" w:hAnsi="Times New Roman" w:cs="Times New Roman"/>
          <w:i/>
          <w:color w:val="000000"/>
          <w:sz w:val="24"/>
          <w:szCs w:val="24"/>
        </w:rPr>
        <w:t>Paulic</w:t>
      </w:r>
      <w:proofErr w:type="spellEnd"/>
      <w:r w:rsidRPr="004D4B70">
        <w:rPr>
          <w:rFonts w:ascii="Times New Roman" w:hAnsi="Times New Roman" w:cs="Times New Roman"/>
          <w:i/>
          <w:color w:val="000000"/>
          <w:sz w:val="24"/>
          <w:szCs w:val="24"/>
        </w:rPr>
        <w:t xml:space="preserve"> v Croatia</w:t>
      </w:r>
      <w:r>
        <w:rPr>
          <w:rStyle w:val="FootnoteReference"/>
          <w:rFonts w:ascii="Times New Roman" w:hAnsi="Times New Roman" w:cs="Times New Roman"/>
          <w:i/>
          <w:color w:val="000000"/>
          <w:sz w:val="24"/>
          <w:szCs w:val="24"/>
        </w:rPr>
        <w:footnoteReference w:id="39"/>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all concerned public authorities as did </w:t>
      </w:r>
      <w:proofErr w:type="spellStart"/>
      <w:r>
        <w:rPr>
          <w:rFonts w:ascii="Times New Roman" w:hAnsi="Times New Roman" w:cs="Times New Roman"/>
          <w:i/>
          <w:color w:val="000000"/>
          <w:sz w:val="24"/>
          <w:szCs w:val="24"/>
        </w:rPr>
        <w:t>Orlic</w:t>
      </w:r>
      <w:proofErr w:type="spellEnd"/>
      <w:r>
        <w:rPr>
          <w:rFonts w:ascii="Times New Roman" w:hAnsi="Times New Roman" w:cs="Times New Roman"/>
          <w:i/>
          <w:color w:val="000000"/>
          <w:sz w:val="24"/>
          <w:szCs w:val="24"/>
        </w:rPr>
        <w:t xml:space="preserve"> v Croatia</w:t>
      </w:r>
      <w:r>
        <w:rPr>
          <w:rStyle w:val="FootnoteReference"/>
          <w:rFonts w:ascii="Times New Roman" w:hAnsi="Times New Roman" w:cs="Times New Roman"/>
          <w:i/>
          <w:color w:val="000000"/>
          <w:sz w:val="24"/>
          <w:szCs w:val="24"/>
        </w:rPr>
        <w:footnoteReference w:id="40"/>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Buckland v UK</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41"/>
      </w:r>
      <w:r>
        <w:rPr>
          <w:rFonts w:ascii="Times New Roman" w:hAnsi="Times New Roman" w:cs="Times New Roman"/>
          <w:color w:val="000000"/>
          <w:sz w:val="24"/>
          <w:szCs w:val="24"/>
        </w:rPr>
        <w:t xml:space="preserve"> </w:t>
      </w:r>
      <w:r w:rsidR="00C15325">
        <w:rPr>
          <w:rFonts w:ascii="Times New Roman" w:hAnsi="Times New Roman" w:cs="Times New Roman"/>
          <w:color w:val="000000"/>
          <w:sz w:val="24"/>
          <w:szCs w:val="24"/>
        </w:rPr>
        <w:t xml:space="preserve">However, in none of these cases did the Strasbourg Court </w:t>
      </w:r>
      <w:r w:rsidR="00220571">
        <w:rPr>
          <w:rFonts w:ascii="Times New Roman" w:hAnsi="Times New Roman" w:cs="Times New Roman"/>
          <w:color w:val="000000"/>
          <w:sz w:val="24"/>
          <w:szCs w:val="24"/>
        </w:rPr>
        <w:t xml:space="preserve">expressly limit </w:t>
      </w:r>
      <w:r w:rsidR="00C15325">
        <w:rPr>
          <w:rFonts w:ascii="Times New Roman" w:hAnsi="Times New Roman" w:cs="Times New Roman"/>
          <w:color w:val="000000"/>
          <w:sz w:val="24"/>
          <w:szCs w:val="24"/>
        </w:rPr>
        <w:t xml:space="preserve">the requirement for proportionality to repossession by a public authority. </w:t>
      </w:r>
      <w:r w:rsidR="00220571">
        <w:rPr>
          <w:rFonts w:ascii="Times New Roman" w:hAnsi="Times New Roman" w:cs="Times New Roman"/>
          <w:color w:val="000000"/>
          <w:sz w:val="24"/>
          <w:szCs w:val="24"/>
        </w:rPr>
        <w:t xml:space="preserve">Only </w:t>
      </w:r>
      <w:r w:rsidR="00220571">
        <w:rPr>
          <w:rFonts w:ascii="Times New Roman" w:hAnsi="Times New Roman" w:cs="Times New Roman"/>
          <w:sz w:val="24"/>
          <w:szCs w:val="24"/>
        </w:rPr>
        <w:t xml:space="preserve">Judge De </w:t>
      </w:r>
      <w:proofErr w:type="spellStart"/>
      <w:r w:rsidR="00220571">
        <w:rPr>
          <w:rFonts w:ascii="Times New Roman" w:hAnsi="Times New Roman" w:cs="Times New Roman"/>
          <w:sz w:val="24"/>
          <w:szCs w:val="24"/>
        </w:rPr>
        <w:t>Gaetano</w:t>
      </w:r>
      <w:r w:rsidR="00AD1F79">
        <w:rPr>
          <w:rFonts w:ascii="Times New Roman" w:hAnsi="Times New Roman" w:cs="Times New Roman"/>
          <w:sz w:val="24"/>
          <w:szCs w:val="24"/>
        </w:rPr>
        <w:t>’s</w:t>
      </w:r>
      <w:proofErr w:type="spellEnd"/>
      <w:r w:rsidR="00220571">
        <w:rPr>
          <w:rFonts w:ascii="Times New Roman" w:hAnsi="Times New Roman" w:cs="Times New Roman"/>
          <w:sz w:val="24"/>
          <w:szCs w:val="24"/>
        </w:rPr>
        <w:t xml:space="preserve"> </w:t>
      </w:r>
      <w:r w:rsidR="004E063E">
        <w:rPr>
          <w:rFonts w:ascii="Times New Roman" w:hAnsi="Times New Roman" w:cs="Times New Roman"/>
          <w:sz w:val="24"/>
          <w:szCs w:val="24"/>
        </w:rPr>
        <w:t xml:space="preserve">in his separate </w:t>
      </w:r>
      <w:r w:rsidR="00220571">
        <w:rPr>
          <w:rFonts w:ascii="Times New Roman" w:hAnsi="Times New Roman" w:cs="Times New Roman"/>
          <w:sz w:val="24"/>
          <w:szCs w:val="24"/>
        </w:rPr>
        <w:t xml:space="preserve">opinion in </w:t>
      </w:r>
      <w:r w:rsidR="00220571">
        <w:rPr>
          <w:rFonts w:ascii="Times New Roman" w:hAnsi="Times New Roman" w:cs="Times New Roman"/>
          <w:i/>
          <w:sz w:val="24"/>
          <w:szCs w:val="24"/>
        </w:rPr>
        <w:t xml:space="preserve">Buckland </w:t>
      </w:r>
      <w:r w:rsidR="00220571">
        <w:rPr>
          <w:rFonts w:ascii="Times New Roman" w:hAnsi="Times New Roman" w:cs="Times New Roman"/>
          <w:sz w:val="24"/>
          <w:szCs w:val="24"/>
        </w:rPr>
        <w:t xml:space="preserve">expresses </w:t>
      </w:r>
      <w:r w:rsidR="004E063E">
        <w:rPr>
          <w:rFonts w:ascii="Times New Roman" w:hAnsi="Times New Roman" w:cs="Times New Roman"/>
          <w:sz w:val="24"/>
          <w:szCs w:val="24"/>
        </w:rPr>
        <w:t xml:space="preserve">clear </w:t>
      </w:r>
      <w:r w:rsidR="00AD1F79">
        <w:rPr>
          <w:rFonts w:ascii="Times New Roman" w:hAnsi="Times New Roman" w:cs="Times New Roman"/>
          <w:sz w:val="24"/>
          <w:szCs w:val="24"/>
        </w:rPr>
        <w:t>disquiet as to the operation of proportionality between private parties.</w:t>
      </w:r>
      <w:r w:rsidR="00AD1F79" w:rsidRPr="00AD1F79">
        <w:rPr>
          <w:rStyle w:val="FootnoteReference"/>
          <w:rFonts w:ascii="Times New Roman" w:hAnsi="Times New Roman" w:cs="Times New Roman"/>
          <w:i/>
          <w:sz w:val="24"/>
          <w:szCs w:val="24"/>
        </w:rPr>
        <w:t xml:space="preserve"> </w:t>
      </w:r>
      <w:r w:rsidR="00AD1F79" w:rsidRPr="00AD1F79">
        <w:rPr>
          <w:rStyle w:val="FootnoteReference"/>
          <w:rFonts w:ascii="Times New Roman" w:hAnsi="Times New Roman" w:cs="Times New Roman"/>
          <w:sz w:val="24"/>
          <w:szCs w:val="24"/>
        </w:rPr>
        <w:footnoteReference w:id="42"/>
      </w:r>
      <w:r w:rsidR="00AD1F79" w:rsidRPr="00AD1F79">
        <w:rPr>
          <w:rFonts w:ascii="Times New Roman" w:hAnsi="Times New Roman" w:cs="Times New Roman"/>
          <w:sz w:val="24"/>
          <w:szCs w:val="24"/>
        </w:rPr>
        <w:t xml:space="preserve"> </w:t>
      </w:r>
      <w:r w:rsidR="00C15325">
        <w:rPr>
          <w:rFonts w:ascii="Times New Roman" w:hAnsi="Times New Roman" w:cs="Times New Roman"/>
          <w:color w:val="000000"/>
          <w:sz w:val="24"/>
          <w:szCs w:val="24"/>
        </w:rPr>
        <w:t>Nevertheless, t</w:t>
      </w:r>
      <w:r>
        <w:rPr>
          <w:rFonts w:ascii="Times New Roman" w:hAnsi="Times New Roman" w:cs="Times New Roman"/>
          <w:color w:val="000000"/>
          <w:sz w:val="24"/>
          <w:szCs w:val="24"/>
        </w:rPr>
        <w:t>he Supreme Court did not feel that these cases could “be confidently translated to cases involving private sector landlords seeking to enforce a contractual right to possession subject to legislative constraints</w:t>
      </w:r>
      <w:r w:rsidR="00AD1F79">
        <w:rPr>
          <w:rFonts w:ascii="Times New Roman" w:hAnsi="Times New Roman" w:cs="Times New Roman"/>
          <w:color w:val="000000"/>
          <w:sz w:val="24"/>
          <w:szCs w:val="24"/>
        </w:rPr>
        <w:t>.</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43"/>
      </w:r>
      <w:r w:rsidR="00AD1F79">
        <w:rPr>
          <w:rFonts w:ascii="Times New Roman" w:hAnsi="Times New Roman" w:cs="Times New Roman"/>
          <w:color w:val="000000"/>
          <w:sz w:val="24"/>
          <w:szCs w:val="24"/>
        </w:rPr>
        <w:t xml:space="preserve"> They also </w:t>
      </w:r>
      <w:r w:rsidR="004E063E">
        <w:rPr>
          <w:rFonts w:ascii="Times New Roman" w:hAnsi="Times New Roman" w:cs="Times New Roman"/>
          <w:color w:val="000000"/>
          <w:sz w:val="24"/>
          <w:szCs w:val="24"/>
        </w:rPr>
        <w:t xml:space="preserve">highlighted </w:t>
      </w:r>
      <w:r w:rsidR="00AD1F79">
        <w:rPr>
          <w:rFonts w:ascii="Times New Roman" w:hAnsi="Times New Roman" w:cs="Times New Roman"/>
          <w:color w:val="000000"/>
          <w:sz w:val="24"/>
          <w:szCs w:val="24"/>
        </w:rPr>
        <w:t xml:space="preserve">Judge De </w:t>
      </w:r>
      <w:proofErr w:type="spellStart"/>
      <w:r w:rsidR="00AD1F79">
        <w:rPr>
          <w:rFonts w:ascii="Times New Roman" w:hAnsi="Times New Roman" w:cs="Times New Roman"/>
          <w:color w:val="000000"/>
          <w:sz w:val="24"/>
          <w:szCs w:val="24"/>
        </w:rPr>
        <w:t>Gatano’s</w:t>
      </w:r>
      <w:proofErr w:type="spellEnd"/>
      <w:r w:rsidR="00AD1F79">
        <w:rPr>
          <w:rFonts w:ascii="Times New Roman" w:hAnsi="Times New Roman" w:cs="Times New Roman"/>
          <w:color w:val="000000"/>
          <w:sz w:val="24"/>
          <w:szCs w:val="24"/>
        </w:rPr>
        <w:t xml:space="preserve"> reservations.</w:t>
      </w:r>
      <w:r w:rsidR="004C6FB1">
        <w:rPr>
          <w:rStyle w:val="FootnoteReference"/>
          <w:rFonts w:ascii="Times New Roman" w:hAnsi="Times New Roman" w:cs="Times New Roman"/>
          <w:color w:val="000000"/>
          <w:sz w:val="24"/>
          <w:szCs w:val="24"/>
        </w:rPr>
        <w:footnoteReference w:id="44"/>
      </w:r>
      <w:r w:rsidR="00AD1F79">
        <w:rPr>
          <w:rFonts w:ascii="Times New Roman" w:hAnsi="Times New Roman" w:cs="Times New Roman"/>
          <w:color w:val="000000"/>
          <w:sz w:val="24"/>
          <w:szCs w:val="24"/>
        </w:rPr>
        <w:t xml:space="preserve"> </w:t>
      </w:r>
      <w:r w:rsidR="00220571">
        <w:rPr>
          <w:rFonts w:ascii="Times New Roman" w:hAnsi="Times New Roman" w:cs="Times New Roman"/>
          <w:sz w:val="24"/>
          <w:szCs w:val="24"/>
        </w:rPr>
        <w:t xml:space="preserve">The limited number of </w:t>
      </w:r>
      <w:r>
        <w:rPr>
          <w:rFonts w:ascii="Times New Roman" w:hAnsi="Times New Roman" w:cs="Times New Roman"/>
          <w:sz w:val="24"/>
          <w:szCs w:val="24"/>
        </w:rPr>
        <w:t xml:space="preserve">Article 8 cases concerning private parties, namely </w:t>
      </w:r>
      <w:proofErr w:type="spellStart"/>
      <w:r>
        <w:rPr>
          <w:rFonts w:ascii="Times New Roman" w:hAnsi="Times New Roman" w:cs="Times New Roman"/>
          <w:i/>
          <w:sz w:val="24"/>
          <w:szCs w:val="24"/>
        </w:rPr>
        <w:t>Zrilic</w:t>
      </w:r>
      <w:proofErr w:type="spellEnd"/>
      <w:r>
        <w:rPr>
          <w:rFonts w:ascii="Times New Roman" w:hAnsi="Times New Roman" w:cs="Times New Roman"/>
          <w:i/>
          <w:sz w:val="24"/>
          <w:szCs w:val="24"/>
        </w:rPr>
        <w:t xml:space="preserve"> v Croatia,</w:t>
      </w:r>
      <w:r>
        <w:rPr>
          <w:rStyle w:val="FootnoteReference"/>
          <w:rFonts w:ascii="Times New Roman" w:hAnsi="Times New Roman" w:cs="Times New Roman"/>
          <w:i/>
          <w:sz w:val="24"/>
          <w:szCs w:val="24"/>
        </w:rPr>
        <w:footnoteReference w:id="45"/>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Brezec</w:t>
      </w:r>
      <w:proofErr w:type="spellEnd"/>
      <w:r>
        <w:rPr>
          <w:rFonts w:ascii="Times New Roman" w:hAnsi="Times New Roman" w:cs="Times New Roman"/>
          <w:i/>
          <w:sz w:val="24"/>
          <w:szCs w:val="24"/>
        </w:rPr>
        <w:t xml:space="preserve"> v Croatia,</w:t>
      </w:r>
      <w:r>
        <w:rPr>
          <w:rStyle w:val="FootnoteReference"/>
          <w:rFonts w:ascii="Times New Roman" w:hAnsi="Times New Roman" w:cs="Times New Roman"/>
          <w:i/>
          <w:sz w:val="24"/>
          <w:szCs w:val="24"/>
        </w:rPr>
        <w:footnoteReference w:id="46"/>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Lemo</w:t>
      </w:r>
      <w:proofErr w:type="spellEnd"/>
      <w:r>
        <w:rPr>
          <w:rFonts w:ascii="Times New Roman" w:hAnsi="Times New Roman" w:cs="Times New Roman"/>
          <w:i/>
          <w:sz w:val="24"/>
          <w:szCs w:val="24"/>
        </w:rPr>
        <w:t xml:space="preserve"> v Croatia</w:t>
      </w:r>
      <w:r>
        <w:rPr>
          <w:rStyle w:val="FootnoteReference"/>
          <w:rFonts w:ascii="Times New Roman" w:hAnsi="Times New Roman" w:cs="Times New Roman"/>
          <w:i/>
          <w:sz w:val="24"/>
          <w:szCs w:val="24"/>
        </w:rPr>
        <w:footnoteReference w:id="47"/>
      </w:r>
      <w:r>
        <w:rPr>
          <w:rFonts w:ascii="Times New Roman" w:hAnsi="Times New Roman" w:cs="Times New Roman"/>
          <w:i/>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i/>
          <w:sz w:val="24"/>
          <w:szCs w:val="24"/>
        </w:rPr>
        <w:t>Belchikova</w:t>
      </w:r>
      <w:proofErr w:type="spellEnd"/>
      <w:r>
        <w:rPr>
          <w:rFonts w:ascii="Times New Roman" w:hAnsi="Times New Roman" w:cs="Times New Roman"/>
          <w:i/>
          <w:sz w:val="24"/>
          <w:szCs w:val="24"/>
        </w:rPr>
        <w:t xml:space="preserve"> v Russia,</w:t>
      </w:r>
      <w:r>
        <w:rPr>
          <w:rStyle w:val="FootnoteReference"/>
          <w:rFonts w:ascii="Times New Roman" w:hAnsi="Times New Roman" w:cs="Times New Roman"/>
          <w:i/>
          <w:sz w:val="24"/>
          <w:szCs w:val="24"/>
        </w:rPr>
        <w:footnoteReference w:id="48"/>
      </w:r>
      <w:r>
        <w:rPr>
          <w:rFonts w:ascii="Times New Roman" w:hAnsi="Times New Roman" w:cs="Times New Roman"/>
          <w:i/>
          <w:sz w:val="24"/>
          <w:szCs w:val="24"/>
        </w:rPr>
        <w:t xml:space="preserve"> </w:t>
      </w:r>
      <w:r>
        <w:rPr>
          <w:rFonts w:ascii="Times New Roman" w:hAnsi="Times New Roman" w:cs="Times New Roman"/>
          <w:sz w:val="24"/>
          <w:szCs w:val="24"/>
        </w:rPr>
        <w:t>were dismissed on account of their particular circumstances. These circumstances either did not directly concern possession proceedings or were brought by a private landlord who had succeeded to previously state owned housing.</w:t>
      </w:r>
      <w:r w:rsidR="007E59BE">
        <w:rPr>
          <w:rFonts w:ascii="Times New Roman" w:hAnsi="Times New Roman" w:cs="Times New Roman"/>
          <w:sz w:val="24"/>
          <w:szCs w:val="24"/>
        </w:rPr>
        <w:t xml:space="preserve"> </w:t>
      </w:r>
      <w:r w:rsidR="00AD6F1B">
        <w:rPr>
          <w:rFonts w:ascii="Times New Roman" w:hAnsi="Times New Roman" w:cs="Times New Roman"/>
          <w:sz w:val="24"/>
          <w:szCs w:val="24"/>
        </w:rPr>
        <w:t>T</w:t>
      </w:r>
      <w:r>
        <w:rPr>
          <w:rFonts w:ascii="Times New Roman" w:hAnsi="Times New Roman" w:cs="Times New Roman"/>
          <w:sz w:val="24"/>
          <w:szCs w:val="24"/>
        </w:rPr>
        <w:t xml:space="preserve">he relationship </w:t>
      </w:r>
      <w:r w:rsidR="0097179B">
        <w:rPr>
          <w:rFonts w:ascii="Times New Roman" w:hAnsi="Times New Roman" w:cs="Times New Roman"/>
          <w:sz w:val="24"/>
          <w:szCs w:val="24"/>
        </w:rPr>
        <w:t xml:space="preserve">at issue </w:t>
      </w:r>
      <w:r w:rsidR="00AD6F1B">
        <w:rPr>
          <w:rFonts w:ascii="Times New Roman" w:hAnsi="Times New Roman" w:cs="Times New Roman"/>
          <w:sz w:val="24"/>
          <w:szCs w:val="24"/>
        </w:rPr>
        <w:t xml:space="preserve">thus seemed to </w:t>
      </w:r>
      <w:r w:rsidR="00F17654">
        <w:rPr>
          <w:rFonts w:ascii="Times New Roman" w:hAnsi="Times New Roman" w:cs="Times New Roman"/>
          <w:sz w:val="24"/>
          <w:szCs w:val="24"/>
        </w:rPr>
        <w:t>retain a hint of the public sector</w:t>
      </w:r>
      <w:r w:rsidR="008C4FA1">
        <w:rPr>
          <w:rFonts w:ascii="Times New Roman" w:hAnsi="Times New Roman" w:cs="Times New Roman"/>
          <w:sz w:val="24"/>
          <w:szCs w:val="24"/>
        </w:rPr>
        <w:t xml:space="preserve"> although </w:t>
      </w:r>
      <w:r w:rsidR="00C15325">
        <w:rPr>
          <w:rFonts w:ascii="Times New Roman" w:hAnsi="Times New Roman" w:cs="Times New Roman"/>
          <w:sz w:val="24"/>
          <w:szCs w:val="24"/>
        </w:rPr>
        <w:t xml:space="preserve">the </w:t>
      </w:r>
      <w:proofErr w:type="spellStart"/>
      <w:r w:rsidR="00C15325">
        <w:rPr>
          <w:rFonts w:ascii="Times New Roman" w:hAnsi="Times New Roman" w:cs="Times New Roman"/>
          <w:sz w:val="24"/>
          <w:szCs w:val="24"/>
        </w:rPr>
        <w:t>public</w:t>
      </w:r>
      <w:proofErr w:type="gramStart"/>
      <w:r w:rsidR="00220571">
        <w:rPr>
          <w:rFonts w:ascii="Times New Roman" w:hAnsi="Times New Roman" w:cs="Times New Roman"/>
          <w:sz w:val="24"/>
          <w:szCs w:val="24"/>
        </w:rPr>
        <w:t>:</w:t>
      </w:r>
      <w:r w:rsidR="00C15325">
        <w:rPr>
          <w:rFonts w:ascii="Times New Roman" w:hAnsi="Times New Roman" w:cs="Times New Roman"/>
          <w:sz w:val="24"/>
          <w:szCs w:val="24"/>
        </w:rPr>
        <w:t>private</w:t>
      </w:r>
      <w:proofErr w:type="spellEnd"/>
      <w:proofErr w:type="gramEnd"/>
      <w:r w:rsidR="00C15325">
        <w:rPr>
          <w:rFonts w:ascii="Times New Roman" w:hAnsi="Times New Roman" w:cs="Times New Roman"/>
          <w:sz w:val="24"/>
          <w:szCs w:val="24"/>
        </w:rPr>
        <w:t xml:space="preserve"> distinction </w:t>
      </w:r>
      <w:r w:rsidR="00314232">
        <w:rPr>
          <w:rFonts w:ascii="Times New Roman" w:hAnsi="Times New Roman" w:cs="Times New Roman"/>
          <w:sz w:val="24"/>
          <w:szCs w:val="24"/>
        </w:rPr>
        <w:t xml:space="preserve"> was not directly raised or argued</w:t>
      </w:r>
      <w:r w:rsidR="008C4FA1">
        <w:rPr>
          <w:rFonts w:ascii="Times New Roman" w:hAnsi="Times New Roman" w:cs="Times New Roman"/>
          <w:sz w:val="24"/>
          <w:szCs w:val="24"/>
        </w:rPr>
        <w:t>.</w:t>
      </w:r>
      <w:r w:rsidR="00C15325">
        <w:rPr>
          <w:rFonts w:ascii="Times New Roman" w:hAnsi="Times New Roman" w:cs="Times New Roman"/>
          <w:sz w:val="24"/>
          <w:szCs w:val="24"/>
        </w:rPr>
        <w:t xml:space="preserve"> </w:t>
      </w:r>
    </w:p>
    <w:p w:rsidR="00562C27" w:rsidRDefault="00562C27" w:rsidP="00562C27">
      <w:pPr>
        <w:autoSpaceDE w:val="0"/>
        <w:autoSpaceDN w:val="0"/>
        <w:adjustRightInd w:val="0"/>
        <w:spacing w:after="0" w:line="240" w:lineRule="auto"/>
        <w:rPr>
          <w:rFonts w:ascii="Times New Roman" w:hAnsi="Times New Roman" w:cs="Times New Roman"/>
          <w:sz w:val="24"/>
          <w:szCs w:val="24"/>
        </w:rPr>
      </w:pPr>
    </w:p>
    <w:p w:rsidR="00F17654" w:rsidRDefault="00F17654" w:rsidP="00F176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Supreme Court clearly preferred the message of the earlier admissibility decisions of </w:t>
      </w:r>
      <w:r>
        <w:rPr>
          <w:rFonts w:ascii="Times New Roman" w:hAnsi="Times New Roman" w:cs="Times New Roman"/>
          <w:i/>
          <w:sz w:val="24"/>
          <w:szCs w:val="24"/>
        </w:rPr>
        <w:t>Di Palma v UK</w:t>
      </w:r>
      <w:r>
        <w:rPr>
          <w:rStyle w:val="FootnoteReference"/>
          <w:rFonts w:ascii="Times New Roman" w:hAnsi="Times New Roman" w:cs="Times New Roman"/>
          <w:i/>
          <w:sz w:val="24"/>
          <w:szCs w:val="24"/>
        </w:rPr>
        <w:footnoteReference w:id="49"/>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Woods v UK</w:t>
      </w:r>
      <w:r>
        <w:rPr>
          <w:rStyle w:val="FootnoteReference"/>
          <w:rFonts w:ascii="Times New Roman" w:hAnsi="Times New Roman" w:cs="Times New Roman"/>
          <w:i/>
          <w:sz w:val="24"/>
          <w:szCs w:val="24"/>
        </w:rPr>
        <w:footnoteReference w:id="50"/>
      </w:r>
      <w:r>
        <w:rPr>
          <w:rFonts w:ascii="Times New Roman" w:hAnsi="Times New Roman" w:cs="Times New Roman"/>
          <w:i/>
          <w:sz w:val="24"/>
          <w:szCs w:val="24"/>
        </w:rPr>
        <w:t xml:space="preserve"> </w:t>
      </w:r>
      <w:r>
        <w:rPr>
          <w:rFonts w:ascii="Times New Roman" w:hAnsi="Times New Roman" w:cs="Times New Roman"/>
          <w:sz w:val="24"/>
          <w:szCs w:val="24"/>
        </w:rPr>
        <w:t>which refuted the application of Convention responsibilities to “exclusively private law relationships”</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in which the court merely provide</w:t>
      </w:r>
      <w:r w:rsidR="00AD6F1B">
        <w:rPr>
          <w:rFonts w:ascii="Times New Roman" w:hAnsi="Times New Roman" w:cs="Times New Roman"/>
          <w:sz w:val="24"/>
          <w:szCs w:val="24"/>
        </w:rPr>
        <w:t>s</w:t>
      </w:r>
      <w:r>
        <w:rPr>
          <w:rFonts w:ascii="Times New Roman" w:hAnsi="Times New Roman" w:cs="Times New Roman"/>
          <w:sz w:val="24"/>
          <w:szCs w:val="24"/>
        </w:rPr>
        <w:t xml:space="preserve"> a forum for the resolution of disputes.</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r w:rsidR="0097179B">
        <w:rPr>
          <w:rFonts w:ascii="Times New Roman" w:hAnsi="Times New Roman" w:cs="Times New Roman"/>
          <w:sz w:val="24"/>
          <w:szCs w:val="24"/>
        </w:rPr>
        <w:t>These decisions pre-dated the Strasbourg case law already referred to and</w:t>
      </w:r>
      <w:r w:rsidR="00220571">
        <w:rPr>
          <w:rFonts w:ascii="Times New Roman" w:hAnsi="Times New Roman" w:cs="Times New Roman"/>
          <w:sz w:val="24"/>
          <w:szCs w:val="24"/>
        </w:rPr>
        <w:t xml:space="preserve"> are at odds with the later decisions concerning State’s positive duties referred to below. They should </w:t>
      </w:r>
      <w:r w:rsidR="0097179B">
        <w:rPr>
          <w:rFonts w:ascii="Times New Roman" w:hAnsi="Times New Roman" w:cs="Times New Roman"/>
          <w:sz w:val="24"/>
          <w:szCs w:val="24"/>
        </w:rPr>
        <w:t xml:space="preserve">thus be treated with caution. </w:t>
      </w:r>
    </w:p>
    <w:p w:rsidR="00F17654" w:rsidRDefault="00F17654" w:rsidP="00F17654">
      <w:pPr>
        <w:autoSpaceDE w:val="0"/>
        <w:autoSpaceDN w:val="0"/>
        <w:adjustRightInd w:val="0"/>
        <w:spacing w:after="0" w:line="240" w:lineRule="auto"/>
        <w:rPr>
          <w:rFonts w:ascii="Times New Roman" w:hAnsi="Times New Roman" w:cs="Times New Roman"/>
          <w:sz w:val="24"/>
          <w:szCs w:val="24"/>
        </w:rPr>
      </w:pPr>
    </w:p>
    <w:p w:rsidR="00F17654" w:rsidRPr="00295406" w:rsidRDefault="00A70EAF" w:rsidP="00F17654">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State’s ECHR </w:t>
      </w:r>
      <w:r w:rsidR="008C4FA1">
        <w:rPr>
          <w:rFonts w:ascii="Times New Roman" w:hAnsi="Times New Roman" w:cs="Times New Roman"/>
          <w:i/>
          <w:sz w:val="24"/>
          <w:szCs w:val="24"/>
        </w:rPr>
        <w:t>Positive Duties - Intermediate Horizontality</w:t>
      </w:r>
    </w:p>
    <w:p w:rsidR="00F17654" w:rsidRDefault="00F17654" w:rsidP="00F17654">
      <w:pPr>
        <w:autoSpaceDE w:val="0"/>
        <w:autoSpaceDN w:val="0"/>
        <w:adjustRightInd w:val="0"/>
        <w:spacing w:after="0" w:line="240" w:lineRule="auto"/>
        <w:rPr>
          <w:rFonts w:ascii="Times New Roman" w:hAnsi="Times New Roman" w:cs="Times New Roman"/>
          <w:sz w:val="24"/>
          <w:szCs w:val="24"/>
        </w:rPr>
      </w:pPr>
    </w:p>
    <w:p w:rsidR="00562C27" w:rsidRPr="0075594B" w:rsidRDefault="0075594B" w:rsidP="00562C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What is more problematic is the Supreme Court’s failure to</w:t>
      </w:r>
      <w:r w:rsidR="0097179B">
        <w:rPr>
          <w:rFonts w:ascii="Times New Roman" w:hAnsi="Times New Roman" w:cs="Times New Roman"/>
          <w:sz w:val="24"/>
          <w:szCs w:val="24"/>
        </w:rPr>
        <w:t xml:space="preserve"> fully</w:t>
      </w:r>
      <w:r>
        <w:rPr>
          <w:rFonts w:ascii="Times New Roman" w:hAnsi="Times New Roman" w:cs="Times New Roman"/>
          <w:sz w:val="24"/>
          <w:szCs w:val="24"/>
        </w:rPr>
        <w:t xml:space="preserve"> engage with intermediate horizontality. Intermediate horizontality refers to </w:t>
      </w:r>
      <w:r w:rsidR="0097179B">
        <w:rPr>
          <w:rFonts w:ascii="Times New Roman" w:hAnsi="Times New Roman" w:cs="Times New Roman"/>
          <w:sz w:val="24"/>
          <w:szCs w:val="24"/>
        </w:rPr>
        <w:t xml:space="preserve">a </w:t>
      </w:r>
      <w:r>
        <w:rPr>
          <w:rFonts w:ascii="Times New Roman" w:hAnsi="Times New Roman" w:cs="Times New Roman"/>
          <w:sz w:val="24"/>
          <w:szCs w:val="24"/>
        </w:rPr>
        <w:t xml:space="preserve">State’s (or other public bodies’) </w:t>
      </w:r>
      <w:r>
        <w:rPr>
          <w:rFonts w:ascii="Times New Roman" w:hAnsi="Times New Roman" w:cs="Times New Roman"/>
          <w:sz w:val="24"/>
          <w:szCs w:val="24"/>
        </w:rPr>
        <w:lastRenderedPageBreak/>
        <w:t xml:space="preserve">accountability for the actions of private parties that fail to respect Convention rights. </w:t>
      </w:r>
      <w:proofErr w:type="spellStart"/>
      <w:r>
        <w:rPr>
          <w:rFonts w:ascii="Times New Roman" w:hAnsi="Times New Roman" w:cs="Times New Roman"/>
          <w:i/>
          <w:sz w:val="24"/>
          <w:szCs w:val="24"/>
        </w:rPr>
        <w:t>Zehentner</w:t>
      </w:r>
      <w:proofErr w:type="spellEnd"/>
      <w:r>
        <w:rPr>
          <w:rFonts w:ascii="Times New Roman" w:hAnsi="Times New Roman" w:cs="Times New Roman"/>
          <w:i/>
          <w:sz w:val="24"/>
          <w:szCs w:val="24"/>
        </w:rPr>
        <w:t xml:space="preserve"> v Austria</w:t>
      </w:r>
      <w:r>
        <w:rPr>
          <w:rStyle w:val="FootnoteReference"/>
          <w:rFonts w:ascii="Times New Roman" w:hAnsi="Times New Roman" w:cs="Times New Roman"/>
          <w:i/>
          <w:sz w:val="24"/>
          <w:szCs w:val="24"/>
        </w:rPr>
        <w:footnoteReference w:id="53"/>
      </w:r>
      <w:r>
        <w:rPr>
          <w:rFonts w:ascii="Times New Roman" w:hAnsi="Times New Roman" w:cs="Times New Roman"/>
          <w:i/>
          <w:sz w:val="24"/>
          <w:szCs w:val="24"/>
        </w:rPr>
        <w:t xml:space="preserve"> </w:t>
      </w:r>
      <w:r>
        <w:rPr>
          <w:rFonts w:ascii="Times New Roman" w:hAnsi="Times New Roman" w:cs="Times New Roman"/>
          <w:sz w:val="24"/>
          <w:szCs w:val="24"/>
        </w:rPr>
        <w:t xml:space="preserve"> and </w:t>
      </w:r>
      <w:r>
        <w:rPr>
          <w:rFonts w:ascii="Times New Roman" w:hAnsi="Times New Roman" w:cs="Times New Roman"/>
          <w:i/>
          <w:sz w:val="24"/>
          <w:szCs w:val="24"/>
        </w:rPr>
        <w:t xml:space="preserve">Mustafa &amp; </w:t>
      </w:r>
      <w:proofErr w:type="spellStart"/>
      <w:r>
        <w:rPr>
          <w:rFonts w:ascii="Times New Roman" w:hAnsi="Times New Roman" w:cs="Times New Roman"/>
          <w:i/>
          <w:sz w:val="24"/>
          <w:szCs w:val="24"/>
        </w:rPr>
        <w:t>Tarsibachi</w:t>
      </w:r>
      <w:proofErr w:type="spellEnd"/>
      <w:r>
        <w:rPr>
          <w:rFonts w:ascii="Times New Roman" w:hAnsi="Times New Roman" w:cs="Times New Roman"/>
          <w:i/>
          <w:sz w:val="24"/>
          <w:szCs w:val="24"/>
        </w:rPr>
        <w:t xml:space="preserve"> v Sweden</w:t>
      </w:r>
      <w:r>
        <w:rPr>
          <w:rFonts w:ascii="Times New Roman" w:hAnsi="Times New Roman" w:cs="Times New Roman"/>
          <w:sz w:val="24"/>
          <w:szCs w:val="24"/>
        </w:rPr>
        <w:t>,</w:t>
      </w:r>
      <w:r>
        <w:rPr>
          <w:rStyle w:val="FootnoteReference"/>
          <w:rFonts w:ascii="Times New Roman" w:hAnsi="Times New Roman" w:cs="Times New Roman"/>
          <w:i/>
          <w:sz w:val="24"/>
          <w:szCs w:val="24"/>
        </w:rPr>
        <w:footnoteReference w:id="54"/>
      </w:r>
      <w:r>
        <w:rPr>
          <w:rFonts w:ascii="Times New Roman" w:hAnsi="Times New Roman" w:cs="Times New Roman"/>
          <w:sz w:val="24"/>
          <w:szCs w:val="24"/>
        </w:rPr>
        <w:t xml:space="preserve"> provide examples.</w:t>
      </w:r>
      <w:r w:rsidR="0097179B">
        <w:rPr>
          <w:rStyle w:val="FootnoteReference"/>
          <w:rFonts w:ascii="Times New Roman" w:hAnsi="Times New Roman" w:cs="Times New Roman"/>
          <w:sz w:val="24"/>
          <w:szCs w:val="24"/>
        </w:rPr>
        <w:footnoteReference w:id="55"/>
      </w:r>
    </w:p>
    <w:p w:rsidR="00F17654" w:rsidRDefault="00F17654" w:rsidP="00F17654">
      <w:pPr>
        <w:autoSpaceDE w:val="0"/>
        <w:autoSpaceDN w:val="0"/>
        <w:adjustRightInd w:val="0"/>
        <w:spacing w:after="0" w:line="240" w:lineRule="auto"/>
        <w:rPr>
          <w:rFonts w:ascii="Times New Roman" w:hAnsi="Times New Roman" w:cs="Times New Roman"/>
          <w:i/>
          <w:color w:val="000000"/>
          <w:sz w:val="24"/>
          <w:szCs w:val="24"/>
        </w:rPr>
      </w:pPr>
    </w:p>
    <w:p w:rsidR="00F17654" w:rsidRDefault="00F17654" w:rsidP="00F17654">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i/>
          <w:color w:val="000000"/>
          <w:sz w:val="24"/>
          <w:szCs w:val="24"/>
        </w:rPr>
        <w:t>Zehentner</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concerned private parties, namely unsecured creditors </w:t>
      </w:r>
      <w:r w:rsidR="00BD1071">
        <w:rPr>
          <w:rFonts w:ascii="Times New Roman" w:hAnsi="Times New Roman" w:cs="Times New Roman"/>
          <w:color w:val="000000"/>
          <w:sz w:val="24"/>
          <w:szCs w:val="24"/>
        </w:rPr>
        <w:t xml:space="preserve">seeking </w:t>
      </w:r>
      <w:r w:rsidR="0097179B">
        <w:rPr>
          <w:rFonts w:ascii="Times New Roman" w:hAnsi="Times New Roman" w:cs="Times New Roman"/>
          <w:color w:val="000000"/>
          <w:sz w:val="24"/>
          <w:szCs w:val="24"/>
        </w:rPr>
        <w:t xml:space="preserve">debt recovery </w:t>
      </w:r>
      <w:r w:rsidR="0075594B">
        <w:rPr>
          <w:rFonts w:ascii="Times New Roman" w:hAnsi="Times New Roman" w:cs="Times New Roman"/>
          <w:color w:val="000000"/>
          <w:sz w:val="24"/>
          <w:szCs w:val="24"/>
        </w:rPr>
        <w:t xml:space="preserve">against </w:t>
      </w:r>
      <w:r w:rsidR="00656B02">
        <w:rPr>
          <w:rFonts w:ascii="Times New Roman" w:hAnsi="Times New Roman" w:cs="Times New Roman"/>
          <w:color w:val="000000"/>
          <w:sz w:val="24"/>
          <w:szCs w:val="24"/>
        </w:rPr>
        <w:t xml:space="preserve">the home of </w:t>
      </w:r>
      <w:r>
        <w:rPr>
          <w:rFonts w:ascii="Times New Roman" w:hAnsi="Times New Roman" w:cs="Times New Roman"/>
          <w:color w:val="000000"/>
          <w:sz w:val="24"/>
          <w:szCs w:val="24"/>
        </w:rPr>
        <w:t>a vulnerable debtor</w:t>
      </w:r>
      <w:r w:rsidR="0075594B">
        <w:rPr>
          <w:rFonts w:ascii="Times New Roman" w:hAnsi="Times New Roman" w:cs="Times New Roman"/>
          <w:color w:val="000000"/>
          <w:sz w:val="24"/>
          <w:szCs w:val="24"/>
        </w:rPr>
        <w:t xml:space="preserve">, in a process that bears some similarity to charging orders. </w:t>
      </w:r>
      <w:r w:rsidR="008C4FA1">
        <w:rPr>
          <w:rFonts w:ascii="Times New Roman" w:hAnsi="Times New Roman" w:cs="Times New Roman"/>
          <w:color w:val="000000"/>
          <w:sz w:val="24"/>
          <w:szCs w:val="24"/>
        </w:rPr>
        <w:t>T</w:t>
      </w:r>
      <w:r w:rsidR="0075594B">
        <w:rPr>
          <w:rFonts w:ascii="Times New Roman" w:hAnsi="Times New Roman" w:cs="Times New Roman"/>
          <w:color w:val="000000"/>
          <w:sz w:val="24"/>
          <w:szCs w:val="24"/>
        </w:rPr>
        <w:t xml:space="preserve">he Austrian enforcement process demanded that the debtor </w:t>
      </w:r>
      <w:r w:rsidR="007D4E50">
        <w:rPr>
          <w:rFonts w:ascii="Times New Roman" w:hAnsi="Times New Roman" w:cs="Times New Roman"/>
          <w:color w:val="000000"/>
          <w:sz w:val="24"/>
          <w:szCs w:val="24"/>
        </w:rPr>
        <w:t>object</w:t>
      </w:r>
      <w:r w:rsidR="0097179B">
        <w:rPr>
          <w:rFonts w:ascii="Times New Roman" w:hAnsi="Times New Roman" w:cs="Times New Roman"/>
          <w:color w:val="000000"/>
          <w:sz w:val="24"/>
          <w:szCs w:val="24"/>
        </w:rPr>
        <w:t>ed</w:t>
      </w:r>
      <w:r w:rsidR="007D4E50">
        <w:rPr>
          <w:rFonts w:ascii="Times New Roman" w:hAnsi="Times New Roman" w:cs="Times New Roman"/>
          <w:color w:val="000000"/>
          <w:sz w:val="24"/>
          <w:szCs w:val="24"/>
        </w:rPr>
        <w:t xml:space="preserve"> to the</w:t>
      </w:r>
      <w:r w:rsidR="00BD1071">
        <w:rPr>
          <w:rFonts w:ascii="Times New Roman" w:hAnsi="Times New Roman" w:cs="Times New Roman"/>
          <w:color w:val="000000"/>
          <w:sz w:val="24"/>
          <w:szCs w:val="24"/>
        </w:rPr>
        <w:t xml:space="preserve"> forced sale of their </w:t>
      </w:r>
      <w:r w:rsidR="00656B02">
        <w:rPr>
          <w:rFonts w:ascii="Times New Roman" w:hAnsi="Times New Roman" w:cs="Times New Roman"/>
          <w:color w:val="000000"/>
          <w:sz w:val="24"/>
          <w:szCs w:val="24"/>
        </w:rPr>
        <w:t>home</w:t>
      </w:r>
      <w:r w:rsidR="00AD1F79">
        <w:rPr>
          <w:rFonts w:ascii="Times New Roman" w:hAnsi="Times New Roman" w:cs="Times New Roman"/>
          <w:color w:val="000000"/>
          <w:sz w:val="24"/>
          <w:szCs w:val="24"/>
        </w:rPr>
        <w:t xml:space="preserve"> with</w:t>
      </w:r>
      <w:r w:rsidR="00BB65E1">
        <w:rPr>
          <w:rFonts w:ascii="Times New Roman" w:hAnsi="Times New Roman" w:cs="Times New Roman"/>
          <w:color w:val="000000"/>
          <w:sz w:val="24"/>
          <w:szCs w:val="24"/>
        </w:rPr>
        <w:t>in</w:t>
      </w:r>
      <w:r w:rsidR="007D4E50">
        <w:rPr>
          <w:rFonts w:ascii="Times New Roman" w:hAnsi="Times New Roman" w:cs="Times New Roman"/>
          <w:color w:val="000000"/>
          <w:sz w:val="24"/>
          <w:szCs w:val="24"/>
        </w:rPr>
        <w:t xml:space="preserve"> strict time limits</w:t>
      </w:r>
      <w:r w:rsidR="00AD1F79">
        <w:rPr>
          <w:rFonts w:ascii="Times New Roman" w:hAnsi="Times New Roman" w:cs="Times New Roman"/>
          <w:color w:val="000000"/>
          <w:sz w:val="24"/>
          <w:szCs w:val="24"/>
        </w:rPr>
        <w:t>.</w:t>
      </w:r>
      <w:r w:rsidR="007D4E50">
        <w:rPr>
          <w:rFonts w:ascii="Times New Roman" w:hAnsi="Times New Roman" w:cs="Times New Roman"/>
          <w:color w:val="000000"/>
          <w:sz w:val="24"/>
          <w:szCs w:val="24"/>
        </w:rPr>
        <w:t xml:space="preserve"> Ms </w:t>
      </w:r>
      <w:proofErr w:type="spellStart"/>
      <w:r w:rsidR="007D4E50">
        <w:rPr>
          <w:rFonts w:ascii="Times New Roman" w:hAnsi="Times New Roman" w:cs="Times New Roman"/>
          <w:color w:val="000000"/>
          <w:sz w:val="24"/>
          <w:szCs w:val="24"/>
        </w:rPr>
        <w:t>Zehentner</w:t>
      </w:r>
      <w:proofErr w:type="spellEnd"/>
      <w:r w:rsidR="007D4E50">
        <w:rPr>
          <w:rFonts w:ascii="Times New Roman" w:hAnsi="Times New Roman" w:cs="Times New Roman"/>
          <w:color w:val="000000"/>
          <w:sz w:val="24"/>
          <w:szCs w:val="24"/>
        </w:rPr>
        <w:t xml:space="preserve"> </w:t>
      </w:r>
      <w:r w:rsidR="0097179B">
        <w:rPr>
          <w:rFonts w:ascii="Times New Roman" w:hAnsi="Times New Roman" w:cs="Times New Roman"/>
          <w:color w:val="000000"/>
          <w:sz w:val="24"/>
          <w:szCs w:val="24"/>
        </w:rPr>
        <w:t xml:space="preserve">was unable </w:t>
      </w:r>
      <w:r w:rsidR="007D4E50">
        <w:rPr>
          <w:rFonts w:ascii="Times New Roman" w:hAnsi="Times New Roman" w:cs="Times New Roman"/>
          <w:color w:val="000000"/>
          <w:sz w:val="24"/>
          <w:szCs w:val="24"/>
        </w:rPr>
        <w:t>to comply</w:t>
      </w:r>
      <w:r w:rsidR="00AD1F79">
        <w:rPr>
          <w:rFonts w:ascii="Times New Roman" w:hAnsi="Times New Roman" w:cs="Times New Roman"/>
          <w:color w:val="000000"/>
          <w:sz w:val="24"/>
          <w:szCs w:val="24"/>
        </w:rPr>
        <w:t xml:space="preserve"> with these time limits because s</w:t>
      </w:r>
      <w:r w:rsidR="008C4FA1">
        <w:rPr>
          <w:rFonts w:ascii="Times New Roman" w:hAnsi="Times New Roman" w:cs="Times New Roman"/>
          <w:color w:val="000000"/>
          <w:sz w:val="24"/>
          <w:szCs w:val="24"/>
        </w:rPr>
        <w:t xml:space="preserve">he was </w:t>
      </w:r>
      <w:r w:rsidR="00BD1071">
        <w:rPr>
          <w:rFonts w:ascii="Times New Roman" w:hAnsi="Times New Roman" w:cs="Times New Roman"/>
          <w:color w:val="000000"/>
          <w:sz w:val="24"/>
          <w:szCs w:val="24"/>
        </w:rPr>
        <w:t xml:space="preserve">detained </w:t>
      </w:r>
      <w:r w:rsidR="008C4FA1">
        <w:rPr>
          <w:rFonts w:ascii="Times New Roman" w:hAnsi="Times New Roman" w:cs="Times New Roman"/>
          <w:color w:val="000000"/>
          <w:sz w:val="24"/>
          <w:szCs w:val="24"/>
        </w:rPr>
        <w:t>in hospital on account of her mental condition</w:t>
      </w:r>
      <w:r w:rsidR="007D4E50">
        <w:rPr>
          <w:rFonts w:ascii="Times New Roman" w:hAnsi="Times New Roman" w:cs="Times New Roman"/>
          <w:color w:val="000000"/>
          <w:sz w:val="24"/>
          <w:szCs w:val="24"/>
        </w:rPr>
        <w:t xml:space="preserve">. Austria was found in breach of both Article 1 Protocol 1 and Article 8 because this enforcement process failed to provide adequate procedural safeguards to persons in Ms </w:t>
      </w:r>
      <w:proofErr w:type="spellStart"/>
      <w:r w:rsidR="007D4E50">
        <w:rPr>
          <w:rFonts w:ascii="Times New Roman" w:hAnsi="Times New Roman" w:cs="Times New Roman"/>
          <w:color w:val="000000"/>
          <w:sz w:val="24"/>
          <w:szCs w:val="24"/>
        </w:rPr>
        <w:t>Zehentner’s</w:t>
      </w:r>
      <w:proofErr w:type="spellEnd"/>
      <w:r w:rsidR="007D4E50">
        <w:rPr>
          <w:rFonts w:ascii="Times New Roman" w:hAnsi="Times New Roman" w:cs="Times New Roman"/>
          <w:color w:val="000000"/>
          <w:sz w:val="24"/>
          <w:szCs w:val="24"/>
        </w:rPr>
        <w:t xml:space="preserve"> position. In effect the</w:t>
      </w:r>
      <w:r w:rsidR="00B97D70">
        <w:rPr>
          <w:rFonts w:ascii="Times New Roman" w:hAnsi="Times New Roman" w:cs="Times New Roman"/>
          <w:color w:val="000000"/>
          <w:sz w:val="24"/>
          <w:szCs w:val="24"/>
        </w:rPr>
        <w:t xml:space="preserve"> </w:t>
      </w:r>
      <w:proofErr w:type="spellStart"/>
      <w:r w:rsidR="00B97D70">
        <w:rPr>
          <w:rFonts w:ascii="Times New Roman" w:hAnsi="Times New Roman" w:cs="Times New Roman"/>
          <w:color w:val="000000"/>
          <w:sz w:val="24"/>
          <w:szCs w:val="24"/>
        </w:rPr>
        <w:t>ECtHR</w:t>
      </w:r>
      <w:proofErr w:type="spellEnd"/>
      <w:r w:rsidR="00B97D70">
        <w:rPr>
          <w:rFonts w:ascii="Times New Roman" w:hAnsi="Times New Roman" w:cs="Times New Roman"/>
          <w:color w:val="000000"/>
          <w:sz w:val="24"/>
          <w:szCs w:val="24"/>
        </w:rPr>
        <w:t xml:space="preserve"> found that Austria</w:t>
      </w:r>
      <w:r w:rsidR="007D4E50">
        <w:rPr>
          <w:rFonts w:ascii="Times New Roman" w:hAnsi="Times New Roman" w:cs="Times New Roman"/>
          <w:color w:val="000000"/>
          <w:sz w:val="24"/>
          <w:szCs w:val="24"/>
        </w:rPr>
        <w:t xml:space="preserve"> owed a positive duty to safeguard the mentally disabled embroiled </w:t>
      </w:r>
      <w:r w:rsidR="00066744">
        <w:rPr>
          <w:rFonts w:ascii="Times New Roman" w:hAnsi="Times New Roman" w:cs="Times New Roman"/>
          <w:color w:val="000000"/>
          <w:sz w:val="24"/>
          <w:szCs w:val="24"/>
        </w:rPr>
        <w:t xml:space="preserve">in enforcement proceedings even in the face of the legitimate aim of </w:t>
      </w:r>
      <w:r w:rsidR="00656B02">
        <w:rPr>
          <w:rFonts w:ascii="Times New Roman" w:hAnsi="Times New Roman" w:cs="Times New Roman"/>
          <w:color w:val="000000"/>
          <w:sz w:val="24"/>
          <w:szCs w:val="24"/>
        </w:rPr>
        <w:t xml:space="preserve">efficient </w:t>
      </w:r>
      <w:r w:rsidR="00066744">
        <w:rPr>
          <w:rFonts w:ascii="Times New Roman" w:hAnsi="Times New Roman" w:cs="Times New Roman"/>
          <w:color w:val="000000"/>
          <w:sz w:val="24"/>
          <w:szCs w:val="24"/>
        </w:rPr>
        <w:t>debt</w:t>
      </w:r>
      <w:r w:rsidR="00656B02">
        <w:rPr>
          <w:rFonts w:ascii="Times New Roman" w:hAnsi="Times New Roman" w:cs="Times New Roman"/>
          <w:color w:val="000000"/>
          <w:sz w:val="24"/>
          <w:szCs w:val="24"/>
        </w:rPr>
        <w:t xml:space="preserve"> recovery</w:t>
      </w:r>
      <w:r w:rsidR="00066744">
        <w:rPr>
          <w:rFonts w:ascii="Times New Roman" w:hAnsi="Times New Roman" w:cs="Times New Roman"/>
          <w:color w:val="000000"/>
          <w:sz w:val="24"/>
          <w:szCs w:val="24"/>
        </w:rPr>
        <w:t xml:space="preserve"> and the protection of innocent purchasers. </w:t>
      </w:r>
      <w:r w:rsidR="008C4FA1">
        <w:rPr>
          <w:rFonts w:ascii="Times New Roman" w:hAnsi="Times New Roman" w:cs="Times New Roman"/>
          <w:color w:val="000000"/>
          <w:sz w:val="24"/>
          <w:szCs w:val="24"/>
        </w:rPr>
        <w:t xml:space="preserve">In the context of an </w:t>
      </w:r>
      <w:r w:rsidR="00066744">
        <w:rPr>
          <w:rFonts w:ascii="Times New Roman" w:hAnsi="Times New Roman" w:cs="Times New Roman"/>
          <w:color w:val="000000"/>
          <w:sz w:val="24"/>
          <w:szCs w:val="24"/>
        </w:rPr>
        <w:t xml:space="preserve">AST the question </w:t>
      </w:r>
      <w:r w:rsidR="008C4FA1">
        <w:rPr>
          <w:rFonts w:ascii="Times New Roman" w:hAnsi="Times New Roman" w:cs="Times New Roman"/>
          <w:color w:val="000000"/>
          <w:sz w:val="24"/>
          <w:szCs w:val="24"/>
        </w:rPr>
        <w:t xml:space="preserve">could be framed as </w:t>
      </w:r>
      <w:r w:rsidR="00066744">
        <w:rPr>
          <w:rFonts w:ascii="Times New Roman" w:hAnsi="Times New Roman" w:cs="Times New Roman"/>
          <w:color w:val="000000"/>
          <w:sz w:val="24"/>
          <w:szCs w:val="24"/>
        </w:rPr>
        <w:t xml:space="preserve">whether a State owes positive duties under Article 8 to ensure that the process of repossession provides sufficient safeguards </w:t>
      </w:r>
      <w:r w:rsidR="00AD1F79">
        <w:rPr>
          <w:rFonts w:ascii="Times New Roman" w:hAnsi="Times New Roman" w:cs="Times New Roman"/>
          <w:color w:val="000000"/>
          <w:sz w:val="24"/>
          <w:szCs w:val="24"/>
        </w:rPr>
        <w:t xml:space="preserve">to </w:t>
      </w:r>
      <w:r w:rsidR="00BD1071">
        <w:rPr>
          <w:rFonts w:ascii="Times New Roman" w:hAnsi="Times New Roman" w:cs="Times New Roman"/>
          <w:color w:val="000000"/>
          <w:sz w:val="24"/>
          <w:szCs w:val="24"/>
        </w:rPr>
        <w:t xml:space="preserve">pay due respect to </w:t>
      </w:r>
      <w:r w:rsidR="00AD1F79">
        <w:rPr>
          <w:rFonts w:ascii="Times New Roman" w:hAnsi="Times New Roman" w:cs="Times New Roman"/>
          <w:color w:val="000000"/>
          <w:sz w:val="24"/>
          <w:szCs w:val="24"/>
        </w:rPr>
        <w:t xml:space="preserve"> </w:t>
      </w:r>
      <w:r w:rsidR="00066744">
        <w:rPr>
          <w:rFonts w:ascii="Times New Roman" w:hAnsi="Times New Roman" w:cs="Times New Roman"/>
          <w:color w:val="000000"/>
          <w:sz w:val="24"/>
          <w:szCs w:val="24"/>
        </w:rPr>
        <w:t>the vulnerability of a particular occupier</w:t>
      </w:r>
      <w:r w:rsidR="00EF2CB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EF2CB3">
        <w:rPr>
          <w:rFonts w:ascii="Times New Roman" w:hAnsi="Times New Roman" w:cs="Times New Roman"/>
          <w:color w:val="000000"/>
          <w:sz w:val="24"/>
          <w:szCs w:val="24"/>
        </w:rPr>
        <w:t>F</w:t>
      </w:r>
      <w:r w:rsidR="00066744">
        <w:rPr>
          <w:rFonts w:ascii="Times New Roman" w:hAnsi="Times New Roman" w:cs="Times New Roman"/>
          <w:color w:val="000000"/>
          <w:sz w:val="24"/>
          <w:szCs w:val="24"/>
        </w:rPr>
        <w:t xml:space="preserve">or example </w:t>
      </w:r>
      <w:r w:rsidR="00314232">
        <w:rPr>
          <w:rFonts w:ascii="Times New Roman" w:hAnsi="Times New Roman" w:cs="Times New Roman"/>
          <w:color w:val="000000"/>
          <w:sz w:val="24"/>
          <w:szCs w:val="24"/>
        </w:rPr>
        <w:t xml:space="preserve">in AST repossession proceedings, </w:t>
      </w:r>
      <w:r w:rsidR="00B97D70">
        <w:rPr>
          <w:rFonts w:ascii="Times New Roman" w:hAnsi="Times New Roman" w:cs="Times New Roman"/>
          <w:color w:val="000000"/>
          <w:sz w:val="24"/>
          <w:szCs w:val="24"/>
        </w:rPr>
        <w:t xml:space="preserve">a proportionality assessment </w:t>
      </w:r>
      <w:r w:rsidR="00EF2CB3">
        <w:rPr>
          <w:rFonts w:ascii="Times New Roman" w:hAnsi="Times New Roman" w:cs="Times New Roman"/>
          <w:color w:val="000000"/>
          <w:sz w:val="24"/>
          <w:szCs w:val="24"/>
        </w:rPr>
        <w:t>w</w:t>
      </w:r>
      <w:r w:rsidR="00B97D70">
        <w:rPr>
          <w:rFonts w:ascii="Times New Roman" w:hAnsi="Times New Roman" w:cs="Times New Roman"/>
          <w:color w:val="000000"/>
          <w:sz w:val="24"/>
          <w:szCs w:val="24"/>
        </w:rPr>
        <w:t xml:space="preserve">ould </w:t>
      </w:r>
      <w:r w:rsidR="00314232">
        <w:rPr>
          <w:rFonts w:ascii="Times New Roman" w:hAnsi="Times New Roman" w:cs="Times New Roman"/>
          <w:color w:val="000000"/>
          <w:sz w:val="24"/>
          <w:szCs w:val="24"/>
        </w:rPr>
        <w:t>provide the only opportunity</w:t>
      </w:r>
      <w:r w:rsidR="00BD1071" w:rsidRPr="00BD1071">
        <w:rPr>
          <w:rFonts w:ascii="Times New Roman" w:hAnsi="Times New Roman" w:cs="Times New Roman"/>
          <w:color w:val="000000"/>
          <w:sz w:val="24"/>
          <w:szCs w:val="24"/>
        </w:rPr>
        <w:t xml:space="preserve"> </w:t>
      </w:r>
      <w:r w:rsidR="00BD1071">
        <w:rPr>
          <w:rFonts w:ascii="Times New Roman" w:hAnsi="Times New Roman" w:cs="Times New Roman"/>
          <w:color w:val="000000"/>
          <w:sz w:val="24"/>
          <w:szCs w:val="24"/>
        </w:rPr>
        <w:t>to consider Fiona’s mental disability within the otherwise mandatory terms of section 21(4)</w:t>
      </w:r>
      <w:r w:rsidR="000667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However, the Supreme Court </w:t>
      </w:r>
      <w:r w:rsidR="00066744">
        <w:rPr>
          <w:rFonts w:ascii="Times New Roman" w:hAnsi="Times New Roman" w:cs="Times New Roman"/>
          <w:color w:val="000000"/>
          <w:sz w:val="24"/>
          <w:szCs w:val="24"/>
        </w:rPr>
        <w:t xml:space="preserve">did not </w:t>
      </w:r>
      <w:r w:rsidR="00B97D70">
        <w:rPr>
          <w:rFonts w:ascii="Times New Roman" w:hAnsi="Times New Roman" w:cs="Times New Roman"/>
          <w:color w:val="000000"/>
          <w:sz w:val="24"/>
          <w:szCs w:val="24"/>
        </w:rPr>
        <w:t xml:space="preserve">make this translation. They </w:t>
      </w:r>
      <w:r w:rsidR="00314232">
        <w:rPr>
          <w:rFonts w:ascii="Times New Roman" w:hAnsi="Times New Roman" w:cs="Times New Roman"/>
          <w:color w:val="000000"/>
          <w:sz w:val="24"/>
          <w:szCs w:val="24"/>
        </w:rPr>
        <w:t>restricted</w:t>
      </w:r>
      <w:r w:rsidR="00B97D70">
        <w:rPr>
          <w:rFonts w:ascii="Times New Roman" w:hAnsi="Times New Roman" w:cs="Times New Roman"/>
          <w:color w:val="000000"/>
          <w:sz w:val="24"/>
          <w:szCs w:val="24"/>
        </w:rPr>
        <w:t xml:space="preserve"> </w:t>
      </w:r>
      <w:proofErr w:type="spellStart"/>
      <w:r w:rsidR="00314232">
        <w:rPr>
          <w:rFonts w:ascii="Times New Roman" w:hAnsi="Times New Roman" w:cs="Times New Roman"/>
          <w:i/>
          <w:color w:val="000000"/>
          <w:sz w:val="24"/>
          <w:szCs w:val="24"/>
        </w:rPr>
        <w:t>Zehentner</w:t>
      </w:r>
      <w:proofErr w:type="spellEnd"/>
      <w:r w:rsidR="00314232">
        <w:rPr>
          <w:rFonts w:ascii="Times New Roman" w:hAnsi="Times New Roman" w:cs="Times New Roman"/>
          <w:i/>
          <w:color w:val="000000"/>
          <w:sz w:val="24"/>
          <w:szCs w:val="24"/>
        </w:rPr>
        <w:t xml:space="preserve"> </w:t>
      </w:r>
      <w:r w:rsidR="00314232">
        <w:rPr>
          <w:rFonts w:ascii="Times New Roman" w:hAnsi="Times New Roman" w:cs="Times New Roman"/>
          <w:color w:val="000000"/>
          <w:sz w:val="24"/>
          <w:szCs w:val="24"/>
        </w:rPr>
        <w:t>to</w:t>
      </w:r>
      <w:r w:rsidR="00B97D70">
        <w:rPr>
          <w:rFonts w:ascii="Times New Roman" w:hAnsi="Times New Roman" w:cs="Times New Roman"/>
          <w:color w:val="000000"/>
          <w:sz w:val="24"/>
          <w:szCs w:val="24"/>
        </w:rPr>
        <w:t xml:space="preserve"> its narrow factual context.</w:t>
      </w:r>
      <w:r>
        <w:rPr>
          <w:rStyle w:val="FootnoteReference"/>
          <w:rFonts w:ascii="Times New Roman" w:hAnsi="Times New Roman" w:cs="Times New Roman"/>
          <w:color w:val="000000"/>
          <w:sz w:val="24"/>
          <w:szCs w:val="24"/>
        </w:rPr>
        <w:footnoteReference w:id="56"/>
      </w:r>
      <w:r>
        <w:rPr>
          <w:rFonts w:ascii="Times New Roman" w:hAnsi="Times New Roman" w:cs="Times New Roman"/>
          <w:color w:val="000000"/>
          <w:sz w:val="24"/>
          <w:szCs w:val="24"/>
        </w:rPr>
        <w:t xml:space="preserve">   </w:t>
      </w:r>
    </w:p>
    <w:p w:rsidR="00B97D70" w:rsidRPr="005F0CC3" w:rsidRDefault="00B97D70" w:rsidP="00F17654">
      <w:pPr>
        <w:autoSpaceDE w:val="0"/>
        <w:autoSpaceDN w:val="0"/>
        <w:adjustRightInd w:val="0"/>
        <w:spacing w:after="0" w:line="240" w:lineRule="auto"/>
        <w:rPr>
          <w:rFonts w:ascii="Times New Roman" w:hAnsi="Times New Roman" w:cs="Times New Roman"/>
          <w:color w:val="000000"/>
          <w:sz w:val="24"/>
          <w:szCs w:val="24"/>
        </w:rPr>
      </w:pPr>
    </w:p>
    <w:p w:rsidR="0075594B" w:rsidRDefault="0075594B" w:rsidP="007559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Mustafa &amp; </w:t>
      </w:r>
      <w:proofErr w:type="spellStart"/>
      <w:r>
        <w:rPr>
          <w:rFonts w:ascii="Times New Roman" w:hAnsi="Times New Roman" w:cs="Times New Roman"/>
          <w:i/>
          <w:sz w:val="24"/>
          <w:szCs w:val="24"/>
        </w:rPr>
        <w:t>Tarsibachi</w:t>
      </w:r>
      <w:proofErr w:type="spellEnd"/>
      <w:r>
        <w:rPr>
          <w:rFonts w:ascii="Times New Roman" w:hAnsi="Times New Roman" w:cs="Times New Roman"/>
          <w:i/>
          <w:sz w:val="24"/>
          <w:szCs w:val="24"/>
        </w:rPr>
        <w:t xml:space="preserve"> </w:t>
      </w:r>
      <w:r w:rsidR="00EE0542">
        <w:rPr>
          <w:rFonts w:ascii="Times New Roman" w:hAnsi="Times New Roman" w:cs="Times New Roman"/>
          <w:sz w:val="24"/>
          <w:szCs w:val="24"/>
        </w:rPr>
        <w:t xml:space="preserve">also concerned private parties in the forfeiture of </w:t>
      </w:r>
      <w:r w:rsidR="00922850">
        <w:rPr>
          <w:rFonts w:ascii="Times New Roman" w:hAnsi="Times New Roman" w:cs="Times New Roman"/>
          <w:sz w:val="24"/>
          <w:szCs w:val="24"/>
        </w:rPr>
        <w:t xml:space="preserve">a </w:t>
      </w:r>
      <w:r w:rsidR="00EE0542">
        <w:rPr>
          <w:rFonts w:ascii="Times New Roman" w:hAnsi="Times New Roman" w:cs="Times New Roman"/>
          <w:sz w:val="24"/>
          <w:szCs w:val="24"/>
        </w:rPr>
        <w:t xml:space="preserve">lease for </w:t>
      </w:r>
      <w:r w:rsidR="00922850">
        <w:rPr>
          <w:rFonts w:ascii="Times New Roman" w:hAnsi="Times New Roman" w:cs="Times New Roman"/>
          <w:sz w:val="24"/>
          <w:szCs w:val="24"/>
        </w:rPr>
        <w:t xml:space="preserve">the </w:t>
      </w:r>
      <w:r w:rsidR="00EE0542">
        <w:rPr>
          <w:rFonts w:ascii="Times New Roman" w:hAnsi="Times New Roman" w:cs="Times New Roman"/>
          <w:sz w:val="24"/>
          <w:szCs w:val="24"/>
        </w:rPr>
        <w:t>minor breach</w:t>
      </w:r>
      <w:r w:rsidR="00BD1071">
        <w:rPr>
          <w:rFonts w:ascii="Times New Roman" w:hAnsi="Times New Roman" w:cs="Times New Roman"/>
          <w:sz w:val="24"/>
          <w:szCs w:val="24"/>
        </w:rPr>
        <w:t xml:space="preserve">. The tenant’s breach was to </w:t>
      </w:r>
      <w:r w:rsidR="00EE0542">
        <w:rPr>
          <w:rFonts w:ascii="Times New Roman" w:hAnsi="Times New Roman" w:cs="Times New Roman"/>
          <w:sz w:val="24"/>
          <w:szCs w:val="24"/>
        </w:rPr>
        <w:t>erect a satellite dish so the</w:t>
      </w:r>
      <w:r w:rsidR="00BD1071">
        <w:rPr>
          <w:rFonts w:ascii="Times New Roman" w:hAnsi="Times New Roman" w:cs="Times New Roman"/>
          <w:sz w:val="24"/>
          <w:szCs w:val="24"/>
        </w:rPr>
        <w:t>y</w:t>
      </w:r>
      <w:r w:rsidR="00EE0542">
        <w:rPr>
          <w:rFonts w:ascii="Times New Roman" w:hAnsi="Times New Roman" w:cs="Times New Roman"/>
          <w:sz w:val="24"/>
          <w:szCs w:val="24"/>
        </w:rPr>
        <w:t xml:space="preserve"> could receive broadcasts in the</w:t>
      </w:r>
      <w:r w:rsidR="00976ECF">
        <w:rPr>
          <w:rFonts w:ascii="Times New Roman" w:hAnsi="Times New Roman" w:cs="Times New Roman"/>
          <w:sz w:val="24"/>
          <w:szCs w:val="24"/>
        </w:rPr>
        <w:t>ir</w:t>
      </w:r>
      <w:r w:rsidR="00EE0542">
        <w:rPr>
          <w:rFonts w:ascii="Times New Roman" w:hAnsi="Times New Roman" w:cs="Times New Roman"/>
          <w:sz w:val="24"/>
          <w:szCs w:val="24"/>
        </w:rPr>
        <w:t xml:space="preserve"> native language</w:t>
      </w:r>
      <w:r w:rsidR="00976ECF">
        <w:rPr>
          <w:rFonts w:ascii="Times New Roman" w:hAnsi="Times New Roman" w:cs="Times New Roman"/>
          <w:sz w:val="24"/>
          <w:szCs w:val="24"/>
        </w:rPr>
        <w:t xml:space="preserve">. The case was decided under </w:t>
      </w:r>
      <w:r w:rsidR="00EE0542">
        <w:rPr>
          <w:rFonts w:ascii="Times New Roman" w:hAnsi="Times New Roman" w:cs="Times New Roman"/>
          <w:sz w:val="24"/>
          <w:szCs w:val="24"/>
        </w:rPr>
        <w:t xml:space="preserve">Article 10 </w:t>
      </w:r>
      <w:r w:rsidR="00976ECF">
        <w:rPr>
          <w:rFonts w:ascii="Times New Roman" w:hAnsi="Times New Roman" w:cs="Times New Roman"/>
          <w:sz w:val="24"/>
          <w:szCs w:val="24"/>
        </w:rPr>
        <w:t xml:space="preserve">(freedom of information) rather than Article 8 although the balancing of the private parties’ respective Convention rights </w:t>
      </w:r>
      <w:r w:rsidR="00A9013E">
        <w:rPr>
          <w:rFonts w:ascii="Times New Roman" w:hAnsi="Times New Roman" w:cs="Times New Roman"/>
          <w:sz w:val="24"/>
          <w:szCs w:val="24"/>
        </w:rPr>
        <w:t xml:space="preserve">is </w:t>
      </w:r>
      <w:r w:rsidR="00EF2CB3">
        <w:rPr>
          <w:rFonts w:ascii="Times New Roman" w:hAnsi="Times New Roman" w:cs="Times New Roman"/>
          <w:sz w:val="24"/>
          <w:szCs w:val="24"/>
        </w:rPr>
        <w:t xml:space="preserve">much </w:t>
      </w:r>
      <w:r w:rsidR="00976ECF">
        <w:rPr>
          <w:rFonts w:ascii="Times New Roman" w:hAnsi="Times New Roman" w:cs="Times New Roman"/>
          <w:sz w:val="24"/>
          <w:szCs w:val="24"/>
        </w:rPr>
        <w:t>the same.</w:t>
      </w:r>
      <w:r w:rsidR="00D6258E">
        <w:rPr>
          <w:rStyle w:val="FootnoteReference"/>
          <w:rFonts w:ascii="Times New Roman" w:hAnsi="Times New Roman" w:cs="Times New Roman"/>
          <w:sz w:val="24"/>
          <w:szCs w:val="24"/>
        </w:rPr>
        <w:footnoteReference w:id="57"/>
      </w:r>
      <w:r w:rsidR="00976ECF">
        <w:rPr>
          <w:rFonts w:ascii="Times New Roman" w:hAnsi="Times New Roman" w:cs="Times New Roman"/>
          <w:sz w:val="24"/>
          <w:szCs w:val="24"/>
        </w:rPr>
        <w:t xml:space="preserve"> </w:t>
      </w:r>
      <w:r w:rsidR="00656B02">
        <w:rPr>
          <w:rFonts w:ascii="Times New Roman" w:hAnsi="Times New Roman" w:cs="Times New Roman"/>
          <w:sz w:val="24"/>
          <w:szCs w:val="24"/>
        </w:rPr>
        <w:t xml:space="preserve">The </w:t>
      </w:r>
      <w:r>
        <w:rPr>
          <w:rFonts w:ascii="Times New Roman" w:hAnsi="Times New Roman" w:cs="Times New Roman"/>
          <w:sz w:val="24"/>
          <w:szCs w:val="24"/>
        </w:rPr>
        <w:t xml:space="preserve">Supreme Court </w:t>
      </w:r>
      <w:r w:rsidR="00976ECF">
        <w:rPr>
          <w:rFonts w:ascii="Times New Roman" w:hAnsi="Times New Roman" w:cs="Times New Roman"/>
          <w:sz w:val="24"/>
          <w:szCs w:val="24"/>
        </w:rPr>
        <w:t xml:space="preserve">read </w:t>
      </w:r>
      <w:r>
        <w:rPr>
          <w:rFonts w:ascii="Times New Roman" w:hAnsi="Times New Roman" w:cs="Times New Roman"/>
          <w:sz w:val="24"/>
          <w:szCs w:val="24"/>
        </w:rPr>
        <w:t>the decision as target</w:t>
      </w:r>
      <w:r w:rsidR="00976ECF">
        <w:rPr>
          <w:rFonts w:ascii="Times New Roman" w:hAnsi="Times New Roman" w:cs="Times New Roman"/>
          <w:sz w:val="24"/>
          <w:szCs w:val="24"/>
        </w:rPr>
        <w:t>ing</w:t>
      </w:r>
      <w:r>
        <w:rPr>
          <w:rFonts w:ascii="Times New Roman" w:hAnsi="Times New Roman" w:cs="Times New Roman"/>
          <w:sz w:val="24"/>
          <w:szCs w:val="24"/>
        </w:rPr>
        <w:t xml:space="preserve"> Sweden’s failure to enact legislation to safeguard the victim’s Article 10 right</w:t>
      </w:r>
      <w:r w:rsidR="00656B02">
        <w:rPr>
          <w:rFonts w:ascii="Times New Roman" w:hAnsi="Times New Roman" w:cs="Times New Roman"/>
          <w:sz w:val="24"/>
          <w:szCs w:val="24"/>
        </w:rPr>
        <w:t>s</w:t>
      </w:r>
      <w:r>
        <w:rPr>
          <w:rFonts w:ascii="Times New Roman" w:hAnsi="Times New Roman" w:cs="Times New Roman"/>
          <w:sz w:val="24"/>
          <w:szCs w:val="24"/>
        </w:rPr>
        <w:t xml:space="preserve"> </w:t>
      </w:r>
      <w:r w:rsidR="00976ECF">
        <w:rPr>
          <w:rFonts w:ascii="Times New Roman" w:hAnsi="Times New Roman" w:cs="Times New Roman"/>
          <w:sz w:val="24"/>
          <w:szCs w:val="24"/>
        </w:rPr>
        <w:t>rather than sanctioning the variation of contractual rights</w:t>
      </w:r>
      <w:r w:rsidR="00EF2CB3">
        <w:rPr>
          <w:rFonts w:ascii="Times New Roman" w:hAnsi="Times New Roman" w:cs="Times New Roman"/>
          <w:sz w:val="24"/>
          <w:szCs w:val="24"/>
        </w:rPr>
        <w:t>.</w:t>
      </w:r>
      <w:r w:rsidR="00976ECF">
        <w:rPr>
          <w:rFonts w:ascii="Times New Roman" w:hAnsi="Times New Roman" w:cs="Times New Roman"/>
          <w:sz w:val="24"/>
          <w:szCs w:val="24"/>
        </w:rPr>
        <w:t xml:space="preserve"> However it is difficult to see how th</w:t>
      </w:r>
      <w:r w:rsidR="00577885">
        <w:rPr>
          <w:rFonts w:ascii="Times New Roman" w:hAnsi="Times New Roman" w:cs="Times New Roman"/>
          <w:sz w:val="24"/>
          <w:szCs w:val="24"/>
        </w:rPr>
        <w:t xml:space="preserve">is positive duty </w:t>
      </w:r>
      <w:r w:rsidR="00976ECF">
        <w:rPr>
          <w:rFonts w:ascii="Times New Roman" w:hAnsi="Times New Roman" w:cs="Times New Roman"/>
          <w:sz w:val="24"/>
          <w:szCs w:val="24"/>
        </w:rPr>
        <w:t xml:space="preserve">could have </w:t>
      </w:r>
      <w:r w:rsidR="00656B02">
        <w:rPr>
          <w:rFonts w:ascii="Times New Roman" w:hAnsi="Times New Roman" w:cs="Times New Roman"/>
          <w:sz w:val="24"/>
          <w:szCs w:val="24"/>
        </w:rPr>
        <w:t xml:space="preserve">be </w:t>
      </w:r>
      <w:r w:rsidR="00976ECF">
        <w:rPr>
          <w:rFonts w:ascii="Times New Roman" w:hAnsi="Times New Roman" w:cs="Times New Roman"/>
          <w:sz w:val="24"/>
          <w:szCs w:val="24"/>
        </w:rPr>
        <w:t xml:space="preserve">achieved without </w:t>
      </w:r>
      <w:r w:rsidR="0093428E">
        <w:rPr>
          <w:rFonts w:ascii="Times New Roman" w:hAnsi="Times New Roman" w:cs="Times New Roman"/>
          <w:sz w:val="24"/>
          <w:szCs w:val="24"/>
        </w:rPr>
        <w:t>a State interfer</w:t>
      </w:r>
      <w:r w:rsidR="000237FD">
        <w:rPr>
          <w:rFonts w:ascii="Times New Roman" w:hAnsi="Times New Roman" w:cs="Times New Roman"/>
          <w:sz w:val="24"/>
          <w:szCs w:val="24"/>
        </w:rPr>
        <w:t>ing</w:t>
      </w:r>
      <w:r w:rsidR="0093428E">
        <w:rPr>
          <w:rFonts w:ascii="Times New Roman" w:hAnsi="Times New Roman" w:cs="Times New Roman"/>
          <w:sz w:val="24"/>
          <w:szCs w:val="24"/>
        </w:rPr>
        <w:t xml:space="preserve"> with</w:t>
      </w:r>
      <w:r w:rsidR="00976ECF">
        <w:rPr>
          <w:rFonts w:ascii="Times New Roman" w:hAnsi="Times New Roman" w:cs="Times New Roman"/>
          <w:sz w:val="24"/>
          <w:szCs w:val="24"/>
        </w:rPr>
        <w:t xml:space="preserve"> </w:t>
      </w:r>
      <w:r w:rsidR="0093428E">
        <w:rPr>
          <w:rFonts w:ascii="Times New Roman" w:hAnsi="Times New Roman" w:cs="Times New Roman"/>
          <w:sz w:val="24"/>
          <w:szCs w:val="24"/>
        </w:rPr>
        <w:t xml:space="preserve">private </w:t>
      </w:r>
      <w:r w:rsidR="00976ECF">
        <w:rPr>
          <w:rFonts w:ascii="Times New Roman" w:hAnsi="Times New Roman" w:cs="Times New Roman"/>
          <w:sz w:val="24"/>
          <w:szCs w:val="24"/>
        </w:rPr>
        <w:t>parties’ contractual rights</w:t>
      </w:r>
      <w:r w:rsidR="00656B02">
        <w:rPr>
          <w:rFonts w:ascii="Times New Roman" w:hAnsi="Times New Roman" w:cs="Times New Roman"/>
          <w:sz w:val="24"/>
          <w:szCs w:val="24"/>
        </w:rPr>
        <w:t>.</w:t>
      </w:r>
      <w:r w:rsidR="00976ECF">
        <w:rPr>
          <w:rFonts w:ascii="Times New Roman" w:hAnsi="Times New Roman" w:cs="Times New Roman"/>
          <w:sz w:val="24"/>
          <w:szCs w:val="24"/>
        </w:rPr>
        <w:t xml:space="preserve"> </w:t>
      </w:r>
      <w:r>
        <w:rPr>
          <w:rFonts w:ascii="Times New Roman" w:hAnsi="Times New Roman" w:cs="Times New Roman"/>
          <w:sz w:val="24"/>
          <w:szCs w:val="24"/>
        </w:rPr>
        <w:t xml:space="preserve"> </w:t>
      </w:r>
      <w:r w:rsidR="00577885">
        <w:rPr>
          <w:rFonts w:ascii="Times New Roman" w:hAnsi="Times New Roman" w:cs="Times New Roman"/>
          <w:sz w:val="24"/>
          <w:szCs w:val="24"/>
        </w:rPr>
        <w:t xml:space="preserve">For instance in this </w:t>
      </w:r>
      <w:r w:rsidR="000237FD">
        <w:rPr>
          <w:rFonts w:ascii="Times New Roman" w:hAnsi="Times New Roman" w:cs="Times New Roman"/>
          <w:sz w:val="24"/>
          <w:szCs w:val="24"/>
        </w:rPr>
        <w:t xml:space="preserve">jurisdiction </w:t>
      </w:r>
      <w:r w:rsidR="00656B02">
        <w:rPr>
          <w:rFonts w:ascii="Times New Roman" w:hAnsi="Times New Roman" w:cs="Times New Roman"/>
          <w:sz w:val="24"/>
          <w:szCs w:val="24"/>
        </w:rPr>
        <w:t xml:space="preserve">Parliament </w:t>
      </w:r>
      <w:r w:rsidR="000237FD">
        <w:rPr>
          <w:rFonts w:ascii="Times New Roman" w:hAnsi="Times New Roman" w:cs="Times New Roman"/>
          <w:sz w:val="24"/>
          <w:szCs w:val="24"/>
        </w:rPr>
        <w:t xml:space="preserve">has done so by granting a tenant a right to apply for relief </w:t>
      </w:r>
      <w:r w:rsidR="00314232">
        <w:rPr>
          <w:rFonts w:ascii="Times New Roman" w:hAnsi="Times New Roman" w:cs="Times New Roman"/>
          <w:sz w:val="24"/>
          <w:szCs w:val="24"/>
        </w:rPr>
        <w:t xml:space="preserve">and </w:t>
      </w:r>
      <w:r w:rsidR="00577885">
        <w:rPr>
          <w:rFonts w:ascii="Times New Roman" w:hAnsi="Times New Roman" w:cs="Times New Roman"/>
          <w:sz w:val="24"/>
          <w:szCs w:val="24"/>
        </w:rPr>
        <w:t xml:space="preserve">the court </w:t>
      </w:r>
      <w:r w:rsidR="000237FD">
        <w:rPr>
          <w:rFonts w:ascii="Times New Roman" w:hAnsi="Times New Roman" w:cs="Times New Roman"/>
          <w:sz w:val="24"/>
          <w:szCs w:val="24"/>
        </w:rPr>
        <w:t xml:space="preserve">a </w:t>
      </w:r>
      <w:r w:rsidR="00577885">
        <w:rPr>
          <w:rFonts w:ascii="Times New Roman" w:hAnsi="Times New Roman" w:cs="Times New Roman"/>
          <w:sz w:val="24"/>
          <w:szCs w:val="24"/>
        </w:rPr>
        <w:t>wide discretion to control the landlord’s contractual right to forfeit.</w:t>
      </w:r>
      <w:r w:rsidR="000237FD">
        <w:rPr>
          <w:rStyle w:val="FootnoteReference"/>
          <w:rFonts w:ascii="Times New Roman" w:hAnsi="Times New Roman" w:cs="Times New Roman"/>
          <w:sz w:val="24"/>
          <w:szCs w:val="24"/>
        </w:rPr>
        <w:footnoteReference w:id="58"/>
      </w:r>
      <w:r w:rsidR="00577885">
        <w:rPr>
          <w:rFonts w:ascii="Times New Roman" w:hAnsi="Times New Roman" w:cs="Times New Roman"/>
          <w:sz w:val="24"/>
          <w:szCs w:val="24"/>
        </w:rPr>
        <w:t xml:space="preserve"> </w:t>
      </w:r>
    </w:p>
    <w:p w:rsidR="00577885" w:rsidRDefault="00577885" w:rsidP="0075594B">
      <w:pPr>
        <w:autoSpaceDE w:val="0"/>
        <w:autoSpaceDN w:val="0"/>
        <w:adjustRightInd w:val="0"/>
        <w:spacing w:after="0" w:line="240" w:lineRule="auto"/>
        <w:rPr>
          <w:rFonts w:ascii="Times New Roman" w:hAnsi="Times New Roman" w:cs="Times New Roman"/>
          <w:sz w:val="24"/>
          <w:szCs w:val="24"/>
        </w:rPr>
      </w:pPr>
    </w:p>
    <w:p w:rsidR="00577885" w:rsidRDefault="00587F3C" w:rsidP="007559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Adequate procedural safeguards are an integral element of a number of Convention rights including Article 1 Protocol 1 and Article 8. Fun</w:t>
      </w:r>
      <w:r w:rsidR="00D82AA1">
        <w:rPr>
          <w:rFonts w:ascii="Times New Roman" w:hAnsi="Times New Roman" w:cs="Times New Roman"/>
          <w:sz w:val="24"/>
          <w:szCs w:val="24"/>
        </w:rPr>
        <w:t xml:space="preserve">damental to </w:t>
      </w:r>
      <w:r w:rsidR="00922850">
        <w:rPr>
          <w:rFonts w:ascii="Times New Roman" w:hAnsi="Times New Roman" w:cs="Times New Roman"/>
          <w:sz w:val="24"/>
          <w:szCs w:val="24"/>
        </w:rPr>
        <w:t xml:space="preserve">a </w:t>
      </w:r>
      <w:r w:rsidR="00D82AA1">
        <w:rPr>
          <w:rFonts w:ascii="Times New Roman" w:hAnsi="Times New Roman" w:cs="Times New Roman"/>
          <w:sz w:val="24"/>
          <w:szCs w:val="24"/>
        </w:rPr>
        <w:t>justifi</w:t>
      </w:r>
      <w:r w:rsidR="00922850">
        <w:rPr>
          <w:rFonts w:ascii="Times New Roman" w:hAnsi="Times New Roman" w:cs="Times New Roman"/>
          <w:sz w:val="24"/>
          <w:szCs w:val="24"/>
        </w:rPr>
        <w:t>ed infringement o</w:t>
      </w:r>
      <w:r w:rsidR="00D82AA1">
        <w:rPr>
          <w:rFonts w:ascii="Times New Roman" w:hAnsi="Times New Roman" w:cs="Times New Roman"/>
          <w:sz w:val="24"/>
          <w:szCs w:val="24"/>
        </w:rPr>
        <w:t>f a human right</w:t>
      </w:r>
      <w:r>
        <w:rPr>
          <w:rFonts w:ascii="Times New Roman" w:hAnsi="Times New Roman" w:cs="Times New Roman"/>
          <w:sz w:val="24"/>
          <w:szCs w:val="24"/>
        </w:rPr>
        <w:t xml:space="preserve"> is the principle that no individual should bear an excess burden. </w:t>
      </w:r>
      <w:r w:rsidR="00D82AA1">
        <w:rPr>
          <w:rFonts w:ascii="Times New Roman" w:hAnsi="Times New Roman" w:cs="Times New Roman"/>
          <w:sz w:val="24"/>
          <w:szCs w:val="24"/>
        </w:rPr>
        <w:t>Yet how is this assessment to be achieved without consider</w:t>
      </w:r>
      <w:r w:rsidR="00922850">
        <w:rPr>
          <w:rFonts w:ascii="Times New Roman" w:hAnsi="Times New Roman" w:cs="Times New Roman"/>
          <w:sz w:val="24"/>
          <w:szCs w:val="24"/>
        </w:rPr>
        <w:t>ing</w:t>
      </w:r>
      <w:r w:rsidR="00D82AA1">
        <w:rPr>
          <w:rFonts w:ascii="Times New Roman" w:hAnsi="Times New Roman" w:cs="Times New Roman"/>
          <w:sz w:val="24"/>
          <w:szCs w:val="24"/>
        </w:rPr>
        <w:t xml:space="preserve"> the proportionality of the infringement? </w:t>
      </w:r>
      <w:r>
        <w:rPr>
          <w:rFonts w:ascii="Times New Roman" w:hAnsi="Times New Roman" w:cs="Times New Roman"/>
          <w:sz w:val="24"/>
          <w:szCs w:val="24"/>
        </w:rPr>
        <w:t xml:space="preserve">The focus of human rights is after all upon the victim. As </w:t>
      </w:r>
      <w:proofErr w:type="spellStart"/>
      <w:r>
        <w:rPr>
          <w:rFonts w:ascii="Times New Roman" w:hAnsi="Times New Roman" w:cs="Times New Roman"/>
          <w:i/>
          <w:sz w:val="24"/>
          <w:szCs w:val="24"/>
        </w:rPr>
        <w:t>Zehentner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 xml:space="preserve">Mustafa </w:t>
      </w:r>
      <w:r>
        <w:rPr>
          <w:rFonts w:ascii="Times New Roman" w:hAnsi="Times New Roman" w:cs="Times New Roman"/>
          <w:sz w:val="24"/>
          <w:szCs w:val="24"/>
        </w:rPr>
        <w:t>demonstrate</w:t>
      </w:r>
      <w:r w:rsidR="00922850">
        <w:rPr>
          <w:rFonts w:ascii="Times New Roman" w:hAnsi="Times New Roman" w:cs="Times New Roman"/>
          <w:sz w:val="24"/>
          <w:szCs w:val="24"/>
        </w:rPr>
        <w:t xml:space="preserve"> that</w:t>
      </w:r>
      <w:r>
        <w:rPr>
          <w:rFonts w:ascii="Times New Roman" w:hAnsi="Times New Roman" w:cs="Times New Roman"/>
          <w:sz w:val="24"/>
          <w:szCs w:val="24"/>
        </w:rPr>
        <w:t xml:space="preserve"> this focus is particularly intense when the victim is vulnerable</w:t>
      </w:r>
      <w:r w:rsidR="00D82AA1">
        <w:rPr>
          <w:rFonts w:ascii="Times New Roman" w:hAnsi="Times New Roman" w:cs="Times New Roman"/>
          <w:sz w:val="24"/>
          <w:szCs w:val="24"/>
        </w:rPr>
        <w:t xml:space="preserve"> and may stretch to impose upon States a positive duty to ensure that private parties respect the Convention rights</w:t>
      </w:r>
      <w:r>
        <w:rPr>
          <w:rFonts w:ascii="Times New Roman" w:hAnsi="Times New Roman" w:cs="Times New Roman"/>
          <w:sz w:val="24"/>
          <w:szCs w:val="24"/>
        </w:rPr>
        <w:t>.</w:t>
      </w:r>
      <w:r w:rsidR="00D82AA1" w:rsidRPr="00D82AA1">
        <w:rPr>
          <w:rStyle w:val="FootnoteReference"/>
          <w:rFonts w:ascii="Times New Roman" w:hAnsi="Times New Roman" w:cs="Times New Roman"/>
          <w:sz w:val="24"/>
          <w:szCs w:val="24"/>
        </w:rPr>
        <w:t xml:space="preserve"> </w:t>
      </w:r>
      <w:r w:rsidR="00D82AA1">
        <w:rPr>
          <w:rStyle w:val="FootnoteReference"/>
          <w:rFonts w:ascii="Times New Roman" w:hAnsi="Times New Roman" w:cs="Times New Roman"/>
          <w:sz w:val="24"/>
          <w:szCs w:val="24"/>
        </w:rPr>
        <w:footnoteReference w:id="59"/>
      </w:r>
      <w:r w:rsidR="0093428E">
        <w:rPr>
          <w:rFonts w:ascii="Times New Roman" w:hAnsi="Times New Roman" w:cs="Times New Roman"/>
          <w:sz w:val="24"/>
          <w:szCs w:val="24"/>
        </w:rPr>
        <w:t xml:space="preserve"> </w:t>
      </w:r>
      <w:r w:rsidR="007A313A">
        <w:rPr>
          <w:rFonts w:ascii="Times New Roman" w:hAnsi="Times New Roman" w:cs="Times New Roman"/>
          <w:sz w:val="24"/>
          <w:szCs w:val="24"/>
        </w:rPr>
        <w:t>T</w:t>
      </w:r>
      <w:r w:rsidR="00D1569B">
        <w:rPr>
          <w:rFonts w:ascii="Times New Roman" w:hAnsi="Times New Roman" w:cs="Times New Roman"/>
          <w:sz w:val="24"/>
          <w:szCs w:val="24"/>
        </w:rPr>
        <w:t>he Equality Act 2010 provides an example of Parliament</w:t>
      </w:r>
      <w:r w:rsidR="007A313A">
        <w:rPr>
          <w:rFonts w:ascii="Times New Roman" w:hAnsi="Times New Roman" w:cs="Times New Roman"/>
          <w:sz w:val="24"/>
          <w:szCs w:val="24"/>
        </w:rPr>
        <w:t>’s</w:t>
      </w:r>
      <w:r w:rsidR="00D1569B">
        <w:rPr>
          <w:rFonts w:ascii="Times New Roman" w:hAnsi="Times New Roman" w:cs="Times New Roman"/>
          <w:sz w:val="24"/>
          <w:szCs w:val="24"/>
        </w:rPr>
        <w:t xml:space="preserve"> acknowledg</w:t>
      </w:r>
      <w:r w:rsidR="007A313A">
        <w:rPr>
          <w:rFonts w:ascii="Times New Roman" w:hAnsi="Times New Roman" w:cs="Times New Roman"/>
          <w:sz w:val="24"/>
          <w:szCs w:val="24"/>
        </w:rPr>
        <w:t xml:space="preserve">ement of </w:t>
      </w:r>
      <w:r w:rsidR="00D1569B">
        <w:rPr>
          <w:rFonts w:ascii="Times New Roman" w:hAnsi="Times New Roman" w:cs="Times New Roman"/>
          <w:sz w:val="24"/>
          <w:szCs w:val="24"/>
        </w:rPr>
        <w:t xml:space="preserve">the need to </w:t>
      </w:r>
      <w:r w:rsidR="00D1569B">
        <w:rPr>
          <w:rFonts w:ascii="Times New Roman" w:hAnsi="Times New Roman" w:cs="Times New Roman"/>
          <w:sz w:val="24"/>
          <w:szCs w:val="24"/>
        </w:rPr>
        <w:lastRenderedPageBreak/>
        <w:t>protect and advance the interests of vulnerable groups. Its dictates extend to the actions of private parties.</w:t>
      </w:r>
      <w:r w:rsidR="00D27805">
        <w:rPr>
          <w:rStyle w:val="FootnoteReference"/>
          <w:rFonts w:ascii="Times New Roman" w:hAnsi="Times New Roman" w:cs="Times New Roman"/>
          <w:sz w:val="24"/>
          <w:szCs w:val="24"/>
        </w:rPr>
        <w:footnoteReference w:id="60"/>
      </w:r>
      <w:r w:rsidR="00D1569B">
        <w:rPr>
          <w:rFonts w:ascii="Times New Roman" w:hAnsi="Times New Roman" w:cs="Times New Roman"/>
          <w:sz w:val="24"/>
          <w:szCs w:val="24"/>
        </w:rPr>
        <w:t xml:space="preserve"> For example, a private landlord</w:t>
      </w:r>
      <w:r>
        <w:rPr>
          <w:rFonts w:ascii="Times New Roman" w:hAnsi="Times New Roman" w:cs="Times New Roman"/>
          <w:sz w:val="24"/>
          <w:szCs w:val="24"/>
        </w:rPr>
        <w:t>’s</w:t>
      </w:r>
      <w:r w:rsidR="00D1569B">
        <w:rPr>
          <w:rFonts w:ascii="Times New Roman" w:hAnsi="Times New Roman" w:cs="Times New Roman"/>
          <w:sz w:val="24"/>
          <w:szCs w:val="24"/>
        </w:rPr>
        <w:t xml:space="preserve"> </w:t>
      </w:r>
      <w:r w:rsidR="00021FAC">
        <w:rPr>
          <w:rFonts w:ascii="Times New Roman" w:hAnsi="Times New Roman" w:cs="Times New Roman"/>
          <w:sz w:val="24"/>
          <w:szCs w:val="24"/>
        </w:rPr>
        <w:t xml:space="preserve">freedom to evict is constrained on </w:t>
      </w:r>
      <w:r w:rsidR="00B22DAA">
        <w:rPr>
          <w:rFonts w:ascii="Times New Roman" w:hAnsi="Times New Roman" w:cs="Times New Roman"/>
          <w:sz w:val="24"/>
          <w:szCs w:val="24"/>
        </w:rPr>
        <w:t xml:space="preserve">direct </w:t>
      </w:r>
      <w:r w:rsidR="00021FAC">
        <w:rPr>
          <w:rFonts w:ascii="Times New Roman" w:hAnsi="Times New Roman" w:cs="Times New Roman"/>
          <w:sz w:val="24"/>
          <w:szCs w:val="24"/>
        </w:rPr>
        <w:t xml:space="preserve">discriminatory grounds and he or she </w:t>
      </w:r>
      <w:r w:rsidR="00922850">
        <w:rPr>
          <w:rFonts w:ascii="Times New Roman" w:hAnsi="Times New Roman" w:cs="Times New Roman"/>
          <w:sz w:val="24"/>
          <w:szCs w:val="24"/>
        </w:rPr>
        <w:t xml:space="preserve">is </w:t>
      </w:r>
      <w:r w:rsidR="00D1569B">
        <w:rPr>
          <w:rFonts w:ascii="Times New Roman" w:hAnsi="Times New Roman" w:cs="Times New Roman"/>
          <w:sz w:val="24"/>
          <w:szCs w:val="24"/>
        </w:rPr>
        <w:t>required to justify the proportiona</w:t>
      </w:r>
      <w:r w:rsidR="007A313A">
        <w:rPr>
          <w:rFonts w:ascii="Times New Roman" w:hAnsi="Times New Roman" w:cs="Times New Roman"/>
          <w:sz w:val="24"/>
          <w:szCs w:val="24"/>
        </w:rPr>
        <w:t xml:space="preserve">lity of </w:t>
      </w:r>
      <w:r w:rsidR="00D82AA1">
        <w:rPr>
          <w:rFonts w:ascii="Times New Roman" w:hAnsi="Times New Roman" w:cs="Times New Roman"/>
          <w:sz w:val="24"/>
          <w:szCs w:val="24"/>
        </w:rPr>
        <w:t>an</w:t>
      </w:r>
      <w:r>
        <w:rPr>
          <w:rFonts w:ascii="Times New Roman" w:hAnsi="Times New Roman" w:cs="Times New Roman"/>
          <w:sz w:val="24"/>
          <w:szCs w:val="24"/>
        </w:rPr>
        <w:t xml:space="preserve"> indirect </w:t>
      </w:r>
      <w:r w:rsidR="007A313A">
        <w:rPr>
          <w:rFonts w:ascii="Times New Roman" w:hAnsi="Times New Roman" w:cs="Times New Roman"/>
          <w:sz w:val="24"/>
          <w:szCs w:val="24"/>
        </w:rPr>
        <w:t>discriminatory decision to evict</w:t>
      </w:r>
      <w:r w:rsidR="00D1569B">
        <w:rPr>
          <w:rFonts w:ascii="Times New Roman" w:hAnsi="Times New Roman" w:cs="Times New Roman"/>
          <w:sz w:val="24"/>
          <w:szCs w:val="24"/>
        </w:rPr>
        <w:t>.</w:t>
      </w:r>
      <w:r w:rsidR="00D27805">
        <w:rPr>
          <w:rStyle w:val="FootnoteReference"/>
          <w:rFonts w:ascii="Times New Roman" w:hAnsi="Times New Roman" w:cs="Times New Roman"/>
          <w:sz w:val="24"/>
          <w:szCs w:val="24"/>
        </w:rPr>
        <w:footnoteReference w:id="61"/>
      </w:r>
      <w:r w:rsidR="00D27805">
        <w:rPr>
          <w:rFonts w:ascii="Times New Roman" w:hAnsi="Times New Roman" w:cs="Times New Roman"/>
          <w:sz w:val="24"/>
          <w:szCs w:val="24"/>
        </w:rPr>
        <w:t xml:space="preserve"> </w:t>
      </w:r>
      <w:r>
        <w:rPr>
          <w:rFonts w:ascii="Times New Roman" w:hAnsi="Times New Roman" w:cs="Times New Roman"/>
          <w:sz w:val="24"/>
          <w:szCs w:val="24"/>
        </w:rPr>
        <w:t xml:space="preserve"> </w:t>
      </w:r>
      <w:r w:rsidR="00D27805">
        <w:rPr>
          <w:rFonts w:ascii="Times New Roman" w:hAnsi="Times New Roman" w:cs="Times New Roman"/>
          <w:sz w:val="24"/>
          <w:szCs w:val="24"/>
        </w:rPr>
        <w:t xml:space="preserve">It thus </w:t>
      </w:r>
      <w:r w:rsidR="006E5280">
        <w:rPr>
          <w:rFonts w:ascii="Times New Roman" w:hAnsi="Times New Roman" w:cs="Times New Roman"/>
          <w:sz w:val="24"/>
          <w:szCs w:val="24"/>
        </w:rPr>
        <w:t>presents a</w:t>
      </w:r>
      <w:r>
        <w:rPr>
          <w:rFonts w:ascii="Times New Roman" w:hAnsi="Times New Roman" w:cs="Times New Roman"/>
          <w:sz w:val="24"/>
          <w:szCs w:val="24"/>
        </w:rPr>
        <w:t xml:space="preserve"> clear</w:t>
      </w:r>
      <w:r w:rsidR="006E5280">
        <w:rPr>
          <w:rFonts w:ascii="Times New Roman" w:hAnsi="Times New Roman" w:cs="Times New Roman"/>
          <w:sz w:val="24"/>
          <w:szCs w:val="24"/>
        </w:rPr>
        <w:t xml:space="preserve"> inroad </w:t>
      </w:r>
      <w:r>
        <w:rPr>
          <w:rFonts w:ascii="Times New Roman" w:hAnsi="Times New Roman" w:cs="Times New Roman"/>
          <w:sz w:val="24"/>
          <w:szCs w:val="24"/>
        </w:rPr>
        <w:t xml:space="preserve">into private parties’ autonomy </w:t>
      </w:r>
      <w:r w:rsidR="006E5280">
        <w:rPr>
          <w:rFonts w:ascii="Times New Roman" w:hAnsi="Times New Roman" w:cs="Times New Roman"/>
          <w:sz w:val="24"/>
          <w:szCs w:val="24"/>
        </w:rPr>
        <w:t xml:space="preserve">to </w:t>
      </w:r>
      <w:r w:rsidR="00021FAC">
        <w:rPr>
          <w:rFonts w:ascii="Times New Roman" w:hAnsi="Times New Roman" w:cs="Times New Roman"/>
          <w:sz w:val="24"/>
          <w:szCs w:val="24"/>
        </w:rPr>
        <w:t xml:space="preserve">exercise </w:t>
      </w:r>
      <w:r>
        <w:rPr>
          <w:rFonts w:ascii="Times New Roman" w:hAnsi="Times New Roman" w:cs="Times New Roman"/>
          <w:sz w:val="24"/>
          <w:szCs w:val="24"/>
        </w:rPr>
        <w:t>their</w:t>
      </w:r>
      <w:r w:rsidR="00021FAC">
        <w:rPr>
          <w:rFonts w:ascii="Times New Roman" w:hAnsi="Times New Roman" w:cs="Times New Roman"/>
          <w:sz w:val="24"/>
          <w:szCs w:val="24"/>
        </w:rPr>
        <w:t xml:space="preserve"> </w:t>
      </w:r>
      <w:r w:rsidR="00D27805">
        <w:rPr>
          <w:rFonts w:ascii="Times New Roman" w:hAnsi="Times New Roman" w:cs="Times New Roman"/>
          <w:sz w:val="24"/>
          <w:szCs w:val="24"/>
        </w:rPr>
        <w:t>contractual rights</w:t>
      </w:r>
      <w:r w:rsidR="00922850">
        <w:rPr>
          <w:rFonts w:ascii="Times New Roman" w:hAnsi="Times New Roman" w:cs="Times New Roman"/>
          <w:sz w:val="24"/>
          <w:szCs w:val="24"/>
        </w:rPr>
        <w:t xml:space="preserve"> as they wish.</w:t>
      </w:r>
      <w:r w:rsidR="00021FAC">
        <w:rPr>
          <w:rFonts w:ascii="Times New Roman" w:hAnsi="Times New Roman" w:cs="Times New Roman"/>
          <w:sz w:val="24"/>
          <w:szCs w:val="24"/>
        </w:rPr>
        <w:t xml:space="preserve"> </w:t>
      </w:r>
    </w:p>
    <w:p w:rsidR="00D27805" w:rsidRDefault="00D27805" w:rsidP="0075594B">
      <w:pPr>
        <w:autoSpaceDE w:val="0"/>
        <w:autoSpaceDN w:val="0"/>
        <w:adjustRightInd w:val="0"/>
        <w:spacing w:after="0" w:line="240" w:lineRule="auto"/>
        <w:rPr>
          <w:rFonts w:ascii="Times New Roman" w:hAnsi="Times New Roman" w:cs="Times New Roman"/>
          <w:sz w:val="24"/>
          <w:szCs w:val="24"/>
        </w:rPr>
      </w:pPr>
    </w:p>
    <w:p w:rsidR="008D7921" w:rsidRDefault="008D792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The Scope of McDonald</w:t>
      </w:r>
    </w:p>
    <w:p w:rsidR="008D7921" w:rsidRDefault="008D7921">
      <w:pPr>
        <w:autoSpaceDE w:val="0"/>
        <w:autoSpaceDN w:val="0"/>
        <w:adjustRightInd w:val="0"/>
        <w:spacing w:after="0" w:line="240" w:lineRule="auto"/>
        <w:rPr>
          <w:rFonts w:ascii="Times New Roman" w:hAnsi="Times New Roman" w:cs="Times New Roman"/>
          <w:sz w:val="24"/>
          <w:szCs w:val="24"/>
        </w:rPr>
      </w:pPr>
    </w:p>
    <w:p w:rsidR="005150A0" w:rsidRDefault="008005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Supreme Court ha</w:t>
      </w:r>
      <w:r w:rsidR="002C02B0">
        <w:rPr>
          <w:rFonts w:ascii="Times New Roman" w:hAnsi="Times New Roman" w:cs="Times New Roman"/>
          <w:sz w:val="24"/>
          <w:szCs w:val="24"/>
        </w:rPr>
        <w:t>s</w:t>
      </w:r>
      <w:r>
        <w:rPr>
          <w:rFonts w:ascii="Times New Roman" w:hAnsi="Times New Roman" w:cs="Times New Roman"/>
          <w:sz w:val="24"/>
          <w:szCs w:val="24"/>
        </w:rPr>
        <w:t xml:space="preserve"> shut the door on a </w:t>
      </w:r>
      <w:r w:rsidR="00085792">
        <w:rPr>
          <w:rFonts w:ascii="Times New Roman" w:hAnsi="Times New Roman" w:cs="Times New Roman"/>
          <w:sz w:val="24"/>
          <w:szCs w:val="24"/>
        </w:rPr>
        <w:t xml:space="preserve">private tenant </w:t>
      </w:r>
      <w:r>
        <w:rPr>
          <w:rFonts w:ascii="Times New Roman" w:hAnsi="Times New Roman" w:cs="Times New Roman"/>
          <w:sz w:val="24"/>
          <w:szCs w:val="24"/>
        </w:rPr>
        <w:t xml:space="preserve">raising a proportionality defence when faced with eviction based upon section 21(4). </w:t>
      </w:r>
      <w:r w:rsidR="00F000B1">
        <w:rPr>
          <w:rFonts w:ascii="Times New Roman" w:hAnsi="Times New Roman" w:cs="Times New Roman"/>
          <w:sz w:val="24"/>
          <w:szCs w:val="24"/>
        </w:rPr>
        <w:t xml:space="preserve"> </w:t>
      </w:r>
      <w:r>
        <w:rPr>
          <w:rFonts w:ascii="Times New Roman" w:hAnsi="Times New Roman" w:cs="Times New Roman"/>
          <w:sz w:val="24"/>
          <w:szCs w:val="24"/>
        </w:rPr>
        <w:t>But how far does they rejection of a proportionality defence go? It seems some considerable way. The Supreme Court at the heart of their judgment stated:</w:t>
      </w:r>
    </w:p>
    <w:p w:rsidR="00800526" w:rsidRDefault="00800526">
      <w:pPr>
        <w:autoSpaceDE w:val="0"/>
        <w:autoSpaceDN w:val="0"/>
        <w:adjustRightInd w:val="0"/>
        <w:spacing w:after="0" w:line="240" w:lineRule="auto"/>
        <w:rPr>
          <w:rFonts w:ascii="Times New Roman" w:hAnsi="Times New Roman" w:cs="Times New Roman"/>
          <w:sz w:val="24"/>
          <w:szCs w:val="24"/>
        </w:rPr>
      </w:pPr>
    </w:p>
    <w:p w:rsidR="00800526" w:rsidRDefault="00800526" w:rsidP="0080052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we would take the view that although it may well be that article 8 is engaged when a judge makes an order for possession of a tenant’s home at the suit of a private sector landlord, it is not open to the tenant to contend that article 8 could justify a different order from that which is mandated by the contractual relationship between the parties, at least, as here there are legislative provisions which the democratically elected legislature has decided properly balance the competing interest of private sector landlords and residential tenants.”</w:t>
      </w:r>
      <w:r>
        <w:rPr>
          <w:rStyle w:val="FootnoteReference"/>
          <w:rFonts w:ascii="Times New Roman" w:hAnsi="Times New Roman" w:cs="Times New Roman"/>
          <w:sz w:val="24"/>
          <w:szCs w:val="24"/>
        </w:rPr>
        <w:footnoteReference w:id="62"/>
      </w:r>
    </w:p>
    <w:p w:rsidR="00800526" w:rsidRDefault="00800526" w:rsidP="00800526">
      <w:pPr>
        <w:autoSpaceDE w:val="0"/>
        <w:autoSpaceDN w:val="0"/>
        <w:adjustRightInd w:val="0"/>
        <w:spacing w:after="0" w:line="240" w:lineRule="auto"/>
        <w:ind w:left="720"/>
        <w:rPr>
          <w:rFonts w:ascii="Times New Roman" w:hAnsi="Times New Roman" w:cs="Times New Roman"/>
          <w:sz w:val="24"/>
          <w:szCs w:val="24"/>
        </w:rPr>
      </w:pPr>
    </w:p>
    <w:p w:rsidR="00A35210" w:rsidRDefault="00B86331" w:rsidP="008005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would certainly capture </w:t>
      </w:r>
      <w:r w:rsidR="00B22DAA">
        <w:rPr>
          <w:rFonts w:ascii="Times New Roman" w:hAnsi="Times New Roman" w:cs="Times New Roman"/>
          <w:sz w:val="24"/>
          <w:szCs w:val="24"/>
        </w:rPr>
        <w:t>termination of an</w:t>
      </w:r>
      <w:r>
        <w:rPr>
          <w:rFonts w:ascii="Times New Roman" w:hAnsi="Times New Roman" w:cs="Times New Roman"/>
          <w:sz w:val="24"/>
          <w:szCs w:val="24"/>
        </w:rPr>
        <w:t xml:space="preserve"> AST </w:t>
      </w:r>
      <w:r w:rsidR="00B22DAA">
        <w:rPr>
          <w:rFonts w:ascii="Times New Roman" w:hAnsi="Times New Roman" w:cs="Times New Roman"/>
          <w:sz w:val="24"/>
          <w:szCs w:val="24"/>
        </w:rPr>
        <w:t xml:space="preserve">and the tenant’s subsequent eviction </w:t>
      </w:r>
      <w:r>
        <w:rPr>
          <w:rFonts w:ascii="Times New Roman" w:hAnsi="Times New Roman" w:cs="Times New Roman"/>
          <w:sz w:val="24"/>
          <w:szCs w:val="24"/>
        </w:rPr>
        <w:t>based on rent arrears under Ground 8 and probably also the termination of a periodic joint tenancy by service of a notice to quit</w:t>
      </w:r>
      <w:r w:rsidR="000377F5">
        <w:rPr>
          <w:rFonts w:ascii="Times New Roman" w:hAnsi="Times New Roman" w:cs="Times New Roman"/>
          <w:sz w:val="24"/>
          <w:szCs w:val="24"/>
        </w:rPr>
        <w:t xml:space="preserve"> by one joint tenant</w:t>
      </w:r>
      <w:r>
        <w:rPr>
          <w:rFonts w:ascii="Times New Roman" w:hAnsi="Times New Roman" w:cs="Times New Roman"/>
          <w:sz w:val="24"/>
          <w:szCs w:val="24"/>
        </w:rPr>
        <w:t xml:space="preserve"> under the rule in </w:t>
      </w:r>
      <w:r>
        <w:rPr>
          <w:rFonts w:ascii="Times New Roman" w:hAnsi="Times New Roman" w:cs="Times New Roman"/>
          <w:i/>
          <w:sz w:val="24"/>
          <w:szCs w:val="24"/>
        </w:rPr>
        <w:t xml:space="preserve">Hammersmith </w:t>
      </w:r>
      <w:r w:rsidR="00CC1A2D">
        <w:rPr>
          <w:rFonts w:ascii="Times New Roman" w:hAnsi="Times New Roman" w:cs="Times New Roman"/>
          <w:i/>
          <w:sz w:val="24"/>
          <w:szCs w:val="24"/>
        </w:rPr>
        <w:t xml:space="preserve">&amp; Fulham </w:t>
      </w:r>
      <w:r>
        <w:rPr>
          <w:rFonts w:ascii="Times New Roman" w:hAnsi="Times New Roman" w:cs="Times New Roman"/>
          <w:i/>
          <w:sz w:val="24"/>
          <w:szCs w:val="24"/>
        </w:rPr>
        <w:t>LBC v Monk</w:t>
      </w:r>
      <w:r>
        <w:rPr>
          <w:rFonts w:ascii="Times New Roman" w:hAnsi="Times New Roman" w:cs="Times New Roman"/>
          <w:sz w:val="24"/>
          <w:szCs w:val="24"/>
        </w:rPr>
        <w:t>.</w:t>
      </w:r>
      <w:r w:rsidR="00021FAC">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w:t>
      </w:r>
    </w:p>
    <w:p w:rsidR="00396430" w:rsidRDefault="00396430" w:rsidP="00584435">
      <w:pPr>
        <w:autoSpaceDE w:val="0"/>
        <w:autoSpaceDN w:val="0"/>
        <w:adjustRightInd w:val="0"/>
        <w:spacing w:after="0" w:line="240" w:lineRule="auto"/>
        <w:rPr>
          <w:rFonts w:ascii="Times New Roman" w:hAnsi="Times New Roman" w:cs="Times New Roman"/>
          <w:sz w:val="24"/>
          <w:szCs w:val="24"/>
        </w:rPr>
      </w:pPr>
    </w:p>
    <w:p w:rsidR="000377F5" w:rsidRDefault="00584435" w:rsidP="000377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reference to legislation is telling and suggests that where a right to possession has been conferred upon a private party by statute - at least a statute </w:t>
      </w:r>
      <w:r w:rsidR="002F46D0">
        <w:rPr>
          <w:rFonts w:ascii="Times New Roman" w:hAnsi="Times New Roman" w:cs="Times New Roman"/>
          <w:sz w:val="24"/>
          <w:szCs w:val="24"/>
        </w:rPr>
        <w:t xml:space="preserve">recently </w:t>
      </w:r>
      <w:r>
        <w:rPr>
          <w:rFonts w:ascii="Times New Roman" w:hAnsi="Times New Roman" w:cs="Times New Roman"/>
          <w:sz w:val="24"/>
          <w:szCs w:val="24"/>
        </w:rPr>
        <w:t>considered by Parliament</w:t>
      </w:r>
      <w:r w:rsidR="002F46D0">
        <w:rPr>
          <w:rFonts w:ascii="Times New Roman" w:hAnsi="Times New Roman" w:cs="Times New Roman"/>
          <w:sz w:val="24"/>
          <w:szCs w:val="24"/>
        </w:rPr>
        <w:t xml:space="preserve"> </w:t>
      </w:r>
      <w:r>
        <w:rPr>
          <w:rFonts w:ascii="Times New Roman" w:hAnsi="Times New Roman" w:cs="Times New Roman"/>
          <w:sz w:val="24"/>
          <w:szCs w:val="24"/>
        </w:rPr>
        <w:t xml:space="preserve">– then the court </w:t>
      </w:r>
      <w:r w:rsidR="0070494F">
        <w:rPr>
          <w:rFonts w:ascii="Times New Roman" w:hAnsi="Times New Roman" w:cs="Times New Roman"/>
          <w:sz w:val="24"/>
          <w:szCs w:val="24"/>
        </w:rPr>
        <w:t xml:space="preserve">in deference to Parliament </w:t>
      </w:r>
      <w:r>
        <w:rPr>
          <w:rFonts w:ascii="Times New Roman" w:hAnsi="Times New Roman" w:cs="Times New Roman"/>
          <w:sz w:val="24"/>
          <w:szCs w:val="24"/>
        </w:rPr>
        <w:t xml:space="preserve">will not consider </w:t>
      </w:r>
      <w:r w:rsidR="008D4713">
        <w:rPr>
          <w:rFonts w:ascii="Times New Roman" w:hAnsi="Times New Roman" w:cs="Times New Roman"/>
          <w:sz w:val="24"/>
          <w:szCs w:val="24"/>
        </w:rPr>
        <w:t>a mandatory right to possession incompatible</w:t>
      </w:r>
      <w:r>
        <w:rPr>
          <w:rFonts w:ascii="Times New Roman" w:hAnsi="Times New Roman" w:cs="Times New Roman"/>
          <w:sz w:val="24"/>
          <w:szCs w:val="24"/>
        </w:rPr>
        <w:t>.</w:t>
      </w:r>
      <w:r w:rsidR="00F11196">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w:t>
      </w:r>
      <w:r w:rsidR="00F11196">
        <w:rPr>
          <w:rFonts w:ascii="Times New Roman" w:hAnsi="Times New Roman" w:cs="Times New Roman"/>
          <w:sz w:val="24"/>
          <w:szCs w:val="24"/>
        </w:rPr>
        <w:t xml:space="preserve">But the door </w:t>
      </w:r>
      <w:r w:rsidR="002C02B0">
        <w:rPr>
          <w:rFonts w:ascii="Times New Roman" w:hAnsi="Times New Roman" w:cs="Times New Roman"/>
          <w:sz w:val="24"/>
          <w:szCs w:val="24"/>
        </w:rPr>
        <w:t xml:space="preserve">is left </w:t>
      </w:r>
      <w:r w:rsidR="00F11196">
        <w:rPr>
          <w:rFonts w:ascii="Times New Roman" w:hAnsi="Times New Roman" w:cs="Times New Roman"/>
          <w:sz w:val="24"/>
          <w:szCs w:val="24"/>
        </w:rPr>
        <w:t xml:space="preserve">slightly ajar where the legislation is </w:t>
      </w:r>
      <w:r w:rsidR="002F46D0">
        <w:rPr>
          <w:rFonts w:ascii="Times New Roman" w:hAnsi="Times New Roman" w:cs="Times New Roman"/>
          <w:sz w:val="24"/>
          <w:szCs w:val="24"/>
        </w:rPr>
        <w:t xml:space="preserve">older </w:t>
      </w:r>
      <w:r w:rsidR="002C02B0">
        <w:rPr>
          <w:rFonts w:ascii="Times New Roman" w:hAnsi="Times New Roman" w:cs="Times New Roman"/>
          <w:sz w:val="24"/>
          <w:szCs w:val="24"/>
        </w:rPr>
        <w:t xml:space="preserve">or indeed where the right </w:t>
      </w:r>
      <w:r w:rsidR="0070494F">
        <w:rPr>
          <w:rFonts w:ascii="Times New Roman" w:hAnsi="Times New Roman" w:cs="Times New Roman"/>
          <w:sz w:val="24"/>
          <w:szCs w:val="24"/>
        </w:rPr>
        <w:t xml:space="preserve">to possession </w:t>
      </w:r>
      <w:r w:rsidR="002C02B0">
        <w:rPr>
          <w:rFonts w:ascii="Times New Roman" w:hAnsi="Times New Roman" w:cs="Times New Roman"/>
          <w:sz w:val="24"/>
          <w:szCs w:val="24"/>
        </w:rPr>
        <w:t>is not granted or regulated by legislation</w:t>
      </w:r>
      <w:r w:rsidR="00F11196">
        <w:rPr>
          <w:rFonts w:ascii="Times New Roman" w:hAnsi="Times New Roman" w:cs="Times New Roman"/>
          <w:sz w:val="24"/>
          <w:szCs w:val="24"/>
        </w:rPr>
        <w:t>.</w:t>
      </w:r>
      <w:r w:rsidR="000377F5">
        <w:rPr>
          <w:rFonts w:ascii="Times New Roman" w:hAnsi="Times New Roman" w:cs="Times New Roman"/>
          <w:sz w:val="24"/>
          <w:szCs w:val="24"/>
        </w:rPr>
        <w:t xml:space="preserve"> </w:t>
      </w:r>
      <w:r w:rsidR="0070494F">
        <w:rPr>
          <w:rFonts w:ascii="Times New Roman" w:hAnsi="Times New Roman" w:cs="Times New Roman"/>
          <w:sz w:val="24"/>
          <w:szCs w:val="24"/>
        </w:rPr>
        <w:t>Here there is room for the court to consider whether legal rights to possession still strike the appropriate balance between home occupier and rights holder.</w:t>
      </w:r>
      <w:r w:rsidR="003C40A3">
        <w:rPr>
          <w:rFonts w:ascii="Times New Roman" w:hAnsi="Times New Roman" w:cs="Times New Roman"/>
          <w:sz w:val="24"/>
          <w:szCs w:val="24"/>
        </w:rPr>
        <w:t xml:space="preserve"> </w:t>
      </w:r>
      <w:r w:rsidR="000377F5">
        <w:rPr>
          <w:rFonts w:ascii="Times New Roman" w:hAnsi="Times New Roman" w:cs="Times New Roman"/>
          <w:sz w:val="24"/>
          <w:szCs w:val="24"/>
        </w:rPr>
        <w:t xml:space="preserve">It is interesting to note that private law does not seem completely off limits. The Supreme Court draw a distinction between contractual and </w:t>
      </w:r>
      <w:proofErr w:type="spellStart"/>
      <w:r w:rsidR="000377F5">
        <w:rPr>
          <w:rFonts w:ascii="Times New Roman" w:hAnsi="Times New Roman" w:cs="Times New Roman"/>
          <w:sz w:val="24"/>
          <w:szCs w:val="24"/>
        </w:rPr>
        <w:t>tortious</w:t>
      </w:r>
      <w:proofErr w:type="spellEnd"/>
      <w:r w:rsidR="000377F5">
        <w:rPr>
          <w:rFonts w:ascii="Times New Roman" w:hAnsi="Times New Roman" w:cs="Times New Roman"/>
          <w:sz w:val="24"/>
          <w:szCs w:val="24"/>
        </w:rPr>
        <w:t xml:space="preserve"> relations in balancing parties’ Convention rights. They referred to their decisions on balancing press freedom under Article 10 and privacy under Article 8 to develop the tort of misuse of private information</w:t>
      </w:r>
      <w:r w:rsidR="000377F5">
        <w:rPr>
          <w:rStyle w:val="FootnoteReference"/>
          <w:rFonts w:ascii="Times New Roman" w:hAnsi="Times New Roman" w:cs="Times New Roman"/>
          <w:sz w:val="24"/>
          <w:szCs w:val="24"/>
        </w:rPr>
        <w:footnoteReference w:id="65"/>
      </w:r>
      <w:r w:rsidR="000377F5">
        <w:rPr>
          <w:rFonts w:ascii="Times New Roman" w:hAnsi="Times New Roman" w:cs="Times New Roman"/>
          <w:sz w:val="24"/>
          <w:szCs w:val="24"/>
        </w:rPr>
        <w:t xml:space="preserve"> “where the legislature has expressly, impliedly or through inaction, left it to the courts to carry out the balancing exercise.”</w:t>
      </w:r>
      <w:r w:rsidR="000377F5">
        <w:rPr>
          <w:rStyle w:val="FootnoteReference"/>
          <w:rFonts w:ascii="Times New Roman" w:hAnsi="Times New Roman" w:cs="Times New Roman"/>
          <w:sz w:val="24"/>
          <w:szCs w:val="24"/>
        </w:rPr>
        <w:footnoteReference w:id="66"/>
      </w:r>
      <w:r w:rsidR="00B22DAA">
        <w:rPr>
          <w:rFonts w:ascii="Times New Roman" w:hAnsi="Times New Roman" w:cs="Times New Roman"/>
          <w:sz w:val="24"/>
          <w:szCs w:val="24"/>
        </w:rPr>
        <w:t xml:space="preserve"> </w:t>
      </w:r>
      <w:r w:rsidR="00B55DE6">
        <w:rPr>
          <w:rFonts w:ascii="Times New Roman" w:hAnsi="Times New Roman" w:cs="Times New Roman"/>
          <w:sz w:val="24"/>
          <w:szCs w:val="24"/>
        </w:rPr>
        <w:t>Perhaps surprisingly n</w:t>
      </w:r>
      <w:r w:rsidR="00B22DAA">
        <w:rPr>
          <w:rFonts w:ascii="Times New Roman" w:hAnsi="Times New Roman" w:cs="Times New Roman"/>
          <w:sz w:val="24"/>
          <w:szCs w:val="24"/>
        </w:rPr>
        <w:t xml:space="preserve">o </w:t>
      </w:r>
      <w:r w:rsidR="00B55DE6">
        <w:rPr>
          <w:rFonts w:ascii="Times New Roman" w:hAnsi="Times New Roman" w:cs="Times New Roman"/>
          <w:sz w:val="24"/>
          <w:szCs w:val="24"/>
        </w:rPr>
        <w:t>further</w:t>
      </w:r>
      <w:r w:rsidR="00B22DAA">
        <w:rPr>
          <w:rFonts w:ascii="Times New Roman" w:hAnsi="Times New Roman" w:cs="Times New Roman"/>
          <w:sz w:val="24"/>
          <w:szCs w:val="24"/>
        </w:rPr>
        <w:t xml:space="preserve"> distinction was drawn between the consensual and </w:t>
      </w:r>
      <w:r w:rsidR="00B55DE6">
        <w:rPr>
          <w:rFonts w:ascii="Times New Roman" w:hAnsi="Times New Roman" w:cs="Times New Roman"/>
          <w:sz w:val="24"/>
          <w:szCs w:val="24"/>
        </w:rPr>
        <w:t>wrong</w:t>
      </w:r>
      <w:r w:rsidR="00B22DAA">
        <w:rPr>
          <w:rFonts w:ascii="Times New Roman" w:hAnsi="Times New Roman" w:cs="Times New Roman"/>
          <w:sz w:val="24"/>
          <w:szCs w:val="24"/>
        </w:rPr>
        <w:t xml:space="preserve"> bas</w:t>
      </w:r>
      <w:r w:rsidR="00B55DE6">
        <w:rPr>
          <w:rFonts w:ascii="Times New Roman" w:hAnsi="Times New Roman" w:cs="Times New Roman"/>
          <w:sz w:val="24"/>
          <w:szCs w:val="24"/>
        </w:rPr>
        <w:t xml:space="preserve">ed nature of contractual and </w:t>
      </w:r>
      <w:proofErr w:type="spellStart"/>
      <w:r w:rsidR="00B55DE6">
        <w:rPr>
          <w:rFonts w:ascii="Times New Roman" w:hAnsi="Times New Roman" w:cs="Times New Roman"/>
          <w:sz w:val="24"/>
          <w:szCs w:val="24"/>
        </w:rPr>
        <w:t>tortious</w:t>
      </w:r>
      <w:proofErr w:type="spellEnd"/>
      <w:r w:rsidR="00B55DE6">
        <w:rPr>
          <w:rFonts w:ascii="Times New Roman" w:hAnsi="Times New Roman" w:cs="Times New Roman"/>
          <w:sz w:val="24"/>
          <w:szCs w:val="24"/>
        </w:rPr>
        <w:t xml:space="preserve"> obligations although, as already referred to, the court had earlier placed emphasis on the contractual basis of ASTs.</w:t>
      </w:r>
      <w:r w:rsidR="00B22DAA">
        <w:rPr>
          <w:rFonts w:ascii="Times New Roman" w:hAnsi="Times New Roman" w:cs="Times New Roman"/>
          <w:sz w:val="24"/>
          <w:szCs w:val="24"/>
        </w:rPr>
        <w:t xml:space="preserve"> </w:t>
      </w:r>
    </w:p>
    <w:p w:rsidR="0070494F" w:rsidRDefault="0070494F" w:rsidP="00800526">
      <w:pPr>
        <w:autoSpaceDE w:val="0"/>
        <w:autoSpaceDN w:val="0"/>
        <w:adjustRightInd w:val="0"/>
        <w:spacing w:after="0" w:line="240" w:lineRule="auto"/>
        <w:rPr>
          <w:rFonts w:ascii="Times New Roman" w:hAnsi="Times New Roman" w:cs="Times New Roman"/>
          <w:sz w:val="24"/>
          <w:szCs w:val="24"/>
        </w:rPr>
      </w:pPr>
    </w:p>
    <w:p w:rsidR="00A35210" w:rsidRDefault="00A35210" w:rsidP="008005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w:t>
      </w:r>
      <w:r w:rsidR="00252D50">
        <w:rPr>
          <w:rFonts w:ascii="Times New Roman" w:hAnsi="Times New Roman" w:cs="Times New Roman"/>
          <w:sz w:val="24"/>
          <w:szCs w:val="24"/>
        </w:rPr>
        <w:t xml:space="preserve">e </w:t>
      </w:r>
      <w:r w:rsidR="008D4713">
        <w:rPr>
          <w:rFonts w:ascii="Times New Roman" w:hAnsi="Times New Roman" w:cs="Times New Roman"/>
          <w:sz w:val="24"/>
          <w:szCs w:val="24"/>
        </w:rPr>
        <w:t xml:space="preserve">decision </w:t>
      </w:r>
      <w:r>
        <w:rPr>
          <w:rFonts w:ascii="Times New Roman" w:hAnsi="Times New Roman" w:cs="Times New Roman"/>
          <w:sz w:val="24"/>
          <w:szCs w:val="24"/>
        </w:rPr>
        <w:t>is framed by landlord and tenant relationships but it could equally apply to other property relationships for instance of mortgagor and mortgagee</w:t>
      </w:r>
      <w:r w:rsidR="009339EE">
        <w:rPr>
          <w:rFonts w:ascii="Times New Roman" w:hAnsi="Times New Roman" w:cs="Times New Roman"/>
          <w:sz w:val="24"/>
          <w:szCs w:val="24"/>
        </w:rPr>
        <w:t>,</w:t>
      </w:r>
      <w:r>
        <w:rPr>
          <w:rFonts w:ascii="Times New Roman" w:hAnsi="Times New Roman" w:cs="Times New Roman"/>
          <w:sz w:val="24"/>
          <w:szCs w:val="24"/>
        </w:rPr>
        <w:t xml:space="preserve"> landowner and trespasser or licensor and licensee. The Supreme Court seems to have </w:t>
      </w:r>
      <w:r w:rsidR="003C40A3">
        <w:rPr>
          <w:rFonts w:ascii="Times New Roman" w:hAnsi="Times New Roman" w:cs="Times New Roman"/>
          <w:sz w:val="24"/>
          <w:szCs w:val="24"/>
        </w:rPr>
        <w:t xml:space="preserve">these relationships </w:t>
      </w:r>
      <w:r w:rsidR="00F11196">
        <w:rPr>
          <w:rFonts w:ascii="Times New Roman" w:hAnsi="Times New Roman" w:cs="Times New Roman"/>
          <w:sz w:val="24"/>
          <w:szCs w:val="24"/>
        </w:rPr>
        <w:t>in</w:t>
      </w:r>
      <w:r>
        <w:rPr>
          <w:rFonts w:ascii="Times New Roman" w:hAnsi="Times New Roman" w:cs="Times New Roman"/>
          <w:sz w:val="24"/>
          <w:szCs w:val="24"/>
        </w:rPr>
        <w:t xml:space="preserve"> mind when they warned that admitting proportionality could encourage extra judicial enforcement action.</w:t>
      </w:r>
      <w:r w:rsidR="0043009B">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This </w:t>
      </w:r>
      <w:r w:rsidR="00C74A87">
        <w:rPr>
          <w:rFonts w:ascii="Times New Roman" w:hAnsi="Times New Roman" w:cs="Times New Roman"/>
          <w:sz w:val="24"/>
          <w:szCs w:val="24"/>
        </w:rPr>
        <w:t xml:space="preserve">disquieting observation </w:t>
      </w:r>
      <w:r w:rsidR="008D4713">
        <w:rPr>
          <w:rFonts w:ascii="Times New Roman" w:hAnsi="Times New Roman" w:cs="Times New Roman"/>
          <w:sz w:val="24"/>
          <w:szCs w:val="24"/>
        </w:rPr>
        <w:t>arises because there are still occasions when</w:t>
      </w:r>
      <w:r w:rsidR="00C74A87">
        <w:rPr>
          <w:rFonts w:ascii="Times New Roman" w:hAnsi="Times New Roman" w:cs="Times New Roman"/>
          <w:sz w:val="24"/>
          <w:szCs w:val="24"/>
        </w:rPr>
        <w:t xml:space="preserve"> repossession of a home may </w:t>
      </w:r>
      <w:r w:rsidR="008D4713">
        <w:rPr>
          <w:rFonts w:ascii="Times New Roman" w:hAnsi="Times New Roman" w:cs="Times New Roman"/>
          <w:sz w:val="24"/>
          <w:szCs w:val="24"/>
        </w:rPr>
        <w:t xml:space="preserve">be obtained </w:t>
      </w:r>
      <w:r w:rsidR="0070494F">
        <w:rPr>
          <w:rFonts w:ascii="Times New Roman" w:hAnsi="Times New Roman" w:cs="Times New Roman"/>
          <w:sz w:val="24"/>
          <w:szCs w:val="24"/>
        </w:rPr>
        <w:t>without a court order.</w:t>
      </w:r>
      <w:r w:rsidR="0070494F">
        <w:rPr>
          <w:rStyle w:val="FootnoteReference"/>
          <w:rFonts w:ascii="Times New Roman" w:hAnsi="Times New Roman" w:cs="Times New Roman"/>
          <w:sz w:val="24"/>
          <w:szCs w:val="24"/>
        </w:rPr>
        <w:footnoteReference w:id="68"/>
      </w:r>
      <w:r w:rsidR="00C74A87">
        <w:rPr>
          <w:rFonts w:ascii="Times New Roman" w:hAnsi="Times New Roman" w:cs="Times New Roman"/>
          <w:sz w:val="24"/>
          <w:szCs w:val="24"/>
        </w:rPr>
        <w:t xml:space="preserve"> </w:t>
      </w:r>
      <w:r w:rsidR="003C40A3">
        <w:rPr>
          <w:rFonts w:ascii="Times New Roman" w:hAnsi="Times New Roman" w:cs="Times New Roman"/>
          <w:sz w:val="24"/>
          <w:szCs w:val="24"/>
        </w:rPr>
        <w:t>Instead o</w:t>
      </w:r>
      <w:r w:rsidR="00C74A87">
        <w:rPr>
          <w:rFonts w:ascii="Times New Roman" w:hAnsi="Times New Roman" w:cs="Times New Roman"/>
          <w:sz w:val="24"/>
          <w:szCs w:val="24"/>
        </w:rPr>
        <w:t xml:space="preserve">ne </w:t>
      </w:r>
      <w:r w:rsidR="008D4713">
        <w:rPr>
          <w:rFonts w:ascii="Times New Roman" w:hAnsi="Times New Roman" w:cs="Times New Roman"/>
          <w:sz w:val="24"/>
          <w:szCs w:val="24"/>
        </w:rPr>
        <w:t xml:space="preserve">might have expected </w:t>
      </w:r>
      <w:r w:rsidR="00C74A87">
        <w:rPr>
          <w:rFonts w:ascii="Times New Roman" w:hAnsi="Times New Roman" w:cs="Times New Roman"/>
          <w:sz w:val="24"/>
          <w:szCs w:val="24"/>
        </w:rPr>
        <w:t xml:space="preserve">the Supreme Court </w:t>
      </w:r>
      <w:r w:rsidR="008D4713">
        <w:rPr>
          <w:rFonts w:ascii="Times New Roman" w:hAnsi="Times New Roman" w:cs="Times New Roman"/>
          <w:sz w:val="24"/>
          <w:szCs w:val="24"/>
        </w:rPr>
        <w:t>to</w:t>
      </w:r>
      <w:r w:rsidR="00C74A87">
        <w:rPr>
          <w:rFonts w:ascii="Times New Roman" w:hAnsi="Times New Roman" w:cs="Times New Roman"/>
          <w:sz w:val="24"/>
          <w:szCs w:val="24"/>
        </w:rPr>
        <w:t xml:space="preserve"> have taken the opportunity to call for any </w:t>
      </w:r>
      <w:r w:rsidR="00584435">
        <w:rPr>
          <w:rFonts w:ascii="Times New Roman" w:hAnsi="Times New Roman" w:cs="Times New Roman"/>
          <w:sz w:val="24"/>
          <w:szCs w:val="24"/>
        </w:rPr>
        <w:t xml:space="preserve">eviction, as the most serious interference with respect for the home, </w:t>
      </w:r>
      <w:r w:rsidR="00C74A87">
        <w:rPr>
          <w:rFonts w:ascii="Times New Roman" w:hAnsi="Times New Roman" w:cs="Times New Roman"/>
          <w:sz w:val="24"/>
          <w:szCs w:val="24"/>
        </w:rPr>
        <w:t xml:space="preserve">to </w:t>
      </w:r>
      <w:r w:rsidR="00584435">
        <w:rPr>
          <w:rFonts w:ascii="Times New Roman" w:hAnsi="Times New Roman" w:cs="Times New Roman"/>
          <w:sz w:val="24"/>
          <w:szCs w:val="24"/>
        </w:rPr>
        <w:t xml:space="preserve">require </w:t>
      </w:r>
      <w:r w:rsidR="00C74A87">
        <w:rPr>
          <w:rFonts w:ascii="Times New Roman" w:hAnsi="Times New Roman" w:cs="Times New Roman"/>
          <w:sz w:val="24"/>
          <w:szCs w:val="24"/>
        </w:rPr>
        <w:t xml:space="preserve">a court order to afford </w:t>
      </w:r>
      <w:r w:rsidR="00584435">
        <w:rPr>
          <w:rFonts w:ascii="Times New Roman" w:hAnsi="Times New Roman" w:cs="Times New Roman"/>
          <w:sz w:val="24"/>
          <w:szCs w:val="24"/>
        </w:rPr>
        <w:t xml:space="preserve">judicial scrutiny </w:t>
      </w:r>
      <w:r w:rsidR="00382C65">
        <w:rPr>
          <w:rFonts w:ascii="Times New Roman" w:hAnsi="Times New Roman" w:cs="Times New Roman"/>
          <w:sz w:val="24"/>
          <w:szCs w:val="24"/>
        </w:rPr>
        <w:t xml:space="preserve">of the grounds for possession </w:t>
      </w:r>
      <w:r w:rsidR="00584435">
        <w:rPr>
          <w:rFonts w:ascii="Times New Roman" w:hAnsi="Times New Roman" w:cs="Times New Roman"/>
          <w:sz w:val="24"/>
          <w:szCs w:val="24"/>
        </w:rPr>
        <w:t xml:space="preserve">even if </w:t>
      </w:r>
      <w:r w:rsidR="00382C65">
        <w:rPr>
          <w:rFonts w:ascii="Times New Roman" w:hAnsi="Times New Roman" w:cs="Times New Roman"/>
          <w:sz w:val="24"/>
          <w:szCs w:val="24"/>
        </w:rPr>
        <w:t xml:space="preserve">a </w:t>
      </w:r>
      <w:r w:rsidR="00584435">
        <w:rPr>
          <w:rFonts w:ascii="Times New Roman" w:hAnsi="Times New Roman" w:cs="Times New Roman"/>
          <w:sz w:val="24"/>
          <w:szCs w:val="24"/>
        </w:rPr>
        <w:t>proportionality</w:t>
      </w:r>
      <w:r w:rsidR="00382C65">
        <w:rPr>
          <w:rFonts w:ascii="Times New Roman" w:hAnsi="Times New Roman" w:cs="Times New Roman"/>
          <w:sz w:val="24"/>
          <w:szCs w:val="24"/>
        </w:rPr>
        <w:t xml:space="preserve"> defence is off limits</w:t>
      </w:r>
      <w:r w:rsidR="00584435">
        <w:rPr>
          <w:rFonts w:ascii="Times New Roman" w:hAnsi="Times New Roman" w:cs="Times New Roman"/>
          <w:sz w:val="24"/>
          <w:szCs w:val="24"/>
        </w:rPr>
        <w:t xml:space="preserve">. </w:t>
      </w:r>
    </w:p>
    <w:p w:rsidR="0043009B" w:rsidRDefault="0043009B" w:rsidP="00800526">
      <w:pPr>
        <w:autoSpaceDE w:val="0"/>
        <w:autoSpaceDN w:val="0"/>
        <w:adjustRightInd w:val="0"/>
        <w:spacing w:after="0" w:line="240" w:lineRule="auto"/>
        <w:rPr>
          <w:rFonts w:ascii="Times New Roman" w:hAnsi="Times New Roman" w:cs="Times New Roman"/>
          <w:sz w:val="24"/>
          <w:szCs w:val="24"/>
        </w:rPr>
      </w:pPr>
    </w:p>
    <w:p w:rsidR="0043009B" w:rsidRDefault="0043009B" w:rsidP="008005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More fundamentally the Supreme Court </w:t>
      </w:r>
      <w:r w:rsidR="00503C81">
        <w:rPr>
          <w:rFonts w:ascii="Times New Roman" w:hAnsi="Times New Roman" w:cs="Times New Roman"/>
          <w:sz w:val="24"/>
          <w:szCs w:val="24"/>
        </w:rPr>
        <w:t xml:space="preserve">is </w:t>
      </w:r>
      <w:r w:rsidR="00364BA5">
        <w:rPr>
          <w:rFonts w:ascii="Times New Roman" w:hAnsi="Times New Roman" w:cs="Times New Roman"/>
          <w:sz w:val="24"/>
          <w:szCs w:val="24"/>
        </w:rPr>
        <w:t>shutting</w:t>
      </w:r>
      <w:r>
        <w:rPr>
          <w:rFonts w:ascii="Times New Roman" w:hAnsi="Times New Roman" w:cs="Times New Roman"/>
          <w:sz w:val="24"/>
          <w:szCs w:val="24"/>
        </w:rPr>
        <w:t xml:space="preserve"> the door on </w:t>
      </w:r>
      <w:r w:rsidR="00364BA5">
        <w:rPr>
          <w:rFonts w:ascii="Times New Roman" w:hAnsi="Times New Roman" w:cs="Times New Roman"/>
          <w:sz w:val="24"/>
          <w:szCs w:val="24"/>
        </w:rPr>
        <w:t xml:space="preserve">the rhetoric of functional balancing that proportionality offers </w:t>
      </w:r>
      <w:r w:rsidR="00EF0697">
        <w:rPr>
          <w:rFonts w:ascii="Times New Roman" w:hAnsi="Times New Roman" w:cs="Times New Roman"/>
          <w:sz w:val="24"/>
          <w:szCs w:val="24"/>
        </w:rPr>
        <w:t xml:space="preserve">to </w:t>
      </w:r>
      <w:r w:rsidR="00364BA5">
        <w:rPr>
          <w:rFonts w:ascii="Times New Roman" w:hAnsi="Times New Roman" w:cs="Times New Roman"/>
          <w:sz w:val="24"/>
          <w:szCs w:val="24"/>
        </w:rPr>
        <w:t>the law effecting home repossession. Left outside is some consideration of personal contextual factors in evaluating what respect for the home means within repossession in favour of the certainty and predictability of mandatory r</w:t>
      </w:r>
      <w:r w:rsidR="00EF0697">
        <w:rPr>
          <w:rFonts w:ascii="Times New Roman" w:hAnsi="Times New Roman" w:cs="Times New Roman"/>
          <w:sz w:val="24"/>
          <w:szCs w:val="24"/>
        </w:rPr>
        <w:t>ights to possession</w:t>
      </w:r>
      <w:r w:rsidR="00364BA5">
        <w:rPr>
          <w:rFonts w:ascii="Times New Roman" w:hAnsi="Times New Roman" w:cs="Times New Roman"/>
          <w:sz w:val="24"/>
          <w:szCs w:val="24"/>
        </w:rPr>
        <w:t>. Whether one believes that this is a good or bad thing depends upon one’s view of the value of human rights within property law. Those who fear the destabilising effect of human rights upon property law will welcome the decision.</w:t>
      </w:r>
      <w:r w:rsidR="00503C81">
        <w:rPr>
          <w:rStyle w:val="FootnoteReference"/>
          <w:rFonts w:ascii="Times New Roman" w:hAnsi="Times New Roman" w:cs="Times New Roman"/>
          <w:sz w:val="24"/>
          <w:szCs w:val="24"/>
        </w:rPr>
        <w:footnoteReference w:id="69"/>
      </w:r>
      <w:r w:rsidR="00364BA5">
        <w:rPr>
          <w:rFonts w:ascii="Times New Roman" w:hAnsi="Times New Roman" w:cs="Times New Roman"/>
          <w:sz w:val="24"/>
          <w:szCs w:val="24"/>
        </w:rPr>
        <w:t xml:space="preserve"> Those who believe, like the author, that the home represents a unique form of property which is deserving of distinct consideration in marginal cases </w:t>
      </w:r>
      <w:r w:rsidR="00503C81">
        <w:rPr>
          <w:rFonts w:ascii="Times New Roman" w:hAnsi="Times New Roman" w:cs="Times New Roman"/>
          <w:sz w:val="24"/>
          <w:szCs w:val="24"/>
        </w:rPr>
        <w:t>are</w:t>
      </w:r>
      <w:r w:rsidR="002F46D0">
        <w:rPr>
          <w:rFonts w:ascii="Times New Roman" w:hAnsi="Times New Roman" w:cs="Times New Roman"/>
          <w:sz w:val="24"/>
          <w:szCs w:val="24"/>
        </w:rPr>
        <w:t xml:space="preserve"> disappointed</w:t>
      </w:r>
      <w:r w:rsidR="00503C81">
        <w:rPr>
          <w:rFonts w:ascii="Times New Roman" w:hAnsi="Times New Roman" w:cs="Times New Roman"/>
          <w:sz w:val="24"/>
          <w:szCs w:val="24"/>
        </w:rPr>
        <w:t xml:space="preserve">. </w:t>
      </w:r>
      <w:r w:rsidR="00003F0C">
        <w:rPr>
          <w:rFonts w:ascii="Times New Roman" w:hAnsi="Times New Roman" w:cs="Times New Roman"/>
          <w:sz w:val="24"/>
          <w:szCs w:val="24"/>
        </w:rPr>
        <w:t xml:space="preserve">It takes the human out of </w:t>
      </w:r>
      <w:r w:rsidR="00890A5D">
        <w:rPr>
          <w:rFonts w:ascii="Times New Roman" w:hAnsi="Times New Roman" w:cs="Times New Roman"/>
          <w:sz w:val="24"/>
          <w:szCs w:val="24"/>
        </w:rPr>
        <w:t>home repossession by rejecting the relevance of individual vulnerability and in so doing turns away from relativ</w:t>
      </w:r>
      <w:r w:rsidR="00EF0697">
        <w:rPr>
          <w:rFonts w:ascii="Times New Roman" w:hAnsi="Times New Roman" w:cs="Times New Roman"/>
          <w:sz w:val="24"/>
          <w:szCs w:val="24"/>
        </w:rPr>
        <w:t xml:space="preserve">e </w:t>
      </w:r>
      <w:r w:rsidR="00890A5D">
        <w:rPr>
          <w:rFonts w:ascii="Times New Roman" w:hAnsi="Times New Roman" w:cs="Times New Roman"/>
          <w:sz w:val="24"/>
          <w:szCs w:val="24"/>
        </w:rPr>
        <w:t>approaches to ownership in favour of reinforcing the absolutism of the right to exclude.</w:t>
      </w:r>
      <w:r w:rsidR="00EF0697">
        <w:rPr>
          <w:rStyle w:val="FootnoteReference"/>
          <w:rFonts w:ascii="Times New Roman" w:hAnsi="Times New Roman" w:cs="Times New Roman"/>
          <w:sz w:val="24"/>
          <w:szCs w:val="24"/>
        </w:rPr>
        <w:footnoteReference w:id="70"/>
      </w:r>
      <w:r w:rsidR="00003F0C">
        <w:rPr>
          <w:rFonts w:ascii="Times New Roman" w:hAnsi="Times New Roman" w:cs="Times New Roman"/>
          <w:sz w:val="24"/>
          <w:szCs w:val="24"/>
        </w:rPr>
        <w:t xml:space="preserve"> </w:t>
      </w:r>
      <w:r w:rsidR="00364BA5">
        <w:rPr>
          <w:rFonts w:ascii="Times New Roman" w:hAnsi="Times New Roman" w:cs="Times New Roman"/>
          <w:sz w:val="24"/>
          <w:szCs w:val="24"/>
        </w:rPr>
        <w:t xml:space="preserve">  </w:t>
      </w:r>
    </w:p>
    <w:p w:rsidR="00106825" w:rsidRDefault="00106825" w:rsidP="00800526">
      <w:pPr>
        <w:autoSpaceDE w:val="0"/>
        <w:autoSpaceDN w:val="0"/>
        <w:adjustRightInd w:val="0"/>
        <w:spacing w:after="0" w:line="240" w:lineRule="auto"/>
        <w:rPr>
          <w:rFonts w:ascii="Times New Roman" w:hAnsi="Times New Roman" w:cs="Times New Roman"/>
          <w:sz w:val="24"/>
          <w:szCs w:val="24"/>
        </w:rPr>
      </w:pPr>
    </w:p>
    <w:p w:rsidR="00A35210" w:rsidRPr="0009277F" w:rsidRDefault="0009277F" w:rsidP="0080052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Conclusion</w:t>
      </w:r>
    </w:p>
    <w:p w:rsidR="00A35210" w:rsidRDefault="00A35210" w:rsidP="00800526">
      <w:pPr>
        <w:autoSpaceDE w:val="0"/>
        <w:autoSpaceDN w:val="0"/>
        <w:adjustRightInd w:val="0"/>
        <w:spacing w:after="0" w:line="240" w:lineRule="auto"/>
        <w:rPr>
          <w:rFonts w:ascii="Times New Roman" w:hAnsi="Times New Roman" w:cs="Times New Roman"/>
          <w:sz w:val="24"/>
          <w:szCs w:val="24"/>
        </w:rPr>
      </w:pPr>
    </w:p>
    <w:p w:rsidR="003C40A3" w:rsidRDefault="00B74AC2" w:rsidP="00800526">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i/>
          <w:sz w:val="24"/>
          <w:szCs w:val="24"/>
        </w:rPr>
        <w:t xml:space="preserve">McDonald </w:t>
      </w:r>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a landmark case in addressing the long awaited question of the horizontal impact of Article 8 on private parties</w:t>
      </w:r>
      <w:r w:rsidR="00E76A58">
        <w:rPr>
          <w:rFonts w:ascii="Times New Roman" w:hAnsi="Times New Roman" w:cs="Times New Roman"/>
          <w:sz w:val="24"/>
          <w:szCs w:val="24"/>
        </w:rPr>
        <w:t xml:space="preserve"> within home repossession</w:t>
      </w:r>
      <w:r>
        <w:rPr>
          <w:rFonts w:ascii="Times New Roman" w:hAnsi="Times New Roman" w:cs="Times New Roman"/>
          <w:sz w:val="24"/>
          <w:szCs w:val="24"/>
        </w:rPr>
        <w:t xml:space="preserve">. </w:t>
      </w:r>
    </w:p>
    <w:p w:rsidR="003C40A3" w:rsidRDefault="003C40A3" w:rsidP="00800526">
      <w:pPr>
        <w:autoSpaceDE w:val="0"/>
        <w:autoSpaceDN w:val="0"/>
        <w:adjustRightInd w:val="0"/>
        <w:spacing w:after="0" w:line="240" w:lineRule="auto"/>
        <w:rPr>
          <w:rFonts w:ascii="Times New Roman" w:hAnsi="Times New Roman" w:cs="Times New Roman"/>
          <w:sz w:val="24"/>
          <w:szCs w:val="24"/>
        </w:rPr>
      </w:pPr>
    </w:p>
    <w:p w:rsidR="003C40A3" w:rsidRPr="00396430" w:rsidRDefault="009C4E11" w:rsidP="003C40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Effectively w</w:t>
      </w:r>
      <w:r w:rsidR="003C40A3">
        <w:rPr>
          <w:rFonts w:ascii="Times New Roman" w:hAnsi="Times New Roman" w:cs="Times New Roman"/>
          <w:sz w:val="24"/>
          <w:szCs w:val="24"/>
        </w:rPr>
        <w:t>e now have a two tier protection between tenants within the pub</w:t>
      </w:r>
      <w:r>
        <w:rPr>
          <w:rFonts w:ascii="Times New Roman" w:hAnsi="Times New Roman" w:cs="Times New Roman"/>
          <w:sz w:val="24"/>
          <w:szCs w:val="24"/>
        </w:rPr>
        <w:t xml:space="preserve">lic and private sectors. This </w:t>
      </w:r>
      <w:r w:rsidR="003C40A3">
        <w:rPr>
          <w:rFonts w:ascii="Times New Roman" w:hAnsi="Times New Roman" w:cs="Times New Roman"/>
          <w:sz w:val="24"/>
          <w:szCs w:val="24"/>
        </w:rPr>
        <w:t xml:space="preserve">is increasingly significant </w:t>
      </w:r>
      <w:r>
        <w:rPr>
          <w:rFonts w:ascii="Times New Roman" w:hAnsi="Times New Roman" w:cs="Times New Roman"/>
          <w:sz w:val="24"/>
          <w:szCs w:val="24"/>
        </w:rPr>
        <w:t xml:space="preserve">given </w:t>
      </w:r>
      <w:r w:rsidR="00E43EAF">
        <w:rPr>
          <w:rFonts w:ascii="Times New Roman" w:hAnsi="Times New Roman" w:cs="Times New Roman"/>
          <w:sz w:val="24"/>
          <w:szCs w:val="24"/>
        </w:rPr>
        <w:t xml:space="preserve">the growth of </w:t>
      </w:r>
      <w:r w:rsidR="003C40A3">
        <w:rPr>
          <w:rFonts w:ascii="Times New Roman" w:hAnsi="Times New Roman" w:cs="Times New Roman"/>
          <w:sz w:val="24"/>
          <w:szCs w:val="24"/>
        </w:rPr>
        <w:t>less secure tenancies in the public sector.</w:t>
      </w:r>
      <w:r w:rsidR="003C40A3">
        <w:rPr>
          <w:rStyle w:val="FootnoteReference"/>
          <w:rFonts w:ascii="Times New Roman" w:hAnsi="Times New Roman" w:cs="Times New Roman"/>
          <w:sz w:val="24"/>
          <w:szCs w:val="24"/>
        </w:rPr>
        <w:footnoteReference w:id="71"/>
      </w:r>
      <w:r w:rsidR="003C40A3">
        <w:rPr>
          <w:rFonts w:ascii="Times New Roman" w:hAnsi="Times New Roman" w:cs="Times New Roman"/>
          <w:sz w:val="24"/>
          <w:szCs w:val="24"/>
        </w:rPr>
        <w:t xml:space="preserve"> Tenants of a public or quasi-public authority may raise a proportionality defence but private tenants cannot.  </w:t>
      </w:r>
      <w:r w:rsidR="008A6542">
        <w:rPr>
          <w:rFonts w:ascii="Times New Roman" w:hAnsi="Times New Roman" w:cs="Times New Roman"/>
          <w:sz w:val="24"/>
          <w:szCs w:val="24"/>
        </w:rPr>
        <w:t xml:space="preserve">The distinction is </w:t>
      </w:r>
      <w:r>
        <w:rPr>
          <w:rFonts w:ascii="Times New Roman" w:hAnsi="Times New Roman" w:cs="Times New Roman"/>
          <w:sz w:val="24"/>
          <w:szCs w:val="24"/>
        </w:rPr>
        <w:t xml:space="preserve">further muddied </w:t>
      </w:r>
      <w:r w:rsidR="008A6542">
        <w:rPr>
          <w:rFonts w:ascii="Times New Roman" w:hAnsi="Times New Roman" w:cs="Times New Roman"/>
          <w:sz w:val="24"/>
          <w:szCs w:val="24"/>
        </w:rPr>
        <w:t xml:space="preserve">by measures </w:t>
      </w:r>
      <w:r>
        <w:rPr>
          <w:rFonts w:ascii="Times New Roman" w:hAnsi="Times New Roman" w:cs="Times New Roman"/>
          <w:sz w:val="24"/>
          <w:szCs w:val="24"/>
        </w:rPr>
        <w:t xml:space="preserve">such </w:t>
      </w:r>
      <w:r w:rsidR="008A6542">
        <w:rPr>
          <w:rFonts w:ascii="Times New Roman" w:hAnsi="Times New Roman" w:cs="Times New Roman"/>
          <w:sz w:val="24"/>
          <w:szCs w:val="24"/>
        </w:rPr>
        <w:t xml:space="preserve">as a local authority’s ability to discharge its homelessness duties by resort to </w:t>
      </w:r>
      <w:r>
        <w:rPr>
          <w:rFonts w:ascii="Times New Roman" w:hAnsi="Times New Roman" w:cs="Times New Roman"/>
          <w:sz w:val="24"/>
          <w:szCs w:val="24"/>
        </w:rPr>
        <w:t xml:space="preserve">the </w:t>
      </w:r>
      <w:r w:rsidR="008A6542">
        <w:rPr>
          <w:rFonts w:ascii="Times New Roman" w:hAnsi="Times New Roman" w:cs="Times New Roman"/>
          <w:sz w:val="24"/>
          <w:szCs w:val="24"/>
        </w:rPr>
        <w:t>private sector.</w:t>
      </w:r>
      <w:r w:rsidR="008A6542">
        <w:rPr>
          <w:rStyle w:val="FootnoteReference"/>
          <w:rFonts w:ascii="Times New Roman" w:hAnsi="Times New Roman" w:cs="Times New Roman"/>
          <w:sz w:val="24"/>
          <w:szCs w:val="24"/>
        </w:rPr>
        <w:footnoteReference w:id="72"/>
      </w:r>
      <w:r>
        <w:rPr>
          <w:rFonts w:ascii="Times New Roman" w:hAnsi="Times New Roman" w:cs="Times New Roman"/>
          <w:sz w:val="24"/>
          <w:szCs w:val="24"/>
        </w:rPr>
        <w:t xml:space="preserve"> </w:t>
      </w:r>
      <w:r w:rsidR="00314232">
        <w:rPr>
          <w:rFonts w:ascii="Times New Roman" w:hAnsi="Times New Roman" w:cs="Times New Roman"/>
          <w:sz w:val="24"/>
          <w:szCs w:val="24"/>
        </w:rPr>
        <w:t>Exactly w</w:t>
      </w:r>
      <w:r w:rsidR="00E43EAF">
        <w:rPr>
          <w:rFonts w:ascii="Times New Roman" w:hAnsi="Times New Roman" w:cs="Times New Roman"/>
          <w:sz w:val="24"/>
          <w:szCs w:val="24"/>
        </w:rPr>
        <w:t xml:space="preserve">here the line is drawn between quasi public and private landlords is thus critical. </w:t>
      </w:r>
      <w:r w:rsidR="009C02CC">
        <w:rPr>
          <w:rFonts w:ascii="Times New Roman" w:hAnsi="Times New Roman" w:cs="Times New Roman"/>
          <w:sz w:val="24"/>
          <w:szCs w:val="24"/>
        </w:rPr>
        <w:t xml:space="preserve">Even if the import of this </w:t>
      </w:r>
      <w:proofErr w:type="spellStart"/>
      <w:r w:rsidR="009C02CC">
        <w:rPr>
          <w:rFonts w:ascii="Times New Roman" w:hAnsi="Times New Roman" w:cs="Times New Roman"/>
          <w:sz w:val="24"/>
          <w:szCs w:val="24"/>
        </w:rPr>
        <w:t>public</w:t>
      </w:r>
      <w:proofErr w:type="gramStart"/>
      <w:r w:rsidR="009C02CC">
        <w:rPr>
          <w:rFonts w:ascii="Times New Roman" w:hAnsi="Times New Roman" w:cs="Times New Roman"/>
          <w:sz w:val="24"/>
          <w:szCs w:val="24"/>
        </w:rPr>
        <w:t>:private</w:t>
      </w:r>
      <w:proofErr w:type="spellEnd"/>
      <w:proofErr w:type="gramEnd"/>
      <w:r w:rsidR="009C02CC">
        <w:rPr>
          <w:rFonts w:ascii="Times New Roman" w:hAnsi="Times New Roman" w:cs="Times New Roman"/>
          <w:sz w:val="24"/>
          <w:szCs w:val="24"/>
        </w:rPr>
        <w:t xml:space="preserve"> divide is to some extent ameliorated by the narrow application of proportionality in public or quasi-public authority possession proceedings laid down in </w:t>
      </w:r>
      <w:proofErr w:type="spellStart"/>
      <w:r w:rsidR="009C02CC">
        <w:rPr>
          <w:rFonts w:ascii="Times New Roman" w:hAnsi="Times New Roman" w:cs="Times New Roman"/>
          <w:i/>
          <w:sz w:val="24"/>
          <w:szCs w:val="24"/>
        </w:rPr>
        <w:t>Pinnock</w:t>
      </w:r>
      <w:proofErr w:type="spellEnd"/>
      <w:r w:rsidR="009C02CC">
        <w:rPr>
          <w:rFonts w:ascii="Times New Roman" w:hAnsi="Times New Roman" w:cs="Times New Roman"/>
          <w:i/>
          <w:sz w:val="24"/>
          <w:szCs w:val="24"/>
        </w:rPr>
        <w:t xml:space="preserve"> </w:t>
      </w:r>
      <w:r w:rsidR="009C02CC">
        <w:rPr>
          <w:rFonts w:ascii="Times New Roman" w:hAnsi="Times New Roman" w:cs="Times New Roman"/>
          <w:sz w:val="24"/>
          <w:szCs w:val="24"/>
        </w:rPr>
        <w:t xml:space="preserve">and </w:t>
      </w:r>
      <w:r w:rsidR="009C02CC">
        <w:rPr>
          <w:rFonts w:ascii="Times New Roman" w:hAnsi="Times New Roman" w:cs="Times New Roman"/>
          <w:i/>
          <w:sz w:val="24"/>
          <w:szCs w:val="24"/>
        </w:rPr>
        <w:t>Powell</w:t>
      </w:r>
      <w:r w:rsidR="009C02CC">
        <w:rPr>
          <w:rFonts w:ascii="Times New Roman" w:hAnsi="Times New Roman" w:cs="Times New Roman"/>
          <w:sz w:val="24"/>
          <w:szCs w:val="24"/>
        </w:rPr>
        <w:t>.</w:t>
      </w:r>
      <w:r w:rsidR="009C02CC">
        <w:rPr>
          <w:rStyle w:val="FootnoteReference"/>
          <w:rFonts w:ascii="Times New Roman" w:hAnsi="Times New Roman" w:cs="Times New Roman"/>
          <w:sz w:val="24"/>
          <w:szCs w:val="24"/>
        </w:rPr>
        <w:footnoteReference w:id="73"/>
      </w:r>
      <w:r w:rsidR="009C02CC">
        <w:rPr>
          <w:rFonts w:ascii="Times New Roman" w:hAnsi="Times New Roman" w:cs="Times New Roman"/>
          <w:sz w:val="24"/>
          <w:szCs w:val="24"/>
        </w:rPr>
        <w:t xml:space="preserve"> </w:t>
      </w:r>
      <w:r w:rsidR="00E43EAF">
        <w:rPr>
          <w:rFonts w:ascii="Times New Roman" w:hAnsi="Times New Roman" w:cs="Times New Roman"/>
          <w:sz w:val="24"/>
          <w:szCs w:val="24"/>
        </w:rPr>
        <w:t>Yet the test to determine a quasi-public authority is not without controversy.</w:t>
      </w:r>
      <w:r w:rsidR="00E43EAF">
        <w:rPr>
          <w:rStyle w:val="FootnoteReference"/>
          <w:rFonts w:ascii="Times New Roman" w:hAnsi="Times New Roman" w:cs="Times New Roman"/>
          <w:sz w:val="24"/>
          <w:szCs w:val="24"/>
        </w:rPr>
        <w:footnoteReference w:id="74"/>
      </w:r>
      <w:r w:rsidR="00E43EAF" w:rsidRPr="00E43EAF">
        <w:rPr>
          <w:rFonts w:ascii="Times New Roman" w:hAnsi="Times New Roman" w:cs="Times New Roman"/>
          <w:sz w:val="24"/>
          <w:szCs w:val="24"/>
        </w:rPr>
        <w:t xml:space="preserve"> </w:t>
      </w:r>
      <w:r w:rsidR="00314232">
        <w:rPr>
          <w:rFonts w:ascii="Times New Roman" w:hAnsi="Times New Roman" w:cs="Times New Roman"/>
          <w:sz w:val="24"/>
          <w:szCs w:val="24"/>
        </w:rPr>
        <w:t>M</w:t>
      </w:r>
      <w:r w:rsidR="00E43EAF">
        <w:rPr>
          <w:rFonts w:ascii="Times New Roman" w:hAnsi="Times New Roman" w:cs="Times New Roman"/>
          <w:sz w:val="24"/>
          <w:szCs w:val="24"/>
        </w:rPr>
        <w:t>any housing associations will be quasi</w:t>
      </w:r>
      <w:r w:rsidR="008A6542">
        <w:rPr>
          <w:rFonts w:ascii="Times New Roman" w:hAnsi="Times New Roman" w:cs="Times New Roman"/>
          <w:sz w:val="24"/>
          <w:szCs w:val="24"/>
        </w:rPr>
        <w:t>-</w:t>
      </w:r>
      <w:r w:rsidR="00E43EAF">
        <w:rPr>
          <w:rFonts w:ascii="Times New Roman" w:hAnsi="Times New Roman" w:cs="Times New Roman"/>
          <w:sz w:val="24"/>
          <w:szCs w:val="24"/>
        </w:rPr>
        <w:t xml:space="preserve">public authorities and under a </w:t>
      </w:r>
      <w:r w:rsidR="00E43EAF">
        <w:rPr>
          <w:rFonts w:ascii="Times New Roman" w:hAnsi="Times New Roman" w:cs="Times New Roman"/>
          <w:sz w:val="24"/>
          <w:szCs w:val="24"/>
        </w:rPr>
        <w:lastRenderedPageBreak/>
        <w:t>duty to act compatibly in their dealings with their tenants</w:t>
      </w:r>
      <w:r>
        <w:rPr>
          <w:rFonts w:ascii="Times New Roman" w:hAnsi="Times New Roman" w:cs="Times New Roman"/>
          <w:sz w:val="24"/>
          <w:szCs w:val="24"/>
        </w:rPr>
        <w:t>,</w:t>
      </w:r>
      <w:r w:rsidR="00E43EAF">
        <w:rPr>
          <w:rFonts w:ascii="Times New Roman" w:hAnsi="Times New Roman" w:cs="Times New Roman"/>
          <w:sz w:val="24"/>
          <w:szCs w:val="24"/>
        </w:rPr>
        <w:t xml:space="preserve"> including when terminating an AST</w:t>
      </w:r>
      <w:r w:rsidR="00314232">
        <w:rPr>
          <w:rFonts w:ascii="Times New Roman" w:hAnsi="Times New Roman" w:cs="Times New Roman"/>
          <w:sz w:val="24"/>
          <w:szCs w:val="24"/>
        </w:rPr>
        <w:t xml:space="preserve">. However, </w:t>
      </w:r>
      <w:r>
        <w:rPr>
          <w:rFonts w:ascii="Times New Roman" w:hAnsi="Times New Roman" w:cs="Times New Roman"/>
          <w:sz w:val="24"/>
          <w:szCs w:val="24"/>
        </w:rPr>
        <w:t xml:space="preserve">their status </w:t>
      </w:r>
      <w:r w:rsidR="00314232">
        <w:rPr>
          <w:rFonts w:ascii="Times New Roman" w:hAnsi="Times New Roman" w:cs="Times New Roman"/>
          <w:sz w:val="24"/>
          <w:szCs w:val="24"/>
        </w:rPr>
        <w:t>as quasi-public author</w:t>
      </w:r>
      <w:r w:rsidR="00EE2D85">
        <w:rPr>
          <w:rFonts w:ascii="Times New Roman" w:hAnsi="Times New Roman" w:cs="Times New Roman"/>
          <w:sz w:val="24"/>
          <w:szCs w:val="24"/>
        </w:rPr>
        <w:t>i</w:t>
      </w:r>
      <w:r w:rsidR="00314232">
        <w:rPr>
          <w:rFonts w:ascii="Times New Roman" w:hAnsi="Times New Roman" w:cs="Times New Roman"/>
          <w:sz w:val="24"/>
          <w:szCs w:val="24"/>
        </w:rPr>
        <w:t xml:space="preserve">ties </w:t>
      </w:r>
      <w:r w:rsidR="00EE2D85">
        <w:rPr>
          <w:rFonts w:ascii="Times New Roman" w:hAnsi="Times New Roman" w:cs="Times New Roman"/>
          <w:sz w:val="24"/>
          <w:szCs w:val="24"/>
        </w:rPr>
        <w:t xml:space="preserve">can raise </w:t>
      </w:r>
      <w:r w:rsidR="00D91E5E">
        <w:rPr>
          <w:rFonts w:ascii="Times New Roman" w:hAnsi="Times New Roman" w:cs="Times New Roman"/>
          <w:sz w:val="24"/>
          <w:szCs w:val="24"/>
        </w:rPr>
        <w:t xml:space="preserve">difficult and </w:t>
      </w:r>
      <w:r>
        <w:rPr>
          <w:rFonts w:ascii="Times New Roman" w:hAnsi="Times New Roman" w:cs="Times New Roman"/>
          <w:sz w:val="24"/>
          <w:szCs w:val="24"/>
        </w:rPr>
        <w:t>functionally fact sensitive</w:t>
      </w:r>
      <w:r w:rsidR="00EE2D85">
        <w:rPr>
          <w:rFonts w:ascii="Times New Roman" w:hAnsi="Times New Roman" w:cs="Times New Roman"/>
          <w:sz w:val="24"/>
          <w:szCs w:val="24"/>
        </w:rPr>
        <w:t xml:space="preserve"> questions</w:t>
      </w:r>
      <w:r w:rsidR="00E43EAF">
        <w:rPr>
          <w:rFonts w:ascii="Times New Roman" w:hAnsi="Times New Roman" w:cs="Times New Roman"/>
          <w:sz w:val="24"/>
          <w:szCs w:val="24"/>
        </w:rPr>
        <w:t>.</w:t>
      </w:r>
      <w:r w:rsidR="00E43EAF">
        <w:rPr>
          <w:rStyle w:val="FootnoteReference"/>
          <w:rFonts w:ascii="Times New Roman" w:hAnsi="Times New Roman" w:cs="Times New Roman"/>
          <w:sz w:val="24"/>
          <w:szCs w:val="24"/>
        </w:rPr>
        <w:footnoteReference w:id="75"/>
      </w:r>
      <w:r w:rsidR="00E43EAF">
        <w:rPr>
          <w:rFonts w:ascii="Times New Roman" w:hAnsi="Times New Roman" w:cs="Times New Roman"/>
          <w:sz w:val="24"/>
          <w:szCs w:val="24"/>
        </w:rPr>
        <w:t xml:space="preserve"> </w:t>
      </w:r>
    </w:p>
    <w:p w:rsidR="003C40A3" w:rsidRDefault="003C40A3" w:rsidP="003C40A3">
      <w:pPr>
        <w:autoSpaceDE w:val="0"/>
        <w:autoSpaceDN w:val="0"/>
        <w:adjustRightInd w:val="0"/>
        <w:spacing w:after="0" w:line="240" w:lineRule="auto"/>
        <w:rPr>
          <w:rFonts w:ascii="Times New Roman" w:hAnsi="Times New Roman" w:cs="Times New Roman"/>
          <w:sz w:val="24"/>
          <w:szCs w:val="24"/>
        </w:rPr>
      </w:pPr>
    </w:p>
    <w:p w:rsidR="002C4352" w:rsidRDefault="0095462D" w:rsidP="008005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rejection </w:t>
      </w:r>
      <w:r w:rsidR="00B74AC2">
        <w:rPr>
          <w:rFonts w:ascii="Times New Roman" w:hAnsi="Times New Roman" w:cs="Times New Roman"/>
          <w:sz w:val="24"/>
          <w:szCs w:val="24"/>
        </w:rPr>
        <w:t>of remedial horizontality</w:t>
      </w:r>
      <w:r w:rsidR="00843D6A">
        <w:rPr>
          <w:rFonts w:ascii="Times New Roman" w:hAnsi="Times New Roman" w:cs="Times New Roman"/>
          <w:sz w:val="24"/>
          <w:szCs w:val="24"/>
        </w:rPr>
        <w:t>,</w:t>
      </w:r>
      <w:r w:rsidR="00B74AC2">
        <w:rPr>
          <w:rFonts w:ascii="Times New Roman" w:hAnsi="Times New Roman" w:cs="Times New Roman"/>
          <w:sz w:val="24"/>
          <w:szCs w:val="24"/>
        </w:rPr>
        <w:t xml:space="preserve"> through the court’s duties under section 6 of the HRA 1998</w:t>
      </w:r>
      <w:r w:rsidR="00843D6A">
        <w:rPr>
          <w:rFonts w:ascii="Times New Roman" w:hAnsi="Times New Roman" w:cs="Times New Roman"/>
          <w:sz w:val="24"/>
          <w:szCs w:val="24"/>
        </w:rPr>
        <w:t>,</w:t>
      </w:r>
      <w:r w:rsidR="00B74AC2">
        <w:rPr>
          <w:rFonts w:ascii="Times New Roman" w:hAnsi="Times New Roman" w:cs="Times New Roman"/>
          <w:sz w:val="24"/>
          <w:szCs w:val="24"/>
        </w:rPr>
        <w:t xml:space="preserve"> reflects the general concern that has been expressed on the impact of human rights on private law </w:t>
      </w:r>
      <w:r w:rsidR="002C4352">
        <w:rPr>
          <w:rFonts w:ascii="Times New Roman" w:hAnsi="Times New Roman" w:cs="Times New Roman"/>
          <w:sz w:val="24"/>
          <w:szCs w:val="24"/>
        </w:rPr>
        <w:t>in compromising personal autonomy</w:t>
      </w:r>
      <w:r w:rsidR="00E76A58">
        <w:rPr>
          <w:rFonts w:ascii="Times New Roman" w:hAnsi="Times New Roman" w:cs="Times New Roman"/>
          <w:sz w:val="24"/>
          <w:szCs w:val="24"/>
        </w:rPr>
        <w:t xml:space="preserve"> and the constitutional importance of separation of powers</w:t>
      </w:r>
      <w:r w:rsidR="002C4352">
        <w:rPr>
          <w:rFonts w:ascii="Times New Roman" w:hAnsi="Times New Roman" w:cs="Times New Roman"/>
          <w:sz w:val="24"/>
          <w:szCs w:val="24"/>
        </w:rPr>
        <w:t>.</w:t>
      </w:r>
      <w:r w:rsidR="00E26614">
        <w:rPr>
          <w:rStyle w:val="FootnoteReference"/>
          <w:rFonts w:ascii="Times New Roman" w:hAnsi="Times New Roman" w:cs="Times New Roman"/>
          <w:sz w:val="24"/>
          <w:szCs w:val="24"/>
        </w:rPr>
        <w:footnoteReference w:id="76"/>
      </w:r>
      <w:r w:rsidR="00E26614">
        <w:rPr>
          <w:rStyle w:val="FootnoteReference"/>
          <w:rFonts w:ascii="Times New Roman" w:hAnsi="Times New Roman" w:cs="Times New Roman"/>
          <w:sz w:val="24"/>
          <w:szCs w:val="24"/>
        </w:rPr>
        <w:t xml:space="preserve"> </w:t>
      </w:r>
      <w:r w:rsidR="00E55507">
        <w:rPr>
          <w:rStyle w:val="FootnoteReference"/>
          <w:rFonts w:ascii="Times New Roman" w:hAnsi="Times New Roman" w:cs="Times New Roman"/>
          <w:sz w:val="24"/>
          <w:szCs w:val="24"/>
        </w:rPr>
        <w:t xml:space="preserve"> </w:t>
      </w:r>
      <w:r w:rsidR="00C548E8">
        <w:rPr>
          <w:rFonts w:ascii="Times New Roman" w:hAnsi="Times New Roman" w:cs="Times New Roman"/>
          <w:sz w:val="24"/>
          <w:szCs w:val="24"/>
        </w:rPr>
        <w:t>T</w:t>
      </w:r>
      <w:r w:rsidR="002C4352">
        <w:rPr>
          <w:rFonts w:ascii="Times New Roman" w:hAnsi="Times New Roman" w:cs="Times New Roman"/>
          <w:sz w:val="24"/>
          <w:szCs w:val="24"/>
        </w:rPr>
        <w:t>he Supreme Court’s judgment is shot through with statements that th</w:t>
      </w:r>
      <w:r w:rsidR="00E76A58">
        <w:rPr>
          <w:rFonts w:ascii="Times New Roman" w:hAnsi="Times New Roman" w:cs="Times New Roman"/>
          <w:sz w:val="24"/>
          <w:szCs w:val="24"/>
        </w:rPr>
        <w:t>ese</w:t>
      </w:r>
      <w:r w:rsidR="002C4352">
        <w:rPr>
          <w:rFonts w:ascii="Times New Roman" w:hAnsi="Times New Roman" w:cs="Times New Roman"/>
          <w:sz w:val="24"/>
          <w:szCs w:val="24"/>
        </w:rPr>
        <w:t xml:space="preserve"> </w:t>
      </w:r>
      <w:r w:rsidR="00E76A58">
        <w:rPr>
          <w:rFonts w:ascii="Times New Roman" w:hAnsi="Times New Roman" w:cs="Times New Roman"/>
          <w:sz w:val="24"/>
          <w:szCs w:val="24"/>
        </w:rPr>
        <w:t>principles must be preserved</w:t>
      </w:r>
      <w:r w:rsidR="002C4352">
        <w:rPr>
          <w:rFonts w:ascii="Times New Roman" w:hAnsi="Times New Roman" w:cs="Times New Roman"/>
          <w:sz w:val="24"/>
          <w:szCs w:val="24"/>
        </w:rPr>
        <w:t xml:space="preserve">. They </w:t>
      </w:r>
      <w:r w:rsidR="00E76A58">
        <w:rPr>
          <w:rFonts w:ascii="Times New Roman" w:hAnsi="Times New Roman" w:cs="Times New Roman"/>
          <w:sz w:val="24"/>
          <w:szCs w:val="24"/>
        </w:rPr>
        <w:t xml:space="preserve">reiterate </w:t>
      </w:r>
      <w:r w:rsidR="002C4352">
        <w:rPr>
          <w:rFonts w:ascii="Times New Roman" w:hAnsi="Times New Roman" w:cs="Times New Roman"/>
          <w:sz w:val="24"/>
          <w:szCs w:val="24"/>
        </w:rPr>
        <w:t xml:space="preserve">that any compromise to that autonomy </w:t>
      </w:r>
      <w:r w:rsidR="00E85292">
        <w:rPr>
          <w:rFonts w:ascii="Times New Roman" w:hAnsi="Times New Roman" w:cs="Times New Roman"/>
          <w:sz w:val="24"/>
          <w:szCs w:val="24"/>
        </w:rPr>
        <w:t xml:space="preserve">through the balancing of private parties’ respective human rights </w:t>
      </w:r>
      <w:r w:rsidR="002C4352">
        <w:rPr>
          <w:rFonts w:ascii="Times New Roman" w:hAnsi="Times New Roman" w:cs="Times New Roman"/>
          <w:sz w:val="24"/>
          <w:szCs w:val="24"/>
        </w:rPr>
        <w:t xml:space="preserve">is a matter for Parliament in </w:t>
      </w:r>
      <w:r w:rsidR="00E85292">
        <w:rPr>
          <w:rFonts w:ascii="Times New Roman" w:hAnsi="Times New Roman" w:cs="Times New Roman"/>
          <w:sz w:val="24"/>
          <w:szCs w:val="24"/>
        </w:rPr>
        <w:t>their proper constitutional role.</w:t>
      </w:r>
      <w:r>
        <w:rPr>
          <w:rFonts w:ascii="Times New Roman" w:hAnsi="Times New Roman" w:cs="Times New Roman"/>
          <w:sz w:val="24"/>
          <w:szCs w:val="24"/>
        </w:rPr>
        <w:t xml:space="preserve"> </w:t>
      </w:r>
    </w:p>
    <w:p w:rsidR="002C4352" w:rsidRDefault="002C4352" w:rsidP="00800526">
      <w:pPr>
        <w:autoSpaceDE w:val="0"/>
        <w:autoSpaceDN w:val="0"/>
        <w:adjustRightInd w:val="0"/>
        <w:spacing w:after="0" w:line="240" w:lineRule="auto"/>
        <w:rPr>
          <w:rFonts w:ascii="Times New Roman" w:hAnsi="Times New Roman" w:cs="Times New Roman"/>
          <w:sz w:val="24"/>
          <w:szCs w:val="24"/>
        </w:rPr>
      </w:pPr>
    </w:p>
    <w:p w:rsidR="00B86331" w:rsidRPr="00B74AC2" w:rsidRDefault="00E85292" w:rsidP="008005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such the judgment reflects the traditional </w:t>
      </w:r>
      <w:r w:rsidR="00E76A58">
        <w:rPr>
          <w:rFonts w:ascii="Times New Roman" w:hAnsi="Times New Roman" w:cs="Times New Roman"/>
          <w:sz w:val="24"/>
          <w:szCs w:val="24"/>
        </w:rPr>
        <w:t xml:space="preserve">property law values of </w:t>
      </w:r>
      <w:r>
        <w:rPr>
          <w:rFonts w:ascii="Times New Roman" w:hAnsi="Times New Roman" w:cs="Times New Roman"/>
          <w:sz w:val="24"/>
          <w:szCs w:val="24"/>
        </w:rPr>
        <w:t>clarity and certainty</w:t>
      </w:r>
      <w:r w:rsidR="00B74AC2">
        <w:rPr>
          <w:rFonts w:ascii="Times New Roman" w:hAnsi="Times New Roman" w:cs="Times New Roman"/>
          <w:sz w:val="24"/>
          <w:szCs w:val="24"/>
        </w:rPr>
        <w:t>.</w:t>
      </w:r>
      <w:r>
        <w:rPr>
          <w:rFonts w:ascii="Times New Roman" w:hAnsi="Times New Roman" w:cs="Times New Roman"/>
          <w:sz w:val="24"/>
          <w:szCs w:val="24"/>
        </w:rPr>
        <w:t xml:space="preserve"> However, in so doing it empties Article 8 of little meaning in the context of possession proceedings brought by private landlords. It is only where the law itself can be challenged as incompatible or where </w:t>
      </w:r>
      <w:r w:rsidR="00E76A58">
        <w:rPr>
          <w:rFonts w:ascii="Times New Roman" w:hAnsi="Times New Roman" w:cs="Times New Roman"/>
          <w:sz w:val="24"/>
          <w:szCs w:val="24"/>
        </w:rPr>
        <w:t xml:space="preserve">a State </w:t>
      </w:r>
      <w:r>
        <w:rPr>
          <w:rFonts w:ascii="Times New Roman" w:hAnsi="Times New Roman" w:cs="Times New Roman"/>
          <w:sz w:val="24"/>
          <w:szCs w:val="24"/>
        </w:rPr>
        <w:t>is found to be under a positive duty under the ECHR</w:t>
      </w:r>
      <w:r w:rsidR="004427C2">
        <w:rPr>
          <w:rFonts w:ascii="Times New Roman" w:hAnsi="Times New Roman" w:cs="Times New Roman"/>
          <w:sz w:val="24"/>
          <w:szCs w:val="24"/>
        </w:rPr>
        <w:t xml:space="preserve">, for instance to protect vulnerability, that </w:t>
      </w:r>
      <w:r w:rsidR="001E02DC">
        <w:rPr>
          <w:rFonts w:ascii="Times New Roman" w:hAnsi="Times New Roman" w:cs="Times New Roman"/>
          <w:sz w:val="24"/>
          <w:szCs w:val="24"/>
        </w:rPr>
        <w:t>human rights may play a role</w:t>
      </w:r>
      <w:r w:rsidR="004427C2">
        <w:rPr>
          <w:rFonts w:ascii="Times New Roman" w:hAnsi="Times New Roman" w:cs="Times New Roman"/>
          <w:sz w:val="24"/>
          <w:szCs w:val="24"/>
        </w:rPr>
        <w:t xml:space="preserve">.   Whether the Strasbourg Court agrees with this restrictive application of the balance between Article 1 Protocol 1 and Article 8 to </w:t>
      </w:r>
      <w:r w:rsidR="00E76A58">
        <w:rPr>
          <w:rFonts w:ascii="Times New Roman" w:hAnsi="Times New Roman" w:cs="Times New Roman"/>
          <w:sz w:val="24"/>
          <w:szCs w:val="24"/>
        </w:rPr>
        <w:t xml:space="preserve">home repossession </w:t>
      </w:r>
      <w:r w:rsidR="004427C2">
        <w:rPr>
          <w:rFonts w:ascii="Times New Roman" w:hAnsi="Times New Roman" w:cs="Times New Roman"/>
          <w:sz w:val="24"/>
          <w:szCs w:val="24"/>
        </w:rPr>
        <w:t>remains to be seen.</w:t>
      </w:r>
      <w:r w:rsidR="00503C81">
        <w:rPr>
          <w:rFonts w:ascii="Times New Roman" w:hAnsi="Times New Roman" w:cs="Times New Roman"/>
          <w:sz w:val="24"/>
          <w:szCs w:val="24"/>
        </w:rPr>
        <w:t xml:space="preserve"> </w:t>
      </w:r>
      <w:r w:rsidR="004427C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35210" w:rsidRDefault="00A35210" w:rsidP="00800526">
      <w:pPr>
        <w:autoSpaceDE w:val="0"/>
        <w:autoSpaceDN w:val="0"/>
        <w:adjustRightInd w:val="0"/>
        <w:spacing w:after="0" w:line="240" w:lineRule="auto"/>
        <w:rPr>
          <w:rFonts w:ascii="Times New Roman" w:hAnsi="Times New Roman" w:cs="Times New Roman"/>
          <w:sz w:val="24"/>
          <w:szCs w:val="24"/>
        </w:rPr>
      </w:pPr>
    </w:p>
    <w:p w:rsidR="00520896" w:rsidRPr="00520896" w:rsidRDefault="00520896" w:rsidP="0080052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Sarah </w:t>
      </w:r>
      <w:proofErr w:type="spellStart"/>
      <w:r>
        <w:rPr>
          <w:rFonts w:ascii="Times New Roman" w:hAnsi="Times New Roman" w:cs="Times New Roman"/>
          <w:b/>
          <w:sz w:val="24"/>
          <w:szCs w:val="24"/>
        </w:rPr>
        <w:t>Nield</w:t>
      </w:r>
      <w:proofErr w:type="spellEnd"/>
      <w:r>
        <w:rPr>
          <w:rFonts w:ascii="Times New Roman" w:hAnsi="Times New Roman" w:cs="Times New Roman"/>
          <w:b/>
          <w:sz w:val="24"/>
          <w:szCs w:val="24"/>
        </w:rPr>
        <w:t>*</w:t>
      </w:r>
    </w:p>
    <w:sectPr w:rsidR="00520896" w:rsidRPr="00520896" w:rsidSect="00D764A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613" w:rsidRDefault="00AA5613" w:rsidP="00647DB4">
      <w:pPr>
        <w:spacing w:after="0" w:line="240" w:lineRule="auto"/>
      </w:pPr>
      <w:r>
        <w:separator/>
      </w:r>
    </w:p>
  </w:endnote>
  <w:endnote w:type="continuationSeparator" w:id="0">
    <w:p w:rsidR="00AA5613" w:rsidRDefault="00AA5613" w:rsidP="00647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613" w:rsidRDefault="00AA5613" w:rsidP="00647DB4">
      <w:pPr>
        <w:spacing w:after="0" w:line="240" w:lineRule="auto"/>
      </w:pPr>
      <w:r>
        <w:separator/>
      </w:r>
    </w:p>
  </w:footnote>
  <w:footnote w:type="continuationSeparator" w:id="0">
    <w:p w:rsidR="00AA5613" w:rsidRDefault="00AA5613" w:rsidP="00647DB4">
      <w:pPr>
        <w:spacing w:after="0" w:line="240" w:lineRule="auto"/>
      </w:pPr>
      <w:r>
        <w:continuationSeparator/>
      </w:r>
    </w:p>
  </w:footnote>
  <w:footnote w:id="1">
    <w:p w:rsidR="003122F2" w:rsidRPr="00B4339E" w:rsidRDefault="003122F2" w:rsidP="003122F2">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[2011] 2 AC 104.</w:t>
      </w:r>
      <w:proofErr w:type="gramEnd"/>
    </w:p>
  </w:footnote>
  <w:footnote w:id="2">
    <w:p w:rsidR="003122F2" w:rsidRPr="00B4339E" w:rsidRDefault="003122F2" w:rsidP="003122F2">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[2011] 2 AC 186.</w:t>
      </w:r>
      <w:proofErr w:type="gramEnd"/>
    </w:p>
  </w:footnote>
  <w:footnote w:id="3">
    <w:p w:rsidR="003122F2" w:rsidRPr="00B4339E" w:rsidRDefault="003122F2" w:rsidP="003122F2">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r w:rsidR="003F72F9" w:rsidRPr="00B4339E">
        <w:rPr>
          <w:rFonts w:ascii="Times New Roman" w:hAnsi="Times New Roman" w:cs="Times New Roman"/>
        </w:rPr>
        <w:t xml:space="preserve">See </w:t>
      </w:r>
      <w:proofErr w:type="spellStart"/>
      <w:r w:rsidR="003F72F9" w:rsidRPr="00B4339E">
        <w:rPr>
          <w:rFonts w:ascii="Times New Roman" w:hAnsi="Times New Roman" w:cs="Times New Roman"/>
          <w:i/>
        </w:rPr>
        <w:t>Pinnock</w:t>
      </w:r>
      <w:proofErr w:type="spellEnd"/>
      <w:r w:rsidR="003F72F9" w:rsidRPr="00B4339E">
        <w:rPr>
          <w:rFonts w:ascii="Times New Roman" w:hAnsi="Times New Roman" w:cs="Times New Roman"/>
          <w:i/>
        </w:rPr>
        <w:t xml:space="preserve"> </w:t>
      </w:r>
      <w:r w:rsidR="003F72F9" w:rsidRPr="00B4339E">
        <w:rPr>
          <w:rFonts w:ascii="Times New Roman" w:hAnsi="Times New Roman" w:cs="Times New Roman"/>
        </w:rPr>
        <w:t>p</w:t>
      </w:r>
      <w:r w:rsidRPr="00B4339E">
        <w:rPr>
          <w:rFonts w:ascii="Times New Roman" w:hAnsi="Times New Roman" w:cs="Times New Roman"/>
        </w:rPr>
        <w:t>er Lord Neuberger at [4] and [50].</w:t>
      </w:r>
    </w:p>
  </w:footnote>
  <w:footnote w:id="4">
    <w:p w:rsidR="00FC2D83" w:rsidRPr="00B4339E" w:rsidRDefault="00FC2D83">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See also section 7 and Schedule 2 which sets out the grounds for possession of an AST. Ground 8 in particular mandates possession for rent arrears.</w:t>
      </w:r>
    </w:p>
  </w:footnote>
  <w:footnote w:id="5">
    <w:p w:rsidR="005E15E0" w:rsidRPr="00B4339E" w:rsidRDefault="005E15E0">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See author’s case note </w:t>
      </w:r>
      <w:r w:rsidR="008265A6" w:rsidRPr="00B4339E">
        <w:rPr>
          <w:rFonts w:ascii="Times New Roman" w:hAnsi="Times New Roman" w:cs="Times New Roman"/>
        </w:rPr>
        <w:t xml:space="preserve">on the Court of Appeal judgment at [2015] </w:t>
      </w:r>
      <w:proofErr w:type="spellStart"/>
      <w:r w:rsidR="008265A6" w:rsidRPr="00B4339E">
        <w:rPr>
          <w:rFonts w:ascii="Times New Roman" w:hAnsi="Times New Roman" w:cs="Times New Roman"/>
        </w:rPr>
        <w:t>Conv</w:t>
      </w:r>
      <w:proofErr w:type="spellEnd"/>
      <w:r w:rsidR="008265A6" w:rsidRPr="00B4339E">
        <w:rPr>
          <w:rFonts w:ascii="Times New Roman" w:hAnsi="Times New Roman" w:cs="Times New Roman"/>
        </w:rPr>
        <w:t xml:space="preserve"> 77.</w:t>
      </w:r>
    </w:p>
  </w:footnote>
  <w:footnote w:id="6">
    <w:p w:rsidR="005D780D" w:rsidRPr="00B4339E" w:rsidRDefault="005D780D">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At [39].</w:t>
      </w:r>
      <w:proofErr w:type="gramEnd"/>
    </w:p>
  </w:footnote>
  <w:footnote w:id="7">
    <w:p w:rsidR="00C67574" w:rsidRPr="00B4339E" w:rsidRDefault="00C67574">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[2004] 1 AC 983.</w:t>
      </w:r>
      <w:proofErr w:type="gramEnd"/>
    </w:p>
  </w:footnote>
  <w:footnote w:id="8">
    <w:p w:rsidR="00F63D9E" w:rsidRPr="00B4339E" w:rsidRDefault="00F63D9E">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At [40].</w:t>
      </w:r>
      <w:proofErr w:type="gramEnd"/>
    </w:p>
  </w:footnote>
  <w:footnote w:id="9">
    <w:p w:rsidR="00C94143" w:rsidRPr="00B4339E" w:rsidRDefault="00C94143">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At [45].</w:t>
      </w:r>
      <w:proofErr w:type="gramEnd"/>
    </w:p>
  </w:footnote>
  <w:footnote w:id="10">
    <w:p w:rsidR="00F63D9E" w:rsidRPr="00B4339E" w:rsidRDefault="00F63D9E">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At [11]-[19].</w:t>
      </w:r>
      <w:proofErr w:type="gramEnd"/>
    </w:p>
  </w:footnote>
  <w:footnote w:id="11">
    <w:p w:rsidR="004D4B70" w:rsidRPr="00B4339E" w:rsidRDefault="004D4B70">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At [40].</w:t>
      </w:r>
      <w:proofErr w:type="gramEnd"/>
    </w:p>
  </w:footnote>
  <w:footnote w:id="12">
    <w:p w:rsidR="004D4B70" w:rsidRPr="00B4339E" w:rsidRDefault="004D4B70" w:rsidP="004D4B70">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At [48]-[58].</w:t>
      </w:r>
      <w:proofErr w:type="gramEnd"/>
      <w:r w:rsidRPr="00B4339E">
        <w:rPr>
          <w:rFonts w:ascii="Times New Roman" w:hAnsi="Times New Roman" w:cs="Times New Roman"/>
        </w:rPr>
        <w:t xml:space="preserve"> </w:t>
      </w:r>
    </w:p>
  </w:footnote>
  <w:footnote w:id="13">
    <w:p w:rsidR="00741E0C" w:rsidRPr="00E42732" w:rsidRDefault="00741E0C" w:rsidP="00741E0C">
      <w:pPr>
        <w:pStyle w:val="FootnoteText"/>
        <w:rPr>
          <w:rFonts w:ascii="Times New Roman" w:hAnsi="Times New Roman" w:cs="Times New Roman"/>
        </w:rPr>
      </w:pPr>
      <w:r w:rsidRPr="00E42732">
        <w:rPr>
          <w:rStyle w:val="FootnoteReference"/>
          <w:rFonts w:ascii="Times New Roman" w:hAnsi="Times New Roman" w:cs="Times New Roman"/>
        </w:rPr>
        <w:footnoteRef/>
      </w:r>
      <w:r w:rsidRPr="00E42732">
        <w:rPr>
          <w:rFonts w:ascii="Times New Roman" w:hAnsi="Times New Roman" w:cs="Times New Roman"/>
        </w:rPr>
        <w:t xml:space="preserve"> </w:t>
      </w:r>
      <w:proofErr w:type="gramStart"/>
      <w:r w:rsidRPr="00E42732">
        <w:rPr>
          <w:rFonts w:ascii="Times New Roman" w:hAnsi="Times New Roman" w:cs="Times New Roman"/>
        </w:rPr>
        <w:t>[2004] 2 AC 557.</w:t>
      </w:r>
      <w:proofErr w:type="gramEnd"/>
    </w:p>
  </w:footnote>
  <w:footnote w:id="14">
    <w:p w:rsidR="004D73A1" w:rsidRPr="00E42732" w:rsidRDefault="004D73A1">
      <w:pPr>
        <w:pStyle w:val="FootnoteText"/>
        <w:rPr>
          <w:rFonts w:ascii="Times New Roman" w:hAnsi="Times New Roman" w:cs="Times New Roman"/>
        </w:rPr>
      </w:pPr>
      <w:r w:rsidRPr="00E42732">
        <w:rPr>
          <w:rStyle w:val="FootnoteReference"/>
          <w:rFonts w:ascii="Times New Roman" w:hAnsi="Times New Roman" w:cs="Times New Roman"/>
        </w:rPr>
        <w:footnoteRef/>
      </w:r>
      <w:r w:rsidRPr="00E42732">
        <w:rPr>
          <w:rFonts w:ascii="Times New Roman" w:hAnsi="Times New Roman" w:cs="Times New Roman"/>
        </w:rPr>
        <w:t xml:space="preserve"> </w:t>
      </w:r>
      <w:proofErr w:type="gramStart"/>
      <w:r w:rsidRPr="00E42732">
        <w:rPr>
          <w:rFonts w:ascii="Times New Roman" w:hAnsi="Times New Roman" w:cs="Times New Roman"/>
        </w:rPr>
        <w:t>At [64].</w:t>
      </w:r>
      <w:proofErr w:type="gramEnd"/>
    </w:p>
  </w:footnote>
  <w:footnote w:id="15">
    <w:p w:rsidR="00DF75BB" w:rsidRPr="00DF75BB" w:rsidRDefault="00DF75BB">
      <w:pPr>
        <w:pStyle w:val="FootnoteText"/>
        <w:rPr>
          <w:rFonts w:ascii="Times New Roman" w:hAnsi="Times New Roman" w:cs="Times New Roman"/>
        </w:rPr>
      </w:pPr>
      <w:r w:rsidRPr="00DF75BB">
        <w:rPr>
          <w:rStyle w:val="FootnoteReference"/>
          <w:rFonts w:ascii="Times New Roman" w:hAnsi="Times New Roman" w:cs="Times New Roman"/>
        </w:rPr>
        <w:footnoteRef/>
      </w:r>
      <w:r w:rsidRPr="00DF75BB">
        <w:rPr>
          <w:rFonts w:ascii="Times New Roman" w:hAnsi="Times New Roman" w:cs="Times New Roman"/>
        </w:rPr>
        <w:t xml:space="preserve"> For example the Equality Act 2010 prohibit</w:t>
      </w:r>
      <w:r>
        <w:rPr>
          <w:rFonts w:ascii="Times New Roman" w:hAnsi="Times New Roman" w:cs="Times New Roman"/>
        </w:rPr>
        <w:t>s</w:t>
      </w:r>
      <w:r w:rsidRPr="00DF75BB">
        <w:rPr>
          <w:rFonts w:ascii="Times New Roman" w:hAnsi="Times New Roman" w:cs="Times New Roman"/>
        </w:rPr>
        <w:t xml:space="preserve"> certain forms of discrimination</w:t>
      </w:r>
      <w:r>
        <w:rPr>
          <w:rFonts w:ascii="Times New Roman" w:hAnsi="Times New Roman" w:cs="Times New Roman"/>
        </w:rPr>
        <w:t xml:space="preserve"> in the management of premises by public and private landlords.</w:t>
      </w:r>
    </w:p>
  </w:footnote>
  <w:footnote w:id="16">
    <w:p w:rsidR="00735B0E" w:rsidRPr="00E42732" w:rsidRDefault="00735B0E">
      <w:pPr>
        <w:pStyle w:val="FootnoteText"/>
        <w:rPr>
          <w:rFonts w:ascii="Times New Roman" w:hAnsi="Times New Roman" w:cs="Times New Roman"/>
        </w:rPr>
      </w:pPr>
      <w:r w:rsidRPr="00E42732">
        <w:rPr>
          <w:rStyle w:val="FootnoteReference"/>
          <w:rFonts w:ascii="Times New Roman" w:hAnsi="Times New Roman" w:cs="Times New Roman"/>
        </w:rPr>
        <w:footnoteRef/>
      </w:r>
      <w:r w:rsidRPr="00E42732">
        <w:rPr>
          <w:rFonts w:ascii="Times New Roman" w:hAnsi="Times New Roman" w:cs="Times New Roman"/>
        </w:rPr>
        <w:t xml:space="preserve"> </w:t>
      </w:r>
      <w:proofErr w:type="gramStart"/>
      <w:r w:rsidRPr="00E42732">
        <w:rPr>
          <w:rFonts w:ascii="Times New Roman" w:hAnsi="Times New Roman" w:cs="Times New Roman"/>
        </w:rPr>
        <w:t>At [65].</w:t>
      </w:r>
      <w:proofErr w:type="gramEnd"/>
    </w:p>
  </w:footnote>
  <w:footnote w:id="17">
    <w:p w:rsidR="00544C37" w:rsidRPr="00E42732" w:rsidRDefault="00544C37">
      <w:pPr>
        <w:pStyle w:val="FootnoteText"/>
        <w:rPr>
          <w:rFonts w:ascii="Times New Roman" w:hAnsi="Times New Roman" w:cs="Times New Roman"/>
        </w:rPr>
      </w:pPr>
      <w:r w:rsidRPr="00E42732">
        <w:rPr>
          <w:rStyle w:val="FootnoteReference"/>
          <w:rFonts w:ascii="Times New Roman" w:hAnsi="Times New Roman" w:cs="Times New Roman"/>
        </w:rPr>
        <w:footnoteRef/>
      </w:r>
      <w:r w:rsidRPr="00E42732">
        <w:rPr>
          <w:rFonts w:ascii="Times New Roman" w:hAnsi="Times New Roman" w:cs="Times New Roman"/>
        </w:rPr>
        <w:t xml:space="preserve"> </w:t>
      </w:r>
      <w:proofErr w:type="spellStart"/>
      <w:proofErr w:type="gramStart"/>
      <w:r w:rsidR="00991372" w:rsidRPr="00E42732">
        <w:rPr>
          <w:rFonts w:ascii="Times New Roman" w:hAnsi="Times New Roman" w:cs="Times New Roman"/>
          <w:i/>
        </w:rPr>
        <w:t>Pinnock</w:t>
      </w:r>
      <w:proofErr w:type="spellEnd"/>
      <w:r w:rsidR="00991372" w:rsidRPr="00E42732">
        <w:rPr>
          <w:rFonts w:ascii="Times New Roman" w:hAnsi="Times New Roman" w:cs="Times New Roman"/>
          <w:i/>
        </w:rPr>
        <w:t xml:space="preserve"> </w:t>
      </w:r>
      <w:r w:rsidR="00991372" w:rsidRPr="00E42732">
        <w:rPr>
          <w:rFonts w:ascii="Times New Roman" w:hAnsi="Times New Roman" w:cs="Times New Roman"/>
        </w:rPr>
        <w:t>a</w:t>
      </w:r>
      <w:r w:rsidR="000F5735" w:rsidRPr="00E42732">
        <w:rPr>
          <w:rFonts w:ascii="Times New Roman" w:hAnsi="Times New Roman" w:cs="Times New Roman"/>
        </w:rPr>
        <w:t>t [63].</w:t>
      </w:r>
      <w:proofErr w:type="gramEnd"/>
    </w:p>
  </w:footnote>
  <w:footnote w:id="18">
    <w:p w:rsidR="00544C37" w:rsidRPr="00E42732" w:rsidRDefault="00544C37">
      <w:pPr>
        <w:pStyle w:val="FootnoteText"/>
        <w:rPr>
          <w:rFonts w:ascii="Times New Roman" w:hAnsi="Times New Roman" w:cs="Times New Roman"/>
        </w:rPr>
      </w:pPr>
      <w:r w:rsidRPr="00E42732">
        <w:rPr>
          <w:rStyle w:val="FootnoteReference"/>
          <w:rFonts w:ascii="Times New Roman" w:hAnsi="Times New Roman" w:cs="Times New Roman"/>
        </w:rPr>
        <w:footnoteRef/>
      </w:r>
      <w:r w:rsidRPr="00E42732">
        <w:rPr>
          <w:rFonts w:ascii="Times New Roman" w:hAnsi="Times New Roman" w:cs="Times New Roman"/>
        </w:rPr>
        <w:t xml:space="preserve"> </w:t>
      </w:r>
      <w:proofErr w:type="gramStart"/>
      <w:r w:rsidR="00991372" w:rsidRPr="00E42732">
        <w:rPr>
          <w:rFonts w:ascii="Times New Roman" w:hAnsi="Times New Roman" w:cs="Times New Roman"/>
          <w:i/>
        </w:rPr>
        <w:t xml:space="preserve">Powell </w:t>
      </w:r>
      <w:r w:rsidR="00991372" w:rsidRPr="00E42732">
        <w:rPr>
          <w:rFonts w:ascii="Times New Roman" w:hAnsi="Times New Roman" w:cs="Times New Roman"/>
        </w:rPr>
        <w:t>a</w:t>
      </w:r>
      <w:r w:rsidR="000F5735" w:rsidRPr="00E42732">
        <w:rPr>
          <w:rFonts w:ascii="Times New Roman" w:hAnsi="Times New Roman" w:cs="Times New Roman"/>
        </w:rPr>
        <w:t>t [57]-[64].</w:t>
      </w:r>
      <w:proofErr w:type="gramEnd"/>
    </w:p>
  </w:footnote>
  <w:footnote w:id="19">
    <w:p w:rsidR="00544C37" w:rsidRPr="00E42732" w:rsidRDefault="00544C37">
      <w:pPr>
        <w:pStyle w:val="FootnoteText"/>
        <w:rPr>
          <w:rFonts w:ascii="Times New Roman" w:hAnsi="Times New Roman" w:cs="Times New Roman"/>
        </w:rPr>
      </w:pPr>
      <w:r w:rsidRPr="00E42732">
        <w:rPr>
          <w:rStyle w:val="FootnoteReference"/>
          <w:rFonts w:ascii="Times New Roman" w:hAnsi="Times New Roman" w:cs="Times New Roman"/>
        </w:rPr>
        <w:footnoteRef/>
      </w:r>
      <w:r w:rsidR="00400F48" w:rsidRPr="00E42732">
        <w:rPr>
          <w:rFonts w:ascii="Times New Roman" w:hAnsi="Times New Roman" w:cs="Times New Roman"/>
        </w:rPr>
        <w:t xml:space="preserve"> </w:t>
      </w:r>
      <w:proofErr w:type="gramStart"/>
      <w:r w:rsidR="00400F48" w:rsidRPr="00E42732">
        <w:rPr>
          <w:rFonts w:ascii="Times New Roman" w:hAnsi="Times New Roman" w:cs="Times New Roman"/>
          <w:i/>
        </w:rPr>
        <w:t>Powell</w:t>
      </w:r>
      <w:r w:rsidRPr="00E42732">
        <w:rPr>
          <w:rFonts w:ascii="Times New Roman" w:hAnsi="Times New Roman" w:cs="Times New Roman"/>
        </w:rPr>
        <w:t xml:space="preserve"> </w:t>
      </w:r>
      <w:r w:rsidR="00400F48" w:rsidRPr="00E42732">
        <w:rPr>
          <w:rFonts w:ascii="Times New Roman" w:hAnsi="Times New Roman" w:cs="Times New Roman"/>
        </w:rPr>
        <w:t>a</w:t>
      </w:r>
      <w:r w:rsidR="000F5735" w:rsidRPr="00E42732">
        <w:rPr>
          <w:rFonts w:ascii="Times New Roman" w:hAnsi="Times New Roman" w:cs="Times New Roman"/>
        </w:rPr>
        <w:t>t [102]-[103].</w:t>
      </w:r>
      <w:proofErr w:type="gramEnd"/>
    </w:p>
  </w:footnote>
  <w:footnote w:id="20">
    <w:p w:rsidR="00E434E7" w:rsidRPr="00E42732" w:rsidRDefault="00E434E7">
      <w:pPr>
        <w:pStyle w:val="FootnoteText"/>
        <w:rPr>
          <w:rFonts w:ascii="Times New Roman" w:hAnsi="Times New Roman" w:cs="Times New Roman"/>
        </w:rPr>
      </w:pPr>
      <w:r w:rsidRPr="00E42732">
        <w:rPr>
          <w:rStyle w:val="FootnoteReference"/>
          <w:rFonts w:ascii="Times New Roman" w:hAnsi="Times New Roman" w:cs="Times New Roman"/>
        </w:rPr>
        <w:footnoteRef/>
      </w:r>
      <w:r w:rsidRPr="00E42732">
        <w:rPr>
          <w:rFonts w:ascii="Times New Roman" w:hAnsi="Times New Roman" w:cs="Times New Roman"/>
        </w:rPr>
        <w:t xml:space="preserve"> </w:t>
      </w:r>
      <w:proofErr w:type="gramStart"/>
      <w:r w:rsidRPr="00E42732">
        <w:rPr>
          <w:rFonts w:ascii="Times New Roman" w:hAnsi="Times New Roman" w:cs="Times New Roman"/>
        </w:rPr>
        <w:t>At [71].</w:t>
      </w:r>
      <w:proofErr w:type="gramEnd"/>
    </w:p>
  </w:footnote>
  <w:footnote w:id="21">
    <w:p w:rsidR="005717F6" w:rsidRPr="00E42732" w:rsidRDefault="005717F6" w:rsidP="005717F6">
      <w:pPr>
        <w:pStyle w:val="FootnoteText"/>
        <w:rPr>
          <w:rFonts w:ascii="Times New Roman" w:hAnsi="Times New Roman" w:cs="Times New Roman"/>
        </w:rPr>
      </w:pPr>
      <w:r w:rsidRPr="00E42732">
        <w:rPr>
          <w:rStyle w:val="FootnoteReference"/>
          <w:rFonts w:ascii="Times New Roman" w:hAnsi="Times New Roman" w:cs="Times New Roman"/>
        </w:rPr>
        <w:footnoteRef/>
      </w:r>
      <w:r w:rsidRPr="00E42732">
        <w:rPr>
          <w:rFonts w:ascii="Times New Roman" w:hAnsi="Times New Roman" w:cs="Times New Roman"/>
        </w:rPr>
        <w:t xml:space="preserve"> See [74]. Reference to Fiona’s circumstances is made only within the procedural history of the case at [7].</w:t>
      </w:r>
    </w:p>
  </w:footnote>
  <w:footnote w:id="22">
    <w:p w:rsidR="005A6730" w:rsidRPr="00E42732" w:rsidRDefault="005A6730">
      <w:pPr>
        <w:pStyle w:val="FootnoteText"/>
        <w:rPr>
          <w:rFonts w:ascii="Times New Roman" w:hAnsi="Times New Roman" w:cs="Times New Roman"/>
          <w:b/>
        </w:rPr>
      </w:pPr>
      <w:r w:rsidRPr="00E42732">
        <w:rPr>
          <w:rStyle w:val="FootnoteReference"/>
          <w:rFonts w:ascii="Times New Roman" w:hAnsi="Times New Roman" w:cs="Times New Roman"/>
        </w:rPr>
        <w:footnoteRef/>
      </w:r>
      <w:r w:rsidRPr="00E42732">
        <w:rPr>
          <w:rFonts w:ascii="Times New Roman" w:hAnsi="Times New Roman" w:cs="Times New Roman"/>
        </w:rPr>
        <w:t xml:space="preserve"> </w:t>
      </w:r>
      <w:r w:rsidR="00E92009" w:rsidRPr="00E42732">
        <w:rPr>
          <w:rFonts w:ascii="Times New Roman" w:hAnsi="Times New Roman" w:cs="Times New Roman"/>
        </w:rPr>
        <w:t xml:space="preserve">Leigh describes several ways in which horizontality can have effect see </w:t>
      </w:r>
      <w:r w:rsidRPr="00E42732">
        <w:rPr>
          <w:rFonts w:ascii="Times New Roman" w:hAnsi="Times New Roman" w:cs="Times New Roman"/>
        </w:rPr>
        <w:t xml:space="preserve">I Leigh, </w:t>
      </w:r>
      <w:r w:rsidR="007E59BE" w:rsidRPr="00E42732">
        <w:rPr>
          <w:rFonts w:ascii="Times New Roman" w:hAnsi="Times New Roman" w:cs="Times New Roman"/>
        </w:rPr>
        <w:t>‘</w:t>
      </w:r>
      <w:r w:rsidRPr="00E42732">
        <w:rPr>
          <w:rFonts w:ascii="Times New Roman" w:hAnsi="Times New Roman" w:cs="Times New Roman"/>
        </w:rPr>
        <w:t xml:space="preserve">Horizontal </w:t>
      </w:r>
      <w:r w:rsidRPr="00E42732">
        <w:rPr>
          <w:rFonts w:ascii="Times New Roman" w:hAnsi="Times New Roman" w:cs="Times New Roman"/>
          <w:bCs/>
        </w:rPr>
        <w:t>rights, the Human Rights Act and privacy: lessons from the Commonwealth?</w:t>
      </w:r>
      <w:r w:rsidR="007E59BE" w:rsidRPr="00E42732">
        <w:rPr>
          <w:rFonts w:ascii="Times New Roman" w:hAnsi="Times New Roman" w:cs="Times New Roman"/>
          <w:bCs/>
        </w:rPr>
        <w:t>’</w:t>
      </w:r>
      <w:r w:rsidRPr="00E42732">
        <w:rPr>
          <w:rFonts w:ascii="Times New Roman" w:hAnsi="Times New Roman" w:cs="Times New Roman"/>
          <w:bCs/>
        </w:rPr>
        <w:t xml:space="preserve"> </w:t>
      </w:r>
      <w:proofErr w:type="gramStart"/>
      <w:r w:rsidRPr="00E42732">
        <w:rPr>
          <w:rFonts w:ascii="Times New Roman" w:hAnsi="Times New Roman" w:cs="Times New Roman"/>
          <w:bCs/>
        </w:rPr>
        <w:t>(1999) 48 ICLQ 57.</w:t>
      </w:r>
      <w:proofErr w:type="gramEnd"/>
    </w:p>
  </w:footnote>
  <w:footnote w:id="23">
    <w:p w:rsidR="004C0C19" w:rsidRPr="00E42732" w:rsidRDefault="004C0C19">
      <w:pPr>
        <w:pStyle w:val="FootnoteText"/>
        <w:rPr>
          <w:rFonts w:ascii="Times New Roman" w:hAnsi="Times New Roman" w:cs="Times New Roman"/>
        </w:rPr>
      </w:pPr>
      <w:r w:rsidRPr="00E42732">
        <w:rPr>
          <w:rStyle w:val="FootnoteReference"/>
          <w:rFonts w:ascii="Times New Roman" w:hAnsi="Times New Roman" w:cs="Times New Roman"/>
        </w:rPr>
        <w:footnoteRef/>
      </w:r>
      <w:r w:rsidRPr="00E42732">
        <w:rPr>
          <w:rFonts w:ascii="Times New Roman" w:hAnsi="Times New Roman" w:cs="Times New Roman"/>
        </w:rPr>
        <w:t xml:space="preserve"> </w:t>
      </w:r>
      <w:proofErr w:type="gramStart"/>
      <w:r w:rsidR="00400F48" w:rsidRPr="00E42732">
        <w:rPr>
          <w:rFonts w:ascii="Times New Roman" w:hAnsi="Times New Roman" w:cs="Times New Roman"/>
        </w:rPr>
        <w:t>[2004] 2 AC 557.</w:t>
      </w:r>
      <w:proofErr w:type="gramEnd"/>
    </w:p>
  </w:footnote>
  <w:footnote w:id="24">
    <w:p w:rsidR="00371738" w:rsidRPr="00E42732" w:rsidRDefault="00371738">
      <w:pPr>
        <w:pStyle w:val="FootnoteText"/>
        <w:rPr>
          <w:rFonts w:ascii="Times New Roman" w:hAnsi="Times New Roman" w:cs="Times New Roman"/>
        </w:rPr>
      </w:pPr>
      <w:r w:rsidRPr="00E42732">
        <w:rPr>
          <w:rStyle w:val="FootnoteReference"/>
          <w:rFonts w:ascii="Times New Roman" w:hAnsi="Times New Roman" w:cs="Times New Roman"/>
        </w:rPr>
        <w:footnoteRef/>
      </w:r>
      <w:r w:rsidRPr="00E42732">
        <w:rPr>
          <w:rFonts w:ascii="Times New Roman" w:hAnsi="Times New Roman" w:cs="Times New Roman"/>
        </w:rPr>
        <w:t xml:space="preserve"> See also </w:t>
      </w:r>
      <w:r w:rsidRPr="00E42732">
        <w:rPr>
          <w:rFonts w:ascii="Times New Roman" w:hAnsi="Times New Roman" w:cs="Times New Roman"/>
          <w:i/>
        </w:rPr>
        <w:t xml:space="preserve">JA </w:t>
      </w:r>
      <w:proofErr w:type="spellStart"/>
      <w:r w:rsidRPr="00E42732">
        <w:rPr>
          <w:rFonts w:ascii="Times New Roman" w:hAnsi="Times New Roman" w:cs="Times New Roman"/>
          <w:i/>
        </w:rPr>
        <w:t>Pye</w:t>
      </w:r>
      <w:proofErr w:type="spellEnd"/>
      <w:r w:rsidRPr="00E42732">
        <w:rPr>
          <w:rFonts w:ascii="Times New Roman" w:hAnsi="Times New Roman" w:cs="Times New Roman"/>
          <w:i/>
        </w:rPr>
        <w:t xml:space="preserve"> (Oxford) Ltd v </w:t>
      </w:r>
      <w:r w:rsidR="00E42732" w:rsidRPr="00E42732">
        <w:rPr>
          <w:rFonts w:ascii="Times New Roman" w:hAnsi="Times New Roman" w:cs="Times New Roman"/>
          <w:i/>
        </w:rPr>
        <w:t xml:space="preserve">Graham </w:t>
      </w:r>
      <w:r w:rsidR="00E42732" w:rsidRPr="00E42732">
        <w:rPr>
          <w:rFonts w:ascii="Times New Roman" w:hAnsi="Times New Roman" w:cs="Times New Roman"/>
        </w:rPr>
        <w:t xml:space="preserve">[2003] 1 AC 419 and </w:t>
      </w:r>
      <w:r w:rsidR="00E42732" w:rsidRPr="00E42732">
        <w:rPr>
          <w:rFonts w:ascii="Times New Roman" w:hAnsi="Times New Roman" w:cs="Times New Roman"/>
          <w:i/>
        </w:rPr>
        <w:t xml:space="preserve">JA </w:t>
      </w:r>
      <w:proofErr w:type="spellStart"/>
      <w:r w:rsidR="00E42732" w:rsidRPr="00E42732">
        <w:rPr>
          <w:rFonts w:ascii="Times New Roman" w:hAnsi="Times New Roman" w:cs="Times New Roman"/>
          <w:i/>
        </w:rPr>
        <w:t>Pye</w:t>
      </w:r>
      <w:proofErr w:type="spellEnd"/>
      <w:r w:rsidR="00E42732" w:rsidRPr="00E42732">
        <w:rPr>
          <w:rFonts w:ascii="Times New Roman" w:hAnsi="Times New Roman" w:cs="Times New Roman"/>
          <w:i/>
        </w:rPr>
        <w:t xml:space="preserve"> (Oxford) Ltd v UK </w:t>
      </w:r>
      <w:r w:rsidR="00E42732" w:rsidRPr="00E42732">
        <w:rPr>
          <w:rFonts w:ascii="Times New Roman" w:hAnsi="Times New Roman" w:cs="Times New Roman"/>
        </w:rPr>
        <w:t xml:space="preserve">(2008) 1 EHRR 132 </w:t>
      </w:r>
      <w:r w:rsidRPr="00E42732">
        <w:rPr>
          <w:rFonts w:ascii="Times New Roman" w:hAnsi="Times New Roman" w:cs="Times New Roman"/>
        </w:rPr>
        <w:t xml:space="preserve">on </w:t>
      </w:r>
      <w:r w:rsidR="00A65B01">
        <w:rPr>
          <w:rFonts w:ascii="Times New Roman" w:hAnsi="Times New Roman" w:cs="Times New Roman"/>
        </w:rPr>
        <w:t xml:space="preserve">a </w:t>
      </w:r>
      <w:r w:rsidRPr="00E42732">
        <w:rPr>
          <w:rFonts w:ascii="Times New Roman" w:hAnsi="Times New Roman" w:cs="Times New Roman"/>
        </w:rPr>
        <w:t>similar</w:t>
      </w:r>
      <w:r w:rsidR="00A65B01">
        <w:rPr>
          <w:rFonts w:ascii="Times New Roman" w:hAnsi="Times New Roman" w:cs="Times New Roman"/>
        </w:rPr>
        <w:t>,</w:t>
      </w:r>
      <w:r w:rsidRPr="00E42732">
        <w:rPr>
          <w:rFonts w:ascii="Times New Roman" w:hAnsi="Times New Roman" w:cs="Times New Roman"/>
        </w:rPr>
        <w:t xml:space="preserve"> </w:t>
      </w:r>
      <w:r w:rsidR="00A65B01">
        <w:rPr>
          <w:rFonts w:ascii="Times New Roman" w:hAnsi="Times New Roman" w:cs="Times New Roman"/>
        </w:rPr>
        <w:t xml:space="preserve">but ultimately unsuccessfully challenge, to the </w:t>
      </w:r>
      <w:r w:rsidRPr="00E42732">
        <w:rPr>
          <w:rFonts w:ascii="Times New Roman" w:hAnsi="Times New Roman" w:cs="Times New Roman"/>
        </w:rPr>
        <w:t>horizontal effect of Article 1 Protocol 1</w:t>
      </w:r>
      <w:r w:rsidR="00E42732" w:rsidRPr="00E42732">
        <w:rPr>
          <w:rFonts w:ascii="Times New Roman" w:hAnsi="Times New Roman" w:cs="Times New Roman"/>
        </w:rPr>
        <w:t xml:space="preserve"> </w:t>
      </w:r>
    </w:p>
  </w:footnote>
  <w:footnote w:id="25">
    <w:p w:rsidR="00E92009" w:rsidRPr="007926F7" w:rsidRDefault="00E92009">
      <w:pPr>
        <w:pStyle w:val="FootnoteText"/>
        <w:rPr>
          <w:rFonts w:ascii="Times New Roman" w:hAnsi="Times New Roman" w:cs="Times New Roman"/>
        </w:rPr>
      </w:pPr>
      <w:r w:rsidRPr="007926F7">
        <w:rPr>
          <w:rStyle w:val="FootnoteReference"/>
          <w:rFonts w:ascii="Times New Roman" w:hAnsi="Times New Roman" w:cs="Times New Roman"/>
        </w:rPr>
        <w:footnoteRef/>
      </w:r>
      <w:r w:rsidRPr="007926F7">
        <w:rPr>
          <w:rFonts w:ascii="Times New Roman" w:hAnsi="Times New Roman" w:cs="Times New Roman"/>
        </w:rPr>
        <w:t xml:space="preserve"> </w:t>
      </w:r>
      <w:proofErr w:type="gramStart"/>
      <w:r w:rsidRPr="007926F7">
        <w:rPr>
          <w:rFonts w:ascii="Times New Roman" w:hAnsi="Times New Roman" w:cs="Times New Roman"/>
        </w:rPr>
        <w:t>At [45].</w:t>
      </w:r>
      <w:proofErr w:type="gramEnd"/>
    </w:p>
  </w:footnote>
  <w:footnote w:id="26">
    <w:p w:rsidR="00371738" w:rsidRPr="007926F7" w:rsidRDefault="00371738">
      <w:pPr>
        <w:pStyle w:val="FootnoteText"/>
        <w:rPr>
          <w:rFonts w:ascii="Times New Roman" w:hAnsi="Times New Roman" w:cs="Times New Roman"/>
        </w:rPr>
      </w:pPr>
      <w:r w:rsidRPr="007926F7">
        <w:rPr>
          <w:rStyle w:val="FootnoteReference"/>
          <w:rFonts w:ascii="Times New Roman" w:hAnsi="Times New Roman" w:cs="Times New Roman"/>
        </w:rPr>
        <w:footnoteRef/>
      </w:r>
      <w:r w:rsidRPr="007926F7">
        <w:rPr>
          <w:rFonts w:ascii="Times New Roman" w:hAnsi="Times New Roman" w:cs="Times New Roman"/>
        </w:rPr>
        <w:t xml:space="preserve"> </w:t>
      </w:r>
      <w:r w:rsidR="007926F7" w:rsidRPr="007926F7">
        <w:rPr>
          <w:rFonts w:ascii="Times New Roman" w:hAnsi="Times New Roman" w:cs="Times New Roman"/>
        </w:rPr>
        <w:t xml:space="preserve">For a summary of this debate see G </w:t>
      </w:r>
      <w:proofErr w:type="spellStart"/>
      <w:r w:rsidR="007926F7" w:rsidRPr="007926F7">
        <w:rPr>
          <w:rFonts w:ascii="Times New Roman" w:hAnsi="Times New Roman" w:cs="Times New Roman"/>
        </w:rPr>
        <w:t>Phillipson</w:t>
      </w:r>
      <w:proofErr w:type="spellEnd"/>
      <w:r w:rsidR="007926F7" w:rsidRPr="007926F7">
        <w:rPr>
          <w:rFonts w:ascii="Times New Roman" w:hAnsi="Times New Roman" w:cs="Times New Roman"/>
        </w:rPr>
        <w:t xml:space="preserve"> ‘Clarity Postponed: Horizontal Effect after Campbell’ in </w:t>
      </w:r>
      <w:proofErr w:type="spellStart"/>
      <w:r w:rsidR="007926F7" w:rsidRPr="007926F7">
        <w:rPr>
          <w:rFonts w:ascii="Times New Roman" w:hAnsi="Times New Roman" w:cs="Times New Roman"/>
          <w:i/>
        </w:rPr>
        <w:t>Judidical</w:t>
      </w:r>
      <w:proofErr w:type="spellEnd"/>
      <w:r w:rsidR="007926F7" w:rsidRPr="007926F7">
        <w:rPr>
          <w:rFonts w:ascii="Times New Roman" w:hAnsi="Times New Roman" w:cs="Times New Roman"/>
          <w:i/>
        </w:rPr>
        <w:t xml:space="preserve"> reasoning under the Human Rights Act </w:t>
      </w:r>
      <w:r w:rsidR="007926F7" w:rsidRPr="007926F7">
        <w:rPr>
          <w:rFonts w:ascii="Times New Roman" w:hAnsi="Times New Roman" w:cs="Times New Roman"/>
        </w:rPr>
        <w:t>(</w:t>
      </w:r>
      <w:proofErr w:type="spellStart"/>
      <w:r w:rsidR="007926F7" w:rsidRPr="007926F7">
        <w:rPr>
          <w:rFonts w:ascii="Times New Roman" w:hAnsi="Times New Roman" w:cs="Times New Roman"/>
        </w:rPr>
        <w:t>eds</w:t>
      </w:r>
      <w:proofErr w:type="spellEnd"/>
      <w:r w:rsidR="007926F7" w:rsidRPr="007926F7">
        <w:rPr>
          <w:rFonts w:ascii="Times New Roman" w:hAnsi="Times New Roman" w:cs="Times New Roman"/>
        </w:rPr>
        <w:t xml:space="preserve"> H Fenwick, G </w:t>
      </w:r>
      <w:proofErr w:type="spellStart"/>
      <w:r w:rsidR="007926F7" w:rsidRPr="007926F7">
        <w:rPr>
          <w:rFonts w:ascii="Times New Roman" w:hAnsi="Times New Roman" w:cs="Times New Roman"/>
        </w:rPr>
        <w:t>Phillipson</w:t>
      </w:r>
      <w:proofErr w:type="spellEnd"/>
      <w:r w:rsidR="007926F7" w:rsidRPr="007926F7">
        <w:rPr>
          <w:rFonts w:ascii="Times New Roman" w:hAnsi="Times New Roman" w:cs="Times New Roman"/>
        </w:rPr>
        <w:t xml:space="preserve"> &amp; R </w:t>
      </w:r>
      <w:proofErr w:type="spellStart"/>
      <w:r w:rsidR="007926F7" w:rsidRPr="007926F7">
        <w:rPr>
          <w:rFonts w:ascii="Times New Roman" w:hAnsi="Times New Roman" w:cs="Times New Roman"/>
        </w:rPr>
        <w:t>Masterman</w:t>
      </w:r>
      <w:proofErr w:type="spellEnd"/>
      <w:r w:rsidR="007926F7" w:rsidRPr="007926F7">
        <w:rPr>
          <w:rFonts w:ascii="Times New Roman" w:hAnsi="Times New Roman" w:cs="Times New Roman"/>
        </w:rPr>
        <w:t>, CUP, Cambridge 2007) Ch 6.</w:t>
      </w:r>
    </w:p>
  </w:footnote>
  <w:footnote w:id="27">
    <w:p w:rsidR="007926F7" w:rsidRPr="007926F7" w:rsidRDefault="007926F7">
      <w:pPr>
        <w:pStyle w:val="FootnoteText"/>
        <w:rPr>
          <w:rFonts w:ascii="Times New Roman" w:hAnsi="Times New Roman" w:cs="Times New Roman"/>
        </w:rPr>
      </w:pPr>
      <w:r w:rsidRPr="007926F7">
        <w:rPr>
          <w:rStyle w:val="FootnoteReference"/>
          <w:rFonts w:ascii="Times New Roman" w:hAnsi="Times New Roman" w:cs="Times New Roman"/>
        </w:rPr>
        <w:footnoteRef/>
      </w:r>
      <w:r w:rsidRPr="007926F7">
        <w:rPr>
          <w:rFonts w:ascii="Times New Roman" w:hAnsi="Times New Roman" w:cs="Times New Roman"/>
        </w:rPr>
        <w:t xml:space="preserve"> See Leigh n2</w:t>
      </w:r>
      <w:r w:rsidR="004C6FB1">
        <w:rPr>
          <w:rFonts w:ascii="Times New Roman" w:hAnsi="Times New Roman" w:cs="Times New Roman"/>
        </w:rPr>
        <w:t>2</w:t>
      </w:r>
      <w:r w:rsidRPr="007926F7">
        <w:rPr>
          <w:rFonts w:ascii="Times New Roman" w:hAnsi="Times New Roman" w:cs="Times New Roman"/>
        </w:rPr>
        <w:t>.</w:t>
      </w:r>
    </w:p>
  </w:footnote>
  <w:footnote w:id="28">
    <w:p w:rsidR="008666D5" w:rsidRPr="007926F7" w:rsidRDefault="008666D5" w:rsidP="008666D5">
      <w:pPr>
        <w:pStyle w:val="FootnoteText"/>
        <w:rPr>
          <w:rFonts w:ascii="Times New Roman" w:hAnsi="Times New Roman" w:cs="Times New Roman"/>
        </w:rPr>
      </w:pPr>
      <w:r w:rsidRPr="007926F7">
        <w:rPr>
          <w:rStyle w:val="FootnoteReference"/>
          <w:rFonts w:ascii="Times New Roman" w:hAnsi="Times New Roman" w:cs="Times New Roman"/>
        </w:rPr>
        <w:footnoteRef/>
      </w:r>
      <w:r w:rsidRPr="007926F7">
        <w:rPr>
          <w:rFonts w:ascii="Times New Roman" w:hAnsi="Times New Roman" w:cs="Times New Roman"/>
        </w:rPr>
        <w:t xml:space="preserve"> </w:t>
      </w:r>
      <w:proofErr w:type="gramStart"/>
      <w:r w:rsidRPr="007926F7">
        <w:rPr>
          <w:rFonts w:ascii="Times New Roman" w:hAnsi="Times New Roman" w:cs="Times New Roman"/>
        </w:rPr>
        <w:t>At [18]-[19].</w:t>
      </w:r>
      <w:proofErr w:type="gramEnd"/>
    </w:p>
  </w:footnote>
  <w:footnote w:id="29">
    <w:p w:rsidR="0036586E" w:rsidRPr="007926F7" w:rsidRDefault="0036586E" w:rsidP="0036586E">
      <w:pPr>
        <w:pStyle w:val="FootnoteText"/>
        <w:rPr>
          <w:rFonts w:ascii="Times New Roman" w:hAnsi="Times New Roman" w:cs="Times New Roman"/>
        </w:rPr>
      </w:pPr>
      <w:r w:rsidRPr="007926F7">
        <w:rPr>
          <w:rStyle w:val="FootnoteReference"/>
          <w:rFonts w:ascii="Times New Roman" w:hAnsi="Times New Roman" w:cs="Times New Roman"/>
        </w:rPr>
        <w:footnoteRef/>
      </w:r>
      <w:r w:rsidR="00F937CB">
        <w:rPr>
          <w:rFonts w:ascii="Times New Roman" w:hAnsi="Times New Roman" w:cs="Times New Roman"/>
        </w:rPr>
        <w:t xml:space="preserve">  S</w:t>
      </w:r>
      <w:r w:rsidRPr="007926F7">
        <w:rPr>
          <w:rFonts w:ascii="Times New Roman" w:hAnsi="Times New Roman" w:cs="Times New Roman"/>
        </w:rPr>
        <w:t xml:space="preserve">ee A Beckett, ‘Trends in the UK Housing Market’ (Office of National Statistics, 2014). </w:t>
      </w:r>
    </w:p>
  </w:footnote>
  <w:footnote w:id="30">
    <w:p w:rsidR="008666D5" w:rsidRPr="007926F7" w:rsidRDefault="008666D5" w:rsidP="008666D5">
      <w:pPr>
        <w:pStyle w:val="FootnoteText"/>
        <w:rPr>
          <w:rFonts w:ascii="Times New Roman" w:hAnsi="Times New Roman" w:cs="Times New Roman"/>
        </w:rPr>
      </w:pPr>
      <w:r w:rsidRPr="007926F7">
        <w:rPr>
          <w:rStyle w:val="FootnoteReference"/>
          <w:rFonts w:ascii="Times New Roman" w:hAnsi="Times New Roman" w:cs="Times New Roman"/>
        </w:rPr>
        <w:footnoteRef/>
      </w:r>
      <w:r w:rsidRPr="007926F7">
        <w:rPr>
          <w:rFonts w:ascii="Times New Roman" w:hAnsi="Times New Roman" w:cs="Times New Roman"/>
        </w:rPr>
        <w:t xml:space="preserve"> But note the Labour Party’s 2015 Manifesto in which they advocated 3 year fixed term tenancies and reintroduction of rent control see </w:t>
      </w:r>
      <w:hyperlink r:id="rId1" w:history="1">
        <w:r w:rsidRPr="007926F7">
          <w:rPr>
            <w:rStyle w:val="Hyperlink"/>
            <w:rFonts w:ascii="Times New Roman" w:hAnsi="Times New Roman" w:cs="Times New Roman"/>
          </w:rPr>
          <w:t>http://www.labour.org.uk/manifesto/housing</w:t>
        </w:r>
      </w:hyperlink>
      <w:r w:rsidRPr="007926F7">
        <w:rPr>
          <w:rFonts w:ascii="Times New Roman" w:hAnsi="Times New Roman" w:cs="Times New Roman"/>
        </w:rPr>
        <w:t xml:space="preserve"> viewed on 2nd August 2016.</w:t>
      </w:r>
    </w:p>
  </w:footnote>
  <w:footnote w:id="31">
    <w:p w:rsidR="00F73427" w:rsidRPr="00B4339E" w:rsidRDefault="00F734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000F5735" w:rsidRPr="00B4339E">
        <w:rPr>
          <w:rFonts w:ascii="Times New Roman" w:hAnsi="Times New Roman" w:cs="Times New Roman"/>
        </w:rPr>
        <w:t>In particular s36 Administration of Justice Act 1970.</w:t>
      </w:r>
      <w:proofErr w:type="gramEnd"/>
    </w:p>
  </w:footnote>
  <w:footnote w:id="32">
    <w:p w:rsidR="00BB126A" w:rsidRPr="00B4339E" w:rsidRDefault="00BB126A">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r w:rsidR="00931CC1" w:rsidRPr="00B4339E">
        <w:rPr>
          <w:rFonts w:ascii="Times New Roman" w:hAnsi="Times New Roman" w:cs="Times New Roman"/>
        </w:rPr>
        <w:t xml:space="preserve">Ministry of Justice, </w:t>
      </w:r>
      <w:r w:rsidR="00931CC1" w:rsidRPr="00B4339E">
        <w:rPr>
          <w:rFonts w:ascii="Times New Roman" w:hAnsi="Times New Roman" w:cs="Times New Roman"/>
          <w:i/>
        </w:rPr>
        <w:t xml:space="preserve">Mortgages: Power of Sale and Residential </w:t>
      </w:r>
      <w:proofErr w:type="gramStart"/>
      <w:r w:rsidR="00931CC1" w:rsidRPr="00B4339E">
        <w:rPr>
          <w:rFonts w:ascii="Times New Roman" w:hAnsi="Times New Roman" w:cs="Times New Roman"/>
          <w:i/>
        </w:rPr>
        <w:t xml:space="preserve">Property  </w:t>
      </w:r>
      <w:r w:rsidR="00931CC1" w:rsidRPr="00B4339E">
        <w:rPr>
          <w:rFonts w:ascii="Times New Roman" w:hAnsi="Times New Roman" w:cs="Times New Roman"/>
        </w:rPr>
        <w:t>CP</w:t>
      </w:r>
      <w:proofErr w:type="gramEnd"/>
      <w:r w:rsidR="00931CC1" w:rsidRPr="00B4339E">
        <w:rPr>
          <w:rFonts w:ascii="Times New Roman" w:hAnsi="Times New Roman" w:cs="Times New Roman"/>
        </w:rPr>
        <w:t xml:space="preserve"> 55/09 (December 2009).</w:t>
      </w:r>
    </w:p>
  </w:footnote>
  <w:footnote w:id="33">
    <w:p w:rsidR="00F73427" w:rsidRPr="00B4339E" w:rsidRDefault="00F734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r w:rsidR="00931CC1" w:rsidRPr="00B4339E">
        <w:rPr>
          <w:rFonts w:ascii="Times New Roman" w:hAnsi="Times New Roman" w:cs="Times New Roman"/>
        </w:rPr>
        <w:t xml:space="preserve">CML, </w:t>
      </w:r>
      <w:proofErr w:type="gramStart"/>
      <w:r w:rsidR="00931CC1" w:rsidRPr="00B4339E">
        <w:rPr>
          <w:rFonts w:ascii="Times New Roman" w:hAnsi="Times New Roman" w:cs="Times New Roman"/>
          <w:i/>
        </w:rPr>
        <w:t>The</w:t>
      </w:r>
      <w:proofErr w:type="gramEnd"/>
      <w:r w:rsidR="00931CC1" w:rsidRPr="00B4339E">
        <w:rPr>
          <w:rFonts w:ascii="Times New Roman" w:hAnsi="Times New Roman" w:cs="Times New Roman"/>
          <w:i/>
        </w:rPr>
        <w:t xml:space="preserve"> Role of LPA Receivers </w:t>
      </w:r>
      <w:r w:rsidR="00931CC1" w:rsidRPr="00B4339E">
        <w:rPr>
          <w:rFonts w:ascii="Times New Roman" w:hAnsi="Times New Roman" w:cs="Times New Roman"/>
        </w:rPr>
        <w:t>(February 2011).</w:t>
      </w:r>
    </w:p>
  </w:footnote>
  <w:footnote w:id="34">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(2004) 40 EHRR 9.</w:t>
      </w:r>
      <w:proofErr w:type="gramEnd"/>
    </w:p>
  </w:footnote>
  <w:footnote w:id="35">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[2011] HLR 13.</w:t>
      </w:r>
      <w:proofErr w:type="gramEnd"/>
    </w:p>
  </w:footnote>
  <w:footnote w:id="36">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[(2006) 43 EHRR 48.</w:t>
      </w:r>
      <w:proofErr w:type="gramEnd"/>
    </w:p>
  </w:footnote>
  <w:footnote w:id="37">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(2008) 47 EHRR 40.</w:t>
      </w:r>
      <w:proofErr w:type="gramEnd"/>
    </w:p>
  </w:footnote>
  <w:footnote w:id="38">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(2011) 52 EHRR 39.</w:t>
      </w:r>
      <w:proofErr w:type="gramEnd"/>
    </w:p>
  </w:footnote>
  <w:footnote w:id="39">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App No </w:t>
      </w:r>
      <w:r w:rsidR="001F7EF3" w:rsidRPr="00B4339E">
        <w:rPr>
          <w:rFonts w:ascii="Times New Roman" w:hAnsi="Times New Roman" w:cs="Times New Roman"/>
        </w:rPr>
        <w:t>3572/06 (22 October 2009).</w:t>
      </w:r>
    </w:p>
  </w:footnote>
  <w:footnote w:id="40">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[2011] HLR 44.</w:t>
      </w:r>
      <w:proofErr w:type="gramEnd"/>
    </w:p>
  </w:footnote>
  <w:footnote w:id="41">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(2013) 56 EHRR 16.</w:t>
      </w:r>
      <w:proofErr w:type="gramEnd"/>
    </w:p>
  </w:footnote>
  <w:footnote w:id="42">
    <w:p w:rsidR="00AD1F79" w:rsidRPr="004E063E" w:rsidRDefault="00AD1F79" w:rsidP="00AD1F79">
      <w:pPr>
        <w:pStyle w:val="FootnoteText"/>
        <w:rPr>
          <w:rFonts w:ascii="Times New Roman" w:hAnsi="Times New Roman" w:cs="Times New Roman"/>
          <w:i/>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Pr>
          <w:rFonts w:ascii="Times New Roman" w:hAnsi="Times New Roman" w:cs="Times New Roman"/>
        </w:rPr>
        <w:t>Ibid a</w:t>
      </w:r>
      <w:r w:rsidRPr="00B4339E">
        <w:rPr>
          <w:rFonts w:ascii="Times New Roman" w:hAnsi="Times New Roman" w:cs="Times New Roman"/>
        </w:rPr>
        <w:t>t [01-1].</w:t>
      </w:r>
      <w:proofErr w:type="gramEnd"/>
      <w:r w:rsidRPr="00B4339E">
        <w:rPr>
          <w:rFonts w:ascii="Times New Roman" w:hAnsi="Times New Roman" w:cs="Times New Roman"/>
        </w:rPr>
        <w:t xml:space="preserve"> </w:t>
      </w:r>
      <w:r w:rsidR="004E063E">
        <w:rPr>
          <w:rFonts w:ascii="Times New Roman" w:hAnsi="Times New Roman" w:cs="Times New Roman"/>
        </w:rPr>
        <w:t xml:space="preserve">Judge </w:t>
      </w:r>
      <w:proofErr w:type="spellStart"/>
      <w:r w:rsidR="004E063E">
        <w:rPr>
          <w:rFonts w:ascii="Times New Roman" w:hAnsi="Times New Roman" w:cs="Times New Roman"/>
        </w:rPr>
        <w:t>Dedov</w:t>
      </w:r>
      <w:proofErr w:type="spellEnd"/>
      <w:r w:rsidR="004E063E">
        <w:rPr>
          <w:rFonts w:ascii="Times New Roman" w:hAnsi="Times New Roman" w:cs="Times New Roman"/>
        </w:rPr>
        <w:t xml:space="preserve"> also expressed some reservations in </w:t>
      </w:r>
      <w:proofErr w:type="spellStart"/>
      <w:r w:rsidR="004E063E">
        <w:rPr>
          <w:rFonts w:ascii="Times New Roman" w:hAnsi="Times New Roman" w:cs="Times New Roman"/>
          <w:i/>
        </w:rPr>
        <w:t>Brezec</w:t>
      </w:r>
      <w:proofErr w:type="spellEnd"/>
      <w:r w:rsidR="004E063E">
        <w:rPr>
          <w:rFonts w:ascii="Times New Roman" w:hAnsi="Times New Roman" w:cs="Times New Roman"/>
          <w:i/>
        </w:rPr>
        <w:t xml:space="preserve"> v Croatia </w:t>
      </w:r>
      <w:r w:rsidR="004E063E" w:rsidRPr="00B4339E">
        <w:rPr>
          <w:rFonts w:ascii="Times New Roman" w:hAnsi="Times New Roman" w:cs="Times New Roman"/>
        </w:rPr>
        <w:t>[2014] HLR 3</w:t>
      </w:r>
      <w:r w:rsidR="004E063E">
        <w:rPr>
          <w:rFonts w:ascii="Times New Roman" w:hAnsi="Times New Roman" w:cs="Times New Roman"/>
        </w:rPr>
        <w:t xml:space="preserve"> at p37.</w:t>
      </w:r>
    </w:p>
  </w:footnote>
  <w:footnote w:id="43">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At [50].</w:t>
      </w:r>
      <w:proofErr w:type="gramEnd"/>
    </w:p>
  </w:footnote>
  <w:footnote w:id="44">
    <w:p w:rsidR="004C6FB1" w:rsidRDefault="004C6FB1">
      <w:pPr>
        <w:pStyle w:val="FootnoteText"/>
      </w:pPr>
      <w:r>
        <w:rPr>
          <w:rStyle w:val="FootnoteReference"/>
        </w:rPr>
        <w:footnoteRef/>
      </w:r>
      <w:r>
        <w:t xml:space="preserve"> </w:t>
      </w:r>
      <w:proofErr w:type="gramStart"/>
      <w:r>
        <w:t>At [55].</w:t>
      </w:r>
      <w:proofErr w:type="gramEnd"/>
    </w:p>
  </w:footnote>
  <w:footnote w:id="45">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App No 46726/11.</w:t>
      </w:r>
    </w:p>
  </w:footnote>
  <w:footnote w:id="46">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004E063E">
        <w:rPr>
          <w:rFonts w:ascii="Times New Roman" w:hAnsi="Times New Roman" w:cs="Times New Roman"/>
        </w:rPr>
        <w:t>N. 42 above</w:t>
      </w:r>
    </w:p>
  </w:footnote>
  <w:footnote w:id="47">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App No 3925/10.</w:t>
      </w:r>
      <w:proofErr w:type="gramEnd"/>
    </w:p>
  </w:footnote>
  <w:footnote w:id="48">
    <w:p w:rsidR="00562C27" w:rsidRPr="00B4339E" w:rsidRDefault="00562C27" w:rsidP="00562C27">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App No. 2408/06.</w:t>
      </w:r>
      <w:proofErr w:type="gramEnd"/>
    </w:p>
  </w:footnote>
  <w:footnote w:id="49">
    <w:p w:rsidR="00F17654" w:rsidRPr="00B4339E" w:rsidRDefault="00F17654" w:rsidP="00F17654">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(1986) 10 EHRR 149.</w:t>
      </w:r>
      <w:proofErr w:type="gramEnd"/>
    </w:p>
  </w:footnote>
  <w:footnote w:id="50">
    <w:p w:rsidR="00F17654" w:rsidRPr="00B4339E" w:rsidRDefault="00F17654" w:rsidP="00F17654">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(1997) 24 EHRR CD 69.</w:t>
      </w:r>
      <w:proofErr w:type="gramEnd"/>
    </w:p>
  </w:footnote>
  <w:footnote w:id="51">
    <w:p w:rsidR="00F17654" w:rsidRPr="00B4339E" w:rsidRDefault="00F17654" w:rsidP="00F17654">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 xml:space="preserve">In </w:t>
      </w:r>
      <w:r w:rsidRPr="00B4339E">
        <w:rPr>
          <w:rFonts w:ascii="Times New Roman" w:hAnsi="Times New Roman" w:cs="Times New Roman"/>
          <w:i/>
        </w:rPr>
        <w:t xml:space="preserve">Di Palma v UK </w:t>
      </w:r>
      <w:r w:rsidRPr="00B4339E">
        <w:rPr>
          <w:rFonts w:ascii="Times New Roman" w:hAnsi="Times New Roman" w:cs="Times New Roman"/>
        </w:rPr>
        <w:t>at p154.</w:t>
      </w:r>
      <w:proofErr w:type="gramEnd"/>
    </w:p>
  </w:footnote>
  <w:footnote w:id="52">
    <w:p w:rsidR="00F17654" w:rsidRPr="00B4339E" w:rsidRDefault="00F17654" w:rsidP="00F17654">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Ibid at p155.</w:t>
      </w:r>
      <w:proofErr w:type="gramEnd"/>
    </w:p>
  </w:footnote>
  <w:footnote w:id="53">
    <w:p w:rsidR="0075594B" w:rsidRPr="00B4339E" w:rsidRDefault="0075594B">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00D6258E" w:rsidRPr="00B4339E">
        <w:rPr>
          <w:rFonts w:ascii="Times New Roman" w:hAnsi="Times New Roman" w:cs="Times New Roman"/>
        </w:rPr>
        <w:t>(2011) 52 EHRR 22.</w:t>
      </w:r>
      <w:proofErr w:type="gramEnd"/>
    </w:p>
  </w:footnote>
  <w:footnote w:id="54">
    <w:p w:rsidR="0075594B" w:rsidRPr="00B4339E" w:rsidRDefault="0075594B" w:rsidP="0075594B">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00D6258E" w:rsidRPr="00B4339E">
        <w:rPr>
          <w:rFonts w:ascii="Times New Roman" w:hAnsi="Times New Roman" w:cs="Times New Roman"/>
        </w:rPr>
        <w:t>(2011) 52 EHRR 24</w:t>
      </w:r>
      <w:r w:rsidRPr="00B4339E">
        <w:rPr>
          <w:rFonts w:ascii="Times New Roman" w:hAnsi="Times New Roman" w:cs="Times New Roman"/>
        </w:rPr>
        <w:t>.</w:t>
      </w:r>
      <w:proofErr w:type="gramEnd"/>
    </w:p>
  </w:footnote>
  <w:footnote w:id="55">
    <w:p w:rsidR="0097179B" w:rsidRPr="008D7D2C" w:rsidRDefault="0097179B">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Other examples are drawn from a State</w:t>
      </w:r>
      <w:r w:rsidR="00CC2279">
        <w:rPr>
          <w:rFonts w:ascii="Times New Roman" w:hAnsi="Times New Roman" w:cs="Times New Roman"/>
        </w:rPr>
        <w:t>’</w:t>
      </w:r>
      <w:r w:rsidRPr="00B4339E">
        <w:rPr>
          <w:rFonts w:ascii="Times New Roman" w:hAnsi="Times New Roman" w:cs="Times New Roman"/>
        </w:rPr>
        <w:t xml:space="preserve">s responsibility to prevent private parties from committing acts of environmental pollution, anti-social behaviour or domestic violence see </w:t>
      </w:r>
      <w:r w:rsidR="00CC2279">
        <w:rPr>
          <w:rFonts w:ascii="Times New Roman" w:hAnsi="Times New Roman" w:cs="Times New Roman"/>
          <w:i/>
        </w:rPr>
        <w:t xml:space="preserve">Lopez </w:t>
      </w:r>
      <w:proofErr w:type="spellStart"/>
      <w:r w:rsidR="00CC2279">
        <w:rPr>
          <w:rFonts w:ascii="Times New Roman" w:hAnsi="Times New Roman" w:cs="Times New Roman"/>
          <w:i/>
        </w:rPr>
        <w:t>Ostra</w:t>
      </w:r>
      <w:proofErr w:type="spellEnd"/>
      <w:r w:rsidR="00CC2279">
        <w:rPr>
          <w:rFonts w:ascii="Times New Roman" w:hAnsi="Times New Roman" w:cs="Times New Roman"/>
          <w:i/>
        </w:rPr>
        <w:t xml:space="preserve"> v Spain </w:t>
      </w:r>
      <w:r w:rsidR="008D7D2C">
        <w:rPr>
          <w:rFonts w:ascii="Times New Roman" w:hAnsi="Times New Roman" w:cs="Times New Roman"/>
        </w:rPr>
        <w:t xml:space="preserve">(1995) 20 EHRR 277, </w:t>
      </w:r>
      <w:r w:rsidR="008D7D2C">
        <w:rPr>
          <w:rFonts w:ascii="Times New Roman" w:hAnsi="Times New Roman" w:cs="Times New Roman"/>
          <w:i/>
        </w:rPr>
        <w:t xml:space="preserve">Moreno Gomez v Spain </w:t>
      </w:r>
      <w:r w:rsidR="008D7D2C">
        <w:rPr>
          <w:rFonts w:ascii="Times New Roman" w:hAnsi="Times New Roman" w:cs="Times New Roman"/>
        </w:rPr>
        <w:t xml:space="preserve"> App No 4143/02 and </w:t>
      </w:r>
      <w:proofErr w:type="spellStart"/>
      <w:r w:rsidR="008D7D2C">
        <w:rPr>
          <w:rFonts w:ascii="Times New Roman" w:hAnsi="Times New Roman" w:cs="Times New Roman"/>
          <w:i/>
        </w:rPr>
        <w:t>Busuioc</w:t>
      </w:r>
      <w:proofErr w:type="spellEnd"/>
      <w:r w:rsidR="008D7D2C">
        <w:rPr>
          <w:rFonts w:ascii="Times New Roman" w:hAnsi="Times New Roman" w:cs="Times New Roman"/>
          <w:i/>
        </w:rPr>
        <w:t xml:space="preserve"> v Moldova </w:t>
      </w:r>
      <w:r w:rsidR="008D7D2C">
        <w:rPr>
          <w:rFonts w:ascii="Times New Roman" w:hAnsi="Times New Roman" w:cs="Times New Roman"/>
        </w:rPr>
        <w:t>App No 61382/09.</w:t>
      </w:r>
    </w:p>
  </w:footnote>
  <w:footnote w:id="56">
    <w:p w:rsidR="00F17654" w:rsidRPr="00B4339E" w:rsidRDefault="00F17654" w:rsidP="00F17654">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At [51].</w:t>
      </w:r>
      <w:proofErr w:type="gramEnd"/>
    </w:p>
  </w:footnote>
  <w:footnote w:id="57">
    <w:p w:rsidR="00D6258E" w:rsidRPr="00B4339E" w:rsidRDefault="00D6258E">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As a violation of Article 10 was found the Strasbourg Court did not go onto consider the alleged violation of Article 8.</w:t>
      </w:r>
    </w:p>
  </w:footnote>
  <w:footnote w:id="58">
    <w:p w:rsidR="000237FD" w:rsidRPr="00B4339E" w:rsidRDefault="000237FD">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s146(</w:t>
      </w:r>
      <w:proofErr w:type="gramEnd"/>
      <w:r w:rsidRPr="00B4339E">
        <w:rPr>
          <w:rFonts w:ascii="Times New Roman" w:hAnsi="Times New Roman" w:cs="Times New Roman"/>
        </w:rPr>
        <w:t>2) of the Law of Property Act 1925.</w:t>
      </w:r>
    </w:p>
  </w:footnote>
  <w:footnote w:id="59">
    <w:p w:rsidR="00D82AA1" w:rsidRPr="00B4339E" w:rsidRDefault="00D82AA1" w:rsidP="00D82AA1">
      <w:pPr>
        <w:pStyle w:val="FootnoteText"/>
        <w:rPr>
          <w:rFonts w:ascii="Times New Roman" w:hAnsi="Times New Roman" w:cs="Times New Roman"/>
        </w:rPr>
      </w:pPr>
      <w:r w:rsidRPr="00B4339E">
        <w:rPr>
          <w:rStyle w:val="FootnoteReference"/>
          <w:rFonts w:ascii="Times New Roman" w:hAnsi="Times New Roman" w:cs="Times New Roman"/>
        </w:rPr>
        <w:footnoteRef/>
      </w:r>
      <w:r>
        <w:rPr>
          <w:rFonts w:ascii="Times New Roman" w:hAnsi="Times New Roman" w:cs="Times New Roman"/>
        </w:rPr>
        <w:t xml:space="preserve"> See for growing evidence of positive duties owed to the vulnerable</w:t>
      </w:r>
      <w:r w:rsidRPr="00B4339E">
        <w:rPr>
          <w:rFonts w:ascii="Times New Roman" w:hAnsi="Times New Roman" w:cs="Times New Roman"/>
        </w:rPr>
        <w:t xml:space="preserve"> L </w:t>
      </w:r>
      <w:proofErr w:type="spellStart"/>
      <w:r w:rsidRPr="00B4339E">
        <w:rPr>
          <w:rFonts w:ascii="Times New Roman" w:hAnsi="Times New Roman" w:cs="Times New Roman"/>
        </w:rPr>
        <w:t>Peroni</w:t>
      </w:r>
      <w:proofErr w:type="spellEnd"/>
      <w:r w:rsidRPr="00B4339E">
        <w:rPr>
          <w:rFonts w:ascii="Times New Roman" w:hAnsi="Times New Roman" w:cs="Times New Roman"/>
        </w:rPr>
        <w:t xml:space="preserve"> &amp; </w:t>
      </w:r>
      <w:proofErr w:type="gramStart"/>
      <w:r w:rsidRPr="00B4339E">
        <w:rPr>
          <w:rFonts w:ascii="Times New Roman" w:hAnsi="Times New Roman" w:cs="Times New Roman"/>
        </w:rPr>
        <w:t>A</w:t>
      </w:r>
      <w:proofErr w:type="gramEnd"/>
      <w:r w:rsidRPr="00B4339E">
        <w:rPr>
          <w:rFonts w:ascii="Times New Roman" w:hAnsi="Times New Roman" w:cs="Times New Roman"/>
        </w:rPr>
        <w:t xml:space="preserve"> </w:t>
      </w:r>
      <w:proofErr w:type="spellStart"/>
      <w:r w:rsidRPr="00B4339E">
        <w:rPr>
          <w:rFonts w:ascii="Times New Roman" w:hAnsi="Times New Roman" w:cs="Times New Roman"/>
        </w:rPr>
        <w:t>Timmer</w:t>
      </w:r>
      <w:proofErr w:type="spellEnd"/>
      <w:r w:rsidRPr="00B4339E">
        <w:rPr>
          <w:rFonts w:ascii="Times New Roman" w:hAnsi="Times New Roman" w:cs="Times New Roman"/>
        </w:rPr>
        <w:t>, ‘Vulnerable Groups: The promise of an emerging concept in European Human Rights Convention Law’</w:t>
      </w:r>
      <w:r w:rsidRPr="00B4339E">
        <w:rPr>
          <w:rFonts w:ascii="Times New Roman" w:hAnsi="Times New Roman" w:cs="Times New Roman"/>
          <w:i/>
        </w:rPr>
        <w:t xml:space="preserve"> </w:t>
      </w:r>
      <w:r w:rsidRPr="00B4339E">
        <w:rPr>
          <w:rFonts w:ascii="Times New Roman" w:hAnsi="Times New Roman" w:cs="Times New Roman"/>
        </w:rPr>
        <w:t>(2013) 11 IJCL 1056.</w:t>
      </w:r>
    </w:p>
  </w:footnote>
  <w:footnote w:id="60">
    <w:p w:rsidR="00D27805" w:rsidRPr="00B4339E" w:rsidRDefault="00D27805">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r w:rsidR="00021FAC" w:rsidRPr="00B4339E">
        <w:rPr>
          <w:rFonts w:ascii="Times New Roman" w:hAnsi="Times New Roman" w:cs="Times New Roman"/>
        </w:rPr>
        <w:t>See Parts 3 and 4 of the Equality Act 2010.</w:t>
      </w:r>
    </w:p>
  </w:footnote>
  <w:footnote w:id="61">
    <w:p w:rsidR="00D27805" w:rsidRPr="00B4339E" w:rsidRDefault="00D27805">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00021FAC" w:rsidRPr="00B4339E">
        <w:rPr>
          <w:rFonts w:ascii="Times New Roman" w:hAnsi="Times New Roman" w:cs="Times New Roman"/>
        </w:rPr>
        <w:t>S35(</w:t>
      </w:r>
      <w:proofErr w:type="gramEnd"/>
      <w:r w:rsidR="00021FAC" w:rsidRPr="00B4339E">
        <w:rPr>
          <w:rFonts w:ascii="Times New Roman" w:hAnsi="Times New Roman" w:cs="Times New Roman"/>
        </w:rPr>
        <w:t>1)(b).</w:t>
      </w:r>
    </w:p>
  </w:footnote>
  <w:footnote w:id="62">
    <w:p w:rsidR="00800526" w:rsidRPr="00B4339E" w:rsidRDefault="00800526">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At [40].</w:t>
      </w:r>
      <w:proofErr w:type="gramEnd"/>
    </w:p>
  </w:footnote>
  <w:footnote w:id="63">
    <w:p w:rsidR="00021FAC" w:rsidRPr="00B22DAA" w:rsidRDefault="00021FAC">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00CC1A2D" w:rsidRPr="00B4339E">
        <w:rPr>
          <w:rFonts w:ascii="Times New Roman" w:hAnsi="Times New Roman" w:cs="Times New Roman"/>
        </w:rPr>
        <w:t>[1992] 1 A.C. 478.</w:t>
      </w:r>
      <w:proofErr w:type="gramEnd"/>
      <w:r w:rsidR="00B22DAA">
        <w:rPr>
          <w:rFonts w:ascii="Times New Roman" w:hAnsi="Times New Roman" w:cs="Times New Roman"/>
        </w:rPr>
        <w:t xml:space="preserve"> See also </w:t>
      </w:r>
      <w:r w:rsidR="00B22DAA">
        <w:rPr>
          <w:rFonts w:ascii="Times New Roman" w:hAnsi="Times New Roman" w:cs="Times New Roman"/>
          <w:i/>
        </w:rPr>
        <w:t xml:space="preserve">Sims v </w:t>
      </w:r>
      <w:proofErr w:type="spellStart"/>
      <w:r w:rsidR="00B22DAA">
        <w:rPr>
          <w:rFonts w:ascii="Times New Roman" w:hAnsi="Times New Roman" w:cs="Times New Roman"/>
          <w:i/>
        </w:rPr>
        <w:t>Dacorum</w:t>
      </w:r>
      <w:proofErr w:type="spellEnd"/>
      <w:r w:rsidR="00B22DAA">
        <w:rPr>
          <w:rFonts w:ascii="Times New Roman" w:hAnsi="Times New Roman" w:cs="Times New Roman"/>
          <w:i/>
        </w:rPr>
        <w:t xml:space="preserve"> BC </w:t>
      </w:r>
      <w:r w:rsidR="00B22DAA">
        <w:rPr>
          <w:rFonts w:ascii="Times New Roman" w:hAnsi="Times New Roman" w:cs="Times New Roman"/>
        </w:rPr>
        <w:t xml:space="preserve">[2013] 3 WLR 1006 in which the Supreme Court expressed continuing approval </w:t>
      </w:r>
      <w:proofErr w:type="gramStart"/>
      <w:r w:rsidR="00B22DAA">
        <w:rPr>
          <w:rFonts w:ascii="Times New Roman" w:hAnsi="Times New Roman" w:cs="Times New Roman"/>
        </w:rPr>
        <w:t xml:space="preserve">of </w:t>
      </w:r>
      <w:r w:rsidR="00B22DAA">
        <w:rPr>
          <w:rFonts w:ascii="Times New Roman" w:hAnsi="Times New Roman" w:cs="Times New Roman"/>
          <w:i/>
        </w:rPr>
        <w:t xml:space="preserve"> </w:t>
      </w:r>
      <w:r w:rsidR="00B22DAA" w:rsidRPr="00B22DAA">
        <w:rPr>
          <w:rFonts w:ascii="Times New Roman" w:hAnsi="Times New Roman" w:cs="Times New Roman"/>
          <w:i/>
        </w:rPr>
        <w:t>Hammersmith</w:t>
      </w:r>
      <w:proofErr w:type="gramEnd"/>
      <w:r w:rsidR="00B22DAA" w:rsidRPr="00B22DAA">
        <w:rPr>
          <w:rFonts w:ascii="Times New Roman" w:hAnsi="Times New Roman" w:cs="Times New Roman"/>
          <w:i/>
        </w:rPr>
        <w:t xml:space="preserve"> &amp; Fulham LBC</w:t>
      </w:r>
      <w:r w:rsidR="00B22DAA">
        <w:rPr>
          <w:rFonts w:ascii="Times New Roman" w:hAnsi="Times New Roman" w:cs="Times New Roman"/>
          <w:i/>
        </w:rPr>
        <w:t xml:space="preserve"> v</w:t>
      </w:r>
      <w:r w:rsidR="00B22DAA" w:rsidRPr="00B22DAA">
        <w:rPr>
          <w:rFonts w:ascii="Times New Roman" w:hAnsi="Times New Roman" w:cs="Times New Roman"/>
          <w:i/>
        </w:rPr>
        <w:t xml:space="preserve"> </w:t>
      </w:r>
      <w:r w:rsidR="00B22DAA">
        <w:rPr>
          <w:rFonts w:ascii="Times New Roman" w:hAnsi="Times New Roman" w:cs="Times New Roman"/>
          <w:i/>
        </w:rPr>
        <w:t>Monk</w:t>
      </w:r>
      <w:r w:rsidR="00B22DAA">
        <w:rPr>
          <w:rFonts w:ascii="Times New Roman" w:hAnsi="Times New Roman" w:cs="Times New Roman"/>
        </w:rPr>
        <w:t xml:space="preserve">.  </w:t>
      </w:r>
    </w:p>
  </w:footnote>
  <w:footnote w:id="64">
    <w:p w:rsidR="00F11196" w:rsidRPr="00B4339E" w:rsidRDefault="00F11196">
      <w:pPr>
        <w:pStyle w:val="FootnoteText"/>
        <w:rPr>
          <w:rFonts w:ascii="Times New Roman" w:hAnsi="Times New Roman" w:cs="Times New Roman"/>
        </w:rPr>
      </w:pPr>
      <w:r w:rsidRPr="00B4339E">
        <w:rPr>
          <w:rStyle w:val="FootnoteReference"/>
          <w:rFonts w:ascii="Times New Roman" w:hAnsi="Times New Roman" w:cs="Times New Roman"/>
        </w:rPr>
        <w:footnoteRef/>
      </w:r>
      <w:r w:rsidR="00911B4E" w:rsidRPr="00B4339E">
        <w:rPr>
          <w:rFonts w:ascii="Times New Roman" w:hAnsi="Times New Roman" w:cs="Times New Roman"/>
        </w:rPr>
        <w:t xml:space="preserve"> The </w:t>
      </w:r>
      <w:r w:rsidRPr="00B4339E">
        <w:rPr>
          <w:rFonts w:ascii="Times New Roman" w:hAnsi="Times New Roman" w:cs="Times New Roman"/>
        </w:rPr>
        <w:t>compatibility of the legislation itself would have to be challenged</w:t>
      </w:r>
      <w:r w:rsidR="00911B4E" w:rsidRPr="00B4339E">
        <w:rPr>
          <w:rFonts w:ascii="Times New Roman" w:hAnsi="Times New Roman" w:cs="Times New Roman"/>
        </w:rPr>
        <w:t xml:space="preserve"> under s3 HRA 1998</w:t>
      </w:r>
      <w:r w:rsidRPr="00B4339E">
        <w:rPr>
          <w:rFonts w:ascii="Times New Roman" w:hAnsi="Times New Roman" w:cs="Times New Roman"/>
        </w:rPr>
        <w:t>.</w:t>
      </w:r>
    </w:p>
  </w:footnote>
  <w:footnote w:id="65">
    <w:p w:rsidR="000377F5" w:rsidRPr="00B4339E" w:rsidRDefault="000377F5" w:rsidP="000377F5">
      <w:pPr>
        <w:pStyle w:val="FootnoteText"/>
        <w:rPr>
          <w:rFonts w:ascii="Times New Roman" w:hAnsi="Times New Roman" w:cs="Times New Roman"/>
          <w:i/>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Pr>
          <w:rFonts w:ascii="Times New Roman" w:hAnsi="Times New Roman" w:cs="Times New Roman"/>
        </w:rPr>
        <w:t>For example</w:t>
      </w:r>
      <w:r w:rsidRPr="00B4339E">
        <w:rPr>
          <w:rFonts w:ascii="Times New Roman" w:hAnsi="Times New Roman" w:cs="Times New Roman"/>
        </w:rPr>
        <w:t xml:space="preserve"> </w:t>
      </w:r>
      <w:r w:rsidRPr="00B4339E">
        <w:rPr>
          <w:rFonts w:ascii="Times New Roman" w:hAnsi="Times New Roman" w:cs="Times New Roman"/>
          <w:i/>
        </w:rPr>
        <w:t xml:space="preserve">Campbell v MGN </w:t>
      </w:r>
      <w:r w:rsidRPr="00B4339E">
        <w:rPr>
          <w:rFonts w:ascii="Times New Roman" w:hAnsi="Times New Roman" w:cs="Times New Roman"/>
        </w:rPr>
        <w:t>[2004] UKHL 22.</w:t>
      </w:r>
      <w:proofErr w:type="gramEnd"/>
      <w:r w:rsidRPr="00B4339E">
        <w:rPr>
          <w:rFonts w:ascii="Times New Roman" w:hAnsi="Times New Roman" w:cs="Times New Roman"/>
          <w:i/>
        </w:rPr>
        <w:t xml:space="preserve"> </w:t>
      </w:r>
    </w:p>
  </w:footnote>
  <w:footnote w:id="66">
    <w:p w:rsidR="000377F5" w:rsidRPr="00B4339E" w:rsidRDefault="000377F5" w:rsidP="000377F5">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rPr>
        <w:t>At [46].</w:t>
      </w:r>
      <w:proofErr w:type="gramEnd"/>
    </w:p>
  </w:footnote>
  <w:footnote w:id="67">
    <w:p w:rsidR="0043009B" w:rsidRPr="0043009B" w:rsidRDefault="0043009B">
      <w:pPr>
        <w:pStyle w:val="FootnoteText"/>
        <w:rPr>
          <w:rFonts w:ascii="Times New Roman" w:hAnsi="Times New Roman" w:cs="Times New Roman"/>
        </w:rPr>
      </w:pPr>
      <w:r w:rsidRPr="0043009B">
        <w:rPr>
          <w:rStyle w:val="FootnoteReference"/>
          <w:rFonts w:ascii="Times New Roman" w:hAnsi="Times New Roman" w:cs="Times New Roman"/>
        </w:rPr>
        <w:footnoteRef/>
      </w:r>
      <w:r w:rsidRPr="0043009B">
        <w:rPr>
          <w:rFonts w:ascii="Times New Roman" w:hAnsi="Times New Roman" w:cs="Times New Roman"/>
        </w:rPr>
        <w:t xml:space="preserve"> </w:t>
      </w:r>
      <w:proofErr w:type="gramStart"/>
      <w:r w:rsidRPr="0043009B">
        <w:rPr>
          <w:rFonts w:ascii="Times New Roman" w:hAnsi="Times New Roman" w:cs="Times New Roman"/>
        </w:rPr>
        <w:t>At [42].</w:t>
      </w:r>
      <w:proofErr w:type="gramEnd"/>
    </w:p>
  </w:footnote>
  <w:footnote w:id="68">
    <w:p w:rsidR="0070494F" w:rsidRPr="0070494F" w:rsidRDefault="0070494F">
      <w:pPr>
        <w:pStyle w:val="FootnoteText"/>
        <w:rPr>
          <w:caps/>
        </w:rPr>
      </w:pPr>
      <w:r>
        <w:rPr>
          <w:rStyle w:val="FootnoteReference"/>
        </w:rPr>
        <w:footnoteRef/>
      </w:r>
      <w:r>
        <w:t xml:space="preserve"> </w:t>
      </w:r>
      <w:r w:rsidR="008D4713">
        <w:t>P</w:t>
      </w:r>
      <w:r w:rsidR="008D4713" w:rsidRPr="008D4713">
        <w:rPr>
          <w:rFonts w:ascii="Times New Roman" w:hAnsi="Times New Roman" w:cs="Times New Roman"/>
        </w:rPr>
        <w:t xml:space="preserve">rovided there is no violence </w:t>
      </w:r>
      <w:r w:rsidR="008D4713">
        <w:rPr>
          <w:rFonts w:ascii="Times New Roman" w:hAnsi="Times New Roman" w:cs="Times New Roman"/>
        </w:rPr>
        <w:t>(s</w:t>
      </w:r>
      <w:r w:rsidR="008D4713" w:rsidRPr="008A6542">
        <w:rPr>
          <w:rFonts w:ascii="Times New Roman" w:hAnsi="Times New Roman" w:cs="Times New Roman"/>
        </w:rPr>
        <w:t>ee Criminal Law Act 1977</w:t>
      </w:r>
      <w:r w:rsidR="008D4713" w:rsidRPr="008D4713">
        <w:rPr>
          <w:rFonts w:ascii="Times New Roman" w:hAnsi="Times New Roman" w:cs="Times New Roman"/>
        </w:rPr>
        <w:t xml:space="preserve"> </w:t>
      </w:r>
      <w:r w:rsidR="008D4713" w:rsidRPr="008A6542">
        <w:rPr>
          <w:rFonts w:ascii="Times New Roman" w:hAnsi="Times New Roman" w:cs="Times New Roman"/>
        </w:rPr>
        <w:t>s6</w:t>
      </w:r>
      <w:r w:rsidR="008D4713">
        <w:rPr>
          <w:rFonts w:ascii="Times New Roman" w:hAnsi="Times New Roman" w:cs="Times New Roman"/>
        </w:rPr>
        <w:t>)</w:t>
      </w:r>
      <w:r w:rsidR="008D4713" w:rsidRPr="008A6542">
        <w:rPr>
          <w:rFonts w:ascii="Times New Roman" w:hAnsi="Times New Roman" w:cs="Times New Roman"/>
        </w:rPr>
        <w:t xml:space="preserve"> </w:t>
      </w:r>
      <w:r w:rsidR="008D4713" w:rsidRPr="008D4713">
        <w:rPr>
          <w:rFonts w:ascii="Times New Roman" w:hAnsi="Times New Roman" w:cs="Times New Roman"/>
        </w:rPr>
        <w:t xml:space="preserve">or harassment </w:t>
      </w:r>
      <w:r w:rsidR="008D4713">
        <w:rPr>
          <w:rFonts w:ascii="Times New Roman" w:hAnsi="Times New Roman" w:cs="Times New Roman"/>
        </w:rPr>
        <w:t>(see</w:t>
      </w:r>
      <w:r w:rsidRPr="008A6542">
        <w:rPr>
          <w:rFonts w:ascii="Times New Roman" w:hAnsi="Times New Roman" w:cs="Times New Roman"/>
        </w:rPr>
        <w:t xml:space="preserve"> Protection from Eviction Act</w:t>
      </w:r>
      <w:r w:rsidRPr="008A6542">
        <w:rPr>
          <w:rFonts w:ascii="Times New Roman" w:hAnsi="Times New Roman" w:cs="Times New Roman"/>
          <w:caps/>
        </w:rPr>
        <w:t xml:space="preserve"> </w:t>
      </w:r>
      <w:proofErr w:type="gramStart"/>
      <w:r w:rsidRPr="008A6542">
        <w:rPr>
          <w:rFonts w:ascii="Times New Roman" w:hAnsi="Times New Roman" w:cs="Times New Roman"/>
          <w:caps/>
        </w:rPr>
        <w:t xml:space="preserve">1977 </w:t>
      </w:r>
      <w:r w:rsidR="008D4713">
        <w:rPr>
          <w:rFonts w:ascii="Times New Roman" w:hAnsi="Times New Roman" w:cs="Times New Roman"/>
          <w:caps/>
        </w:rPr>
        <w:t xml:space="preserve"> </w:t>
      </w:r>
      <w:r w:rsidR="008D4713">
        <w:rPr>
          <w:rFonts w:ascii="Times New Roman" w:hAnsi="Times New Roman" w:cs="Times New Roman"/>
        </w:rPr>
        <w:t>s1</w:t>
      </w:r>
      <w:proofErr w:type="gramEnd"/>
      <w:r w:rsidR="008D4713">
        <w:rPr>
          <w:rFonts w:ascii="Times New Roman" w:hAnsi="Times New Roman" w:cs="Times New Roman"/>
        </w:rPr>
        <w:t>(3))</w:t>
      </w:r>
      <w:r w:rsidRPr="008A6542">
        <w:rPr>
          <w:rFonts w:ascii="Times New Roman" w:hAnsi="Times New Roman" w:cs="Times New Roman"/>
          <w:caps/>
        </w:rPr>
        <w:t>.</w:t>
      </w:r>
    </w:p>
  </w:footnote>
  <w:footnote w:id="69">
    <w:p w:rsidR="00503C81" w:rsidRPr="00EF0697" w:rsidRDefault="00503C81">
      <w:pPr>
        <w:pStyle w:val="FootnoteText"/>
        <w:rPr>
          <w:rFonts w:ascii="Times New Roman" w:hAnsi="Times New Roman" w:cs="Times New Roman"/>
        </w:rPr>
      </w:pPr>
      <w:r w:rsidRPr="00EF0697">
        <w:rPr>
          <w:rStyle w:val="FootnoteReference"/>
          <w:rFonts w:ascii="Times New Roman" w:hAnsi="Times New Roman" w:cs="Times New Roman"/>
        </w:rPr>
        <w:footnoteRef/>
      </w:r>
      <w:r w:rsidRPr="00EF0697">
        <w:rPr>
          <w:rFonts w:ascii="Times New Roman" w:hAnsi="Times New Roman" w:cs="Times New Roman"/>
        </w:rPr>
        <w:t xml:space="preserve"> See for example J Howell, </w:t>
      </w:r>
      <w:r w:rsidR="00EF0697" w:rsidRPr="00EF0697">
        <w:rPr>
          <w:rFonts w:ascii="Times New Roman" w:hAnsi="Times New Roman" w:cs="Times New Roman"/>
        </w:rPr>
        <w:t>‘The Human Rights Act 1998:</w:t>
      </w:r>
      <w:r w:rsidR="00EF0697">
        <w:rPr>
          <w:rFonts w:ascii="Times New Roman" w:hAnsi="Times New Roman" w:cs="Times New Roman"/>
        </w:rPr>
        <w:t xml:space="preserve"> </w:t>
      </w:r>
      <w:r w:rsidR="00EF0697" w:rsidRPr="00EF0697">
        <w:rPr>
          <w:rFonts w:ascii="Times New Roman" w:hAnsi="Times New Roman" w:cs="Times New Roman"/>
        </w:rPr>
        <w:t>land, private citizens and the common law’ (2007) 123 LQR 618.</w:t>
      </w:r>
    </w:p>
  </w:footnote>
  <w:footnote w:id="70">
    <w:p w:rsidR="00EF0697" w:rsidRPr="00E76A58" w:rsidRDefault="00EF0697">
      <w:pPr>
        <w:pStyle w:val="FootnoteText"/>
        <w:rPr>
          <w:rFonts w:ascii="Times New Roman" w:hAnsi="Times New Roman" w:cs="Times New Roman"/>
        </w:rPr>
      </w:pPr>
      <w:r w:rsidRPr="00E76A58">
        <w:rPr>
          <w:rStyle w:val="FootnoteReference"/>
          <w:rFonts w:ascii="Times New Roman" w:hAnsi="Times New Roman" w:cs="Times New Roman"/>
        </w:rPr>
        <w:footnoteRef/>
      </w:r>
      <w:r w:rsidRPr="00E76A58">
        <w:rPr>
          <w:rFonts w:ascii="Times New Roman" w:hAnsi="Times New Roman" w:cs="Times New Roman"/>
        </w:rPr>
        <w:t xml:space="preserve"> For a consideration of these differing perspectives see R Walsh, ‘Stability and predictability in English property law – the impact of article 8 of the European Convention on Human Rights reassessed’ (2015) LQR 585</w:t>
      </w:r>
      <w:r w:rsidR="00E76A58">
        <w:rPr>
          <w:rFonts w:ascii="Times New Roman" w:hAnsi="Times New Roman" w:cs="Times New Roman"/>
        </w:rPr>
        <w:t xml:space="preserve"> at 600-603</w:t>
      </w:r>
      <w:r w:rsidRPr="00E76A58">
        <w:rPr>
          <w:rFonts w:ascii="Times New Roman" w:hAnsi="Times New Roman" w:cs="Times New Roman"/>
        </w:rPr>
        <w:t>.</w:t>
      </w:r>
    </w:p>
  </w:footnote>
  <w:footnote w:id="71">
    <w:p w:rsidR="003C40A3" w:rsidRPr="00342583" w:rsidRDefault="003C40A3" w:rsidP="003C40A3">
      <w:pPr>
        <w:pStyle w:val="FootnoteText"/>
        <w:rPr>
          <w:rFonts w:ascii="Times New Roman" w:hAnsi="Times New Roman" w:cs="Times New Roman"/>
        </w:rPr>
      </w:pPr>
      <w:r w:rsidRPr="00342583">
        <w:rPr>
          <w:rStyle w:val="FootnoteReference"/>
          <w:rFonts w:ascii="Times New Roman" w:hAnsi="Times New Roman" w:cs="Times New Roman"/>
        </w:rPr>
        <w:footnoteRef/>
      </w:r>
      <w:r w:rsidRPr="00342583">
        <w:rPr>
          <w:rFonts w:ascii="Times New Roman" w:hAnsi="Times New Roman" w:cs="Times New Roman"/>
        </w:rPr>
        <w:t xml:space="preserve"> </w:t>
      </w:r>
      <w:proofErr w:type="gramStart"/>
      <w:r w:rsidRPr="00342583">
        <w:rPr>
          <w:rFonts w:ascii="Times New Roman" w:hAnsi="Times New Roman" w:cs="Times New Roman"/>
        </w:rPr>
        <w:t xml:space="preserve">For example flexible tenancies and </w:t>
      </w:r>
      <w:r>
        <w:rPr>
          <w:rFonts w:ascii="Times New Roman" w:hAnsi="Times New Roman" w:cs="Times New Roman"/>
        </w:rPr>
        <w:t xml:space="preserve">introductory or </w:t>
      </w:r>
      <w:r w:rsidRPr="00342583">
        <w:rPr>
          <w:rFonts w:ascii="Times New Roman" w:hAnsi="Times New Roman" w:cs="Times New Roman"/>
        </w:rPr>
        <w:t>starter tenancies.</w:t>
      </w:r>
      <w:proofErr w:type="gramEnd"/>
    </w:p>
  </w:footnote>
  <w:footnote w:id="72">
    <w:p w:rsidR="008A6542" w:rsidRPr="008A6542" w:rsidRDefault="008A6542" w:rsidP="008A6542">
      <w:pPr>
        <w:pStyle w:val="FootnoteText"/>
        <w:rPr>
          <w:rFonts w:ascii="Times New Roman" w:hAnsi="Times New Roman" w:cs="Times New Roman"/>
        </w:rPr>
      </w:pPr>
      <w:r w:rsidRPr="008A6542">
        <w:rPr>
          <w:rStyle w:val="FootnoteReference"/>
          <w:rFonts w:ascii="Times New Roman" w:hAnsi="Times New Roman" w:cs="Times New Roman"/>
        </w:rPr>
        <w:footnoteRef/>
      </w:r>
      <w:r w:rsidRPr="008A6542">
        <w:rPr>
          <w:rFonts w:ascii="Times New Roman" w:hAnsi="Times New Roman" w:cs="Times New Roman"/>
        </w:rPr>
        <w:t xml:space="preserve"> See Localism Act 2011, s148, s149.</w:t>
      </w:r>
    </w:p>
  </w:footnote>
  <w:footnote w:id="73">
    <w:p w:rsidR="009C02CC" w:rsidRPr="00B4339E" w:rsidRDefault="009C02CC" w:rsidP="009C02CC">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spellStart"/>
      <w:proofErr w:type="gramStart"/>
      <w:r w:rsidRPr="00B4339E">
        <w:rPr>
          <w:rFonts w:ascii="Times New Roman" w:hAnsi="Times New Roman" w:cs="Times New Roman"/>
          <w:i/>
        </w:rPr>
        <w:t>Pinnock</w:t>
      </w:r>
      <w:proofErr w:type="spellEnd"/>
      <w:r w:rsidRPr="00B4339E">
        <w:rPr>
          <w:rFonts w:ascii="Times New Roman" w:hAnsi="Times New Roman" w:cs="Times New Roman"/>
          <w:i/>
        </w:rPr>
        <w:t xml:space="preserve"> </w:t>
      </w:r>
      <w:r w:rsidRPr="00B4339E">
        <w:rPr>
          <w:rFonts w:ascii="Times New Roman" w:hAnsi="Times New Roman" w:cs="Times New Roman"/>
        </w:rPr>
        <w:t>at [53]</w:t>
      </w:r>
      <w:r w:rsidRPr="00B4339E">
        <w:rPr>
          <w:rFonts w:ascii="Times New Roman" w:hAnsi="Times New Roman" w:cs="Times New Roman"/>
          <w:i/>
        </w:rPr>
        <w:t xml:space="preserve"> </w:t>
      </w:r>
      <w:r w:rsidRPr="00B4339E">
        <w:rPr>
          <w:rFonts w:ascii="Times New Roman" w:hAnsi="Times New Roman" w:cs="Times New Roman"/>
        </w:rPr>
        <w:t>and</w:t>
      </w:r>
      <w:r w:rsidRPr="00B4339E">
        <w:rPr>
          <w:rFonts w:ascii="Times New Roman" w:hAnsi="Times New Roman" w:cs="Times New Roman"/>
          <w:i/>
        </w:rPr>
        <w:t xml:space="preserve"> Powell </w:t>
      </w:r>
      <w:r w:rsidRPr="00B4339E">
        <w:rPr>
          <w:rFonts w:ascii="Times New Roman" w:hAnsi="Times New Roman" w:cs="Times New Roman"/>
        </w:rPr>
        <w:t>at [33] and [37].</w:t>
      </w:r>
      <w:proofErr w:type="gramEnd"/>
      <w:r w:rsidRPr="00B4339E">
        <w:rPr>
          <w:rFonts w:ascii="Times New Roman" w:hAnsi="Times New Roman" w:cs="Times New Roman"/>
        </w:rPr>
        <w:t xml:space="preserve"> This approach is endorsed by the </w:t>
      </w:r>
      <w:r>
        <w:rPr>
          <w:rFonts w:ascii="Times New Roman" w:hAnsi="Times New Roman" w:cs="Times New Roman"/>
        </w:rPr>
        <w:t xml:space="preserve">Strasbourg Court </w:t>
      </w:r>
      <w:r w:rsidRPr="00B4339E">
        <w:rPr>
          <w:rFonts w:ascii="Times New Roman" w:hAnsi="Times New Roman" w:cs="Times New Roman"/>
        </w:rPr>
        <w:t xml:space="preserve">see </w:t>
      </w:r>
      <w:proofErr w:type="spellStart"/>
      <w:r>
        <w:rPr>
          <w:rFonts w:ascii="Times New Roman" w:hAnsi="Times New Roman" w:cs="Times New Roman"/>
          <w:i/>
        </w:rPr>
        <w:t>Bjedov</w:t>
      </w:r>
      <w:proofErr w:type="spellEnd"/>
      <w:r>
        <w:rPr>
          <w:rFonts w:ascii="Times New Roman" w:hAnsi="Times New Roman" w:cs="Times New Roman"/>
          <w:i/>
        </w:rPr>
        <w:t xml:space="preserve"> v Croatia </w:t>
      </w:r>
      <w:r w:rsidRPr="00B4339E">
        <w:rPr>
          <w:rFonts w:ascii="Times New Roman" w:hAnsi="Times New Roman" w:cs="Times New Roman"/>
        </w:rPr>
        <w:t>Application No 42150/09 (29 May 2012) at [67]</w:t>
      </w:r>
      <w:r>
        <w:rPr>
          <w:rFonts w:ascii="Times New Roman" w:hAnsi="Times New Roman" w:cs="Times New Roman"/>
        </w:rPr>
        <w:t xml:space="preserve"> and </w:t>
      </w:r>
      <w:proofErr w:type="spellStart"/>
      <w:r>
        <w:rPr>
          <w:rFonts w:ascii="Times New Roman" w:hAnsi="Times New Roman" w:cs="Times New Roman"/>
          <w:i/>
        </w:rPr>
        <w:t>Brezec</w:t>
      </w:r>
      <w:proofErr w:type="spellEnd"/>
      <w:r>
        <w:rPr>
          <w:rFonts w:ascii="Times New Roman" w:hAnsi="Times New Roman" w:cs="Times New Roman"/>
          <w:i/>
        </w:rPr>
        <w:t xml:space="preserve"> </w:t>
      </w:r>
      <w:r w:rsidRPr="00B4339E">
        <w:rPr>
          <w:rFonts w:ascii="Times New Roman" w:hAnsi="Times New Roman" w:cs="Times New Roman"/>
          <w:i/>
        </w:rPr>
        <w:t xml:space="preserve">v </w:t>
      </w:r>
      <w:proofErr w:type="gramStart"/>
      <w:r w:rsidRPr="00B4339E">
        <w:rPr>
          <w:rFonts w:ascii="Times New Roman" w:hAnsi="Times New Roman" w:cs="Times New Roman"/>
          <w:i/>
        </w:rPr>
        <w:t xml:space="preserve">Croatia </w:t>
      </w:r>
      <w:r>
        <w:rPr>
          <w:rFonts w:ascii="Times New Roman" w:hAnsi="Times New Roman" w:cs="Times New Roman"/>
        </w:rPr>
        <w:t xml:space="preserve"> </w:t>
      </w:r>
      <w:r w:rsidRPr="00B4339E">
        <w:rPr>
          <w:rFonts w:ascii="Times New Roman" w:hAnsi="Times New Roman" w:cs="Times New Roman"/>
        </w:rPr>
        <w:t>[</w:t>
      </w:r>
      <w:proofErr w:type="gramEnd"/>
      <w:r w:rsidRPr="00B4339E">
        <w:rPr>
          <w:rFonts w:ascii="Times New Roman" w:hAnsi="Times New Roman" w:cs="Times New Roman"/>
        </w:rPr>
        <w:t>2014] HLR 3</w:t>
      </w:r>
      <w:r>
        <w:rPr>
          <w:rFonts w:ascii="Times New Roman" w:hAnsi="Times New Roman" w:cs="Times New Roman"/>
        </w:rPr>
        <w:t xml:space="preserve"> at [46]</w:t>
      </w:r>
      <w:r w:rsidRPr="00B4339E">
        <w:rPr>
          <w:rFonts w:ascii="Times New Roman" w:hAnsi="Times New Roman" w:cs="Times New Roman"/>
        </w:rPr>
        <w:t>.</w:t>
      </w:r>
    </w:p>
  </w:footnote>
  <w:footnote w:id="74">
    <w:p w:rsidR="00E43EAF" w:rsidRPr="00B4339E" w:rsidRDefault="00E43EAF" w:rsidP="00E43EAF">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See the division of judicial opinion in </w:t>
      </w:r>
      <w:r w:rsidRPr="00B4339E">
        <w:rPr>
          <w:rFonts w:ascii="Times New Roman" w:hAnsi="Times New Roman" w:cs="Times New Roman"/>
          <w:i/>
        </w:rPr>
        <w:t>London Quadrant Housing Trust v Weaver</w:t>
      </w:r>
      <w:r w:rsidR="00EE2D85">
        <w:rPr>
          <w:rFonts w:ascii="Times New Roman" w:hAnsi="Times New Roman" w:cs="Times New Roman"/>
          <w:i/>
        </w:rPr>
        <w:t xml:space="preserve"> </w:t>
      </w:r>
      <w:r w:rsidR="00EE2D85">
        <w:rPr>
          <w:rFonts w:ascii="Times New Roman" w:hAnsi="Times New Roman" w:cs="Times New Roman"/>
        </w:rPr>
        <w:t>[2010] 1 WLR 363</w:t>
      </w:r>
      <w:proofErr w:type="gramStart"/>
      <w:r w:rsidR="00EE2D85">
        <w:rPr>
          <w:rFonts w:ascii="Times New Roman" w:hAnsi="Times New Roman" w:cs="Times New Roman"/>
        </w:rPr>
        <w:t>.</w:t>
      </w:r>
      <w:r w:rsidRPr="00B4339E">
        <w:rPr>
          <w:rFonts w:ascii="Times New Roman" w:hAnsi="Times New Roman" w:cs="Times New Roman"/>
        </w:rPr>
        <w:t>.</w:t>
      </w:r>
      <w:proofErr w:type="gramEnd"/>
    </w:p>
  </w:footnote>
  <w:footnote w:id="75">
    <w:p w:rsidR="00E43EAF" w:rsidRPr="00B4339E" w:rsidRDefault="00E43EAF" w:rsidP="00E43EAF">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w:t>
      </w:r>
      <w:proofErr w:type="gramStart"/>
      <w:r w:rsidRPr="00B4339E">
        <w:rPr>
          <w:rFonts w:ascii="Times New Roman" w:hAnsi="Times New Roman" w:cs="Times New Roman"/>
          <w:i/>
        </w:rPr>
        <w:t xml:space="preserve">London Quadrant Housing Trust v Weaver </w:t>
      </w:r>
      <w:r w:rsidRPr="00B4339E">
        <w:rPr>
          <w:rFonts w:ascii="Times New Roman" w:hAnsi="Times New Roman" w:cs="Times New Roman"/>
        </w:rPr>
        <w:t>ibid.</w:t>
      </w:r>
      <w:proofErr w:type="gramEnd"/>
    </w:p>
  </w:footnote>
  <w:footnote w:id="76">
    <w:p w:rsidR="00E26614" w:rsidRDefault="00E26614" w:rsidP="00E26614">
      <w:pPr>
        <w:pStyle w:val="FootnoteText"/>
        <w:rPr>
          <w:rFonts w:ascii="Times New Roman" w:hAnsi="Times New Roman" w:cs="Times New Roman"/>
        </w:rPr>
      </w:pPr>
      <w:r w:rsidRPr="00B4339E">
        <w:rPr>
          <w:rStyle w:val="FootnoteReference"/>
          <w:rFonts w:ascii="Times New Roman" w:hAnsi="Times New Roman" w:cs="Times New Roman"/>
        </w:rPr>
        <w:footnoteRef/>
      </w:r>
      <w:r w:rsidRPr="00B4339E">
        <w:rPr>
          <w:rFonts w:ascii="Times New Roman" w:hAnsi="Times New Roman" w:cs="Times New Roman"/>
        </w:rPr>
        <w:t xml:space="preserve"> H Collins, ‘On the (in</w:t>
      </w:r>
      <w:proofErr w:type="gramStart"/>
      <w:r w:rsidRPr="00B4339E">
        <w:rPr>
          <w:rFonts w:ascii="Times New Roman" w:hAnsi="Times New Roman" w:cs="Times New Roman"/>
        </w:rPr>
        <w:t>)compatibility</w:t>
      </w:r>
      <w:proofErr w:type="gramEnd"/>
      <w:r w:rsidRPr="00B4339E">
        <w:rPr>
          <w:rFonts w:ascii="Times New Roman" w:hAnsi="Times New Roman" w:cs="Times New Roman"/>
        </w:rPr>
        <w:t xml:space="preserve"> of Human Rights Discourse and Private Law’ LSE Law Society and Economy Working Papers 7/2012.</w:t>
      </w:r>
    </w:p>
    <w:p w:rsidR="00520896" w:rsidRPr="00B4339E" w:rsidRDefault="00520896" w:rsidP="00520896">
      <w:pPr>
        <w:pStyle w:val="FootnoteText"/>
        <w:rPr>
          <w:rFonts w:ascii="Times New Roman" w:hAnsi="Times New Roman" w:cs="Times New Roman"/>
        </w:rPr>
      </w:pPr>
      <w:r>
        <w:rPr>
          <w:rFonts w:ascii="Times New Roman" w:hAnsi="Times New Roman" w:cs="Times New Roman"/>
        </w:rPr>
        <w:t>*Professor of Property Law, University of Southampton. The author is most grateful for the insights provided by her colleague Mark Jordan on an earlier draft of this case note</w:t>
      </w:r>
      <w:r w:rsidR="0095462D">
        <w:rPr>
          <w:rFonts w:ascii="Times New Roman" w:hAnsi="Times New Roman" w:cs="Times New Roman"/>
        </w:rPr>
        <w:t xml:space="preserve"> and the helpful comments of the reviewer</w:t>
      </w:r>
      <w:r>
        <w:rPr>
          <w:rFonts w:ascii="Times New Roman" w:hAnsi="Times New Roman"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87450"/>
    <w:multiLevelType w:val="hybridMultilevel"/>
    <w:tmpl w:val="231A10C4"/>
    <w:lvl w:ilvl="0" w:tplc="0D8AEBE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64250"/>
    <w:rsid w:val="00003F0C"/>
    <w:rsid w:val="00021FAC"/>
    <w:rsid w:val="000237FD"/>
    <w:rsid w:val="0002661C"/>
    <w:rsid w:val="000377F5"/>
    <w:rsid w:val="0004364B"/>
    <w:rsid w:val="00066744"/>
    <w:rsid w:val="0007502E"/>
    <w:rsid w:val="00085792"/>
    <w:rsid w:val="0009277F"/>
    <w:rsid w:val="000949A1"/>
    <w:rsid w:val="000967C1"/>
    <w:rsid w:val="000B71B2"/>
    <w:rsid w:val="000C58B6"/>
    <w:rsid w:val="000D14C4"/>
    <w:rsid w:val="000E3897"/>
    <w:rsid w:val="000F5735"/>
    <w:rsid w:val="000F795E"/>
    <w:rsid w:val="001029CC"/>
    <w:rsid w:val="00106825"/>
    <w:rsid w:val="00150303"/>
    <w:rsid w:val="00156625"/>
    <w:rsid w:val="0018706E"/>
    <w:rsid w:val="00193567"/>
    <w:rsid w:val="00193DE5"/>
    <w:rsid w:val="001B5EED"/>
    <w:rsid w:val="001D3168"/>
    <w:rsid w:val="001D4275"/>
    <w:rsid w:val="001E02DC"/>
    <w:rsid w:val="001F7EF3"/>
    <w:rsid w:val="00207DAE"/>
    <w:rsid w:val="00220571"/>
    <w:rsid w:val="002244FF"/>
    <w:rsid w:val="002268CD"/>
    <w:rsid w:val="0023514D"/>
    <w:rsid w:val="00252D50"/>
    <w:rsid w:val="002606C7"/>
    <w:rsid w:val="002816B8"/>
    <w:rsid w:val="0029377E"/>
    <w:rsid w:val="00295406"/>
    <w:rsid w:val="002A69AD"/>
    <w:rsid w:val="002C02B0"/>
    <w:rsid w:val="002C2533"/>
    <w:rsid w:val="002C4352"/>
    <w:rsid w:val="002D1990"/>
    <w:rsid w:val="002D7D0A"/>
    <w:rsid w:val="002F46D0"/>
    <w:rsid w:val="003122F2"/>
    <w:rsid w:val="00314232"/>
    <w:rsid w:val="003146EC"/>
    <w:rsid w:val="0031523C"/>
    <w:rsid w:val="0031549D"/>
    <w:rsid w:val="00321E83"/>
    <w:rsid w:val="00327A6D"/>
    <w:rsid w:val="003312C5"/>
    <w:rsid w:val="003408E6"/>
    <w:rsid w:val="00342583"/>
    <w:rsid w:val="003613B8"/>
    <w:rsid w:val="00362037"/>
    <w:rsid w:val="00364BA5"/>
    <w:rsid w:val="0036586E"/>
    <w:rsid w:val="00371738"/>
    <w:rsid w:val="00374EB6"/>
    <w:rsid w:val="00382C65"/>
    <w:rsid w:val="00396430"/>
    <w:rsid w:val="003C40A3"/>
    <w:rsid w:val="003F2627"/>
    <w:rsid w:val="003F72F9"/>
    <w:rsid w:val="00400F48"/>
    <w:rsid w:val="00404D37"/>
    <w:rsid w:val="004055B4"/>
    <w:rsid w:val="0043009B"/>
    <w:rsid w:val="004427C2"/>
    <w:rsid w:val="004511EB"/>
    <w:rsid w:val="00484E9D"/>
    <w:rsid w:val="004B19BC"/>
    <w:rsid w:val="004B5D84"/>
    <w:rsid w:val="004C0C19"/>
    <w:rsid w:val="004C6FB1"/>
    <w:rsid w:val="004D4B70"/>
    <w:rsid w:val="004D73A1"/>
    <w:rsid w:val="004E063E"/>
    <w:rsid w:val="004E1470"/>
    <w:rsid w:val="00503C81"/>
    <w:rsid w:val="00507B8E"/>
    <w:rsid w:val="005150A0"/>
    <w:rsid w:val="00520896"/>
    <w:rsid w:val="00541046"/>
    <w:rsid w:val="00544C37"/>
    <w:rsid w:val="00551287"/>
    <w:rsid w:val="00562016"/>
    <w:rsid w:val="00562C27"/>
    <w:rsid w:val="005717F6"/>
    <w:rsid w:val="00577885"/>
    <w:rsid w:val="00580E65"/>
    <w:rsid w:val="005823E3"/>
    <w:rsid w:val="00584435"/>
    <w:rsid w:val="00587F3C"/>
    <w:rsid w:val="00592F07"/>
    <w:rsid w:val="005A6730"/>
    <w:rsid w:val="005B38A6"/>
    <w:rsid w:val="005B728E"/>
    <w:rsid w:val="005C564E"/>
    <w:rsid w:val="005D006E"/>
    <w:rsid w:val="005D780D"/>
    <w:rsid w:val="005E15E0"/>
    <w:rsid w:val="005E5891"/>
    <w:rsid w:val="005F0CC3"/>
    <w:rsid w:val="005F0E7B"/>
    <w:rsid w:val="005F30B4"/>
    <w:rsid w:val="00611802"/>
    <w:rsid w:val="00647DB4"/>
    <w:rsid w:val="006532D9"/>
    <w:rsid w:val="00656B02"/>
    <w:rsid w:val="00671CB3"/>
    <w:rsid w:val="00675031"/>
    <w:rsid w:val="0068455B"/>
    <w:rsid w:val="00690C33"/>
    <w:rsid w:val="00691760"/>
    <w:rsid w:val="006B2B64"/>
    <w:rsid w:val="006E41CC"/>
    <w:rsid w:val="006E5280"/>
    <w:rsid w:val="006F382F"/>
    <w:rsid w:val="0070494F"/>
    <w:rsid w:val="00706BBD"/>
    <w:rsid w:val="00723106"/>
    <w:rsid w:val="00734ACE"/>
    <w:rsid w:val="00735B0E"/>
    <w:rsid w:val="00741E0C"/>
    <w:rsid w:val="00742376"/>
    <w:rsid w:val="0075594B"/>
    <w:rsid w:val="007578CA"/>
    <w:rsid w:val="00775662"/>
    <w:rsid w:val="0078075E"/>
    <w:rsid w:val="007926F7"/>
    <w:rsid w:val="007A313A"/>
    <w:rsid w:val="007A72DD"/>
    <w:rsid w:val="007C0F86"/>
    <w:rsid w:val="007C37C0"/>
    <w:rsid w:val="007D4E50"/>
    <w:rsid w:val="007E59BE"/>
    <w:rsid w:val="007F1115"/>
    <w:rsid w:val="00800526"/>
    <w:rsid w:val="00804EC7"/>
    <w:rsid w:val="008159EC"/>
    <w:rsid w:val="008265A6"/>
    <w:rsid w:val="00843D6A"/>
    <w:rsid w:val="008666D5"/>
    <w:rsid w:val="00872324"/>
    <w:rsid w:val="00890A5D"/>
    <w:rsid w:val="00897B46"/>
    <w:rsid w:val="008A3AC2"/>
    <w:rsid w:val="008A4B15"/>
    <w:rsid w:val="008A6542"/>
    <w:rsid w:val="008C4260"/>
    <w:rsid w:val="008C4FA1"/>
    <w:rsid w:val="008D4713"/>
    <w:rsid w:val="008D69AE"/>
    <w:rsid w:val="008D7921"/>
    <w:rsid w:val="008D7D2C"/>
    <w:rsid w:val="00911B4E"/>
    <w:rsid w:val="00920C50"/>
    <w:rsid w:val="00922850"/>
    <w:rsid w:val="00923E08"/>
    <w:rsid w:val="00931CC1"/>
    <w:rsid w:val="00932D53"/>
    <w:rsid w:val="009339EE"/>
    <w:rsid w:val="0093428E"/>
    <w:rsid w:val="009449DB"/>
    <w:rsid w:val="0095462D"/>
    <w:rsid w:val="009610E7"/>
    <w:rsid w:val="00971775"/>
    <w:rsid w:val="0097179B"/>
    <w:rsid w:val="00976ECF"/>
    <w:rsid w:val="0098058B"/>
    <w:rsid w:val="00982714"/>
    <w:rsid w:val="00991372"/>
    <w:rsid w:val="00995BC3"/>
    <w:rsid w:val="00995C39"/>
    <w:rsid w:val="00997D74"/>
    <w:rsid w:val="009C02CC"/>
    <w:rsid w:val="009C4E11"/>
    <w:rsid w:val="009C4E1E"/>
    <w:rsid w:val="009D3306"/>
    <w:rsid w:val="009D3866"/>
    <w:rsid w:val="009E61F0"/>
    <w:rsid w:val="00A05715"/>
    <w:rsid w:val="00A06DFB"/>
    <w:rsid w:val="00A160E5"/>
    <w:rsid w:val="00A35210"/>
    <w:rsid w:val="00A357D4"/>
    <w:rsid w:val="00A42327"/>
    <w:rsid w:val="00A451BD"/>
    <w:rsid w:val="00A53FC8"/>
    <w:rsid w:val="00A65B01"/>
    <w:rsid w:val="00A70EAF"/>
    <w:rsid w:val="00A7667D"/>
    <w:rsid w:val="00A84639"/>
    <w:rsid w:val="00A9013E"/>
    <w:rsid w:val="00A93F08"/>
    <w:rsid w:val="00AA5613"/>
    <w:rsid w:val="00AD11C3"/>
    <w:rsid w:val="00AD1F79"/>
    <w:rsid w:val="00AD6F1B"/>
    <w:rsid w:val="00AF4A2E"/>
    <w:rsid w:val="00AF5FDD"/>
    <w:rsid w:val="00AF62A8"/>
    <w:rsid w:val="00B01AA7"/>
    <w:rsid w:val="00B12380"/>
    <w:rsid w:val="00B22DAA"/>
    <w:rsid w:val="00B4339E"/>
    <w:rsid w:val="00B4724D"/>
    <w:rsid w:val="00B539A4"/>
    <w:rsid w:val="00B55DE6"/>
    <w:rsid w:val="00B61244"/>
    <w:rsid w:val="00B62119"/>
    <w:rsid w:val="00B70B10"/>
    <w:rsid w:val="00B74AC2"/>
    <w:rsid w:val="00B80F1F"/>
    <w:rsid w:val="00B86331"/>
    <w:rsid w:val="00B97D70"/>
    <w:rsid w:val="00BB126A"/>
    <w:rsid w:val="00BB22EA"/>
    <w:rsid w:val="00BB5741"/>
    <w:rsid w:val="00BB65E1"/>
    <w:rsid w:val="00BD1071"/>
    <w:rsid w:val="00BF793D"/>
    <w:rsid w:val="00C15325"/>
    <w:rsid w:val="00C20545"/>
    <w:rsid w:val="00C23FCB"/>
    <w:rsid w:val="00C46B96"/>
    <w:rsid w:val="00C548E8"/>
    <w:rsid w:val="00C64D72"/>
    <w:rsid w:val="00C67574"/>
    <w:rsid w:val="00C67AAF"/>
    <w:rsid w:val="00C74A87"/>
    <w:rsid w:val="00C94143"/>
    <w:rsid w:val="00CA366A"/>
    <w:rsid w:val="00CC19B8"/>
    <w:rsid w:val="00CC1A2D"/>
    <w:rsid w:val="00CC2279"/>
    <w:rsid w:val="00CD4C97"/>
    <w:rsid w:val="00CD6AAF"/>
    <w:rsid w:val="00CE725D"/>
    <w:rsid w:val="00D02939"/>
    <w:rsid w:val="00D11C62"/>
    <w:rsid w:val="00D12A9E"/>
    <w:rsid w:val="00D1569B"/>
    <w:rsid w:val="00D20D72"/>
    <w:rsid w:val="00D27805"/>
    <w:rsid w:val="00D3160D"/>
    <w:rsid w:val="00D46FAE"/>
    <w:rsid w:val="00D50099"/>
    <w:rsid w:val="00D6258E"/>
    <w:rsid w:val="00D63044"/>
    <w:rsid w:val="00D764AE"/>
    <w:rsid w:val="00D82AA1"/>
    <w:rsid w:val="00D83D84"/>
    <w:rsid w:val="00D91E5E"/>
    <w:rsid w:val="00DA04A0"/>
    <w:rsid w:val="00DA1A7D"/>
    <w:rsid w:val="00DA1C3C"/>
    <w:rsid w:val="00DF75BB"/>
    <w:rsid w:val="00E17F9D"/>
    <w:rsid w:val="00E25F23"/>
    <w:rsid w:val="00E26614"/>
    <w:rsid w:val="00E355F8"/>
    <w:rsid w:val="00E42732"/>
    <w:rsid w:val="00E434E7"/>
    <w:rsid w:val="00E43EAF"/>
    <w:rsid w:val="00E55507"/>
    <w:rsid w:val="00E64250"/>
    <w:rsid w:val="00E74208"/>
    <w:rsid w:val="00E76A58"/>
    <w:rsid w:val="00E85292"/>
    <w:rsid w:val="00E87699"/>
    <w:rsid w:val="00E92009"/>
    <w:rsid w:val="00E9534F"/>
    <w:rsid w:val="00ED3B71"/>
    <w:rsid w:val="00EE0542"/>
    <w:rsid w:val="00EE2D85"/>
    <w:rsid w:val="00EE769C"/>
    <w:rsid w:val="00EE7A03"/>
    <w:rsid w:val="00EF0697"/>
    <w:rsid w:val="00EF1C81"/>
    <w:rsid w:val="00EF2CB3"/>
    <w:rsid w:val="00F000B1"/>
    <w:rsid w:val="00F11196"/>
    <w:rsid w:val="00F11F7D"/>
    <w:rsid w:val="00F17654"/>
    <w:rsid w:val="00F243D4"/>
    <w:rsid w:val="00F26AB6"/>
    <w:rsid w:val="00F341C1"/>
    <w:rsid w:val="00F3483E"/>
    <w:rsid w:val="00F464EE"/>
    <w:rsid w:val="00F63D9E"/>
    <w:rsid w:val="00F65CB0"/>
    <w:rsid w:val="00F72DBF"/>
    <w:rsid w:val="00F73427"/>
    <w:rsid w:val="00F92313"/>
    <w:rsid w:val="00F937CB"/>
    <w:rsid w:val="00FC2D83"/>
    <w:rsid w:val="00FD196B"/>
    <w:rsid w:val="00FF67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32D9"/>
    <w:rPr>
      <w:sz w:val="16"/>
      <w:szCs w:val="16"/>
    </w:rPr>
  </w:style>
  <w:style w:type="paragraph" w:styleId="CommentText">
    <w:name w:val="annotation text"/>
    <w:basedOn w:val="Normal"/>
    <w:link w:val="CommentTextChar"/>
    <w:uiPriority w:val="99"/>
    <w:semiHidden/>
    <w:unhideWhenUsed/>
    <w:rsid w:val="006532D9"/>
    <w:pPr>
      <w:spacing w:line="240" w:lineRule="auto"/>
    </w:pPr>
    <w:rPr>
      <w:sz w:val="20"/>
      <w:szCs w:val="20"/>
    </w:rPr>
  </w:style>
  <w:style w:type="character" w:customStyle="1" w:styleId="CommentTextChar">
    <w:name w:val="Comment Text Char"/>
    <w:basedOn w:val="DefaultParagraphFont"/>
    <w:link w:val="CommentText"/>
    <w:uiPriority w:val="99"/>
    <w:semiHidden/>
    <w:rsid w:val="006532D9"/>
    <w:rPr>
      <w:sz w:val="20"/>
      <w:szCs w:val="20"/>
    </w:rPr>
  </w:style>
  <w:style w:type="paragraph" w:styleId="CommentSubject">
    <w:name w:val="annotation subject"/>
    <w:basedOn w:val="CommentText"/>
    <w:next w:val="CommentText"/>
    <w:link w:val="CommentSubjectChar"/>
    <w:uiPriority w:val="99"/>
    <w:semiHidden/>
    <w:unhideWhenUsed/>
    <w:rsid w:val="006532D9"/>
    <w:rPr>
      <w:b/>
      <w:bCs/>
    </w:rPr>
  </w:style>
  <w:style w:type="character" w:customStyle="1" w:styleId="CommentSubjectChar">
    <w:name w:val="Comment Subject Char"/>
    <w:basedOn w:val="CommentTextChar"/>
    <w:link w:val="CommentSubject"/>
    <w:uiPriority w:val="99"/>
    <w:semiHidden/>
    <w:rsid w:val="006532D9"/>
    <w:rPr>
      <w:b/>
      <w:bCs/>
    </w:rPr>
  </w:style>
  <w:style w:type="paragraph" w:styleId="BalloonText">
    <w:name w:val="Balloon Text"/>
    <w:basedOn w:val="Normal"/>
    <w:link w:val="BalloonTextChar"/>
    <w:uiPriority w:val="99"/>
    <w:semiHidden/>
    <w:unhideWhenUsed/>
    <w:rsid w:val="00653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2D9"/>
    <w:rPr>
      <w:rFonts w:ascii="Tahoma" w:hAnsi="Tahoma" w:cs="Tahoma"/>
      <w:sz w:val="16"/>
      <w:szCs w:val="16"/>
    </w:rPr>
  </w:style>
  <w:style w:type="paragraph" w:styleId="FootnoteText">
    <w:name w:val="footnote text"/>
    <w:basedOn w:val="Normal"/>
    <w:link w:val="FootnoteTextChar"/>
    <w:uiPriority w:val="99"/>
    <w:semiHidden/>
    <w:unhideWhenUsed/>
    <w:rsid w:val="00647D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DB4"/>
    <w:rPr>
      <w:sz w:val="20"/>
      <w:szCs w:val="20"/>
    </w:rPr>
  </w:style>
  <w:style w:type="character" w:styleId="FootnoteReference">
    <w:name w:val="footnote reference"/>
    <w:basedOn w:val="DefaultParagraphFont"/>
    <w:uiPriority w:val="99"/>
    <w:semiHidden/>
    <w:unhideWhenUsed/>
    <w:rsid w:val="00647DB4"/>
    <w:rPr>
      <w:vertAlign w:val="superscript"/>
    </w:rPr>
  </w:style>
  <w:style w:type="character" w:customStyle="1" w:styleId="searchterm1">
    <w:name w:val="searchterm1"/>
    <w:basedOn w:val="DefaultParagraphFont"/>
    <w:rsid w:val="005A6730"/>
    <w:rPr>
      <w:b/>
      <w:bCs/>
      <w:shd w:val="clear" w:color="auto" w:fill="FFFF00"/>
    </w:rPr>
  </w:style>
  <w:style w:type="paragraph" w:customStyle="1" w:styleId="center3">
    <w:name w:val="center3"/>
    <w:basedOn w:val="Normal"/>
    <w:rsid w:val="001F7EF3"/>
    <w:pPr>
      <w:spacing w:after="0" w:line="240" w:lineRule="auto"/>
      <w:jc w:val="center"/>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5128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66232887">
      <w:bodyDiv w:val="1"/>
      <w:marLeft w:val="375"/>
      <w:marRight w:val="375"/>
      <w:marTop w:val="75"/>
      <w:marBottom w:val="75"/>
      <w:divBdr>
        <w:top w:val="none" w:sz="0" w:space="0" w:color="auto"/>
        <w:left w:val="none" w:sz="0" w:space="0" w:color="auto"/>
        <w:bottom w:val="none" w:sz="0" w:space="0" w:color="auto"/>
        <w:right w:val="none" w:sz="0" w:space="0" w:color="auto"/>
      </w:divBdr>
      <w:divsChild>
        <w:div w:id="1546944102">
          <w:marLeft w:val="0"/>
          <w:marRight w:val="0"/>
          <w:marTop w:val="0"/>
          <w:marBottom w:val="0"/>
          <w:divBdr>
            <w:top w:val="none" w:sz="0" w:space="0" w:color="auto"/>
            <w:left w:val="none" w:sz="0" w:space="0" w:color="auto"/>
            <w:bottom w:val="none" w:sz="0" w:space="0" w:color="auto"/>
            <w:right w:val="none" w:sz="0" w:space="0" w:color="auto"/>
          </w:divBdr>
          <w:divsChild>
            <w:div w:id="550456695">
              <w:marLeft w:val="0"/>
              <w:marRight w:val="0"/>
              <w:marTop w:val="0"/>
              <w:marBottom w:val="0"/>
              <w:divBdr>
                <w:top w:val="none" w:sz="0" w:space="0" w:color="auto"/>
                <w:left w:val="none" w:sz="0" w:space="0" w:color="auto"/>
                <w:bottom w:val="none" w:sz="0" w:space="0" w:color="auto"/>
                <w:right w:val="none" w:sz="0" w:space="0" w:color="auto"/>
              </w:divBdr>
              <w:divsChild>
                <w:div w:id="6812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abour.org.uk/manifesto/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F8AE-4BAE-4546-85EC-47B1046E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11</Pages>
  <Words>4998</Words>
  <Characters>25994</Characters>
  <Application>Microsoft Office Word</Application>
  <DocSecurity>0</DocSecurity>
  <Lines>426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40</cp:revision>
  <dcterms:created xsi:type="dcterms:W3CDTF">2016-08-02T21:33:00Z</dcterms:created>
  <dcterms:modified xsi:type="dcterms:W3CDTF">2016-10-28T16:30:00Z</dcterms:modified>
</cp:coreProperties>
</file>