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5917" w14:textId="77777777" w:rsidR="00AA6CC2" w:rsidRDefault="00E57DED" w:rsidP="001F08EF">
      <w:pPr>
        <w:spacing w:line="360" w:lineRule="auto"/>
        <w:jc w:val="center"/>
        <w:rPr>
          <w:rFonts w:ascii="Times New Roman" w:hAnsi="Times New Roman" w:cs="Times New Roman"/>
          <w:b/>
          <w:sz w:val="22"/>
          <w:szCs w:val="22"/>
          <w:u w:val="single"/>
        </w:rPr>
      </w:pPr>
      <w:r>
        <w:rPr>
          <w:rFonts w:ascii="Times New Roman" w:hAnsi="Times New Roman" w:cs="Times New Roman"/>
          <w:b/>
          <w:sz w:val="22"/>
          <w:szCs w:val="22"/>
          <w:u w:val="single"/>
        </w:rPr>
        <w:t>The economic crisis and the rule of law in Europe: A hidden face for the rule of law</w:t>
      </w:r>
      <w:r w:rsidR="00EF31F8">
        <w:rPr>
          <w:rFonts w:ascii="Times New Roman" w:hAnsi="Times New Roman" w:cs="Times New Roman"/>
          <w:b/>
          <w:sz w:val="22"/>
          <w:szCs w:val="22"/>
          <w:u w:val="single"/>
        </w:rPr>
        <w:t xml:space="preserve">? </w:t>
      </w:r>
    </w:p>
    <w:p w14:paraId="123B985B" w14:textId="5C4A7043" w:rsidR="001F08EF" w:rsidRPr="001F08EF" w:rsidRDefault="00DA65DE" w:rsidP="001F08EF">
      <w:pPr>
        <w:spacing w:line="360" w:lineRule="auto"/>
        <w:rPr>
          <w:rFonts w:ascii="Times New Roman" w:hAnsi="Times New Roman" w:cs="Times New Roman"/>
          <w:b/>
          <w:sz w:val="22"/>
          <w:szCs w:val="22"/>
        </w:rPr>
      </w:pPr>
      <w:r>
        <w:rPr>
          <w:rFonts w:ascii="Times New Roman" w:hAnsi="Times New Roman" w:cs="Times New Roman"/>
          <w:b/>
          <w:sz w:val="22"/>
          <w:szCs w:val="22"/>
        </w:rPr>
        <w:t>Key words: Constitutional t</w:t>
      </w:r>
      <w:r w:rsidR="001F08EF">
        <w:rPr>
          <w:rFonts w:ascii="Times New Roman" w:hAnsi="Times New Roman" w:cs="Times New Roman"/>
          <w:b/>
          <w:sz w:val="22"/>
          <w:szCs w:val="22"/>
        </w:rPr>
        <w:t xml:space="preserve">heory, rule of law, constituent power, </w:t>
      </w:r>
      <w:r>
        <w:rPr>
          <w:rFonts w:ascii="Times New Roman" w:hAnsi="Times New Roman" w:cs="Times New Roman"/>
          <w:b/>
          <w:sz w:val="22"/>
          <w:szCs w:val="22"/>
        </w:rPr>
        <w:t xml:space="preserve">Eurozone </w:t>
      </w:r>
      <w:r w:rsidR="001F08EF">
        <w:rPr>
          <w:rFonts w:ascii="Times New Roman" w:hAnsi="Times New Roman" w:cs="Times New Roman"/>
          <w:b/>
          <w:sz w:val="22"/>
          <w:szCs w:val="22"/>
        </w:rPr>
        <w:t>crisis, solidarity</w:t>
      </w:r>
    </w:p>
    <w:p w14:paraId="74EB96F2" w14:textId="53A38FCA" w:rsidR="0053110C" w:rsidRPr="002C63B4" w:rsidRDefault="00E80680" w:rsidP="002C63B4">
      <w:pPr>
        <w:spacing w:line="360" w:lineRule="auto"/>
        <w:rPr>
          <w:rFonts w:ascii="Times New Roman" w:hAnsi="Times New Roman" w:cs="Times New Roman"/>
          <w:b/>
          <w:sz w:val="22"/>
          <w:szCs w:val="22"/>
        </w:rPr>
      </w:pPr>
      <w:r>
        <w:rPr>
          <w:rFonts w:ascii="Times New Roman" w:hAnsi="Times New Roman" w:cs="Times New Roman"/>
          <w:b/>
          <w:sz w:val="22"/>
          <w:szCs w:val="22"/>
        </w:rPr>
        <w:t>Abstract</w:t>
      </w:r>
      <w:bookmarkStart w:id="0" w:name="_GoBack"/>
      <w:bookmarkEnd w:id="0"/>
    </w:p>
    <w:p w14:paraId="16813809" w14:textId="25C0EA5C" w:rsidR="00F84782" w:rsidRDefault="00F758E7" w:rsidP="00E57DED">
      <w:pPr>
        <w:spacing w:line="360" w:lineRule="auto"/>
        <w:jc w:val="both"/>
        <w:rPr>
          <w:rFonts w:ascii="Times New Roman" w:hAnsi="Times New Roman" w:cs="Times New Roman"/>
          <w:sz w:val="22"/>
          <w:szCs w:val="22"/>
        </w:rPr>
      </w:pPr>
      <w:r>
        <w:rPr>
          <w:rFonts w:ascii="Times New Roman" w:hAnsi="Times New Roman" w:cs="Times New Roman"/>
          <w:sz w:val="22"/>
          <w:szCs w:val="22"/>
        </w:rPr>
        <w:t>As a criti</w:t>
      </w:r>
      <w:r w:rsidR="0095370C">
        <w:rPr>
          <w:rFonts w:ascii="Times New Roman" w:hAnsi="Times New Roman" w:cs="Times New Roman"/>
          <w:sz w:val="22"/>
          <w:szCs w:val="22"/>
        </w:rPr>
        <w:t>cal lens to assess</w:t>
      </w:r>
      <w:r>
        <w:rPr>
          <w:rFonts w:ascii="Times New Roman" w:hAnsi="Times New Roman" w:cs="Times New Roman"/>
          <w:sz w:val="22"/>
          <w:szCs w:val="22"/>
        </w:rPr>
        <w:t xml:space="preserve"> the rule of law the article confronts the often used term</w:t>
      </w:r>
      <w:r w:rsidR="0095370C">
        <w:rPr>
          <w:rFonts w:ascii="Times New Roman" w:hAnsi="Times New Roman" w:cs="Times New Roman"/>
          <w:sz w:val="22"/>
          <w:szCs w:val="22"/>
        </w:rPr>
        <w:t xml:space="preserve"> of criticism</w:t>
      </w:r>
      <w:r>
        <w:rPr>
          <w:rFonts w:ascii="Times New Roman" w:hAnsi="Times New Roman" w:cs="Times New Roman"/>
          <w:sz w:val="22"/>
          <w:szCs w:val="22"/>
        </w:rPr>
        <w:t xml:space="preserve"> levelled at it: </w:t>
      </w:r>
      <w:r w:rsidR="002A1A2D">
        <w:rPr>
          <w:rFonts w:ascii="Times New Roman" w:hAnsi="Times New Roman" w:cs="Times New Roman"/>
          <w:sz w:val="22"/>
          <w:szCs w:val="22"/>
        </w:rPr>
        <w:t>that it is inherently elusive or uncertai</w:t>
      </w:r>
      <w:r w:rsidR="009069C5">
        <w:rPr>
          <w:rFonts w:ascii="Times New Roman" w:hAnsi="Times New Roman" w:cs="Times New Roman"/>
          <w:sz w:val="22"/>
          <w:szCs w:val="22"/>
        </w:rPr>
        <w:t>n</w:t>
      </w:r>
      <w:r w:rsidR="002A1A2D">
        <w:rPr>
          <w:rFonts w:ascii="Times New Roman" w:hAnsi="Times New Roman" w:cs="Times New Roman"/>
          <w:sz w:val="22"/>
          <w:szCs w:val="22"/>
        </w:rPr>
        <w:t>. Taking this as a starting point the article considers whether there is something productive in this apparent uncertainty which renders this challenge both misleading and also</w:t>
      </w:r>
      <w:r w:rsidR="00E57DED">
        <w:rPr>
          <w:rFonts w:ascii="Times New Roman" w:hAnsi="Times New Roman" w:cs="Times New Roman"/>
          <w:sz w:val="22"/>
          <w:szCs w:val="22"/>
        </w:rPr>
        <w:t xml:space="preserve"> apt to neglect key aspects</w:t>
      </w:r>
      <w:r w:rsidR="002A1A2D">
        <w:rPr>
          <w:rFonts w:ascii="Times New Roman" w:hAnsi="Times New Roman" w:cs="Times New Roman"/>
          <w:sz w:val="22"/>
          <w:szCs w:val="22"/>
        </w:rPr>
        <w:t xml:space="preserve"> </w:t>
      </w:r>
      <w:r w:rsidR="00141AA9">
        <w:rPr>
          <w:rFonts w:ascii="Times New Roman" w:hAnsi="Times New Roman" w:cs="Times New Roman"/>
          <w:sz w:val="22"/>
          <w:szCs w:val="22"/>
        </w:rPr>
        <w:t>of the concept in favour of</w:t>
      </w:r>
      <w:r w:rsidR="0095370C">
        <w:rPr>
          <w:rFonts w:ascii="Times New Roman" w:hAnsi="Times New Roman" w:cs="Times New Roman"/>
          <w:sz w:val="22"/>
          <w:szCs w:val="22"/>
        </w:rPr>
        <w:t xml:space="preserve"> adopting a version of rule of law based on</w:t>
      </w:r>
      <w:r w:rsidR="00141AA9">
        <w:rPr>
          <w:rFonts w:ascii="Times New Roman" w:hAnsi="Times New Roman" w:cs="Times New Roman"/>
          <w:sz w:val="22"/>
          <w:szCs w:val="22"/>
        </w:rPr>
        <w:t xml:space="preserve"> predictability. The article</w:t>
      </w:r>
      <w:r w:rsidR="00C173D0">
        <w:rPr>
          <w:rFonts w:ascii="Times New Roman" w:hAnsi="Times New Roman" w:cs="Times New Roman"/>
          <w:sz w:val="22"/>
          <w:szCs w:val="22"/>
        </w:rPr>
        <w:t xml:space="preserve"> develops an account of </w:t>
      </w:r>
      <w:r w:rsidR="0095370C">
        <w:rPr>
          <w:rFonts w:ascii="Times New Roman" w:hAnsi="Times New Roman" w:cs="Times New Roman"/>
          <w:sz w:val="22"/>
          <w:szCs w:val="22"/>
        </w:rPr>
        <w:t>what can be termed ‘</w:t>
      </w:r>
      <w:r w:rsidR="00C173D0">
        <w:rPr>
          <w:rFonts w:ascii="Times New Roman" w:hAnsi="Times New Roman" w:cs="Times New Roman"/>
          <w:sz w:val="22"/>
          <w:szCs w:val="22"/>
        </w:rPr>
        <w:t>the constitutive</w:t>
      </w:r>
      <w:r w:rsidR="0095370C">
        <w:rPr>
          <w:rFonts w:ascii="Times New Roman" w:hAnsi="Times New Roman" w:cs="Times New Roman"/>
          <w:sz w:val="22"/>
          <w:szCs w:val="22"/>
        </w:rPr>
        <w:t>’</w:t>
      </w:r>
      <w:r w:rsidR="00C173D0">
        <w:rPr>
          <w:rFonts w:ascii="Times New Roman" w:hAnsi="Times New Roman" w:cs="Times New Roman"/>
          <w:sz w:val="22"/>
          <w:szCs w:val="22"/>
        </w:rPr>
        <w:t xml:space="preserve"> dimension of the rule of law which it is argued</w:t>
      </w:r>
      <w:r w:rsidR="0095370C">
        <w:rPr>
          <w:rFonts w:ascii="Times New Roman" w:hAnsi="Times New Roman" w:cs="Times New Roman"/>
          <w:sz w:val="22"/>
          <w:szCs w:val="22"/>
        </w:rPr>
        <w:t xml:space="preserve"> here has been neglected due to an emphasis on predictability and a</w:t>
      </w:r>
      <w:r w:rsidR="00A15C44">
        <w:rPr>
          <w:rFonts w:ascii="Times New Roman" w:hAnsi="Times New Roman" w:cs="Times New Roman"/>
          <w:sz w:val="22"/>
          <w:szCs w:val="22"/>
        </w:rPr>
        <w:t>lso</w:t>
      </w:r>
      <w:r w:rsidR="00C173D0">
        <w:rPr>
          <w:rFonts w:ascii="Times New Roman" w:hAnsi="Times New Roman" w:cs="Times New Roman"/>
          <w:sz w:val="22"/>
          <w:szCs w:val="22"/>
        </w:rPr>
        <w:t xml:space="preserve"> </w:t>
      </w:r>
      <w:r w:rsidR="0095370C">
        <w:rPr>
          <w:rFonts w:ascii="Times New Roman" w:hAnsi="Times New Roman" w:cs="Times New Roman"/>
          <w:sz w:val="22"/>
          <w:szCs w:val="22"/>
        </w:rPr>
        <w:t>‘</w:t>
      </w:r>
      <w:r w:rsidR="00860757">
        <w:rPr>
          <w:rFonts w:ascii="Times New Roman" w:hAnsi="Times New Roman" w:cs="Times New Roman"/>
          <w:sz w:val="22"/>
          <w:szCs w:val="22"/>
        </w:rPr>
        <w:t>regulatory</w:t>
      </w:r>
      <w:r w:rsidR="0095370C">
        <w:rPr>
          <w:rFonts w:ascii="Times New Roman" w:hAnsi="Times New Roman" w:cs="Times New Roman"/>
          <w:sz w:val="22"/>
          <w:szCs w:val="22"/>
        </w:rPr>
        <w:t>’ dimension which concentrates</w:t>
      </w:r>
      <w:r w:rsidR="00860757">
        <w:rPr>
          <w:rFonts w:ascii="Times New Roman" w:hAnsi="Times New Roman" w:cs="Times New Roman"/>
          <w:sz w:val="22"/>
          <w:szCs w:val="22"/>
        </w:rPr>
        <w:t xml:space="preserve"> on</w:t>
      </w:r>
      <w:r w:rsidR="0095370C">
        <w:rPr>
          <w:rFonts w:ascii="Times New Roman" w:hAnsi="Times New Roman" w:cs="Times New Roman"/>
          <w:sz w:val="22"/>
          <w:szCs w:val="22"/>
        </w:rPr>
        <w:t xml:space="preserve"> the rule of law as</w:t>
      </w:r>
      <w:r w:rsidR="00860757">
        <w:rPr>
          <w:rFonts w:ascii="Times New Roman" w:hAnsi="Times New Roman" w:cs="Times New Roman"/>
          <w:sz w:val="22"/>
          <w:szCs w:val="22"/>
        </w:rPr>
        <w:t xml:space="preserve"> the control or restraint of political power. </w:t>
      </w:r>
      <w:r w:rsidR="008C3FC0">
        <w:rPr>
          <w:rFonts w:ascii="Times New Roman" w:hAnsi="Times New Roman" w:cs="Times New Roman"/>
          <w:sz w:val="22"/>
          <w:szCs w:val="22"/>
        </w:rPr>
        <w:t>T</w:t>
      </w:r>
      <w:r w:rsidR="00E275C6">
        <w:rPr>
          <w:rFonts w:ascii="Times New Roman" w:hAnsi="Times New Roman" w:cs="Times New Roman"/>
          <w:sz w:val="22"/>
          <w:szCs w:val="22"/>
        </w:rPr>
        <w:t xml:space="preserve">he constitutive dimension of the rule of law </w:t>
      </w:r>
      <w:r w:rsidR="00D1092C">
        <w:rPr>
          <w:rFonts w:ascii="Times New Roman" w:hAnsi="Times New Roman" w:cs="Times New Roman"/>
          <w:sz w:val="22"/>
          <w:szCs w:val="22"/>
        </w:rPr>
        <w:t xml:space="preserve">explores </w:t>
      </w:r>
      <w:r w:rsidR="008C3FC0">
        <w:rPr>
          <w:rFonts w:ascii="Times New Roman" w:hAnsi="Times New Roman" w:cs="Times New Roman"/>
          <w:sz w:val="22"/>
          <w:szCs w:val="22"/>
        </w:rPr>
        <w:t xml:space="preserve">the meaning of the foundational moment of the constitutional community and the language </w:t>
      </w:r>
      <w:r w:rsidR="00D1092C">
        <w:rPr>
          <w:rFonts w:ascii="Times New Roman" w:hAnsi="Times New Roman" w:cs="Times New Roman"/>
          <w:sz w:val="22"/>
          <w:szCs w:val="22"/>
        </w:rPr>
        <w:t xml:space="preserve">used to express this as a basis for solidarity and as a point of orientation during points of considerable change or crisis. </w:t>
      </w:r>
      <w:r w:rsidR="0095370C">
        <w:rPr>
          <w:rFonts w:ascii="Times New Roman" w:hAnsi="Times New Roman" w:cs="Times New Roman"/>
          <w:sz w:val="22"/>
          <w:szCs w:val="22"/>
        </w:rPr>
        <w:t xml:space="preserve">In this regard the article establishes that there is an important theoretical relationship between the rule of law and ideas about the constituent power which require development and further reflection. </w:t>
      </w:r>
    </w:p>
    <w:p w14:paraId="764F79A6" w14:textId="4CB672D8" w:rsidR="003D79FB" w:rsidRPr="00F758E7" w:rsidRDefault="00E80680" w:rsidP="00E57DED">
      <w:pPr>
        <w:spacing w:line="360" w:lineRule="auto"/>
        <w:jc w:val="both"/>
        <w:rPr>
          <w:rFonts w:ascii="Times New Roman" w:hAnsi="Times New Roman" w:cs="Times New Roman"/>
          <w:sz w:val="22"/>
          <w:szCs w:val="22"/>
        </w:rPr>
      </w:pPr>
      <w:r>
        <w:rPr>
          <w:rFonts w:ascii="Times New Roman" w:hAnsi="Times New Roman" w:cs="Times New Roman"/>
          <w:sz w:val="22"/>
          <w:szCs w:val="22"/>
        </w:rPr>
        <w:t>The second part of the article, i</w:t>
      </w:r>
      <w:r w:rsidR="006610F8">
        <w:rPr>
          <w:rFonts w:ascii="Times New Roman" w:hAnsi="Times New Roman" w:cs="Times New Roman"/>
          <w:sz w:val="22"/>
          <w:szCs w:val="22"/>
        </w:rPr>
        <w:t>n section 3 and 4</w:t>
      </w:r>
      <w:r>
        <w:rPr>
          <w:rFonts w:ascii="Times New Roman" w:hAnsi="Times New Roman" w:cs="Times New Roman"/>
          <w:sz w:val="22"/>
          <w:szCs w:val="22"/>
        </w:rPr>
        <w:t>,</w:t>
      </w:r>
      <w:r w:rsidR="003D79FB">
        <w:rPr>
          <w:rFonts w:ascii="Times New Roman" w:hAnsi="Times New Roman" w:cs="Times New Roman"/>
          <w:sz w:val="22"/>
          <w:szCs w:val="22"/>
        </w:rPr>
        <w:t xml:space="preserve"> takes the theoretical investigation of the constitutive dimension to the rule of law and considers how this concept </w:t>
      </w:r>
      <w:r w:rsidR="006610F8">
        <w:rPr>
          <w:rFonts w:ascii="Times New Roman" w:hAnsi="Times New Roman" w:cs="Times New Roman"/>
          <w:sz w:val="22"/>
          <w:szCs w:val="22"/>
        </w:rPr>
        <w:t>can provide a ba</w:t>
      </w:r>
      <w:r w:rsidR="0095370C">
        <w:rPr>
          <w:rFonts w:ascii="Times New Roman" w:hAnsi="Times New Roman" w:cs="Times New Roman"/>
          <w:sz w:val="22"/>
          <w:szCs w:val="22"/>
        </w:rPr>
        <w:t>sis for</w:t>
      </w:r>
      <w:r w:rsidR="00DE74DA">
        <w:rPr>
          <w:rFonts w:ascii="Times New Roman" w:hAnsi="Times New Roman" w:cs="Times New Roman"/>
          <w:sz w:val="22"/>
          <w:szCs w:val="22"/>
        </w:rPr>
        <w:t xml:space="preserve"> critical reflection regarding</w:t>
      </w:r>
      <w:r w:rsidR="006610F8">
        <w:rPr>
          <w:rFonts w:ascii="Times New Roman" w:hAnsi="Times New Roman" w:cs="Times New Roman"/>
          <w:sz w:val="22"/>
          <w:szCs w:val="22"/>
        </w:rPr>
        <w:t xml:space="preserve"> the economic crisis of the EU.</w:t>
      </w:r>
      <w:r w:rsidR="00983F44">
        <w:rPr>
          <w:rFonts w:ascii="Times New Roman" w:hAnsi="Times New Roman" w:cs="Times New Roman"/>
          <w:sz w:val="22"/>
          <w:szCs w:val="22"/>
        </w:rPr>
        <w:t xml:space="preserve"> </w:t>
      </w:r>
      <w:r w:rsidR="00983F44" w:rsidRPr="00983F44">
        <w:rPr>
          <w:rFonts w:ascii="Times New Roman" w:hAnsi="Times New Roman" w:cs="Times New Roman"/>
          <w:sz w:val="22"/>
          <w:szCs w:val="22"/>
          <w:highlight w:val="yellow"/>
        </w:rPr>
        <w:t xml:space="preserve">The </w:t>
      </w:r>
      <w:r w:rsidR="0092376C">
        <w:rPr>
          <w:rFonts w:ascii="Times New Roman" w:hAnsi="Times New Roman" w:cs="Times New Roman"/>
          <w:sz w:val="22"/>
          <w:szCs w:val="22"/>
          <w:highlight w:val="yellow"/>
        </w:rPr>
        <w:t xml:space="preserve">focus on the economic crisis in the EU </w:t>
      </w:r>
      <w:r w:rsidR="00983F44" w:rsidRPr="00983F44">
        <w:rPr>
          <w:rFonts w:ascii="Times New Roman" w:hAnsi="Times New Roman" w:cs="Times New Roman"/>
          <w:sz w:val="22"/>
          <w:szCs w:val="22"/>
          <w:highlight w:val="yellow"/>
        </w:rPr>
        <w:t>is two-fold: in the first instance the economic crisis is a moment of stress on the political and legal understanding of the EU and show</w:t>
      </w:r>
      <w:r w:rsidR="0092376C">
        <w:rPr>
          <w:rFonts w:ascii="Times New Roman" w:hAnsi="Times New Roman" w:cs="Times New Roman"/>
          <w:sz w:val="22"/>
          <w:szCs w:val="22"/>
          <w:highlight w:val="yellow"/>
        </w:rPr>
        <w:t>s</w:t>
      </w:r>
      <w:r w:rsidR="00983F44" w:rsidRPr="00983F44">
        <w:rPr>
          <w:rFonts w:ascii="Times New Roman" w:hAnsi="Times New Roman" w:cs="Times New Roman"/>
          <w:sz w:val="22"/>
          <w:szCs w:val="22"/>
          <w:highlight w:val="yellow"/>
        </w:rPr>
        <w:t xml:space="preserve"> up the</w:t>
      </w:r>
      <w:r w:rsidR="0092376C">
        <w:rPr>
          <w:rFonts w:ascii="Times New Roman" w:hAnsi="Times New Roman" w:cs="Times New Roman"/>
          <w:sz w:val="22"/>
          <w:szCs w:val="22"/>
        </w:rPr>
        <w:t xml:space="preserve"> </w:t>
      </w:r>
      <w:r w:rsidR="0092376C" w:rsidRPr="0092376C">
        <w:rPr>
          <w:rFonts w:ascii="Times New Roman" w:hAnsi="Times New Roman" w:cs="Times New Roman"/>
          <w:sz w:val="22"/>
          <w:szCs w:val="22"/>
          <w:highlight w:val="yellow"/>
        </w:rPr>
        <w:t>complexity of the commitment to the rule of law in this context</w:t>
      </w:r>
      <w:r w:rsidR="0092376C" w:rsidRPr="00706D8D">
        <w:rPr>
          <w:rFonts w:ascii="Times New Roman" w:hAnsi="Times New Roman" w:cs="Times New Roman"/>
          <w:sz w:val="22"/>
          <w:szCs w:val="22"/>
          <w:highlight w:val="yellow"/>
        </w:rPr>
        <w:t>. Secondly, given the aspect of the EU as a ‘polity’ under construction</w:t>
      </w:r>
      <w:r w:rsidR="003D1D9A">
        <w:rPr>
          <w:rFonts w:ascii="Times New Roman" w:hAnsi="Times New Roman" w:cs="Times New Roman"/>
          <w:sz w:val="22"/>
          <w:szCs w:val="22"/>
          <w:highlight w:val="yellow"/>
        </w:rPr>
        <w:t xml:space="preserve"> (Shaw, 2005)</w:t>
      </w:r>
      <w:r w:rsidR="00706D8D">
        <w:rPr>
          <w:rFonts w:ascii="Times New Roman" w:hAnsi="Times New Roman" w:cs="Times New Roman"/>
          <w:sz w:val="22"/>
          <w:szCs w:val="22"/>
          <w:highlight w:val="yellow"/>
        </w:rPr>
        <w:t xml:space="preserve"> the economic crisis and its response underscores the problematic aspect of the constituent power in the EU.</w:t>
      </w:r>
      <w:r w:rsidR="0092376C">
        <w:rPr>
          <w:rFonts w:ascii="Times New Roman" w:hAnsi="Times New Roman" w:cs="Times New Roman"/>
          <w:sz w:val="22"/>
          <w:szCs w:val="22"/>
        </w:rPr>
        <w:t xml:space="preserve"> </w:t>
      </w:r>
      <w:r w:rsidR="006610F8">
        <w:rPr>
          <w:rFonts w:ascii="Times New Roman" w:hAnsi="Times New Roman" w:cs="Times New Roman"/>
          <w:sz w:val="22"/>
          <w:szCs w:val="22"/>
        </w:rPr>
        <w:t xml:space="preserve"> </w:t>
      </w:r>
      <w:r w:rsidR="00706D8D">
        <w:rPr>
          <w:rFonts w:ascii="Times New Roman" w:hAnsi="Times New Roman" w:cs="Times New Roman"/>
          <w:sz w:val="22"/>
          <w:szCs w:val="22"/>
        </w:rPr>
        <w:t>The article primarily focuses on</w:t>
      </w:r>
      <w:r w:rsidR="006610F8">
        <w:rPr>
          <w:rFonts w:ascii="Times New Roman" w:hAnsi="Times New Roman" w:cs="Times New Roman"/>
          <w:sz w:val="22"/>
          <w:szCs w:val="22"/>
        </w:rPr>
        <w:t xml:space="preserve"> the contributions made by </w:t>
      </w:r>
      <w:proofErr w:type="spellStart"/>
      <w:r w:rsidR="006610F8">
        <w:rPr>
          <w:rFonts w:ascii="Times New Roman" w:hAnsi="Times New Roman" w:cs="Times New Roman"/>
          <w:sz w:val="22"/>
          <w:szCs w:val="22"/>
        </w:rPr>
        <w:t>Jurgen</w:t>
      </w:r>
      <w:proofErr w:type="spellEnd"/>
      <w:r w:rsidR="006610F8">
        <w:rPr>
          <w:rFonts w:ascii="Times New Roman" w:hAnsi="Times New Roman" w:cs="Times New Roman"/>
          <w:sz w:val="22"/>
          <w:szCs w:val="22"/>
        </w:rPr>
        <w:t xml:space="preserve"> </w:t>
      </w:r>
      <w:proofErr w:type="spellStart"/>
      <w:r w:rsidR="006610F8">
        <w:rPr>
          <w:rFonts w:ascii="Times New Roman" w:hAnsi="Times New Roman" w:cs="Times New Roman"/>
          <w:sz w:val="22"/>
          <w:szCs w:val="22"/>
        </w:rPr>
        <w:t>Habermas</w:t>
      </w:r>
      <w:proofErr w:type="spellEnd"/>
      <w:r w:rsidR="006610F8">
        <w:rPr>
          <w:rFonts w:ascii="Times New Roman" w:hAnsi="Times New Roman" w:cs="Times New Roman"/>
          <w:sz w:val="22"/>
          <w:szCs w:val="22"/>
        </w:rPr>
        <w:t xml:space="preserve"> in respect of the crisis and its response</w:t>
      </w:r>
      <w:r w:rsidR="00706D8D">
        <w:rPr>
          <w:rFonts w:ascii="Times New Roman" w:hAnsi="Times New Roman" w:cs="Times New Roman"/>
          <w:sz w:val="22"/>
          <w:szCs w:val="22"/>
        </w:rPr>
        <w:t xml:space="preserve"> in terms of the </w:t>
      </w:r>
      <w:proofErr w:type="spellStart"/>
      <w:r w:rsidR="00706D8D">
        <w:rPr>
          <w:rFonts w:ascii="Times New Roman" w:hAnsi="Times New Roman" w:cs="Times New Roman"/>
          <w:sz w:val="22"/>
          <w:szCs w:val="22"/>
        </w:rPr>
        <w:t>rile</w:t>
      </w:r>
      <w:proofErr w:type="spellEnd"/>
      <w:r w:rsidR="00706D8D">
        <w:rPr>
          <w:rFonts w:ascii="Times New Roman" w:hAnsi="Times New Roman" w:cs="Times New Roman"/>
          <w:sz w:val="22"/>
          <w:szCs w:val="22"/>
        </w:rPr>
        <w:t xml:space="preserve"> of law</w:t>
      </w:r>
      <w:r w:rsidR="006610F8">
        <w:rPr>
          <w:rFonts w:ascii="Times New Roman" w:hAnsi="Times New Roman" w:cs="Times New Roman"/>
          <w:sz w:val="22"/>
          <w:szCs w:val="22"/>
        </w:rPr>
        <w:t xml:space="preserve">. </w:t>
      </w: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argues for a reciprocal understanding of political solidarity and justice </w:t>
      </w:r>
      <w:r w:rsidR="00DE74DA">
        <w:rPr>
          <w:rFonts w:ascii="Times New Roman" w:hAnsi="Times New Roman" w:cs="Times New Roman"/>
          <w:sz w:val="22"/>
          <w:szCs w:val="22"/>
        </w:rPr>
        <w:t xml:space="preserve">to be made part of the solution and response to the EU economic crisis and a rejection of the executive federalism dominated approach which is characterised by a technocratic approach to political question. </w:t>
      </w:r>
      <w:proofErr w:type="spellStart"/>
      <w:r w:rsidR="00E024F9">
        <w:rPr>
          <w:rFonts w:ascii="Times New Roman" w:hAnsi="Times New Roman" w:cs="Times New Roman"/>
          <w:sz w:val="22"/>
          <w:szCs w:val="22"/>
        </w:rPr>
        <w:t>Habermas</w:t>
      </w:r>
      <w:proofErr w:type="spellEnd"/>
      <w:r w:rsidR="00E024F9">
        <w:rPr>
          <w:rFonts w:ascii="Times New Roman" w:hAnsi="Times New Roman" w:cs="Times New Roman"/>
          <w:sz w:val="22"/>
          <w:szCs w:val="22"/>
        </w:rPr>
        <w:t xml:space="preserve">’ approach is noteworthy for the manner that it focuses on a response which articulates how the </w:t>
      </w:r>
      <w:r w:rsidR="006C00E8">
        <w:rPr>
          <w:rFonts w:ascii="Times New Roman" w:hAnsi="Times New Roman" w:cs="Times New Roman"/>
          <w:sz w:val="22"/>
          <w:szCs w:val="22"/>
        </w:rPr>
        <w:t xml:space="preserve">crisis can become a basis not only for an appreciation of the importance of political solidarity but equally to allow Europe to confront the constitutive meanings of the EU as a legal and political project. </w:t>
      </w:r>
    </w:p>
    <w:p w14:paraId="61FAC0FA" w14:textId="77777777" w:rsidR="006C00E8" w:rsidRDefault="006C00E8" w:rsidP="00E8594E">
      <w:pPr>
        <w:spacing w:line="360" w:lineRule="auto"/>
        <w:rPr>
          <w:rFonts w:ascii="Times New Roman" w:hAnsi="Times New Roman" w:cs="Times New Roman"/>
          <w:b/>
          <w:sz w:val="22"/>
          <w:szCs w:val="22"/>
        </w:rPr>
      </w:pPr>
    </w:p>
    <w:p w14:paraId="6BCA1168" w14:textId="77777777" w:rsidR="008F3751" w:rsidRPr="00F84782" w:rsidRDefault="00E8594E" w:rsidP="00E8594E">
      <w:pPr>
        <w:spacing w:line="360" w:lineRule="auto"/>
        <w:rPr>
          <w:rFonts w:ascii="Times New Roman" w:hAnsi="Times New Roman" w:cs="Times New Roman"/>
          <w:b/>
          <w:sz w:val="22"/>
          <w:szCs w:val="22"/>
        </w:rPr>
      </w:pPr>
      <w:r w:rsidRPr="00F84782">
        <w:rPr>
          <w:rFonts w:ascii="Times New Roman" w:hAnsi="Times New Roman" w:cs="Times New Roman"/>
          <w:b/>
          <w:sz w:val="22"/>
          <w:szCs w:val="22"/>
        </w:rPr>
        <w:t>1. T</w:t>
      </w:r>
      <w:r w:rsidR="005D36BD" w:rsidRPr="00F84782">
        <w:rPr>
          <w:rFonts w:ascii="Times New Roman" w:hAnsi="Times New Roman" w:cs="Times New Roman"/>
          <w:b/>
          <w:sz w:val="22"/>
          <w:szCs w:val="22"/>
        </w:rPr>
        <w:t>wo d</w:t>
      </w:r>
      <w:r w:rsidR="004974C9" w:rsidRPr="00F84782">
        <w:rPr>
          <w:rFonts w:ascii="Times New Roman" w:hAnsi="Times New Roman" w:cs="Times New Roman"/>
          <w:b/>
          <w:sz w:val="22"/>
          <w:szCs w:val="22"/>
        </w:rPr>
        <w:t>omina</w:t>
      </w:r>
      <w:r w:rsidR="00313957" w:rsidRPr="00F84782">
        <w:rPr>
          <w:rFonts w:ascii="Times New Roman" w:hAnsi="Times New Roman" w:cs="Times New Roman"/>
          <w:b/>
          <w:sz w:val="22"/>
          <w:szCs w:val="22"/>
        </w:rPr>
        <w:t>nt models o</w:t>
      </w:r>
      <w:r w:rsidR="005D36BD" w:rsidRPr="00F84782">
        <w:rPr>
          <w:rFonts w:ascii="Times New Roman" w:hAnsi="Times New Roman" w:cs="Times New Roman"/>
          <w:b/>
          <w:sz w:val="22"/>
          <w:szCs w:val="22"/>
        </w:rPr>
        <w:t>f the rule of law and</w:t>
      </w:r>
      <w:r w:rsidR="00313957" w:rsidRPr="00F84782">
        <w:rPr>
          <w:rFonts w:ascii="Times New Roman" w:hAnsi="Times New Roman" w:cs="Times New Roman"/>
          <w:b/>
          <w:sz w:val="22"/>
          <w:szCs w:val="22"/>
        </w:rPr>
        <w:t xml:space="preserve"> the problem of </w:t>
      </w:r>
      <w:r w:rsidR="00FF3B9A" w:rsidRPr="00F84782">
        <w:rPr>
          <w:rFonts w:ascii="Times New Roman" w:hAnsi="Times New Roman" w:cs="Times New Roman"/>
          <w:b/>
          <w:sz w:val="22"/>
          <w:szCs w:val="22"/>
        </w:rPr>
        <w:t>uncertainty</w:t>
      </w:r>
    </w:p>
    <w:p w14:paraId="420AB3C6" w14:textId="70D8AAC5" w:rsidR="004105F5" w:rsidRDefault="00F84782" w:rsidP="00E12BDB">
      <w:pPr>
        <w:spacing w:line="360" w:lineRule="auto"/>
        <w:jc w:val="both"/>
        <w:rPr>
          <w:rFonts w:ascii="Times New Roman" w:hAnsi="Times New Roman" w:cs="Times New Roman"/>
          <w:sz w:val="22"/>
          <w:szCs w:val="22"/>
        </w:rPr>
      </w:pPr>
      <w:r>
        <w:rPr>
          <w:rFonts w:ascii="Times New Roman" w:hAnsi="Times New Roman" w:cs="Times New Roman"/>
          <w:sz w:val="22"/>
          <w:szCs w:val="22"/>
        </w:rPr>
        <w:t>T</w:t>
      </w:r>
      <w:r w:rsidR="004974C9" w:rsidRPr="00E12BDB">
        <w:rPr>
          <w:rFonts w:ascii="Times New Roman" w:hAnsi="Times New Roman" w:cs="Times New Roman"/>
          <w:sz w:val="22"/>
          <w:szCs w:val="22"/>
        </w:rPr>
        <w:t>he ru</w:t>
      </w:r>
      <w:r>
        <w:rPr>
          <w:rFonts w:ascii="Times New Roman" w:hAnsi="Times New Roman" w:cs="Times New Roman"/>
          <w:sz w:val="22"/>
          <w:szCs w:val="22"/>
        </w:rPr>
        <w:t xml:space="preserve">le of law </w:t>
      </w:r>
      <w:r w:rsidR="003D1D9A">
        <w:rPr>
          <w:rFonts w:ascii="Times New Roman" w:hAnsi="Times New Roman" w:cs="Times New Roman"/>
          <w:sz w:val="22"/>
          <w:szCs w:val="22"/>
        </w:rPr>
        <w:t>has become ubiquitous and as such a</w:t>
      </w:r>
      <w:r w:rsidR="004974C9" w:rsidRPr="00E12BDB">
        <w:rPr>
          <w:rFonts w:ascii="Times New Roman" w:hAnsi="Times New Roman" w:cs="Times New Roman"/>
          <w:sz w:val="22"/>
          <w:szCs w:val="22"/>
        </w:rPr>
        <w:t>ny domestic or international legal instrument demonstrates its constitutional credentials by outlining a commitment to the rule of law</w:t>
      </w:r>
      <w:r w:rsidR="009F7E0B" w:rsidRPr="00E12BDB">
        <w:rPr>
          <w:rFonts w:ascii="Times New Roman" w:hAnsi="Times New Roman" w:cs="Times New Roman"/>
          <w:sz w:val="22"/>
          <w:szCs w:val="22"/>
        </w:rPr>
        <w:t xml:space="preserve">. This can be </w:t>
      </w:r>
      <w:r w:rsidR="009F7E0B" w:rsidRPr="00E12BDB">
        <w:rPr>
          <w:rFonts w:ascii="Times New Roman" w:hAnsi="Times New Roman" w:cs="Times New Roman"/>
          <w:sz w:val="22"/>
          <w:szCs w:val="22"/>
        </w:rPr>
        <w:lastRenderedPageBreak/>
        <w:t>reassuring but more often we may question what exactly a commitment to the rule of law entails and what precisely does it bind a state or international organisation to uphold? Such concerns become more prominent when we are living through times of crisis (e</w:t>
      </w:r>
      <w:r>
        <w:rPr>
          <w:rFonts w:ascii="Times New Roman" w:hAnsi="Times New Roman" w:cs="Times New Roman"/>
          <w:sz w:val="22"/>
          <w:szCs w:val="22"/>
        </w:rPr>
        <w:t>conomic, social or political</w:t>
      </w:r>
      <w:r w:rsidR="009F7E0B" w:rsidRPr="00E12BDB">
        <w:rPr>
          <w:rFonts w:ascii="Times New Roman" w:hAnsi="Times New Roman" w:cs="Times New Roman"/>
          <w:sz w:val="22"/>
          <w:szCs w:val="22"/>
        </w:rPr>
        <w:t xml:space="preserve">) when we might anticipate that those who hold power come under the greatest pressure or temptation to take action which might depart from commonly held beliefs about the rule of law. Times of crisis place the question ‘what does the rule of law demand?’ at the forefront of our constitutional concerns and yet it might be highly problematic that for all the references to the place of the rule of law in our constitutional lexicon it </w:t>
      </w:r>
      <w:r w:rsidR="00977A88" w:rsidRPr="00E12BDB">
        <w:rPr>
          <w:rFonts w:ascii="Times New Roman" w:hAnsi="Times New Roman" w:cs="Times New Roman"/>
          <w:sz w:val="22"/>
          <w:szCs w:val="22"/>
        </w:rPr>
        <w:t xml:space="preserve">is argued that it </w:t>
      </w:r>
      <w:r w:rsidR="009F7E0B" w:rsidRPr="00E12BDB">
        <w:rPr>
          <w:rFonts w:ascii="Times New Roman" w:hAnsi="Times New Roman" w:cs="Times New Roman"/>
          <w:sz w:val="22"/>
          <w:szCs w:val="22"/>
        </w:rPr>
        <w:t>remains an ‘exceedingly elusive concept’ with as many versions</w:t>
      </w:r>
      <w:r w:rsidR="003D1D9A">
        <w:rPr>
          <w:rFonts w:ascii="Times New Roman" w:hAnsi="Times New Roman" w:cs="Times New Roman"/>
          <w:sz w:val="22"/>
          <w:szCs w:val="22"/>
        </w:rPr>
        <w:t xml:space="preserve"> or definitions</w:t>
      </w:r>
      <w:r w:rsidR="009F7E0B" w:rsidRPr="00E12BDB">
        <w:rPr>
          <w:rFonts w:ascii="Times New Roman" w:hAnsi="Times New Roman" w:cs="Times New Roman"/>
          <w:sz w:val="22"/>
          <w:szCs w:val="22"/>
        </w:rPr>
        <w:t xml:space="preserve"> a</w:t>
      </w:r>
      <w:r w:rsidR="00224114">
        <w:rPr>
          <w:rFonts w:ascii="Times New Roman" w:hAnsi="Times New Roman" w:cs="Times New Roman"/>
          <w:sz w:val="22"/>
          <w:szCs w:val="22"/>
        </w:rPr>
        <w:t>s there are people defending it (</w:t>
      </w:r>
      <w:proofErr w:type="spellStart"/>
      <w:r w:rsidR="00224114">
        <w:rPr>
          <w:rFonts w:ascii="Times New Roman" w:hAnsi="Times New Roman" w:cs="Times New Roman"/>
          <w:sz w:val="22"/>
          <w:szCs w:val="22"/>
        </w:rPr>
        <w:t>Tamanaha</w:t>
      </w:r>
      <w:proofErr w:type="spellEnd"/>
      <w:r w:rsidR="00224114">
        <w:rPr>
          <w:rFonts w:ascii="Times New Roman" w:hAnsi="Times New Roman" w:cs="Times New Roman"/>
          <w:sz w:val="22"/>
          <w:szCs w:val="22"/>
        </w:rPr>
        <w:t xml:space="preserve">, 2004, p.3) </w:t>
      </w:r>
    </w:p>
    <w:p w14:paraId="2F9F8979" w14:textId="77777777" w:rsidR="00977A88" w:rsidRPr="00E12BDB" w:rsidRDefault="00977A88"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t>Taken at face value, however, the claim that the rule of law is inherently ‘elusive’, ‘vague’ or ‘uncertain’</w:t>
      </w:r>
      <w:r w:rsidR="008E5BF1" w:rsidRPr="00E12BDB">
        <w:rPr>
          <w:rFonts w:ascii="Times New Roman" w:hAnsi="Times New Roman" w:cs="Times New Roman"/>
          <w:sz w:val="22"/>
          <w:szCs w:val="22"/>
        </w:rPr>
        <w:t xml:space="preserve"> does</w:t>
      </w:r>
      <w:r w:rsidRPr="00E12BDB">
        <w:rPr>
          <w:rFonts w:ascii="Times New Roman" w:hAnsi="Times New Roman" w:cs="Times New Roman"/>
          <w:sz w:val="22"/>
          <w:szCs w:val="22"/>
        </w:rPr>
        <w:t xml:space="preserve"> have the potential to mislead. </w:t>
      </w:r>
      <w:r w:rsidR="008E5FE1" w:rsidRPr="00E12BDB">
        <w:rPr>
          <w:rFonts w:ascii="Times New Roman" w:hAnsi="Times New Roman" w:cs="Times New Roman"/>
          <w:sz w:val="22"/>
          <w:szCs w:val="22"/>
        </w:rPr>
        <w:t>Looking at the tradition of thinking about constitutionalism in terms of rules of predictability</w:t>
      </w:r>
      <w:r w:rsidR="00224114">
        <w:rPr>
          <w:rFonts w:ascii="Times New Roman" w:hAnsi="Times New Roman" w:cs="Times New Roman"/>
          <w:sz w:val="22"/>
          <w:szCs w:val="22"/>
        </w:rPr>
        <w:t xml:space="preserve"> (Holmes, 2003, p.2)</w:t>
      </w:r>
      <w:r w:rsidR="008E5FE1" w:rsidRPr="00E12BDB">
        <w:rPr>
          <w:rFonts w:ascii="Times New Roman" w:hAnsi="Times New Roman" w:cs="Times New Roman"/>
          <w:sz w:val="22"/>
          <w:szCs w:val="22"/>
        </w:rPr>
        <w:t xml:space="preserve"> the rule of law emerges as a formal or procedural property of the claim or desire for </w:t>
      </w:r>
      <w:r w:rsidR="00F96194" w:rsidRPr="00E12BDB">
        <w:rPr>
          <w:rFonts w:ascii="Times New Roman" w:hAnsi="Times New Roman" w:cs="Times New Roman"/>
          <w:sz w:val="22"/>
          <w:szCs w:val="22"/>
        </w:rPr>
        <w:t>certainty. For</w:t>
      </w:r>
      <w:r w:rsidR="00F84782">
        <w:rPr>
          <w:rFonts w:ascii="Times New Roman" w:hAnsi="Times New Roman" w:cs="Times New Roman"/>
          <w:sz w:val="22"/>
          <w:szCs w:val="22"/>
        </w:rPr>
        <w:t xml:space="preserve"> instance, one of the most well-</w:t>
      </w:r>
      <w:r w:rsidR="00F96194" w:rsidRPr="00E12BDB">
        <w:rPr>
          <w:rFonts w:ascii="Times New Roman" w:hAnsi="Times New Roman" w:cs="Times New Roman"/>
          <w:sz w:val="22"/>
          <w:szCs w:val="22"/>
        </w:rPr>
        <w:t xml:space="preserve">known positions focusing on the link between the rule of law and the predictability claims about law is that of Joseph </w:t>
      </w:r>
      <w:proofErr w:type="spellStart"/>
      <w:r w:rsidR="00F96194" w:rsidRPr="00E12BDB">
        <w:rPr>
          <w:rFonts w:ascii="Times New Roman" w:hAnsi="Times New Roman" w:cs="Times New Roman"/>
          <w:sz w:val="22"/>
          <w:szCs w:val="22"/>
        </w:rPr>
        <w:t>Raz</w:t>
      </w:r>
      <w:proofErr w:type="spellEnd"/>
      <w:r w:rsidR="00F96194" w:rsidRPr="00E12BDB">
        <w:rPr>
          <w:rFonts w:ascii="Times New Roman" w:hAnsi="Times New Roman" w:cs="Times New Roman"/>
          <w:sz w:val="22"/>
          <w:szCs w:val="22"/>
        </w:rPr>
        <w:t xml:space="preserve">. For </w:t>
      </w:r>
      <w:proofErr w:type="spellStart"/>
      <w:r w:rsidR="00F96194" w:rsidRPr="00E12BDB">
        <w:rPr>
          <w:rFonts w:ascii="Times New Roman" w:hAnsi="Times New Roman" w:cs="Times New Roman"/>
          <w:sz w:val="22"/>
          <w:szCs w:val="22"/>
        </w:rPr>
        <w:t>Raz</w:t>
      </w:r>
      <w:proofErr w:type="spellEnd"/>
      <w:r w:rsidR="00F96194" w:rsidRPr="00E12BDB">
        <w:rPr>
          <w:rFonts w:ascii="Times New Roman" w:hAnsi="Times New Roman" w:cs="Times New Roman"/>
          <w:sz w:val="22"/>
          <w:szCs w:val="22"/>
        </w:rPr>
        <w:t xml:space="preserve"> the rule of law is concerned with the formal </w:t>
      </w:r>
      <w:r w:rsidR="003E1A6B" w:rsidRPr="00E12BDB">
        <w:rPr>
          <w:rFonts w:ascii="Times New Roman" w:hAnsi="Times New Roman" w:cs="Times New Roman"/>
          <w:sz w:val="22"/>
          <w:szCs w:val="22"/>
        </w:rPr>
        <w:t>‘</w:t>
      </w:r>
      <w:r w:rsidR="00F96194" w:rsidRPr="00E12BDB">
        <w:rPr>
          <w:rFonts w:ascii="Times New Roman" w:hAnsi="Times New Roman" w:cs="Times New Roman"/>
          <w:sz w:val="22"/>
          <w:szCs w:val="22"/>
        </w:rPr>
        <w:t>conditions</w:t>
      </w:r>
      <w:r w:rsidR="003E1A6B" w:rsidRPr="00E12BDB">
        <w:rPr>
          <w:rFonts w:ascii="Times New Roman" w:hAnsi="Times New Roman" w:cs="Times New Roman"/>
          <w:sz w:val="22"/>
          <w:szCs w:val="22"/>
        </w:rPr>
        <w:t>’</w:t>
      </w:r>
      <w:r w:rsidR="00F96194" w:rsidRPr="00E12BDB">
        <w:rPr>
          <w:rFonts w:ascii="Times New Roman" w:hAnsi="Times New Roman" w:cs="Times New Roman"/>
          <w:sz w:val="22"/>
          <w:szCs w:val="22"/>
        </w:rPr>
        <w:t xml:space="preserve"> surrounding the making and ap</w:t>
      </w:r>
      <w:r w:rsidR="003E1A6B" w:rsidRPr="00E12BDB">
        <w:rPr>
          <w:rFonts w:ascii="Times New Roman" w:hAnsi="Times New Roman" w:cs="Times New Roman"/>
          <w:sz w:val="22"/>
          <w:szCs w:val="22"/>
        </w:rPr>
        <w:t>plication of law, the list of ‘conditions’ includes: that laws should be prospective, not retrospective; that they should be relatively stable; that particular laws should be guided by open, general and clear rules; that there should be an independent judiciary; that there should be access to the courts; and that the discretion which law enforcement agencies possess should not be allowed to undermine the purposes of the relevant legal rules</w:t>
      </w:r>
      <w:r w:rsidR="00F6336D">
        <w:rPr>
          <w:rFonts w:ascii="Times New Roman" w:hAnsi="Times New Roman" w:cs="Times New Roman"/>
          <w:sz w:val="22"/>
          <w:szCs w:val="22"/>
        </w:rPr>
        <w:t xml:space="preserve"> (</w:t>
      </w:r>
      <w:proofErr w:type="spellStart"/>
      <w:r w:rsidR="00F6336D">
        <w:rPr>
          <w:rFonts w:ascii="Times New Roman" w:hAnsi="Times New Roman" w:cs="Times New Roman"/>
          <w:sz w:val="22"/>
          <w:szCs w:val="22"/>
        </w:rPr>
        <w:t>Raz</w:t>
      </w:r>
      <w:proofErr w:type="spellEnd"/>
      <w:r w:rsidR="00F6336D">
        <w:rPr>
          <w:rFonts w:ascii="Times New Roman" w:hAnsi="Times New Roman" w:cs="Times New Roman"/>
          <w:sz w:val="22"/>
          <w:szCs w:val="22"/>
        </w:rPr>
        <w:t>, 1977, 93)</w:t>
      </w:r>
      <w:r w:rsidR="003E1A6B" w:rsidRPr="00E12BDB">
        <w:rPr>
          <w:rFonts w:ascii="Times New Roman" w:hAnsi="Times New Roman" w:cs="Times New Roman"/>
          <w:sz w:val="22"/>
          <w:szCs w:val="22"/>
        </w:rPr>
        <w:t>.</w:t>
      </w:r>
      <w:r w:rsidR="00F96194" w:rsidRPr="00E12BDB">
        <w:rPr>
          <w:rFonts w:ascii="Times New Roman" w:hAnsi="Times New Roman" w:cs="Times New Roman"/>
          <w:sz w:val="22"/>
          <w:szCs w:val="22"/>
        </w:rPr>
        <w:t xml:space="preserve"> </w:t>
      </w:r>
      <w:r w:rsidR="003E1A6B" w:rsidRPr="00E12BDB">
        <w:rPr>
          <w:rFonts w:ascii="Times New Roman" w:hAnsi="Times New Roman" w:cs="Times New Roman"/>
          <w:sz w:val="22"/>
          <w:szCs w:val="22"/>
        </w:rPr>
        <w:t xml:space="preserve">The value of the rule of law, on this </w:t>
      </w:r>
      <w:r w:rsidR="00F2353C" w:rsidRPr="00E12BDB">
        <w:rPr>
          <w:rFonts w:ascii="Times New Roman" w:hAnsi="Times New Roman" w:cs="Times New Roman"/>
          <w:sz w:val="22"/>
          <w:szCs w:val="22"/>
        </w:rPr>
        <w:t>view, is dependent on</w:t>
      </w:r>
      <w:r w:rsidR="003E1A6B" w:rsidRPr="00E12BDB">
        <w:rPr>
          <w:rFonts w:ascii="Times New Roman" w:hAnsi="Times New Roman" w:cs="Times New Roman"/>
          <w:sz w:val="22"/>
          <w:szCs w:val="22"/>
        </w:rPr>
        <w:t xml:space="preserve"> avoid</w:t>
      </w:r>
      <w:r w:rsidR="00F2353C" w:rsidRPr="00E12BDB">
        <w:rPr>
          <w:rFonts w:ascii="Times New Roman" w:hAnsi="Times New Roman" w:cs="Times New Roman"/>
          <w:sz w:val="22"/>
          <w:szCs w:val="22"/>
        </w:rPr>
        <w:t>ing the</w:t>
      </w:r>
      <w:r w:rsidR="003E1A6B" w:rsidRPr="00E12BDB">
        <w:rPr>
          <w:rFonts w:ascii="Times New Roman" w:hAnsi="Times New Roman" w:cs="Times New Roman"/>
          <w:sz w:val="22"/>
          <w:szCs w:val="22"/>
        </w:rPr>
        <w:t xml:space="preserve"> ambiguity that might result from involving the concept in a broader discussion of ‘just’ laws which would require making the rule of l</w:t>
      </w:r>
      <w:r w:rsidR="00F2353C" w:rsidRPr="00E12BDB">
        <w:rPr>
          <w:rFonts w:ascii="Times New Roman" w:hAnsi="Times New Roman" w:cs="Times New Roman"/>
          <w:sz w:val="22"/>
          <w:szCs w:val="22"/>
        </w:rPr>
        <w:t>aw dependent on expanding on a</w:t>
      </w:r>
      <w:r w:rsidR="003E1A6B" w:rsidRPr="00E12BDB">
        <w:rPr>
          <w:rFonts w:ascii="Times New Roman" w:hAnsi="Times New Roman" w:cs="Times New Roman"/>
          <w:sz w:val="22"/>
          <w:szCs w:val="22"/>
        </w:rPr>
        <w:t xml:space="preserve"> broader social and political philosophy</w:t>
      </w:r>
      <w:r w:rsidR="00F6336D">
        <w:rPr>
          <w:rFonts w:ascii="Times New Roman" w:hAnsi="Times New Roman" w:cs="Times New Roman"/>
          <w:sz w:val="22"/>
          <w:szCs w:val="22"/>
        </w:rPr>
        <w:t xml:space="preserve"> (</w:t>
      </w:r>
      <w:proofErr w:type="spellStart"/>
      <w:r w:rsidR="00F6336D">
        <w:rPr>
          <w:rFonts w:ascii="Times New Roman" w:hAnsi="Times New Roman" w:cs="Times New Roman"/>
          <w:sz w:val="22"/>
          <w:szCs w:val="22"/>
        </w:rPr>
        <w:t>Raz</w:t>
      </w:r>
      <w:proofErr w:type="spellEnd"/>
      <w:r w:rsidR="00F6336D">
        <w:rPr>
          <w:rFonts w:ascii="Times New Roman" w:hAnsi="Times New Roman" w:cs="Times New Roman"/>
          <w:sz w:val="22"/>
          <w:szCs w:val="22"/>
        </w:rPr>
        <w:t>, 1977)</w:t>
      </w:r>
      <w:r w:rsidR="003E1A6B" w:rsidRPr="00E12BDB">
        <w:rPr>
          <w:rFonts w:ascii="Times New Roman" w:hAnsi="Times New Roman" w:cs="Times New Roman"/>
          <w:sz w:val="22"/>
          <w:szCs w:val="22"/>
        </w:rPr>
        <w:t>.</w:t>
      </w:r>
      <w:r w:rsidR="00F2353C" w:rsidRPr="00E12BDB">
        <w:rPr>
          <w:rFonts w:ascii="Times New Roman" w:hAnsi="Times New Roman" w:cs="Times New Roman"/>
          <w:sz w:val="22"/>
          <w:szCs w:val="22"/>
        </w:rPr>
        <w:t xml:space="preserve"> The virtue of the rule of law is to providing formal conditions under which it is possible to make predictable calculations about the exercise and restraint of power under the law. </w:t>
      </w:r>
    </w:p>
    <w:p w14:paraId="1669B8EE" w14:textId="5A41DC20" w:rsidR="00AD755B" w:rsidRPr="00E12BDB" w:rsidRDefault="00F55040"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t>Predictability</w:t>
      </w:r>
      <w:r w:rsidR="00F84782">
        <w:rPr>
          <w:rFonts w:ascii="Times New Roman" w:hAnsi="Times New Roman" w:cs="Times New Roman"/>
          <w:sz w:val="22"/>
          <w:szCs w:val="22"/>
        </w:rPr>
        <w:t>,</w:t>
      </w:r>
      <w:r w:rsidRPr="00E12BDB">
        <w:rPr>
          <w:rFonts w:ascii="Times New Roman" w:hAnsi="Times New Roman" w:cs="Times New Roman"/>
          <w:sz w:val="22"/>
          <w:szCs w:val="22"/>
        </w:rPr>
        <w:t xml:space="preserve"> as a </w:t>
      </w:r>
      <w:r w:rsidR="001F7244" w:rsidRPr="00E12BDB">
        <w:rPr>
          <w:rFonts w:ascii="Times New Roman" w:hAnsi="Times New Roman" w:cs="Times New Roman"/>
          <w:sz w:val="22"/>
          <w:szCs w:val="22"/>
        </w:rPr>
        <w:t xml:space="preserve">formal or procedural </w:t>
      </w:r>
      <w:r w:rsidRPr="00E12BDB">
        <w:rPr>
          <w:rFonts w:ascii="Times New Roman" w:hAnsi="Times New Roman" w:cs="Times New Roman"/>
          <w:sz w:val="22"/>
          <w:szCs w:val="22"/>
        </w:rPr>
        <w:t>property of the rule of law</w:t>
      </w:r>
      <w:r w:rsidR="00F84782">
        <w:rPr>
          <w:rFonts w:ascii="Times New Roman" w:hAnsi="Times New Roman" w:cs="Times New Roman"/>
          <w:sz w:val="22"/>
          <w:szCs w:val="22"/>
        </w:rPr>
        <w:t>,</w:t>
      </w:r>
      <w:r w:rsidRPr="00E12BDB">
        <w:rPr>
          <w:rFonts w:ascii="Times New Roman" w:hAnsi="Times New Roman" w:cs="Times New Roman"/>
          <w:sz w:val="22"/>
          <w:szCs w:val="22"/>
        </w:rPr>
        <w:t xml:space="preserve"> adopts a </w:t>
      </w:r>
      <w:r w:rsidR="001F7244" w:rsidRPr="00E12BDB">
        <w:rPr>
          <w:rFonts w:ascii="Times New Roman" w:hAnsi="Times New Roman" w:cs="Times New Roman"/>
          <w:sz w:val="22"/>
          <w:szCs w:val="22"/>
        </w:rPr>
        <w:t xml:space="preserve">largely </w:t>
      </w:r>
      <w:r w:rsidRPr="00E12BDB">
        <w:rPr>
          <w:rFonts w:ascii="Times New Roman" w:hAnsi="Times New Roman" w:cs="Times New Roman"/>
          <w:sz w:val="22"/>
          <w:szCs w:val="22"/>
        </w:rPr>
        <w:t>negative</w:t>
      </w:r>
      <w:r w:rsidR="001F7244" w:rsidRPr="00E12BDB">
        <w:rPr>
          <w:rFonts w:ascii="Times New Roman" w:hAnsi="Times New Roman" w:cs="Times New Roman"/>
          <w:sz w:val="22"/>
          <w:szCs w:val="22"/>
        </w:rPr>
        <w:t xml:space="preserve"> or regulatory conception about the role of law in preserving the domain of individual liberty</w:t>
      </w:r>
      <w:r w:rsidR="00F6336D">
        <w:rPr>
          <w:rFonts w:ascii="Times New Roman" w:hAnsi="Times New Roman" w:cs="Times New Roman"/>
          <w:sz w:val="22"/>
          <w:szCs w:val="22"/>
        </w:rPr>
        <w:t xml:space="preserve"> (Berlin, 1969)</w:t>
      </w:r>
      <w:r w:rsidR="001F7244" w:rsidRPr="00E12BDB">
        <w:rPr>
          <w:rFonts w:ascii="Times New Roman" w:hAnsi="Times New Roman" w:cs="Times New Roman"/>
          <w:sz w:val="22"/>
          <w:szCs w:val="22"/>
        </w:rPr>
        <w:t>. Constraining the</w:t>
      </w:r>
      <w:r w:rsidR="00AD755B" w:rsidRPr="00E12BDB">
        <w:rPr>
          <w:rFonts w:ascii="Times New Roman" w:hAnsi="Times New Roman" w:cs="Times New Roman"/>
          <w:sz w:val="22"/>
          <w:szCs w:val="22"/>
        </w:rPr>
        <w:t xml:space="preserve"> exercise of power to</w:t>
      </w:r>
      <w:r w:rsidR="001F7244" w:rsidRPr="00E12BDB">
        <w:rPr>
          <w:rFonts w:ascii="Times New Roman" w:hAnsi="Times New Roman" w:cs="Times New Roman"/>
          <w:sz w:val="22"/>
          <w:szCs w:val="22"/>
        </w:rPr>
        <w:t xml:space="preserve"> predictable conditions or rules helps to foster the protective space </w:t>
      </w:r>
      <w:r w:rsidR="00AD755B" w:rsidRPr="00E12BDB">
        <w:rPr>
          <w:rFonts w:ascii="Times New Roman" w:hAnsi="Times New Roman" w:cs="Times New Roman"/>
          <w:sz w:val="22"/>
          <w:szCs w:val="22"/>
        </w:rPr>
        <w:t xml:space="preserve">between the individual and the locus of power at the same ensuring that these rules are not undercut by political and social contestation and disagreement. Nevertheless, </w:t>
      </w:r>
      <w:r w:rsidR="00313957" w:rsidRPr="00E12BDB">
        <w:rPr>
          <w:rFonts w:ascii="Times New Roman" w:hAnsi="Times New Roman" w:cs="Times New Roman"/>
          <w:sz w:val="22"/>
          <w:szCs w:val="22"/>
        </w:rPr>
        <w:t>ensuring</w:t>
      </w:r>
      <w:r w:rsidR="00AD755B" w:rsidRPr="00E12BDB">
        <w:rPr>
          <w:rFonts w:ascii="Times New Roman" w:hAnsi="Times New Roman" w:cs="Times New Roman"/>
          <w:sz w:val="22"/>
          <w:szCs w:val="22"/>
        </w:rPr>
        <w:t xml:space="preserve"> that the rule of law is not compr</w:t>
      </w:r>
      <w:r w:rsidR="00C644F2" w:rsidRPr="00E12BDB">
        <w:rPr>
          <w:rFonts w:ascii="Times New Roman" w:hAnsi="Times New Roman" w:cs="Times New Roman"/>
          <w:sz w:val="22"/>
          <w:szCs w:val="22"/>
        </w:rPr>
        <w:t>om</w:t>
      </w:r>
      <w:r w:rsidR="00AD755B" w:rsidRPr="00E12BDB">
        <w:rPr>
          <w:rFonts w:ascii="Times New Roman" w:hAnsi="Times New Roman" w:cs="Times New Roman"/>
          <w:sz w:val="22"/>
          <w:szCs w:val="22"/>
        </w:rPr>
        <w:t>ised by the ambiguity of political, moral or social philosophy does risk a certain levelling</w:t>
      </w:r>
      <w:r w:rsidR="003D1D9A">
        <w:rPr>
          <w:rFonts w:ascii="Times New Roman" w:hAnsi="Times New Roman" w:cs="Times New Roman"/>
          <w:sz w:val="22"/>
          <w:szCs w:val="22"/>
        </w:rPr>
        <w:t xml:space="preserve"> or </w:t>
      </w:r>
      <w:r w:rsidR="00233DAD" w:rsidRPr="00E12BDB">
        <w:rPr>
          <w:rFonts w:ascii="Times New Roman" w:hAnsi="Times New Roman" w:cs="Times New Roman"/>
          <w:sz w:val="22"/>
          <w:szCs w:val="22"/>
        </w:rPr>
        <w:t>truncating</w:t>
      </w:r>
      <w:r w:rsidR="00AD755B" w:rsidRPr="00E12BDB">
        <w:rPr>
          <w:rFonts w:ascii="Times New Roman" w:hAnsi="Times New Roman" w:cs="Times New Roman"/>
          <w:sz w:val="22"/>
          <w:szCs w:val="22"/>
        </w:rPr>
        <w:t xml:space="preserve"> of the concept itself. </w:t>
      </w:r>
      <w:r w:rsidR="00233DAD" w:rsidRPr="00E12BDB">
        <w:rPr>
          <w:rFonts w:ascii="Times New Roman" w:hAnsi="Times New Roman" w:cs="Times New Roman"/>
          <w:sz w:val="22"/>
          <w:szCs w:val="22"/>
        </w:rPr>
        <w:t xml:space="preserve"> </w:t>
      </w:r>
      <w:r w:rsidR="00313957" w:rsidRPr="00E12BDB">
        <w:rPr>
          <w:rFonts w:ascii="Times New Roman" w:hAnsi="Times New Roman" w:cs="Times New Roman"/>
          <w:sz w:val="22"/>
          <w:szCs w:val="22"/>
        </w:rPr>
        <w:t xml:space="preserve">This becomes particularly apparent in the context of the socio-legal work of scholars such as Roberto Unger </w:t>
      </w:r>
      <w:r w:rsidR="000608A3" w:rsidRPr="00E12BDB">
        <w:rPr>
          <w:rFonts w:ascii="Times New Roman" w:hAnsi="Times New Roman" w:cs="Times New Roman"/>
          <w:sz w:val="22"/>
          <w:szCs w:val="22"/>
        </w:rPr>
        <w:t>who has emphasised that a view of the rule of law based on</w:t>
      </w:r>
      <w:r w:rsidR="00EE40C4" w:rsidRPr="00E12BDB">
        <w:rPr>
          <w:rFonts w:ascii="Times New Roman" w:hAnsi="Times New Roman" w:cs="Times New Roman"/>
          <w:sz w:val="22"/>
          <w:szCs w:val="22"/>
        </w:rPr>
        <w:t xml:space="preserve"> the</w:t>
      </w:r>
      <w:r w:rsidR="000608A3" w:rsidRPr="00E12BDB">
        <w:rPr>
          <w:rFonts w:ascii="Times New Roman" w:hAnsi="Times New Roman" w:cs="Times New Roman"/>
          <w:sz w:val="22"/>
          <w:szCs w:val="22"/>
        </w:rPr>
        <w:t xml:space="preserve"> predictability </w:t>
      </w:r>
      <w:r w:rsidR="00EE40C4" w:rsidRPr="00E12BDB">
        <w:rPr>
          <w:rFonts w:ascii="Times New Roman" w:hAnsi="Times New Roman" w:cs="Times New Roman"/>
          <w:sz w:val="22"/>
          <w:szCs w:val="22"/>
        </w:rPr>
        <w:t>of constraining power to formal rules becomes untenable set against the background</w:t>
      </w:r>
      <w:r w:rsidR="003D1D9A">
        <w:rPr>
          <w:rFonts w:ascii="Times New Roman" w:hAnsi="Times New Roman" w:cs="Times New Roman"/>
          <w:sz w:val="22"/>
          <w:szCs w:val="22"/>
        </w:rPr>
        <w:t xml:space="preserve"> social context</w:t>
      </w:r>
      <w:r w:rsidR="00EE40C4" w:rsidRPr="00E12BDB">
        <w:rPr>
          <w:rFonts w:ascii="Times New Roman" w:hAnsi="Times New Roman" w:cs="Times New Roman"/>
          <w:sz w:val="22"/>
          <w:szCs w:val="22"/>
        </w:rPr>
        <w:t xml:space="preserve"> of the post-liberal welfare societies in which the state is both interventionist and couches this intervention in terms of social</w:t>
      </w:r>
      <w:r w:rsidR="00232CF7">
        <w:rPr>
          <w:rFonts w:ascii="Times New Roman" w:hAnsi="Times New Roman" w:cs="Times New Roman"/>
          <w:sz w:val="22"/>
          <w:szCs w:val="22"/>
        </w:rPr>
        <w:t>, moral or egalitarian purposes (Unger, 1977, p.192-223)</w:t>
      </w:r>
    </w:p>
    <w:p w14:paraId="70E8515C" w14:textId="77777777" w:rsidR="009B062B" w:rsidRPr="00E12BDB" w:rsidRDefault="001A22D5"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lastRenderedPageBreak/>
        <w:t xml:space="preserve">Confronting the shifting role </w:t>
      </w:r>
      <w:r w:rsidR="00270458" w:rsidRPr="00E12BDB">
        <w:rPr>
          <w:rFonts w:ascii="Times New Roman" w:hAnsi="Times New Roman" w:cs="Times New Roman"/>
          <w:sz w:val="22"/>
          <w:szCs w:val="22"/>
        </w:rPr>
        <w:t xml:space="preserve">and power of </w:t>
      </w:r>
      <w:r w:rsidRPr="00E12BDB">
        <w:rPr>
          <w:rFonts w:ascii="Times New Roman" w:hAnsi="Times New Roman" w:cs="Times New Roman"/>
          <w:sz w:val="22"/>
          <w:szCs w:val="22"/>
        </w:rPr>
        <w:t xml:space="preserve">the state </w:t>
      </w:r>
      <w:r w:rsidR="00153146" w:rsidRPr="00E12BDB">
        <w:rPr>
          <w:rFonts w:ascii="Times New Roman" w:hAnsi="Times New Roman" w:cs="Times New Roman"/>
          <w:sz w:val="22"/>
          <w:szCs w:val="22"/>
        </w:rPr>
        <w:t xml:space="preserve">entails a choice to be made in respect of the rule </w:t>
      </w:r>
      <w:r w:rsidR="00CA5ABC" w:rsidRPr="00E12BDB">
        <w:rPr>
          <w:rFonts w:ascii="Times New Roman" w:hAnsi="Times New Roman" w:cs="Times New Roman"/>
          <w:sz w:val="22"/>
          <w:szCs w:val="22"/>
        </w:rPr>
        <w:t>of law</w:t>
      </w:r>
      <w:r w:rsidR="00D001A1" w:rsidRPr="00E12BDB">
        <w:rPr>
          <w:rFonts w:ascii="Times New Roman" w:hAnsi="Times New Roman" w:cs="Times New Roman"/>
          <w:sz w:val="22"/>
          <w:szCs w:val="22"/>
        </w:rPr>
        <w:t>.</w:t>
      </w:r>
      <w:r w:rsidR="00E46673" w:rsidRPr="00E12BDB">
        <w:rPr>
          <w:rStyle w:val="FootnoteReference"/>
          <w:rFonts w:ascii="Times New Roman" w:hAnsi="Times New Roman" w:cs="Times New Roman"/>
          <w:sz w:val="22"/>
          <w:szCs w:val="22"/>
        </w:rPr>
        <w:footnoteReference w:id="1"/>
      </w:r>
      <w:r w:rsidR="00D001A1" w:rsidRPr="00E12BDB">
        <w:rPr>
          <w:rFonts w:ascii="Times New Roman" w:hAnsi="Times New Roman" w:cs="Times New Roman"/>
          <w:sz w:val="22"/>
          <w:szCs w:val="22"/>
        </w:rPr>
        <w:t xml:space="preserve"> For the rule of law to continue to be a restraint or limit on t</w:t>
      </w:r>
      <w:r w:rsidR="001725B7" w:rsidRPr="00E12BDB">
        <w:rPr>
          <w:rFonts w:ascii="Times New Roman" w:hAnsi="Times New Roman" w:cs="Times New Roman"/>
          <w:sz w:val="22"/>
          <w:szCs w:val="22"/>
        </w:rPr>
        <w:t>he exercise of power</w:t>
      </w:r>
      <w:r w:rsidR="00E46673" w:rsidRPr="00E12BDB">
        <w:rPr>
          <w:rFonts w:ascii="Times New Roman" w:hAnsi="Times New Roman" w:cs="Times New Roman"/>
          <w:sz w:val="22"/>
          <w:szCs w:val="22"/>
        </w:rPr>
        <w:t xml:space="preserve"> and the guarantor of individual liberty it must engage with</w:t>
      </w:r>
      <w:r w:rsidR="00261B44" w:rsidRPr="00E12BDB">
        <w:rPr>
          <w:rFonts w:ascii="Times New Roman" w:hAnsi="Times New Roman" w:cs="Times New Roman"/>
          <w:sz w:val="22"/>
          <w:szCs w:val="22"/>
        </w:rPr>
        <w:t xml:space="preserve"> </w:t>
      </w:r>
      <w:r w:rsidR="00D001A1" w:rsidRPr="00E12BDB">
        <w:rPr>
          <w:rFonts w:ascii="Times New Roman" w:hAnsi="Times New Roman" w:cs="Times New Roman"/>
          <w:sz w:val="22"/>
          <w:szCs w:val="22"/>
        </w:rPr>
        <w:t>the political, social and mo</w:t>
      </w:r>
      <w:r w:rsidR="00261B44" w:rsidRPr="00E12BDB">
        <w:rPr>
          <w:rFonts w:ascii="Times New Roman" w:hAnsi="Times New Roman" w:cs="Times New Roman"/>
          <w:sz w:val="22"/>
          <w:szCs w:val="22"/>
        </w:rPr>
        <w:t>ral theories</w:t>
      </w:r>
      <w:r w:rsidR="005D36BD" w:rsidRPr="00E12BDB">
        <w:rPr>
          <w:rFonts w:ascii="Times New Roman" w:hAnsi="Times New Roman" w:cs="Times New Roman"/>
          <w:sz w:val="22"/>
          <w:szCs w:val="22"/>
        </w:rPr>
        <w:t xml:space="preserve"> or considerations</w:t>
      </w:r>
      <w:r w:rsidR="00261B44" w:rsidRPr="00E12BDB">
        <w:rPr>
          <w:rFonts w:ascii="Times New Roman" w:hAnsi="Times New Roman" w:cs="Times New Roman"/>
          <w:sz w:val="22"/>
          <w:szCs w:val="22"/>
        </w:rPr>
        <w:t xml:space="preserve"> which </w:t>
      </w:r>
      <w:r w:rsidR="00D001A1" w:rsidRPr="00E12BDB">
        <w:rPr>
          <w:rFonts w:ascii="Times New Roman" w:hAnsi="Times New Roman" w:cs="Times New Roman"/>
          <w:sz w:val="22"/>
          <w:szCs w:val="22"/>
        </w:rPr>
        <w:t xml:space="preserve">underpin the exercise of state power </w:t>
      </w:r>
      <w:r w:rsidR="00270458" w:rsidRPr="00E12BDB">
        <w:rPr>
          <w:rFonts w:ascii="Times New Roman" w:hAnsi="Times New Roman" w:cs="Times New Roman"/>
          <w:sz w:val="22"/>
          <w:szCs w:val="22"/>
        </w:rPr>
        <w:t>even if</w:t>
      </w:r>
      <w:r w:rsidR="00D001A1" w:rsidRPr="00E12BDB">
        <w:rPr>
          <w:rFonts w:ascii="Times New Roman" w:hAnsi="Times New Roman" w:cs="Times New Roman"/>
          <w:sz w:val="22"/>
          <w:szCs w:val="22"/>
        </w:rPr>
        <w:t xml:space="preserve"> to do so</w:t>
      </w:r>
      <w:r w:rsidR="00270458" w:rsidRPr="00E12BDB">
        <w:rPr>
          <w:rFonts w:ascii="Times New Roman" w:hAnsi="Times New Roman" w:cs="Times New Roman"/>
          <w:sz w:val="22"/>
          <w:szCs w:val="22"/>
        </w:rPr>
        <w:t xml:space="preserve"> lead</w:t>
      </w:r>
      <w:r w:rsidR="00D001A1" w:rsidRPr="00E12BDB">
        <w:rPr>
          <w:rFonts w:ascii="Times New Roman" w:hAnsi="Times New Roman" w:cs="Times New Roman"/>
          <w:sz w:val="22"/>
          <w:szCs w:val="22"/>
        </w:rPr>
        <w:t>s</w:t>
      </w:r>
      <w:r w:rsidR="00270458" w:rsidRPr="00E12BDB">
        <w:rPr>
          <w:rFonts w:ascii="Times New Roman" w:hAnsi="Times New Roman" w:cs="Times New Roman"/>
          <w:sz w:val="22"/>
          <w:szCs w:val="22"/>
        </w:rPr>
        <w:t xml:space="preserve"> to greater ambiguity or uncertainty for the concept of the rule of law</w:t>
      </w:r>
      <w:r w:rsidR="00E46673" w:rsidRPr="00E12BDB">
        <w:rPr>
          <w:rFonts w:ascii="Times New Roman" w:hAnsi="Times New Roman" w:cs="Times New Roman"/>
          <w:sz w:val="22"/>
          <w:szCs w:val="22"/>
        </w:rPr>
        <w:t xml:space="preserve"> itself</w:t>
      </w:r>
      <w:r w:rsidR="00270458" w:rsidRPr="00E12BDB">
        <w:rPr>
          <w:rFonts w:ascii="Times New Roman" w:hAnsi="Times New Roman" w:cs="Times New Roman"/>
          <w:sz w:val="22"/>
          <w:szCs w:val="22"/>
        </w:rPr>
        <w:t>.</w:t>
      </w:r>
      <w:r w:rsidR="00283B91" w:rsidRPr="00E12BDB">
        <w:rPr>
          <w:rFonts w:ascii="Times New Roman" w:hAnsi="Times New Roman" w:cs="Times New Roman"/>
          <w:sz w:val="22"/>
          <w:szCs w:val="22"/>
        </w:rPr>
        <w:t xml:space="preserve"> </w:t>
      </w:r>
      <w:r w:rsidR="001725B7" w:rsidRPr="00E12BDB">
        <w:rPr>
          <w:rFonts w:ascii="Times New Roman" w:hAnsi="Times New Roman" w:cs="Times New Roman"/>
          <w:sz w:val="22"/>
          <w:szCs w:val="22"/>
        </w:rPr>
        <w:t xml:space="preserve">Under this view the rule of law </w:t>
      </w:r>
      <w:r w:rsidR="00E46673" w:rsidRPr="00E12BDB">
        <w:rPr>
          <w:rFonts w:ascii="Times New Roman" w:hAnsi="Times New Roman" w:cs="Times New Roman"/>
          <w:sz w:val="22"/>
          <w:szCs w:val="22"/>
        </w:rPr>
        <w:t>must</w:t>
      </w:r>
      <w:r w:rsidR="00326501">
        <w:rPr>
          <w:rFonts w:ascii="Times New Roman" w:hAnsi="Times New Roman" w:cs="Times New Roman"/>
          <w:sz w:val="22"/>
          <w:szCs w:val="22"/>
        </w:rPr>
        <w:t xml:space="preserve"> proceed beyond formal predictability by</w:t>
      </w:r>
      <w:r w:rsidR="00E46673" w:rsidRPr="00E12BDB">
        <w:rPr>
          <w:rFonts w:ascii="Times New Roman" w:hAnsi="Times New Roman" w:cs="Times New Roman"/>
          <w:sz w:val="22"/>
          <w:szCs w:val="22"/>
        </w:rPr>
        <w:t xml:space="preserve"> also embrace substantive values or principles</w:t>
      </w:r>
      <w:r w:rsidR="007242BA" w:rsidRPr="00E12BDB">
        <w:rPr>
          <w:rFonts w:ascii="Times New Roman" w:hAnsi="Times New Roman" w:cs="Times New Roman"/>
          <w:sz w:val="22"/>
          <w:szCs w:val="22"/>
        </w:rPr>
        <w:t xml:space="preserve">. </w:t>
      </w:r>
    </w:p>
    <w:p w14:paraId="1B861A87" w14:textId="5F3E6228" w:rsidR="00AB4017" w:rsidRPr="00E12BDB" w:rsidRDefault="007242BA"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t xml:space="preserve">Most influential, at least in the Anglo-American literature, was the substantive conception of the rule of law adopted under an interpretive theory of law and justice by Ronald Dworkin. Here </w:t>
      </w:r>
      <w:r w:rsidR="00534779" w:rsidRPr="00E12BDB">
        <w:rPr>
          <w:rFonts w:ascii="Times New Roman" w:hAnsi="Times New Roman" w:cs="Times New Roman"/>
          <w:sz w:val="22"/>
          <w:szCs w:val="22"/>
        </w:rPr>
        <w:t>Dworkin argues that the formal or procedural conception of the rule of law, what he terms the ‘rule book conception’, is narrow and limited because it does</w:t>
      </w:r>
      <w:r w:rsidR="0068707F" w:rsidRPr="00E12BDB">
        <w:rPr>
          <w:rFonts w:ascii="Times New Roman" w:hAnsi="Times New Roman" w:cs="Times New Roman"/>
          <w:sz w:val="22"/>
          <w:szCs w:val="22"/>
        </w:rPr>
        <w:t xml:space="preserve"> not</w:t>
      </w:r>
      <w:r w:rsidR="00534779" w:rsidRPr="00E12BDB">
        <w:rPr>
          <w:rFonts w:ascii="Times New Roman" w:hAnsi="Times New Roman" w:cs="Times New Roman"/>
          <w:sz w:val="22"/>
          <w:szCs w:val="22"/>
        </w:rPr>
        <w:t xml:space="preserve"> enable a view to be taken about the content of a law in relation to a substantive theory of justice</w:t>
      </w:r>
      <w:r w:rsidR="00232CF7">
        <w:rPr>
          <w:rFonts w:ascii="Times New Roman" w:hAnsi="Times New Roman" w:cs="Times New Roman"/>
          <w:sz w:val="22"/>
          <w:szCs w:val="22"/>
        </w:rPr>
        <w:t xml:space="preserve"> (Dworkin, 1985, p.11)</w:t>
      </w:r>
      <w:r w:rsidR="00534779" w:rsidRPr="00E12BDB">
        <w:rPr>
          <w:rFonts w:ascii="Times New Roman" w:hAnsi="Times New Roman" w:cs="Times New Roman"/>
          <w:sz w:val="22"/>
          <w:szCs w:val="22"/>
        </w:rPr>
        <w:t xml:space="preserve">. </w:t>
      </w:r>
      <w:r w:rsidR="0068707F" w:rsidRPr="00E12BDB">
        <w:rPr>
          <w:rFonts w:ascii="Times New Roman" w:hAnsi="Times New Roman" w:cs="Times New Roman"/>
          <w:sz w:val="22"/>
          <w:szCs w:val="22"/>
        </w:rPr>
        <w:t>Moving to a substantive theory of justice</w:t>
      </w:r>
      <w:r w:rsidR="00A15C44">
        <w:rPr>
          <w:rFonts w:ascii="Times New Roman" w:hAnsi="Times New Roman" w:cs="Times New Roman"/>
          <w:sz w:val="22"/>
          <w:szCs w:val="22"/>
        </w:rPr>
        <w:t>,</w:t>
      </w:r>
      <w:r w:rsidR="0068707F" w:rsidRPr="00E12BDB">
        <w:rPr>
          <w:rFonts w:ascii="Times New Roman" w:hAnsi="Times New Roman" w:cs="Times New Roman"/>
          <w:sz w:val="22"/>
          <w:szCs w:val="22"/>
        </w:rPr>
        <w:t xml:space="preserve"> as underpinning a commitment to the rule of law</w:t>
      </w:r>
      <w:r w:rsidR="00A15C44">
        <w:rPr>
          <w:rFonts w:ascii="Times New Roman" w:hAnsi="Times New Roman" w:cs="Times New Roman"/>
          <w:sz w:val="22"/>
          <w:szCs w:val="22"/>
        </w:rPr>
        <w:t>,</w:t>
      </w:r>
      <w:r w:rsidR="0068707F" w:rsidRPr="00E12BDB">
        <w:rPr>
          <w:rFonts w:ascii="Times New Roman" w:hAnsi="Times New Roman" w:cs="Times New Roman"/>
          <w:sz w:val="22"/>
          <w:szCs w:val="22"/>
        </w:rPr>
        <w:t xml:space="preserve"> does</w:t>
      </w:r>
      <w:r w:rsidR="00A15C44">
        <w:rPr>
          <w:rFonts w:ascii="Times New Roman" w:hAnsi="Times New Roman" w:cs="Times New Roman"/>
          <w:sz w:val="22"/>
          <w:szCs w:val="22"/>
        </w:rPr>
        <w:t xml:space="preserve"> however</w:t>
      </w:r>
      <w:r w:rsidR="0068707F" w:rsidRPr="00E12BDB">
        <w:rPr>
          <w:rFonts w:ascii="Times New Roman" w:hAnsi="Times New Roman" w:cs="Times New Roman"/>
          <w:sz w:val="22"/>
          <w:szCs w:val="22"/>
        </w:rPr>
        <w:t xml:space="preserve"> introduce</w:t>
      </w:r>
      <w:r w:rsidR="00A15C44">
        <w:rPr>
          <w:rFonts w:ascii="Times New Roman" w:hAnsi="Times New Roman" w:cs="Times New Roman"/>
          <w:sz w:val="22"/>
          <w:szCs w:val="22"/>
        </w:rPr>
        <w:t xml:space="preserve"> the real possibility of</w:t>
      </w:r>
      <w:r w:rsidR="0068707F" w:rsidRPr="00E12BDB">
        <w:rPr>
          <w:rFonts w:ascii="Times New Roman" w:hAnsi="Times New Roman" w:cs="Times New Roman"/>
          <w:sz w:val="22"/>
          <w:szCs w:val="22"/>
        </w:rPr>
        <w:t xml:space="preserve"> disagreement, and therefore uncertainty, about what kind </w:t>
      </w:r>
      <w:r w:rsidR="00A15C44">
        <w:rPr>
          <w:rFonts w:ascii="Times New Roman" w:hAnsi="Times New Roman" w:cs="Times New Roman"/>
          <w:sz w:val="22"/>
          <w:szCs w:val="22"/>
        </w:rPr>
        <w:t>of political or moral basis ought to</w:t>
      </w:r>
      <w:r w:rsidR="0068707F" w:rsidRPr="00E12BDB">
        <w:rPr>
          <w:rFonts w:ascii="Times New Roman" w:hAnsi="Times New Roman" w:cs="Times New Roman"/>
          <w:sz w:val="22"/>
          <w:szCs w:val="22"/>
        </w:rPr>
        <w:t xml:space="preserve"> secure the rule of law. Given this challenge it is not surprising that two themes emerge</w:t>
      </w:r>
      <w:r w:rsidR="00A15C44">
        <w:rPr>
          <w:rFonts w:ascii="Times New Roman" w:hAnsi="Times New Roman" w:cs="Times New Roman"/>
          <w:sz w:val="22"/>
          <w:szCs w:val="22"/>
        </w:rPr>
        <w:t xml:space="preserve"> as a result of adopting a</w:t>
      </w:r>
      <w:r w:rsidR="0068707F" w:rsidRPr="00E12BDB">
        <w:rPr>
          <w:rFonts w:ascii="Times New Roman" w:hAnsi="Times New Roman" w:cs="Times New Roman"/>
          <w:sz w:val="22"/>
          <w:szCs w:val="22"/>
        </w:rPr>
        <w:t xml:space="preserve"> substantive conception of the rule of law: the first is a greater emphasis on the importance of adjudication and judgement as a mode of </w:t>
      </w:r>
      <w:r w:rsidR="00A4171C" w:rsidRPr="00E12BDB">
        <w:rPr>
          <w:rFonts w:ascii="Times New Roman" w:hAnsi="Times New Roman" w:cs="Times New Roman"/>
          <w:sz w:val="22"/>
          <w:szCs w:val="22"/>
        </w:rPr>
        <w:t>exploring and resolving competing conceptions of justice that arise from the political community</w:t>
      </w:r>
      <w:r w:rsidR="00232CF7">
        <w:rPr>
          <w:rFonts w:ascii="Times New Roman" w:hAnsi="Times New Roman" w:cs="Times New Roman"/>
          <w:sz w:val="22"/>
          <w:szCs w:val="22"/>
        </w:rPr>
        <w:t xml:space="preserve"> (Dworkin, 1986</w:t>
      </w:r>
      <w:r w:rsidR="00DE58BA">
        <w:rPr>
          <w:rFonts w:ascii="Times New Roman" w:hAnsi="Times New Roman" w:cs="Times New Roman"/>
          <w:sz w:val="22"/>
          <w:szCs w:val="22"/>
        </w:rPr>
        <w:t>, 55-67)</w:t>
      </w:r>
      <w:r w:rsidR="00A4171C" w:rsidRPr="00E12BDB">
        <w:rPr>
          <w:rFonts w:ascii="Times New Roman" w:hAnsi="Times New Roman" w:cs="Times New Roman"/>
          <w:sz w:val="22"/>
          <w:szCs w:val="22"/>
        </w:rPr>
        <w:t xml:space="preserve"> and the second, which can be seen as corollary of the first, that co</w:t>
      </w:r>
      <w:r w:rsidR="002E35BC" w:rsidRPr="00E12BDB">
        <w:rPr>
          <w:rFonts w:ascii="Times New Roman" w:hAnsi="Times New Roman" w:cs="Times New Roman"/>
          <w:sz w:val="22"/>
          <w:szCs w:val="22"/>
        </w:rPr>
        <w:t>urts or judges become a significant</w:t>
      </w:r>
      <w:r w:rsidR="00A4171C" w:rsidRPr="00E12BDB">
        <w:rPr>
          <w:rFonts w:ascii="Times New Roman" w:hAnsi="Times New Roman" w:cs="Times New Roman"/>
          <w:sz w:val="22"/>
          <w:szCs w:val="22"/>
        </w:rPr>
        <w:t xml:space="preserve"> institutional site for t</w:t>
      </w:r>
      <w:r w:rsidR="002E35BC" w:rsidRPr="00E12BDB">
        <w:rPr>
          <w:rFonts w:ascii="Times New Roman" w:hAnsi="Times New Roman" w:cs="Times New Roman"/>
          <w:sz w:val="22"/>
          <w:szCs w:val="22"/>
        </w:rPr>
        <w:t xml:space="preserve">he resolution of disputes which touch on the </w:t>
      </w:r>
      <w:r w:rsidR="007D6427" w:rsidRPr="00E12BDB">
        <w:rPr>
          <w:rFonts w:ascii="Times New Roman" w:hAnsi="Times New Roman" w:cs="Times New Roman"/>
          <w:sz w:val="22"/>
          <w:szCs w:val="22"/>
        </w:rPr>
        <w:t xml:space="preserve">fundamental </w:t>
      </w:r>
      <w:r w:rsidR="002E35BC" w:rsidRPr="00E12BDB">
        <w:rPr>
          <w:rFonts w:ascii="Times New Roman" w:hAnsi="Times New Roman" w:cs="Times New Roman"/>
          <w:sz w:val="22"/>
          <w:szCs w:val="22"/>
        </w:rPr>
        <w:t>theor</w:t>
      </w:r>
      <w:r w:rsidR="007D6427" w:rsidRPr="00E12BDB">
        <w:rPr>
          <w:rFonts w:ascii="Times New Roman" w:hAnsi="Times New Roman" w:cs="Times New Roman"/>
          <w:sz w:val="22"/>
          <w:szCs w:val="22"/>
        </w:rPr>
        <w:t>y(</w:t>
      </w:r>
      <w:proofErr w:type="spellStart"/>
      <w:r w:rsidR="002E35BC" w:rsidRPr="00E12BDB">
        <w:rPr>
          <w:rFonts w:ascii="Times New Roman" w:hAnsi="Times New Roman" w:cs="Times New Roman"/>
          <w:sz w:val="22"/>
          <w:szCs w:val="22"/>
        </w:rPr>
        <w:t>ies</w:t>
      </w:r>
      <w:proofErr w:type="spellEnd"/>
      <w:r w:rsidR="007D6427" w:rsidRPr="00E12BDB">
        <w:rPr>
          <w:rFonts w:ascii="Times New Roman" w:hAnsi="Times New Roman" w:cs="Times New Roman"/>
          <w:sz w:val="22"/>
          <w:szCs w:val="22"/>
        </w:rPr>
        <w:t>)</w:t>
      </w:r>
      <w:r w:rsidR="002E35BC" w:rsidRPr="00E12BDB">
        <w:rPr>
          <w:rFonts w:ascii="Times New Roman" w:hAnsi="Times New Roman" w:cs="Times New Roman"/>
          <w:sz w:val="22"/>
          <w:szCs w:val="22"/>
        </w:rPr>
        <w:t xml:space="preserve"> of justice of a political community.</w:t>
      </w:r>
      <w:r w:rsidR="009B062B" w:rsidRPr="00E12BDB">
        <w:rPr>
          <w:rFonts w:ascii="Times New Roman" w:hAnsi="Times New Roman" w:cs="Times New Roman"/>
          <w:sz w:val="22"/>
          <w:szCs w:val="22"/>
        </w:rPr>
        <w:t xml:space="preserve"> </w:t>
      </w:r>
      <w:r w:rsidR="00AB4017" w:rsidRPr="00E12BDB">
        <w:rPr>
          <w:rFonts w:ascii="Times New Roman" w:hAnsi="Times New Roman" w:cs="Times New Roman"/>
          <w:sz w:val="22"/>
          <w:szCs w:val="22"/>
        </w:rPr>
        <w:t>Further a substantive conception of the rule of law also mitigates</w:t>
      </w:r>
      <w:r w:rsidR="00A15C44">
        <w:rPr>
          <w:rFonts w:ascii="Times New Roman" w:hAnsi="Times New Roman" w:cs="Times New Roman"/>
          <w:sz w:val="22"/>
          <w:szCs w:val="22"/>
        </w:rPr>
        <w:t xml:space="preserve"> definitional</w:t>
      </w:r>
      <w:r w:rsidR="00AB4017" w:rsidRPr="00E12BDB">
        <w:rPr>
          <w:rFonts w:ascii="Times New Roman" w:hAnsi="Times New Roman" w:cs="Times New Roman"/>
          <w:sz w:val="22"/>
          <w:szCs w:val="22"/>
        </w:rPr>
        <w:t xml:space="preserve"> uncertainty</w:t>
      </w:r>
      <w:r w:rsidR="00A15C44">
        <w:rPr>
          <w:rFonts w:ascii="Times New Roman" w:hAnsi="Times New Roman" w:cs="Times New Roman"/>
          <w:sz w:val="22"/>
          <w:szCs w:val="22"/>
        </w:rPr>
        <w:t xml:space="preserve"> (and also disagreement)</w:t>
      </w:r>
      <w:r w:rsidR="00AB4017" w:rsidRPr="00E12BDB">
        <w:rPr>
          <w:rFonts w:ascii="Times New Roman" w:hAnsi="Times New Roman" w:cs="Times New Roman"/>
          <w:sz w:val="22"/>
          <w:szCs w:val="22"/>
        </w:rPr>
        <w:t xml:space="preserve"> by the commitment to a key presupposition underlying the rule of law: namely, that it protects individual liberty by imposing restraints or limitations (formal and substantive) on power. </w:t>
      </w:r>
      <w:r w:rsidR="00B1046A" w:rsidRPr="00E12BDB">
        <w:rPr>
          <w:rFonts w:ascii="Times New Roman" w:hAnsi="Times New Roman" w:cs="Times New Roman"/>
          <w:sz w:val="22"/>
          <w:szCs w:val="22"/>
        </w:rPr>
        <w:t xml:space="preserve">In this way it can be understood that both modes of understanding the rule of law are committed to a </w:t>
      </w:r>
      <w:r w:rsidR="00B1046A" w:rsidRPr="00E12BDB">
        <w:rPr>
          <w:rFonts w:ascii="Times New Roman" w:hAnsi="Times New Roman" w:cs="Times New Roman"/>
          <w:i/>
          <w:sz w:val="22"/>
          <w:szCs w:val="22"/>
        </w:rPr>
        <w:t xml:space="preserve">regulative </w:t>
      </w:r>
      <w:r w:rsidR="00137612">
        <w:rPr>
          <w:rFonts w:ascii="Times New Roman" w:hAnsi="Times New Roman" w:cs="Times New Roman"/>
          <w:sz w:val="22"/>
          <w:szCs w:val="22"/>
        </w:rPr>
        <w:t>understanding which operates within</w:t>
      </w:r>
      <w:r w:rsidR="00B1046A" w:rsidRPr="00E12BDB">
        <w:rPr>
          <w:rFonts w:ascii="Times New Roman" w:hAnsi="Times New Roman" w:cs="Times New Roman"/>
          <w:sz w:val="22"/>
          <w:szCs w:val="22"/>
        </w:rPr>
        <w:t xml:space="preserve"> the constituted power (</w:t>
      </w:r>
      <w:proofErr w:type="spellStart"/>
      <w:r w:rsidR="00B1046A" w:rsidRPr="00E12BDB">
        <w:rPr>
          <w:rFonts w:ascii="Times New Roman" w:hAnsi="Times New Roman" w:cs="Times New Roman"/>
          <w:i/>
          <w:sz w:val="22"/>
          <w:szCs w:val="22"/>
        </w:rPr>
        <w:t>pouvoir</w:t>
      </w:r>
      <w:proofErr w:type="spellEnd"/>
      <w:r w:rsidR="00B1046A" w:rsidRPr="00E12BDB">
        <w:rPr>
          <w:rFonts w:ascii="Times New Roman" w:hAnsi="Times New Roman" w:cs="Times New Roman"/>
          <w:i/>
          <w:sz w:val="22"/>
          <w:szCs w:val="22"/>
        </w:rPr>
        <w:t xml:space="preserve"> </w:t>
      </w:r>
      <w:proofErr w:type="spellStart"/>
      <w:r w:rsidR="00B1046A" w:rsidRPr="00E12BDB">
        <w:rPr>
          <w:rFonts w:ascii="Times New Roman" w:hAnsi="Times New Roman" w:cs="Times New Roman"/>
          <w:i/>
          <w:sz w:val="22"/>
          <w:szCs w:val="22"/>
        </w:rPr>
        <w:t>constitué</w:t>
      </w:r>
      <w:proofErr w:type="spellEnd"/>
      <w:r w:rsidR="00274B00" w:rsidRPr="00E12BDB">
        <w:rPr>
          <w:rFonts w:ascii="Times New Roman" w:hAnsi="Times New Roman" w:cs="Times New Roman"/>
          <w:sz w:val="22"/>
          <w:szCs w:val="22"/>
        </w:rPr>
        <w:t>) of the legal order</w:t>
      </w:r>
      <w:r w:rsidR="00B1046A" w:rsidRPr="00E12BDB">
        <w:rPr>
          <w:rFonts w:ascii="Times New Roman" w:hAnsi="Times New Roman" w:cs="Times New Roman"/>
          <w:sz w:val="22"/>
          <w:szCs w:val="22"/>
        </w:rPr>
        <w:t>.</w:t>
      </w:r>
      <w:r w:rsidR="00DE58BA" w:rsidRPr="00E12BDB">
        <w:rPr>
          <w:rFonts w:ascii="Times New Roman" w:hAnsi="Times New Roman" w:cs="Times New Roman"/>
          <w:sz w:val="22"/>
          <w:szCs w:val="22"/>
        </w:rPr>
        <w:t xml:space="preserve"> </w:t>
      </w:r>
      <w:r w:rsidR="00274B00" w:rsidRPr="00E12BDB">
        <w:rPr>
          <w:rFonts w:ascii="Times New Roman" w:hAnsi="Times New Roman" w:cs="Times New Roman"/>
          <w:sz w:val="22"/>
          <w:szCs w:val="22"/>
        </w:rPr>
        <w:t xml:space="preserve">In short, </w:t>
      </w:r>
      <w:r w:rsidR="003C4FD7">
        <w:rPr>
          <w:rFonts w:ascii="Times New Roman" w:hAnsi="Times New Roman" w:cs="Times New Roman"/>
          <w:sz w:val="22"/>
          <w:szCs w:val="22"/>
        </w:rPr>
        <w:t xml:space="preserve">it can be observed that in fact, despite initial appearances to the contrary, </w:t>
      </w:r>
      <w:r w:rsidR="00274B00" w:rsidRPr="00E12BDB">
        <w:rPr>
          <w:rFonts w:ascii="Times New Roman" w:hAnsi="Times New Roman" w:cs="Times New Roman"/>
          <w:sz w:val="22"/>
          <w:szCs w:val="22"/>
        </w:rPr>
        <w:t xml:space="preserve">the substantive conception does not disavow predictability as the core of the constituted legal order. </w:t>
      </w:r>
    </w:p>
    <w:p w14:paraId="02B47A4C" w14:textId="0A6DF885" w:rsidR="002C624A" w:rsidRPr="00E12BDB" w:rsidRDefault="00274B00"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t>What then becomes of the claim about the elusiveness or the fundamental uncertainty</w:t>
      </w:r>
      <w:r w:rsidR="003D0EE9" w:rsidRPr="00E12BDB">
        <w:rPr>
          <w:rFonts w:ascii="Times New Roman" w:hAnsi="Times New Roman" w:cs="Times New Roman"/>
          <w:sz w:val="22"/>
          <w:szCs w:val="22"/>
        </w:rPr>
        <w:t xml:space="preserve"> of the rule of law? In terms of the </w:t>
      </w:r>
      <w:r w:rsidR="003D0EE9" w:rsidRPr="00E12BDB">
        <w:rPr>
          <w:rFonts w:ascii="Times New Roman" w:hAnsi="Times New Roman" w:cs="Times New Roman"/>
          <w:i/>
          <w:sz w:val="22"/>
          <w:szCs w:val="22"/>
        </w:rPr>
        <w:t>regulative</w:t>
      </w:r>
      <w:r w:rsidR="003D0EE9" w:rsidRPr="00E12BDB">
        <w:rPr>
          <w:rFonts w:ascii="Times New Roman" w:hAnsi="Times New Roman" w:cs="Times New Roman"/>
          <w:sz w:val="22"/>
          <w:szCs w:val="22"/>
        </w:rPr>
        <w:t xml:space="preserve"> conception</w:t>
      </w:r>
      <w:r w:rsidR="003C4FD7">
        <w:rPr>
          <w:rFonts w:ascii="Times New Roman" w:hAnsi="Times New Roman" w:cs="Times New Roman"/>
          <w:sz w:val="22"/>
          <w:szCs w:val="22"/>
        </w:rPr>
        <w:t xml:space="preserve"> which is also a </w:t>
      </w:r>
      <w:r w:rsidR="003C4FD7">
        <w:rPr>
          <w:rFonts w:ascii="Times New Roman" w:hAnsi="Times New Roman" w:cs="Times New Roman"/>
          <w:i/>
          <w:sz w:val="22"/>
          <w:szCs w:val="22"/>
        </w:rPr>
        <w:t>substantive</w:t>
      </w:r>
      <w:r w:rsidR="003D0EE9" w:rsidRPr="00E12BDB">
        <w:rPr>
          <w:rFonts w:ascii="Times New Roman" w:hAnsi="Times New Roman" w:cs="Times New Roman"/>
          <w:sz w:val="22"/>
          <w:szCs w:val="22"/>
        </w:rPr>
        <w:t xml:space="preserve"> </w:t>
      </w:r>
      <w:r w:rsidR="003C4FD7">
        <w:rPr>
          <w:rFonts w:ascii="Times New Roman" w:hAnsi="Times New Roman" w:cs="Times New Roman"/>
          <w:sz w:val="22"/>
          <w:szCs w:val="22"/>
        </w:rPr>
        <w:t xml:space="preserve">conception of rule of law </w:t>
      </w:r>
      <w:r w:rsidR="003D0EE9" w:rsidRPr="00E12BDB">
        <w:rPr>
          <w:rFonts w:ascii="Times New Roman" w:hAnsi="Times New Roman" w:cs="Times New Roman"/>
          <w:sz w:val="22"/>
          <w:szCs w:val="22"/>
        </w:rPr>
        <w:t xml:space="preserve">uncertainty can be the disagreements of a political community about the substantive theories of justice which restrain the exercise of political power within a constituted legal order. </w:t>
      </w:r>
      <w:r w:rsidR="00793521" w:rsidRPr="00AD2006">
        <w:rPr>
          <w:rFonts w:ascii="Times New Roman" w:hAnsi="Times New Roman" w:cs="Times New Roman"/>
          <w:sz w:val="22"/>
          <w:szCs w:val="22"/>
        </w:rPr>
        <w:t xml:space="preserve">But there </w:t>
      </w:r>
      <w:r w:rsidR="004C18F3" w:rsidRPr="00AD2006">
        <w:rPr>
          <w:rFonts w:ascii="Times New Roman" w:hAnsi="Times New Roman" w:cs="Times New Roman"/>
          <w:sz w:val="22"/>
          <w:szCs w:val="22"/>
        </w:rPr>
        <w:t>remain</w:t>
      </w:r>
      <w:r w:rsidR="004C18F3">
        <w:rPr>
          <w:rFonts w:ascii="Times New Roman" w:hAnsi="Times New Roman" w:cs="Times New Roman"/>
          <w:sz w:val="22"/>
          <w:szCs w:val="22"/>
        </w:rPr>
        <w:t>s a significant question to resolve</w:t>
      </w:r>
      <w:r w:rsidR="00793521" w:rsidRPr="00AD2006">
        <w:rPr>
          <w:rFonts w:ascii="Times New Roman" w:hAnsi="Times New Roman" w:cs="Times New Roman"/>
          <w:sz w:val="22"/>
          <w:szCs w:val="22"/>
        </w:rPr>
        <w:t xml:space="preserve">: </w:t>
      </w:r>
      <w:r w:rsidR="001813A4" w:rsidRPr="00AD2006">
        <w:rPr>
          <w:rFonts w:ascii="Times New Roman" w:hAnsi="Times New Roman" w:cs="Times New Roman"/>
          <w:sz w:val="22"/>
          <w:szCs w:val="22"/>
        </w:rPr>
        <w:t xml:space="preserve">does the debate about </w:t>
      </w:r>
      <w:r w:rsidR="003C4FD7">
        <w:rPr>
          <w:rFonts w:ascii="Times New Roman" w:hAnsi="Times New Roman" w:cs="Times New Roman"/>
          <w:sz w:val="22"/>
          <w:szCs w:val="22"/>
        </w:rPr>
        <w:t>whether to adopt a procedural or a substantive conception</w:t>
      </w:r>
      <w:r w:rsidR="001813A4" w:rsidRPr="00AD2006">
        <w:rPr>
          <w:rFonts w:ascii="Times New Roman" w:hAnsi="Times New Roman" w:cs="Times New Roman"/>
          <w:sz w:val="22"/>
          <w:szCs w:val="22"/>
        </w:rPr>
        <w:t xml:space="preserve"> of the rule of law</w:t>
      </w:r>
      <w:r w:rsidR="007532D8" w:rsidRPr="00AD2006">
        <w:rPr>
          <w:rFonts w:ascii="Times New Roman" w:hAnsi="Times New Roman" w:cs="Times New Roman"/>
          <w:sz w:val="22"/>
          <w:szCs w:val="22"/>
        </w:rPr>
        <w:t xml:space="preserve"> exhaust the </w:t>
      </w:r>
      <w:r w:rsidR="001813A4" w:rsidRPr="00AD2006">
        <w:rPr>
          <w:rFonts w:ascii="Times New Roman" w:hAnsi="Times New Roman" w:cs="Times New Roman"/>
          <w:sz w:val="22"/>
          <w:szCs w:val="22"/>
        </w:rPr>
        <w:t xml:space="preserve">issue of </w:t>
      </w:r>
      <w:r w:rsidR="007532D8" w:rsidRPr="00AD2006">
        <w:rPr>
          <w:rFonts w:ascii="Times New Roman" w:hAnsi="Times New Roman" w:cs="Times New Roman"/>
          <w:sz w:val="22"/>
          <w:szCs w:val="22"/>
        </w:rPr>
        <w:t>uncertainty</w:t>
      </w:r>
      <w:r w:rsidR="001813A4" w:rsidRPr="00AD2006">
        <w:rPr>
          <w:rFonts w:ascii="Times New Roman" w:hAnsi="Times New Roman" w:cs="Times New Roman"/>
          <w:sz w:val="22"/>
          <w:szCs w:val="22"/>
        </w:rPr>
        <w:t xml:space="preserve"> in the concept</w:t>
      </w:r>
      <w:r w:rsidR="007532D8" w:rsidRPr="00AD2006">
        <w:rPr>
          <w:rFonts w:ascii="Times New Roman" w:hAnsi="Times New Roman" w:cs="Times New Roman"/>
          <w:sz w:val="22"/>
          <w:szCs w:val="22"/>
        </w:rPr>
        <w:t>? Is the</w:t>
      </w:r>
      <w:r w:rsidR="0072450E" w:rsidRPr="00AD2006">
        <w:rPr>
          <w:rFonts w:ascii="Times New Roman" w:hAnsi="Times New Roman" w:cs="Times New Roman"/>
          <w:sz w:val="22"/>
          <w:szCs w:val="22"/>
        </w:rPr>
        <w:t xml:space="preserve"> sense of</w:t>
      </w:r>
      <w:r w:rsidR="007532D8" w:rsidRPr="00AD2006">
        <w:rPr>
          <w:rFonts w:ascii="Times New Roman" w:hAnsi="Times New Roman" w:cs="Times New Roman"/>
          <w:sz w:val="22"/>
          <w:szCs w:val="22"/>
        </w:rPr>
        <w:t xml:space="preserve"> uncertainty</w:t>
      </w:r>
      <w:r w:rsidR="00534602">
        <w:rPr>
          <w:rFonts w:ascii="Times New Roman" w:hAnsi="Times New Roman" w:cs="Times New Roman"/>
          <w:sz w:val="22"/>
          <w:szCs w:val="22"/>
        </w:rPr>
        <w:t xml:space="preserve"> or elusiveness around the different understandings of the</w:t>
      </w:r>
      <w:r w:rsidR="0072450E" w:rsidRPr="00AD2006">
        <w:rPr>
          <w:rFonts w:ascii="Times New Roman" w:hAnsi="Times New Roman" w:cs="Times New Roman"/>
          <w:sz w:val="22"/>
          <w:szCs w:val="22"/>
        </w:rPr>
        <w:t xml:space="preserve"> rule of law</w:t>
      </w:r>
      <w:r w:rsidR="007532D8" w:rsidRPr="00AD2006">
        <w:rPr>
          <w:rFonts w:ascii="Times New Roman" w:hAnsi="Times New Roman" w:cs="Times New Roman"/>
          <w:sz w:val="22"/>
          <w:szCs w:val="22"/>
        </w:rPr>
        <w:t xml:space="preserve"> actually telling us something deeper</w:t>
      </w:r>
      <w:r w:rsidR="0072450E" w:rsidRPr="00AD2006">
        <w:rPr>
          <w:rFonts w:ascii="Times New Roman" w:hAnsi="Times New Roman" w:cs="Times New Roman"/>
          <w:sz w:val="22"/>
          <w:szCs w:val="22"/>
        </w:rPr>
        <w:t xml:space="preserve"> </w:t>
      </w:r>
      <w:r w:rsidR="0072450E" w:rsidRPr="00AD2006">
        <w:rPr>
          <w:rFonts w:ascii="Times New Roman" w:hAnsi="Times New Roman" w:cs="Times New Roman"/>
          <w:sz w:val="22"/>
          <w:szCs w:val="22"/>
        </w:rPr>
        <w:lastRenderedPageBreak/>
        <w:t>or more significant about the place of this concept in our constitutional thinking</w:t>
      </w:r>
      <w:r w:rsidR="00AD2006" w:rsidRPr="00AD2006">
        <w:rPr>
          <w:rFonts w:ascii="Times New Roman" w:hAnsi="Times New Roman" w:cs="Times New Roman"/>
          <w:sz w:val="22"/>
          <w:szCs w:val="22"/>
        </w:rPr>
        <w:t xml:space="preserve"> (is </w:t>
      </w:r>
      <w:r w:rsidR="001813A4" w:rsidRPr="00AD2006">
        <w:rPr>
          <w:rFonts w:ascii="Times New Roman" w:hAnsi="Times New Roman" w:cs="Times New Roman"/>
          <w:sz w:val="22"/>
          <w:szCs w:val="22"/>
        </w:rPr>
        <w:t>elusiveness a negative quality of the rule of law</w:t>
      </w:r>
      <w:r w:rsidR="00AD2006" w:rsidRPr="00AD2006">
        <w:rPr>
          <w:rFonts w:ascii="Times New Roman" w:hAnsi="Times New Roman" w:cs="Times New Roman"/>
          <w:sz w:val="22"/>
          <w:szCs w:val="22"/>
        </w:rPr>
        <w:t xml:space="preserve"> in any case</w:t>
      </w:r>
      <w:r w:rsidR="001813A4" w:rsidRPr="00AD2006">
        <w:rPr>
          <w:rFonts w:ascii="Times New Roman" w:hAnsi="Times New Roman" w:cs="Times New Roman"/>
          <w:sz w:val="22"/>
          <w:szCs w:val="22"/>
        </w:rPr>
        <w:t>)</w:t>
      </w:r>
      <w:r w:rsidR="003F5CFF" w:rsidRPr="00AD2006">
        <w:rPr>
          <w:rFonts w:ascii="Times New Roman" w:hAnsi="Times New Roman" w:cs="Times New Roman"/>
          <w:sz w:val="22"/>
          <w:szCs w:val="22"/>
        </w:rPr>
        <w:t xml:space="preserve">? </w:t>
      </w:r>
      <w:r w:rsidR="003F5CFF" w:rsidRPr="00E12BDB">
        <w:rPr>
          <w:rFonts w:ascii="Times New Roman" w:hAnsi="Times New Roman" w:cs="Times New Roman"/>
          <w:sz w:val="22"/>
          <w:szCs w:val="22"/>
        </w:rPr>
        <w:t>I hope to indicate these question</w:t>
      </w:r>
      <w:r w:rsidR="002C624A" w:rsidRPr="00E12BDB">
        <w:rPr>
          <w:rFonts w:ascii="Times New Roman" w:hAnsi="Times New Roman" w:cs="Times New Roman"/>
          <w:sz w:val="22"/>
          <w:szCs w:val="22"/>
        </w:rPr>
        <w:t>s</w:t>
      </w:r>
      <w:r w:rsidR="003F5CFF" w:rsidRPr="00E12BDB">
        <w:rPr>
          <w:rFonts w:ascii="Times New Roman" w:hAnsi="Times New Roman" w:cs="Times New Roman"/>
          <w:sz w:val="22"/>
          <w:szCs w:val="22"/>
        </w:rPr>
        <w:t xml:space="preserve"> are important </w:t>
      </w:r>
      <w:r w:rsidR="002C624A" w:rsidRPr="00E12BDB">
        <w:rPr>
          <w:rFonts w:ascii="Times New Roman" w:hAnsi="Times New Roman" w:cs="Times New Roman"/>
          <w:sz w:val="22"/>
          <w:szCs w:val="22"/>
        </w:rPr>
        <w:t xml:space="preserve">if we are properly to understand the relationship the rule of law under conditions of crisis. </w:t>
      </w:r>
    </w:p>
    <w:p w14:paraId="60C47380" w14:textId="77777777" w:rsidR="001813A4" w:rsidRPr="00E12BDB" w:rsidRDefault="001813A4" w:rsidP="00E12BDB">
      <w:pPr>
        <w:spacing w:line="360" w:lineRule="auto"/>
        <w:jc w:val="both"/>
        <w:rPr>
          <w:rFonts w:ascii="Times New Roman" w:hAnsi="Times New Roman" w:cs="Times New Roman"/>
          <w:sz w:val="22"/>
          <w:szCs w:val="22"/>
        </w:rPr>
      </w:pPr>
    </w:p>
    <w:p w14:paraId="6B8FD0B0" w14:textId="77777777" w:rsidR="003F5CFF" w:rsidRPr="00E12BDB" w:rsidRDefault="003F5CFF" w:rsidP="00E12BDB">
      <w:pPr>
        <w:spacing w:line="360" w:lineRule="auto"/>
        <w:jc w:val="both"/>
        <w:rPr>
          <w:rFonts w:ascii="Times New Roman" w:hAnsi="Times New Roman" w:cs="Times New Roman"/>
          <w:b/>
          <w:sz w:val="22"/>
          <w:szCs w:val="22"/>
        </w:rPr>
      </w:pPr>
      <w:r w:rsidRPr="00E12BDB">
        <w:rPr>
          <w:rFonts w:ascii="Times New Roman" w:hAnsi="Times New Roman" w:cs="Times New Roman"/>
          <w:b/>
          <w:sz w:val="22"/>
          <w:szCs w:val="22"/>
        </w:rPr>
        <w:t xml:space="preserve">2. The regulative and constitutive </w:t>
      </w:r>
      <w:r w:rsidR="006B3C07">
        <w:rPr>
          <w:rFonts w:ascii="Times New Roman" w:hAnsi="Times New Roman" w:cs="Times New Roman"/>
          <w:b/>
          <w:sz w:val="22"/>
          <w:szCs w:val="22"/>
        </w:rPr>
        <w:t xml:space="preserve">dimension of </w:t>
      </w:r>
      <w:r w:rsidRPr="00E12BDB">
        <w:rPr>
          <w:rFonts w:ascii="Times New Roman" w:hAnsi="Times New Roman" w:cs="Times New Roman"/>
          <w:b/>
          <w:sz w:val="22"/>
          <w:szCs w:val="22"/>
        </w:rPr>
        <w:t>rule of law</w:t>
      </w:r>
    </w:p>
    <w:p w14:paraId="0745E2F5" w14:textId="0BCC8803" w:rsidR="003F5CFF" w:rsidRPr="00E12BDB" w:rsidRDefault="007B314C"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t xml:space="preserve">Up to now the rule of law </w:t>
      </w:r>
      <w:r w:rsidR="00FA5A1C" w:rsidRPr="00E12BDB">
        <w:rPr>
          <w:rFonts w:ascii="Times New Roman" w:hAnsi="Times New Roman" w:cs="Times New Roman"/>
          <w:sz w:val="22"/>
          <w:szCs w:val="22"/>
        </w:rPr>
        <w:t>has been presented as a</w:t>
      </w:r>
      <w:r w:rsidRPr="00E12BDB">
        <w:rPr>
          <w:rFonts w:ascii="Times New Roman" w:hAnsi="Times New Roman" w:cs="Times New Roman"/>
          <w:sz w:val="22"/>
          <w:szCs w:val="22"/>
        </w:rPr>
        <w:t xml:space="preserve"> regulative</w:t>
      </w:r>
      <w:r w:rsidR="00FA5A1C" w:rsidRPr="00E12BDB">
        <w:rPr>
          <w:rFonts w:ascii="Times New Roman" w:hAnsi="Times New Roman" w:cs="Times New Roman"/>
          <w:sz w:val="22"/>
          <w:szCs w:val="22"/>
        </w:rPr>
        <w:t xml:space="preserve"> concept</w:t>
      </w:r>
      <w:r w:rsidR="00A548D5" w:rsidRPr="00E12BDB">
        <w:rPr>
          <w:rFonts w:ascii="Times New Roman" w:hAnsi="Times New Roman" w:cs="Times New Roman"/>
          <w:sz w:val="22"/>
          <w:szCs w:val="22"/>
        </w:rPr>
        <w:t xml:space="preserve">, </w:t>
      </w:r>
      <w:r w:rsidRPr="00E12BDB">
        <w:rPr>
          <w:rFonts w:ascii="Times New Roman" w:hAnsi="Times New Roman" w:cs="Times New Roman"/>
          <w:sz w:val="22"/>
          <w:szCs w:val="22"/>
        </w:rPr>
        <w:t xml:space="preserve">as operating within the constituted </w:t>
      </w:r>
      <w:r w:rsidR="00A548D5" w:rsidRPr="00E12BDB">
        <w:rPr>
          <w:rFonts w:ascii="Times New Roman" w:hAnsi="Times New Roman" w:cs="Times New Roman"/>
          <w:sz w:val="22"/>
          <w:szCs w:val="22"/>
        </w:rPr>
        <w:t xml:space="preserve">legal order </w:t>
      </w:r>
      <w:r w:rsidRPr="00E12BDB">
        <w:rPr>
          <w:rFonts w:ascii="Times New Roman" w:hAnsi="Times New Roman" w:cs="Times New Roman"/>
          <w:sz w:val="22"/>
          <w:szCs w:val="22"/>
        </w:rPr>
        <w:t>in order t</w:t>
      </w:r>
      <w:r w:rsidR="00FA5A1C" w:rsidRPr="00E12BDB">
        <w:rPr>
          <w:rFonts w:ascii="Times New Roman" w:hAnsi="Times New Roman" w:cs="Times New Roman"/>
          <w:sz w:val="22"/>
          <w:szCs w:val="22"/>
        </w:rPr>
        <w:t xml:space="preserve">o limit or </w:t>
      </w:r>
      <w:r w:rsidR="005A7699" w:rsidRPr="00E12BDB">
        <w:rPr>
          <w:rFonts w:ascii="Times New Roman" w:hAnsi="Times New Roman" w:cs="Times New Roman"/>
          <w:sz w:val="22"/>
          <w:szCs w:val="22"/>
        </w:rPr>
        <w:t>rest</w:t>
      </w:r>
      <w:r w:rsidR="00A548D5" w:rsidRPr="00E12BDB">
        <w:rPr>
          <w:rFonts w:ascii="Times New Roman" w:hAnsi="Times New Roman" w:cs="Times New Roman"/>
          <w:sz w:val="22"/>
          <w:szCs w:val="22"/>
        </w:rPr>
        <w:t>rain (regulate)</w:t>
      </w:r>
      <w:r w:rsidR="00F84782">
        <w:rPr>
          <w:rFonts w:ascii="Times New Roman" w:hAnsi="Times New Roman" w:cs="Times New Roman"/>
          <w:sz w:val="22"/>
          <w:szCs w:val="22"/>
        </w:rPr>
        <w:t xml:space="preserve"> by rules or wider principles</w:t>
      </w:r>
      <w:r w:rsidR="00A548D5" w:rsidRPr="00E12BDB">
        <w:rPr>
          <w:rFonts w:ascii="Times New Roman" w:hAnsi="Times New Roman" w:cs="Times New Roman"/>
          <w:sz w:val="22"/>
          <w:szCs w:val="22"/>
        </w:rPr>
        <w:t xml:space="preserve">, however, </w:t>
      </w:r>
      <w:r w:rsidR="005A7699" w:rsidRPr="00E12BDB">
        <w:rPr>
          <w:rFonts w:ascii="Times New Roman" w:hAnsi="Times New Roman" w:cs="Times New Roman"/>
          <w:sz w:val="22"/>
          <w:szCs w:val="22"/>
        </w:rPr>
        <w:t xml:space="preserve">this narrow focus does </w:t>
      </w:r>
      <w:r w:rsidR="00C524F2" w:rsidRPr="00E12BDB">
        <w:rPr>
          <w:rFonts w:ascii="Times New Roman" w:hAnsi="Times New Roman" w:cs="Times New Roman"/>
          <w:sz w:val="22"/>
          <w:szCs w:val="22"/>
        </w:rPr>
        <w:t>lea</w:t>
      </w:r>
      <w:r w:rsidR="00FA5A1C" w:rsidRPr="00E12BDB">
        <w:rPr>
          <w:rFonts w:ascii="Times New Roman" w:hAnsi="Times New Roman" w:cs="Times New Roman"/>
          <w:sz w:val="22"/>
          <w:szCs w:val="22"/>
        </w:rPr>
        <w:t xml:space="preserve">d to a partial picture of </w:t>
      </w:r>
      <w:r w:rsidR="005A7699" w:rsidRPr="00E12BDB">
        <w:rPr>
          <w:rFonts w:ascii="Times New Roman" w:hAnsi="Times New Roman" w:cs="Times New Roman"/>
          <w:sz w:val="22"/>
          <w:szCs w:val="22"/>
        </w:rPr>
        <w:t>its</w:t>
      </w:r>
      <w:r w:rsidR="00A548D5" w:rsidRPr="00E12BDB">
        <w:rPr>
          <w:rFonts w:ascii="Times New Roman" w:hAnsi="Times New Roman" w:cs="Times New Roman"/>
          <w:sz w:val="22"/>
          <w:szCs w:val="22"/>
        </w:rPr>
        <w:t xml:space="preserve"> role</w:t>
      </w:r>
      <w:r w:rsidR="005A7699" w:rsidRPr="00E12BDB">
        <w:rPr>
          <w:rFonts w:ascii="Times New Roman" w:hAnsi="Times New Roman" w:cs="Times New Roman"/>
          <w:sz w:val="22"/>
          <w:szCs w:val="22"/>
        </w:rPr>
        <w:t xml:space="preserve"> in constitutional thinking. </w:t>
      </w:r>
      <w:r w:rsidR="00A548D5" w:rsidRPr="00E12BDB">
        <w:rPr>
          <w:rFonts w:ascii="Times New Roman" w:hAnsi="Times New Roman" w:cs="Times New Roman"/>
          <w:sz w:val="22"/>
          <w:szCs w:val="22"/>
        </w:rPr>
        <w:t>In this section the question</w:t>
      </w:r>
      <w:r w:rsidR="00534602">
        <w:rPr>
          <w:rFonts w:ascii="Times New Roman" w:hAnsi="Times New Roman" w:cs="Times New Roman"/>
          <w:sz w:val="22"/>
          <w:szCs w:val="22"/>
        </w:rPr>
        <w:t xml:space="preserve"> of the rule of law uncertainty or </w:t>
      </w:r>
      <w:r w:rsidR="00A548D5" w:rsidRPr="00E12BDB">
        <w:rPr>
          <w:rFonts w:ascii="Times New Roman" w:hAnsi="Times New Roman" w:cs="Times New Roman"/>
          <w:sz w:val="22"/>
          <w:szCs w:val="22"/>
        </w:rPr>
        <w:t>elusiveness will be considere</w:t>
      </w:r>
      <w:r w:rsidR="00534602">
        <w:rPr>
          <w:rFonts w:ascii="Times New Roman" w:hAnsi="Times New Roman" w:cs="Times New Roman"/>
          <w:sz w:val="22"/>
          <w:szCs w:val="22"/>
        </w:rPr>
        <w:t>d in relation to how the rule of law</w:t>
      </w:r>
      <w:r w:rsidR="00A548D5" w:rsidRPr="00E12BDB">
        <w:rPr>
          <w:rFonts w:ascii="Times New Roman" w:hAnsi="Times New Roman" w:cs="Times New Roman"/>
          <w:sz w:val="22"/>
          <w:szCs w:val="22"/>
        </w:rPr>
        <w:t xml:space="preserve"> can perform a constitutive </w:t>
      </w:r>
      <w:r w:rsidR="00C524F2" w:rsidRPr="00E12BDB">
        <w:rPr>
          <w:rFonts w:ascii="Times New Roman" w:hAnsi="Times New Roman" w:cs="Times New Roman"/>
          <w:sz w:val="22"/>
          <w:szCs w:val="22"/>
        </w:rPr>
        <w:t xml:space="preserve">function for the legal order. </w:t>
      </w:r>
      <w:r w:rsidR="00534602">
        <w:rPr>
          <w:rFonts w:ascii="Times New Roman" w:hAnsi="Times New Roman" w:cs="Times New Roman"/>
          <w:sz w:val="22"/>
          <w:szCs w:val="22"/>
        </w:rPr>
        <w:t xml:space="preserve">Pursuing this </w:t>
      </w:r>
      <w:r w:rsidR="00137612">
        <w:rPr>
          <w:rFonts w:ascii="Times New Roman" w:hAnsi="Times New Roman" w:cs="Times New Roman"/>
          <w:sz w:val="22"/>
          <w:szCs w:val="22"/>
        </w:rPr>
        <w:t>issue,</w:t>
      </w:r>
      <w:r w:rsidR="00534602">
        <w:rPr>
          <w:rFonts w:ascii="Times New Roman" w:hAnsi="Times New Roman" w:cs="Times New Roman"/>
          <w:sz w:val="22"/>
          <w:szCs w:val="22"/>
        </w:rPr>
        <w:t xml:space="preserve"> the article seeks to explore the inter-relationship between the rule of law and another central concept in the cannon of constitutional theory, the constituent power. </w:t>
      </w:r>
    </w:p>
    <w:p w14:paraId="1F207D97" w14:textId="77777777" w:rsidR="00D55C11" w:rsidRPr="00E12BDB" w:rsidRDefault="00117592" w:rsidP="00E12BDB">
      <w:pPr>
        <w:spacing w:line="360" w:lineRule="auto"/>
        <w:jc w:val="both"/>
        <w:rPr>
          <w:rFonts w:ascii="Times New Roman" w:hAnsi="Times New Roman" w:cs="Times New Roman"/>
          <w:sz w:val="22"/>
          <w:szCs w:val="22"/>
        </w:rPr>
      </w:pPr>
      <w:r w:rsidRPr="00E12BDB">
        <w:rPr>
          <w:rFonts w:ascii="Times New Roman" w:hAnsi="Times New Roman" w:cs="Times New Roman"/>
          <w:sz w:val="22"/>
          <w:szCs w:val="22"/>
        </w:rPr>
        <w:t>In his account of the social construction of real</w:t>
      </w:r>
      <w:r w:rsidR="00FE13D5">
        <w:rPr>
          <w:rFonts w:ascii="Times New Roman" w:hAnsi="Times New Roman" w:cs="Times New Roman"/>
          <w:sz w:val="22"/>
          <w:szCs w:val="22"/>
        </w:rPr>
        <w:t>ity the philosopher John Searle argues that in</w:t>
      </w:r>
      <w:r w:rsidR="006D1F67" w:rsidRPr="00E12BDB">
        <w:rPr>
          <w:rFonts w:ascii="Times New Roman" w:hAnsi="Times New Roman" w:cs="Times New Roman"/>
          <w:sz w:val="22"/>
          <w:szCs w:val="22"/>
        </w:rPr>
        <w:t xml:space="preserve"> the conduct of</w:t>
      </w:r>
      <w:r w:rsidRPr="00E12BDB">
        <w:rPr>
          <w:rFonts w:ascii="Times New Roman" w:hAnsi="Times New Roman" w:cs="Times New Roman"/>
          <w:sz w:val="22"/>
          <w:szCs w:val="22"/>
        </w:rPr>
        <w:t xml:space="preserve"> games and language</w:t>
      </w:r>
      <w:r w:rsidR="00E206C6" w:rsidRPr="00E12BDB">
        <w:rPr>
          <w:rFonts w:ascii="Times New Roman" w:hAnsi="Times New Roman" w:cs="Times New Roman"/>
          <w:sz w:val="22"/>
          <w:szCs w:val="22"/>
        </w:rPr>
        <w:t xml:space="preserve"> there exist both</w:t>
      </w:r>
      <w:r w:rsidRPr="00E12BDB">
        <w:rPr>
          <w:rFonts w:ascii="Times New Roman" w:hAnsi="Times New Roman" w:cs="Times New Roman"/>
          <w:sz w:val="22"/>
          <w:szCs w:val="22"/>
        </w:rPr>
        <w:t xml:space="preserve"> regulative and constitutive rules. </w:t>
      </w:r>
      <w:r w:rsidR="006D1F67" w:rsidRPr="00E12BDB">
        <w:rPr>
          <w:rFonts w:ascii="Times New Roman" w:hAnsi="Times New Roman" w:cs="Times New Roman"/>
          <w:sz w:val="22"/>
          <w:szCs w:val="22"/>
        </w:rPr>
        <w:t xml:space="preserve">For Searle common activities of social construction require not only rules which are able to regulate or control behaviours but also </w:t>
      </w:r>
      <w:r w:rsidR="00E206C6" w:rsidRPr="00E12BDB">
        <w:rPr>
          <w:rFonts w:ascii="Times New Roman" w:hAnsi="Times New Roman" w:cs="Times New Roman"/>
          <w:sz w:val="22"/>
          <w:szCs w:val="22"/>
        </w:rPr>
        <w:t xml:space="preserve">a recognition that those rules can come to </w:t>
      </w:r>
      <w:r w:rsidR="006D1F67" w:rsidRPr="00E12BDB">
        <w:rPr>
          <w:rFonts w:ascii="Times New Roman" w:hAnsi="Times New Roman" w:cs="Times New Roman"/>
          <w:sz w:val="22"/>
          <w:szCs w:val="22"/>
        </w:rPr>
        <w:t xml:space="preserve">constitute </w:t>
      </w:r>
      <w:r w:rsidR="00E206C6" w:rsidRPr="00E12BDB">
        <w:rPr>
          <w:rFonts w:ascii="Times New Roman" w:hAnsi="Times New Roman" w:cs="Times New Roman"/>
          <w:sz w:val="22"/>
          <w:szCs w:val="22"/>
        </w:rPr>
        <w:t xml:space="preserve">or define the </w:t>
      </w:r>
      <w:r w:rsidR="006D1F67" w:rsidRPr="00E12BDB">
        <w:rPr>
          <w:rFonts w:ascii="Times New Roman" w:hAnsi="Times New Roman" w:cs="Times New Roman"/>
          <w:sz w:val="22"/>
          <w:szCs w:val="22"/>
        </w:rPr>
        <w:t>nature or pu</w:t>
      </w:r>
      <w:r w:rsidR="00E206C6" w:rsidRPr="00E12BDB">
        <w:rPr>
          <w:rFonts w:ascii="Times New Roman" w:hAnsi="Times New Roman" w:cs="Times New Roman"/>
          <w:sz w:val="22"/>
          <w:szCs w:val="22"/>
        </w:rPr>
        <w:t>rpose of that common activity</w:t>
      </w:r>
      <w:r w:rsidR="00DE58BA">
        <w:rPr>
          <w:rFonts w:ascii="Times New Roman" w:hAnsi="Times New Roman" w:cs="Times New Roman"/>
          <w:sz w:val="22"/>
          <w:szCs w:val="22"/>
        </w:rPr>
        <w:t xml:space="preserve"> (Searle, 1969 and 1995)</w:t>
      </w:r>
      <w:r w:rsidR="00E206C6" w:rsidRPr="00E12BDB">
        <w:rPr>
          <w:rFonts w:ascii="Times New Roman" w:hAnsi="Times New Roman" w:cs="Times New Roman"/>
          <w:sz w:val="22"/>
          <w:szCs w:val="22"/>
        </w:rPr>
        <w:t xml:space="preserve">. The </w:t>
      </w:r>
      <w:r w:rsidR="0007090F" w:rsidRPr="00E12BDB">
        <w:rPr>
          <w:rFonts w:ascii="Times New Roman" w:hAnsi="Times New Roman" w:cs="Times New Roman"/>
          <w:sz w:val="22"/>
          <w:szCs w:val="22"/>
        </w:rPr>
        <w:t xml:space="preserve">constitutive rules or norms entail the </w:t>
      </w:r>
      <w:r w:rsidR="00FA1965" w:rsidRPr="00E12BDB">
        <w:rPr>
          <w:rFonts w:ascii="Times New Roman" w:hAnsi="Times New Roman" w:cs="Times New Roman"/>
          <w:sz w:val="22"/>
          <w:szCs w:val="22"/>
        </w:rPr>
        <w:t>formulation of</w:t>
      </w:r>
      <w:r w:rsidR="00E206C6" w:rsidRPr="00E12BDB">
        <w:rPr>
          <w:rFonts w:ascii="Times New Roman" w:hAnsi="Times New Roman" w:cs="Times New Roman"/>
          <w:sz w:val="22"/>
          <w:szCs w:val="22"/>
        </w:rPr>
        <w:t xml:space="preserve"> beliefs or intentio</w:t>
      </w:r>
      <w:r w:rsidR="0007090F" w:rsidRPr="00E12BDB">
        <w:rPr>
          <w:rFonts w:ascii="Times New Roman" w:hAnsi="Times New Roman" w:cs="Times New Roman"/>
          <w:sz w:val="22"/>
          <w:szCs w:val="22"/>
        </w:rPr>
        <w:t xml:space="preserve">ns about the social practice, or the stance that we might take in relation to the regulative rules of the </w:t>
      </w:r>
      <w:r w:rsidR="00741F30" w:rsidRPr="00E12BDB">
        <w:rPr>
          <w:rFonts w:ascii="Times New Roman" w:hAnsi="Times New Roman" w:cs="Times New Roman"/>
          <w:sz w:val="22"/>
          <w:szCs w:val="22"/>
        </w:rPr>
        <w:t>social practice. Particularly in the case of complex social practices such as language and law</w:t>
      </w:r>
      <w:r w:rsidR="005B58F1" w:rsidRPr="00E12BDB">
        <w:rPr>
          <w:rFonts w:ascii="Times New Roman" w:hAnsi="Times New Roman" w:cs="Times New Roman"/>
          <w:sz w:val="22"/>
          <w:szCs w:val="22"/>
        </w:rPr>
        <w:t>;</w:t>
      </w:r>
      <w:r w:rsidR="00741F30" w:rsidRPr="00E12BDB">
        <w:rPr>
          <w:rFonts w:ascii="Times New Roman" w:hAnsi="Times New Roman" w:cs="Times New Roman"/>
          <w:sz w:val="22"/>
          <w:szCs w:val="22"/>
        </w:rPr>
        <w:t xml:space="preserve"> the attitude or stance in relation to the purpose of the practice becomes integral to the question of </w:t>
      </w:r>
      <w:r w:rsidR="00FA1965" w:rsidRPr="00E12BDB">
        <w:rPr>
          <w:rFonts w:ascii="Times New Roman" w:hAnsi="Times New Roman" w:cs="Times New Roman"/>
          <w:sz w:val="22"/>
          <w:szCs w:val="22"/>
        </w:rPr>
        <w:t xml:space="preserve">how changes and innovations occur over time (diachronic change). </w:t>
      </w:r>
      <w:r w:rsidR="001D0A2E" w:rsidRPr="00E12BDB">
        <w:rPr>
          <w:rFonts w:ascii="Times New Roman" w:hAnsi="Times New Roman" w:cs="Times New Roman"/>
          <w:sz w:val="22"/>
          <w:szCs w:val="22"/>
        </w:rPr>
        <w:t xml:space="preserve"> There is of course a connection between changes to regulative rule</w:t>
      </w:r>
      <w:r w:rsidR="00D7642E" w:rsidRPr="00E12BDB">
        <w:rPr>
          <w:rFonts w:ascii="Times New Roman" w:hAnsi="Times New Roman" w:cs="Times New Roman"/>
          <w:sz w:val="22"/>
          <w:szCs w:val="22"/>
        </w:rPr>
        <w:t>s</w:t>
      </w:r>
      <w:r w:rsidR="001D0A2E" w:rsidRPr="00E12BDB">
        <w:rPr>
          <w:rFonts w:ascii="Times New Roman" w:hAnsi="Times New Roman" w:cs="Times New Roman"/>
          <w:sz w:val="22"/>
          <w:szCs w:val="22"/>
        </w:rPr>
        <w:t xml:space="preserve"> and how the practice is constituted but critically this depends upon an interpretive stance in relation to the meaning or purpose of how the practice is conducted. </w:t>
      </w:r>
      <w:r w:rsidR="00D7642E" w:rsidRPr="00E12BDB">
        <w:rPr>
          <w:rFonts w:ascii="Times New Roman" w:hAnsi="Times New Roman" w:cs="Times New Roman"/>
          <w:sz w:val="22"/>
          <w:szCs w:val="22"/>
        </w:rPr>
        <w:t>So</w:t>
      </w:r>
      <w:r w:rsidR="006D01AF" w:rsidRPr="00E12BDB">
        <w:rPr>
          <w:rFonts w:ascii="Times New Roman" w:hAnsi="Times New Roman" w:cs="Times New Roman"/>
          <w:sz w:val="22"/>
          <w:szCs w:val="22"/>
        </w:rPr>
        <w:t>,</w:t>
      </w:r>
      <w:r w:rsidR="00FE13D5">
        <w:rPr>
          <w:rFonts w:ascii="Times New Roman" w:hAnsi="Times New Roman" w:cs="Times New Roman"/>
          <w:sz w:val="22"/>
          <w:szCs w:val="22"/>
        </w:rPr>
        <w:t xml:space="preserve"> for instance, given a particular</w:t>
      </w:r>
      <w:r w:rsidR="00D7642E" w:rsidRPr="00E12BDB">
        <w:rPr>
          <w:rFonts w:ascii="Times New Roman" w:hAnsi="Times New Roman" w:cs="Times New Roman"/>
          <w:sz w:val="22"/>
          <w:szCs w:val="22"/>
        </w:rPr>
        <w:t xml:space="preserve"> attitude </w:t>
      </w:r>
      <w:r w:rsidR="005735EE" w:rsidRPr="00E12BDB">
        <w:rPr>
          <w:rFonts w:ascii="Times New Roman" w:hAnsi="Times New Roman" w:cs="Times New Roman"/>
          <w:sz w:val="22"/>
          <w:szCs w:val="22"/>
        </w:rPr>
        <w:t>about the nature of a practice one</w:t>
      </w:r>
      <w:r w:rsidR="00D7642E" w:rsidRPr="00E12BDB">
        <w:rPr>
          <w:rFonts w:ascii="Times New Roman" w:hAnsi="Times New Roman" w:cs="Times New Roman"/>
          <w:sz w:val="22"/>
          <w:szCs w:val="22"/>
        </w:rPr>
        <w:t xml:space="preserve"> might advocate changes to the regulative rules which in</w:t>
      </w:r>
      <w:r w:rsidR="005735EE" w:rsidRPr="00E12BDB">
        <w:rPr>
          <w:rFonts w:ascii="Times New Roman" w:hAnsi="Times New Roman" w:cs="Times New Roman"/>
          <w:sz w:val="22"/>
          <w:szCs w:val="22"/>
        </w:rPr>
        <w:t xml:space="preserve"> turn</w:t>
      </w:r>
      <w:r w:rsidR="00CA3AA1">
        <w:rPr>
          <w:rFonts w:ascii="Times New Roman" w:hAnsi="Times New Roman" w:cs="Times New Roman"/>
          <w:sz w:val="22"/>
          <w:szCs w:val="22"/>
        </w:rPr>
        <w:t xml:space="preserve"> prompt constitutive transformation of </w:t>
      </w:r>
      <w:r w:rsidR="00D7642E" w:rsidRPr="00E12BDB">
        <w:rPr>
          <w:rFonts w:ascii="Times New Roman" w:hAnsi="Times New Roman" w:cs="Times New Roman"/>
          <w:sz w:val="22"/>
          <w:szCs w:val="22"/>
        </w:rPr>
        <w:t>the social practice</w:t>
      </w:r>
      <w:r w:rsidR="005735EE" w:rsidRPr="00E12BDB">
        <w:rPr>
          <w:rFonts w:ascii="Times New Roman" w:hAnsi="Times New Roman" w:cs="Times New Roman"/>
          <w:sz w:val="22"/>
          <w:szCs w:val="22"/>
        </w:rPr>
        <w:t xml:space="preserve">. </w:t>
      </w:r>
    </w:p>
    <w:p w14:paraId="3C7EC041" w14:textId="740AB6CF" w:rsidR="009C152F" w:rsidRDefault="00D55C11" w:rsidP="00E12BDB">
      <w:pPr>
        <w:spacing w:line="360" w:lineRule="auto"/>
        <w:jc w:val="both"/>
        <w:rPr>
          <w:rFonts w:ascii="Times New Roman" w:hAnsi="Times New Roman" w:cs="Times New Roman"/>
          <w:sz w:val="22"/>
          <w:szCs w:val="22"/>
        </w:rPr>
      </w:pPr>
      <w:r>
        <w:rPr>
          <w:rFonts w:ascii="Times New Roman" w:hAnsi="Times New Roman" w:cs="Times New Roman"/>
          <w:sz w:val="22"/>
          <w:szCs w:val="22"/>
        </w:rPr>
        <w:t>Returning to the theme of uncertainty it is possible that the constitutive rules of a social practice introduce the greatest extent of elusiveness because it will depend upon forming a societal attitude in respect of the social practice and the</w:t>
      </w:r>
      <w:r w:rsidR="003B7524">
        <w:rPr>
          <w:rFonts w:ascii="Times New Roman" w:hAnsi="Times New Roman" w:cs="Times New Roman"/>
          <w:sz w:val="22"/>
          <w:szCs w:val="22"/>
        </w:rPr>
        <w:t xml:space="preserve"> consequent</w:t>
      </w:r>
      <w:r>
        <w:rPr>
          <w:rFonts w:ascii="Times New Roman" w:hAnsi="Times New Roman" w:cs="Times New Roman"/>
          <w:sz w:val="22"/>
          <w:szCs w:val="22"/>
        </w:rPr>
        <w:t xml:space="preserve"> change or innovation to the regulatory rules. There is clearly an open space of debate, discussion or contestation to be worked out in respect of constitutive rules which must take place prior to the application of th</w:t>
      </w:r>
      <w:r w:rsidR="003B7524">
        <w:rPr>
          <w:rFonts w:ascii="Times New Roman" w:hAnsi="Times New Roman" w:cs="Times New Roman"/>
          <w:sz w:val="22"/>
          <w:szCs w:val="22"/>
        </w:rPr>
        <w:t>e regulatory rules</w:t>
      </w:r>
      <w:r w:rsidR="00FF4C4E">
        <w:rPr>
          <w:rFonts w:ascii="Times New Roman" w:hAnsi="Times New Roman" w:cs="Times New Roman"/>
          <w:sz w:val="22"/>
          <w:szCs w:val="22"/>
        </w:rPr>
        <w:t xml:space="preserve"> (including substantive principles)</w:t>
      </w:r>
      <w:r w:rsidR="003B7524">
        <w:rPr>
          <w:rFonts w:ascii="Times New Roman" w:hAnsi="Times New Roman" w:cs="Times New Roman"/>
          <w:sz w:val="22"/>
          <w:szCs w:val="22"/>
        </w:rPr>
        <w:t xml:space="preserve">. </w:t>
      </w:r>
      <w:r w:rsidR="008535E3">
        <w:rPr>
          <w:rFonts w:ascii="Times New Roman" w:hAnsi="Times New Roman" w:cs="Times New Roman"/>
          <w:sz w:val="22"/>
          <w:szCs w:val="22"/>
        </w:rPr>
        <w:t>It is</w:t>
      </w:r>
      <w:r w:rsidR="00EF31F8">
        <w:rPr>
          <w:rFonts w:ascii="Times New Roman" w:hAnsi="Times New Roman" w:cs="Times New Roman"/>
          <w:sz w:val="22"/>
          <w:szCs w:val="22"/>
        </w:rPr>
        <w:t>,</w:t>
      </w:r>
      <w:r w:rsidR="008535E3">
        <w:rPr>
          <w:rFonts w:ascii="Times New Roman" w:hAnsi="Times New Roman" w:cs="Times New Roman"/>
          <w:sz w:val="22"/>
          <w:szCs w:val="22"/>
        </w:rPr>
        <w:t xml:space="preserve"> therefore</w:t>
      </w:r>
      <w:r w:rsidR="00EF31F8">
        <w:rPr>
          <w:rFonts w:ascii="Times New Roman" w:hAnsi="Times New Roman" w:cs="Times New Roman"/>
          <w:sz w:val="22"/>
          <w:szCs w:val="22"/>
        </w:rPr>
        <w:t>,</w:t>
      </w:r>
      <w:r w:rsidR="008535E3">
        <w:rPr>
          <w:rFonts w:ascii="Times New Roman" w:hAnsi="Times New Roman" w:cs="Times New Roman"/>
          <w:sz w:val="22"/>
          <w:szCs w:val="22"/>
        </w:rPr>
        <w:t xml:space="preserve"> important to</w:t>
      </w:r>
      <w:r w:rsidR="00137612">
        <w:rPr>
          <w:rFonts w:ascii="Times New Roman" w:hAnsi="Times New Roman" w:cs="Times New Roman"/>
          <w:sz w:val="22"/>
          <w:szCs w:val="22"/>
        </w:rPr>
        <w:t xml:space="preserve"> probe further into the matter as to </w:t>
      </w:r>
      <w:r w:rsidR="008535E3">
        <w:rPr>
          <w:rFonts w:ascii="Times New Roman" w:hAnsi="Times New Roman" w:cs="Times New Roman"/>
          <w:sz w:val="22"/>
          <w:szCs w:val="22"/>
        </w:rPr>
        <w:t>ho</w:t>
      </w:r>
      <w:r w:rsidR="00FF4C4E">
        <w:rPr>
          <w:rFonts w:ascii="Times New Roman" w:hAnsi="Times New Roman" w:cs="Times New Roman"/>
          <w:sz w:val="22"/>
          <w:szCs w:val="22"/>
        </w:rPr>
        <w:t xml:space="preserve">w constitutive rules are formed, and </w:t>
      </w:r>
      <w:r w:rsidR="00EF31F8">
        <w:rPr>
          <w:rFonts w:ascii="Times New Roman" w:hAnsi="Times New Roman" w:cs="Times New Roman"/>
          <w:sz w:val="22"/>
          <w:szCs w:val="22"/>
        </w:rPr>
        <w:t xml:space="preserve">by </w:t>
      </w:r>
      <w:r w:rsidR="00FF4C4E">
        <w:rPr>
          <w:rFonts w:ascii="Times New Roman" w:hAnsi="Times New Roman" w:cs="Times New Roman"/>
          <w:sz w:val="22"/>
          <w:szCs w:val="22"/>
        </w:rPr>
        <w:t xml:space="preserve">what kind </w:t>
      </w:r>
      <w:r w:rsidR="009C152F">
        <w:rPr>
          <w:rFonts w:ascii="Times New Roman" w:hAnsi="Times New Roman" w:cs="Times New Roman"/>
          <w:sz w:val="22"/>
          <w:szCs w:val="22"/>
        </w:rPr>
        <w:t>of practical involvement</w:t>
      </w:r>
      <w:r w:rsidR="00FF4C4E">
        <w:rPr>
          <w:rFonts w:ascii="Times New Roman" w:hAnsi="Times New Roman" w:cs="Times New Roman"/>
          <w:sz w:val="22"/>
          <w:szCs w:val="22"/>
        </w:rPr>
        <w:t>,</w:t>
      </w:r>
      <w:r w:rsidR="00EF31F8">
        <w:rPr>
          <w:rFonts w:ascii="Times New Roman" w:hAnsi="Times New Roman" w:cs="Times New Roman"/>
          <w:sz w:val="22"/>
          <w:szCs w:val="22"/>
        </w:rPr>
        <w:t xml:space="preserve"> </w:t>
      </w:r>
      <w:r w:rsidR="009C152F">
        <w:rPr>
          <w:rFonts w:ascii="Times New Roman" w:hAnsi="Times New Roman" w:cs="Times New Roman"/>
          <w:sz w:val="22"/>
          <w:szCs w:val="22"/>
        </w:rPr>
        <w:t xml:space="preserve">before coming to any particular conclusions about the problem of uncertainty in constitutive rules. </w:t>
      </w:r>
    </w:p>
    <w:p w14:paraId="65A25281" w14:textId="18A2D0BD" w:rsidR="007A5468" w:rsidRPr="007A5468" w:rsidRDefault="00EF31F8" w:rsidP="007A5468">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At the heart of the problem of understanding constitutive rules is the relationship between the individual agency or participation in complex social practice. How do individual acts of participation provide collective meaning and shape the way a practice unfolds or changes? This question has been central to the social and political phi</w:t>
      </w:r>
      <w:r w:rsidR="00FF4C4E">
        <w:rPr>
          <w:rFonts w:ascii="Times New Roman" w:hAnsi="Times New Roman" w:cs="Times New Roman"/>
          <w:sz w:val="22"/>
          <w:szCs w:val="22"/>
        </w:rPr>
        <w:t>losophy of the Canadian thinker</w:t>
      </w:r>
      <w:r>
        <w:rPr>
          <w:rFonts w:ascii="Times New Roman" w:hAnsi="Times New Roman" w:cs="Times New Roman"/>
          <w:sz w:val="22"/>
          <w:szCs w:val="22"/>
        </w:rPr>
        <w:t xml:space="preserve"> Charles Taylor who has </w:t>
      </w:r>
      <w:r w:rsidR="007A5468">
        <w:rPr>
          <w:rFonts w:ascii="Times New Roman" w:hAnsi="Times New Roman" w:cs="Times New Roman"/>
          <w:sz w:val="22"/>
          <w:szCs w:val="22"/>
        </w:rPr>
        <w:t xml:space="preserve">provided a response which draws upon the role of language in framing both our individual perception of agency and the creation of collective meaning. In </w:t>
      </w:r>
      <w:r w:rsidR="007A5468" w:rsidRPr="007A5468">
        <w:rPr>
          <w:rFonts w:ascii="Times New Roman" w:hAnsi="Times New Roman" w:cs="Times New Roman"/>
          <w:i/>
          <w:sz w:val="22"/>
          <w:szCs w:val="22"/>
        </w:rPr>
        <w:t>Human Agency and Language</w:t>
      </w:r>
      <w:r w:rsidR="007A5468" w:rsidRPr="007A5468">
        <w:rPr>
          <w:rFonts w:ascii="Times New Roman" w:hAnsi="Times New Roman" w:cs="Times New Roman"/>
          <w:sz w:val="22"/>
          <w:szCs w:val="22"/>
        </w:rPr>
        <w:t xml:space="preserve"> Taylor </w:t>
      </w:r>
      <w:r w:rsidR="00FF4C4E">
        <w:rPr>
          <w:rFonts w:ascii="Times New Roman" w:hAnsi="Times New Roman" w:cs="Times New Roman"/>
          <w:sz w:val="22"/>
          <w:szCs w:val="22"/>
        </w:rPr>
        <w:t>develops the understanding that</w:t>
      </w:r>
      <w:r w:rsidR="007A5468" w:rsidRPr="007A5468">
        <w:rPr>
          <w:rFonts w:ascii="Times New Roman" w:hAnsi="Times New Roman" w:cs="Times New Roman"/>
          <w:sz w:val="22"/>
          <w:szCs w:val="22"/>
        </w:rPr>
        <w:t xml:space="preserve"> in </w:t>
      </w:r>
      <w:r w:rsidR="007A5468">
        <w:rPr>
          <w:rFonts w:ascii="Times New Roman" w:hAnsi="Times New Roman" w:cs="Times New Roman"/>
          <w:sz w:val="22"/>
          <w:szCs w:val="22"/>
        </w:rPr>
        <w:t>its most basic</w:t>
      </w:r>
      <w:r w:rsidR="007A5468" w:rsidRPr="007A5468">
        <w:rPr>
          <w:rFonts w:ascii="Times New Roman" w:hAnsi="Times New Roman" w:cs="Times New Roman"/>
          <w:sz w:val="22"/>
          <w:szCs w:val="22"/>
        </w:rPr>
        <w:t xml:space="preserve"> sense participation, </w:t>
      </w:r>
      <w:r w:rsidR="00FF4C4E">
        <w:rPr>
          <w:rFonts w:ascii="Times New Roman" w:hAnsi="Times New Roman" w:cs="Times New Roman"/>
          <w:sz w:val="22"/>
          <w:szCs w:val="22"/>
        </w:rPr>
        <w:t xml:space="preserve">or </w:t>
      </w:r>
      <w:r w:rsidR="007A5468" w:rsidRPr="007A5468">
        <w:rPr>
          <w:rFonts w:ascii="Times New Roman" w:hAnsi="Times New Roman" w:cs="Times New Roman"/>
          <w:sz w:val="22"/>
          <w:szCs w:val="22"/>
        </w:rPr>
        <w:t xml:space="preserve">the exercise of </w:t>
      </w:r>
      <w:r w:rsidR="00FF4C4E">
        <w:rPr>
          <w:rFonts w:ascii="Times New Roman" w:hAnsi="Times New Roman" w:cs="Times New Roman"/>
          <w:sz w:val="22"/>
          <w:szCs w:val="22"/>
        </w:rPr>
        <w:t xml:space="preserve">human </w:t>
      </w:r>
      <w:r w:rsidR="007A5468" w:rsidRPr="007A5468">
        <w:rPr>
          <w:rFonts w:ascii="Times New Roman" w:hAnsi="Times New Roman" w:cs="Times New Roman"/>
          <w:sz w:val="22"/>
          <w:szCs w:val="22"/>
        </w:rPr>
        <w:t>agency, will emerge through language – our practical involvement</w:t>
      </w:r>
      <w:r w:rsidR="00FF4C4E">
        <w:rPr>
          <w:rFonts w:ascii="Times New Roman" w:hAnsi="Times New Roman" w:cs="Times New Roman"/>
          <w:sz w:val="22"/>
          <w:szCs w:val="22"/>
        </w:rPr>
        <w:t>s</w:t>
      </w:r>
      <w:r w:rsidR="007A5468" w:rsidRPr="007A5468">
        <w:rPr>
          <w:rFonts w:ascii="Times New Roman" w:hAnsi="Times New Roman" w:cs="Times New Roman"/>
          <w:sz w:val="22"/>
          <w:szCs w:val="22"/>
        </w:rPr>
        <w:t xml:space="preserve"> can only </w:t>
      </w:r>
      <w:r w:rsidR="00FF4C4E">
        <w:rPr>
          <w:rFonts w:ascii="Times New Roman" w:hAnsi="Times New Roman" w:cs="Times New Roman"/>
          <w:sz w:val="22"/>
          <w:szCs w:val="22"/>
        </w:rPr>
        <w:t>be</w:t>
      </w:r>
      <w:r w:rsidR="007A5468" w:rsidRPr="007A5468">
        <w:rPr>
          <w:rFonts w:ascii="Times New Roman" w:hAnsi="Times New Roman" w:cs="Times New Roman"/>
          <w:sz w:val="22"/>
          <w:szCs w:val="22"/>
        </w:rPr>
        <w:t>come</w:t>
      </w:r>
      <w:r w:rsidR="00FF4C4E">
        <w:rPr>
          <w:rFonts w:ascii="Times New Roman" w:hAnsi="Times New Roman" w:cs="Times New Roman"/>
          <w:sz w:val="22"/>
          <w:szCs w:val="22"/>
        </w:rPr>
        <w:t xml:space="preserve"> constituted</w:t>
      </w:r>
      <w:r w:rsidR="007A5468" w:rsidRPr="007A5468">
        <w:rPr>
          <w:rFonts w:ascii="Times New Roman" w:hAnsi="Times New Roman" w:cs="Times New Roman"/>
          <w:sz w:val="22"/>
          <w:szCs w:val="22"/>
        </w:rPr>
        <w:t xml:space="preserve"> through linguistic expression. Taylor draws upon certain in</w:t>
      </w:r>
      <w:r w:rsidR="00FF4C4E">
        <w:rPr>
          <w:rFonts w:ascii="Times New Roman" w:hAnsi="Times New Roman" w:cs="Times New Roman"/>
          <w:sz w:val="22"/>
          <w:szCs w:val="22"/>
        </w:rPr>
        <w:t>sights made by Harry Frankfurt; a</w:t>
      </w:r>
      <w:r w:rsidR="007A5468" w:rsidRPr="007A5468">
        <w:rPr>
          <w:rFonts w:ascii="Times New Roman" w:hAnsi="Times New Roman" w:cs="Times New Roman"/>
          <w:sz w:val="22"/>
          <w:szCs w:val="22"/>
        </w:rPr>
        <w:t>ccording to Frankfurt</w:t>
      </w:r>
      <w:r w:rsidR="00DE58BA">
        <w:rPr>
          <w:rFonts w:ascii="Times New Roman" w:hAnsi="Times New Roman" w:cs="Times New Roman"/>
          <w:sz w:val="22"/>
          <w:szCs w:val="22"/>
        </w:rPr>
        <w:t xml:space="preserve"> (1971, 5-20)</w:t>
      </w:r>
      <w:r w:rsidR="007A5468" w:rsidRPr="007A5468">
        <w:rPr>
          <w:rFonts w:ascii="Times New Roman" w:hAnsi="Times New Roman" w:cs="Times New Roman"/>
          <w:sz w:val="22"/>
          <w:szCs w:val="22"/>
        </w:rPr>
        <w:t xml:space="preserve"> it is not unusual to find that other species have desires and to some extent make choices, but what is distinctively human is the ability to make assessments and evaluate those desires in order to determine a course of action</w:t>
      </w:r>
      <w:r w:rsidR="00DE58BA">
        <w:rPr>
          <w:rFonts w:ascii="Times New Roman" w:hAnsi="Times New Roman" w:cs="Times New Roman"/>
          <w:sz w:val="22"/>
          <w:szCs w:val="22"/>
        </w:rPr>
        <w:t xml:space="preserve"> (Taylor, 1985, 16)</w:t>
      </w:r>
      <w:r w:rsidR="007A5468" w:rsidRPr="007A5468">
        <w:rPr>
          <w:rFonts w:ascii="Times New Roman" w:hAnsi="Times New Roman" w:cs="Times New Roman"/>
          <w:sz w:val="22"/>
          <w:szCs w:val="22"/>
        </w:rPr>
        <w:t>. However, Taylor wishes to explore this further and enquire as to the sort of assessments or evaluations humans make about their practices, as distinct from simply suggesting that evaluations are simply linked to needs and desires</w:t>
      </w:r>
      <w:r w:rsidR="007A5468">
        <w:rPr>
          <w:rFonts w:ascii="Times New Roman" w:hAnsi="Times New Roman" w:cs="Times New Roman"/>
          <w:sz w:val="22"/>
          <w:szCs w:val="22"/>
        </w:rPr>
        <w:t xml:space="preserve">. </w:t>
      </w:r>
      <w:r w:rsidR="007A5468" w:rsidRPr="007A5468">
        <w:rPr>
          <w:rFonts w:ascii="Times New Roman" w:hAnsi="Times New Roman" w:cs="Times New Roman"/>
          <w:sz w:val="22"/>
          <w:szCs w:val="22"/>
        </w:rPr>
        <w:t>Accordingly</w:t>
      </w:r>
      <w:r w:rsidR="007A5468">
        <w:rPr>
          <w:rFonts w:ascii="Times New Roman" w:hAnsi="Times New Roman" w:cs="Times New Roman"/>
          <w:sz w:val="22"/>
          <w:szCs w:val="22"/>
        </w:rPr>
        <w:t>,</w:t>
      </w:r>
      <w:r w:rsidR="007A5468" w:rsidRPr="007A5468">
        <w:rPr>
          <w:rFonts w:ascii="Times New Roman" w:hAnsi="Times New Roman" w:cs="Times New Roman"/>
          <w:sz w:val="22"/>
          <w:szCs w:val="22"/>
        </w:rPr>
        <w:t xml:space="preserve"> </w:t>
      </w:r>
      <w:smartTag w:uri="urn:schemas-microsoft-com:office:smarttags" w:element="place">
        <w:smartTag w:uri="urn:schemas-microsoft-com:office:smarttags" w:element="City">
          <w:r w:rsidR="007A5468" w:rsidRPr="007A5468">
            <w:rPr>
              <w:rFonts w:ascii="Times New Roman" w:hAnsi="Times New Roman" w:cs="Times New Roman"/>
              <w:sz w:val="22"/>
              <w:szCs w:val="22"/>
            </w:rPr>
            <w:t>Taylor</w:t>
          </w:r>
        </w:smartTag>
      </w:smartTag>
      <w:r w:rsidR="007A5468" w:rsidRPr="007A5468">
        <w:rPr>
          <w:rFonts w:ascii="Times New Roman" w:hAnsi="Times New Roman" w:cs="Times New Roman"/>
          <w:sz w:val="22"/>
          <w:szCs w:val="22"/>
        </w:rPr>
        <w:t xml:space="preserve"> argues that there are two senses in which we can understand assessments: the first he calls ‘weak evaluations’ and the other he terms ‘strong evaluations’. In making weak evaluations we are basically concerned with outcomes, with bringing things about, whereas strong evaluations are t</w:t>
      </w:r>
      <w:r w:rsidR="007A5468">
        <w:rPr>
          <w:rFonts w:ascii="Times New Roman" w:hAnsi="Times New Roman" w:cs="Times New Roman"/>
          <w:sz w:val="22"/>
          <w:szCs w:val="22"/>
        </w:rPr>
        <w:t>hose that are concerned with questions of quality or worth</w:t>
      </w:r>
      <w:r w:rsidR="00DE58BA">
        <w:rPr>
          <w:rFonts w:ascii="Times New Roman" w:hAnsi="Times New Roman" w:cs="Times New Roman"/>
          <w:sz w:val="22"/>
          <w:szCs w:val="22"/>
        </w:rPr>
        <w:t xml:space="preserve"> (Taylor, 15).</w:t>
      </w:r>
      <w:r w:rsidR="007A5468" w:rsidRPr="007A5468">
        <w:rPr>
          <w:rFonts w:ascii="Times New Roman" w:hAnsi="Times New Roman" w:cs="Times New Roman"/>
          <w:sz w:val="22"/>
          <w:szCs w:val="22"/>
        </w:rPr>
        <w:t xml:space="preserve"> Let me now explore in a little bit more detail how we might understand this distinction. </w:t>
      </w:r>
    </w:p>
    <w:p w14:paraId="1F44175A" w14:textId="1BCD7922" w:rsidR="00DF4ADE" w:rsidRPr="001A7DD3" w:rsidRDefault="0060133C" w:rsidP="007A5468">
      <w:pPr>
        <w:spacing w:line="360" w:lineRule="auto"/>
        <w:jc w:val="both"/>
        <w:rPr>
          <w:rFonts w:ascii="Times New Roman" w:hAnsi="Times New Roman" w:cs="Times New Roman"/>
          <w:sz w:val="22"/>
          <w:szCs w:val="22"/>
        </w:rPr>
      </w:pPr>
      <w:r>
        <w:rPr>
          <w:rFonts w:ascii="Times New Roman" w:hAnsi="Times New Roman" w:cs="Times New Roman"/>
          <w:sz w:val="22"/>
          <w:szCs w:val="22"/>
        </w:rPr>
        <w:t>W</w:t>
      </w:r>
      <w:r w:rsidR="007A5468" w:rsidRPr="007A5468">
        <w:rPr>
          <w:rFonts w:ascii="Times New Roman" w:hAnsi="Times New Roman" w:cs="Times New Roman"/>
          <w:sz w:val="22"/>
          <w:szCs w:val="22"/>
        </w:rPr>
        <w:t xml:space="preserve">eak evaluation assessments are primarily conducted on </w:t>
      </w:r>
      <w:r w:rsidR="00FF4C4E">
        <w:rPr>
          <w:rFonts w:ascii="Times New Roman" w:hAnsi="Times New Roman" w:cs="Times New Roman"/>
          <w:sz w:val="22"/>
          <w:szCs w:val="22"/>
        </w:rPr>
        <w:t xml:space="preserve">the basis of </w:t>
      </w:r>
      <w:r w:rsidR="007A5468" w:rsidRPr="007A5468">
        <w:rPr>
          <w:rFonts w:ascii="Times New Roman" w:hAnsi="Times New Roman" w:cs="Times New Roman"/>
          <w:sz w:val="22"/>
          <w:szCs w:val="22"/>
        </w:rPr>
        <w:t>how much certain contingen</w:t>
      </w:r>
      <w:r>
        <w:rPr>
          <w:rFonts w:ascii="Times New Roman" w:hAnsi="Times New Roman" w:cs="Times New Roman"/>
          <w:sz w:val="22"/>
          <w:szCs w:val="22"/>
        </w:rPr>
        <w:t>cies correspond with our interests</w:t>
      </w:r>
      <w:r w:rsidR="007A5468" w:rsidRPr="007A5468">
        <w:rPr>
          <w:rFonts w:ascii="Times New Roman" w:hAnsi="Times New Roman" w:cs="Times New Roman"/>
          <w:sz w:val="22"/>
          <w:szCs w:val="22"/>
        </w:rPr>
        <w:t>.</w:t>
      </w:r>
      <w:r w:rsidR="00F02CDA">
        <w:rPr>
          <w:rFonts w:ascii="Times New Roman" w:hAnsi="Times New Roman" w:cs="Times New Roman"/>
          <w:sz w:val="22"/>
          <w:szCs w:val="22"/>
        </w:rPr>
        <w:t xml:space="preserve"> For example, we may face a decision about measures or rules which are intended to protect the borders of the EU and so underpin ‘security’ this would involve making a calculatio</w:t>
      </w:r>
      <w:r w:rsidR="00FF4C4E">
        <w:rPr>
          <w:rFonts w:ascii="Times New Roman" w:hAnsi="Times New Roman" w:cs="Times New Roman"/>
          <w:sz w:val="22"/>
          <w:szCs w:val="22"/>
        </w:rPr>
        <w:t>n about the effectiveness of those</w:t>
      </w:r>
      <w:r w:rsidR="00F02CDA">
        <w:rPr>
          <w:rFonts w:ascii="Times New Roman" w:hAnsi="Times New Roman" w:cs="Times New Roman"/>
          <w:sz w:val="22"/>
          <w:szCs w:val="22"/>
        </w:rPr>
        <w:t xml:space="preserve"> measures </w:t>
      </w:r>
      <w:r w:rsidR="00AE04E9">
        <w:rPr>
          <w:rFonts w:ascii="Times New Roman" w:hAnsi="Times New Roman" w:cs="Times New Roman"/>
          <w:sz w:val="22"/>
          <w:szCs w:val="22"/>
        </w:rPr>
        <w:t>in bringing about the need (security) and limiting or isolating any contingency that might compromise the effectiveness of these measures (freedoms). There is nothing necessarily easy about ‘weak evolutions’ given that satisfying societal need (security) and limiting contingency (freedoms) to an acceptable level entails calculation</w:t>
      </w:r>
      <w:r w:rsidR="00502F24">
        <w:rPr>
          <w:rFonts w:ascii="Times New Roman" w:hAnsi="Times New Roman" w:cs="Times New Roman"/>
          <w:sz w:val="22"/>
          <w:szCs w:val="22"/>
        </w:rPr>
        <w:t>s</w:t>
      </w:r>
      <w:r w:rsidR="00AE04E9">
        <w:rPr>
          <w:rFonts w:ascii="Times New Roman" w:hAnsi="Times New Roman" w:cs="Times New Roman"/>
          <w:sz w:val="22"/>
          <w:szCs w:val="22"/>
        </w:rPr>
        <w:t xml:space="preserve"> of great complexity; however, the critical point is that </w:t>
      </w:r>
      <w:r w:rsidR="00473D7D">
        <w:rPr>
          <w:rFonts w:ascii="Times New Roman" w:hAnsi="Times New Roman" w:cs="Times New Roman"/>
          <w:sz w:val="22"/>
          <w:szCs w:val="22"/>
        </w:rPr>
        <w:t xml:space="preserve">weak evaluation </w:t>
      </w:r>
      <w:proofErr w:type="spellStart"/>
      <w:r w:rsidR="00473D7D" w:rsidRPr="00FF4C4E">
        <w:rPr>
          <w:rFonts w:ascii="Times New Roman" w:hAnsi="Times New Roman" w:cs="Times New Roman"/>
          <w:i/>
          <w:sz w:val="22"/>
          <w:szCs w:val="22"/>
        </w:rPr>
        <w:t>instrumentalis</w:t>
      </w:r>
      <w:r w:rsidR="00DF4ADE" w:rsidRPr="00FF4C4E">
        <w:rPr>
          <w:rFonts w:ascii="Times New Roman" w:hAnsi="Times New Roman" w:cs="Times New Roman"/>
          <w:i/>
          <w:sz w:val="22"/>
          <w:szCs w:val="22"/>
        </w:rPr>
        <w:t>e</w:t>
      </w:r>
      <w:proofErr w:type="spellEnd"/>
      <w:r w:rsidR="00DF4ADE">
        <w:rPr>
          <w:rFonts w:ascii="Times New Roman" w:hAnsi="Times New Roman" w:cs="Times New Roman"/>
          <w:sz w:val="22"/>
          <w:szCs w:val="22"/>
        </w:rPr>
        <w:t xml:space="preserve"> the social goals of a practice. </w:t>
      </w:r>
      <w:r w:rsidR="00422BA9">
        <w:rPr>
          <w:rFonts w:ascii="Times New Roman" w:hAnsi="Times New Roman" w:cs="Times New Roman"/>
          <w:sz w:val="22"/>
          <w:szCs w:val="22"/>
        </w:rPr>
        <w:t>By</w:t>
      </w:r>
      <w:r w:rsidR="00DF4ADE">
        <w:rPr>
          <w:rFonts w:ascii="Times New Roman" w:hAnsi="Times New Roman" w:cs="Times New Roman"/>
          <w:sz w:val="22"/>
          <w:szCs w:val="22"/>
        </w:rPr>
        <w:t xml:space="preserve"> contrast</w:t>
      </w:r>
      <w:r w:rsidR="00422BA9">
        <w:rPr>
          <w:rFonts w:ascii="Times New Roman" w:hAnsi="Times New Roman" w:cs="Times New Roman"/>
          <w:sz w:val="22"/>
          <w:szCs w:val="22"/>
        </w:rPr>
        <w:t>,</w:t>
      </w:r>
      <w:r w:rsidR="00DF4ADE">
        <w:rPr>
          <w:rFonts w:ascii="Times New Roman" w:hAnsi="Times New Roman" w:cs="Times New Roman"/>
          <w:sz w:val="22"/>
          <w:szCs w:val="22"/>
        </w:rPr>
        <w:t xml:space="preserve"> strong evaluations depend upon an assessment of worth or value</w:t>
      </w:r>
      <w:r w:rsidR="00326501">
        <w:rPr>
          <w:rFonts w:ascii="Times New Roman" w:hAnsi="Times New Roman" w:cs="Times New Roman"/>
          <w:sz w:val="22"/>
          <w:szCs w:val="22"/>
        </w:rPr>
        <w:t xml:space="preserve"> with</w:t>
      </w:r>
      <w:r w:rsidR="001A7DD3">
        <w:rPr>
          <w:rFonts w:ascii="Times New Roman" w:hAnsi="Times New Roman" w:cs="Times New Roman"/>
          <w:sz w:val="22"/>
          <w:szCs w:val="22"/>
        </w:rPr>
        <w:t xml:space="preserve"> which</w:t>
      </w:r>
      <w:r w:rsidR="009069C5">
        <w:rPr>
          <w:rFonts w:ascii="Times New Roman" w:hAnsi="Times New Roman" w:cs="Times New Roman"/>
          <w:sz w:val="22"/>
          <w:szCs w:val="22"/>
        </w:rPr>
        <w:t xml:space="preserve"> we</w:t>
      </w:r>
      <w:r w:rsidR="001A7DD3">
        <w:rPr>
          <w:rFonts w:ascii="Times New Roman" w:hAnsi="Times New Roman" w:cs="Times New Roman"/>
          <w:sz w:val="22"/>
          <w:szCs w:val="22"/>
        </w:rPr>
        <w:t xml:space="preserve"> explore the meaning that a need such as security or freedom has in </w:t>
      </w:r>
      <w:r w:rsidR="001A7DD3">
        <w:rPr>
          <w:rFonts w:ascii="Times New Roman" w:hAnsi="Times New Roman" w:cs="Times New Roman"/>
          <w:i/>
          <w:sz w:val="22"/>
          <w:szCs w:val="22"/>
        </w:rPr>
        <w:t xml:space="preserve">constituting </w:t>
      </w:r>
      <w:r w:rsidR="001A7DD3">
        <w:rPr>
          <w:rFonts w:ascii="Times New Roman" w:hAnsi="Times New Roman" w:cs="Times New Roman"/>
          <w:sz w:val="22"/>
          <w:szCs w:val="22"/>
        </w:rPr>
        <w:t>the social practice</w:t>
      </w:r>
      <w:r w:rsidR="005E5620">
        <w:rPr>
          <w:rFonts w:ascii="Times New Roman" w:hAnsi="Times New Roman" w:cs="Times New Roman"/>
          <w:sz w:val="22"/>
          <w:szCs w:val="22"/>
        </w:rPr>
        <w:t xml:space="preserve"> of legal borders</w:t>
      </w:r>
      <w:r w:rsidR="001A7DD3">
        <w:rPr>
          <w:rFonts w:ascii="Times New Roman" w:hAnsi="Times New Roman" w:cs="Times New Roman"/>
          <w:sz w:val="22"/>
          <w:szCs w:val="22"/>
        </w:rPr>
        <w:t xml:space="preserve"> in the first instance</w:t>
      </w:r>
      <w:r w:rsidR="005E5620">
        <w:rPr>
          <w:rFonts w:ascii="Times New Roman" w:hAnsi="Times New Roman" w:cs="Times New Roman"/>
          <w:sz w:val="22"/>
          <w:szCs w:val="22"/>
        </w:rPr>
        <w:t xml:space="preserve"> </w:t>
      </w:r>
      <w:r w:rsidR="005E5620" w:rsidRPr="005E5620">
        <w:rPr>
          <w:rFonts w:ascii="Times New Roman" w:hAnsi="Times New Roman" w:cs="Times New Roman"/>
          <w:sz w:val="22"/>
          <w:szCs w:val="22"/>
          <w:highlight w:val="yellow"/>
        </w:rPr>
        <w:t>and as such become connected to the way we think about the worth or purpose of what a legal border</w:t>
      </w:r>
      <w:r w:rsidR="005E5620" w:rsidRPr="005E5620">
        <w:rPr>
          <w:rFonts w:ascii="Times New Roman" w:hAnsi="Times New Roman" w:cs="Times New Roman"/>
          <w:i/>
          <w:sz w:val="22"/>
          <w:szCs w:val="22"/>
          <w:highlight w:val="yellow"/>
        </w:rPr>
        <w:t xml:space="preserve"> is</w:t>
      </w:r>
      <w:r w:rsidR="001A7DD3">
        <w:rPr>
          <w:rFonts w:ascii="Times New Roman" w:hAnsi="Times New Roman" w:cs="Times New Roman"/>
          <w:sz w:val="22"/>
          <w:szCs w:val="22"/>
        </w:rPr>
        <w:t xml:space="preserve">. As Taylor points out strong evaluations depend upon a language of </w:t>
      </w:r>
      <w:r w:rsidR="00473D7D">
        <w:rPr>
          <w:rFonts w:ascii="Times New Roman" w:hAnsi="Times New Roman" w:cs="Times New Roman"/>
          <w:sz w:val="22"/>
          <w:szCs w:val="22"/>
        </w:rPr>
        <w:t>rich or deep qualitative contrasts which recognises the open-endedness of different possibilities of me</w:t>
      </w:r>
      <w:r w:rsidR="00422BA9">
        <w:rPr>
          <w:rFonts w:ascii="Times New Roman" w:hAnsi="Times New Roman" w:cs="Times New Roman"/>
          <w:sz w:val="22"/>
          <w:szCs w:val="22"/>
        </w:rPr>
        <w:t>aning and therefore the public space for</w:t>
      </w:r>
      <w:r w:rsidR="00473D7D">
        <w:rPr>
          <w:rFonts w:ascii="Times New Roman" w:hAnsi="Times New Roman" w:cs="Times New Roman"/>
          <w:sz w:val="22"/>
          <w:szCs w:val="22"/>
        </w:rPr>
        <w:t xml:space="preserve"> legitimate collective disagreement</w:t>
      </w:r>
      <w:r w:rsidR="005E5620">
        <w:rPr>
          <w:rFonts w:ascii="Times New Roman" w:hAnsi="Times New Roman" w:cs="Times New Roman"/>
          <w:sz w:val="22"/>
          <w:szCs w:val="22"/>
        </w:rPr>
        <w:t xml:space="preserve"> about them</w:t>
      </w:r>
      <w:r w:rsidR="00473D7D">
        <w:rPr>
          <w:rFonts w:ascii="Times New Roman" w:hAnsi="Times New Roman" w:cs="Times New Roman"/>
          <w:sz w:val="22"/>
          <w:szCs w:val="22"/>
        </w:rPr>
        <w:t xml:space="preserve">. </w:t>
      </w:r>
      <w:r w:rsidR="00502F24">
        <w:rPr>
          <w:rFonts w:ascii="Times New Roman" w:hAnsi="Times New Roman" w:cs="Times New Roman"/>
          <w:sz w:val="22"/>
          <w:szCs w:val="22"/>
        </w:rPr>
        <w:t>In this sense</w:t>
      </w:r>
      <w:r w:rsidR="008068F3">
        <w:rPr>
          <w:rFonts w:ascii="Times New Roman" w:hAnsi="Times New Roman" w:cs="Times New Roman"/>
          <w:sz w:val="22"/>
          <w:szCs w:val="22"/>
        </w:rPr>
        <w:t xml:space="preserve"> strong evaluations require language which reflects the intrinsic worth of v</w:t>
      </w:r>
      <w:r w:rsidR="00DD2722">
        <w:rPr>
          <w:rFonts w:ascii="Times New Roman" w:hAnsi="Times New Roman" w:cs="Times New Roman"/>
          <w:sz w:val="22"/>
          <w:szCs w:val="22"/>
        </w:rPr>
        <w:t>alues or principles</w:t>
      </w:r>
      <w:r w:rsidR="008068F3">
        <w:rPr>
          <w:rFonts w:ascii="Times New Roman" w:hAnsi="Times New Roman" w:cs="Times New Roman"/>
          <w:sz w:val="22"/>
          <w:szCs w:val="22"/>
        </w:rPr>
        <w:t xml:space="preserve"> capable of constituting or underpinning the meaning of particular social practices. </w:t>
      </w:r>
    </w:p>
    <w:p w14:paraId="12408E2C" w14:textId="13D99C61" w:rsidR="00CB027F" w:rsidRDefault="00CB027F" w:rsidP="00E12BDB">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In the light of this investigation of constitutive rules it might be possible to argue that the rule of law is to be understood not merely as a regulative rule which encompasses predictability alongside substantive theories of justice but can also be constitutive of the legal order itself</w:t>
      </w:r>
      <w:r w:rsidR="00E47934">
        <w:rPr>
          <w:rFonts w:ascii="Times New Roman" w:hAnsi="Times New Roman" w:cs="Times New Roman"/>
          <w:sz w:val="22"/>
          <w:szCs w:val="22"/>
        </w:rPr>
        <w:t>. This</w:t>
      </w:r>
      <w:r>
        <w:rPr>
          <w:rFonts w:ascii="Times New Roman" w:hAnsi="Times New Roman" w:cs="Times New Roman"/>
          <w:sz w:val="22"/>
          <w:szCs w:val="22"/>
        </w:rPr>
        <w:t xml:space="preserve"> is a much broader claim</w:t>
      </w:r>
      <w:r w:rsidR="00E47934">
        <w:rPr>
          <w:rFonts w:ascii="Times New Roman" w:hAnsi="Times New Roman" w:cs="Times New Roman"/>
          <w:sz w:val="22"/>
          <w:szCs w:val="22"/>
        </w:rPr>
        <w:t xml:space="preserve"> about the rule of law</w:t>
      </w:r>
      <w:r>
        <w:rPr>
          <w:rFonts w:ascii="Times New Roman" w:hAnsi="Times New Roman" w:cs="Times New Roman"/>
          <w:sz w:val="22"/>
          <w:szCs w:val="22"/>
        </w:rPr>
        <w:t xml:space="preserve"> and </w:t>
      </w:r>
      <w:r w:rsidR="005E5620">
        <w:rPr>
          <w:rFonts w:ascii="Times New Roman" w:hAnsi="Times New Roman" w:cs="Times New Roman"/>
          <w:sz w:val="22"/>
          <w:szCs w:val="22"/>
        </w:rPr>
        <w:t xml:space="preserve">its place in </w:t>
      </w:r>
      <w:r w:rsidR="00E47934">
        <w:rPr>
          <w:rFonts w:ascii="Times New Roman" w:hAnsi="Times New Roman" w:cs="Times New Roman"/>
          <w:sz w:val="22"/>
          <w:szCs w:val="22"/>
        </w:rPr>
        <w:t>constitutional theory</w:t>
      </w:r>
      <w:r>
        <w:rPr>
          <w:rFonts w:ascii="Times New Roman" w:hAnsi="Times New Roman" w:cs="Times New Roman"/>
          <w:sz w:val="22"/>
          <w:szCs w:val="22"/>
        </w:rPr>
        <w:t xml:space="preserve">. </w:t>
      </w:r>
      <w:r w:rsidR="008D5723">
        <w:rPr>
          <w:rFonts w:ascii="Times New Roman" w:hAnsi="Times New Roman" w:cs="Times New Roman"/>
          <w:sz w:val="22"/>
          <w:szCs w:val="22"/>
        </w:rPr>
        <w:t>In t</w:t>
      </w:r>
      <w:r w:rsidR="008627EE">
        <w:rPr>
          <w:rFonts w:ascii="Times New Roman" w:hAnsi="Times New Roman" w:cs="Times New Roman"/>
          <w:sz w:val="22"/>
          <w:szCs w:val="22"/>
        </w:rPr>
        <w:t>he first</w:t>
      </w:r>
      <w:r w:rsidR="005E5620">
        <w:rPr>
          <w:rFonts w:ascii="Times New Roman" w:hAnsi="Times New Roman" w:cs="Times New Roman"/>
          <w:sz w:val="22"/>
          <w:szCs w:val="22"/>
        </w:rPr>
        <w:t xml:space="preserve"> instance</w:t>
      </w:r>
      <w:r w:rsidR="008627EE">
        <w:rPr>
          <w:rFonts w:ascii="Times New Roman" w:hAnsi="Times New Roman" w:cs="Times New Roman"/>
          <w:sz w:val="22"/>
          <w:szCs w:val="22"/>
        </w:rPr>
        <w:t xml:space="preserve"> </w:t>
      </w:r>
      <w:r w:rsidR="008D5723">
        <w:rPr>
          <w:rFonts w:ascii="Times New Roman" w:hAnsi="Times New Roman" w:cs="Times New Roman"/>
          <w:sz w:val="22"/>
          <w:szCs w:val="22"/>
        </w:rPr>
        <w:t xml:space="preserve">the problem of the elusiveness </w:t>
      </w:r>
      <w:r w:rsidR="008627EE">
        <w:rPr>
          <w:rFonts w:ascii="Times New Roman" w:hAnsi="Times New Roman" w:cs="Times New Roman"/>
          <w:sz w:val="22"/>
          <w:szCs w:val="22"/>
        </w:rPr>
        <w:t>of the rule of law</w:t>
      </w:r>
      <w:r w:rsidR="008D5723">
        <w:rPr>
          <w:rFonts w:ascii="Times New Roman" w:hAnsi="Times New Roman" w:cs="Times New Roman"/>
          <w:sz w:val="22"/>
          <w:szCs w:val="22"/>
        </w:rPr>
        <w:t xml:space="preserve"> is placed</w:t>
      </w:r>
      <w:r w:rsidR="008627EE">
        <w:rPr>
          <w:rFonts w:ascii="Times New Roman" w:hAnsi="Times New Roman" w:cs="Times New Roman"/>
          <w:sz w:val="22"/>
          <w:szCs w:val="22"/>
        </w:rPr>
        <w:t xml:space="preserve"> into sha</w:t>
      </w:r>
      <w:r w:rsidR="009069C5">
        <w:rPr>
          <w:rFonts w:ascii="Times New Roman" w:hAnsi="Times New Roman" w:cs="Times New Roman"/>
          <w:sz w:val="22"/>
          <w:szCs w:val="22"/>
        </w:rPr>
        <w:t>r</w:t>
      </w:r>
      <w:r w:rsidR="008627EE">
        <w:rPr>
          <w:rFonts w:ascii="Times New Roman" w:hAnsi="Times New Roman" w:cs="Times New Roman"/>
          <w:sz w:val="22"/>
          <w:szCs w:val="22"/>
        </w:rPr>
        <w:t xml:space="preserve">per relief by </w:t>
      </w:r>
      <w:r w:rsidR="00E47934">
        <w:rPr>
          <w:rFonts w:ascii="Times New Roman" w:hAnsi="Times New Roman" w:cs="Times New Roman"/>
          <w:sz w:val="22"/>
          <w:szCs w:val="22"/>
        </w:rPr>
        <w:t>highlighting that th</w:t>
      </w:r>
      <w:r w:rsidR="008D5723">
        <w:rPr>
          <w:rFonts w:ascii="Times New Roman" w:hAnsi="Times New Roman" w:cs="Times New Roman"/>
          <w:sz w:val="22"/>
          <w:szCs w:val="22"/>
        </w:rPr>
        <w:t>e potential</w:t>
      </w:r>
      <w:r w:rsidR="00E47934">
        <w:rPr>
          <w:rFonts w:ascii="Times New Roman" w:hAnsi="Times New Roman" w:cs="Times New Roman"/>
          <w:sz w:val="22"/>
          <w:szCs w:val="22"/>
        </w:rPr>
        <w:t xml:space="preserve"> of the rule of </w:t>
      </w:r>
      <w:r w:rsidR="008D5723">
        <w:rPr>
          <w:rFonts w:ascii="Times New Roman" w:hAnsi="Times New Roman" w:cs="Times New Roman"/>
          <w:sz w:val="22"/>
          <w:szCs w:val="22"/>
        </w:rPr>
        <w:t>law</w:t>
      </w:r>
      <w:r w:rsidR="00F84782">
        <w:rPr>
          <w:rFonts w:ascii="Times New Roman" w:hAnsi="Times New Roman" w:cs="Times New Roman"/>
          <w:sz w:val="22"/>
          <w:szCs w:val="22"/>
        </w:rPr>
        <w:t xml:space="preserve"> operates</w:t>
      </w:r>
      <w:r w:rsidR="008D5723">
        <w:rPr>
          <w:rFonts w:ascii="Times New Roman" w:hAnsi="Times New Roman" w:cs="Times New Roman"/>
          <w:sz w:val="22"/>
          <w:szCs w:val="22"/>
        </w:rPr>
        <w:t xml:space="preserve"> </w:t>
      </w:r>
      <w:r w:rsidR="00E47934">
        <w:rPr>
          <w:rFonts w:ascii="Times New Roman" w:hAnsi="Times New Roman" w:cs="Times New Roman"/>
          <w:sz w:val="22"/>
          <w:szCs w:val="22"/>
        </w:rPr>
        <w:t xml:space="preserve">at the </w:t>
      </w:r>
      <w:r w:rsidR="00E47934" w:rsidRPr="005E5620">
        <w:rPr>
          <w:rFonts w:ascii="Times New Roman" w:hAnsi="Times New Roman" w:cs="Times New Roman"/>
          <w:i/>
          <w:sz w:val="22"/>
          <w:szCs w:val="22"/>
        </w:rPr>
        <w:t>very outset</w:t>
      </w:r>
      <w:r w:rsidR="00E47934">
        <w:rPr>
          <w:rFonts w:ascii="Times New Roman" w:hAnsi="Times New Roman" w:cs="Times New Roman"/>
          <w:sz w:val="22"/>
          <w:szCs w:val="22"/>
        </w:rPr>
        <w:t xml:space="preserve"> of a constituted legal order. The second is that there must be some ‘positive’ or ‘productive’ aspect to arguing that the rule of law </w:t>
      </w:r>
      <w:r w:rsidR="00E47934">
        <w:rPr>
          <w:rFonts w:ascii="Times New Roman" w:hAnsi="Times New Roman" w:cs="Times New Roman"/>
          <w:i/>
          <w:sz w:val="22"/>
          <w:szCs w:val="22"/>
        </w:rPr>
        <w:t xml:space="preserve">must be uncertain/elusive </w:t>
      </w:r>
      <w:r w:rsidR="00E47934">
        <w:rPr>
          <w:rFonts w:ascii="Times New Roman" w:hAnsi="Times New Roman" w:cs="Times New Roman"/>
          <w:sz w:val="22"/>
          <w:szCs w:val="22"/>
        </w:rPr>
        <w:t xml:space="preserve">if it is to perform this constitutive role. </w:t>
      </w:r>
    </w:p>
    <w:p w14:paraId="519AE37C" w14:textId="522A00D8" w:rsidR="00684915" w:rsidRDefault="00E573A4" w:rsidP="00E12BDB">
      <w:pPr>
        <w:spacing w:line="360" w:lineRule="auto"/>
        <w:jc w:val="both"/>
        <w:rPr>
          <w:rFonts w:ascii="Times New Roman" w:hAnsi="Times New Roman" w:cs="Times New Roman"/>
          <w:sz w:val="22"/>
          <w:szCs w:val="22"/>
        </w:rPr>
      </w:pPr>
      <w:r>
        <w:rPr>
          <w:rFonts w:ascii="Times New Roman" w:hAnsi="Times New Roman" w:cs="Times New Roman"/>
          <w:sz w:val="22"/>
          <w:szCs w:val="22"/>
        </w:rPr>
        <w:t>To begin wit</w:t>
      </w:r>
      <w:r w:rsidR="00151912">
        <w:rPr>
          <w:rFonts w:ascii="Times New Roman" w:hAnsi="Times New Roman" w:cs="Times New Roman"/>
          <w:sz w:val="22"/>
          <w:szCs w:val="22"/>
        </w:rPr>
        <w:t>h the first issue</w:t>
      </w:r>
      <w:r w:rsidR="00083FC6">
        <w:rPr>
          <w:rFonts w:ascii="Times New Roman" w:hAnsi="Times New Roman" w:cs="Times New Roman"/>
          <w:sz w:val="22"/>
          <w:szCs w:val="22"/>
        </w:rPr>
        <w:t>, it is important to acknowledge that recently constitutional theorists have reappraised the idea of the constituent power and this discussion has a bearing on the problem of u</w:t>
      </w:r>
      <w:r w:rsidR="007A172C">
        <w:rPr>
          <w:rFonts w:ascii="Times New Roman" w:hAnsi="Times New Roman" w:cs="Times New Roman"/>
          <w:sz w:val="22"/>
          <w:szCs w:val="22"/>
        </w:rPr>
        <w:t>ncertainty an</w:t>
      </w:r>
      <w:r w:rsidR="00EC3C54">
        <w:rPr>
          <w:rFonts w:ascii="Times New Roman" w:hAnsi="Times New Roman" w:cs="Times New Roman"/>
          <w:sz w:val="22"/>
          <w:szCs w:val="22"/>
        </w:rPr>
        <w:t>d the rule of law as well as to understand its</w:t>
      </w:r>
      <w:r w:rsidR="007A172C">
        <w:rPr>
          <w:rFonts w:ascii="Times New Roman" w:hAnsi="Times New Roman" w:cs="Times New Roman"/>
          <w:sz w:val="22"/>
          <w:szCs w:val="22"/>
        </w:rPr>
        <w:t xml:space="preserve"> constitut</w:t>
      </w:r>
      <w:r w:rsidR="00C73558">
        <w:rPr>
          <w:rFonts w:ascii="Times New Roman" w:hAnsi="Times New Roman" w:cs="Times New Roman"/>
          <w:sz w:val="22"/>
          <w:szCs w:val="22"/>
        </w:rPr>
        <w:t>ive function. This rethinking of constituent power has two main aspects; in the first place there is a challenge to a dualist perspective</w:t>
      </w:r>
      <w:r w:rsidR="0042355E">
        <w:rPr>
          <w:rFonts w:ascii="Times New Roman" w:hAnsi="Times New Roman" w:cs="Times New Roman"/>
          <w:sz w:val="22"/>
          <w:szCs w:val="22"/>
        </w:rPr>
        <w:t>, associated with Carl Schmitt, which asserts that there is a rigid distinction between the normative legal order and the moment of power or sovereignty which establishes it.</w:t>
      </w:r>
      <w:r w:rsidR="00A37A65">
        <w:rPr>
          <w:rFonts w:ascii="Times New Roman" w:hAnsi="Times New Roman" w:cs="Times New Roman"/>
          <w:sz w:val="22"/>
          <w:szCs w:val="22"/>
        </w:rPr>
        <w:t xml:space="preserve"> </w:t>
      </w:r>
      <w:proofErr w:type="spellStart"/>
      <w:r w:rsidR="00A37A65">
        <w:rPr>
          <w:rFonts w:ascii="Times New Roman" w:hAnsi="Times New Roman" w:cs="Times New Roman"/>
          <w:sz w:val="22"/>
          <w:szCs w:val="22"/>
        </w:rPr>
        <w:t>Kalyvas</w:t>
      </w:r>
      <w:proofErr w:type="spellEnd"/>
      <w:r w:rsidR="00A37A65">
        <w:rPr>
          <w:rFonts w:ascii="Times New Roman" w:hAnsi="Times New Roman" w:cs="Times New Roman"/>
          <w:sz w:val="22"/>
          <w:szCs w:val="22"/>
        </w:rPr>
        <w:t xml:space="preserve"> argues instead that the moment of beginning</w:t>
      </w:r>
      <w:r w:rsidR="00853EFA">
        <w:rPr>
          <w:rFonts w:ascii="Times New Roman" w:hAnsi="Times New Roman" w:cs="Times New Roman"/>
          <w:sz w:val="22"/>
          <w:szCs w:val="22"/>
        </w:rPr>
        <w:t>, the constituent power,</w:t>
      </w:r>
      <w:r w:rsidR="00A37A65">
        <w:rPr>
          <w:rFonts w:ascii="Times New Roman" w:hAnsi="Times New Roman" w:cs="Times New Roman"/>
          <w:sz w:val="22"/>
          <w:szCs w:val="22"/>
        </w:rPr>
        <w:t xml:space="preserve"> is not as rigidly dualistic </w:t>
      </w:r>
      <w:r w:rsidR="00853EFA">
        <w:rPr>
          <w:rFonts w:ascii="Times New Roman" w:hAnsi="Times New Roman" w:cs="Times New Roman"/>
          <w:sz w:val="22"/>
          <w:szCs w:val="22"/>
        </w:rPr>
        <w:t>as this instead we must understand</w:t>
      </w:r>
      <w:r w:rsidR="00853EFA" w:rsidRPr="00853EFA">
        <w:rPr>
          <w:rFonts w:ascii="Times New Roman" w:hAnsi="Times New Roman" w:cs="Times New Roman"/>
          <w:sz w:val="22"/>
          <w:szCs w:val="22"/>
        </w:rPr>
        <w:t>, ‘that the constituent power is a juridical power is to recognize that although it is outside established law, i</w:t>
      </w:r>
      <w:r w:rsidR="00DE58BA">
        <w:rPr>
          <w:rFonts w:ascii="Times New Roman" w:hAnsi="Times New Roman" w:cs="Times New Roman"/>
          <w:sz w:val="22"/>
          <w:szCs w:val="22"/>
        </w:rPr>
        <w:t>t is nevertheless of the law’ (</w:t>
      </w:r>
      <w:proofErr w:type="spellStart"/>
      <w:r w:rsidR="00DE58BA">
        <w:rPr>
          <w:rFonts w:ascii="Times New Roman" w:hAnsi="Times New Roman" w:cs="Times New Roman"/>
          <w:sz w:val="22"/>
          <w:szCs w:val="22"/>
        </w:rPr>
        <w:t>Kalyvas</w:t>
      </w:r>
      <w:proofErr w:type="spellEnd"/>
      <w:r w:rsidR="00DE58BA">
        <w:rPr>
          <w:rFonts w:ascii="Times New Roman" w:hAnsi="Times New Roman" w:cs="Times New Roman"/>
          <w:sz w:val="22"/>
          <w:szCs w:val="22"/>
        </w:rPr>
        <w:t>, 2005, 234)</w:t>
      </w:r>
      <w:r w:rsidR="00853EFA">
        <w:rPr>
          <w:rFonts w:ascii="Times New Roman" w:hAnsi="Times New Roman" w:cs="Times New Roman"/>
          <w:sz w:val="22"/>
          <w:szCs w:val="22"/>
        </w:rPr>
        <w:t xml:space="preserve"> This sense that there is an inter-connection between the normativity of the constituted legal order and its foundation is further emphasised by</w:t>
      </w:r>
      <w:r w:rsidR="00A2211C">
        <w:rPr>
          <w:rFonts w:ascii="Times New Roman" w:hAnsi="Times New Roman" w:cs="Times New Roman"/>
          <w:sz w:val="22"/>
          <w:szCs w:val="22"/>
        </w:rPr>
        <w:t xml:space="preserve"> Loughlin and </w:t>
      </w:r>
      <w:proofErr w:type="spellStart"/>
      <w:r w:rsidR="00A2211C">
        <w:rPr>
          <w:rFonts w:ascii="Times New Roman" w:hAnsi="Times New Roman" w:cs="Times New Roman"/>
          <w:sz w:val="22"/>
          <w:szCs w:val="22"/>
        </w:rPr>
        <w:t>Lindahl</w:t>
      </w:r>
      <w:proofErr w:type="spellEnd"/>
      <w:r w:rsidR="00A2211C">
        <w:rPr>
          <w:rFonts w:ascii="Times New Roman" w:hAnsi="Times New Roman" w:cs="Times New Roman"/>
          <w:sz w:val="22"/>
          <w:szCs w:val="22"/>
        </w:rPr>
        <w:t xml:space="preserve"> both of whom</w:t>
      </w:r>
      <w:r w:rsidR="00A2211C" w:rsidRPr="00A2211C">
        <w:rPr>
          <w:rFonts w:ascii="Times New Roman" w:hAnsi="Times New Roman" w:cs="Times New Roman"/>
          <w:sz w:val="22"/>
          <w:szCs w:val="22"/>
        </w:rPr>
        <w:t xml:space="preserve"> endorse an approach which sees the necessity of linking normative concerns about the established constitutional order to the ‘existential’ conditions which give rise to it – as Loughlin writes he is concerned with the ‘way of being’ of the constitution</w:t>
      </w:r>
      <w:r w:rsidR="008D0E9E">
        <w:rPr>
          <w:rFonts w:ascii="Times New Roman" w:hAnsi="Times New Roman" w:cs="Times New Roman"/>
          <w:sz w:val="22"/>
          <w:szCs w:val="22"/>
        </w:rPr>
        <w:t xml:space="preserve"> (Loughlin, 2005</w:t>
      </w:r>
      <w:r w:rsidR="008646C6">
        <w:rPr>
          <w:rFonts w:ascii="Times New Roman" w:hAnsi="Times New Roman" w:cs="Times New Roman"/>
          <w:sz w:val="22"/>
          <w:szCs w:val="22"/>
        </w:rPr>
        <w:t>, 183</w:t>
      </w:r>
      <w:r w:rsidR="008D0E9E">
        <w:rPr>
          <w:rFonts w:ascii="Times New Roman" w:hAnsi="Times New Roman" w:cs="Times New Roman"/>
          <w:sz w:val="22"/>
          <w:szCs w:val="22"/>
        </w:rPr>
        <w:t>)</w:t>
      </w:r>
      <w:r w:rsidR="00A2211C">
        <w:rPr>
          <w:rFonts w:ascii="Times New Roman" w:hAnsi="Times New Roman" w:cs="Times New Roman"/>
          <w:sz w:val="22"/>
          <w:szCs w:val="22"/>
        </w:rPr>
        <w:t>. These</w:t>
      </w:r>
      <w:r w:rsidR="003E6B46">
        <w:rPr>
          <w:rFonts w:ascii="Times New Roman" w:hAnsi="Times New Roman" w:cs="Times New Roman"/>
          <w:sz w:val="22"/>
          <w:szCs w:val="22"/>
        </w:rPr>
        <w:t xml:space="preserve"> insights</w:t>
      </w:r>
      <w:r w:rsidR="00A2211C">
        <w:rPr>
          <w:rFonts w:ascii="Times New Roman" w:hAnsi="Times New Roman" w:cs="Times New Roman"/>
          <w:sz w:val="22"/>
          <w:szCs w:val="22"/>
        </w:rPr>
        <w:t xml:space="preserve"> lead </w:t>
      </w:r>
      <w:r w:rsidR="003E6B46">
        <w:rPr>
          <w:rFonts w:ascii="Times New Roman" w:hAnsi="Times New Roman" w:cs="Times New Roman"/>
          <w:sz w:val="22"/>
          <w:szCs w:val="22"/>
        </w:rPr>
        <w:t>to the second plank</w:t>
      </w:r>
      <w:r w:rsidR="00A2211C">
        <w:rPr>
          <w:rFonts w:ascii="Times New Roman" w:hAnsi="Times New Roman" w:cs="Times New Roman"/>
          <w:sz w:val="22"/>
          <w:szCs w:val="22"/>
        </w:rPr>
        <w:t xml:space="preserve"> of this re-modelled</w:t>
      </w:r>
      <w:r w:rsidR="003E6B46">
        <w:rPr>
          <w:rFonts w:ascii="Times New Roman" w:hAnsi="Times New Roman" w:cs="Times New Roman"/>
          <w:sz w:val="22"/>
          <w:szCs w:val="22"/>
        </w:rPr>
        <w:t xml:space="preserve"> sense of</w:t>
      </w:r>
      <w:r w:rsidR="00A2211C">
        <w:rPr>
          <w:rFonts w:ascii="Times New Roman" w:hAnsi="Times New Roman" w:cs="Times New Roman"/>
          <w:sz w:val="22"/>
          <w:szCs w:val="22"/>
        </w:rPr>
        <w:t xml:space="preserve"> constituent power –</w:t>
      </w:r>
      <w:r w:rsidR="003E6B46">
        <w:rPr>
          <w:rFonts w:ascii="Times New Roman" w:hAnsi="Times New Roman" w:cs="Times New Roman"/>
          <w:sz w:val="22"/>
          <w:szCs w:val="22"/>
        </w:rPr>
        <w:t xml:space="preserve"> that the moment of foundation </w:t>
      </w:r>
      <w:r w:rsidR="00704640">
        <w:rPr>
          <w:rFonts w:ascii="Times New Roman" w:hAnsi="Times New Roman" w:cs="Times New Roman"/>
          <w:sz w:val="22"/>
          <w:szCs w:val="22"/>
        </w:rPr>
        <w:t>becomes a continuous and open-ended question</w:t>
      </w:r>
      <w:r w:rsidR="003E6B46">
        <w:rPr>
          <w:rFonts w:ascii="Times New Roman" w:hAnsi="Times New Roman" w:cs="Times New Roman"/>
          <w:sz w:val="22"/>
          <w:szCs w:val="22"/>
        </w:rPr>
        <w:t xml:space="preserve"> for the constitutional</w:t>
      </w:r>
      <w:r w:rsidR="00271E37">
        <w:rPr>
          <w:rFonts w:ascii="Times New Roman" w:hAnsi="Times New Roman" w:cs="Times New Roman"/>
          <w:sz w:val="22"/>
          <w:szCs w:val="22"/>
        </w:rPr>
        <w:t xml:space="preserve"> order. </w:t>
      </w:r>
      <w:proofErr w:type="spellStart"/>
      <w:r w:rsidR="00271E37">
        <w:rPr>
          <w:rFonts w:ascii="Times New Roman" w:hAnsi="Times New Roman" w:cs="Times New Roman"/>
          <w:sz w:val="22"/>
          <w:szCs w:val="22"/>
        </w:rPr>
        <w:t>Kalyvas</w:t>
      </w:r>
      <w:proofErr w:type="spellEnd"/>
      <w:r w:rsidR="00271E37">
        <w:rPr>
          <w:rFonts w:ascii="Times New Roman" w:hAnsi="Times New Roman" w:cs="Times New Roman"/>
          <w:sz w:val="22"/>
          <w:szCs w:val="22"/>
        </w:rPr>
        <w:t xml:space="preserve"> articulates the</w:t>
      </w:r>
      <w:r w:rsidR="003E6B46">
        <w:rPr>
          <w:rFonts w:ascii="Times New Roman" w:hAnsi="Times New Roman" w:cs="Times New Roman"/>
          <w:sz w:val="22"/>
          <w:szCs w:val="22"/>
        </w:rPr>
        <w:t xml:space="preserve"> present and continuous role of the constituent power in </w:t>
      </w:r>
      <w:r w:rsidR="00704640">
        <w:rPr>
          <w:rFonts w:ascii="Times New Roman" w:hAnsi="Times New Roman" w:cs="Times New Roman"/>
          <w:sz w:val="22"/>
          <w:szCs w:val="22"/>
        </w:rPr>
        <w:t>quite a direct sense, arguing that ultimately this is about the constant attentiveness to the conditions of individual and collective participation in the process of co-insti</w:t>
      </w:r>
      <w:r w:rsidR="008D0E9E">
        <w:rPr>
          <w:rFonts w:ascii="Times New Roman" w:hAnsi="Times New Roman" w:cs="Times New Roman"/>
          <w:sz w:val="22"/>
          <w:szCs w:val="22"/>
        </w:rPr>
        <w:t>tuting the constitutional order (</w:t>
      </w:r>
      <w:proofErr w:type="spellStart"/>
      <w:r w:rsidR="008D0E9E">
        <w:rPr>
          <w:rFonts w:ascii="Times New Roman" w:hAnsi="Times New Roman" w:cs="Times New Roman"/>
          <w:sz w:val="22"/>
          <w:szCs w:val="22"/>
        </w:rPr>
        <w:t>Kalyvas</w:t>
      </w:r>
      <w:proofErr w:type="spellEnd"/>
      <w:r w:rsidR="008D0E9E">
        <w:rPr>
          <w:rFonts w:ascii="Times New Roman" w:hAnsi="Times New Roman" w:cs="Times New Roman"/>
          <w:sz w:val="22"/>
          <w:szCs w:val="22"/>
        </w:rPr>
        <w:t>, 239).</w:t>
      </w:r>
      <w:r w:rsidR="00704640">
        <w:rPr>
          <w:rFonts w:ascii="Times New Roman" w:hAnsi="Times New Roman" w:cs="Times New Roman"/>
          <w:sz w:val="22"/>
          <w:szCs w:val="22"/>
        </w:rPr>
        <w:t xml:space="preserve"> </w:t>
      </w:r>
      <w:proofErr w:type="spellStart"/>
      <w:r w:rsidR="00271E37">
        <w:rPr>
          <w:rFonts w:ascii="Times New Roman" w:hAnsi="Times New Roman" w:cs="Times New Roman"/>
          <w:sz w:val="22"/>
          <w:szCs w:val="22"/>
        </w:rPr>
        <w:t>Lindahl’s</w:t>
      </w:r>
      <w:proofErr w:type="spellEnd"/>
      <w:r w:rsidR="00271E37">
        <w:rPr>
          <w:rFonts w:ascii="Times New Roman" w:hAnsi="Times New Roman" w:cs="Times New Roman"/>
          <w:sz w:val="22"/>
          <w:szCs w:val="22"/>
        </w:rPr>
        <w:t xml:space="preserve"> </w:t>
      </w:r>
      <w:r w:rsidR="005372BE">
        <w:rPr>
          <w:rFonts w:ascii="Times New Roman" w:hAnsi="Times New Roman" w:cs="Times New Roman"/>
          <w:sz w:val="22"/>
          <w:szCs w:val="22"/>
        </w:rPr>
        <w:t xml:space="preserve">approach </w:t>
      </w:r>
      <w:r w:rsidR="00861635">
        <w:rPr>
          <w:rFonts w:ascii="Times New Roman" w:hAnsi="Times New Roman" w:cs="Times New Roman"/>
          <w:sz w:val="22"/>
          <w:szCs w:val="22"/>
        </w:rPr>
        <w:t>is more abstract; i</w:t>
      </w:r>
      <w:r w:rsidR="00EC1813">
        <w:rPr>
          <w:rFonts w:ascii="Times New Roman" w:hAnsi="Times New Roman" w:cs="Times New Roman"/>
          <w:sz w:val="22"/>
          <w:szCs w:val="22"/>
        </w:rPr>
        <w:t>t places emphasis on</w:t>
      </w:r>
      <w:r w:rsidR="00861635">
        <w:rPr>
          <w:rFonts w:ascii="Times New Roman" w:hAnsi="Times New Roman" w:cs="Times New Roman"/>
          <w:sz w:val="22"/>
          <w:szCs w:val="22"/>
        </w:rPr>
        <w:t xml:space="preserve"> reflexivity involving, ‘</w:t>
      </w:r>
      <w:r w:rsidR="00861635" w:rsidRPr="00861635">
        <w:rPr>
          <w:rFonts w:ascii="Times New Roman" w:hAnsi="Times New Roman" w:cs="Times New Roman"/>
          <w:sz w:val="22"/>
          <w:szCs w:val="22"/>
        </w:rPr>
        <w:t xml:space="preserve">modes of </w:t>
      </w:r>
      <w:r w:rsidR="00861635" w:rsidRPr="00861635">
        <w:rPr>
          <w:rFonts w:ascii="Times New Roman" w:hAnsi="Times New Roman" w:cs="Times New Roman"/>
          <w:i/>
          <w:sz w:val="22"/>
          <w:szCs w:val="22"/>
        </w:rPr>
        <w:t>questionability</w:t>
      </w:r>
      <w:r w:rsidR="00861635" w:rsidRPr="00861635">
        <w:rPr>
          <w:rFonts w:ascii="Times New Roman" w:hAnsi="Times New Roman" w:cs="Times New Roman"/>
          <w:sz w:val="22"/>
          <w:szCs w:val="22"/>
        </w:rPr>
        <w:t xml:space="preserve"> and by way of its acts, of </w:t>
      </w:r>
      <w:r w:rsidR="00861635" w:rsidRPr="00861635">
        <w:rPr>
          <w:rFonts w:ascii="Times New Roman" w:hAnsi="Times New Roman" w:cs="Times New Roman"/>
          <w:i/>
          <w:sz w:val="22"/>
          <w:szCs w:val="22"/>
        </w:rPr>
        <w:t>responsiveness</w:t>
      </w:r>
      <w:r w:rsidR="00861635" w:rsidRPr="00861635">
        <w:rPr>
          <w:rFonts w:ascii="Times New Roman" w:hAnsi="Times New Roman" w:cs="Times New Roman"/>
          <w:sz w:val="22"/>
          <w:szCs w:val="22"/>
        </w:rPr>
        <w:t>’</w:t>
      </w:r>
      <w:r w:rsidR="00603328">
        <w:rPr>
          <w:rFonts w:ascii="Times New Roman" w:hAnsi="Times New Roman" w:cs="Times New Roman"/>
          <w:sz w:val="22"/>
          <w:szCs w:val="22"/>
        </w:rPr>
        <w:t xml:space="preserve"> (</w:t>
      </w:r>
      <w:proofErr w:type="spellStart"/>
      <w:r w:rsidR="00603328">
        <w:rPr>
          <w:rFonts w:ascii="Times New Roman" w:hAnsi="Times New Roman" w:cs="Times New Roman"/>
          <w:sz w:val="22"/>
          <w:szCs w:val="22"/>
        </w:rPr>
        <w:t>Lindahl</w:t>
      </w:r>
      <w:proofErr w:type="spellEnd"/>
      <w:r w:rsidR="00603328">
        <w:rPr>
          <w:rFonts w:ascii="Times New Roman" w:hAnsi="Times New Roman" w:cs="Times New Roman"/>
          <w:sz w:val="22"/>
          <w:szCs w:val="22"/>
        </w:rPr>
        <w:t>, 2008</w:t>
      </w:r>
      <w:r w:rsidR="008D0E9E">
        <w:rPr>
          <w:rFonts w:ascii="Times New Roman" w:hAnsi="Times New Roman" w:cs="Times New Roman"/>
          <w:sz w:val="22"/>
          <w:szCs w:val="22"/>
        </w:rPr>
        <w:t>, 21)</w:t>
      </w:r>
      <w:r w:rsidR="00861635">
        <w:rPr>
          <w:rFonts w:ascii="Times New Roman" w:hAnsi="Times New Roman" w:cs="Times New Roman"/>
          <w:sz w:val="22"/>
          <w:szCs w:val="22"/>
        </w:rPr>
        <w:t xml:space="preserve"> which give rise to</w:t>
      </w:r>
      <w:r w:rsidR="00EC1813">
        <w:rPr>
          <w:rFonts w:ascii="Times New Roman" w:hAnsi="Times New Roman" w:cs="Times New Roman"/>
          <w:sz w:val="22"/>
          <w:szCs w:val="22"/>
        </w:rPr>
        <w:t xml:space="preserve"> an understanding of</w:t>
      </w:r>
      <w:r w:rsidR="00861635">
        <w:rPr>
          <w:rFonts w:ascii="Times New Roman" w:hAnsi="Times New Roman" w:cs="Times New Roman"/>
          <w:sz w:val="22"/>
          <w:szCs w:val="22"/>
        </w:rPr>
        <w:t xml:space="preserve"> collective selfhood</w:t>
      </w:r>
      <w:r w:rsidR="005E5620">
        <w:rPr>
          <w:rFonts w:ascii="Times New Roman" w:hAnsi="Times New Roman" w:cs="Times New Roman"/>
          <w:sz w:val="22"/>
          <w:szCs w:val="22"/>
        </w:rPr>
        <w:t xml:space="preserve"> (ontology)</w:t>
      </w:r>
      <w:r w:rsidR="00861635">
        <w:rPr>
          <w:rFonts w:ascii="Times New Roman" w:hAnsi="Times New Roman" w:cs="Times New Roman"/>
          <w:sz w:val="22"/>
          <w:szCs w:val="22"/>
        </w:rPr>
        <w:t xml:space="preserve">. </w:t>
      </w:r>
      <w:r w:rsidR="00EC1813">
        <w:rPr>
          <w:rFonts w:ascii="Times New Roman" w:hAnsi="Times New Roman" w:cs="Times New Roman"/>
          <w:sz w:val="22"/>
          <w:szCs w:val="22"/>
        </w:rPr>
        <w:t xml:space="preserve">In both </w:t>
      </w:r>
      <w:r w:rsidR="00FD65EE">
        <w:rPr>
          <w:rFonts w:ascii="Times New Roman" w:hAnsi="Times New Roman" w:cs="Times New Roman"/>
          <w:sz w:val="22"/>
          <w:szCs w:val="22"/>
        </w:rPr>
        <w:t>instances the</w:t>
      </w:r>
      <w:r w:rsidR="00EC1813">
        <w:rPr>
          <w:rFonts w:ascii="Times New Roman" w:hAnsi="Times New Roman" w:cs="Times New Roman"/>
          <w:sz w:val="22"/>
          <w:szCs w:val="22"/>
        </w:rPr>
        <w:t xml:space="preserve"> framing role of the law in constituent power is a necessary aspect of the continuous task of holding a legal order open to the possibilities of its beginning</w:t>
      </w:r>
      <w:r w:rsidR="00BA6CB5">
        <w:rPr>
          <w:rFonts w:ascii="Times New Roman" w:hAnsi="Times New Roman" w:cs="Times New Roman"/>
          <w:sz w:val="22"/>
          <w:szCs w:val="22"/>
        </w:rPr>
        <w:t xml:space="preserve"> and future</w:t>
      </w:r>
      <w:r w:rsidR="005E5620">
        <w:rPr>
          <w:rFonts w:ascii="Times New Roman" w:hAnsi="Times New Roman" w:cs="Times New Roman"/>
          <w:sz w:val="22"/>
          <w:szCs w:val="22"/>
        </w:rPr>
        <w:t xml:space="preserve"> </w:t>
      </w:r>
      <w:proofErr w:type="spellStart"/>
      <w:r w:rsidR="005E5620">
        <w:rPr>
          <w:rFonts w:ascii="Times New Roman" w:hAnsi="Times New Roman" w:cs="Times New Roman"/>
          <w:sz w:val="22"/>
          <w:szCs w:val="22"/>
        </w:rPr>
        <w:t>existance</w:t>
      </w:r>
      <w:proofErr w:type="spellEnd"/>
      <w:r w:rsidR="00BA6CB5">
        <w:rPr>
          <w:rFonts w:ascii="Times New Roman" w:hAnsi="Times New Roman" w:cs="Times New Roman"/>
          <w:sz w:val="22"/>
          <w:szCs w:val="22"/>
        </w:rPr>
        <w:t>. If the rule of law, in its constituent form, i</w:t>
      </w:r>
      <w:r w:rsidR="00684915">
        <w:rPr>
          <w:rFonts w:ascii="Times New Roman" w:hAnsi="Times New Roman" w:cs="Times New Roman"/>
          <w:sz w:val="22"/>
          <w:szCs w:val="22"/>
        </w:rPr>
        <w:t xml:space="preserve">s an integral part of the link between the constituted legal order and its beginning then this goes some way to account for why it can be termed a fundamentally ‘uncertain’ or ‘elusive’ concept. </w:t>
      </w:r>
    </w:p>
    <w:p w14:paraId="3E15DA0C" w14:textId="74036964" w:rsidR="0010446F" w:rsidRDefault="00F248E2"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This then focuses attention on</w:t>
      </w:r>
      <w:r w:rsidR="001A2D11">
        <w:rPr>
          <w:rFonts w:ascii="Times New Roman" w:hAnsi="Times New Roman" w:cs="Times New Roman"/>
          <w:sz w:val="22"/>
          <w:szCs w:val="22"/>
        </w:rPr>
        <w:t xml:space="preserve"> the second is</w:t>
      </w:r>
      <w:r>
        <w:rPr>
          <w:rFonts w:ascii="Times New Roman" w:hAnsi="Times New Roman" w:cs="Times New Roman"/>
          <w:sz w:val="22"/>
          <w:szCs w:val="22"/>
        </w:rPr>
        <w:t>sue, namely whether</w:t>
      </w:r>
      <w:r w:rsidR="001A2D11">
        <w:rPr>
          <w:rFonts w:ascii="Times New Roman" w:hAnsi="Times New Roman" w:cs="Times New Roman"/>
          <w:sz w:val="22"/>
          <w:szCs w:val="22"/>
        </w:rPr>
        <w:t xml:space="preserve"> this uncertainty be a positive or productiv</w:t>
      </w:r>
      <w:r w:rsidR="00431F26">
        <w:rPr>
          <w:rFonts w:ascii="Times New Roman" w:hAnsi="Times New Roman" w:cs="Times New Roman"/>
          <w:sz w:val="22"/>
          <w:szCs w:val="22"/>
        </w:rPr>
        <w:t xml:space="preserve">e dimension to the rule of law. Taking </w:t>
      </w:r>
      <w:r w:rsidR="00C3119F">
        <w:rPr>
          <w:rFonts w:ascii="Times New Roman" w:hAnsi="Times New Roman" w:cs="Times New Roman"/>
          <w:sz w:val="22"/>
          <w:szCs w:val="22"/>
        </w:rPr>
        <w:t>‘</w:t>
      </w:r>
      <w:r w:rsidR="002D0B0B">
        <w:rPr>
          <w:rFonts w:ascii="Times New Roman" w:hAnsi="Times New Roman" w:cs="Times New Roman"/>
          <w:sz w:val="22"/>
          <w:szCs w:val="22"/>
        </w:rPr>
        <w:t>strong evaluations</w:t>
      </w:r>
      <w:r w:rsidR="00C3119F">
        <w:rPr>
          <w:rFonts w:ascii="Times New Roman" w:hAnsi="Times New Roman" w:cs="Times New Roman"/>
          <w:sz w:val="22"/>
          <w:szCs w:val="22"/>
        </w:rPr>
        <w:t>’ from Taylor alongside the constituent power and</w:t>
      </w:r>
      <w:r w:rsidR="002D0B0B">
        <w:rPr>
          <w:rFonts w:ascii="Times New Roman" w:hAnsi="Times New Roman" w:cs="Times New Roman"/>
          <w:sz w:val="22"/>
          <w:szCs w:val="22"/>
        </w:rPr>
        <w:t xml:space="preserve"> the existential conditions which give rise to</w:t>
      </w:r>
      <w:r w:rsidR="00C3119F">
        <w:rPr>
          <w:rFonts w:ascii="Times New Roman" w:hAnsi="Times New Roman" w:cs="Times New Roman"/>
          <w:sz w:val="22"/>
          <w:szCs w:val="22"/>
        </w:rPr>
        <w:t xml:space="preserve"> the legal order</w:t>
      </w:r>
      <w:r w:rsidR="00DB3D1D">
        <w:rPr>
          <w:rFonts w:ascii="Times New Roman" w:hAnsi="Times New Roman" w:cs="Times New Roman"/>
          <w:sz w:val="22"/>
          <w:szCs w:val="22"/>
        </w:rPr>
        <w:t xml:space="preserve"> then it </w:t>
      </w:r>
      <w:r w:rsidR="00F84782">
        <w:rPr>
          <w:rFonts w:ascii="Times New Roman" w:hAnsi="Times New Roman" w:cs="Times New Roman"/>
          <w:sz w:val="22"/>
          <w:szCs w:val="22"/>
        </w:rPr>
        <w:t>becomes</w:t>
      </w:r>
      <w:r w:rsidR="00DB3D1D">
        <w:rPr>
          <w:rFonts w:ascii="Times New Roman" w:hAnsi="Times New Roman" w:cs="Times New Roman"/>
          <w:sz w:val="22"/>
          <w:szCs w:val="22"/>
        </w:rPr>
        <w:t xml:space="preserve"> </w:t>
      </w:r>
      <w:r w:rsidR="00DB3D1D">
        <w:rPr>
          <w:rFonts w:ascii="Times New Roman" w:hAnsi="Times New Roman" w:cs="Times New Roman"/>
          <w:sz w:val="22"/>
          <w:szCs w:val="22"/>
        </w:rPr>
        <w:lastRenderedPageBreak/>
        <w:t>po</w:t>
      </w:r>
      <w:r w:rsidR="009E614E">
        <w:rPr>
          <w:rFonts w:ascii="Times New Roman" w:hAnsi="Times New Roman" w:cs="Times New Roman"/>
          <w:sz w:val="22"/>
          <w:szCs w:val="22"/>
        </w:rPr>
        <w:t>ssible</w:t>
      </w:r>
      <w:r w:rsidR="00C3119F">
        <w:rPr>
          <w:rFonts w:ascii="Times New Roman" w:hAnsi="Times New Roman" w:cs="Times New Roman"/>
          <w:sz w:val="22"/>
          <w:szCs w:val="22"/>
        </w:rPr>
        <w:t xml:space="preserve"> to conceive that the constitutive dimension of the rule of law </w:t>
      </w:r>
      <w:r w:rsidR="00E27B7A">
        <w:rPr>
          <w:rFonts w:ascii="Times New Roman" w:hAnsi="Times New Roman" w:cs="Times New Roman"/>
          <w:sz w:val="22"/>
          <w:szCs w:val="22"/>
        </w:rPr>
        <w:t xml:space="preserve">becomes integral to the </w:t>
      </w:r>
      <w:r w:rsidR="00CE0748">
        <w:rPr>
          <w:rFonts w:ascii="Times New Roman" w:hAnsi="Times New Roman" w:cs="Times New Roman"/>
          <w:sz w:val="22"/>
          <w:szCs w:val="22"/>
        </w:rPr>
        <w:t>way that the rule of law acts</w:t>
      </w:r>
      <w:r w:rsidR="00DC4042">
        <w:rPr>
          <w:rFonts w:ascii="Times New Roman" w:hAnsi="Times New Roman" w:cs="Times New Roman"/>
          <w:sz w:val="22"/>
          <w:szCs w:val="22"/>
        </w:rPr>
        <w:t xml:space="preserve"> as an</w:t>
      </w:r>
      <w:r w:rsidR="00CE0748">
        <w:rPr>
          <w:rFonts w:ascii="Times New Roman" w:hAnsi="Times New Roman" w:cs="Times New Roman"/>
          <w:sz w:val="22"/>
          <w:szCs w:val="22"/>
        </w:rPr>
        <w:t xml:space="preserve"> orientation point for the political community. </w:t>
      </w:r>
      <w:r w:rsidR="00DC4042">
        <w:rPr>
          <w:rFonts w:ascii="Times New Roman" w:hAnsi="Times New Roman" w:cs="Times New Roman"/>
          <w:sz w:val="22"/>
          <w:szCs w:val="22"/>
        </w:rPr>
        <w:t xml:space="preserve">As </w:t>
      </w:r>
      <w:r w:rsidR="00CE0748">
        <w:rPr>
          <w:rFonts w:ascii="Times New Roman" w:hAnsi="Times New Roman" w:cs="Times New Roman"/>
          <w:sz w:val="22"/>
          <w:szCs w:val="22"/>
        </w:rPr>
        <w:t>strong evaluation</w:t>
      </w:r>
      <w:r w:rsidR="00DC4042">
        <w:rPr>
          <w:rFonts w:ascii="Times New Roman" w:hAnsi="Times New Roman" w:cs="Times New Roman"/>
          <w:sz w:val="22"/>
          <w:szCs w:val="22"/>
        </w:rPr>
        <w:t>s</w:t>
      </w:r>
      <w:r w:rsidR="00CE0748">
        <w:rPr>
          <w:rFonts w:ascii="Times New Roman" w:hAnsi="Times New Roman" w:cs="Times New Roman"/>
          <w:sz w:val="22"/>
          <w:szCs w:val="22"/>
        </w:rPr>
        <w:t xml:space="preserve"> </w:t>
      </w:r>
      <w:r w:rsidR="00DC4042">
        <w:rPr>
          <w:rFonts w:ascii="Times New Roman" w:hAnsi="Times New Roman" w:cs="Times New Roman"/>
          <w:sz w:val="22"/>
          <w:szCs w:val="22"/>
        </w:rPr>
        <w:t xml:space="preserve">express and represent our </w:t>
      </w:r>
      <w:r w:rsidR="00CE0748">
        <w:rPr>
          <w:rFonts w:ascii="Times New Roman" w:hAnsi="Times New Roman" w:cs="Times New Roman"/>
          <w:sz w:val="22"/>
          <w:szCs w:val="22"/>
        </w:rPr>
        <w:t xml:space="preserve">understandings </w:t>
      </w:r>
      <w:r w:rsidR="00483669">
        <w:rPr>
          <w:rFonts w:ascii="Times New Roman" w:hAnsi="Times New Roman" w:cs="Times New Roman"/>
          <w:sz w:val="22"/>
          <w:szCs w:val="22"/>
        </w:rPr>
        <w:t>and meaning of the rule of law (in a substantive sense)</w:t>
      </w:r>
      <w:r w:rsidR="00E165C5">
        <w:rPr>
          <w:rFonts w:ascii="Times New Roman" w:hAnsi="Times New Roman" w:cs="Times New Roman"/>
          <w:sz w:val="22"/>
          <w:szCs w:val="22"/>
        </w:rPr>
        <w:t xml:space="preserve">, </w:t>
      </w:r>
      <w:r w:rsidR="00DC4042">
        <w:rPr>
          <w:rFonts w:ascii="Times New Roman" w:hAnsi="Times New Roman" w:cs="Times New Roman"/>
          <w:sz w:val="22"/>
          <w:szCs w:val="22"/>
        </w:rPr>
        <w:t xml:space="preserve">which are constituted at the beginning </w:t>
      </w:r>
      <w:r w:rsidR="00472BDE">
        <w:rPr>
          <w:rFonts w:ascii="Times New Roman" w:hAnsi="Times New Roman" w:cs="Times New Roman"/>
          <w:sz w:val="22"/>
          <w:szCs w:val="22"/>
        </w:rPr>
        <w:t>of the legal order</w:t>
      </w:r>
      <w:r w:rsidR="00E165C5">
        <w:rPr>
          <w:rFonts w:ascii="Times New Roman" w:hAnsi="Times New Roman" w:cs="Times New Roman"/>
          <w:sz w:val="22"/>
          <w:szCs w:val="22"/>
        </w:rPr>
        <w:t>,</w:t>
      </w:r>
      <w:r w:rsidR="00472BDE">
        <w:rPr>
          <w:rFonts w:ascii="Times New Roman" w:hAnsi="Times New Roman" w:cs="Times New Roman"/>
          <w:sz w:val="22"/>
          <w:szCs w:val="22"/>
        </w:rPr>
        <w:t xml:space="preserve"> this becomes an ongoing and continuous engagement for the political community and </w:t>
      </w:r>
      <w:r w:rsidR="005E5620">
        <w:rPr>
          <w:rFonts w:ascii="Times New Roman" w:hAnsi="Times New Roman" w:cs="Times New Roman"/>
          <w:sz w:val="22"/>
          <w:szCs w:val="22"/>
        </w:rPr>
        <w:t xml:space="preserve">therefore </w:t>
      </w:r>
      <w:r w:rsidR="00472BDE">
        <w:rPr>
          <w:rFonts w:ascii="Times New Roman" w:hAnsi="Times New Roman" w:cs="Times New Roman"/>
          <w:sz w:val="22"/>
          <w:szCs w:val="22"/>
        </w:rPr>
        <w:t xml:space="preserve">acts as a point of orientation around which </w:t>
      </w:r>
      <w:r w:rsidR="00483669">
        <w:rPr>
          <w:rFonts w:ascii="Times New Roman" w:hAnsi="Times New Roman" w:cs="Times New Roman"/>
          <w:sz w:val="22"/>
          <w:szCs w:val="22"/>
        </w:rPr>
        <w:t xml:space="preserve">these </w:t>
      </w:r>
      <w:r w:rsidR="00472BDE">
        <w:rPr>
          <w:rFonts w:ascii="Times New Roman" w:hAnsi="Times New Roman" w:cs="Times New Roman"/>
          <w:sz w:val="22"/>
          <w:szCs w:val="22"/>
        </w:rPr>
        <w:t xml:space="preserve">meanings </w:t>
      </w:r>
      <w:r w:rsidR="00483669">
        <w:rPr>
          <w:rFonts w:ascii="Times New Roman" w:hAnsi="Times New Roman" w:cs="Times New Roman"/>
          <w:sz w:val="22"/>
          <w:szCs w:val="22"/>
        </w:rPr>
        <w:t xml:space="preserve">can be </w:t>
      </w:r>
      <w:r w:rsidR="0017709B">
        <w:rPr>
          <w:rFonts w:ascii="Times New Roman" w:hAnsi="Times New Roman" w:cs="Times New Roman"/>
          <w:sz w:val="22"/>
          <w:szCs w:val="22"/>
        </w:rPr>
        <w:t xml:space="preserve">explored. </w:t>
      </w:r>
      <w:r w:rsidR="00A66BF3">
        <w:rPr>
          <w:rFonts w:ascii="Times New Roman" w:hAnsi="Times New Roman" w:cs="Times New Roman"/>
          <w:sz w:val="22"/>
          <w:szCs w:val="22"/>
        </w:rPr>
        <w:t>The importance of the constitutive sense of the rule of law</w:t>
      </w:r>
      <w:r w:rsidR="00AD2006">
        <w:rPr>
          <w:rFonts w:ascii="Times New Roman" w:hAnsi="Times New Roman" w:cs="Times New Roman"/>
          <w:sz w:val="22"/>
          <w:szCs w:val="22"/>
        </w:rPr>
        <w:t>,</w:t>
      </w:r>
      <w:r w:rsidR="00A66BF3">
        <w:rPr>
          <w:rFonts w:ascii="Times New Roman" w:hAnsi="Times New Roman" w:cs="Times New Roman"/>
          <w:sz w:val="22"/>
          <w:szCs w:val="22"/>
        </w:rPr>
        <w:t xml:space="preserve"> acting as an orientation point</w:t>
      </w:r>
      <w:r w:rsidR="00AD2006">
        <w:rPr>
          <w:rFonts w:ascii="Times New Roman" w:hAnsi="Times New Roman" w:cs="Times New Roman"/>
          <w:sz w:val="22"/>
          <w:szCs w:val="22"/>
        </w:rPr>
        <w:t>,</w:t>
      </w:r>
      <w:r w:rsidR="00A66BF3">
        <w:rPr>
          <w:rFonts w:ascii="Times New Roman" w:hAnsi="Times New Roman" w:cs="Times New Roman"/>
          <w:sz w:val="22"/>
          <w:szCs w:val="22"/>
        </w:rPr>
        <w:t xml:space="preserve"> allows the political community both to make sense of </w:t>
      </w:r>
      <w:r w:rsidR="00E02191">
        <w:rPr>
          <w:rFonts w:ascii="Times New Roman" w:hAnsi="Times New Roman" w:cs="Times New Roman"/>
          <w:sz w:val="22"/>
          <w:szCs w:val="22"/>
        </w:rPr>
        <w:t xml:space="preserve">(or cope with) the demands of </w:t>
      </w:r>
      <w:r w:rsidR="00A66BF3">
        <w:rPr>
          <w:rFonts w:ascii="Times New Roman" w:hAnsi="Times New Roman" w:cs="Times New Roman"/>
          <w:sz w:val="22"/>
          <w:szCs w:val="22"/>
        </w:rPr>
        <w:t>constitutional change</w:t>
      </w:r>
      <w:r w:rsidR="00AD2006">
        <w:rPr>
          <w:rFonts w:ascii="Times New Roman" w:hAnsi="Times New Roman" w:cs="Times New Roman"/>
          <w:sz w:val="22"/>
          <w:szCs w:val="22"/>
        </w:rPr>
        <w:t xml:space="preserve"> in the light of a common understanding of the rule of law</w:t>
      </w:r>
      <w:r w:rsidR="00A66BF3">
        <w:rPr>
          <w:rFonts w:ascii="Times New Roman" w:hAnsi="Times New Roman" w:cs="Times New Roman"/>
          <w:sz w:val="22"/>
          <w:szCs w:val="22"/>
        </w:rPr>
        <w:t xml:space="preserve"> </w:t>
      </w:r>
      <w:r w:rsidR="00E02191">
        <w:rPr>
          <w:rFonts w:ascii="Times New Roman" w:hAnsi="Times New Roman" w:cs="Times New Roman"/>
          <w:sz w:val="22"/>
          <w:szCs w:val="22"/>
        </w:rPr>
        <w:t>–</w:t>
      </w:r>
      <w:r w:rsidR="00A66BF3">
        <w:rPr>
          <w:rFonts w:ascii="Times New Roman" w:hAnsi="Times New Roman" w:cs="Times New Roman"/>
          <w:sz w:val="22"/>
          <w:szCs w:val="22"/>
        </w:rPr>
        <w:t xml:space="preserve"> </w:t>
      </w:r>
      <w:r w:rsidR="00E02191">
        <w:rPr>
          <w:rFonts w:ascii="Times New Roman" w:hAnsi="Times New Roman" w:cs="Times New Roman"/>
          <w:sz w:val="22"/>
          <w:szCs w:val="22"/>
        </w:rPr>
        <w:t xml:space="preserve">and </w:t>
      </w:r>
      <w:r w:rsidR="00AD2006">
        <w:rPr>
          <w:rFonts w:ascii="Times New Roman" w:hAnsi="Times New Roman" w:cs="Times New Roman"/>
          <w:sz w:val="22"/>
          <w:szCs w:val="22"/>
        </w:rPr>
        <w:t xml:space="preserve">in turn </w:t>
      </w:r>
      <w:r w:rsidR="00E02191">
        <w:rPr>
          <w:rFonts w:ascii="Times New Roman" w:hAnsi="Times New Roman" w:cs="Times New Roman"/>
          <w:sz w:val="22"/>
          <w:szCs w:val="22"/>
        </w:rPr>
        <w:t xml:space="preserve">the extent to which </w:t>
      </w:r>
      <w:r w:rsidR="00AD2006">
        <w:rPr>
          <w:rFonts w:ascii="Times New Roman" w:hAnsi="Times New Roman" w:cs="Times New Roman"/>
          <w:sz w:val="22"/>
          <w:szCs w:val="22"/>
        </w:rPr>
        <w:t xml:space="preserve">this is transformative of the constituent power. </w:t>
      </w:r>
      <w:r w:rsidR="00485814">
        <w:rPr>
          <w:rFonts w:ascii="Times New Roman" w:hAnsi="Times New Roman" w:cs="Times New Roman"/>
          <w:sz w:val="22"/>
          <w:szCs w:val="22"/>
        </w:rPr>
        <w:t>It is precisely this capacity of the rule of law</w:t>
      </w:r>
      <w:r w:rsidR="001054E9">
        <w:rPr>
          <w:rFonts w:ascii="Times New Roman" w:hAnsi="Times New Roman" w:cs="Times New Roman"/>
          <w:sz w:val="22"/>
          <w:szCs w:val="22"/>
        </w:rPr>
        <w:t>,</w:t>
      </w:r>
      <w:r w:rsidR="00485814">
        <w:rPr>
          <w:rFonts w:ascii="Times New Roman" w:hAnsi="Times New Roman" w:cs="Times New Roman"/>
          <w:sz w:val="22"/>
          <w:szCs w:val="22"/>
        </w:rPr>
        <w:t xml:space="preserve"> in its constitutive form</w:t>
      </w:r>
      <w:r w:rsidR="001054E9">
        <w:rPr>
          <w:rFonts w:ascii="Times New Roman" w:hAnsi="Times New Roman" w:cs="Times New Roman"/>
          <w:sz w:val="22"/>
          <w:szCs w:val="22"/>
        </w:rPr>
        <w:t>,</w:t>
      </w:r>
      <w:r w:rsidR="00485814">
        <w:rPr>
          <w:rFonts w:ascii="Times New Roman" w:hAnsi="Times New Roman" w:cs="Times New Roman"/>
          <w:sz w:val="22"/>
          <w:szCs w:val="22"/>
        </w:rPr>
        <w:t xml:space="preserve"> to act as a point of orientation </w:t>
      </w:r>
      <w:r w:rsidR="00325A2D">
        <w:rPr>
          <w:rFonts w:ascii="Times New Roman" w:hAnsi="Times New Roman" w:cs="Times New Roman"/>
          <w:sz w:val="22"/>
          <w:szCs w:val="22"/>
        </w:rPr>
        <w:t>that is developed by Fr</w:t>
      </w:r>
      <w:r w:rsidR="007B7EB3">
        <w:rPr>
          <w:rFonts w:ascii="Times New Roman" w:hAnsi="Times New Roman" w:cs="Times New Roman"/>
          <w:sz w:val="22"/>
          <w:szCs w:val="22"/>
        </w:rPr>
        <w:t xml:space="preserve">iedrich </w:t>
      </w:r>
      <w:proofErr w:type="spellStart"/>
      <w:r w:rsidR="007B7EB3">
        <w:rPr>
          <w:rFonts w:ascii="Times New Roman" w:hAnsi="Times New Roman" w:cs="Times New Roman"/>
          <w:sz w:val="22"/>
          <w:szCs w:val="22"/>
        </w:rPr>
        <w:t>Kratochwil</w:t>
      </w:r>
      <w:proofErr w:type="spellEnd"/>
      <w:r w:rsidR="007B7EB3">
        <w:rPr>
          <w:rFonts w:ascii="Times New Roman" w:hAnsi="Times New Roman" w:cs="Times New Roman"/>
          <w:sz w:val="22"/>
          <w:szCs w:val="22"/>
        </w:rPr>
        <w:t xml:space="preserve"> as a critical aspect of understanding the role that law plays in the circumstances of change or rupture of the political</w:t>
      </w:r>
      <w:r w:rsidR="008D0E9E">
        <w:rPr>
          <w:rFonts w:ascii="Times New Roman" w:hAnsi="Times New Roman" w:cs="Times New Roman"/>
          <w:sz w:val="22"/>
          <w:szCs w:val="22"/>
        </w:rPr>
        <w:t xml:space="preserve"> (</w:t>
      </w:r>
      <w:proofErr w:type="spellStart"/>
      <w:r w:rsidR="008D0E9E">
        <w:rPr>
          <w:rFonts w:ascii="Times New Roman" w:hAnsi="Times New Roman" w:cs="Times New Roman"/>
          <w:sz w:val="22"/>
          <w:szCs w:val="22"/>
        </w:rPr>
        <w:t>Kratochwil</w:t>
      </w:r>
      <w:proofErr w:type="spellEnd"/>
      <w:r w:rsidR="008D0E9E">
        <w:rPr>
          <w:rFonts w:ascii="Times New Roman" w:hAnsi="Times New Roman" w:cs="Times New Roman"/>
          <w:sz w:val="22"/>
          <w:szCs w:val="22"/>
        </w:rPr>
        <w:t>, 2014, 77)</w:t>
      </w:r>
      <w:r w:rsidR="007B7EB3">
        <w:rPr>
          <w:rFonts w:ascii="Times New Roman" w:hAnsi="Times New Roman" w:cs="Times New Roman"/>
          <w:sz w:val="22"/>
          <w:szCs w:val="22"/>
        </w:rPr>
        <w:t>.</w:t>
      </w:r>
      <w:r w:rsidR="00FA7AA5">
        <w:rPr>
          <w:rFonts w:ascii="Times New Roman" w:hAnsi="Times New Roman" w:cs="Times New Roman"/>
          <w:sz w:val="22"/>
          <w:szCs w:val="22"/>
        </w:rPr>
        <w:t xml:space="preserve"> </w:t>
      </w:r>
      <w:r w:rsidR="007B7EB3">
        <w:rPr>
          <w:rFonts w:ascii="Times New Roman" w:hAnsi="Times New Roman" w:cs="Times New Roman"/>
          <w:sz w:val="22"/>
          <w:szCs w:val="22"/>
        </w:rPr>
        <w:t xml:space="preserve">The apparent ‘uncertainty’ of the rule of law is in fact a productive possibility to respond to </w:t>
      </w:r>
      <w:r w:rsidR="00BA7978">
        <w:rPr>
          <w:rFonts w:ascii="Times New Roman" w:hAnsi="Times New Roman" w:cs="Times New Roman"/>
          <w:sz w:val="22"/>
          <w:szCs w:val="22"/>
        </w:rPr>
        <w:t xml:space="preserve">fundamental </w:t>
      </w:r>
      <w:r w:rsidR="007B7EB3">
        <w:rPr>
          <w:rFonts w:ascii="Times New Roman" w:hAnsi="Times New Roman" w:cs="Times New Roman"/>
          <w:sz w:val="22"/>
          <w:szCs w:val="22"/>
        </w:rPr>
        <w:t xml:space="preserve">changes or transformations </w:t>
      </w:r>
      <w:r w:rsidR="00402C48">
        <w:rPr>
          <w:rFonts w:ascii="Times New Roman" w:hAnsi="Times New Roman" w:cs="Times New Roman"/>
          <w:sz w:val="22"/>
          <w:szCs w:val="22"/>
        </w:rPr>
        <w:t>of the constitutional understandings concerning the foundation</w:t>
      </w:r>
      <w:r w:rsidR="00BA7978">
        <w:rPr>
          <w:rFonts w:ascii="Times New Roman" w:hAnsi="Times New Roman" w:cs="Times New Roman"/>
          <w:sz w:val="22"/>
          <w:szCs w:val="22"/>
        </w:rPr>
        <w:t>,</w:t>
      </w:r>
      <w:r w:rsidR="00402C48">
        <w:rPr>
          <w:rFonts w:ascii="Times New Roman" w:hAnsi="Times New Roman" w:cs="Times New Roman"/>
          <w:sz w:val="22"/>
          <w:szCs w:val="22"/>
        </w:rPr>
        <w:t xml:space="preserve"> or </w:t>
      </w:r>
      <w:r w:rsidR="00BA7978">
        <w:rPr>
          <w:rFonts w:ascii="Times New Roman" w:hAnsi="Times New Roman" w:cs="Times New Roman"/>
          <w:sz w:val="22"/>
          <w:szCs w:val="22"/>
        </w:rPr>
        <w:t>constituent power,</w:t>
      </w:r>
      <w:r w:rsidR="001265C0">
        <w:rPr>
          <w:rFonts w:ascii="Times New Roman" w:hAnsi="Times New Roman" w:cs="Times New Roman"/>
          <w:sz w:val="22"/>
          <w:szCs w:val="22"/>
        </w:rPr>
        <w:t xml:space="preserve"> of the po</w:t>
      </w:r>
      <w:r w:rsidR="0010446F">
        <w:rPr>
          <w:rFonts w:ascii="Times New Roman" w:hAnsi="Times New Roman" w:cs="Times New Roman"/>
          <w:sz w:val="22"/>
          <w:szCs w:val="22"/>
        </w:rPr>
        <w:t xml:space="preserve">litical community. </w:t>
      </w:r>
    </w:p>
    <w:p w14:paraId="23A64862" w14:textId="215F8F34" w:rsidR="003077C5" w:rsidRDefault="00E66AAB"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If the </w:t>
      </w:r>
      <w:r w:rsidR="0010446F">
        <w:rPr>
          <w:rFonts w:ascii="Times New Roman" w:hAnsi="Times New Roman" w:cs="Times New Roman"/>
          <w:sz w:val="22"/>
          <w:szCs w:val="22"/>
        </w:rPr>
        <w:t>constitutive understanding of the rule of law is able to provide an ‘orientation’ point around which a community can both respond to change</w:t>
      </w:r>
      <w:r>
        <w:rPr>
          <w:rFonts w:ascii="Times New Roman" w:hAnsi="Times New Roman" w:cs="Times New Roman"/>
          <w:sz w:val="22"/>
          <w:szCs w:val="22"/>
        </w:rPr>
        <w:t>,</w:t>
      </w:r>
      <w:r w:rsidR="0010446F">
        <w:rPr>
          <w:rFonts w:ascii="Times New Roman" w:hAnsi="Times New Roman" w:cs="Times New Roman"/>
          <w:sz w:val="22"/>
          <w:szCs w:val="22"/>
        </w:rPr>
        <w:t xml:space="preserve"> or transformation</w:t>
      </w:r>
      <w:r>
        <w:rPr>
          <w:rFonts w:ascii="Times New Roman" w:hAnsi="Times New Roman" w:cs="Times New Roman"/>
          <w:sz w:val="22"/>
          <w:szCs w:val="22"/>
        </w:rPr>
        <w:t xml:space="preserve">, then it would in turn provide a basis for shedding further light on the manner in which the rule of law is deployed in moments of crisis. If nothing else a time of crisis is a point of change which threatens to destabilise the </w:t>
      </w:r>
      <w:r>
        <w:rPr>
          <w:rFonts w:ascii="Times New Roman" w:hAnsi="Times New Roman" w:cs="Times New Roman"/>
          <w:i/>
          <w:sz w:val="22"/>
          <w:szCs w:val="22"/>
        </w:rPr>
        <w:t xml:space="preserve">meaning </w:t>
      </w:r>
      <w:r w:rsidR="00D6368D">
        <w:rPr>
          <w:rFonts w:ascii="Times New Roman" w:hAnsi="Times New Roman" w:cs="Times New Roman"/>
          <w:sz w:val="22"/>
          <w:szCs w:val="22"/>
        </w:rPr>
        <w:t>of the constituent power and as such places the constitutive function of the rule of law – and its capacity to foster strong evaluations regarding the so</w:t>
      </w:r>
      <w:r w:rsidR="005E5620">
        <w:rPr>
          <w:rFonts w:ascii="Times New Roman" w:hAnsi="Times New Roman" w:cs="Times New Roman"/>
          <w:sz w:val="22"/>
          <w:szCs w:val="22"/>
        </w:rPr>
        <w:t>cial practice of law – into play</w:t>
      </w:r>
      <w:r w:rsidR="00D6368D">
        <w:rPr>
          <w:rFonts w:ascii="Times New Roman" w:hAnsi="Times New Roman" w:cs="Times New Roman"/>
          <w:sz w:val="22"/>
          <w:szCs w:val="22"/>
        </w:rPr>
        <w:t xml:space="preserve">. </w:t>
      </w:r>
      <w:r w:rsidR="00BF1993">
        <w:rPr>
          <w:rFonts w:ascii="Times New Roman" w:hAnsi="Times New Roman" w:cs="Times New Roman"/>
          <w:sz w:val="22"/>
          <w:szCs w:val="22"/>
        </w:rPr>
        <w:t>By focusing on</w:t>
      </w:r>
      <w:r w:rsidR="00D6368D">
        <w:rPr>
          <w:rFonts w:ascii="Times New Roman" w:hAnsi="Times New Roman" w:cs="Times New Roman"/>
          <w:sz w:val="22"/>
          <w:szCs w:val="22"/>
        </w:rPr>
        <w:t xml:space="preserve"> t</w:t>
      </w:r>
      <w:r w:rsidR="00372F29">
        <w:rPr>
          <w:rFonts w:ascii="Times New Roman" w:hAnsi="Times New Roman" w:cs="Times New Roman"/>
          <w:sz w:val="22"/>
          <w:szCs w:val="22"/>
        </w:rPr>
        <w:t xml:space="preserve">he role of crisis it is possible to test and explore how the theoretical model of the constitutive function of the rule of law can provide insights into the more applied issue of </w:t>
      </w:r>
      <w:r w:rsidR="00FC2111">
        <w:rPr>
          <w:rFonts w:ascii="Times New Roman" w:hAnsi="Times New Roman" w:cs="Times New Roman"/>
          <w:sz w:val="22"/>
          <w:szCs w:val="22"/>
        </w:rPr>
        <w:t xml:space="preserve">a political community which is coping with crisis. It is to this particular matter that the article now turns with a particular focus on the EU financial debt crisis and response. </w:t>
      </w:r>
    </w:p>
    <w:p w14:paraId="6A058DB0" w14:textId="77777777" w:rsidR="002C63B4" w:rsidRPr="002C63B4" w:rsidRDefault="002C63B4" w:rsidP="007B7EB3">
      <w:pPr>
        <w:spacing w:line="360" w:lineRule="auto"/>
        <w:jc w:val="both"/>
        <w:rPr>
          <w:rFonts w:ascii="Times New Roman" w:hAnsi="Times New Roman" w:cs="Times New Roman"/>
          <w:sz w:val="22"/>
          <w:szCs w:val="22"/>
        </w:rPr>
      </w:pPr>
    </w:p>
    <w:p w14:paraId="3D3390FF" w14:textId="77777777" w:rsidR="00FC2111" w:rsidRPr="00FC2111" w:rsidRDefault="00FC2111" w:rsidP="007B7EB3">
      <w:pPr>
        <w:spacing w:line="360" w:lineRule="auto"/>
        <w:jc w:val="both"/>
        <w:rPr>
          <w:rFonts w:ascii="Times New Roman" w:hAnsi="Times New Roman" w:cs="Times New Roman"/>
          <w:b/>
          <w:sz w:val="22"/>
          <w:szCs w:val="22"/>
        </w:rPr>
      </w:pPr>
      <w:r w:rsidRPr="00FC2111">
        <w:rPr>
          <w:rFonts w:ascii="Times New Roman" w:hAnsi="Times New Roman" w:cs="Times New Roman"/>
          <w:b/>
          <w:sz w:val="22"/>
          <w:szCs w:val="22"/>
        </w:rPr>
        <w:t>3. Crisis and response in Europe</w:t>
      </w:r>
    </w:p>
    <w:p w14:paraId="7E4E65B8" w14:textId="57B11D64" w:rsidR="00FC2111" w:rsidRDefault="00DE4CC0"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A focal point for thinking about crisis and its impact both on our understanding of the rule of law and politics</w:t>
      </w:r>
      <w:r w:rsidR="0012784C">
        <w:rPr>
          <w:rFonts w:ascii="Times New Roman" w:hAnsi="Times New Roman" w:cs="Times New Roman"/>
          <w:sz w:val="22"/>
          <w:szCs w:val="22"/>
        </w:rPr>
        <w:t xml:space="preserve"> in the European Union</w:t>
      </w:r>
      <w:r>
        <w:rPr>
          <w:rFonts w:ascii="Times New Roman" w:hAnsi="Times New Roman" w:cs="Times New Roman"/>
          <w:sz w:val="22"/>
          <w:szCs w:val="22"/>
        </w:rPr>
        <w:t xml:space="preserve"> has been the ongoing economic and financial difficulties faced by the Eurozone. In recent years the focus of this crisis has been t</w:t>
      </w:r>
      <w:r w:rsidR="00E6669A">
        <w:rPr>
          <w:rFonts w:ascii="Times New Roman" w:hAnsi="Times New Roman" w:cs="Times New Roman"/>
          <w:sz w:val="22"/>
          <w:szCs w:val="22"/>
        </w:rPr>
        <w:t>he bailout programmes for Greek debt</w:t>
      </w:r>
      <w:r>
        <w:rPr>
          <w:rFonts w:ascii="Times New Roman" w:hAnsi="Times New Roman" w:cs="Times New Roman"/>
          <w:sz w:val="22"/>
          <w:szCs w:val="22"/>
        </w:rPr>
        <w:t xml:space="preserve"> </w:t>
      </w:r>
      <w:r w:rsidR="00E6669A">
        <w:rPr>
          <w:rFonts w:ascii="Times New Roman" w:hAnsi="Times New Roman" w:cs="Times New Roman"/>
          <w:sz w:val="22"/>
          <w:szCs w:val="22"/>
        </w:rPr>
        <w:t>but, of course, the economic crisis embraces a much wider set of problems about the changing circumstances faced by declining living standards, high rates of youth unemployment, cutting back the welfare provision of the state. The austerity agenda</w:t>
      </w:r>
      <w:r w:rsidR="000F3FBE">
        <w:rPr>
          <w:rFonts w:ascii="Times New Roman" w:hAnsi="Times New Roman" w:cs="Times New Roman"/>
          <w:sz w:val="22"/>
          <w:szCs w:val="22"/>
        </w:rPr>
        <w:t>,</w:t>
      </w:r>
      <w:r w:rsidR="00E6669A">
        <w:rPr>
          <w:rFonts w:ascii="Times New Roman" w:hAnsi="Times New Roman" w:cs="Times New Roman"/>
          <w:sz w:val="22"/>
          <w:szCs w:val="22"/>
        </w:rPr>
        <w:t xml:space="preserve"> sanctioned and overseen by European Union institutions</w:t>
      </w:r>
      <w:r w:rsidR="000F3FBE">
        <w:rPr>
          <w:rFonts w:ascii="Times New Roman" w:hAnsi="Times New Roman" w:cs="Times New Roman"/>
          <w:sz w:val="22"/>
          <w:szCs w:val="22"/>
        </w:rPr>
        <w:t>,</w:t>
      </w:r>
      <w:r w:rsidR="00E6669A">
        <w:rPr>
          <w:rFonts w:ascii="Times New Roman" w:hAnsi="Times New Roman" w:cs="Times New Roman"/>
          <w:sz w:val="22"/>
          <w:szCs w:val="22"/>
        </w:rPr>
        <w:t xml:space="preserve"> as part of bailout packages for Ireland, Portugal and Greece have raised </w:t>
      </w:r>
      <w:r w:rsidR="000F3FBE">
        <w:rPr>
          <w:rFonts w:ascii="Times New Roman" w:hAnsi="Times New Roman" w:cs="Times New Roman"/>
          <w:sz w:val="22"/>
          <w:szCs w:val="22"/>
        </w:rPr>
        <w:t xml:space="preserve">important questions about how the EU is to respond both politically and legally to the changing common experience of financial and economic impoverishment or uncertainty faced by many in the Eurozone. </w:t>
      </w:r>
    </w:p>
    <w:p w14:paraId="20A130F1" w14:textId="40C16CA8" w:rsidR="00070435" w:rsidRDefault="005E1977"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Into this question</w:t>
      </w:r>
      <w:r w:rsidR="003077C5">
        <w:rPr>
          <w:rFonts w:ascii="Times New Roman" w:hAnsi="Times New Roman" w:cs="Times New Roman"/>
          <w:sz w:val="22"/>
          <w:szCs w:val="22"/>
        </w:rPr>
        <w:t>,</w:t>
      </w:r>
      <w:r>
        <w:rPr>
          <w:rFonts w:ascii="Times New Roman" w:hAnsi="Times New Roman" w:cs="Times New Roman"/>
          <w:sz w:val="22"/>
          <w:szCs w:val="22"/>
        </w:rPr>
        <w:t xml:space="preserve"> about the wider implications of the Eurozone economic crisis on the question of the political future of the EU</w:t>
      </w:r>
      <w:r w:rsidR="003077C5">
        <w:rPr>
          <w:rFonts w:ascii="Times New Roman" w:hAnsi="Times New Roman" w:cs="Times New Roman"/>
          <w:sz w:val="22"/>
          <w:szCs w:val="22"/>
        </w:rPr>
        <w:t>,</w:t>
      </w:r>
      <w:r>
        <w:rPr>
          <w:rFonts w:ascii="Times New Roman" w:hAnsi="Times New Roman" w:cs="Times New Roman"/>
          <w:sz w:val="22"/>
          <w:szCs w:val="22"/>
        </w:rPr>
        <w:t xml:space="preserve"> one of the leading European public intellectuals, </w:t>
      </w:r>
      <w:proofErr w:type="spellStart"/>
      <w:r>
        <w:rPr>
          <w:rFonts w:ascii="Times New Roman" w:hAnsi="Times New Roman" w:cs="Times New Roman"/>
          <w:sz w:val="22"/>
          <w:szCs w:val="22"/>
        </w:rPr>
        <w:t>Jurgen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has contributed a growing corpus of interviews, a</w:t>
      </w:r>
      <w:r w:rsidR="00501A5B">
        <w:rPr>
          <w:rFonts w:ascii="Times New Roman" w:hAnsi="Times New Roman" w:cs="Times New Roman"/>
          <w:sz w:val="22"/>
          <w:szCs w:val="22"/>
        </w:rPr>
        <w:t xml:space="preserve">rticles and books. In this section the article seeks to reflect on the character of this intervention but also to consider how </w:t>
      </w:r>
      <w:proofErr w:type="spellStart"/>
      <w:r w:rsidR="00501A5B">
        <w:rPr>
          <w:rFonts w:ascii="Times New Roman" w:hAnsi="Times New Roman" w:cs="Times New Roman"/>
          <w:sz w:val="22"/>
          <w:szCs w:val="22"/>
        </w:rPr>
        <w:t>Habermas</w:t>
      </w:r>
      <w:proofErr w:type="spellEnd"/>
      <w:r w:rsidR="00501A5B">
        <w:rPr>
          <w:rFonts w:ascii="Times New Roman" w:hAnsi="Times New Roman" w:cs="Times New Roman"/>
          <w:sz w:val="22"/>
          <w:szCs w:val="22"/>
        </w:rPr>
        <w:t xml:space="preserve"> employs a version of the rule</w:t>
      </w:r>
      <w:r w:rsidR="00A5199A">
        <w:rPr>
          <w:rFonts w:ascii="Times New Roman" w:hAnsi="Times New Roman" w:cs="Times New Roman"/>
          <w:sz w:val="22"/>
          <w:szCs w:val="22"/>
        </w:rPr>
        <w:t xml:space="preserve"> of law which, it is argued,</w:t>
      </w:r>
      <w:r w:rsidR="00750FA4">
        <w:rPr>
          <w:rFonts w:ascii="Times New Roman" w:hAnsi="Times New Roman" w:cs="Times New Roman"/>
          <w:sz w:val="22"/>
          <w:szCs w:val="22"/>
        </w:rPr>
        <w:t xml:space="preserve"> embrace</w:t>
      </w:r>
      <w:r w:rsidR="00A5199A">
        <w:rPr>
          <w:rFonts w:ascii="Times New Roman" w:hAnsi="Times New Roman" w:cs="Times New Roman"/>
          <w:sz w:val="22"/>
          <w:szCs w:val="22"/>
        </w:rPr>
        <w:t>s</w:t>
      </w:r>
      <w:r w:rsidR="00750FA4">
        <w:rPr>
          <w:rFonts w:ascii="Times New Roman" w:hAnsi="Times New Roman" w:cs="Times New Roman"/>
          <w:sz w:val="22"/>
          <w:szCs w:val="22"/>
        </w:rPr>
        <w:t xml:space="preserve"> the constitutive function </w:t>
      </w:r>
      <w:r w:rsidR="00A5199A">
        <w:rPr>
          <w:rFonts w:ascii="Times New Roman" w:hAnsi="Times New Roman" w:cs="Times New Roman"/>
          <w:sz w:val="22"/>
          <w:szCs w:val="22"/>
        </w:rPr>
        <w:t xml:space="preserve">and therefore amplifies how it is possible to think about the relationship between rule of law, crisis and </w:t>
      </w:r>
      <w:r w:rsidR="00070435">
        <w:rPr>
          <w:rFonts w:ascii="Times New Roman" w:hAnsi="Times New Roman" w:cs="Times New Roman"/>
          <w:sz w:val="22"/>
          <w:szCs w:val="22"/>
        </w:rPr>
        <w:t>the political foundation of the EU</w:t>
      </w:r>
      <w:r w:rsidR="00A5199A">
        <w:rPr>
          <w:rFonts w:ascii="Times New Roman" w:hAnsi="Times New Roman" w:cs="Times New Roman"/>
          <w:sz w:val="22"/>
          <w:szCs w:val="22"/>
        </w:rPr>
        <w:t>.</w:t>
      </w:r>
      <w:r w:rsidR="0012784C">
        <w:rPr>
          <w:rFonts w:ascii="Times New Roman" w:hAnsi="Times New Roman" w:cs="Times New Roman"/>
          <w:sz w:val="22"/>
          <w:szCs w:val="22"/>
        </w:rPr>
        <w:t xml:space="preserve"> </w:t>
      </w:r>
    </w:p>
    <w:p w14:paraId="62DF5302" w14:textId="16F2D3DB" w:rsidR="00BE4CF9" w:rsidRDefault="00D70971"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At this point, and before proceeding further with the analysis of </w:t>
      </w: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contribution, it </w:t>
      </w:r>
      <w:r w:rsidR="0012784C">
        <w:rPr>
          <w:rFonts w:ascii="Times New Roman" w:hAnsi="Times New Roman" w:cs="Times New Roman"/>
          <w:sz w:val="22"/>
          <w:szCs w:val="22"/>
        </w:rPr>
        <w:t xml:space="preserve">is </w:t>
      </w:r>
      <w:r>
        <w:rPr>
          <w:rFonts w:ascii="Times New Roman" w:hAnsi="Times New Roman" w:cs="Times New Roman"/>
          <w:sz w:val="22"/>
          <w:szCs w:val="22"/>
        </w:rPr>
        <w:t xml:space="preserve">worth emphasising that </w:t>
      </w: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takes the economic crisis of the EU as emblematic of a failure to consider the deeper dimensions of the crisis particularly as it pertains to the constitutive foundation of the EU as a political project. In terms of the implications for the rule of law in the crisis we can say that this amounts to a reluctance to think about the constitutive function of the rule of law</w:t>
      </w:r>
      <w:r w:rsidR="0012784C">
        <w:rPr>
          <w:rFonts w:ascii="Times New Roman" w:hAnsi="Times New Roman" w:cs="Times New Roman"/>
          <w:sz w:val="22"/>
          <w:szCs w:val="22"/>
        </w:rPr>
        <w:t xml:space="preserve"> at all</w:t>
      </w:r>
      <w:r>
        <w:rPr>
          <w:rFonts w:ascii="Times New Roman" w:hAnsi="Times New Roman" w:cs="Times New Roman"/>
          <w:sz w:val="22"/>
          <w:szCs w:val="22"/>
        </w:rPr>
        <w:t xml:space="preserve">. However, this may also be a much stronger claim – namely </w:t>
      </w:r>
      <w:r w:rsidR="00E6054F">
        <w:rPr>
          <w:rFonts w:ascii="Times New Roman" w:hAnsi="Times New Roman" w:cs="Times New Roman"/>
          <w:sz w:val="22"/>
          <w:szCs w:val="22"/>
        </w:rPr>
        <w:t xml:space="preserve">that without the proper consideration of the constitutive function of the rule of law it is </w:t>
      </w:r>
      <w:r w:rsidR="007A44B7">
        <w:rPr>
          <w:rFonts w:ascii="Times New Roman" w:hAnsi="Times New Roman" w:cs="Times New Roman"/>
          <w:sz w:val="22"/>
          <w:szCs w:val="22"/>
        </w:rPr>
        <w:t xml:space="preserve">not possible for it </w:t>
      </w:r>
      <w:r w:rsidR="00E6054F">
        <w:rPr>
          <w:rFonts w:ascii="Times New Roman" w:hAnsi="Times New Roman" w:cs="Times New Roman"/>
          <w:sz w:val="22"/>
          <w:szCs w:val="22"/>
        </w:rPr>
        <w:t>to effectively perform its regulative function. In other words</w:t>
      </w:r>
      <w:r w:rsidR="00BE4CF9">
        <w:rPr>
          <w:rFonts w:ascii="Times New Roman" w:hAnsi="Times New Roman" w:cs="Times New Roman"/>
          <w:sz w:val="22"/>
          <w:szCs w:val="22"/>
        </w:rPr>
        <w:t>,</w:t>
      </w:r>
      <w:r w:rsidR="00E6054F">
        <w:rPr>
          <w:rFonts w:ascii="Times New Roman" w:hAnsi="Times New Roman" w:cs="Times New Roman"/>
          <w:sz w:val="22"/>
          <w:szCs w:val="22"/>
        </w:rPr>
        <w:t xml:space="preserve"> the two roles or functions of the rule of law, introduced at the beginning of the article, are closely interconnected; particularly where the regulative function employs substantive values or principles based on the constituted political morality </w:t>
      </w:r>
      <w:r w:rsidR="00BE4CF9">
        <w:rPr>
          <w:rFonts w:ascii="Times New Roman" w:hAnsi="Times New Roman" w:cs="Times New Roman"/>
          <w:sz w:val="22"/>
          <w:szCs w:val="22"/>
        </w:rPr>
        <w:t>(such as in D</w:t>
      </w:r>
      <w:r w:rsidR="00E6054F">
        <w:rPr>
          <w:rFonts w:ascii="Times New Roman" w:hAnsi="Times New Roman" w:cs="Times New Roman"/>
          <w:sz w:val="22"/>
          <w:szCs w:val="22"/>
        </w:rPr>
        <w:t>w</w:t>
      </w:r>
      <w:r w:rsidR="00BE4CF9">
        <w:rPr>
          <w:rFonts w:ascii="Times New Roman" w:hAnsi="Times New Roman" w:cs="Times New Roman"/>
          <w:sz w:val="22"/>
          <w:szCs w:val="22"/>
        </w:rPr>
        <w:t>o</w:t>
      </w:r>
      <w:r w:rsidR="00E6054F">
        <w:rPr>
          <w:rFonts w:ascii="Times New Roman" w:hAnsi="Times New Roman" w:cs="Times New Roman"/>
          <w:sz w:val="22"/>
          <w:szCs w:val="22"/>
        </w:rPr>
        <w:t>rkin’s account) in order to place limits or restraint</w:t>
      </w:r>
      <w:r w:rsidR="00BE4CF9">
        <w:rPr>
          <w:rFonts w:ascii="Times New Roman" w:hAnsi="Times New Roman" w:cs="Times New Roman"/>
          <w:sz w:val="22"/>
          <w:szCs w:val="22"/>
        </w:rPr>
        <w:t>s</w:t>
      </w:r>
      <w:r w:rsidR="00E6054F">
        <w:rPr>
          <w:rFonts w:ascii="Times New Roman" w:hAnsi="Times New Roman" w:cs="Times New Roman"/>
          <w:sz w:val="22"/>
          <w:szCs w:val="22"/>
        </w:rPr>
        <w:t xml:space="preserve"> on the exercise of political power. </w:t>
      </w:r>
      <w:r w:rsidR="00B968DA">
        <w:rPr>
          <w:rFonts w:ascii="Times New Roman" w:hAnsi="Times New Roman" w:cs="Times New Roman"/>
          <w:sz w:val="22"/>
          <w:szCs w:val="22"/>
        </w:rPr>
        <w:t xml:space="preserve">As such the focus on the constitutive function of the rule of law becomes critical to </w:t>
      </w:r>
      <w:r w:rsidR="00BE4CF9">
        <w:rPr>
          <w:rFonts w:ascii="Times New Roman" w:hAnsi="Times New Roman" w:cs="Times New Roman"/>
          <w:sz w:val="22"/>
          <w:szCs w:val="22"/>
        </w:rPr>
        <w:t>understanding a more complex lens through which to explore t</w:t>
      </w:r>
      <w:r w:rsidR="00B968DA">
        <w:rPr>
          <w:rFonts w:ascii="Times New Roman" w:hAnsi="Times New Roman" w:cs="Times New Roman"/>
          <w:sz w:val="22"/>
          <w:szCs w:val="22"/>
        </w:rPr>
        <w:t>he kind of crisi</w:t>
      </w:r>
      <w:r w:rsidR="00631D2A">
        <w:rPr>
          <w:rFonts w:ascii="Times New Roman" w:hAnsi="Times New Roman" w:cs="Times New Roman"/>
          <w:sz w:val="22"/>
          <w:szCs w:val="22"/>
        </w:rPr>
        <w:t xml:space="preserve">s facing the EU because the absence of this form the rule of law also becomes decisive for questions about constitutional restraints. </w:t>
      </w:r>
    </w:p>
    <w:p w14:paraId="2C805C2E" w14:textId="39DAC5DD" w:rsidR="00BA0FC0" w:rsidRDefault="00281DCE"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In the essay </w:t>
      </w:r>
      <w:r>
        <w:rPr>
          <w:rFonts w:ascii="Times New Roman" w:hAnsi="Times New Roman" w:cs="Times New Roman"/>
          <w:i/>
          <w:sz w:val="22"/>
          <w:szCs w:val="22"/>
        </w:rPr>
        <w:t xml:space="preserve">Transitional democracy/post-democratic federalism </w:t>
      </w: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sets out the essential dilemma, or dichotomy, not only through which to understand the crisis but also to respond to the wider sense as to how law and politics ought to respond. </w:t>
      </w: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presents </w:t>
      </w:r>
      <w:r w:rsidR="00711E4D">
        <w:rPr>
          <w:rFonts w:ascii="Times New Roman" w:hAnsi="Times New Roman" w:cs="Times New Roman"/>
          <w:sz w:val="22"/>
          <w:szCs w:val="22"/>
        </w:rPr>
        <w:t>a choice between an authentic sense of transnational democracy and the ‘gubernatorial-bureaucratic style’ of executive federalism which has tended to dominate the EU response to the economic crisis. Following in the</w:t>
      </w:r>
      <w:r w:rsidR="007A44B7">
        <w:rPr>
          <w:rFonts w:ascii="Times New Roman" w:hAnsi="Times New Roman" w:cs="Times New Roman"/>
          <w:sz w:val="22"/>
          <w:szCs w:val="22"/>
        </w:rPr>
        <w:t xml:space="preserve"> steps of recent contributions by</w:t>
      </w:r>
      <w:r w:rsidR="00711E4D">
        <w:rPr>
          <w:rFonts w:ascii="Times New Roman" w:hAnsi="Times New Roman" w:cs="Times New Roman"/>
          <w:sz w:val="22"/>
          <w:szCs w:val="22"/>
        </w:rPr>
        <w:t xml:space="preserve"> political thinkers such as </w:t>
      </w:r>
      <w:proofErr w:type="spellStart"/>
      <w:r w:rsidR="00711E4D">
        <w:rPr>
          <w:rFonts w:ascii="Times New Roman" w:hAnsi="Times New Roman" w:cs="Times New Roman"/>
          <w:sz w:val="22"/>
          <w:szCs w:val="22"/>
        </w:rPr>
        <w:t>Hauke</w:t>
      </w:r>
      <w:proofErr w:type="spellEnd"/>
      <w:r w:rsidR="00711E4D">
        <w:rPr>
          <w:rFonts w:ascii="Times New Roman" w:hAnsi="Times New Roman" w:cs="Times New Roman"/>
          <w:sz w:val="22"/>
          <w:szCs w:val="22"/>
        </w:rPr>
        <w:t xml:space="preserve"> </w:t>
      </w:r>
      <w:proofErr w:type="spellStart"/>
      <w:r w:rsidR="00711E4D">
        <w:rPr>
          <w:rFonts w:ascii="Times New Roman" w:hAnsi="Times New Roman" w:cs="Times New Roman"/>
          <w:sz w:val="22"/>
          <w:szCs w:val="22"/>
        </w:rPr>
        <w:t>Brunkhorst</w:t>
      </w:r>
      <w:proofErr w:type="spellEnd"/>
      <w:r w:rsidR="00F55595">
        <w:rPr>
          <w:rFonts w:ascii="Times New Roman" w:hAnsi="Times New Roman" w:cs="Times New Roman"/>
          <w:sz w:val="22"/>
          <w:szCs w:val="22"/>
        </w:rPr>
        <w:t xml:space="preserve"> (</w:t>
      </w:r>
      <w:r w:rsidR="00DE4914">
        <w:rPr>
          <w:rFonts w:ascii="Times New Roman" w:hAnsi="Times New Roman" w:cs="Times New Roman"/>
          <w:sz w:val="22"/>
          <w:szCs w:val="22"/>
        </w:rPr>
        <w:t>2005)</w:t>
      </w:r>
      <w:r w:rsidR="00711E4D">
        <w:rPr>
          <w:rFonts w:ascii="Times New Roman" w:hAnsi="Times New Roman" w:cs="Times New Roman"/>
          <w:sz w:val="22"/>
          <w:szCs w:val="22"/>
        </w:rPr>
        <w:t xml:space="preserve"> </w:t>
      </w:r>
      <w:proofErr w:type="spellStart"/>
      <w:r w:rsidR="00711E4D">
        <w:rPr>
          <w:rFonts w:ascii="Times New Roman" w:hAnsi="Times New Roman" w:cs="Times New Roman"/>
          <w:sz w:val="22"/>
          <w:szCs w:val="22"/>
        </w:rPr>
        <w:t>Habermas</w:t>
      </w:r>
      <w:proofErr w:type="spellEnd"/>
      <w:r w:rsidR="00711E4D">
        <w:rPr>
          <w:rFonts w:ascii="Times New Roman" w:hAnsi="Times New Roman" w:cs="Times New Roman"/>
          <w:sz w:val="22"/>
          <w:szCs w:val="22"/>
        </w:rPr>
        <w:t xml:space="preserve"> argues that transnational democracy entails a commitment to certain building blocks which underpin any authentic form of political action which is carried out in the name o</w:t>
      </w:r>
      <w:r w:rsidR="005A1920">
        <w:rPr>
          <w:rFonts w:ascii="Times New Roman" w:hAnsi="Times New Roman" w:cs="Times New Roman"/>
          <w:sz w:val="22"/>
          <w:szCs w:val="22"/>
        </w:rPr>
        <w:t>f a community of people(s). These</w:t>
      </w:r>
      <w:r w:rsidR="00711E4D">
        <w:rPr>
          <w:rFonts w:ascii="Times New Roman" w:hAnsi="Times New Roman" w:cs="Times New Roman"/>
          <w:sz w:val="22"/>
          <w:szCs w:val="22"/>
        </w:rPr>
        <w:t xml:space="preserve"> building blocks</w:t>
      </w:r>
      <w:r w:rsidR="005A1920">
        <w:rPr>
          <w:rFonts w:ascii="Times New Roman" w:hAnsi="Times New Roman" w:cs="Times New Roman"/>
          <w:sz w:val="22"/>
          <w:szCs w:val="22"/>
        </w:rPr>
        <w:t xml:space="preserve"> can be understood as involving</w:t>
      </w:r>
      <w:r w:rsidR="00711E4D">
        <w:rPr>
          <w:rFonts w:ascii="Times New Roman" w:hAnsi="Times New Roman" w:cs="Times New Roman"/>
          <w:sz w:val="22"/>
          <w:szCs w:val="22"/>
        </w:rPr>
        <w:t xml:space="preserve"> the coming tog</w:t>
      </w:r>
      <w:r w:rsidR="005A1920">
        <w:rPr>
          <w:rFonts w:ascii="Times New Roman" w:hAnsi="Times New Roman" w:cs="Times New Roman"/>
          <w:sz w:val="22"/>
          <w:szCs w:val="22"/>
        </w:rPr>
        <w:t>ether of free, equal and rights-</w:t>
      </w:r>
      <w:r w:rsidR="00711E4D">
        <w:rPr>
          <w:rFonts w:ascii="Times New Roman" w:hAnsi="Times New Roman" w:cs="Times New Roman"/>
          <w:sz w:val="22"/>
          <w:szCs w:val="22"/>
        </w:rPr>
        <w:t>granting individuals within a specific geographic space; the organising and distributio</w:t>
      </w:r>
      <w:r w:rsidR="00BA0B44">
        <w:rPr>
          <w:rFonts w:ascii="Times New Roman" w:hAnsi="Times New Roman" w:cs="Times New Roman"/>
          <w:sz w:val="22"/>
          <w:szCs w:val="22"/>
        </w:rPr>
        <w:t>n of collective actions and the civic solidarity resulting from a shared horizon of a lifeworld in which collective action can be shaped through dialogue</w:t>
      </w:r>
      <w:r w:rsidR="00DB1783">
        <w:rPr>
          <w:rFonts w:ascii="Times New Roman" w:hAnsi="Times New Roman" w:cs="Times New Roman"/>
          <w:sz w:val="22"/>
          <w:szCs w:val="22"/>
        </w:rPr>
        <w:t xml:space="preserve"> (</w:t>
      </w:r>
      <w:proofErr w:type="spellStart"/>
      <w:r w:rsidR="00DB1783">
        <w:rPr>
          <w:rFonts w:ascii="Times New Roman" w:hAnsi="Times New Roman" w:cs="Times New Roman"/>
          <w:sz w:val="22"/>
          <w:szCs w:val="22"/>
        </w:rPr>
        <w:t>Habermas</w:t>
      </w:r>
      <w:proofErr w:type="spellEnd"/>
      <w:r w:rsidR="00DB1783">
        <w:rPr>
          <w:rFonts w:ascii="Times New Roman" w:hAnsi="Times New Roman" w:cs="Times New Roman"/>
          <w:sz w:val="22"/>
          <w:szCs w:val="22"/>
        </w:rPr>
        <w:t>, 2012, 21-22)</w:t>
      </w:r>
      <w:r w:rsidR="00BA0B44">
        <w:rPr>
          <w:rFonts w:ascii="Times New Roman" w:hAnsi="Times New Roman" w:cs="Times New Roman"/>
          <w:sz w:val="22"/>
          <w:szCs w:val="22"/>
        </w:rPr>
        <w:t xml:space="preserve">. </w:t>
      </w:r>
      <w:r w:rsidR="005A1920">
        <w:rPr>
          <w:rFonts w:ascii="Times New Roman" w:hAnsi="Times New Roman" w:cs="Times New Roman"/>
          <w:sz w:val="22"/>
          <w:szCs w:val="22"/>
          <w:highlight w:val="yellow"/>
        </w:rPr>
        <w:t xml:space="preserve">An important </w:t>
      </w:r>
      <w:r w:rsidR="005A1920" w:rsidRPr="005A1920">
        <w:rPr>
          <w:rFonts w:ascii="Times New Roman" w:hAnsi="Times New Roman" w:cs="Times New Roman"/>
          <w:sz w:val="22"/>
          <w:szCs w:val="22"/>
          <w:highlight w:val="yellow"/>
        </w:rPr>
        <w:t xml:space="preserve">aspect to note about </w:t>
      </w:r>
      <w:proofErr w:type="spellStart"/>
      <w:r w:rsidR="005A1920" w:rsidRPr="005A1920">
        <w:rPr>
          <w:rFonts w:ascii="Times New Roman" w:hAnsi="Times New Roman" w:cs="Times New Roman"/>
          <w:sz w:val="22"/>
          <w:szCs w:val="22"/>
          <w:highlight w:val="yellow"/>
        </w:rPr>
        <w:t>Habermas</w:t>
      </w:r>
      <w:proofErr w:type="spellEnd"/>
      <w:r w:rsidR="005A1920" w:rsidRPr="005A1920">
        <w:rPr>
          <w:rFonts w:ascii="Times New Roman" w:hAnsi="Times New Roman" w:cs="Times New Roman"/>
          <w:sz w:val="22"/>
          <w:szCs w:val="22"/>
          <w:highlight w:val="yellow"/>
        </w:rPr>
        <w:t xml:space="preserve">’ diagnosis of the EU’s foundational problems that bear directly on </w:t>
      </w:r>
      <w:r w:rsidR="005A1920">
        <w:rPr>
          <w:rFonts w:ascii="Times New Roman" w:hAnsi="Times New Roman" w:cs="Times New Roman"/>
          <w:sz w:val="22"/>
          <w:szCs w:val="22"/>
          <w:highlight w:val="yellow"/>
        </w:rPr>
        <w:t xml:space="preserve">the analysis of the rule of law </w:t>
      </w:r>
      <w:r w:rsidR="005A1920" w:rsidRPr="005A1920">
        <w:rPr>
          <w:rFonts w:ascii="Times New Roman" w:hAnsi="Times New Roman" w:cs="Times New Roman"/>
          <w:sz w:val="22"/>
          <w:szCs w:val="22"/>
          <w:highlight w:val="yellow"/>
        </w:rPr>
        <w:t>is the relationship between</w:t>
      </w:r>
      <w:r w:rsidR="00EA709C" w:rsidRPr="005A1920">
        <w:rPr>
          <w:rFonts w:ascii="Times New Roman" w:hAnsi="Times New Roman" w:cs="Times New Roman"/>
          <w:sz w:val="22"/>
          <w:szCs w:val="22"/>
          <w:highlight w:val="yellow"/>
        </w:rPr>
        <w:t xml:space="preserve"> the difficult task of construing a language and epistemic basis for what constitutes the EU as a tra</w:t>
      </w:r>
      <w:r w:rsidR="005A1920" w:rsidRPr="005A1920">
        <w:rPr>
          <w:rFonts w:ascii="Times New Roman" w:hAnsi="Times New Roman" w:cs="Times New Roman"/>
          <w:sz w:val="22"/>
          <w:szCs w:val="22"/>
          <w:highlight w:val="yellow"/>
        </w:rPr>
        <w:t xml:space="preserve">nsnational political community and the fact </w:t>
      </w:r>
      <w:r w:rsidR="00AE399B" w:rsidRPr="005A1920">
        <w:rPr>
          <w:rFonts w:ascii="Times New Roman" w:hAnsi="Times New Roman" w:cs="Times New Roman"/>
          <w:sz w:val="22"/>
          <w:szCs w:val="22"/>
          <w:highlight w:val="yellow"/>
        </w:rPr>
        <w:t>these building blocks cannot be confined or limited to the nation state, even though we often think of these questions in such terms</w:t>
      </w:r>
      <w:r w:rsidR="005A1920">
        <w:rPr>
          <w:rFonts w:ascii="Times New Roman" w:hAnsi="Times New Roman" w:cs="Times New Roman"/>
          <w:sz w:val="22"/>
          <w:szCs w:val="22"/>
          <w:highlight w:val="yellow"/>
        </w:rPr>
        <w:t xml:space="preserve"> (Walker, 2006)</w:t>
      </w:r>
      <w:r w:rsidR="00AE399B" w:rsidRPr="005A1920">
        <w:rPr>
          <w:rFonts w:ascii="Times New Roman" w:hAnsi="Times New Roman" w:cs="Times New Roman"/>
          <w:sz w:val="22"/>
          <w:szCs w:val="22"/>
          <w:highlight w:val="yellow"/>
        </w:rPr>
        <w:t>.</w:t>
      </w:r>
      <w:r w:rsidR="005A1920">
        <w:rPr>
          <w:rFonts w:ascii="Times New Roman" w:hAnsi="Times New Roman" w:cs="Times New Roman"/>
          <w:sz w:val="22"/>
          <w:szCs w:val="22"/>
        </w:rPr>
        <w:t xml:space="preserve"> </w:t>
      </w:r>
      <w:r w:rsidR="005A1920" w:rsidRPr="005A1920">
        <w:rPr>
          <w:rFonts w:ascii="Times New Roman" w:hAnsi="Times New Roman" w:cs="Times New Roman"/>
          <w:sz w:val="22"/>
          <w:szCs w:val="22"/>
          <w:highlight w:val="yellow"/>
        </w:rPr>
        <w:t xml:space="preserve">This means </w:t>
      </w:r>
      <w:r w:rsidR="005A1920" w:rsidRPr="005A1920">
        <w:rPr>
          <w:rFonts w:ascii="Times New Roman" w:hAnsi="Times New Roman" w:cs="Times New Roman"/>
          <w:sz w:val="22"/>
          <w:szCs w:val="22"/>
          <w:highlight w:val="yellow"/>
        </w:rPr>
        <w:lastRenderedPageBreak/>
        <w:t xml:space="preserve">that for the EU the constitutive </w:t>
      </w:r>
      <w:r w:rsidR="005A1920">
        <w:rPr>
          <w:rFonts w:ascii="Times New Roman" w:hAnsi="Times New Roman" w:cs="Times New Roman"/>
          <w:sz w:val="22"/>
          <w:szCs w:val="22"/>
          <w:highlight w:val="yellow"/>
        </w:rPr>
        <w:t>dimension is significant</w:t>
      </w:r>
      <w:r w:rsidR="005A1920" w:rsidRPr="005A1920">
        <w:rPr>
          <w:rFonts w:ascii="Times New Roman" w:hAnsi="Times New Roman" w:cs="Times New Roman"/>
          <w:sz w:val="22"/>
          <w:szCs w:val="22"/>
          <w:highlight w:val="yellow"/>
        </w:rPr>
        <w:t xml:space="preserve"> to explore and debate</w:t>
      </w:r>
      <w:r w:rsidR="005A1920">
        <w:rPr>
          <w:rFonts w:ascii="Times New Roman" w:hAnsi="Times New Roman" w:cs="Times New Roman"/>
          <w:sz w:val="22"/>
          <w:szCs w:val="22"/>
          <w:highlight w:val="yellow"/>
        </w:rPr>
        <w:t xml:space="preserve"> if it is to be understood as having an authentic stance </w:t>
      </w:r>
      <w:r w:rsidR="003D5AD9">
        <w:rPr>
          <w:rFonts w:ascii="Times New Roman" w:hAnsi="Times New Roman" w:cs="Times New Roman"/>
          <w:sz w:val="22"/>
          <w:szCs w:val="22"/>
          <w:highlight w:val="yellow"/>
        </w:rPr>
        <w:t>as a legally bound political community</w:t>
      </w:r>
      <w:r w:rsidR="005A1920" w:rsidRPr="005A1920">
        <w:rPr>
          <w:rFonts w:ascii="Times New Roman" w:hAnsi="Times New Roman" w:cs="Times New Roman"/>
          <w:sz w:val="22"/>
          <w:szCs w:val="22"/>
          <w:highlight w:val="yellow"/>
        </w:rPr>
        <w:t>.</w:t>
      </w:r>
      <w:r w:rsidR="005A1920">
        <w:rPr>
          <w:rFonts w:ascii="Times New Roman" w:hAnsi="Times New Roman" w:cs="Times New Roman"/>
          <w:sz w:val="22"/>
          <w:szCs w:val="22"/>
        </w:rPr>
        <w:t xml:space="preserve"> </w:t>
      </w:r>
      <w:r w:rsidR="00AE399B">
        <w:rPr>
          <w:rFonts w:ascii="Times New Roman" w:hAnsi="Times New Roman" w:cs="Times New Roman"/>
          <w:sz w:val="22"/>
          <w:szCs w:val="22"/>
        </w:rPr>
        <w:t xml:space="preserve"> </w:t>
      </w:r>
    </w:p>
    <w:p w14:paraId="535D0C21" w14:textId="77777777" w:rsidR="004B51AD" w:rsidRDefault="00A27DD0"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A prominent plank to thinking about the unfolding of the state </w:t>
      </w:r>
      <w:r w:rsidR="00D61C25">
        <w:rPr>
          <w:rFonts w:ascii="Times New Roman" w:hAnsi="Times New Roman" w:cs="Times New Roman"/>
          <w:sz w:val="22"/>
          <w:szCs w:val="22"/>
        </w:rPr>
        <w:t xml:space="preserve">constitutional tradition </w:t>
      </w:r>
      <w:r w:rsidR="00BA0FC0">
        <w:rPr>
          <w:rFonts w:ascii="Times New Roman" w:hAnsi="Times New Roman" w:cs="Times New Roman"/>
          <w:sz w:val="22"/>
          <w:szCs w:val="22"/>
        </w:rPr>
        <w:t>in relation to the problem as to how the EU can respond to the building blocks of a genuine transnational demo</w:t>
      </w:r>
      <w:r w:rsidR="00926823">
        <w:rPr>
          <w:rFonts w:ascii="Times New Roman" w:hAnsi="Times New Roman" w:cs="Times New Roman"/>
          <w:sz w:val="22"/>
          <w:szCs w:val="22"/>
        </w:rPr>
        <w:t xml:space="preserve">cracy is through law. </w:t>
      </w:r>
      <w:proofErr w:type="spellStart"/>
      <w:r w:rsidR="00926823">
        <w:rPr>
          <w:rFonts w:ascii="Times New Roman" w:hAnsi="Times New Roman" w:cs="Times New Roman"/>
          <w:sz w:val="22"/>
          <w:szCs w:val="22"/>
        </w:rPr>
        <w:t>Habermas</w:t>
      </w:r>
      <w:proofErr w:type="spellEnd"/>
      <w:r w:rsidR="00926823">
        <w:rPr>
          <w:rFonts w:ascii="Times New Roman" w:hAnsi="Times New Roman" w:cs="Times New Roman"/>
          <w:sz w:val="22"/>
          <w:szCs w:val="22"/>
        </w:rPr>
        <w:t xml:space="preserve"> writes that the EU must acknowledge that ‘in democratic states characterized by the rule of law, the nation states are not onl</w:t>
      </w:r>
      <w:r w:rsidR="007767E8">
        <w:rPr>
          <w:rFonts w:ascii="Times New Roman" w:hAnsi="Times New Roman" w:cs="Times New Roman"/>
          <w:sz w:val="22"/>
          <w:szCs w:val="22"/>
        </w:rPr>
        <w:t xml:space="preserve">y actors on the long historical path towards civilizing the violence at the core of political power…they also represent lasting achievements…as </w:t>
      </w:r>
      <w:r w:rsidR="007767E8">
        <w:rPr>
          <w:rFonts w:ascii="Times New Roman" w:hAnsi="Times New Roman" w:cs="Times New Roman"/>
          <w:i/>
          <w:sz w:val="22"/>
          <w:szCs w:val="22"/>
        </w:rPr>
        <w:t>guarantors of law and freedom</w:t>
      </w:r>
      <w:r w:rsidR="00DB1783">
        <w:rPr>
          <w:rFonts w:ascii="Times New Roman" w:hAnsi="Times New Roman" w:cs="Times New Roman"/>
          <w:i/>
          <w:sz w:val="22"/>
          <w:szCs w:val="22"/>
        </w:rPr>
        <w:t xml:space="preserve"> </w:t>
      </w:r>
      <w:r w:rsidR="00DB1783">
        <w:rPr>
          <w:rFonts w:ascii="Times New Roman" w:hAnsi="Times New Roman" w:cs="Times New Roman"/>
          <w:sz w:val="22"/>
          <w:szCs w:val="22"/>
        </w:rPr>
        <w:t>(</w:t>
      </w:r>
      <w:proofErr w:type="spellStart"/>
      <w:r w:rsidR="00DB1783">
        <w:rPr>
          <w:rFonts w:ascii="Times New Roman" w:hAnsi="Times New Roman" w:cs="Times New Roman"/>
          <w:sz w:val="22"/>
          <w:szCs w:val="22"/>
        </w:rPr>
        <w:t>Habermas</w:t>
      </w:r>
      <w:proofErr w:type="spellEnd"/>
      <w:r w:rsidR="00DB1783">
        <w:rPr>
          <w:rFonts w:ascii="Times New Roman" w:hAnsi="Times New Roman" w:cs="Times New Roman"/>
          <w:sz w:val="22"/>
          <w:szCs w:val="22"/>
        </w:rPr>
        <w:t>, 2012, 41)</w:t>
      </w:r>
      <w:r w:rsidR="007767E8">
        <w:rPr>
          <w:rFonts w:ascii="Times New Roman" w:hAnsi="Times New Roman" w:cs="Times New Roman"/>
          <w:i/>
          <w:sz w:val="22"/>
          <w:szCs w:val="22"/>
        </w:rPr>
        <w:t>.</w:t>
      </w:r>
      <w:r w:rsidR="009360E1">
        <w:rPr>
          <w:rFonts w:ascii="Times New Roman" w:hAnsi="Times New Roman" w:cs="Times New Roman"/>
          <w:i/>
          <w:sz w:val="22"/>
          <w:szCs w:val="22"/>
        </w:rPr>
        <w:t xml:space="preserve"> </w:t>
      </w:r>
      <w:r w:rsidR="00B42EED">
        <w:rPr>
          <w:rFonts w:ascii="Times New Roman" w:hAnsi="Times New Roman" w:cs="Times New Roman"/>
          <w:sz w:val="22"/>
          <w:szCs w:val="22"/>
        </w:rPr>
        <w:t>A</w:t>
      </w:r>
      <w:r w:rsidR="00C138E2">
        <w:rPr>
          <w:rFonts w:ascii="Times New Roman" w:hAnsi="Times New Roman" w:cs="Times New Roman"/>
          <w:sz w:val="22"/>
          <w:szCs w:val="22"/>
        </w:rPr>
        <w:t xml:space="preserve">ny effort to explore how the rule of law can become </w:t>
      </w:r>
      <w:r w:rsidR="00DD40B1">
        <w:rPr>
          <w:rFonts w:ascii="Times New Roman" w:hAnsi="Times New Roman" w:cs="Times New Roman"/>
          <w:sz w:val="22"/>
          <w:szCs w:val="22"/>
        </w:rPr>
        <w:t>part of</w:t>
      </w:r>
      <w:r w:rsidR="00C138E2">
        <w:rPr>
          <w:rFonts w:ascii="Times New Roman" w:hAnsi="Times New Roman" w:cs="Times New Roman"/>
          <w:sz w:val="22"/>
          <w:szCs w:val="22"/>
        </w:rPr>
        <w:t xml:space="preserve"> efforts to develop transnational democracy by becoming guarantors of freedom and law must in the first place acknowledge its essential and continuing role in the Member States of the EU. </w:t>
      </w:r>
      <w:r w:rsidR="00B42EED">
        <w:rPr>
          <w:rFonts w:ascii="Times New Roman" w:hAnsi="Times New Roman" w:cs="Times New Roman"/>
          <w:sz w:val="22"/>
          <w:szCs w:val="22"/>
        </w:rPr>
        <w:t>To become th</w:t>
      </w:r>
      <w:r w:rsidR="00B85512">
        <w:rPr>
          <w:rFonts w:ascii="Times New Roman" w:hAnsi="Times New Roman" w:cs="Times New Roman"/>
          <w:sz w:val="22"/>
          <w:szCs w:val="22"/>
        </w:rPr>
        <w:t>e mode of coordinating activity as well as a</w:t>
      </w:r>
      <w:r w:rsidR="00B42EED">
        <w:rPr>
          <w:rFonts w:ascii="Times New Roman" w:hAnsi="Times New Roman" w:cs="Times New Roman"/>
          <w:sz w:val="22"/>
          <w:szCs w:val="22"/>
        </w:rPr>
        <w:t xml:space="preserve"> conduit for shared solidarities beyond the state</w:t>
      </w:r>
      <w:r w:rsidR="00B85512">
        <w:rPr>
          <w:rFonts w:ascii="Times New Roman" w:hAnsi="Times New Roman" w:cs="Times New Roman"/>
          <w:sz w:val="22"/>
          <w:szCs w:val="22"/>
        </w:rPr>
        <w:t xml:space="preserve">, then the rule of law must be in a position to convey ‘strong evaluations’ about critical values which stem from the common historical and social experiences of European political life. For </w:t>
      </w:r>
      <w:proofErr w:type="spellStart"/>
      <w:r w:rsidR="00B85512">
        <w:rPr>
          <w:rFonts w:ascii="Times New Roman" w:hAnsi="Times New Roman" w:cs="Times New Roman"/>
          <w:sz w:val="22"/>
          <w:szCs w:val="22"/>
        </w:rPr>
        <w:t>Habermas</w:t>
      </w:r>
      <w:proofErr w:type="spellEnd"/>
      <w:r w:rsidR="00B85512">
        <w:rPr>
          <w:rFonts w:ascii="Times New Roman" w:hAnsi="Times New Roman" w:cs="Times New Roman"/>
          <w:sz w:val="22"/>
          <w:szCs w:val="22"/>
        </w:rPr>
        <w:t xml:space="preserve"> this is expressed </w:t>
      </w:r>
      <w:r w:rsidR="005D19DF">
        <w:rPr>
          <w:rFonts w:ascii="Times New Roman" w:hAnsi="Times New Roman" w:cs="Times New Roman"/>
          <w:sz w:val="22"/>
          <w:szCs w:val="22"/>
        </w:rPr>
        <w:t>through</w:t>
      </w:r>
      <w:r w:rsidR="00B85512">
        <w:rPr>
          <w:rFonts w:ascii="Times New Roman" w:hAnsi="Times New Roman" w:cs="Times New Roman"/>
          <w:sz w:val="22"/>
          <w:szCs w:val="22"/>
        </w:rPr>
        <w:t xml:space="preserve"> the concept of human dignity</w:t>
      </w:r>
      <w:r w:rsidR="004B51AD">
        <w:rPr>
          <w:rFonts w:ascii="Times New Roman" w:hAnsi="Times New Roman" w:cs="Times New Roman"/>
          <w:sz w:val="22"/>
          <w:szCs w:val="22"/>
        </w:rPr>
        <w:t>,</w:t>
      </w:r>
      <w:r w:rsidR="00B85512">
        <w:rPr>
          <w:rFonts w:ascii="Times New Roman" w:hAnsi="Times New Roman" w:cs="Times New Roman"/>
          <w:sz w:val="22"/>
          <w:szCs w:val="22"/>
        </w:rPr>
        <w:t xml:space="preserve"> as articulated in the commitment to individual autonomy and equal respect</w:t>
      </w:r>
      <w:r w:rsidR="00F55595">
        <w:rPr>
          <w:rFonts w:ascii="Times New Roman" w:hAnsi="Times New Roman" w:cs="Times New Roman"/>
          <w:sz w:val="22"/>
          <w:szCs w:val="22"/>
        </w:rPr>
        <w:t xml:space="preserve"> (</w:t>
      </w:r>
      <w:proofErr w:type="spellStart"/>
      <w:r w:rsidR="00F55595">
        <w:rPr>
          <w:rFonts w:ascii="Times New Roman" w:hAnsi="Times New Roman" w:cs="Times New Roman"/>
          <w:sz w:val="22"/>
          <w:szCs w:val="22"/>
        </w:rPr>
        <w:t>Habermas</w:t>
      </w:r>
      <w:proofErr w:type="spellEnd"/>
      <w:r w:rsidR="00F55595">
        <w:rPr>
          <w:rFonts w:ascii="Times New Roman" w:hAnsi="Times New Roman" w:cs="Times New Roman"/>
          <w:sz w:val="22"/>
          <w:szCs w:val="22"/>
        </w:rPr>
        <w:t>, 2012, 84)</w:t>
      </w:r>
      <w:r w:rsidR="00B85512">
        <w:rPr>
          <w:rFonts w:ascii="Times New Roman" w:hAnsi="Times New Roman" w:cs="Times New Roman"/>
          <w:sz w:val="22"/>
          <w:szCs w:val="22"/>
        </w:rPr>
        <w:t>.</w:t>
      </w:r>
      <w:r w:rsidR="00DD6579">
        <w:rPr>
          <w:rFonts w:ascii="Times New Roman" w:hAnsi="Times New Roman" w:cs="Times New Roman"/>
          <w:sz w:val="22"/>
          <w:szCs w:val="22"/>
        </w:rPr>
        <w:t xml:space="preserve"> Tracing the</w:t>
      </w:r>
      <w:r w:rsidR="003D3648">
        <w:rPr>
          <w:rFonts w:ascii="Times New Roman" w:hAnsi="Times New Roman" w:cs="Times New Roman"/>
          <w:sz w:val="22"/>
          <w:szCs w:val="22"/>
        </w:rPr>
        <w:t xml:space="preserve"> commitment</w:t>
      </w:r>
      <w:r w:rsidR="00DD6579">
        <w:rPr>
          <w:rFonts w:ascii="Times New Roman" w:hAnsi="Times New Roman" w:cs="Times New Roman"/>
          <w:sz w:val="22"/>
          <w:szCs w:val="22"/>
        </w:rPr>
        <w:t xml:space="preserve"> to human dignity</w:t>
      </w:r>
      <w:r w:rsidR="003D3648">
        <w:rPr>
          <w:rFonts w:ascii="Times New Roman" w:hAnsi="Times New Roman" w:cs="Times New Roman"/>
          <w:sz w:val="22"/>
          <w:szCs w:val="22"/>
        </w:rPr>
        <w:t xml:space="preserve"> from its Judeo-Christian roots in morality</w:t>
      </w:r>
      <w:r w:rsidR="00DD6579">
        <w:rPr>
          <w:rFonts w:ascii="Times New Roman" w:hAnsi="Times New Roman" w:cs="Times New Roman"/>
          <w:sz w:val="22"/>
          <w:szCs w:val="22"/>
        </w:rPr>
        <w:t xml:space="preserve"> to its</w:t>
      </w:r>
      <w:r w:rsidR="003D3648">
        <w:rPr>
          <w:rFonts w:ascii="Times New Roman" w:hAnsi="Times New Roman" w:cs="Times New Roman"/>
          <w:sz w:val="22"/>
          <w:szCs w:val="22"/>
        </w:rPr>
        <w:t xml:space="preserve"> legal articulation as a liberal-legal expression of the secular state through the development of human rights instruments </w:t>
      </w:r>
      <w:proofErr w:type="spellStart"/>
      <w:r w:rsidR="00DD6579">
        <w:rPr>
          <w:rFonts w:ascii="Times New Roman" w:hAnsi="Times New Roman" w:cs="Times New Roman"/>
          <w:sz w:val="22"/>
          <w:szCs w:val="22"/>
        </w:rPr>
        <w:t>Hab</w:t>
      </w:r>
      <w:r w:rsidR="003D3648">
        <w:rPr>
          <w:rFonts w:ascii="Times New Roman" w:hAnsi="Times New Roman" w:cs="Times New Roman"/>
          <w:sz w:val="22"/>
          <w:szCs w:val="22"/>
        </w:rPr>
        <w:t>ermas</w:t>
      </w:r>
      <w:proofErr w:type="spellEnd"/>
      <w:r w:rsidR="003D3648">
        <w:rPr>
          <w:rFonts w:ascii="Times New Roman" w:hAnsi="Times New Roman" w:cs="Times New Roman"/>
          <w:sz w:val="22"/>
          <w:szCs w:val="22"/>
        </w:rPr>
        <w:t xml:space="preserve"> </w:t>
      </w:r>
      <w:r w:rsidR="00231201">
        <w:rPr>
          <w:rFonts w:ascii="Times New Roman" w:hAnsi="Times New Roman" w:cs="Times New Roman"/>
          <w:sz w:val="22"/>
          <w:szCs w:val="22"/>
        </w:rPr>
        <w:t xml:space="preserve">argues that, ‘the translation of the first human right into positive law gave rise to a </w:t>
      </w:r>
      <w:r w:rsidR="00231201" w:rsidRPr="00231201">
        <w:rPr>
          <w:rFonts w:ascii="Times New Roman" w:hAnsi="Times New Roman" w:cs="Times New Roman"/>
          <w:i/>
          <w:sz w:val="22"/>
          <w:szCs w:val="22"/>
        </w:rPr>
        <w:t>legal duty</w:t>
      </w:r>
      <w:r w:rsidR="00231201">
        <w:rPr>
          <w:rFonts w:ascii="Times New Roman" w:hAnsi="Times New Roman" w:cs="Times New Roman"/>
          <w:sz w:val="22"/>
          <w:szCs w:val="22"/>
        </w:rPr>
        <w:t xml:space="preserve"> to realize exacting moral requirements which has become engraved into the</w:t>
      </w:r>
      <w:r w:rsidR="00DB1783">
        <w:rPr>
          <w:rFonts w:ascii="Times New Roman" w:hAnsi="Times New Roman" w:cs="Times New Roman"/>
          <w:sz w:val="22"/>
          <w:szCs w:val="22"/>
        </w:rPr>
        <w:t xml:space="preserve"> collective memory of humanity’ (</w:t>
      </w:r>
      <w:proofErr w:type="spellStart"/>
      <w:r w:rsidR="00DB1783">
        <w:rPr>
          <w:rFonts w:ascii="Times New Roman" w:hAnsi="Times New Roman" w:cs="Times New Roman"/>
          <w:sz w:val="22"/>
          <w:szCs w:val="22"/>
        </w:rPr>
        <w:t>Habermas</w:t>
      </w:r>
      <w:proofErr w:type="spellEnd"/>
      <w:r w:rsidR="00DB1783">
        <w:rPr>
          <w:rFonts w:ascii="Times New Roman" w:hAnsi="Times New Roman" w:cs="Times New Roman"/>
          <w:sz w:val="22"/>
          <w:szCs w:val="22"/>
        </w:rPr>
        <w:t xml:space="preserve">, 2012, 94) </w:t>
      </w:r>
    </w:p>
    <w:p w14:paraId="33A72967" w14:textId="721983EF" w:rsidR="00231201" w:rsidRDefault="00231201"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The capacity of law to convey th</w:t>
      </w:r>
      <w:r w:rsidR="007A44B7">
        <w:rPr>
          <w:rFonts w:ascii="Times New Roman" w:hAnsi="Times New Roman" w:cs="Times New Roman"/>
          <w:sz w:val="22"/>
          <w:szCs w:val="22"/>
        </w:rPr>
        <w:t>e on-going place of human dignity</w:t>
      </w:r>
      <w:r>
        <w:rPr>
          <w:rFonts w:ascii="Times New Roman" w:hAnsi="Times New Roman" w:cs="Times New Roman"/>
          <w:sz w:val="22"/>
          <w:szCs w:val="22"/>
        </w:rPr>
        <w:t xml:space="preserve"> at the centre of any political solidar</w:t>
      </w:r>
      <w:r w:rsidR="004B51AD">
        <w:rPr>
          <w:rFonts w:ascii="Times New Roman" w:hAnsi="Times New Roman" w:cs="Times New Roman"/>
          <w:sz w:val="22"/>
          <w:szCs w:val="22"/>
        </w:rPr>
        <w:t xml:space="preserve">ity at the transnational level may be </w:t>
      </w:r>
      <w:proofErr w:type="spellStart"/>
      <w:r w:rsidR="004B51AD">
        <w:rPr>
          <w:rFonts w:ascii="Times New Roman" w:hAnsi="Times New Roman" w:cs="Times New Roman"/>
          <w:sz w:val="22"/>
          <w:szCs w:val="22"/>
        </w:rPr>
        <w:t>Habermas</w:t>
      </w:r>
      <w:proofErr w:type="spellEnd"/>
      <w:r w:rsidR="004B51AD">
        <w:rPr>
          <w:rFonts w:ascii="Times New Roman" w:hAnsi="Times New Roman" w:cs="Times New Roman"/>
          <w:sz w:val="22"/>
          <w:szCs w:val="22"/>
        </w:rPr>
        <w:t xml:space="preserve">’ particular interpretation of the problem or difficulty surrounding transnational democracy in the EU but it does underlie a salient issue. Whereas Member States may be able to draw on a much wider cultural, historical and social resource in moments of crisis and so appeal to ‘strong evaluations’ regarding </w:t>
      </w:r>
      <w:r w:rsidR="0029280C">
        <w:rPr>
          <w:rFonts w:ascii="Times New Roman" w:hAnsi="Times New Roman" w:cs="Times New Roman"/>
          <w:sz w:val="22"/>
          <w:szCs w:val="22"/>
        </w:rPr>
        <w:t xml:space="preserve">the constitutive dimension of the rule of law with greater ease such an option becomes more challenging for the EU. As </w:t>
      </w:r>
      <w:proofErr w:type="spellStart"/>
      <w:r w:rsidR="0029280C">
        <w:rPr>
          <w:rFonts w:ascii="Times New Roman" w:hAnsi="Times New Roman" w:cs="Times New Roman"/>
          <w:sz w:val="22"/>
          <w:szCs w:val="22"/>
        </w:rPr>
        <w:t>Habermas</w:t>
      </w:r>
      <w:proofErr w:type="spellEnd"/>
      <w:r w:rsidR="0029280C">
        <w:rPr>
          <w:rFonts w:ascii="Times New Roman" w:hAnsi="Times New Roman" w:cs="Times New Roman"/>
          <w:sz w:val="22"/>
          <w:szCs w:val="22"/>
        </w:rPr>
        <w:t xml:space="preserve"> outlines the case for making the connection between transnational institutions and the historical unfolding of freedom and law is one that must be actively made for the EU and its place as the guarantor of these values cannot be taken as given, particularly during moments of crisis. In fact, this problem is compounded in the EU context by a readiness to avail itself of an alternative kind of thinking – one which is not based around exploring the three building blocks of social solidarity through law but instead seeks executive and top-down driven solution to the problems that a crisis throws up. </w:t>
      </w:r>
      <w:proofErr w:type="spellStart"/>
      <w:r w:rsidR="0029280C">
        <w:rPr>
          <w:rFonts w:ascii="Times New Roman" w:hAnsi="Times New Roman" w:cs="Times New Roman"/>
          <w:sz w:val="22"/>
          <w:szCs w:val="22"/>
        </w:rPr>
        <w:t>Habermas</w:t>
      </w:r>
      <w:proofErr w:type="spellEnd"/>
      <w:r w:rsidR="0029280C">
        <w:rPr>
          <w:rFonts w:ascii="Times New Roman" w:hAnsi="Times New Roman" w:cs="Times New Roman"/>
          <w:sz w:val="22"/>
          <w:szCs w:val="22"/>
        </w:rPr>
        <w:t xml:space="preserve"> describes this way of thinking as </w:t>
      </w:r>
      <w:r w:rsidR="004C13D3">
        <w:rPr>
          <w:rFonts w:ascii="Times New Roman" w:hAnsi="Times New Roman" w:cs="Times New Roman"/>
          <w:sz w:val="22"/>
          <w:szCs w:val="22"/>
        </w:rPr>
        <w:t>‘</w:t>
      </w:r>
      <w:r w:rsidR="0029280C">
        <w:rPr>
          <w:rFonts w:ascii="Times New Roman" w:hAnsi="Times New Roman" w:cs="Times New Roman"/>
          <w:sz w:val="22"/>
          <w:szCs w:val="22"/>
        </w:rPr>
        <w:t>technocracy</w:t>
      </w:r>
      <w:r w:rsidR="004C13D3">
        <w:rPr>
          <w:rFonts w:ascii="Times New Roman" w:hAnsi="Times New Roman" w:cs="Times New Roman"/>
          <w:sz w:val="22"/>
          <w:szCs w:val="22"/>
        </w:rPr>
        <w:t>’</w:t>
      </w:r>
      <w:r w:rsidR="00643E8B">
        <w:rPr>
          <w:rFonts w:ascii="Times New Roman" w:hAnsi="Times New Roman" w:cs="Times New Roman"/>
          <w:sz w:val="22"/>
          <w:szCs w:val="22"/>
        </w:rPr>
        <w:t xml:space="preserve"> one of the consequences of the propensity of the EU resort to technocracy to deal with the economic crisis – is </w:t>
      </w:r>
      <w:r w:rsidR="005F4D04">
        <w:rPr>
          <w:rFonts w:ascii="Times New Roman" w:hAnsi="Times New Roman" w:cs="Times New Roman"/>
          <w:sz w:val="22"/>
          <w:szCs w:val="22"/>
        </w:rPr>
        <w:t xml:space="preserve">that it conceals the possibility of </w:t>
      </w:r>
      <w:r w:rsidR="003D5AD9">
        <w:rPr>
          <w:rFonts w:ascii="Times New Roman" w:hAnsi="Times New Roman" w:cs="Times New Roman"/>
          <w:sz w:val="22"/>
          <w:szCs w:val="22"/>
        </w:rPr>
        <w:t xml:space="preserve">genuine </w:t>
      </w:r>
      <w:r w:rsidR="005F4D04">
        <w:rPr>
          <w:rFonts w:ascii="Times New Roman" w:hAnsi="Times New Roman" w:cs="Times New Roman"/>
          <w:sz w:val="22"/>
          <w:szCs w:val="22"/>
        </w:rPr>
        <w:t xml:space="preserve">political solidarity. </w:t>
      </w:r>
    </w:p>
    <w:p w14:paraId="57E75059" w14:textId="77777777" w:rsidR="002C63B4" w:rsidRDefault="002C63B4" w:rsidP="007B7EB3">
      <w:pPr>
        <w:spacing w:line="360" w:lineRule="auto"/>
        <w:jc w:val="both"/>
        <w:rPr>
          <w:rFonts w:ascii="Times New Roman" w:hAnsi="Times New Roman" w:cs="Times New Roman"/>
          <w:sz w:val="22"/>
          <w:szCs w:val="22"/>
        </w:rPr>
      </w:pPr>
    </w:p>
    <w:p w14:paraId="2EEC1EF9" w14:textId="77777777" w:rsidR="005F4D04" w:rsidRDefault="00397222" w:rsidP="007B7EB3">
      <w:pPr>
        <w:spacing w:line="360" w:lineRule="auto"/>
        <w:jc w:val="both"/>
        <w:rPr>
          <w:rFonts w:ascii="Times New Roman" w:hAnsi="Times New Roman" w:cs="Times New Roman"/>
          <w:b/>
          <w:sz w:val="22"/>
          <w:szCs w:val="22"/>
        </w:rPr>
      </w:pPr>
      <w:r>
        <w:rPr>
          <w:rFonts w:ascii="Times New Roman" w:hAnsi="Times New Roman" w:cs="Times New Roman"/>
          <w:b/>
          <w:sz w:val="22"/>
          <w:szCs w:val="22"/>
        </w:rPr>
        <w:t>4. Technocracy, crisis</w:t>
      </w:r>
      <w:r w:rsidR="0041257B">
        <w:rPr>
          <w:rFonts w:ascii="Times New Roman" w:hAnsi="Times New Roman" w:cs="Times New Roman"/>
          <w:b/>
          <w:sz w:val="22"/>
          <w:szCs w:val="22"/>
        </w:rPr>
        <w:t>, solidarity</w:t>
      </w:r>
      <w:r>
        <w:rPr>
          <w:rFonts w:ascii="Times New Roman" w:hAnsi="Times New Roman" w:cs="Times New Roman"/>
          <w:b/>
          <w:sz w:val="22"/>
          <w:szCs w:val="22"/>
        </w:rPr>
        <w:t xml:space="preserve"> and the rule of law </w:t>
      </w:r>
    </w:p>
    <w:p w14:paraId="336D0608" w14:textId="13C49E5B" w:rsidR="00105462" w:rsidRDefault="001617D4"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The economic crisis of the Eurozone revealed the extent to which the EU adopted a model of executive federalism in order to respond </w:t>
      </w:r>
      <w:r w:rsidR="002E0388">
        <w:rPr>
          <w:rFonts w:ascii="Times New Roman" w:hAnsi="Times New Roman" w:cs="Times New Roman"/>
          <w:sz w:val="22"/>
          <w:szCs w:val="22"/>
        </w:rPr>
        <w:t>to the challenge of meeting market concerns about the Eurozone’s capacity to restructure the debt incurred by its members.</w:t>
      </w:r>
      <w:r w:rsidR="0000629F">
        <w:rPr>
          <w:rFonts w:ascii="Times New Roman" w:hAnsi="Times New Roman" w:cs="Times New Roman"/>
          <w:sz w:val="22"/>
          <w:szCs w:val="22"/>
        </w:rPr>
        <w:t xml:space="preserve"> Executive federalism is, therefore, a term which is used by </w:t>
      </w:r>
      <w:proofErr w:type="spellStart"/>
      <w:r w:rsidR="0000629F">
        <w:rPr>
          <w:rFonts w:ascii="Times New Roman" w:hAnsi="Times New Roman" w:cs="Times New Roman"/>
          <w:sz w:val="22"/>
          <w:szCs w:val="22"/>
        </w:rPr>
        <w:t>Habermas</w:t>
      </w:r>
      <w:proofErr w:type="spellEnd"/>
      <w:r w:rsidR="0000629F">
        <w:rPr>
          <w:rFonts w:ascii="Times New Roman" w:hAnsi="Times New Roman" w:cs="Times New Roman"/>
          <w:sz w:val="22"/>
          <w:szCs w:val="22"/>
        </w:rPr>
        <w:t xml:space="preserve"> to express how deepening economic </w:t>
      </w:r>
      <w:r w:rsidR="0000629F">
        <w:rPr>
          <w:rFonts w:ascii="Times New Roman" w:hAnsi="Times New Roman" w:cs="Times New Roman"/>
          <w:i/>
          <w:sz w:val="22"/>
          <w:szCs w:val="22"/>
        </w:rPr>
        <w:t xml:space="preserve">and </w:t>
      </w:r>
      <w:r w:rsidR="0000629F">
        <w:rPr>
          <w:rFonts w:ascii="Times New Roman" w:hAnsi="Times New Roman" w:cs="Times New Roman"/>
          <w:sz w:val="22"/>
          <w:szCs w:val="22"/>
        </w:rPr>
        <w:t>political integration is achieved not by a democratic process of political engagement but instead by EU institutions putting forward far-reaching solutions in order to deal with economic crisis</w:t>
      </w:r>
      <w:r w:rsidR="00DB1783">
        <w:rPr>
          <w:rFonts w:ascii="Times New Roman" w:hAnsi="Times New Roman" w:cs="Times New Roman"/>
          <w:sz w:val="22"/>
          <w:szCs w:val="22"/>
        </w:rPr>
        <w:t xml:space="preserve"> (</w:t>
      </w:r>
      <w:proofErr w:type="spellStart"/>
      <w:r w:rsidR="00DB1783">
        <w:rPr>
          <w:rFonts w:ascii="Times New Roman" w:hAnsi="Times New Roman" w:cs="Times New Roman"/>
          <w:sz w:val="22"/>
          <w:szCs w:val="22"/>
        </w:rPr>
        <w:t>Habermas</w:t>
      </w:r>
      <w:proofErr w:type="spellEnd"/>
      <w:r w:rsidR="00DB1783">
        <w:rPr>
          <w:rFonts w:ascii="Times New Roman" w:hAnsi="Times New Roman" w:cs="Times New Roman"/>
          <w:sz w:val="22"/>
          <w:szCs w:val="22"/>
        </w:rPr>
        <w:t>, 2015, 3-11)</w:t>
      </w:r>
      <w:r w:rsidR="0000629F">
        <w:rPr>
          <w:rFonts w:ascii="Times New Roman" w:hAnsi="Times New Roman" w:cs="Times New Roman"/>
          <w:sz w:val="22"/>
          <w:szCs w:val="22"/>
        </w:rPr>
        <w:t>.</w:t>
      </w:r>
      <w:r w:rsidR="002E0388">
        <w:rPr>
          <w:rFonts w:ascii="Times New Roman" w:hAnsi="Times New Roman" w:cs="Times New Roman"/>
          <w:sz w:val="22"/>
          <w:szCs w:val="22"/>
        </w:rPr>
        <w:t xml:space="preserve"> </w:t>
      </w:r>
      <w:r w:rsidR="00A4664F">
        <w:rPr>
          <w:rFonts w:ascii="Times New Roman" w:hAnsi="Times New Roman" w:cs="Times New Roman"/>
          <w:sz w:val="22"/>
          <w:szCs w:val="22"/>
        </w:rPr>
        <w:t>Emblematic of such an approach by the EU has been the critical role played by the ‘informal</w:t>
      </w:r>
      <w:r w:rsidR="002E5C4F">
        <w:rPr>
          <w:rFonts w:ascii="Times New Roman" w:hAnsi="Times New Roman" w:cs="Times New Roman"/>
          <w:sz w:val="22"/>
          <w:szCs w:val="22"/>
        </w:rPr>
        <w:t xml:space="preserve"> </w:t>
      </w:r>
      <w:proofErr w:type="spellStart"/>
      <w:r w:rsidR="002E5C4F">
        <w:rPr>
          <w:rFonts w:ascii="Times New Roman" w:hAnsi="Times New Roman" w:cs="Times New Roman"/>
          <w:sz w:val="22"/>
          <w:szCs w:val="22"/>
        </w:rPr>
        <w:t>eurogroup</w:t>
      </w:r>
      <w:proofErr w:type="spellEnd"/>
      <w:r w:rsidR="002E5C4F">
        <w:rPr>
          <w:rFonts w:ascii="Times New Roman" w:hAnsi="Times New Roman" w:cs="Times New Roman"/>
          <w:sz w:val="22"/>
          <w:szCs w:val="22"/>
        </w:rPr>
        <w:t>’</w:t>
      </w:r>
      <w:r w:rsidR="00A4664F">
        <w:rPr>
          <w:rStyle w:val="FootnoteReference"/>
          <w:rFonts w:ascii="Times New Roman" w:hAnsi="Times New Roman" w:cs="Times New Roman"/>
          <w:sz w:val="22"/>
          <w:szCs w:val="22"/>
        </w:rPr>
        <w:footnoteReference w:id="2"/>
      </w:r>
      <w:r w:rsidR="002E5C4F">
        <w:rPr>
          <w:rFonts w:ascii="Times New Roman" w:hAnsi="Times New Roman" w:cs="Times New Roman"/>
          <w:sz w:val="22"/>
          <w:szCs w:val="22"/>
        </w:rPr>
        <w:t xml:space="preserve"> </w:t>
      </w:r>
      <w:r w:rsidR="00FA04EC">
        <w:rPr>
          <w:rFonts w:ascii="Times New Roman" w:hAnsi="Times New Roman" w:cs="Times New Roman"/>
          <w:sz w:val="22"/>
          <w:szCs w:val="22"/>
        </w:rPr>
        <w:t xml:space="preserve">of Eurozone finance ministers which alongside stake-holder creditors required Greece, and </w:t>
      </w:r>
      <w:r w:rsidR="003D5AD9">
        <w:rPr>
          <w:rFonts w:ascii="Times New Roman" w:hAnsi="Times New Roman" w:cs="Times New Roman"/>
          <w:sz w:val="22"/>
          <w:szCs w:val="22"/>
        </w:rPr>
        <w:t>others, to propose</w:t>
      </w:r>
      <w:r w:rsidR="00FA04EC">
        <w:rPr>
          <w:rFonts w:ascii="Times New Roman" w:hAnsi="Times New Roman" w:cs="Times New Roman"/>
          <w:sz w:val="22"/>
          <w:szCs w:val="22"/>
        </w:rPr>
        <w:t xml:space="preserve"> far reaching political, social, economic and welfare reforms</w:t>
      </w:r>
      <w:r w:rsidR="00691E0F">
        <w:rPr>
          <w:rFonts w:ascii="Times New Roman" w:hAnsi="Times New Roman" w:cs="Times New Roman"/>
          <w:sz w:val="22"/>
          <w:szCs w:val="22"/>
        </w:rPr>
        <w:t xml:space="preserve"> as part of debt restructuring.</w:t>
      </w:r>
      <w:r w:rsidR="004A7A9F">
        <w:rPr>
          <w:rFonts w:ascii="Times New Roman" w:hAnsi="Times New Roman" w:cs="Times New Roman"/>
          <w:sz w:val="22"/>
          <w:szCs w:val="22"/>
        </w:rPr>
        <w:t xml:space="preserve"> </w:t>
      </w:r>
      <w:r w:rsidR="004A7A9F" w:rsidRPr="0000487D">
        <w:rPr>
          <w:rFonts w:ascii="Times New Roman" w:hAnsi="Times New Roman" w:cs="Times New Roman"/>
          <w:sz w:val="22"/>
          <w:szCs w:val="22"/>
          <w:highlight w:val="yellow"/>
        </w:rPr>
        <w:t xml:space="preserve">For example, in the Cypriot banking crisis of 2013 the </w:t>
      </w:r>
      <w:proofErr w:type="spellStart"/>
      <w:r w:rsidR="004A7A9F" w:rsidRPr="0000487D">
        <w:rPr>
          <w:rFonts w:ascii="Times New Roman" w:hAnsi="Times New Roman" w:cs="Times New Roman"/>
          <w:sz w:val="22"/>
          <w:szCs w:val="22"/>
          <w:highlight w:val="yellow"/>
        </w:rPr>
        <w:t>Eurogroup</w:t>
      </w:r>
      <w:proofErr w:type="spellEnd"/>
      <w:r w:rsidR="004A7A9F" w:rsidRPr="0000487D">
        <w:rPr>
          <w:rFonts w:ascii="Times New Roman" w:hAnsi="Times New Roman" w:cs="Times New Roman"/>
          <w:sz w:val="22"/>
          <w:szCs w:val="22"/>
          <w:highlight w:val="yellow"/>
        </w:rPr>
        <w:t xml:space="preserve"> was able to effectively impose a solution on Cyprus which involved a levy on bank </w:t>
      </w:r>
      <w:r w:rsidR="00E479D8" w:rsidRPr="0000487D">
        <w:rPr>
          <w:rFonts w:ascii="Times New Roman" w:hAnsi="Times New Roman" w:cs="Times New Roman"/>
          <w:sz w:val="22"/>
          <w:szCs w:val="22"/>
          <w:highlight w:val="yellow"/>
        </w:rPr>
        <w:t>deposits above a certain amount in return for a bank bailout.</w:t>
      </w:r>
      <w:r w:rsidR="00BF5D19" w:rsidRPr="0000487D">
        <w:rPr>
          <w:rStyle w:val="FootnoteReference"/>
          <w:rFonts w:ascii="Times New Roman" w:hAnsi="Times New Roman" w:cs="Times New Roman"/>
          <w:sz w:val="22"/>
          <w:szCs w:val="22"/>
          <w:highlight w:val="yellow"/>
        </w:rPr>
        <w:footnoteReference w:id="3"/>
      </w:r>
      <w:r w:rsidR="00AC7329" w:rsidRPr="0000487D">
        <w:rPr>
          <w:rFonts w:ascii="Times New Roman" w:hAnsi="Times New Roman" w:cs="Times New Roman"/>
          <w:sz w:val="22"/>
          <w:szCs w:val="22"/>
          <w:highlight w:val="yellow"/>
        </w:rPr>
        <w:t xml:space="preserve"> C</w:t>
      </w:r>
      <w:r w:rsidR="0000487D">
        <w:rPr>
          <w:rFonts w:ascii="Times New Roman" w:hAnsi="Times New Roman" w:cs="Times New Roman"/>
          <w:sz w:val="22"/>
          <w:szCs w:val="22"/>
          <w:highlight w:val="yellow"/>
        </w:rPr>
        <w:t>learly, the problem</w:t>
      </w:r>
      <w:r w:rsidR="00AC7329" w:rsidRPr="0000487D">
        <w:rPr>
          <w:rFonts w:ascii="Times New Roman" w:hAnsi="Times New Roman" w:cs="Times New Roman"/>
          <w:sz w:val="22"/>
          <w:szCs w:val="22"/>
          <w:highlight w:val="yellow"/>
        </w:rPr>
        <w:t xml:space="preserve"> is that although the </w:t>
      </w:r>
      <w:proofErr w:type="spellStart"/>
      <w:r w:rsidR="00AC7329" w:rsidRPr="0000487D">
        <w:rPr>
          <w:rFonts w:ascii="Times New Roman" w:hAnsi="Times New Roman" w:cs="Times New Roman"/>
          <w:sz w:val="22"/>
          <w:szCs w:val="22"/>
          <w:highlight w:val="yellow"/>
        </w:rPr>
        <w:t>Eurogroup</w:t>
      </w:r>
      <w:proofErr w:type="spellEnd"/>
      <w:r w:rsidR="00AC7329" w:rsidRPr="0000487D">
        <w:rPr>
          <w:rFonts w:ascii="Times New Roman" w:hAnsi="Times New Roman" w:cs="Times New Roman"/>
          <w:sz w:val="22"/>
          <w:szCs w:val="22"/>
          <w:highlight w:val="yellow"/>
        </w:rPr>
        <w:t xml:space="preserve"> is mandated by both the EU and the market to provide solutions, through bailout agreements, it is not directly accountable to the people for whom its decisions most impacts upon.</w:t>
      </w:r>
      <w:r w:rsidR="00AC7329">
        <w:rPr>
          <w:rFonts w:ascii="Times New Roman" w:hAnsi="Times New Roman" w:cs="Times New Roman"/>
          <w:sz w:val="22"/>
          <w:szCs w:val="22"/>
        </w:rPr>
        <w:t xml:space="preserve"> </w:t>
      </w:r>
    </w:p>
    <w:p w14:paraId="788D36FF" w14:textId="157CA25D" w:rsidR="00105462" w:rsidRDefault="00691E0F"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Adopting a model of integration based around executive federalism as a consequence of the economic troubles of the Eurozone raises two kinds of problems. </w:t>
      </w:r>
      <w:r w:rsidR="00A0151C">
        <w:rPr>
          <w:rFonts w:ascii="Times New Roman" w:hAnsi="Times New Roman" w:cs="Times New Roman"/>
          <w:sz w:val="22"/>
          <w:szCs w:val="22"/>
        </w:rPr>
        <w:t xml:space="preserve">Firstly, </w:t>
      </w:r>
      <w:r>
        <w:rPr>
          <w:rFonts w:ascii="Times New Roman" w:hAnsi="Times New Roman" w:cs="Times New Roman"/>
          <w:sz w:val="22"/>
          <w:szCs w:val="22"/>
        </w:rPr>
        <w:t xml:space="preserve">the EU institutions attempt to bridge the gap between what </w:t>
      </w:r>
      <w:r w:rsidR="003D5AD9">
        <w:rPr>
          <w:rFonts w:ascii="Times New Roman" w:hAnsi="Times New Roman" w:cs="Times New Roman"/>
          <w:sz w:val="22"/>
          <w:szCs w:val="22"/>
        </w:rPr>
        <w:t>is economic mandated by markets (</w:t>
      </w:r>
      <w:r>
        <w:rPr>
          <w:rFonts w:ascii="Times New Roman" w:hAnsi="Times New Roman" w:cs="Times New Roman"/>
          <w:sz w:val="22"/>
          <w:szCs w:val="22"/>
        </w:rPr>
        <w:t>creditors</w:t>
      </w:r>
      <w:r w:rsidR="003D5AD9">
        <w:rPr>
          <w:rFonts w:ascii="Times New Roman" w:hAnsi="Times New Roman" w:cs="Times New Roman"/>
          <w:sz w:val="22"/>
          <w:szCs w:val="22"/>
        </w:rPr>
        <w:t>)</w:t>
      </w:r>
      <w:r>
        <w:rPr>
          <w:rFonts w:ascii="Times New Roman" w:hAnsi="Times New Roman" w:cs="Times New Roman"/>
          <w:sz w:val="22"/>
          <w:szCs w:val="22"/>
        </w:rPr>
        <w:t xml:space="preserve"> and the political or democratic feasibility of implementation by adopting a process of managerial governance which gives a primary role to institutions such as the ‘</w:t>
      </w:r>
      <w:proofErr w:type="spellStart"/>
      <w:r>
        <w:rPr>
          <w:rFonts w:ascii="Times New Roman" w:hAnsi="Times New Roman" w:cs="Times New Roman"/>
          <w:sz w:val="22"/>
          <w:szCs w:val="22"/>
        </w:rPr>
        <w:t>eurogroup</w:t>
      </w:r>
      <w:proofErr w:type="spellEnd"/>
      <w:r>
        <w:rPr>
          <w:rFonts w:ascii="Times New Roman" w:hAnsi="Times New Roman" w:cs="Times New Roman"/>
          <w:sz w:val="22"/>
          <w:szCs w:val="22"/>
        </w:rPr>
        <w:t>’ which enjoy the confidence of the market</w:t>
      </w:r>
      <w:r w:rsidR="00DB1783">
        <w:rPr>
          <w:rFonts w:ascii="Times New Roman" w:hAnsi="Times New Roman" w:cs="Times New Roman"/>
          <w:sz w:val="22"/>
          <w:szCs w:val="22"/>
        </w:rPr>
        <w:t xml:space="preserve"> (</w:t>
      </w:r>
      <w:proofErr w:type="spellStart"/>
      <w:r w:rsidR="00DB1783">
        <w:rPr>
          <w:rFonts w:ascii="Times New Roman" w:hAnsi="Times New Roman" w:cs="Times New Roman"/>
          <w:sz w:val="22"/>
          <w:szCs w:val="22"/>
        </w:rPr>
        <w:t>Habermas</w:t>
      </w:r>
      <w:proofErr w:type="spellEnd"/>
      <w:r w:rsidR="00DB1783">
        <w:rPr>
          <w:rFonts w:ascii="Times New Roman" w:hAnsi="Times New Roman" w:cs="Times New Roman"/>
          <w:sz w:val="22"/>
          <w:szCs w:val="22"/>
        </w:rPr>
        <w:t>, 2015, 12)</w:t>
      </w:r>
      <w:r w:rsidR="002E5C4F">
        <w:rPr>
          <w:rFonts w:ascii="Times New Roman" w:hAnsi="Times New Roman" w:cs="Times New Roman"/>
          <w:sz w:val="22"/>
          <w:szCs w:val="22"/>
        </w:rPr>
        <w:t xml:space="preserve"> </w:t>
      </w:r>
      <w:r w:rsidR="00A0151C">
        <w:rPr>
          <w:rFonts w:ascii="Times New Roman" w:hAnsi="Times New Roman" w:cs="Times New Roman"/>
          <w:sz w:val="22"/>
          <w:szCs w:val="22"/>
        </w:rPr>
        <w:t>Second</w:t>
      </w:r>
      <w:r w:rsidR="00D53E04">
        <w:rPr>
          <w:rFonts w:ascii="Times New Roman" w:hAnsi="Times New Roman" w:cs="Times New Roman"/>
          <w:sz w:val="22"/>
          <w:szCs w:val="22"/>
        </w:rPr>
        <w:t>,</w:t>
      </w:r>
      <w:r w:rsidR="00A0151C">
        <w:rPr>
          <w:rFonts w:ascii="Times New Roman" w:hAnsi="Times New Roman" w:cs="Times New Roman"/>
          <w:sz w:val="22"/>
          <w:szCs w:val="22"/>
        </w:rPr>
        <w:t xml:space="preserve"> the implications of executive federalism </w:t>
      </w:r>
      <w:r w:rsidR="00D53E04">
        <w:rPr>
          <w:rFonts w:ascii="Times New Roman" w:hAnsi="Times New Roman" w:cs="Times New Roman"/>
          <w:sz w:val="22"/>
          <w:szCs w:val="22"/>
        </w:rPr>
        <w:t xml:space="preserve">is not so much as a term to describe the practices of further integration </w:t>
      </w:r>
      <w:r w:rsidR="001605EF">
        <w:rPr>
          <w:rFonts w:ascii="Times New Roman" w:hAnsi="Times New Roman" w:cs="Times New Roman"/>
          <w:sz w:val="22"/>
          <w:szCs w:val="22"/>
        </w:rPr>
        <w:t xml:space="preserve">in the context of economic crisis but also a manner of institutional thinking about delivery </w:t>
      </w:r>
      <w:r w:rsidR="003D5AD9">
        <w:rPr>
          <w:rFonts w:ascii="Times New Roman" w:hAnsi="Times New Roman" w:cs="Times New Roman"/>
          <w:sz w:val="22"/>
          <w:szCs w:val="22"/>
        </w:rPr>
        <w:t xml:space="preserve">of </w:t>
      </w:r>
      <w:r w:rsidR="001605EF">
        <w:rPr>
          <w:rFonts w:ascii="Times New Roman" w:hAnsi="Times New Roman" w:cs="Times New Roman"/>
          <w:sz w:val="22"/>
          <w:szCs w:val="22"/>
        </w:rPr>
        <w:t xml:space="preserve">technical </w:t>
      </w:r>
      <w:r w:rsidR="003D5AD9">
        <w:rPr>
          <w:rFonts w:ascii="Times New Roman" w:hAnsi="Times New Roman" w:cs="Times New Roman"/>
          <w:sz w:val="22"/>
          <w:szCs w:val="22"/>
        </w:rPr>
        <w:t>solutions to satisfy</w:t>
      </w:r>
      <w:r w:rsidR="001605EF">
        <w:rPr>
          <w:rFonts w:ascii="Times New Roman" w:hAnsi="Times New Roman" w:cs="Times New Roman"/>
          <w:sz w:val="22"/>
          <w:szCs w:val="22"/>
        </w:rPr>
        <w:t xml:space="preserve"> market concerns – this style of thinkin</w:t>
      </w:r>
      <w:r w:rsidR="00105462">
        <w:rPr>
          <w:rFonts w:ascii="Times New Roman" w:hAnsi="Times New Roman" w:cs="Times New Roman"/>
          <w:sz w:val="22"/>
          <w:szCs w:val="22"/>
        </w:rPr>
        <w:t xml:space="preserve">g </w:t>
      </w:r>
      <w:proofErr w:type="spellStart"/>
      <w:r w:rsidR="00105462">
        <w:rPr>
          <w:rFonts w:ascii="Times New Roman" w:hAnsi="Times New Roman" w:cs="Times New Roman"/>
          <w:sz w:val="22"/>
          <w:szCs w:val="22"/>
        </w:rPr>
        <w:t>Habermas</w:t>
      </w:r>
      <w:proofErr w:type="spellEnd"/>
      <w:r w:rsidR="00105462">
        <w:rPr>
          <w:rFonts w:ascii="Times New Roman" w:hAnsi="Times New Roman" w:cs="Times New Roman"/>
          <w:sz w:val="22"/>
          <w:szCs w:val="22"/>
        </w:rPr>
        <w:t xml:space="preserve"> calls ‘technocracy’.</w:t>
      </w:r>
      <w:r w:rsidR="00AC7329">
        <w:rPr>
          <w:rFonts w:ascii="Times New Roman" w:hAnsi="Times New Roman" w:cs="Times New Roman"/>
          <w:sz w:val="22"/>
          <w:szCs w:val="22"/>
        </w:rPr>
        <w:t xml:space="preserve"> </w:t>
      </w:r>
    </w:p>
    <w:p w14:paraId="5C83C986" w14:textId="78F8DA91" w:rsidR="005C4F41" w:rsidRDefault="001605EF"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What </w:t>
      </w:r>
      <w:r w:rsidR="00B344E8">
        <w:rPr>
          <w:rFonts w:ascii="Times New Roman" w:hAnsi="Times New Roman" w:cs="Times New Roman"/>
          <w:sz w:val="22"/>
          <w:szCs w:val="22"/>
        </w:rPr>
        <w:t xml:space="preserve">distinguishes technocracy, is that </w:t>
      </w:r>
      <w:r w:rsidR="004E545D">
        <w:rPr>
          <w:rFonts w:ascii="Times New Roman" w:hAnsi="Times New Roman" w:cs="Times New Roman"/>
          <w:sz w:val="22"/>
          <w:szCs w:val="22"/>
        </w:rPr>
        <w:t xml:space="preserve">it </w:t>
      </w:r>
      <w:r w:rsidR="00B54153">
        <w:rPr>
          <w:rFonts w:ascii="Times New Roman" w:hAnsi="Times New Roman" w:cs="Times New Roman"/>
          <w:sz w:val="22"/>
          <w:szCs w:val="22"/>
        </w:rPr>
        <w:t>privileges instrumental decisions to</w:t>
      </w:r>
      <w:r w:rsidR="00AA4659">
        <w:rPr>
          <w:rFonts w:ascii="Times New Roman" w:hAnsi="Times New Roman" w:cs="Times New Roman"/>
          <w:sz w:val="22"/>
          <w:szCs w:val="22"/>
        </w:rPr>
        <w:t xml:space="preserve"> provide solutions to political, social and economic </w:t>
      </w:r>
      <w:r w:rsidR="00B54153">
        <w:rPr>
          <w:rFonts w:ascii="Times New Roman" w:hAnsi="Times New Roman" w:cs="Times New Roman"/>
          <w:sz w:val="22"/>
          <w:szCs w:val="22"/>
        </w:rPr>
        <w:t>problems; in other words, it translates all questions</w:t>
      </w:r>
      <w:r w:rsidR="00AA4659">
        <w:rPr>
          <w:rFonts w:ascii="Times New Roman" w:hAnsi="Times New Roman" w:cs="Times New Roman"/>
          <w:sz w:val="22"/>
          <w:szCs w:val="22"/>
        </w:rPr>
        <w:t>,</w:t>
      </w:r>
      <w:r w:rsidR="00B54153">
        <w:rPr>
          <w:rFonts w:ascii="Times New Roman" w:hAnsi="Times New Roman" w:cs="Times New Roman"/>
          <w:sz w:val="22"/>
          <w:szCs w:val="22"/>
        </w:rPr>
        <w:t xml:space="preserve"> including those that implicate the meaning of the EU as a political community</w:t>
      </w:r>
      <w:r w:rsidR="00AA4659">
        <w:rPr>
          <w:rFonts w:ascii="Times New Roman" w:hAnsi="Times New Roman" w:cs="Times New Roman"/>
          <w:sz w:val="22"/>
          <w:szCs w:val="22"/>
        </w:rPr>
        <w:t>,</w:t>
      </w:r>
      <w:r w:rsidR="00B54153">
        <w:rPr>
          <w:rFonts w:ascii="Times New Roman" w:hAnsi="Times New Roman" w:cs="Times New Roman"/>
          <w:sz w:val="22"/>
          <w:szCs w:val="22"/>
        </w:rPr>
        <w:t xml:space="preserve"> into issues of </w:t>
      </w:r>
      <w:proofErr w:type="spellStart"/>
      <w:r w:rsidR="00B54153">
        <w:rPr>
          <w:rFonts w:ascii="Times New Roman" w:hAnsi="Times New Roman" w:cs="Times New Roman"/>
          <w:sz w:val="22"/>
          <w:szCs w:val="22"/>
        </w:rPr>
        <w:t>technocractic</w:t>
      </w:r>
      <w:proofErr w:type="spellEnd"/>
      <w:r w:rsidR="00B54153">
        <w:rPr>
          <w:rFonts w:ascii="Times New Roman" w:hAnsi="Times New Roman" w:cs="Times New Roman"/>
          <w:sz w:val="22"/>
          <w:szCs w:val="22"/>
        </w:rPr>
        <w:t xml:space="preserve"> </w:t>
      </w:r>
      <w:r w:rsidR="00AA4659">
        <w:rPr>
          <w:rFonts w:ascii="Times New Roman" w:hAnsi="Times New Roman" w:cs="Times New Roman"/>
          <w:sz w:val="22"/>
          <w:szCs w:val="22"/>
        </w:rPr>
        <w:t xml:space="preserve">control. </w:t>
      </w:r>
      <w:r w:rsidR="00AC7329" w:rsidRPr="00EA5C2A">
        <w:rPr>
          <w:rFonts w:ascii="Times New Roman" w:hAnsi="Times New Roman" w:cs="Times New Roman"/>
          <w:sz w:val="22"/>
          <w:szCs w:val="22"/>
        </w:rPr>
        <w:t>In the Eurozone</w:t>
      </w:r>
      <w:r w:rsidR="00451637" w:rsidRPr="00EA5C2A">
        <w:rPr>
          <w:rFonts w:ascii="Times New Roman" w:hAnsi="Times New Roman" w:cs="Times New Roman"/>
          <w:sz w:val="22"/>
          <w:szCs w:val="22"/>
        </w:rPr>
        <w:t xml:space="preserve"> crisis this meant that the maintenance of the Euro currency and the integrity of the Eurozone is paramount</w:t>
      </w:r>
      <w:r w:rsidR="00404703" w:rsidRPr="00EA5C2A">
        <w:rPr>
          <w:rStyle w:val="FootnoteReference"/>
          <w:rFonts w:ascii="Times New Roman" w:hAnsi="Times New Roman" w:cs="Times New Roman"/>
          <w:sz w:val="22"/>
          <w:szCs w:val="22"/>
        </w:rPr>
        <w:footnoteReference w:id="4"/>
      </w:r>
      <w:r w:rsidR="00451637" w:rsidRPr="00EA5C2A">
        <w:rPr>
          <w:rFonts w:ascii="Times New Roman" w:hAnsi="Times New Roman" w:cs="Times New Roman"/>
          <w:sz w:val="22"/>
          <w:szCs w:val="22"/>
        </w:rPr>
        <w:t>, whereas the concerns about democracy and the impact on indi</w:t>
      </w:r>
      <w:r w:rsidR="0000487D" w:rsidRPr="00EA5C2A">
        <w:rPr>
          <w:rFonts w:ascii="Times New Roman" w:hAnsi="Times New Roman" w:cs="Times New Roman"/>
          <w:sz w:val="22"/>
          <w:szCs w:val="22"/>
        </w:rPr>
        <w:t xml:space="preserve">viduals </w:t>
      </w:r>
      <w:r w:rsidR="0000487D" w:rsidRPr="00EA5C2A">
        <w:rPr>
          <w:rFonts w:ascii="Times New Roman" w:hAnsi="Times New Roman" w:cs="Times New Roman"/>
          <w:i/>
          <w:sz w:val="22"/>
          <w:szCs w:val="22"/>
        </w:rPr>
        <w:t xml:space="preserve">de facto </w:t>
      </w:r>
      <w:r w:rsidR="0000487D" w:rsidRPr="00EA5C2A">
        <w:rPr>
          <w:rFonts w:ascii="Times New Roman" w:hAnsi="Times New Roman" w:cs="Times New Roman"/>
          <w:sz w:val="22"/>
          <w:szCs w:val="22"/>
        </w:rPr>
        <w:t xml:space="preserve">and </w:t>
      </w:r>
      <w:r w:rsidR="0000487D" w:rsidRPr="00EA5C2A">
        <w:rPr>
          <w:rFonts w:ascii="Times New Roman" w:hAnsi="Times New Roman" w:cs="Times New Roman"/>
          <w:i/>
          <w:sz w:val="22"/>
          <w:szCs w:val="22"/>
        </w:rPr>
        <w:t xml:space="preserve">de jure </w:t>
      </w:r>
      <w:r w:rsidR="0000487D" w:rsidRPr="00EA5C2A">
        <w:rPr>
          <w:rFonts w:ascii="Times New Roman" w:hAnsi="Times New Roman" w:cs="Times New Roman"/>
          <w:sz w:val="22"/>
          <w:szCs w:val="22"/>
        </w:rPr>
        <w:t>becomes a</w:t>
      </w:r>
      <w:r w:rsidR="00451637" w:rsidRPr="00EA5C2A">
        <w:rPr>
          <w:rFonts w:ascii="Times New Roman" w:hAnsi="Times New Roman" w:cs="Times New Roman"/>
          <w:sz w:val="22"/>
          <w:szCs w:val="22"/>
        </w:rPr>
        <w:t xml:space="preserve"> constitutional and political issue</w:t>
      </w:r>
      <w:r w:rsidR="0000487D" w:rsidRPr="00EA5C2A">
        <w:rPr>
          <w:rFonts w:ascii="Times New Roman" w:hAnsi="Times New Roman" w:cs="Times New Roman"/>
          <w:sz w:val="22"/>
          <w:szCs w:val="22"/>
        </w:rPr>
        <w:t xml:space="preserve"> primarily</w:t>
      </w:r>
      <w:r w:rsidR="00451637" w:rsidRPr="00EA5C2A">
        <w:rPr>
          <w:rFonts w:ascii="Times New Roman" w:hAnsi="Times New Roman" w:cs="Times New Roman"/>
          <w:sz w:val="22"/>
          <w:szCs w:val="22"/>
        </w:rPr>
        <w:t xml:space="preserve"> for the Member States</w:t>
      </w:r>
      <w:r w:rsidR="0000487D">
        <w:rPr>
          <w:rFonts w:ascii="Times New Roman" w:hAnsi="Times New Roman" w:cs="Times New Roman"/>
          <w:sz w:val="22"/>
          <w:szCs w:val="22"/>
        </w:rPr>
        <w:t>.</w:t>
      </w:r>
      <w:r w:rsidR="00451637">
        <w:rPr>
          <w:rFonts w:ascii="Times New Roman" w:hAnsi="Times New Roman" w:cs="Times New Roman"/>
          <w:sz w:val="22"/>
          <w:szCs w:val="22"/>
        </w:rPr>
        <w:t xml:space="preserve"> </w:t>
      </w:r>
      <w:proofErr w:type="spellStart"/>
      <w:r w:rsidR="00AA4659">
        <w:rPr>
          <w:rFonts w:ascii="Times New Roman" w:hAnsi="Times New Roman" w:cs="Times New Roman"/>
          <w:sz w:val="22"/>
          <w:szCs w:val="22"/>
        </w:rPr>
        <w:t>Habermas</w:t>
      </w:r>
      <w:proofErr w:type="spellEnd"/>
      <w:r w:rsidR="00AA4659">
        <w:rPr>
          <w:rFonts w:ascii="Times New Roman" w:hAnsi="Times New Roman" w:cs="Times New Roman"/>
          <w:sz w:val="22"/>
          <w:szCs w:val="22"/>
        </w:rPr>
        <w:t xml:space="preserve"> explores the attraction of technocracy, in the context of the economic crisis, by contrasting it with </w:t>
      </w:r>
      <w:r w:rsidR="00A1145D">
        <w:rPr>
          <w:rFonts w:ascii="Times New Roman" w:hAnsi="Times New Roman" w:cs="Times New Roman"/>
          <w:sz w:val="22"/>
          <w:szCs w:val="22"/>
        </w:rPr>
        <w:t xml:space="preserve">political </w:t>
      </w:r>
      <w:r w:rsidR="00A1145D">
        <w:rPr>
          <w:rFonts w:ascii="Times New Roman" w:hAnsi="Times New Roman" w:cs="Times New Roman"/>
          <w:sz w:val="22"/>
          <w:szCs w:val="22"/>
        </w:rPr>
        <w:lastRenderedPageBreak/>
        <w:t>solidarity which he describes</w:t>
      </w:r>
      <w:r w:rsidR="0041257B">
        <w:rPr>
          <w:rFonts w:ascii="Times New Roman" w:hAnsi="Times New Roman" w:cs="Times New Roman"/>
          <w:sz w:val="22"/>
          <w:szCs w:val="22"/>
        </w:rPr>
        <w:t xml:space="preserve"> as an alternative path</w:t>
      </w:r>
      <w:r w:rsidR="00DB1783">
        <w:rPr>
          <w:rFonts w:ascii="Times New Roman" w:hAnsi="Times New Roman" w:cs="Times New Roman"/>
          <w:sz w:val="22"/>
          <w:szCs w:val="22"/>
        </w:rPr>
        <w:t xml:space="preserve"> for the EU (</w:t>
      </w:r>
      <w:proofErr w:type="spellStart"/>
      <w:r w:rsidR="00DB1783">
        <w:rPr>
          <w:rFonts w:ascii="Times New Roman" w:hAnsi="Times New Roman" w:cs="Times New Roman"/>
          <w:sz w:val="22"/>
          <w:szCs w:val="22"/>
        </w:rPr>
        <w:t>Habermas</w:t>
      </w:r>
      <w:proofErr w:type="spellEnd"/>
      <w:r w:rsidR="00DB1783">
        <w:rPr>
          <w:rFonts w:ascii="Times New Roman" w:hAnsi="Times New Roman" w:cs="Times New Roman"/>
          <w:sz w:val="22"/>
          <w:szCs w:val="22"/>
        </w:rPr>
        <w:t>, 13).</w:t>
      </w:r>
      <w:r w:rsidR="00105462">
        <w:rPr>
          <w:rFonts w:ascii="Times New Roman" w:hAnsi="Times New Roman" w:cs="Times New Roman"/>
          <w:sz w:val="22"/>
          <w:szCs w:val="22"/>
        </w:rPr>
        <w:t xml:space="preserve"> Political solidarity is a manner</w:t>
      </w:r>
      <w:r w:rsidR="003D5AD9">
        <w:rPr>
          <w:rFonts w:ascii="Times New Roman" w:hAnsi="Times New Roman" w:cs="Times New Roman"/>
          <w:sz w:val="22"/>
          <w:szCs w:val="22"/>
        </w:rPr>
        <w:t xml:space="preserve"> of</w:t>
      </w:r>
      <w:r w:rsidR="00105462">
        <w:rPr>
          <w:rFonts w:ascii="Times New Roman" w:hAnsi="Times New Roman" w:cs="Times New Roman"/>
          <w:sz w:val="22"/>
          <w:szCs w:val="22"/>
        </w:rPr>
        <w:t xml:space="preserve"> thinking about the ethical dimension of the civic context of life; and is formed out of the reflections concerning the complex reciprocal relations, over time, which give rise to a distinctive practice of political community</w:t>
      </w:r>
      <w:r w:rsidR="007320BF">
        <w:rPr>
          <w:rFonts w:ascii="Times New Roman" w:hAnsi="Times New Roman" w:cs="Times New Roman"/>
          <w:sz w:val="22"/>
          <w:szCs w:val="22"/>
        </w:rPr>
        <w:t xml:space="preserve"> (</w:t>
      </w:r>
      <w:proofErr w:type="spellStart"/>
      <w:r w:rsidR="007320BF">
        <w:rPr>
          <w:rFonts w:ascii="Times New Roman" w:hAnsi="Times New Roman" w:cs="Times New Roman"/>
          <w:sz w:val="22"/>
          <w:szCs w:val="22"/>
        </w:rPr>
        <w:t>Habermas</w:t>
      </w:r>
      <w:proofErr w:type="spellEnd"/>
      <w:r w:rsidR="007320BF">
        <w:rPr>
          <w:rFonts w:ascii="Times New Roman" w:hAnsi="Times New Roman" w:cs="Times New Roman"/>
          <w:sz w:val="22"/>
          <w:szCs w:val="22"/>
        </w:rPr>
        <w:t>, 2015, 22-23)</w:t>
      </w:r>
      <w:r w:rsidR="00105462">
        <w:rPr>
          <w:rFonts w:ascii="Times New Roman" w:hAnsi="Times New Roman" w:cs="Times New Roman"/>
          <w:sz w:val="22"/>
          <w:szCs w:val="22"/>
        </w:rPr>
        <w:t xml:space="preserve">. </w:t>
      </w:r>
      <w:proofErr w:type="spellStart"/>
      <w:r w:rsidR="00105462">
        <w:rPr>
          <w:rFonts w:ascii="Times New Roman" w:hAnsi="Times New Roman" w:cs="Times New Roman"/>
          <w:sz w:val="22"/>
          <w:szCs w:val="22"/>
        </w:rPr>
        <w:t>Habermas</w:t>
      </w:r>
      <w:proofErr w:type="spellEnd"/>
      <w:r w:rsidR="00105462">
        <w:rPr>
          <w:rFonts w:ascii="Times New Roman" w:hAnsi="Times New Roman" w:cs="Times New Roman"/>
          <w:sz w:val="22"/>
          <w:szCs w:val="22"/>
        </w:rPr>
        <w:t xml:space="preserve"> emphasises that what he means by solidarity is not a pre-existing kind of social context</w:t>
      </w:r>
      <w:r w:rsidR="003D5AD9">
        <w:rPr>
          <w:rFonts w:ascii="Times New Roman" w:hAnsi="Times New Roman" w:cs="Times New Roman"/>
          <w:sz w:val="22"/>
          <w:szCs w:val="22"/>
        </w:rPr>
        <w:t xml:space="preserve"> or bond</w:t>
      </w:r>
      <w:r w:rsidR="00105462">
        <w:rPr>
          <w:rFonts w:ascii="Times New Roman" w:hAnsi="Times New Roman" w:cs="Times New Roman"/>
          <w:sz w:val="22"/>
          <w:szCs w:val="22"/>
        </w:rPr>
        <w:t xml:space="preserve"> but rather something much more creative </w:t>
      </w:r>
      <w:r w:rsidR="00BF5785">
        <w:rPr>
          <w:rFonts w:ascii="Times New Roman" w:hAnsi="Times New Roman" w:cs="Times New Roman"/>
          <w:sz w:val="22"/>
          <w:szCs w:val="22"/>
        </w:rPr>
        <w:t>or productive: ‘solidarity does not refer to an existing social context but to one which, although presupposed, has to be created through politics’</w:t>
      </w:r>
      <w:r w:rsidR="007320BF">
        <w:rPr>
          <w:rFonts w:ascii="Times New Roman" w:hAnsi="Times New Roman" w:cs="Times New Roman"/>
          <w:sz w:val="22"/>
          <w:szCs w:val="22"/>
        </w:rPr>
        <w:t xml:space="preserve"> (</w:t>
      </w:r>
      <w:proofErr w:type="spellStart"/>
      <w:r w:rsidR="007320BF">
        <w:rPr>
          <w:rFonts w:ascii="Times New Roman" w:hAnsi="Times New Roman" w:cs="Times New Roman"/>
          <w:sz w:val="22"/>
          <w:szCs w:val="22"/>
        </w:rPr>
        <w:t>Habermas</w:t>
      </w:r>
      <w:proofErr w:type="spellEnd"/>
      <w:r w:rsidR="007320BF">
        <w:rPr>
          <w:rFonts w:ascii="Times New Roman" w:hAnsi="Times New Roman" w:cs="Times New Roman"/>
          <w:sz w:val="22"/>
          <w:szCs w:val="22"/>
        </w:rPr>
        <w:t>, 2015, 26)</w:t>
      </w:r>
      <w:r w:rsidR="00BF5785">
        <w:rPr>
          <w:rFonts w:ascii="Times New Roman" w:hAnsi="Times New Roman" w:cs="Times New Roman"/>
          <w:sz w:val="22"/>
          <w:szCs w:val="22"/>
        </w:rPr>
        <w:t>. This is important because it chimes to the earlier discussion about shifting understandings of constituent power</w:t>
      </w:r>
      <w:r w:rsidR="002752DE">
        <w:rPr>
          <w:rFonts w:ascii="Times New Roman" w:hAnsi="Times New Roman" w:cs="Times New Roman"/>
          <w:sz w:val="22"/>
          <w:szCs w:val="22"/>
        </w:rPr>
        <w:t>; presented</w:t>
      </w:r>
      <w:r w:rsidR="00BF5785">
        <w:rPr>
          <w:rFonts w:ascii="Times New Roman" w:hAnsi="Times New Roman" w:cs="Times New Roman"/>
          <w:sz w:val="22"/>
          <w:szCs w:val="22"/>
        </w:rPr>
        <w:t xml:space="preserve"> not as a distinct and isolated</w:t>
      </w:r>
      <w:r w:rsidR="003D5AD9">
        <w:rPr>
          <w:rFonts w:ascii="Times New Roman" w:hAnsi="Times New Roman" w:cs="Times New Roman"/>
          <w:sz w:val="22"/>
          <w:szCs w:val="22"/>
        </w:rPr>
        <w:t xml:space="preserve"> (mythic)</w:t>
      </w:r>
      <w:r w:rsidR="00BF5785">
        <w:rPr>
          <w:rFonts w:ascii="Times New Roman" w:hAnsi="Times New Roman" w:cs="Times New Roman"/>
          <w:sz w:val="22"/>
          <w:szCs w:val="22"/>
        </w:rPr>
        <w:t xml:space="preserve"> moment which founds the legal order </w:t>
      </w:r>
      <w:r w:rsidR="002752DE">
        <w:rPr>
          <w:rFonts w:ascii="Times New Roman" w:hAnsi="Times New Roman" w:cs="Times New Roman"/>
          <w:sz w:val="22"/>
          <w:szCs w:val="22"/>
        </w:rPr>
        <w:t xml:space="preserve">but rather </w:t>
      </w:r>
      <w:r w:rsidR="00BF5785">
        <w:rPr>
          <w:rFonts w:ascii="Times New Roman" w:hAnsi="Times New Roman" w:cs="Times New Roman"/>
          <w:sz w:val="22"/>
          <w:szCs w:val="22"/>
        </w:rPr>
        <w:t xml:space="preserve">a </w:t>
      </w:r>
      <w:r w:rsidR="00A72829">
        <w:rPr>
          <w:rFonts w:ascii="Times New Roman" w:hAnsi="Times New Roman" w:cs="Times New Roman"/>
          <w:sz w:val="22"/>
          <w:szCs w:val="22"/>
        </w:rPr>
        <w:t xml:space="preserve">continuous exercise of exploring and re-founding the meaning (and reciprocal solidarities) of the political community. </w:t>
      </w:r>
      <w:r w:rsidR="002752DE">
        <w:rPr>
          <w:rFonts w:ascii="Times New Roman" w:hAnsi="Times New Roman" w:cs="Times New Roman"/>
          <w:sz w:val="22"/>
          <w:szCs w:val="22"/>
        </w:rPr>
        <w:t xml:space="preserve">Employing the language of an </w:t>
      </w:r>
      <w:r w:rsidR="005A1A96">
        <w:rPr>
          <w:rFonts w:ascii="Times New Roman" w:hAnsi="Times New Roman" w:cs="Times New Roman"/>
          <w:i/>
          <w:sz w:val="22"/>
          <w:szCs w:val="22"/>
        </w:rPr>
        <w:t xml:space="preserve">ethics </w:t>
      </w:r>
      <w:r w:rsidR="005A1A96">
        <w:rPr>
          <w:rFonts w:ascii="Times New Roman" w:hAnsi="Times New Roman" w:cs="Times New Roman"/>
          <w:sz w:val="22"/>
          <w:szCs w:val="22"/>
        </w:rPr>
        <w:t xml:space="preserve">in the way we come to reciprocal social solidarities, or </w:t>
      </w:r>
      <w:proofErr w:type="spellStart"/>
      <w:r w:rsidR="005A1A96">
        <w:rPr>
          <w:rFonts w:ascii="Times New Roman" w:hAnsi="Times New Roman" w:cs="Times New Roman"/>
          <w:i/>
          <w:sz w:val="22"/>
          <w:szCs w:val="22"/>
        </w:rPr>
        <w:t>Sittlichkeit</w:t>
      </w:r>
      <w:proofErr w:type="spellEnd"/>
      <w:r w:rsidR="005A1A96">
        <w:rPr>
          <w:rFonts w:ascii="Times New Roman" w:hAnsi="Times New Roman" w:cs="Times New Roman"/>
          <w:sz w:val="22"/>
          <w:szCs w:val="22"/>
        </w:rPr>
        <w:t>,</w:t>
      </w:r>
      <w:r w:rsidR="005A1A96">
        <w:rPr>
          <w:rFonts w:ascii="Times New Roman" w:hAnsi="Times New Roman" w:cs="Times New Roman"/>
          <w:i/>
          <w:sz w:val="22"/>
          <w:szCs w:val="22"/>
        </w:rPr>
        <w:t xml:space="preserve"> </w:t>
      </w:r>
      <w:proofErr w:type="spellStart"/>
      <w:r w:rsidR="005A1A96">
        <w:rPr>
          <w:rFonts w:ascii="Times New Roman" w:hAnsi="Times New Roman" w:cs="Times New Roman"/>
          <w:sz w:val="22"/>
          <w:szCs w:val="22"/>
        </w:rPr>
        <w:t>Habermas</w:t>
      </w:r>
      <w:proofErr w:type="spellEnd"/>
      <w:r w:rsidR="005A1A96">
        <w:rPr>
          <w:rFonts w:ascii="Times New Roman" w:hAnsi="Times New Roman" w:cs="Times New Roman"/>
          <w:sz w:val="22"/>
          <w:szCs w:val="22"/>
        </w:rPr>
        <w:t xml:space="preserve"> understands that solidarity </w:t>
      </w:r>
      <w:r w:rsidR="007A44B7">
        <w:rPr>
          <w:rFonts w:ascii="Times New Roman" w:hAnsi="Times New Roman" w:cs="Times New Roman"/>
          <w:sz w:val="22"/>
          <w:szCs w:val="22"/>
        </w:rPr>
        <w:t>is not as rigid as</w:t>
      </w:r>
      <w:r w:rsidR="005A1A96">
        <w:rPr>
          <w:rFonts w:ascii="Times New Roman" w:hAnsi="Times New Roman" w:cs="Times New Roman"/>
          <w:sz w:val="22"/>
          <w:szCs w:val="22"/>
        </w:rPr>
        <w:t xml:space="preserve"> moral or rule bound response</w:t>
      </w:r>
      <w:r w:rsidR="007A44B7">
        <w:rPr>
          <w:rFonts w:ascii="Times New Roman" w:hAnsi="Times New Roman" w:cs="Times New Roman"/>
          <w:sz w:val="22"/>
          <w:szCs w:val="22"/>
        </w:rPr>
        <w:t>s</w:t>
      </w:r>
      <w:r w:rsidR="005A1A96">
        <w:rPr>
          <w:rFonts w:ascii="Times New Roman" w:hAnsi="Times New Roman" w:cs="Times New Roman"/>
          <w:sz w:val="22"/>
          <w:szCs w:val="22"/>
        </w:rPr>
        <w:t xml:space="preserve"> but becomes a means of, ‘refer[</w:t>
      </w:r>
      <w:proofErr w:type="spellStart"/>
      <w:r w:rsidR="005A1A96">
        <w:rPr>
          <w:rFonts w:ascii="Times New Roman" w:hAnsi="Times New Roman" w:cs="Times New Roman"/>
          <w:sz w:val="22"/>
          <w:szCs w:val="22"/>
        </w:rPr>
        <w:t>ing</w:t>
      </w:r>
      <w:proofErr w:type="spellEnd"/>
      <w:r w:rsidR="005A1A96">
        <w:rPr>
          <w:rFonts w:ascii="Times New Roman" w:hAnsi="Times New Roman" w:cs="Times New Roman"/>
          <w:sz w:val="22"/>
          <w:szCs w:val="22"/>
        </w:rPr>
        <w:t>] to an interest in the integrity of a shared form of life that includes one’s own well-being’</w:t>
      </w:r>
      <w:r w:rsidR="007320BF">
        <w:rPr>
          <w:rFonts w:ascii="Times New Roman" w:hAnsi="Times New Roman" w:cs="Times New Roman"/>
          <w:sz w:val="22"/>
          <w:szCs w:val="22"/>
        </w:rPr>
        <w:t xml:space="preserve"> (</w:t>
      </w:r>
      <w:proofErr w:type="spellStart"/>
      <w:r w:rsidR="007320BF">
        <w:rPr>
          <w:rFonts w:ascii="Times New Roman" w:hAnsi="Times New Roman" w:cs="Times New Roman"/>
          <w:sz w:val="22"/>
          <w:szCs w:val="22"/>
        </w:rPr>
        <w:t>Habermas</w:t>
      </w:r>
      <w:proofErr w:type="spellEnd"/>
      <w:r w:rsidR="007320BF">
        <w:rPr>
          <w:rFonts w:ascii="Times New Roman" w:hAnsi="Times New Roman" w:cs="Times New Roman"/>
          <w:sz w:val="22"/>
          <w:szCs w:val="22"/>
        </w:rPr>
        <w:t xml:space="preserve">, 2015, 26). </w:t>
      </w:r>
      <w:r w:rsidR="00C221B8">
        <w:rPr>
          <w:rFonts w:ascii="Times New Roman" w:hAnsi="Times New Roman" w:cs="Times New Roman"/>
          <w:sz w:val="22"/>
          <w:szCs w:val="22"/>
        </w:rPr>
        <w:t>I</w:t>
      </w:r>
      <w:r w:rsidR="00A40269">
        <w:rPr>
          <w:rFonts w:ascii="Times New Roman" w:hAnsi="Times New Roman" w:cs="Times New Roman"/>
          <w:sz w:val="22"/>
          <w:szCs w:val="22"/>
        </w:rPr>
        <w:t>mplicit</w:t>
      </w:r>
      <w:r w:rsidR="00C221B8">
        <w:rPr>
          <w:rFonts w:ascii="Times New Roman" w:hAnsi="Times New Roman" w:cs="Times New Roman"/>
          <w:sz w:val="22"/>
          <w:szCs w:val="22"/>
        </w:rPr>
        <w:t xml:space="preserve"> in such an approach </w:t>
      </w:r>
      <w:r w:rsidR="007A44B7">
        <w:rPr>
          <w:rFonts w:ascii="Times New Roman" w:hAnsi="Times New Roman" w:cs="Times New Roman"/>
          <w:sz w:val="22"/>
          <w:szCs w:val="22"/>
        </w:rPr>
        <w:t>is the importance</w:t>
      </w:r>
      <w:r w:rsidR="00C221B8">
        <w:rPr>
          <w:rFonts w:ascii="Times New Roman" w:hAnsi="Times New Roman" w:cs="Times New Roman"/>
          <w:sz w:val="22"/>
          <w:szCs w:val="22"/>
        </w:rPr>
        <w:t xml:space="preserve"> of language</w:t>
      </w:r>
      <w:r w:rsidR="007A44B7">
        <w:rPr>
          <w:rFonts w:ascii="Times New Roman" w:hAnsi="Times New Roman" w:cs="Times New Roman"/>
          <w:sz w:val="22"/>
          <w:szCs w:val="22"/>
        </w:rPr>
        <w:t xml:space="preserve"> in coming to an understanding of political solidarity</w:t>
      </w:r>
      <w:r w:rsidR="00C221B8">
        <w:rPr>
          <w:rFonts w:ascii="Times New Roman" w:hAnsi="Times New Roman" w:cs="Times New Roman"/>
          <w:sz w:val="22"/>
          <w:szCs w:val="22"/>
        </w:rPr>
        <w:t xml:space="preserve"> and the expression of the reciprocal relationships integral to the constitution of a pol</w:t>
      </w:r>
      <w:r w:rsidR="00A40269">
        <w:rPr>
          <w:rFonts w:ascii="Times New Roman" w:hAnsi="Times New Roman" w:cs="Times New Roman"/>
          <w:sz w:val="22"/>
          <w:szCs w:val="22"/>
        </w:rPr>
        <w:t xml:space="preserve">itical community. </w:t>
      </w:r>
      <w:r w:rsidR="001F3EE8" w:rsidRPr="00EA5C2A">
        <w:rPr>
          <w:rFonts w:ascii="Times New Roman" w:hAnsi="Times New Roman" w:cs="Times New Roman"/>
          <w:sz w:val="22"/>
          <w:szCs w:val="22"/>
        </w:rPr>
        <w:t>This, of course, follows a</w:t>
      </w:r>
      <w:r w:rsidR="00DE08EF" w:rsidRPr="00EA5C2A">
        <w:rPr>
          <w:rFonts w:ascii="Times New Roman" w:hAnsi="Times New Roman" w:cs="Times New Roman"/>
          <w:sz w:val="22"/>
          <w:szCs w:val="22"/>
        </w:rPr>
        <w:t xml:space="preserve"> long trajectory</w:t>
      </w:r>
      <w:r w:rsidR="001F3EE8" w:rsidRPr="00EA5C2A">
        <w:rPr>
          <w:rFonts w:ascii="Times New Roman" w:hAnsi="Times New Roman" w:cs="Times New Roman"/>
          <w:sz w:val="22"/>
          <w:szCs w:val="22"/>
        </w:rPr>
        <w:t xml:space="preserve"> in </w:t>
      </w:r>
      <w:proofErr w:type="spellStart"/>
      <w:r w:rsidR="001F3EE8" w:rsidRPr="00EA5C2A">
        <w:rPr>
          <w:rFonts w:ascii="Times New Roman" w:hAnsi="Times New Roman" w:cs="Times New Roman"/>
          <w:sz w:val="22"/>
          <w:szCs w:val="22"/>
        </w:rPr>
        <w:t>Habermas’s</w:t>
      </w:r>
      <w:proofErr w:type="spellEnd"/>
      <w:r w:rsidR="001F3EE8" w:rsidRPr="00EA5C2A">
        <w:rPr>
          <w:rFonts w:ascii="Times New Roman" w:hAnsi="Times New Roman" w:cs="Times New Roman"/>
          <w:sz w:val="22"/>
          <w:szCs w:val="22"/>
        </w:rPr>
        <w:t xml:space="preserve"> work through a theory of action (</w:t>
      </w:r>
      <w:r w:rsidR="001F3EE8" w:rsidRPr="00EA5C2A">
        <w:rPr>
          <w:rFonts w:ascii="Times New Roman" w:hAnsi="Times New Roman" w:cs="Times New Roman"/>
          <w:i/>
          <w:sz w:val="22"/>
          <w:szCs w:val="22"/>
        </w:rPr>
        <w:t>praxis</w:t>
      </w:r>
      <w:r w:rsidR="001F3EE8" w:rsidRPr="00EA5C2A">
        <w:rPr>
          <w:rFonts w:ascii="Times New Roman" w:hAnsi="Times New Roman" w:cs="Times New Roman"/>
          <w:sz w:val="22"/>
          <w:szCs w:val="22"/>
        </w:rPr>
        <w:t xml:space="preserve">) being combined with an ethical account of linguistic </w:t>
      </w:r>
      <w:r w:rsidR="0000487D" w:rsidRPr="00EA5C2A">
        <w:rPr>
          <w:rFonts w:ascii="Times New Roman" w:hAnsi="Times New Roman" w:cs="Times New Roman"/>
          <w:sz w:val="22"/>
          <w:szCs w:val="22"/>
        </w:rPr>
        <w:t>interpersonal and social</w:t>
      </w:r>
      <w:r w:rsidR="00DE08EF" w:rsidRPr="00EA5C2A">
        <w:rPr>
          <w:rFonts w:ascii="Times New Roman" w:hAnsi="Times New Roman" w:cs="Times New Roman"/>
          <w:sz w:val="22"/>
          <w:szCs w:val="22"/>
        </w:rPr>
        <w:t xml:space="preserve"> </w:t>
      </w:r>
      <w:r w:rsidR="001F3EE8" w:rsidRPr="00EA5C2A">
        <w:rPr>
          <w:rFonts w:ascii="Times New Roman" w:hAnsi="Times New Roman" w:cs="Times New Roman"/>
          <w:sz w:val="22"/>
          <w:szCs w:val="22"/>
        </w:rPr>
        <w:t>communication or dialogue (</w:t>
      </w:r>
      <w:proofErr w:type="spellStart"/>
      <w:r w:rsidR="001F3EE8" w:rsidRPr="00EA5C2A">
        <w:rPr>
          <w:rFonts w:ascii="Times New Roman" w:hAnsi="Times New Roman" w:cs="Times New Roman"/>
          <w:sz w:val="22"/>
          <w:szCs w:val="22"/>
        </w:rPr>
        <w:t>Habermas</w:t>
      </w:r>
      <w:proofErr w:type="spellEnd"/>
      <w:r w:rsidR="001F3EE8" w:rsidRPr="00EA5C2A">
        <w:rPr>
          <w:rFonts w:ascii="Times New Roman" w:hAnsi="Times New Roman" w:cs="Times New Roman"/>
          <w:sz w:val="22"/>
          <w:szCs w:val="22"/>
        </w:rPr>
        <w:t>, 1981).</w:t>
      </w:r>
      <w:r w:rsidR="001F3EE8">
        <w:rPr>
          <w:rFonts w:ascii="Times New Roman" w:hAnsi="Times New Roman" w:cs="Times New Roman"/>
          <w:sz w:val="22"/>
          <w:szCs w:val="22"/>
        </w:rPr>
        <w:t xml:space="preserve"> </w:t>
      </w:r>
      <w:r w:rsidR="003D5AD9" w:rsidRPr="00EA5C2A">
        <w:rPr>
          <w:rFonts w:ascii="Times New Roman" w:hAnsi="Times New Roman" w:cs="Times New Roman"/>
          <w:sz w:val="22"/>
          <w:szCs w:val="22"/>
          <w:highlight w:val="yellow"/>
        </w:rPr>
        <w:t>Furthermore</w:t>
      </w:r>
      <w:r w:rsidR="00EA5C2A" w:rsidRPr="00EA5C2A">
        <w:rPr>
          <w:rFonts w:ascii="Times New Roman" w:hAnsi="Times New Roman" w:cs="Times New Roman"/>
          <w:sz w:val="22"/>
          <w:szCs w:val="22"/>
          <w:highlight w:val="yellow"/>
        </w:rPr>
        <w:t>,</w:t>
      </w:r>
      <w:r w:rsidR="003D5AD9" w:rsidRPr="00EA5C2A">
        <w:rPr>
          <w:rFonts w:ascii="Times New Roman" w:hAnsi="Times New Roman" w:cs="Times New Roman"/>
          <w:sz w:val="22"/>
          <w:szCs w:val="22"/>
          <w:highlight w:val="yellow"/>
        </w:rPr>
        <w:t xml:space="preserve"> such a stance</w:t>
      </w:r>
      <w:r w:rsidR="00A40269" w:rsidRPr="00EA5C2A">
        <w:rPr>
          <w:rFonts w:ascii="Times New Roman" w:hAnsi="Times New Roman" w:cs="Times New Roman"/>
          <w:sz w:val="22"/>
          <w:szCs w:val="22"/>
          <w:highlight w:val="yellow"/>
        </w:rPr>
        <w:t xml:space="preserve"> resonates with the ‘strong evaluations’ developed in the context of the role of language in constituting the meaning of social practices in Charles Taylor’s work; </w:t>
      </w:r>
      <w:r w:rsidR="00E75340" w:rsidRPr="00EA5C2A">
        <w:rPr>
          <w:rFonts w:ascii="Times New Roman" w:hAnsi="Times New Roman" w:cs="Times New Roman"/>
          <w:sz w:val="22"/>
          <w:szCs w:val="22"/>
          <w:highlight w:val="yellow"/>
        </w:rPr>
        <w:t>any expression of solidarity which is to provide the basis of ethical reciprocity must be able to convey the actuality of shared experiences in the form of political life which ‘technocracy’ is unable to.</w:t>
      </w:r>
      <w:r w:rsidR="00E75340">
        <w:rPr>
          <w:rFonts w:ascii="Times New Roman" w:hAnsi="Times New Roman" w:cs="Times New Roman"/>
          <w:sz w:val="22"/>
          <w:szCs w:val="22"/>
        </w:rPr>
        <w:t xml:space="preserve"> </w:t>
      </w:r>
    </w:p>
    <w:p w14:paraId="46D7014E" w14:textId="3C958A08" w:rsidR="007A44B7" w:rsidRDefault="00484911"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In the context of the current</w:t>
      </w:r>
      <w:r w:rsidR="005C4F41">
        <w:rPr>
          <w:rFonts w:ascii="Times New Roman" w:hAnsi="Times New Roman" w:cs="Times New Roman"/>
          <w:sz w:val="22"/>
          <w:szCs w:val="22"/>
        </w:rPr>
        <w:t xml:space="preserve"> economic crisis solidarity</w:t>
      </w:r>
      <w:r>
        <w:rPr>
          <w:rFonts w:ascii="Times New Roman" w:hAnsi="Times New Roman" w:cs="Times New Roman"/>
          <w:sz w:val="22"/>
          <w:szCs w:val="22"/>
        </w:rPr>
        <w:t xml:space="preserve"> becomes a shared perspective on growth and competitiveness in the EU as well as an appreciation about how the crisis has impacted upon the marginalized and vulnerable. </w:t>
      </w:r>
      <w:proofErr w:type="spellStart"/>
      <w:r w:rsidR="005C4F41">
        <w:rPr>
          <w:rFonts w:ascii="Times New Roman" w:hAnsi="Times New Roman" w:cs="Times New Roman"/>
          <w:sz w:val="22"/>
          <w:szCs w:val="22"/>
        </w:rPr>
        <w:t>Habermas</w:t>
      </w:r>
      <w:proofErr w:type="spellEnd"/>
      <w:r w:rsidR="005C4F41">
        <w:rPr>
          <w:rFonts w:ascii="Times New Roman" w:hAnsi="Times New Roman" w:cs="Times New Roman"/>
          <w:sz w:val="22"/>
          <w:szCs w:val="22"/>
        </w:rPr>
        <w:t xml:space="preserve"> cites, as a particular example, the relationship between solidarity and political justice during the Portuguese ‘bailout programme’ </w:t>
      </w:r>
      <w:r w:rsidR="005B203F">
        <w:rPr>
          <w:rFonts w:ascii="Times New Roman" w:hAnsi="Times New Roman" w:cs="Times New Roman"/>
          <w:sz w:val="22"/>
          <w:szCs w:val="22"/>
        </w:rPr>
        <w:t>when the Portuguese President referred aspects of the austerity measures introduced by the government to the Constitutional Court because it raised important question regarding the overall justice of the proposed cuts and how these were to be distributed between public and private sector workers</w:t>
      </w:r>
      <w:r w:rsidR="005B203F" w:rsidRPr="00EA5C2A">
        <w:rPr>
          <w:rFonts w:ascii="Times New Roman" w:hAnsi="Times New Roman" w:cs="Times New Roman"/>
          <w:sz w:val="22"/>
          <w:szCs w:val="22"/>
        </w:rPr>
        <w:t>.</w:t>
      </w:r>
      <w:r w:rsidR="001F3EE8" w:rsidRPr="00EA5C2A">
        <w:rPr>
          <w:rFonts w:ascii="Times New Roman" w:hAnsi="Times New Roman" w:cs="Times New Roman"/>
          <w:sz w:val="22"/>
          <w:szCs w:val="22"/>
        </w:rPr>
        <w:t xml:space="preserve"> Decided in </w:t>
      </w:r>
      <w:r w:rsidR="0000487D" w:rsidRPr="00EA5C2A">
        <w:rPr>
          <w:rFonts w:ascii="Times New Roman" w:hAnsi="Times New Roman" w:cs="Times New Roman"/>
          <w:sz w:val="22"/>
          <w:szCs w:val="22"/>
        </w:rPr>
        <w:t>April 2013 the Constitutional Court outlined how various parts of the Government’s proposed budget, in response to the bailout programme, violated aspects of the</w:t>
      </w:r>
      <w:r w:rsidR="002B6A10" w:rsidRPr="00EA5C2A">
        <w:rPr>
          <w:rFonts w:ascii="Times New Roman" w:hAnsi="Times New Roman" w:cs="Times New Roman"/>
          <w:sz w:val="22"/>
          <w:szCs w:val="22"/>
        </w:rPr>
        <w:t xml:space="preserve"> Constitution, particularly in relation to the unequal treatment between public and private sector retirees.</w:t>
      </w:r>
      <w:r w:rsidR="002B6A10" w:rsidRPr="00EA5C2A">
        <w:rPr>
          <w:rStyle w:val="FootnoteReference"/>
          <w:rFonts w:ascii="Times New Roman" w:hAnsi="Times New Roman" w:cs="Times New Roman"/>
          <w:sz w:val="22"/>
          <w:szCs w:val="22"/>
        </w:rPr>
        <w:footnoteReference w:id="5"/>
      </w:r>
      <w:r w:rsidR="0000487D">
        <w:rPr>
          <w:rFonts w:ascii="Times New Roman" w:hAnsi="Times New Roman" w:cs="Times New Roman"/>
          <w:sz w:val="22"/>
          <w:szCs w:val="22"/>
        </w:rPr>
        <w:t xml:space="preserve"> </w:t>
      </w:r>
      <w:r w:rsidR="005B203F">
        <w:rPr>
          <w:rFonts w:ascii="Times New Roman" w:hAnsi="Times New Roman" w:cs="Times New Roman"/>
          <w:sz w:val="22"/>
          <w:szCs w:val="22"/>
        </w:rPr>
        <w:t>The inter-relationship</w:t>
      </w:r>
      <w:r w:rsidR="007A44B7">
        <w:rPr>
          <w:rFonts w:ascii="Times New Roman" w:hAnsi="Times New Roman" w:cs="Times New Roman"/>
          <w:sz w:val="22"/>
          <w:szCs w:val="22"/>
        </w:rPr>
        <w:t>,</w:t>
      </w:r>
      <w:r w:rsidR="005B203F">
        <w:rPr>
          <w:rFonts w:ascii="Times New Roman" w:hAnsi="Times New Roman" w:cs="Times New Roman"/>
          <w:sz w:val="22"/>
          <w:szCs w:val="22"/>
        </w:rPr>
        <w:t xml:space="preserve"> highlighted by </w:t>
      </w:r>
      <w:proofErr w:type="spellStart"/>
      <w:r w:rsidR="005B203F">
        <w:rPr>
          <w:rFonts w:ascii="Times New Roman" w:hAnsi="Times New Roman" w:cs="Times New Roman"/>
          <w:sz w:val="22"/>
          <w:szCs w:val="22"/>
        </w:rPr>
        <w:t>Habermas</w:t>
      </w:r>
      <w:proofErr w:type="spellEnd"/>
      <w:r w:rsidR="007A44B7">
        <w:rPr>
          <w:rFonts w:ascii="Times New Roman" w:hAnsi="Times New Roman" w:cs="Times New Roman"/>
          <w:sz w:val="22"/>
          <w:szCs w:val="22"/>
        </w:rPr>
        <w:t>,</w:t>
      </w:r>
      <w:r w:rsidR="005B203F">
        <w:rPr>
          <w:rFonts w:ascii="Times New Roman" w:hAnsi="Times New Roman" w:cs="Times New Roman"/>
          <w:sz w:val="22"/>
          <w:szCs w:val="22"/>
        </w:rPr>
        <w:t xml:space="preserve"> between solidarity and the broader question of political justice, framed by the constitution, returns the analysis full square to </w:t>
      </w:r>
      <w:r w:rsidR="00FC3607">
        <w:rPr>
          <w:rFonts w:ascii="Times New Roman" w:hAnsi="Times New Roman" w:cs="Times New Roman"/>
          <w:sz w:val="22"/>
          <w:szCs w:val="22"/>
        </w:rPr>
        <w:t xml:space="preserve">focus on </w:t>
      </w:r>
      <w:r w:rsidR="005B203F">
        <w:rPr>
          <w:rFonts w:ascii="Times New Roman" w:hAnsi="Times New Roman" w:cs="Times New Roman"/>
          <w:sz w:val="22"/>
          <w:szCs w:val="22"/>
        </w:rPr>
        <w:t xml:space="preserve">the rule of law. </w:t>
      </w:r>
      <w:r w:rsidR="004105F5">
        <w:rPr>
          <w:rFonts w:ascii="Times New Roman" w:hAnsi="Times New Roman" w:cs="Times New Roman"/>
          <w:sz w:val="22"/>
          <w:szCs w:val="22"/>
        </w:rPr>
        <w:t>For in the example from Portugal we find the two kinds of dimensions of the rule of law</w:t>
      </w:r>
      <w:r w:rsidR="002B6A10">
        <w:rPr>
          <w:rFonts w:ascii="Times New Roman" w:hAnsi="Times New Roman" w:cs="Times New Roman"/>
          <w:sz w:val="22"/>
          <w:szCs w:val="22"/>
        </w:rPr>
        <w:t>,</w:t>
      </w:r>
      <w:r w:rsidR="004105F5">
        <w:rPr>
          <w:rFonts w:ascii="Times New Roman" w:hAnsi="Times New Roman" w:cs="Times New Roman"/>
          <w:sz w:val="22"/>
          <w:szCs w:val="22"/>
        </w:rPr>
        <w:t xml:space="preserve"> referred to at the outset of the paper</w:t>
      </w:r>
      <w:r w:rsidR="002B6A10">
        <w:rPr>
          <w:rFonts w:ascii="Times New Roman" w:hAnsi="Times New Roman" w:cs="Times New Roman"/>
          <w:sz w:val="22"/>
          <w:szCs w:val="22"/>
        </w:rPr>
        <w:t>,</w:t>
      </w:r>
      <w:r w:rsidR="004105F5">
        <w:rPr>
          <w:rFonts w:ascii="Times New Roman" w:hAnsi="Times New Roman" w:cs="Times New Roman"/>
          <w:sz w:val="22"/>
          <w:szCs w:val="22"/>
        </w:rPr>
        <w:t xml:space="preserve"> and as a result it is possible to </w:t>
      </w:r>
      <w:r w:rsidR="004105F5">
        <w:rPr>
          <w:rFonts w:ascii="Times New Roman" w:hAnsi="Times New Roman" w:cs="Times New Roman"/>
          <w:sz w:val="22"/>
          <w:szCs w:val="22"/>
        </w:rPr>
        <w:lastRenderedPageBreak/>
        <w:t xml:space="preserve">understand the critical importance of both. In the first instance, the President’s referral to the Constitutional Court is an illustration of the </w:t>
      </w:r>
      <w:r w:rsidR="00B06DFA">
        <w:rPr>
          <w:rFonts w:ascii="Times New Roman" w:hAnsi="Times New Roman" w:cs="Times New Roman"/>
          <w:sz w:val="22"/>
          <w:szCs w:val="22"/>
        </w:rPr>
        <w:t>regulatory function of the rule of law – should the proposed austerity measures be restrained or limited by specific rules or substantive principles enshrined in the Constitution? Additionally,</w:t>
      </w:r>
      <w:r w:rsidR="00AE7CCF">
        <w:rPr>
          <w:rFonts w:ascii="Times New Roman" w:hAnsi="Times New Roman" w:cs="Times New Roman"/>
          <w:sz w:val="22"/>
          <w:szCs w:val="22"/>
        </w:rPr>
        <w:t xml:space="preserve"> </w:t>
      </w:r>
      <w:r w:rsidR="007A44B7">
        <w:rPr>
          <w:rFonts w:ascii="Times New Roman" w:hAnsi="Times New Roman" w:cs="Times New Roman"/>
          <w:sz w:val="22"/>
          <w:szCs w:val="22"/>
        </w:rPr>
        <w:t xml:space="preserve">it </w:t>
      </w:r>
      <w:r w:rsidR="000C42CF">
        <w:rPr>
          <w:rFonts w:ascii="Times New Roman" w:hAnsi="Times New Roman" w:cs="Times New Roman"/>
          <w:sz w:val="22"/>
          <w:szCs w:val="22"/>
        </w:rPr>
        <w:t>can</w:t>
      </w:r>
      <w:r w:rsidR="00B06DFA">
        <w:rPr>
          <w:rFonts w:ascii="Times New Roman" w:hAnsi="Times New Roman" w:cs="Times New Roman"/>
          <w:sz w:val="22"/>
          <w:szCs w:val="22"/>
        </w:rPr>
        <w:t xml:space="preserve"> also demonstrate the wider significance of </w:t>
      </w:r>
      <w:r w:rsidR="009100B2">
        <w:rPr>
          <w:rFonts w:ascii="Times New Roman" w:hAnsi="Times New Roman" w:cs="Times New Roman"/>
          <w:sz w:val="22"/>
          <w:szCs w:val="22"/>
        </w:rPr>
        <w:t xml:space="preserve">the constitutive function of the rule of law -  do the austerity measures </w:t>
      </w:r>
      <w:r w:rsidR="00AE7CCF">
        <w:rPr>
          <w:rFonts w:ascii="Times New Roman" w:hAnsi="Times New Roman" w:cs="Times New Roman"/>
          <w:sz w:val="22"/>
          <w:szCs w:val="22"/>
        </w:rPr>
        <w:t>undermine the meaning of political justice which underpins the common commitment to the Constitution with the result that reciprocal solidarity is undermined? Whilst this latter question may be more elusive or open-ended it none the less critical to the rule of la</w:t>
      </w:r>
      <w:r w:rsidR="00B456C4">
        <w:rPr>
          <w:rFonts w:ascii="Times New Roman" w:hAnsi="Times New Roman" w:cs="Times New Roman"/>
          <w:sz w:val="22"/>
          <w:szCs w:val="22"/>
        </w:rPr>
        <w:t>w as argued for in this article. Equal</w:t>
      </w:r>
      <w:r w:rsidR="002B6A10">
        <w:rPr>
          <w:rFonts w:ascii="Times New Roman" w:hAnsi="Times New Roman" w:cs="Times New Roman"/>
          <w:sz w:val="22"/>
          <w:szCs w:val="22"/>
        </w:rPr>
        <w:t>ly, to respond to both these questions</w:t>
      </w:r>
      <w:r w:rsidR="00B456C4">
        <w:rPr>
          <w:rFonts w:ascii="Times New Roman" w:hAnsi="Times New Roman" w:cs="Times New Roman"/>
          <w:sz w:val="22"/>
          <w:szCs w:val="22"/>
        </w:rPr>
        <w:t xml:space="preserve"> performs the critical task of getting a sense of the constitutional bearings, or points orientation, around which the political community is able to </w:t>
      </w:r>
      <w:r w:rsidR="00AC7139">
        <w:rPr>
          <w:rFonts w:ascii="Times New Roman" w:hAnsi="Times New Roman" w:cs="Times New Roman"/>
          <w:sz w:val="22"/>
          <w:szCs w:val="22"/>
        </w:rPr>
        <w:t>gauge how the economic measures will affect constitutional commitments to each other as aspects of mutual reciprocity</w:t>
      </w:r>
      <w:r w:rsidR="003D5AD9">
        <w:rPr>
          <w:rFonts w:ascii="Times New Roman" w:hAnsi="Times New Roman" w:cs="Times New Roman"/>
          <w:sz w:val="22"/>
          <w:szCs w:val="22"/>
        </w:rPr>
        <w:t xml:space="preserve"> </w:t>
      </w:r>
      <w:r w:rsidR="003D5AD9">
        <w:rPr>
          <w:rFonts w:ascii="Times New Roman" w:hAnsi="Times New Roman" w:cs="Times New Roman"/>
          <w:i/>
          <w:sz w:val="22"/>
          <w:szCs w:val="22"/>
        </w:rPr>
        <w:t xml:space="preserve">in the future </w:t>
      </w:r>
    </w:p>
    <w:p w14:paraId="4159EF31" w14:textId="5018B81C" w:rsidR="00CA157F" w:rsidRDefault="00CA157F"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For the EU the example </w:t>
      </w:r>
      <w:r w:rsidR="007A44B7">
        <w:rPr>
          <w:rFonts w:ascii="Times New Roman" w:hAnsi="Times New Roman" w:cs="Times New Roman"/>
          <w:sz w:val="22"/>
          <w:szCs w:val="22"/>
        </w:rPr>
        <w:t xml:space="preserve">of the Portuguese reference case </w:t>
      </w:r>
      <w:r>
        <w:rPr>
          <w:rFonts w:ascii="Times New Roman" w:hAnsi="Times New Roman" w:cs="Times New Roman"/>
          <w:sz w:val="22"/>
          <w:szCs w:val="22"/>
        </w:rPr>
        <w:t>is also highly salient as it demonstrates how a ‘technical’ solution arrived at by the key institutional actors can still be translated into questions of political justice and solidarity at a national l</w:t>
      </w:r>
      <w:r w:rsidR="002324A5">
        <w:rPr>
          <w:rFonts w:ascii="Times New Roman" w:hAnsi="Times New Roman" w:cs="Times New Roman"/>
          <w:sz w:val="22"/>
          <w:szCs w:val="22"/>
        </w:rPr>
        <w:t xml:space="preserve">evel. This must hold two kinds of key </w:t>
      </w:r>
      <w:r>
        <w:rPr>
          <w:rFonts w:ascii="Times New Roman" w:hAnsi="Times New Roman" w:cs="Times New Roman"/>
          <w:sz w:val="22"/>
          <w:szCs w:val="22"/>
        </w:rPr>
        <w:t xml:space="preserve">lessons: pragmatically the EU institutions must allow space for any technocratic solution arrived at to be adjusted by the concerns about </w:t>
      </w:r>
      <w:r w:rsidR="00457292">
        <w:rPr>
          <w:rFonts w:ascii="Times New Roman" w:hAnsi="Times New Roman" w:cs="Times New Roman"/>
          <w:sz w:val="22"/>
          <w:szCs w:val="22"/>
        </w:rPr>
        <w:t>political implementation at the national level (including legitimate demands of justice and solidarity)</w:t>
      </w:r>
      <w:r w:rsidR="00404703">
        <w:rPr>
          <w:rFonts w:ascii="Times New Roman" w:hAnsi="Times New Roman" w:cs="Times New Roman"/>
          <w:sz w:val="22"/>
          <w:szCs w:val="22"/>
        </w:rPr>
        <w:t xml:space="preserve">. </w:t>
      </w:r>
      <w:r w:rsidR="00404703" w:rsidRPr="004B6AE6">
        <w:rPr>
          <w:rFonts w:ascii="Times New Roman" w:hAnsi="Times New Roman" w:cs="Times New Roman"/>
          <w:sz w:val="22"/>
          <w:szCs w:val="22"/>
          <w:highlight w:val="yellow"/>
        </w:rPr>
        <w:t>This involves care and tact on the part of the</w:t>
      </w:r>
      <w:r w:rsidR="00ED5A97" w:rsidRPr="004B6AE6">
        <w:rPr>
          <w:rFonts w:ascii="Times New Roman" w:hAnsi="Times New Roman" w:cs="Times New Roman"/>
          <w:sz w:val="22"/>
          <w:szCs w:val="22"/>
          <w:highlight w:val="yellow"/>
        </w:rPr>
        <w:t xml:space="preserve"> EU institutions </w:t>
      </w:r>
      <w:r w:rsidR="00DC3C37" w:rsidRPr="004B6AE6">
        <w:rPr>
          <w:rFonts w:ascii="Times New Roman" w:hAnsi="Times New Roman" w:cs="Times New Roman"/>
          <w:sz w:val="22"/>
          <w:szCs w:val="22"/>
          <w:highlight w:val="yellow"/>
        </w:rPr>
        <w:t>to allow space for member state political</w:t>
      </w:r>
      <w:r w:rsidR="00ED5A97" w:rsidRPr="004B6AE6">
        <w:rPr>
          <w:rFonts w:ascii="Times New Roman" w:hAnsi="Times New Roman" w:cs="Times New Roman"/>
          <w:sz w:val="22"/>
          <w:szCs w:val="22"/>
          <w:highlight w:val="yellow"/>
        </w:rPr>
        <w:t xml:space="preserve"> institutions to be able to respond, and if necessary, adjust the demands made upon it</w:t>
      </w:r>
      <w:r w:rsidR="00404703" w:rsidRPr="004B6AE6">
        <w:rPr>
          <w:rFonts w:ascii="Times New Roman" w:hAnsi="Times New Roman" w:cs="Times New Roman"/>
          <w:sz w:val="22"/>
          <w:szCs w:val="22"/>
          <w:highlight w:val="yellow"/>
        </w:rPr>
        <w:t xml:space="preserve"> in order to meet the</w:t>
      </w:r>
      <w:r w:rsidR="00ED5A97" w:rsidRPr="004B6AE6">
        <w:rPr>
          <w:rFonts w:ascii="Times New Roman" w:hAnsi="Times New Roman" w:cs="Times New Roman"/>
          <w:sz w:val="22"/>
          <w:szCs w:val="22"/>
          <w:highlight w:val="yellow"/>
        </w:rPr>
        <w:t xml:space="preserve"> democratic</w:t>
      </w:r>
      <w:r w:rsidR="00404703" w:rsidRPr="004B6AE6">
        <w:rPr>
          <w:rFonts w:ascii="Times New Roman" w:hAnsi="Times New Roman" w:cs="Times New Roman"/>
          <w:sz w:val="22"/>
          <w:szCs w:val="22"/>
          <w:highlight w:val="yellow"/>
        </w:rPr>
        <w:t xml:space="preserve"> and constitutional</w:t>
      </w:r>
      <w:r w:rsidR="00ED5A97" w:rsidRPr="004B6AE6">
        <w:rPr>
          <w:rFonts w:ascii="Times New Roman" w:hAnsi="Times New Roman" w:cs="Times New Roman"/>
          <w:sz w:val="22"/>
          <w:szCs w:val="22"/>
          <w:highlight w:val="yellow"/>
        </w:rPr>
        <w:t xml:space="preserve"> concerns of due process.</w:t>
      </w:r>
      <w:r w:rsidR="00D553E5" w:rsidRPr="004B6AE6">
        <w:rPr>
          <w:rFonts w:ascii="Times New Roman" w:hAnsi="Times New Roman" w:cs="Times New Roman"/>
          <w:sz w:val="22"/>
          <w:szCs w:val="22"/>
          <w:highlight w:val="yellow"/>
        </w:rPr>
        <w:t xml:space="preserve"> </w:t>
      </w:r>
      <w:r w:rsidR="004B6AE6" w:rsidRPr="004B6AE6">
        <w:rPr>
          <w:rFonts w:ascii="Times New Roman" w:hAnsi="Times New Roman" w:cs="Times New Roman"/>
          <w:sz w:val="22"/>
          <w:szCs w:val="22"/>
          <w:highlight w:val="yellow"/>
        </w:rPr>
        <w:t>An issue that is</w:t>
      </w:r>
      <w:r w:rsidR="00D553E5" w:rsidRPr="004B6AE6">
        <w:rPr>
          <w:rFonts w:ascii="Times New Roman" w:hAnsi="Times New Roman" w:cs="Times New Roman"/>
          <w:sz w:val="22"/>
          <w:szCs w:val="22"/>
          <w:highlight w:val="yellow"/>
        </w:rPr>
        <w:t xml:space="preserve"> amplified by </w:t>
      </w:r>
      <w:proofErr w:type="spellStart"/>
      <w:r w:rsidR="00D553E5" w:rsidRPr="004B6AE6">
        <w:rPr>
          <w:rFonts w:ascii="Times New Roman" w:hAnsi="Times New Roman" w:cs="Times New Roman"/>
          <w:sz w:val="22"/>
          <w:szCs w:val="22"/>
          <w:highlight w:val="yellow"/>
        </w:rPr>
        <w:t>Tuor</w:t>
      </w:r>
      <w:r w:rsidR="002B5834">
        <w:rPr>
          <w:rFonts w:ascii="Times New Roman" w:hAnsi="Times New Roman" w:cs="Times New Roman"/>
          <w:sz w:val="22"/>
          <w:szCs w:val="22"/>
          <w:highlight w:val="yellow"/>
        </w:rPr>
        <w:t>i</w:t>
      </w:r>
      <w:proofErr w:type="spellEnd"/>
      <w:r w:rsidR="002B5834">
        <w:rPr>
          <w:rFonts w:ascii="Times New Roman" w:hAnsi="Times New Roman" w:cs="Times New Roman"/>
          <w:sz w:val="22"/>
          <w:szCs w:val="22"/>
          <w:highlight w:val="yellow"/>
        </w:rPr>
        <w:t xml:space="preserve"> and </w:t>
      </w:r>
      <w:proofErr w:type="spellStart"/>
      <w:r w:rsidR="002B5834">
        <w:rPr>
          <w:rFonts w:ascii="Times New Roman" w:hAnsi="Times New Roman" w:cs="Times New Roman"/>
          <w:sz w:val="22"/>
          <w:szCs w:val="22"/>
          <w:highlight w:val="yellow"/>
        </w:rPr>
        <w:t>Tuori</w:t>
      </w:r>
      <w:proofErr w:type="spellEnd"/>
      <w:r w:rsidR="002B5834">
        <w:rPr>
          <w:rFonts w:ascii="Times New Roman" w:hAnsi="Times New Roman" w:cs="Times New Roman"/>
          <w:sz w:val="22"/>
          <w:szCs w:val="22"/>
          <w:highlight w:val="yellow"/>
        </w:rPr>
        <w:t>, in a recent</w:t>
      </w:r>
      <w:r w:rsidR="002B5834" w:rsidRPr="002B5834">
        <w:rPr>
          <w:rFonts w:ascii="Times New Roman" w:hAnsi="Times New Roman" w:cs="Times New Roman"/>
          <w:sz w:val="22"/>
          <w:szCs w:val="22"/>
          <w:highlight w:val="yellow"/>
        </w:rPr>
        <w:t xml:space="preserve"> the crisis and its impact on the understanding of constitutionalism in the EU</w:t>
      </w:r>
      <w:r w:rsidR="002B5834">
        <w:rPr>
          <w:rFonts w:ascii="Times New Roman" w:hAnsi="Times New Roman" w:cs="Times New Roman"/>
          <w:sz w:val="22"/>
          <w:szCs w:val="22"/>
          <w:highlight w:val="yellow"/>
        </w:rPr>
        <w:t>,</w:t>
      </w:r>
      <w:r w:rsidR="002B5834" w:rsidRPr="002B5834">
        <w:rPr>
          <w:rFonts w:ascii="Times New Roman" w:hAnsi="Times New Roman" w:cs="Times New Roman"/>
          <w:sz w:val="22"/>
          <w:szCs w:val="22"/>
          <w:highlight w:val="yellow"/>
        </w:rPr>
        <w:t xml:space="preserve"> </w:t>
      </w:r>
      <w:r w:rsidR="002B5834">
        <w:rPr>
          <w:rFonts w:ascii="Times New Roman" w:hAnsi="Times New Roman" w:cs="Times New Roman"/>
          <w:sz w:val="22"/>
          <w:szCs w:val="22"/>
          <w:highlight w:val="yellow"/>
        </w:rPr>
        <w:t>underscoring</w:t>
      </w:r>
      <w:r w:rsidR="00D553E5" w:rsidRPr="004B6AE6">
        <w:rPr>
          <w:rFonts w:ascii="Times New Roman" w:hAnsi="Times New Roman" w:cs="Times New Roman"/>
          <w:sz w:val="22"/>
          <w:szCs w:val="22"/>
          <w:highlight w:val="yellow"/>
        </w:rPr>
        <w:t xml:space="preserve"> that national institutions (including constitutional courts) must be capable o</w:t>
      </w:r>
      <w:r w:rsidR="004B6AE6" w:rsidRPr="004B6AE6">
        <w:rPr>
          <w:rFonts w:ascii="Times New Roman" w:hAnsi="Times New Roman" w:cs="Times New Roman"/>
          <w:sz w:val="22"/>
          <w:szCs w:val="22"/>
          <w:highlight w:val="yellow"/>
        </w:rPr>
        <w:t>f engaging</w:t>
      </w:r>
      <w:r w:rsidR="00D553E5" w:rsidRPr="004B6AE6">
        <w:rPr>
          <w:rFonts w:ascii="Times New Roman" w:hAnsi="Times New Roman" w:cs="Times New Roman"/>
          <w:sz w:val="22"/>
          <w:szCs w:val="22"/>
          <w:highlight w:val="yellow"/>
        </w:rPr>
        <w:t xml:space="preserve"> </w:t>
      </w:r>
      <w:r w:rsidR="004B6AE6" w:rsidRPr="004B6AE6">
        <w:rPr>
          <w:rFonts w:ascii="Times New Roman" w:hAnsi="Times New Roman" w:cs="Times New Roman"/>
          <w:sz w:val="22"/>
          <w:szCs w:val="22"/>
          <w:highlight w:val="yellow"/>
        </w:rPr>
        <w:t>in the national constitutional dialogue but this should be</w:t>
      </w:r>
      <w:r w:rsidR="005E56C5">
        <w:rPr>
          <w:rFonts w:ascii="Times New Roman" w:hAnsi="Times New Roman" w:cs="Times New Roman"/>
          <w:sz w:val="22"/>
          <w:szCs w:val="22"/>
          <w:highlight w:val="yellow"/>
        </w:rPr>
        <w:t xml:space="preserve"> seen as being</w:t>
      </w:r>
      <w:r w:rsidR="004B6AE6" w:rsidRPr="004B6AE6">
        <w:rPr>
          <w:rFonts w:ascii="Times New Roman" w:hAnsi="Times New Roman" w:cs="Times New Roman"/>
          <w:sz w:val="22"/>
          <w:szCs w:val="22"/>
          <w:highlight w:val="yellow"/>
        </w:rPr>
        <w:t xml:space="preserve"> part of a</w:t>
      </w:r>
      <w:r w:rsidR="005E56C5">
        <w:rPr>
          <w:rFonts w:ascii="Times New Roman" w:hAnsi="Times New Roman" w:cs="Times New Roman"/>
          <w:sz w:val="22"/>
          <w:szCs w:val="22"/>
          <w:highlight w:val="yellow"/>
        </w:rPr>
        <w:t xml:space="preserve"> common</w:t>
      </w:r>
      <w:r w:rsidR="004B6AE6" w:rsidRPr="004B6AE6">
        <w:rPr>
          <w:rFonts w:ascii="Times New Roman" w:hAnsi="Times New Roman" w:cs="Times New Roman"/>
          <w:sz w:val="22"/>
          <w:szCs w:val="22"/>
          <w:highlight w:val="yellow"/>
        </w:rPr>
        <w:t xml:space="preserve"> European discourse (</w:t>
      </w:r>
      <w:proofErr w:type="spellStart"/>
      <w:r w:rsidR="004B6AE6" w:rsidRPr="004B6AE6">
        <w:rPr>
          <w:rFonts w:ascii="Times New Roman" w:hAnsi="Times New Roman" w:cs="Times New Roman"/>
          <w:sz w:val="22"/>
          <w:szCs w:val="22"/>
          <w:highlight w:val="yellow"/>
        </w:rPr>
        <w:t>Tuori</w:t>
      </w:r>
      <w:proofErr w:type="spellEnd"/>
      <w:r w:rsidR="004B6AE6" w:rsidRPr="004B6AE6">
        <w:rPr>
          <w:rFonts w:ascii="Times New Roman" w:hAnsi="Times New Roman" w:cs="Times New Roman"/>
          <w:sz w:val="22"/>
          <w:szCs w:val="22"/>
          <w:highlight w:val="yellow"/>
        </w:rPr>
        <w:t xml:space="preserve"> and </w:t>
      </w:r>
      <w:proofErr w:type="spellStart"/>
      <w:r w:rsidR="004B6AE6" w:rsidRPr="004B6AE6">
        <w:rPr>
          <w:rFonts w:ascii="Times New Roman" w:hAnsi="Times New Roman" w:cs="Times New Roman"/>
          <w:sz w:val="22"/>
          <w:szCs w:val="22"/>
          <w:highlight w:val="yellow"/>
        </w:rPr>
        <w:t>Tuori</w:t>
      </w:r>
      <w:proofErr w:type="spellEnd"/>
      <w:r w:rsidR="004B6AE6" w:rsidRPr="004B6AE6">
        <w:rPr>
          <w:rFonts w:ascii="Times New Roman" w:hAnsi="Times New Roman" w:cs="Times New Roman"/>
          <w:sz w:val="22"/>
          <w:szCs w:val="22"/>
          <w:highlight w:val="yellow"/>
        </w:rPr>
        <w:t>, 2014</w:t>
      </w:r>
      <w:r w:rsidR="004B6AE6" w:rsidRPr="0098794A">
        <w:rPr>
          <w:rFonts w:ascii="Times New Roman" w:hAnsi="Times New Roman" w:cs="Times New Roman"/>
          <w:sz w:val="22"/>
          <w:szCs w:val="22"/>
          <w:highlight w:val="yellow"/>
        </w:rPr>
        <w:t xml:space="preserve">). </w:t>
      </w:r>
      <w:r w:rsidR="00DA65DE" w:rsidRPr="0098794A">
        <w:rPr>
          <w:rFonts w:ascii="Times New Roman" w:hAnsi="Times New Roman" w:cs="Times New Roman"/>
          <w:sz w:val="22"/>
          <w:szCs w:val="22"/>
          <w:highlight w:val="yellow"/>
        </w:rPr>
        <w:t>S</w:t>
      </w:r>
      <w:r w:rsidR="00457292" w:rsidRPr="0098794A">
        <w:rPr>
          <w:rFonts w:ascii="Times New Roman" w:hAnsi="Times New Roman" w:cs="Times New Roman"/>
          <w:sz w:val="22"/>
          <w:szCs w:val="22"/>
          <w:highlight w:val="yellow"/>
        </w:rPr>
        <w:t xml:space="preserve">econdly, the EU </w:t>
      </w:r>
      <w:r w:rsidR="00ED5D19" w:rsidRPr="0098794A">
        <w:rPr>
          <w:rFonts w:ascii="Times New Roman" w:hAnsi="Times New Roman" w:cs="Times New Roman"/>
          <w:sz w:val="22"/>
          <w:szCs w:val="22"/>
          <w:highlight w:val="yellow"/>
        </w:rPr>
        <w:t>must also be capable of providing</w:t>
      </w:r>
      <w:r w:rsidR="00457292" w:rsidRPr="0098794A">
        <w:rPr>
          <w:rFonts w:ascii="Times New Roman" w:hAnsi="Times New Roman" w:cs="Times New Roman"/>
          <w:sz w:val="22"/>
          <w:szCs w:val="22"/>
          <w:highlight w:val="yellow"/>
        </w:rPr>
        <w:t xml:space="preserve"> the underpinning of political reciprocity, justice a</w:t>
      </w:r>
      <w:r w:rsidR="00ED5D19" w:rsidRPr="0098794A">
        <w:rPr>
          <w:rFonts w:ascii="Times New Roman" w:hAnsi="Times New Roman" w:cs="Times New Roman"/>
          <w:sz w:val="22"/>
          <w:szCs w:val="22"/>
          <w:highlight w:val="yellow"/>
        </w:rPr>
        <w:t>nd solidarity as a response to</w:t>
      </w:r>
      <w:r w:rsidR="00BB2BDD" w:rsidRPr="0098794A">
        <w:rPr>
          <w:rFonts w:ascii="Times New Roman" w:hAnsi="Times New Roman" w:cs="Times New Roman"/>
          <w:sz w:val="22"/>
          <w:szCs w:val="22"/>
          <w:highlight w:val="yellow"/>
        </w:rPr>
        <w:t xml:space="preserve"> the</w:t>
      </w:r>
      <w:r w:rsidR="00ED5D19" w:rsidRPr="0098794A">
        <w:rPr>
          <w:rFonts w:ascii="Times New Roman" w:hAnsi="Times New Roman" w:cs="Times New Roman"/>
          <w:sz w:val="22"/>
          <w:szCs w:val="22"/>
          <w:highlight w:val="yellow"/>
        </w:rPr>
        <w:t xml:space="preserve"> economic crisis and its effect</w:t>
      </w:r>
      <w:r w:rsidR="00DA65DE" w:rsidRPr="0098794A">
        <w:rPr>
          <w:rFonts w:ascii="Times New Roman" w:hAnsi="Times New Roman" w:cs="Times New Roman"/>
          <w:sz w:val="22"/>
          <w:szCs w:val="22"/>
          <w:highlight w:val="yellow"/>
        </w:rPr>
        <w:t>s</w:t>
      </w:r>
      <w:r w:rsidR="00BB2BDD" w:rsidRPr="0098794A">
        <w:rPr>
          <w:rFonts w:ascii="Times New Roman" w:hAnsi="Times New Roman" w:cs="Times New Roman"/>
          <w:sz w:val="22"/>
          <w:szCs w:val="22"/>
          <w:highlight w:val="yellow"/>
        </w:rPr>
        <w:t xml:space="preserve"> </w:t>
      </w:r>
      <w:r w:rsidR="0098794A" w:rsidRPr="0098794A">
        <w:rPr>
          <w:rFonts w:ascii="Times New Roman" w:hAnsi="Times New Roman" w:cs="Times New Roman"/>
          <w:sz w:val="22"/>
          <w:szCs w:val="22"/>
          <w:highlight w:val="yellow"/>
        </w:rPr>
        <w:t>rather than assuming the constitutional and distributive costs of upholding the integrity of the Euro ‘at all costs’ fall squarely with the Member States. Such an approach places an undue burden on particular Member States but also enables the EU institutions to persist in the logic of ‘technocracy’ rather than confront the deeper questions abou</w:t>
      </w:r>
      <w:r w:rsidR="00736B5B">
        <w:rPr>
          <w:rFonts w:ascii="Times New Roman" w:hAnsi="Times New Roman" w:cs="Times New Roman"/>
          <w:sz w:val="22"/>
          <w:szCs w:val="22"/>
          <w:highlight w:val="yellow"/>
        </w:rPr>
        <w:t>t political solidarity that becomes part of a respons</w:t>
      </w:r>
      <w:r w:rsidR="00515B40">
        <w:rPr>
          <w:rFonts w:ascii="Times New Roman" w:hAnsi="Times New Roman" w:cs="Times New Roman"/>
          <w:sz w:val="22"/>
          <w:szCs w:val="22"/>
          <w:highlight w:val="yellow"/>
        </w:rPr>
        <w:t>e to the crisis and which can provide the basis for exploring the constitutive role of the rule of law during times of crisis.</w:t>
      </w:r>
      <w:r w:rsidR="003B0864">
        <w:rPr>
          <w:rFonts w:ascii="Times New Roman" w:hAnsi="Times New Roman" w:cs="Times New Roman"/>
          <w:sz w:val="22"/>
          <w:szCs w:val="22"/>
          <w:highlight w:val="yellow"/>
        </w:rPr>
        <w:t xml:space="preserve"> Unless the EU can change it will be unable to seize its own constitutional destiny in the economic crisis of the Eurozone. </w:t>
      </w:r>
      <w:r w:rsidR="00515B40">
        <w:rPr>
          <w:rFonts w:ascii="Times New Roman" w:hAnsi="Times New Roman" w:cs="Times New Roman"/>
          <w:sz w:val="22"/>
          <w:szCs w:val="22"/>
          <w:highlight w:val="yellow"/>
        </w:rPr>
        <w:t xml:space="preserve"> </w:t>
      </w:r>
    </w:p>
    <w:p w14:paraId="323A0D2F" w14:textId="77777777" w:rsidR="00AE7CCF" w:rsidRDefault="00AE7CCF" w:rsidP="007B7EB3">
      <w:pPr>
        <w:spacing w:line="360" w:lineRule="auto"/>
        <w:jc w:val="both"/>
        <w:rPr>
          <w:rFonts w:ascii="Times New Roman" w:hAnsi="Times New Roman" w:cs="Times New Roman"/>
          <w:b/>
          <w:sz w:val="22"/>
          <w:szCs w:val="22"/>
        </w:rPr>
      </w:pPr>
    </w:p>
    <w:p w14:paraId="78188A81" w14:textId="77777777" w:rsidR="00AE7CCF" w:rsidRPr="00AE7CCF" w:rsidRDefault="00AE7CCF" w:rsidP="007B7EB3">
      <w:pPr>
        <w:spacing w:line="360" w:lineRule="auto"/>
        <w:jc w:val="both"/>
        <w:rPr>
          <w:rFonts w:ascii="Times New Roman" w:hAnsi="Times New Roman" w:cs="Times New Roman"/>
          <w:b/>
          <w:sz w:val="22"/>
          <w:szCs w:val="22"/>
        </w:rPr>
      </w:pPr>
      <w:r>
        <w:rPr>
          <w:rFonts w:ascii="Times New Roman" w:hAnsi="Times New Roman" w:cs="Times New Roman"/>
          <w:b/>
          <w:sz w:val="22"/>
          <w:szCs w:val="22"/>
        </w:rPr>
        <w:t>5. Conclusions</w:t>
      </w:r>
    </w:p>
    <w:p w14:paraId="60866D2C" w14:textId="38257B24" w:rsidR="00FC2111" w:rsidRDefault="00CA157F"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This article</w:t>
      </w:r>
      <w:r w:rsidR="002942C9">
        <w:rPr>
          <w:rFonts w:ascii="Times New Roman" w:hAnsi="Times New Roman" w:cs="Times New Roman"/>
          <w:sz w:val="22"/>
          <w:szCs w:val="22"/>
        </w:rPr>
        <w:t xml:space="preserve"> began by</w:t>
      </w:r>
      <w:r>
        <w:rPr>
          <w:rFonts w:ascii="Times New Roman" w:hAnsi="Times New Roman" w:cs="Times New Roman"/>
          <w:sz w:val="22"/>
          <w:szCs w:val="22"/>
        </w:rPr>
        <w:t xml:space="preserve"> </w:t>
      </w:r>
      <w:r w:rsidR="002942C9">
        <w:rPr>
          <w:rFonts w:ascii="Times New Roman" w:hAnsi="Times New Roman" w:cs="Times New Roman"/>
          <w:sz w:val="22"/>
          <w:szCs w:val="22"/>
        </w:rPr>
        <w:t xml:space="preserve">exploring different understandings of the rule of law </w:t>
      </w:r>
      <w:r w:rsidR="008F280C">
        <w:rPr>
          <w:rFonts w:ascii="Times New Roman" w:hAnsi="Times New Roman" w:cs="Times New Roman"/>
          <w:sz w:val="22"/>
          <w:szCs w:val="22"/>
        </w:rPr>
        <w:t xml:space="preserve">which have been adopted in academic literature with the intention of challenging the criticism often laid at the door or the rule of </w:t>
      </w:r>
      <w:r w:rsidR="008F280C">
        <w:rPr>
          <w:rFonts w:ascii="Times New Roman" w:hAnsi="Times New Roman" w:cs="Times New Roman"/>
          <w:sz w:val="22"/>
          <w:szCs w:val="22"/>
        </w:rPr>
        <w:lastRenderedPageBreak/>
        <w:t>law that it is inherently uncertain or elusive</w:t>
      </w:r>
      <w:r w:rsidR="00ED5D19">
        <w:rPr>
          <w:rFonts w:ascii="Times New Roman" w:hAnsi="Times New Roman" w:cs="Times New Roman"/>
          <w:sz w:val="22"/>
          <w:szCs w:val="22"/>
        </w:rPr>
        <w:t>.</w:t>
      </w:r>
      <w:r w:rsidR="008F280C">
        <w:rPr>
          <w:rFonts w:ascii="Times New Roman" w:hAnsi="Times New Roman" w:cs="Times New Roman"/>
          <w:sz w:val="22"/>
          <w:szCs w:val="22"/>
        </w:rPr>
        <w:t xml:space="preserve"> The argument pursued was that in fact the ‘uncertainty’ or ‘elusiveness’ of the rule of law could be understood as something positive as opposed to a weakness because it exposes a particular dimension to the concept of the rule of law which can be neglected: the constitutive dimension. There are two features of the constitutive dimension of the rule of law which are highlighted in this article: t</w:t>
      </w:r>
      <w:r w:rsidR="00887C63">
        <w:rPr>
          <w:rFonts w:ascii="Times New Roman" w:hAnsi="Times New Roman" w:cs="Times New Roman"/>
          <w:sz w:val="22"/>
          <w:szCs w:val="22"/>
        </w:rPr>
        <w:t>he first, is an understanding of the constitutive power as the continuous effort of the cons</w:t>
      </w:r>
      <w:r w:rsidR="00BB6A54">
        <w:rPr>
          <w:rFonts w:ascii="Times New Roman" w:hAnsi="Times New Roman" w:cs="Times New Roman"/>
          <w:sz w:val="22"/>
          <w:szCs w:val="22"/>
        </w:rPr>
        <w:t xml:space="preserve">titutional community to explore the meaning of the foundational moment and the features of reciprocal solidarity </w:t>
      </w:r>
      <w:r w:rsidR="007B114B">
        <w:rPr>
          <w:rFonts w:ascii="Times New Roman" w:hAnsi="Times New Roman" w:cs="Times New Roman"/>
          <w:sz w:val="22"/>
          <w:szCs w:val="22"/>
        </w:rPr>
        <w:t>that it gives rise to. Second</w:t>
      </w:r>
      <w:r w:rsidR="00832EAB">
        <w:rPr>
          <w:rFonts w:ascii="Times New Roman" w:hAnsi="Times New Roman" w:cs="Times New Roman"/>
          <w:sz w:val="22"/>
          <w:szCs w:val="22"/>
        </w:rPr>
        <w:t xml:space="preserve">ly, exploring the meaning of the social practice of the constitution requires an attentiveness to the language of qualitative contrast, articulated by Charles Taylor as ‘strong evaluations’, which underscore the way a political community is able to express commitments in the constituted order. </w:t>
      </w:r>
    </w:p>
    <w:p w14:paraId="201729FF" w14:textId="7A23E067" w:rsidR="00E87B0E" w:rsidRDefault="008C7474"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In the second part of the article the focus turned to the question</w:t>
      </w:r>
      <w:r w:rsidR="004200B6">
        <w:rPr>
          <w:rFonts w:ascii="Times New Roman" w:hAnsi="Times New Roman" w:cs="Times New Roman"/>
          <w:sz w:val="22"/>
          <w:szCs w:val="22"/>
        </w:rPr>
        <w:t xml:space="preserve"> as this theoretical understanding of the rule of law provides</w:t>
      </w:r>
      <w:r w:rsidR="00E87B0E">
        <w:rPr>
          <w:rFonts w:ascii="Times New Roman" w:hAnsi="Times New Roman" w:cs="Times New Roman"/>
          <w:sz w:val="22"/>
          <w:szCs w:val="22"/>
        </w:rPr>
        <w:t xml:space="preserve"> a basis to consider the economic crisis of the EU and its response. Focusing on the work of </w:t>
      </w:r>
      <w:proofErr w:type="spellStart"/>
      <w:r w:rsidR="00E87B0E">
        <w:rPr>
          <w:rFonts w:ascii="Times New Roman" w:hAnsi="Times New Roman" w:cs="Times New Roman"/>
          <w:sz w:val="22"/>
          <w:szCs w:val="22"/>
        </w:rPr>
        <w:t>Habermas</w:t>
      </w:r>
      <w:proofErr w:type="spellEnd"/>
      <w:r w:rsidR="00E87B0E">
        <w:rPr>
          <w:rFonts w:ascii="Times New Roman" w:hAnsi="Times New Roman" w:cs="Times New Roman"/>
          <w:sz w:val="22"/>
          <w:szCs w:val="22"/>
        </w:rPr>
        <w:t>, who has emphasised the need to cultivate the language of solidarity and reciprocity in response to the economic crisis, the article has sought to draw out the implications for the rule of law. In doing so, further questions for research on the constitutive</w:t>
      </w:r>
      <w:r w:rsidR="00B43036">
        <w:rPr>
          <w:rFonts w:ascii="Times New Roman" w:hAnsi="Times New Roman" w:cs="Times New Roman"/>
          <w:sz w:val="22"/>
          <w:szCs w:val="22"/>
        </w:rPr>
        <w:t xml:space="preserve"> dimension of the</w:t>
      </w:r>
      <w:r w:rsidR="00E87B0E">
        <w:rPr>
          <w:rFonts w:ascii="Times New Roman" w:hAnsi="Times New Roman" w:cs="Times New Roman"/>
          <w:sz w:val="22"/>
          <w:szCs w:val="22"/>
        </w:rPr>
        <w:t xml:space="preserve"> rule of law become apparent. Although expressed as being more ‘elusive’ it is undoubtedly also far more political in </w:t>
      </w:r>
      <w:r w:rsidR="00B43036">
        <w:rPr>
          <w:rFonts w:ascii="Times New Roman" w:hAnsi="Times New Roman" w:cs="Times New Roman"/>
          <w:sz w:val="22"/>
          <w:szCs w:val="22"/>
        </w:rPr>
        <w:t xml:space="preserve">that it </w:t>
      </w:r>
      <w:r w:rsidR="00E87B0E">
        <w:rPr>
          <w:rFonts w:ascii="Times New Roman" w:hAnsi="Times New Roman" w:cs="Times New Roman"/>
          <w:sz w:val="22"/>
          <w:szCs w:val="22"/>
        </w:rPr>
        <w:t xml:space="preserve">draws on the expression and meaning of constitutional commitments which underscore political solidarity. </w:t>
      </w:r>
      <w:r w:rsidR="00B43036">
        <w:rPr>
          <w:rFonts w:ascii="Times New Roman" w:hAnsi="Times New Roman" w:cs="Times New Roman"/>
          <w:sz w:val="22"/>
          <w:szCs w:val="22"/>
        </w:rPr>
        <w:t>As with the example of the constitutional reference to the Constitutional Court of Portugal, by the President in response to austerity measures during the economic crisis, to engage the rule of law may require courts to enter heightened political debates about the kind of political justice or fairness guaranteed by the Constitution. This could provoke profound structural constitutional questions about the manner in which courts can both discharge obligations surrounding the rule of law at the same time as observing structural limits imposed by other competing principles of constitutionalism. It is perhaps possible that times of crisis require greater imagination about the proper limits and function of legal argument and the part played by courts</w:t>
      </w:r>
      <w:r w:rsidR="004200B6">
        <w:rPr>
          <w:rFonts w:ascii="Times New Roman" w:hAnsi="Times New Roman" w:cs="Times New Roman"/>
          <w:sz w:val="22"/>
          <w:szCs w:val="22"/>
        </w:rPr>
        <w:t xml:space="preserve"> in them</w:t>
      </w:r>
      <w:r w:rsidR="00B43036">
        <w:rPr>
          <w:rFonts w:ascii="Times New Roman" w:hAnsi="Times New Roman" w:cs="Times New Roman"/>
          <w:sz w:val="22"/>
          <w:szCs w:val="22"/>
        </w:rPr>
        <w:t xml:space="preserve">. </w:t>
      </w:r>
    </w:p>
    <w:p w14:paraId="33B2DC87" w14:textId="77777777" w:rsidR="002C11C6" w:rsidRDefault="002C11C6" w:rsidP="007B7EB3">
      <w:pPr>
        <w:spacing w:line="360" w:lineRule="auto"/>
        <w:jc w:val="both"/>
        <w:rPr>
          <w:rFonts w:ascii="Times New Roman" w:hAnsi="Times New Roman" w:cs="Times New Roman"/>
          <w:sz w:val="22"/>
          <w:szCs w:val="22"/>
        </w:rPr>
      </w:pPr>
    </w:p>
    <w:p w14:paraId="6FC2E60E" w14:textId="77777777" w:rsidR="00CE0C49" w:rsidRDefault="00CE0C49" w:rsidP="007B7EB3">
      <w:pPr>
        <w:spacing w:line="360" w:lineRule="auto"/>
        <w:jc w:val="both"/>
        <w:rPr>
          <w:rFonts w:ascii="Times New Roman" w:hAnsi="Times New Roman" w:cs="Times New Roman"/>
          <w:b/>
          <w:sz w:val="22"/>
          <w:szCs w:val="22"/>
        </w:rPr>
      </w:pPr>
      <w:r>
        <w:rPr>
          <w:rFonts w:ascii="Times New Roman" w:hAnsi="Times New Roman" w:cs="Times New Roman"/>
          <w:b/>
          <w:sz w:val="22"/>
          <w:szCs w:val="22"/>
        </w:rPr>
        <w:t>Reference List</w:t>
      </w:r>
    </w:p>
    <w:p w14:paraId="11626E27"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Berlin, I (1969) Four Essays on Liberty, Oxford University Press, Oxford. </w:t>
      </w:r>
    </w:p>
    <w:p w14:paraId="08287788"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Brunkhorst</w:t>
      </w:r>
      <w:proofErr w:type="spellEnd"/>
      <w:r>
        <w:rPr>
          <w:rFonts w:ascii="Times New Roman" w:hAnsi="Times New Roman" w:cs="Times New Roman"/>
          <w:sz w:val="22"/>
          <w:szCs w:val="22"/>
        </w:rPr>
        <w:t xml:space="preserve"> (2005), Solidarity: From Civic Friendship to Global Legal Community, MIT Press, Cambridge Mass.</w:t>
      </w:r>
    </w:p>
    <w:p w14:paraId="137E5A13"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Dworkin, R (1986) Law’s Empire, Fontana Press, London.</w:t>
      </w:r>
    </w:p>
    <w:p w14:paraId="7152512F" w14:textId="77777777" w:rsidR="003D1D9A" w:rsidRDefault="003D1D9A" w:rsidP="007B7EB3">
      <w:pPr>
        <w:spacing w:line="360" w:lineRule="auto"/>
        <w:jc w:val="both"/>
        <w:rPr>
          <w:rFonts w:ascii="Times New Roman" w:hAnsi="Times New Roman" w:cs="Times New Roman"/>
          <w:sz w:val="22"/>
          <w:szCs w:val="22"/>
        </w:rPr>
      </w:pPr>
      <w:proofErr w:type="spellStart"/>
      <w:r w:rsidRPr="00D81E30">
        <w:rPr>
          <w:rFonts w:ascii="Times New Roman" w:hAnsi="Times New Roman" w:cs="Times New Roman"/>
          <w:sz w:val="22"/>
          <w:szCs w:val="22"/>
        </w:rPr>
        <w:t>Dworkin,</w:t>
      </w:r>
      <w:r>
        <w:rPr>
          <w:rFonts w:ascii="Times New Roman" w:hAnsi="Times New Roman" w:cs="Times New Roman"/>
          <w:sz w:val="22"/>
          <w:szCs w:val="22"/>
        </w:rPr>
        <w:t>R</w:t>
      </w:r>
      <w:proofErr w:type="spellEnd"/>
      <w:r>
        <w:rPr>
          <w:rFonts w:ascii="Times New Roman" w:hAnsi="Times New Roman" w:cs="Times New Roman"/>
          <w:sz w:val="22"/>
          <w:szCs w:val="22"/>
        </w:rPr>
        <w:t xml:space="preserve"> (1985)</w:t>
      </w:r>
      <w:r w:rsidRPr="00D81E30">
        <w:rPr>
          <w:rFonts w:ascii="Times New Roman" w:hAnsi="Times New Roman" w:cs="Times New Roman"/>
          <w:sz w:val="22"/>
          <w:szCs w:val="22"/>
        </w:rPr>
        <w:t xml:space="preserve"> A Matter of Principle O</w:t>
      </w:r>
      <w:r>
        <w:rPr>
          <w:rFonts w:ascii="Times New Roman" w:hAnsi="Times New Roman" w:cs="Times New Roman"/>
          <w:sz w:val="22"/>
          <w:szCs w:val="22"/>
        </w:rPr>
        <w:t>xford University Press, Oxford.</w:t>
      </w:r>
    </w:p>
    <w:p w14:paraId="7E016072" w14:textId="77777777" w:rsidR="003D1D9A" w:rsidRDefault="003D1D9A" w:rsidP="007B7EB3">
      <w:pPr>
        <w:spacing w:line="360" w:lineRule="auto"/>
        <w:jc w:val="both"/>
        <w:rPr>
          <w:rFonts w:ascii="Times New Roman" w:hAnsi="Times New Roman" w:cs="Times New Roman"/>
          <w:sz w:val="22"/>
          <w:szCs w:val="22"/>
        </w:rPr>
      </w:pPr>
      <w:r w:rsidRPr="00603328">
        <w:rPr>
          <w:rFonts w:ascii="Times New Roman" w:hAnsi="Times New Roman" w:cs="Times New Roman"/>
          <w:sz w:val="22"/>
          <w:szCs w:val="22"/>
        </w:rPr>
        <w:lastRenderedPageBreak/>
        <w:t xml:space="preserve">F. </w:t>
      </w:r>
      <w:proofErr w:type="spellStart"/>
      <w:r w:rsidRPr="00603328">
        <w:rPr>
          <w:rFonts w:ascii="Times New Roman" w:hAnsi="Times New Roman" w:cs="Times New Roman"/>
          <w:sz w:val="22"/>
          <w:szCs w:val="22"/>
        </w:rPr>
        <w:t>Kratochwil</w:t>
      </w:r>
      <w:proofErr w:type="spellEnd"/>
      <w:r w:rsidRPr="00603328">
        <w:rPr>
          <w:rFonts w:ascii="Times New Roman" w:hAnsi="Times New Roman" w:cs="Times New Roman"/>
          <w:sz w:val="22"/>
          <w:szCs w:val="22"/>
        </w:rPr>
        <w:t>,</w:t>
      </w:r>
      <w:r>
        <w:rPr>
          <w:rFonts w:ascii="Times New Roman" w:hAnsi="Times New Roman" w:cs="Times New Roman"/>
          <w:sz w:val="22"/>
          <w:szCs w:val="22"/>
        </w:rPr>
        <w:t xml:space="preserve"> (2014)</w:t>
      </w:r>
      <w:r w:rsidRPr="00603328">
        <w:rPr>
          <w:rFonts w:ascii="Times New Roman" w:hAnsi="Times New Roman" w:cs="Times New Roman"/>
          <w:sz w:val="22"/>
          <w:szCs w:val="22"/>
        </w:rPr>
        <w:t xml:space="preserve"> The Status of Law in World Society: Meditations on the Role and Rule of Law, Cambridg</w:t>
      </w:r>
      <w:r>
        <w:rPr>
          <w:rFonts w:ascii="Times New Roman" w:hAnsi="Times New Roman" w:cs="Times New Roman"/>
          <w:sz w:val="22"/>
          <w:szCs w:val="22"/>
        </w:rPr>
        <w:t xml:space="preserve">e University Press, Oxford. </w:t>
      </w:r>
    </w:p>
    <w:p w14:paraId="15DDF6AB"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J, (1981) The Theory of Communicative Action (Volume 1), Beacon Press, Boston (USA). </w:t>
      </w:r>
    </w:p>
    <w:p w14:paraId="7F4CBE55"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J, (2012) </w:t>
      </w:r>
      <w:r w:rsidRPr="00F55595">
        <w:rPr>
          <w:rFonts w:ascii="Times New Roman" w:hAnsi="Times New Roman" w:cs="Times New Roman"/>
          <w:sz w:val="22"/>
          <w:szCs w:val="22"/>
        </w:rPr>
        <w:t>The Crisis of the European Union: A Response,</w:t>
      </w:r>
      <w:r>
        <w:rPr>
          <w:rFonts w:ascii="Times New Roman" w:hAnsi="Times New Roman" w:cs="Times New Roman"/>
          <w:sz w:val="22"/>
          <w:szCs w:val="22"/>
        </w:rPr>
        <w:t xml:space="preserve"> Polity Press, Cambridge.</w:t>
      </w:r>
    </w:p>
    <w:p w14:paraId="3E2EB645"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Habermas</w:t>
      </w:r>
      <w:proofErr w:type="spellEnd"/>
      <w:r>
        <w:rPr>
          <w:rFonts w:ascii="Times New Roman" w:hAnsi="Times New Roman" w:cs="Times New Roman"/>
          <w:sz w:val="22"/>
          <w:szCs w:val="22"/>
        </w:rPr>
        <w:t xml:space="preserve"> J, (2015) The Lure of Technocracy, Polity Press, Cambridge.</w:t>
      </w:r>
    </w:p>
    <w:p w14:paraId="2113446B" w14:textId="77777777" w:rsidR="003D1D9A" w:rsidRDefault="003D1D9A" w:rsidP="007B7EB3">
      <w:pPr>
        <w:spacing w:line="360" w:lineRule="auto"/>
        <w:jc w:val="both"/>
        <w:rPr>
          <w:rFonts w:ascii="Times New Roman" w:hAnsi="Times New Roman" w:cs="Times New Roman"/>
          <w:sz w:val="22"/>
          <w:szCs w:val="22"/>
        </w:rPr>
      </w:pPr>
      <w:r w:rsidRPr="001007E7">
        <w:rPr>
          <w:rFonts w:ascii="Times New Roman" w:hAnsi="Times New Roman" w:cs="Times New Roman"/>
          <w:sz w:val="22"/>
          <w:szCs w:val="22"/>
        </w:rPr>
        <w:t xml:space="preserve">Harry Frankfurt, ‘Freedom of the Will and </w:t>
      </w:r>
      <w:r>
        <w:rPr>
          <w:rFonts w:ascii="Times New Roman" w:hAnsi="Times New Roman" w:cs="Times New Roman"/>
          <w:sz w:val="22"/>
          <w:szCs w:val="22"/>
        </w:rPr>
        <w:t xml:space="preserve">the concept of a person’, </w:t>
      </w:r>
      <w:r w:rsidRPr="001007E7">
        <w:rPr>
          <w:rFonts w:ascii="Times New Roman" w:hAnsi="Times New Roman" w:cs="Times New Roman"/>
          <w:sz w:val="22"/>
          <w:szCs w:val="22"/>
        </w:rPr>
        <w:t>Journal of Philosophy</w:t>
      </w:r>
      <w:r>
        <w:rPr>
          <w:rFonts w:ascii="Times New Roman" w:hAnsi="Times New Roman" w:cs="Times New Roman"/>
          <w:sz w:val="22"/>
          <w:szCs w:val="22"/>
        </w:rPr>
        <w:t xml:space="preserve"> 67(1) 5-20. </w:t>
      </w:r>
    </w:p>
    <w:p w14:paraId="7B347E0E"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Holmes, S (2003) </w:t>
      </w:r>
      <w:r w:rsidRPr="00CE0C49">
        <w:rPr>
          <w:rFonts w:ascii="Times New Roman" w:hAnsi="Times New Roman" w:cs="Times New Roman"/>
          <w:sz w:val="22"/>
          <w:szCs w:val="22"/>
        </w:rPr>
        <w:t>De</w:t>
      </w:r>
      <w:r>
        <w:rPr>
          <w:rFonts w:ascii="Times New Roman" w:hAnsi="Times New Roman" w:cs="Times New Roman"/>
          <w:sz w:val="22"/>
          <w:szCs w:val="22"/>
        </w:rPr>
        <w:t>mocracy and the Rule of Law, Cambridge University Press, Cambridge.</w:t>
      </w:r>
    </w:p>
    <w:p w14:paraId="27D4E057"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Kalyvas</w:t>
      </w:r>
      <w:proofErr w:type="spellEnd"/>
      <w:r>
        <w:rPr>
          <w:rFonts w:ascii="Times New Roman" w:hAnsi="Times New Roman" w:cs="Times New Roman"/>
          <w:sz w:val="22"/>
          <w:szCs w:val="22"/>
        </w:rPr>
        <w:t>, A (2005) Popular Sovereignty, Democracy and the Constituent Power, Constellations, 12, 223-244.</w:t>
      </w:r>
    </w:p>
    <w:p w14:paraId="2CAF29D2"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Lindahl</w:t>
      </w:r>
      <w:proofErr w:type="spellEnd"/>
      <w:r>
        <w:rPr>
          <w:rFonts w:ascii="Times New Roman" w:hAnsi="Times New Roman" w:cs="Times New Roman"/>
          <w:sz w:val="22"/>
          <w:szCs w:val="22"/>
        </w:rPr>
        <w:t>, H (2008) Constituent Power and Reflexive Identity, Oxford University Press, Oxford</w:t>
      </w:r>
    </w:p>
    <w:p w14:paraId="56E42A50"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Loughlin, M (2005) Constitutional Theory, A 25</w:t>
      </w:r>
      <w:r w:rsidRPr="00302651">
        <w:rPr>
          <w:rFonts w:ascii="Times New Roman" w:hAnsi="Times New Roman" w:cs="Times New Roman"/>
          <w:sz w:val="22"/>
          <w:szCs w:val="22"/>
          <w:vertAlign w:val="superscript"/>
        </w:rPr>
        <w:t>th</w:t>
      </w:r>
      <w:r>
        <w:rPr>
          <w:rFonts w:ascii="Times New Roman" w:hAnsi="Times New Roman" w:cs="Times New Roman"/>
          <w:sz w:val="22"/>
          <w:szCs w:val="22"/>
        </w:rPr>
        <w:t xml:space="preserve"> Anniversary Essay, Oxford Journal of Legal Studies, 25(2), 183-202.</w:t>
      </w:r>
    </w:p>
    <w:p w14:paraId="0A3834C7" w14:textId="77777777" w:rsidR="003D1D9A" w:rsidRDefault="003D1D9A" w:rsidP="007B7EB3">
      <w:pPr>
        <w:spacing w:line="360" w:lineRule="auto"/>
        <w:jc w:val="both"/>
        <w:rPr>
          <w:rFonts w:ascii="Times New Roman" w:hAnsi="Times New Roman" w:cs="Times New Roman"/>
          <w:sz w:val="22"/>
          <w:szCs w:val="22"/>
        </w:rPr>
      </w:pPr>
      <w:proofErr w:type="spellStart"/>
      <w:r w:rsidRPr="00CE0C49">
        <w:rPr>
          <w:rFonts w:ascii="Times New Roman" w:hAnsi="Times New Roman" w:cs="Times New Roman"/>
          <w:sz w:val="22"/>
          <w:szCs w:val="22"/>
        </w:rPr>
        <w:t>Raz</w:t>
      </w:r>
      <w:proofErr w:type="spellEnd"/>
      <w:r w:rsidRPr="00CE0C49">
        <w:rPr>
          <w:rFonts w:ascii="Times New Roman" w:hAnsi="Times New Roman" w:cs="Times New Roman"/>
          <w:sz w:val="22"/>
          <w:szCs w:val="22"/>
        </w:rPr>
        <w:t>,</w:t>
      </w:r>
      <w:r>
        <w:rPr>
          <w:rFonts w:ascii="Times New Roman" w:hAnsi="Times New Roman" w:cs="Times New Roman"/>
          <w:sz w:val="22"/>
          <w:szCs w:val="22"/>
        </w:rPr>
        <w:t xml:space="preserve"> J (1977)</w:t>
      </w:r>
      <w:r w:rsidRPr="00CE0C49">
        <w:rPr>
          <w:rFonts w:ascii="Times New Roman" w:hAnsi="Times New Roman" w:cs="Times New Roman"/>
          <w:sz w:val="22"/>
          <w:szCs w:val="22"/>
        </w:rPr>
        <w:t xml:space="preserve"> ‘The ru</w:t>
      </w:r>
      <w:r>
        <w:rPr>
          <w:rFonts w:ascii="Times New Roman" w:hAnsi="Times New Roman" w:cs="Times New Roman"/>
          <w:sz w:val="22"/>
          <w:szCs w:val="22"/>
        </w:rPr>
        <w:t>le of law and its virtue’,</w:t>
      </w:r>
      <w:r w:rsidRPr="00CE0C49">
        <w:rPr>
          <w:rFonts w:ascii="Times New Roman" w:hAnsi="Times New Roman" w:cs="Times New Roman"/>
          <w:sz w:val="22"/>
          <w:szCs w:val="22"/>
        </w:rPr>
        <w:t xml:space="preserve"> Law Quarterly Review</w:t>
      </w:r>
      <w:r>
        <w:rPr>
          <w:rFonts w:ascii="Times New Roman" w:hAnsi="Times New Roman" w:cs="Times New Roman"/>
          <w:sz w:val="22"/>
          <w:szCs w:val="22"/>
        </w:rPr>
        <w:t xml:space="preserve">, 93 </w:t>
      </w:r>
    </w:p>
    <w:p w14:paraId="294D777B"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Searle, J (1969) Speech Acts: A</w:t>
      </w:r>
      <w:r w:rsidRPr="00556FA4">
        <w:rPr>
          <w:rFonts w:ascii="Times New Roman" w:hAnsi="Times New Roman" w:cs="Times New Roman"/>
          <w:sz w:val="22"/>
          <w:szCs w:val="22"/>
        </w:rPr>
        <w:t>n Essa</w:t>
      </w:r>
      <w:r>
        <w:rPr>
          <w:rFonts w:ascii="Times New Roman" w:hAnsi="Times New Roman" w:cs="Times New Roman"/>
          <w:sz w:val="22"/>
          <w:szCs w:val="22"/>
        </w:rPr>
        <w:t>y in the Philosophy of Language, Cambridge University Press, Cambridge.</w:t>
      </w:r>
    </w:p>
    <w:p w14:paraId="1BED8493"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Searle, J (1995) </w:t>
      </w:r>
      <w:r w:rsidRPr="00556FA4">
        <w:rPr>
          <w:rFonts w:ascii="Times New Roman" w:hAnsi="Times New Roman" w:cs="Times New Roman"/>
          <w:sz w:val="22"/>
          <w:szCs w:val="22"/>
        </w:rPr>
        <w:t>The</w:t>
      </w:r>
      <w:r>
        <w:rPr>
          <w:rFonts w:ascii="Times New Roman" w:hAnsi="Times New Roman" w:cs="Times New Roman"/>
          <w:sz w:val="22"/>
          <w:szCs w:val="22"/>
        </w:rPr>
        <w:t xml:space="preserve"> Construction of Social Reality, Free Press, New York. </w:t>
      </w:r>
    </w:p>
    <w:p w14:paraId="0203BB8C" w14:textId="43BC09C1" w:rsidR="003D1D9A" w:rsidRDefault="003D1D9A" w:rsidP="007B7EB3">
      <w:pPr>
        <w:spacing w:line="360" w:lineRule="auto"/>
        <w:jc w:val="both"/>
        <w:rPr>
          <w:rFonts w:ascii="Times New Roman" w:hAnsi="Times New Roman" w:cs="Times New Roman"/>
          <w:sz w:val="22"/>
          <w:szCs w:val="22"/>
        </w:rPr>
      </w:pPr>
      <w:r w:rsidRPr="003D1D9A">
        <w:rPr>
          <w:rFonts w:ascii="Times New Roman" w:hAnsi="Times New Roman" w:cs="Times New Roman"/>
          <w:sz w:val="22"/>
          <w:szCs w:val="22"/>
        </w:rPr>
        <w:t>Shaw,</w:t>
      </w:r>
      <w:r>
        <w:rPr>
          <w:rFonts w:ascii="Times New Roman" w:hAnsi="Times New Roman" w:cs="Times New Roman"/>
          <w:sz w:val="22"/>
          <w:szCs w:val="22"/>
        </w:rPr>
        <w:t xml:space="preserve"> J (2005) </w:t>
      </w:r>
      <w:r w:rsidRPr="003D1D9A">
        <w:rPr>
          <w:rFonts w:ascii="Times New Roman" w:hAnsi="Times New Roman" w:cs="Times New Roman"/>
          <w:sz w:val="22"/>
          <w:szCs w:val="22"/>
        </w:rPr>
        <w:t>‘The European Union: Discipline meets Polity-Building</w:t>
      </w:r>
      <w:r>
        <w:rPr>
          <w:rFonts w:ascii="Times New Roman" w:hAnsi="Times New Roman" w:cs="Times New Roman"/>
          <w:sz w:val="22"/>
          <w:szCs w:val="22"/>
        </w:rPr>
        <w:t xml:space="preserve">’, </w:t>
      </w:r>
      <w:r w:rsidRPr="003D1D9A">
        <w:rPr>
          <w:rFonts w:ascii="Times New Roman" w:hAnsi="Times New Roman" w:cs="Times New Roman"/>
          <w:i/>
          <w:sz w:val="22"/>
          <w:szCs w:val="22"/>
        </w:rPr>
        <w:t>Oxford Handbook of Legal Studies</w:t>
      </w:r>
      <w:r>
        <w:rPr>
          <w:rFonts w:ascii="Times New Roman" w:hAnsi="Times New Roman" w:cs="Times New Roman"/>
          <w:sz w:val="22"/>
          <w:szCs w:val="22"/>
        </w:rPr>
        <w:t>,</w:t>
      </w:r>
      <w:r w:rsidRPr="003D1D9A">
        <w:rPr>
          <w:rFonts w:ascii="Times New Roman" w:hAnsi="Times New Roman" w:cs="Times New Roman"/>
          <w:i/>
          <w:sz w:val="22"/>
          <w:szCs w:val="22"/>
        </w:rPr>
        <w:t xml:space="preserve"> </w:t>
      </w:r>
      <w:r w:rsidRPr="003D1D9A">
        <w:rPr>
          <w:rFonts w:ascii="Times New Roman" w:hAnsi="Times New Roman" w:cs="Times New Roman"/>
          <w:sz w:val="22"/>
          <w:szCs w:val="22"/>
        </w:rPr>
        <w:t>Oxford</w:t>
      </w:r>
      <w:r>
        <w:rPr>
          <w:rFonts w:ascii="Times New Roman" w:hAnsi="Times New Roman" w:cs="Times New Roman"/>
          <w:sz w:val="22"/>
          <w:szCs w:val="22"/>
        </w:rPr>
        <w:t xml:space="preserve">: Oxford University Press. </w:t>
      </w:r>
    </w:p>
    <w:p w14:paraId="643E898D" w14:textId="536E2631" w:rsidR="003D1D9A" w:rsidRPr="00CE0C49" w:rsidRDefault="003D1D9A" w:rsidP="007B7EB3">
      <w:pPr>
        <w:spacing w:line="360" w:lineRule="auto"/>
        <w:jc w:val="both"/>
        <w:rPr>
          <w:rFonts w:ascii="Times New Roman" w:hAnsi="Times New Roman" w:cs="Times New Roman"/>
          <w:b/>
          <w:sz w:val="22"/>
          <w:szCs w:val="22"/>
        </w:rPr>
      </w:pPr>
      <w:proofErr w:type="spellStart"/>
      <w:r>
        <w:rPr>
          <w:rFonts w:ascii="Times New Roman" w:hAnsi="Times New Roman" w:cs="Times New Roman"/>
          <w:sz w:val="22"/>
          <w:szCs w:val="22"/>
        </w:rPr>
        <w:t>Tamanaha</w:t>
      </w:r>
      <w:proofErr w:type="spellEnd"/>
      <w:r>
        <w:rPr>
          <w:rFonts w:ascii="Times New Roman" w:hAnsi="Times New Roman" w:cs="Times New Roman"/>
          <w:sz w:val="22"/>
          <w:szCs w:val="22"/>
        </w:rPr>
        <w:t>, B (2004) On the Rule of Law, Cambridge University Press, Cambridge.</w:t>
      </w:r>
    </w:p>
    <w:p w14:paraId="4E2FE00F" w14:textId="77777777" w:rsidR="003D1D9A" w:rsidRDefault="003D1D9A" w:rsidP="007B7EB3">
      <w:pPr>
        <w:spacing w:line="360" w:lineRule="auto"/>
        <w:jc w:val="both"/>
        <w:rPr>
          <w:rFonts w:ascii="Times New Roman" w:hAnsi="Times New Roman" w:cs="Times New Roman"/>
          <w:sz w:val="22"/>
          <w:szCs w:val="22"/>
        </w:rPr>
      </w:pPr>
      <w:r w:rsidRPr="001007E7">
        <w:rPr>
          <w:rFonts w:ascii="Times New Roman" w:hAnsi="Times New Roman" w:cs="Times New Roman"/>
          <w:sz w:val="22"/>
          <w:szCs w:val="22"/>
        </w:rPr>
        <w:t>Taylor,</w:t>
      </w:r>
      <w:r>
        <w:rPr>
          <w:rFonts w:ascii="Times New Roman" w:hAnsi="Times New Roman" w:cs="Times New Roman"/>
          <w:sz w:val="22"/>
          <w:szCs w:val="22"/>
        </w:rPr>
        <w:t xml:space="preserve"> C (1985)</w:t>
      </w:r>
      <w:r w:rsidRPr="001007E7">
        <w:rPr>
          <w:rFonts w:ascii="Times New Roman" w:hAnsi="Times New Roman" w:cs="Times New Roman"/>
          <w:sz w:val="22"/>
          <w:szCs w:val="22"/>
        </w:rPr>
        <w:t xml:space="preserve"> Human Agency and Language: Philosophi</w:t>
      </w:r>
      <w:r>
        <w:rPr>
          <w:rFonts w:ascii="Times New Roman" w:hAnsi="Times New Roman" w:cs="Times New Roman"/>
          <w:sz w:val="22"/>
          <w:szCs w:val="22"/>
        </w:rPr>
        <w:t xml:space="preserve">cal Papers Volume 1, </w:t>
      </w:r>
      <w:r w:rsidRPr="001007E7">
        <w:rPr>
          <w:rFonts w:ascii="Times New Roman" w:hAnsi="Times New Roman" w:cs="Times New Roman"/>
          <w:sz w:val="22"/>
          <w:szCs w:val="22"/>
        </w:rPr>
        <w:t>Cambridge: C</w:t>
      </w:r>
      <w:r>
        <w:rPr>
          <w:rFonts w:ascii="Times New Roman" w:hAnsi="Times New Roman" w:cs="Times New Roman"/>
          <w:sz w:val="22"/>
          <w:szCs w:val="22"/>
        </w:rPr>
        <w:t>ambridge University Press, Cambridge</w:t>
      </w:r>
      <w:r w:rsidRPr="001007E7">
        <w:rPr>
          <w:rFonts w:ascii="Times New Roman" w:hAnsi="Times New Roman" w:cs="Times New Roman"/>
          <w:sz w:val="22"/>
          <w:szCs w:val="22"/>
        </w:rPr>
        <w:t xml:space="preserve">. </w:t>
      </w:r>
    </w:p>
    <w:p w14:paraId="1DB37745" w14:textId="77777777" w:rsidR="003D1D9A" w:rsidRDefault="003D1D9A" w:rsidP="007B7EB3">
      <w:pPr>
        <w:spacing w:line="360" w:lineRule="auto"/>
        <w:jc w:val="both"/>
        <w:rPr>
          <w:rFonts w:ascii="Times New Roman" w:hAnsi="Times New Roman" w:cs="Times New Roman"/>
          <w:sz w:val="22"/>
          <w:szCs w:val="22"/>
        </w:rPr>
      </w:pPr>
      <w:proofErr w:type="spellStart"/>
      <w:r>
        <w:rPr>
          <w:rFonts w:ascii="Times New Roman" w:hAnsi="Times New Roman" w:cs="Times New Roman"/>
          <w:sz w:val="22"/>
          <w:szCs w:val="22"/>
        </w:rPr>
        <w:t>Tuori</w:t>
      </w:r>
      <w:proofErr w:type="spellEnd"/>
      <w:r>
        <w:rPr>
          <w:rFonts w:ascii="Times New Roman" w:hAnsi="Times New Roman" w:cs="Times New Roman"/>
          <w:sz w:val="22"/>
          <w:szCs w:val="22"/>
        </w:rPr>
        <w:t xml:space="preserve"> and </w:t>
      </w:r>
      <w:proofErr w:type="spellStart"/>
      <w:r>
        <w:rPr>
          <w:rFonts w:ascii="Times New Roman" w:hAnsi="Times New Roman" w:cs="Times New Roman"/>
          <w:sz w:val="22"/>
          <w:szCs w:val="22"/>
        </w:rPr>
        <w:t>Tuori</w:t>
      </w:r>
      <w:proofErr w:type="spellEnd"/>
      <w:r>
        <w:rPr>
          <w:rFonts w:ascii="Times New Roman" w:hAnsi="Times New Roman" w:cs="Times New Roman"/>
          <w:sz w:val="22"/>
          <w:szCs w:val="22"/>
        </w:rPr>
        <w:t xml:space="preserve"> (2014) The Eurozone Crisis: A Constitutional Analysis, Cambridge University Press, Cambridge</w:t>
      </w:r>
    </w:p>
    <w:p w14:paraId="08F3410D"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Unger, R (1977) Law in Modern Society, Free Press, New York</w:t>
      </w:r>
    </w:p>
    <w:p w14:paraId="77133EED" w14:textId="77777777" w:rsidR="003D1D9A" w:rsidRDefault="003D1D9A" w:rsidP="007B7EB3">
      <w:pPr>
        <w:spacing w:line="360" w:lineRule="auto"/>
        <w:jc w:val="both"/>
        <w:rPr>
          <w:rFonts w:ascii="Times New Roman" w:hAnsi="Times New Roman" w:cs="Times New Roman"/>
          <w:sz w:val="22"/>
          <w:szCs w:val="22"/>
        </w:rPr>
      </w:pPr>
      <w:r>
        <w:rPr>
          <w:rFonts w:ascii="Times New Roman" w:hAnsi="Times New Roman" w:cs="Times New Roman"/>
          <w:sz w:val="22"/>
          <w:szCs w:val="22"/>
        </w:rPr>
        <w:t>Walker, N (2006) EU Constitutionalism in the State Tradition, Current Legal Problems, 59(1) 51-90.</w:t>
      </w:r>
    </w:p>
    <w:p w14:paraId="72CF6D90" w14:textId="77777777" w:rsidR="00FA7AA5" w:rsidRDefault="00FA7AA5" w:rsidP="007B7EB3">
      <w:pPr>
        <w:spacing w:line="360" w:lineRule="auto"/>
        <w:jc w:val="both"/>
        <w:rPr>
          <w:rFonts w:ascii="Times New Roman" w:hAnsi="Times New Roman" w:cs="Times New Roman"/>
          <w:sz w:val="22"/>
          <w:szCs w:val="22"/>
        </w:rPr>
      </w:pPr>
    </w:p>
    <w:p w14:paraId="1AAB1637" w14:textId="77777777" w:rsidR="0035464E" w:rsidRDefault="0035464E" w:rsidP="007B7EB3">
      <w:pPr>
        <w:spacing w:line="360" w:lineRule="auto"/>
        <w:jc w:val="both"/>
        <w:rPr>
          <w:rFonts w:ascii="Times New Roman" w:hAnsi="Times New Roman" w:cs="Times New Roman"/>
          <w:sz w:val="22"/>
          <w:szCs w:val="22"/>
        </w:rPr>
      </w:pPr>
    </w:p>
    <w:p w14:paraId="307FFAD9" w14:textId="77777777" w:rsidR="00D81E30" w:rsidRDefault="00D81E30" w:rsidP="007B7EB3">
      <w:pPr>
        <w:spacing w:line="360" w:lineRule="auto"/>
        <w:jc w:val="both"/>
        <w:rPr>
          <w:rFonts w:ascii="Times New Roman" w:hAnsi="Times New Roman" w:cs="Times New Roman"/>
          <w:sz w:val="22"/>
          <w:szCs w:val="22"/>
        </w:rPr>
      </w:pPr>
    </w:p>
    <w:p w14:paraId="38C71985" w14:textId="77777777" w:rsidR="002C11C6" w:rsidRPr="002C11C6" w:rsidRDefault="002C11C6" w:rsidP="007B7EB3">
      <w:pPr>
        <w:spacing w:line="360" w:lineRule="auto"/>
        <w:jc w:val="both"/>
        <w:rPr>
          <w:rFonts w:ascii="Times New Roman" w:hAnsi="Times New Roman" w:cs="Times New Roman"/>
          <w:sz w:val="22"/>
          <w:szCs w:val="22"/>
        </w:rPr>
      </w:pPr>
    </w:p>
    <w:sectPr w:rsidR="002C11C6" w:rsidRPr="002C11C6" w:rsidSect="00042A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618B" w14:textId="77777777" w:rsidR="00E07084" w:rsidRDefault="00E07084" w:rsidP="009F7E0B">
      <w:pPr>
        <w:spacing w:after="0" w:line="240" w:lineRule="auto"/>
      </w:pPr>
      <w:r>
        <w:separator/>
      </w:r>
    </w:p>
  </w:endnote>
  <w:endnote w:type="continuationSeparator" w:id="0">
    <w:p w14:paraId="3C1C0A9A" w14:textId="77777777" w:rsidR="00E07084" w:rsidRDefault="00E07084" w:rsidP="009F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1D99" w14:textId="77777777" w:rsidR="00E07084" w:rsidRDefault="00E07084" w:rsidP="009F7E0B">
      <w:pPr>
        <w:spacing w:after="0" w:line="240" w:lineRule="auto"/>
      </w:pPr>
      <w:r>
        <w:separator/>
      </w:r>
    </w:p>
  </w:footnote>
  <w:footnote w:type="continuationSeparator" w:id="0">
    <w:p w14:paraId="208398AB" w14:textId="77777777" w:rsidR="00E07084" w:rsidRDefault="00E07084" w:rsidP="009F7E0B">
      <w:pPr>
        <w:spacing w:after="0" w:line="240" w:lineRule="auto"/>
      </w:pPr>
      <w:r>
        <w:continuationSeparator/>
      </w:r>
    </w:p>
  </w:footnote>
  <w:footnote w:id="1">
    <w:p w14:paraId="23D0458F" w14:textId="77777777" w:rsidR="00E46673" w:rsidRDefault="00E46673" w:rsidP="00DE4914">
      <w:pPr>
        <w:pStyle w:val="FootnoteText"/>
        <w:jc w:val="both"/>
      </w:pPr>
      <w:r w:rsidRPr="00DE4914">
        <w:rPr>
          <w:rStyle w:val="FootnoteReference"/>
          <w:rFonts w:ascii="Times New Roman" w:hAnsi="Times New Roman" w:cs="Times New Roman"/>
        </w:rPr>
        <w:footnoteRef/>
      </w:r>
      <w:r w:rsidRPr="00DE4914">
        <w:rPr>
          <w:rFonts w:ascii="Times New Roman" w:hAnsi="Times New Roman" w:cs="Times New Roman"/>
        </w:rPr>
        <w:t xml:space="preserve"> It should be clarified that I am not necessarily drawing direct causal connections but rather acknowledging that the shift power of the state, particularly in the mid-twentieth century, creates space for different conceptions of the rule of law</w:t>
      </w:r>
      <w:r>
        <w:t xml:space="preserve">. </w:t>
      </w:r>
    </w:p>
  </w:footnote>
  <w:footnote w:id="2">
    <w:p w14:paraId="080951D3" w14:textId="6A7552D4" w:rsidR="00A4664F" w:rsidRDefault="00A4664F">
      <w:pPr>
        <w:pStyle w:val="FootnoteText"/>
      </w:pPr>
      <w:r>
        <w:rPr>
          <w:rStyle w:val="FootnoteReference"/>
        </w:rPr>
        <w:footnoteRef/>
      </w:r>
      <w:r>
        <w:t xml:space="preserve"> </w:t>
      </w:r>
      <w:hyperlink r:id="rId1" w:history="1">
        <w:r w:rsidRPr="00DE4914">
          <w:rPr>
            <w:rStyle w:val="Hyperlink"/>
            <w:rFonts w:ascii="Times New Roman" w:hAnsi="Times New Roman" w:cs="Times New Roman"/>
          </w:rPr>
          <w:t>http://www.consilium.europa.eu/en/council-eu/eurogroup/</w:t>
        </w:r>
      </w:hyperlink>
      <w:r w:rsidRPr="00DE4914">
        <w:rPr>
          <w:rFonts w:ascii="Times New Roman" w:hAnsi="Times New Roman" w:cs="Times New Roman"/>
        </w:rPr>
        <w:t xml:space="preserve"> (accessed 2</w:t>
      </w:r>
      <w:r w:rsidRPr="00DE4914">
        <w:rPr>
          <w:rFonts w:ascii="Times New Roman" w:hAnsi="Times New Roman" w:cs="Times New Roman"/>
          <w:vertAlign w:val="superscript"/>
        </w:rPr>
        <w:t>nd</w:t>
      </w:r>
      <w:r w:rsidRPr="00DE4914">
        <w:rPr>
          <w:rFonts w:ascii="Times New Roman" w:hAnsi="Times New Roman" w:cs="Times New Roman"/>
        </w:rPr>
        <w:t xml:space="preserve"> March, 2016)</w:t>
      </w:r>
      <w:r w:rsidR="00A611F9">
        <w:t xml:space="preserve">. Under protocol 14 of the Lisbon Treaty – its terms of operation are described as ‘informal meetings’. </w:t>
      </w:r>
    </w:p>
  </w:footnote>
  <w:footnote w:id="3">
    <w:p w14:paraId="5948767E" w14:textId="30B3DB2D" w:rsidR="00BF5D19" w:rsidRPr="00EA5C2A" w:rsidRDefault="00BF5D19">
      <w:pPr>
        <w:pStyle w:val="FootnoteText"/>
      </w:pPr>
      <w:r w:rsidRPr="00EA5C2A">
        <w:rPr>
          <w:rStyle w:val="FootnoteReference"/>
        </w:rPr>
        <w:footnoteRef/>
      </w:r>
      <w:r w:rsidRPr="00EA5C2A">
        <w:t xml:space="preserve"> For an overview of the Cypriot reaction to the initial </w:t>
      </w:r>
      <w:proofErr w:type="spellStart"/>
      <w:r w:rsidRPr="00EA5C2A">
        <w:t>eurogroup</w:t>
      </w:r>
      <w:proofErr w:type="spellEnd"/>
      <w:r w:rsidRPr="00EA5C2A">
        <w:t xml:space="preserve"> proposal see: </w:t>
      </w:r>
      <w:hyperlink r:id="rId2" w:history="1">
        <w:r w:rsidRPr="00EA5C2A">
          <w:rPr>
            <w:rStyle w:val="Hyperlink"/>
          </w:rPr>
          <w:t>http://blogs.lse.ac.uk/eurocrisispress/2013/03/17/cypriot-press-ire-and-disenchantment-over-bail-out-plan/</w:t>
        </w:r>
      </w:hyperlink>
      <w:r w:rsidRPr="00EA5C2A">
        <w:t xml:space="preserve"> (accessed 2</w:t>
      </w:r>
      <w:r w:rsidRPr="00EA5C2A">
        <w:rPr>
          <w:vertAlign w:val="superscript"/>
        </w:rPr>
        <w:t>nd</w:t>
      </w:r>
      <w:r w:rsidRPr="00EA5C2A">
        <w:t xml:space="preserve"> March 2016) </w:t>
      </w:r>
    </w:p>
  </w:footnote>
  <w:footnote w:id="4">
    <w:p w14:paraId="2A52DE6B" w14:textId="65A29CB7" w:rsidR="00404703" w:rsidRDefault="00404703">
      <w:pPr>
        <w:pStyle w:val="FootnoteText"/>
      </w:pPr>
      <w:r w:rsidRPr="00EA5C2A">
        <w:rPr>
          <w:rStyle w:val="FootnoteReference"/>
        </w:rPr>
        <w:footnoteRef/>
      </w:r>
      <w:r w:rsidRPr="00EA5C2A">
        <w:t xml:space="preserve"> As illustrated by Mario Draghi’s speech about the ECB mandate to do ‘whatever it takes to preserve the Euro’, (26</w:t>
      </w:r>
      <w:r w:rsidRPr="00EA5C2A">
        <w:rPr>
          <w:vertAlign w:val="superscript"/>
        </w:rPr>
        <w:t>th</w:t>
      </w:r>
      <w:r w:rsidRPr="00EA5C2A">
        <w:t xml:space="preserve"> July 2012, London):  </w:t>
      </w:r>
      <w:hyperlink r:id="rId3" w:history="1">
        <w:r w:rsidRPr="00EA5C2A">
          <w:rPr>
            <w:rStyle w:val="Hyperlink"/>
          </w:rPr>
          <w:t>https://www.ecb.europa.eu/press/key/date/2012/html/sp120726.en.html</w:t>
        </w:r>
      </w:hyperlink>
      <w:r w:rsidRPr="00EA5C2A">
        <w:t xml:space="preserve"> (accessed, 31</w:t>
      </w:r>
      <w:r w:rsidRPr="00EA5C2A">
        <w:rPr>
          <w:vertAlign w:val="superscript"/>
        </w:rPr>
        <w:t>st</w:t>
      </w:r>
      <w:r w:rsidRPr="00EA5C2A">
        <w:t xml:space="preserve">  March 2016)</w:t>
      </w:r>
    </w:p>
  </w:footnote>
  <w:footnote w:id="5">
    <w:p w14:paraId="6AD2F60C" w14:textId="05D80D94" w:rsidR="002B6A10" w:rsidRDefault="002B6A10">
      <w:pPr>
        <w:pStyle w:val="FootnoteText"/>
      </w:pPr>
      <w:r w:rsidRPr="00EA5C2A">
        <w:rPr>
          <w:rStyle w:val="FootnoteReference"/>
        </w:rPr>
        <w:footnoteRef/>
      </w:r>
      <w:r w:rsidRPr="00EA5C2A">
        <w:t xml:space="preserve"> Ruling 187/13 (5</w:t>
      </w:r>
      <w:r w:rsidRPr="00EA5C2A">
        <w:rPr>
          <w:vertAlign w:val="superscript"/>
        </w:rPr>
        <w:t>th</w:t>
      </w:r>
      <w:r w:rsidRPr="00EA5C2A">
        <w:t xml:space="preserve"> April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F34D9"/>
    <w:multiLevelType w:val="hybridMultilevel"/>
    <w:tmpl w:val="09767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858CC"/>
    <w:multiLevelType w:val="hybridMultilevel"/>
    <w:tmpl w:val="99F850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7D3DFB"/>
    <w:multiLevelType w:val="hybridMultilevel"/>
    <w:tmpl w:val="CD82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86545"/>
    <w:multiLevelType w:val="hybridMultilevel"/>
    <w:tmpl w:val="A8CC3F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507933"/>
    <w:multiLevelType w:val="hybridMultilevel"/>
    <w:tmpl w:val="811A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B21B52"/>
    <w:multiLevelType w:val="hybridMultilevel"/>
    <w:tmpl w:val="C30E7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51"/>
    <w:rsid w:val="0000487D"/>
    <w:rsid w:val="0000629F"/>
    <w:rsid w:val="00042A23"/>
    <w:rsid w:val="00047ACC"/>
    <w:rsid w:val="00050523"/>
    <w:rsid w:val="00053451"/>
    <w:rsid w:val="000608A3"/>
    <w:rsid w:val="0006677B"/>
    <w:rsid w:val="00070435"/>
    <w:rsid w:val="000706BD"/>
    <w:rsid w:val="0007090F"/>
    <w:rsid w:val="00083FC6"/>
    <w:rsid w:val="000845A5"/>
    <w:rsid w:val="00087FF9"/>
    <w:rsid w:val="000C42CF"/>
    <w:rsid w:val="000F3FBE"/>
    <w:rsid w:val="001007E7"/>
    <w:rsid w:val="0010446F"/>
    <w:rsid w:val="00105462"/>
    <w:rsid w:val="001054E9"/>
    <w:rsid w:val="00110F7F"/>
    <w:rsid w:val="00117592"/>
    <w:rsid w:val="0012050B"/>
    <w:rsid w:val="001265C0"/>
    <w:rsid w:val="0012784C"/>
    <w:rsid w:val="00131CF3"/>
    <w:rsid w:val="00137612"/>
    <w:rsid w:val="00141AA9"/>
    <w:rsid w:val="00151912"/>
    <w:rsid w:val="00151B5D"/>
    <w:rsid w:val="00153146"/>
    <w:rsid w:val="001605EF"/>
    <w:rsid w:val="001617D4"/>
    <w:rsid w:val="001725B7"/>
    <w:rsid w:val="0017709B"/>
    <w:rsid w:val="001813A4"/>
    <w:rsid w:val="001A22D5"/>
    <w:rsid w:val="001A2D11"/>
    <w:rsid w:val="001A7DD3"/>
    <w:rsid w:val="001C1E8E"/>
    <w:rsid w:val="001D0A2E"/>
    <w:rsid w:val="001D7F40"/>
    <w:rsid w:val="001E531C"/>
    <w:rsid w:val="001F08EF"/>
    <w:rsid w:val="001F3EE8"/>
    <w:rsid w:val="001F7244"/>
    <w:rsid w:val="00224114"/>
    <w:rsid w:val="00231201"/>
    <w:rsid w:val="00232314"/>
    <w:rsid w:val="002324A5"/>
    <w:rsid w:val="00232CF7"/>
    <w:rsid w:val="00233DAD"/>
    <w:rsid w:val="002374E3"/>
    <w:rsid w:val="00241B9B"/>
    <w:rsid w:val="00256C36"/>
    <w:rsid w:val="00261B44"/>
    <w:rsid w:val="00270458"/>
    <w:rsid w:val="00271E37"/>
    <w:rsid w:val="00272D89"/>
    <w:rsid w:val="00274B00"/>
    <w:rsid w:val="002752DE"/>
    <w:rsid w:val="00281DCE"/>
    <w:rsid w:val="00283B91"/>
    <w:rsid w:val="00285449"/>
    <w:rsid w:val="0029280C"/>
    <w:rsid w:val="002942C9"/>
    <w:rsid w:val="002A1A2D"/>
    <w:rsid w:val="002A62D1"/>
    <w:rsid w:val="002B5834"/>
    <w:rsid w:val="002B6A10"/>
    <w:rsid w:val="002C11C6"/>
    <w:rsid w:val="002C624A"/>
    <w:rsid w:val="002C63B4"/>
    <w:rsid w:val="002C752F"/>
    <w:rsid w:val="002D0B0B"/>
    <w:rsid w:val="002E0388"/>
    <w:rsid w:val="002E35BC"/>
    <w:rsid w:val="002E5C4F"/>
    <w:rsid w:val="002F4584"/>
    <w:rsid w:val="002F6B9C"/>
    <w:rsid w:val="00302651"/>
    <w:rsid w:val="003067F0"/>
    <w:rsid w:val="003077C5"/>
    <w:rsid w:val="00313957"/>
    <w:rsid w:val="00325A2D"/>
    <w:rsid w:val="00326501"/>
    <w:rsid w:val="0035464E"/>
    <w:rsid w:val="00372F29"/>
    <w:rsid w:val="00391B25"/>
    <w:rsid w:val="00397222"/>
    <w:rsid w:val="003B0864"/>
    <w:rsid w:val="003B68F9"/>
    <w:rsid w:val="003B7524"/>
    <w:rsid w:val="003C00B8"/>
    <w:rsid w:val="003C4FD7"/>
    <w:rsid w:val="003D0A22"/>
    <w:rsid w:val="003D0EE9"/>
    <w:rsid w:val="003D1D9A"/>
    <w:rsid w:val="003D3648"/>
    <w:rsid w:val="003D5AD9"/>
    <w:rsid w:val="003D79FB"/>
    <w:rsid w:val="003E1A6B"/>
    <w:rsid w:val="003E6B46"/>
    <w:rsid w:val="003F5CFF"/>
    <w:rsid w:val="00402C48"/>
    <w:rsid w:val="00404703"/>
    <w:rsid w:val="004105F5"/>
    <w:rsid w:val="0041257B"/>
    <w:rsid w:val="004200B6"/>
    <w:rsid w:val="00422BA9"/>
    <w:rsid w:val="0042355E"/>
    <w:rsid w:val="00431F26"/>
    <w:rsid w:val="00441649"/>
    <w:rsid w:val="00446A41"/>
    <w:rsid w:val="00451637"/>
    <w:rsid w:val="00457292"/>
    <w:rsid w:val="00472BDE"/>
    <w:rsid w:val="00473D7D"/>
    <w:rsid w:val="00483669"/>
    <w:rsid w:val="00484911"/>
    <w:rsid w:val="00485814"/>
    <w:rsid w:val="00497138"/>
    <w:rsid w:val="004974C9"/>
    <w:rsid w:val="004A1B61"/>
    <w:rsid w:val="004A7A9F"/>
    <w:rsid w:val="004B51AD"/>
    <w:rsid w:val="004B6AE6"/>
    <w:rsid w:val="004B6E12"/>
    <w:rsid w:val="004C13D3"/>
    <w:rsid w:val="004C18F3"/>
    <w:rsid w:val="004E545D"/>
    <w:rsid w:val="00501A5B"/>
    <w:rsid w:val="00502F24"/>
    <w:rsid w:val="005112D2"/>
    <w:rsid w:val="00515B40"/>
    <w:rsid w:val="0053110C"/>
    <w:rsid w:val="00534602"/>
    <w:rsid w:val="00534779"/>
    <w:rsid w:val="00536BD1"/>
    <w:rsid w:val="005372BE"/>
    <w:rsid w:val="00543CFE"/>
    <w:rsid w:val="00556FA4"/>
    <w:rsid w:val="00567B1B"/>
    <w:rsid w:val="005735EE"/>
    <w:rsid w:val="005750A8"/>
    <w:rsid w:val="00591761"/>
    <w:rsid w:val="005A1920"/>
    <w:rsid w:val="005A1A96"/>
    <w:rsid w:val="005A7699"/>
    <w:rsid w:val="005B203F"/>
    <w:rsid w:val="005B58F1"/>
    <w:rsid w:val="005C2385"/>
    <w:rsid w:val="005C4F41"/>
    <w:rsid w:val="005C61A3"/>
    <w:rsid w:val="005D19DF"/>
    <w:rsid w:val="005D36BD"/>
    <w:rsid w:val="005E1977"/>
    <w:rsid w:val="005E5620"/>
    <w:rsid w:val="005E56C5"/>
    <w:rsid w:val="005F4D04"/>
    <w:rsid w:val="0060133C"/>
    <w:rsid w:val="00603328"/>
    <w:rsid w:val="00631D2A"/>
    <w:rsid w:val="00643E8B"/>
    <w:rsid w:val="00644B42"/>
    <w:rsid w:val="006547AE"/>
    <w:rsid w:val="006610F8"/>
    <w:rsid w:val="00684915"/>
    <w:rsid w:val="0068707F"/>
    <w:rsid w:val="00691E0F"/>
    <w:rsid w:val="006B3C07"/>
    <w:rsid w:val="006C00E8"/>
    <w:rsid w:val="006D01AF"/>
    <w:rsid w:val="006D1F67"/>
    <w:rsid w:val="006E26EC"/>
    <w:rsid w:val="00704640"/>
    <w:rsid w:val="00705B9D"/>
    <w:rsid w:val="00706D8D"/>
    <w:rsid w:val="00711E4D"/>
    <w:rsid w:val="00713B55"/>
    <w:rsid w:val="007242BA"/>
    <w:rsid w:val="0072450E"/>
    <w:rsid w:val="007320BF"/>
    <w:rsid w:val="00736B5B"/>
    <w:rsid w:val="00741F30"/>
    <w:rsid w:val="00750FA4"/>
    <w:rsid w:val="007532D8"/>
    <w:rsid w:val="00756F78"/>
    <w:rsid w:val="007767E8"/>
    <w:rsid w:val="00793521"/>
    <w:rsid w:val="007A172C"/>
    <w:rsid w:val="007A44B7"/>
    <w:rsid w:val="007A5468"/>
    <w:rsid w:val="007B114B"/>
    <w:rsid w:val="007B314C"/>
    <w:rsid w:val="007B7EB3"/>
    <w:rsid w:val="007D6427"/>
    <w:rsid w:val="00800333"/>
    <w:rsid w:val="008068F3"/>
    <w:rsid w:val="00832EAB"/>
    <w:rsid w:val="008535E3"/>
    <w:rsid w:val="00853EFA"/>
    <w:rsid w:val="00860757"/>
    <w:rsid w:val="00861635"/>
    <w:rsid w:val="008627EE"/>
    <w:rsid w:val="008646C6"/>
    <w:rsid w:val="00887C63"/>
    <w:rsid w:val="008A72D7"/>
    <w:rsid w:val="008C3FC0"/>
    <w:rsid w:val="008C7474"/>
    <w:rsid w:val="008D0E9E"/>
    <w:rsid w:val="008D5723"/>
    <w:rsid w:val="008E5BF1"/>
    <w:rsid w:val="008E5FE1"/>
    <w:rsid w:val="008F280C"/>
    <w:rsid w:val="008F3751"/>
    <w:rsid w:val="009069C5"/>
    <w:rsid w:val="009100B2"/>
    <w:rsid w:val="00917553"/>
    <w:rsid w:val="0092376C"/>
    <w:rsid w:val="00926823"/>
    <w:rsid w:val="009360E1"/>
    <w:rsid w:val="009454D1"/>
    <w:rsid w:val="0095370C"/>
    <w:rsid w:val="00977A88"/>
    <w:rsid w:val="00983F44"/>
    <w:rsid w:val="0098794A"/>
    <w:rsid w:val="009905EB"/>
    <w:rsid w:val="009B062B"/>
    <w:rsid w:val="009C152F"/>
    <w:rsid w:val="009E614E"/>
    <w:rsid w:val="009F3BEC"/>
    <w:rsid w:val="009F7E0B"/>
    <w:rsid w:val="00A0151C"/>
    <w:rsid w:val="00A1145D"/>
    <w:rsid w:val="00A15C44"/>
    <w:rsid w:val="00A2211C"/>
    <w:rsid w:val="00A27DD0"/>
    <w:rsid w:val="00A37A65"/>
    <w:rsid w:val="00A40269"/>
    <w:rsid w:val="00A4171C"/>
    <w:rsid w:val="00A4664F"/>
    <w:rsid w:val="00A5199A"/>
    <w:rsid w:val="00A530CC"/>
    <w:rsid w:val="00A548D5"/>
    <w:rsid w:val="00A611F9"/>
    <w:rsid w:val="00A66BF3"/>
    <w:rsid w:val="00A72829"/>
    <w:rsid w:val="00AA4659"/>
    <w:rsid w:val="00AA6CC2"/>
    <w:rsid w:val="00AA6FE8"/>
    <w:rsid w:val="00AB4017"/>
    <w:rsid w:val="00AC24EF"/>
    <w:rsid w:val="00AC480D"/>
    <w:rsid w:val="00AC7139"/>
    <w:rsid w:val="00AC7329"/>
    <w:rsid w:val="00AD06C8"/>
    <w:rsid w:val="00AD2006"/>
    <w:rsid w:val="00AD755B"/>
    <w:rsid w:val="00AE04E9"/>
    <w:rsid w:val="00AE399B"/>
    <w:rsid w:val="00AE7CCF"/>
    <w:rsid w:val="00B06DFA"/>
    <w:rsid w:val="00B1046A"/>
    <w:rsid w:val="00B106A1"/>
    <w:rsid w:val="00B331F9"/>
    <w:rsid w:val="00B344E8"/>
    <w:rsid w:val="00B42EED"/>
    <w:rsid w:val="00B43036"/>
    <w:rsid w:val="00B456C4"/>
    <w:rsid w:val="00B54153"/>
    <w:rsid w:val="00B779B1"/>
    <w:rsid w:val="00B830A6"/>
    <w:rsid w:val="00B85512"/>
    <w:rsid w:val="00B953C5"/>
    <w:rsid w:val="00B968DA"/>
    <w:rsid w:val="00BA0B44"/>
    <w:rsid w:val="00BA0FC0"/>
    <w:rsid w:val="00BA6CB5"/>
    <w:rsid w:val="00BA7978"/>
    <w:rsid w:val="00BB2BDD"/>
    <w:rsid w:val="00BB6A54"/>
    <w:rsid w:val="00BC4DE7"/>
    <w:rsid w:val="00BE4CF9"/>
    <w:rsid w:val="00BF1993"/>
    <w:rsid w:val="00BF5785"/>
    <w:rsid w:val="00BF5D19"/>
    <w:rsid w:val="00C138E2"/>
    <w:rsid w:val="00C173D0"/>
    <w:rsid w:val="00C221B8"/>
    <w:rsid w:val="00C3119F"/>
    <w:rsid w:val="00C524F2"/>
    <w:rsid w:val="00C569FD"/>
    <w:rsid w:val="00C62BBF"/>
    <w:rsid w:val="00C644F2"/>
    <w:rsid w:val="00C67E1C"/>
    <w:rsid w:val="00C73558"/>
    <w:rsid w:val="00C84A38"/>
    <w:rsid w:val="00CA157F"/>
    <w:rsid w:val="00CA3AA1"/>
    <w:rsid w:val="00CA5ABC"/>
    <w:rsid w:val="00CB027F"/>
    <w:rsid w:val="00CD7DF5"/>
    <w:rsid w:val="00CE023D"/>
    <w:rsid w:val="00CE0748"/>
    <w:rsid w:val="00CE0C49"/>
    <w:rsid w:val="00D001A1"/>
    <w:rsid w:val="00D1092C"/>
    <w:rsid w:val="00D53E04"/>
    <w:rsid w:val="00D553E5"/>
    <w:rsid w:val="00D55C11"/>
    <w:rsid w:val="00D61C25"/>
    <w:rsid w:val="00D6368D"/>
    <w:rsid w:val="00D70971"/>
    <w:rsid w:val="00D7642E"/>
    <w:rsid w:val="00D81E30"/>
    <w:rsid w:val="00D904F1"/>
    <w:rsid w:val="00DA188F"/>
    <w:rsid w:val="00DA5857"/>
    <w:rsid w:val="00DA65DE"/>
    <w:rsid w:val="00DB1783"/>
    <w:rsid w:val="00DB3D1D"/>
    <w:rsid w:val="00DB4AF6"/>
    <w:rsid w:val="00DC3C37"/>
    <w:rsid w:val="00DC4042"/>
    <w:rsid w:val="00DD2722"/>
    <w:rsid w:val="00DD40B1"/>
    <w:rsid w:val="00DD6579"/>
    <w:rsid w:val="00DE08EF"/>
    <w:rsid w:val="00DE4914"/>
    <w:rsid w:val="00DE4CC0"/>
    <w:rsid w:val="00DE58BA"/>
    <w:rsid w:val="00DE74DA"/>
    <w:rsid w:val="00DF4ADE"/>
    <w:rsid w:val="00E02191"/>
    <w:rsid w:val="00E024F9"/>
    <w:rsid w:val="00E07084"/>
    <w:rsid w:val="00E12BDB"/>
    <w:rsid w:val="00E165C5"/>
    <w:rsid w:val="00E206C6"/>
    <w:rsid w:val="00E275C6"/>
    <w:rsid w:val="00E27B7A"/>
    <w:rsid w:val="00E46673"/>
    <w:rsid w:val="00E47934"/>
    <w:rsid w:val="00E479D8"/>
    <w:rsid w:val="00E573A4"/>
    <w:rsid w:val="00E57DED"/>
    <w:rsid w:val="00E6054F"/>
    <w:rsid w:val="00E664FF"/>
    <w:rsid w:val="00E6669A"/>
    <w:rsid w:val="00E66AAB"/>
    <w:rsid w:val="00E75340"/>
    <w:rsid w:val="00E80680"/>
    <w:rsid w:val="00E8594E"/>
    <w:rsid w:val="00E87B0E"/>
    <w:rsid w:val="00EA5C2A"/>
    <w:rsid w:val="00EA709C"/>
    <w:rsid w:val="00EC1813"/>
    <w:rsid w:val="00EC3C54"/>
    <w:rsid w:val="00EC6B72"/>
    <w:rsid w:val="00ED5A97"/>
    <w:rsid w:val="00ED5D19"/>
    <w:rsid w:val="00EE40C4"/>
    <w:rsid w:val="00EF31F8"/>
    <w:rsid w:val="00EF5064"/>
    <w:rsid w:val="00F02CDA"/>
    <w:rsid w:val="00F2353C"/>
    <w:rsid w:val="00F248E2"/>
    <w:rsid w:val="00F55040"/>
    <w:rsid w:val="00F55595"/>
    <w:rsid w:val="00F6336D"/>
    <w:rsid w:val="00F731BD"/>
    <w:rsid w:val="00F758E7"/>
    <w:rsid w:val="00F84782"/>
    <w:rsid w:val="00F92882"/>
    <w:rsid w:val="00F96194"/>
    <w:rsid w:val="00F97FC2"/>
    <w:rsid w:val="00FA04EC"/>
    <w:rsid w:val="00FA1965"/>
    <w:rsid w:val="00FA5A1C"/>
    <w:rsid w:val="00FA7AA5"/>
    <w:rsid w:val="00FB51A5"/>
    <w:rsid w:val="00FC2111"/>
    <w:rsid w:val="00FC3607"/>
    <w:rsid w:val="00FC6339"/>
    <w:rsid w:val="00FC6A0C"/>
    <w:rsid w:val="00FD65EE"/>
    <w:rsid w:val="00FE13D5"/>
    <w:rsid w:val="00FE5EA6"/>
    <w:rsid w:val="00FF3B9A"/>
    <w:rsid w:val="00FF4C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5D31B8"/>
  <w15:docId w15:val="{3F3E8D77-C462-4D72-B5F3-8D98199C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2A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751"/>
    <w:pPr>
      <w:ind w:left="720"/>
      <w:contextualSpacing/>
    </w:pPr>
  </w:style>
  <w:style w:type="paragraph" w:styleId="FootnoteText">
    <w:name w:val="footnote text"/>
    <w:basedOn w:val="Normal"/>
    <w:link w:val="FootnoteTextChar"/>
    <w:uiPriority w:val="99"/>
    <w:semiHidden/>
    <w:unhideWhenUsed/>
    <w:rsid w:val="009F7E0B"/>
    <w:pPr>
      <w:spacing w:after="0" w:line="240" w:lineRule="auto"/>
    </w:pPr>
  </w:style>
  <w:style w:type="character" w:customStyle="1" w:styleId="FootnoteTextChar">
    <w:name w:val="Footnote Text Char"/>
    <w:basedOn w:val="DefaultParagraphFont"/>
    <w:link w:val="FootnoteText"/>
    <w:uiPriority w:val="99"/>
    <w:semiHidden/>
    <w:rsid w:val="009F7E0B"/>
  </w:style>
  <w:style w:type="character" w:styleId="FootnoteReference">
    <w:name w:val="footnote reference"/>
    <w:basedOn w:val="DefaultParagraphFont"/>
    <w:uiPriority w:val="99"/>
    <w:semiHidden/>
    <w:unhideWhenUsed/>
    <w:rsid w:val="009F7E0B"/>
    <w:rPr>
      <w:vertAlign w:val="superscript"/>
    </w:rPr>
  </w:style>
  <w:style w:type="paragraph" w:styleId="EndnoteText">
    <w:name w:val="endnote text"/>
    <w:basedOn w:val="Normal"/>
    <w:link w:val="EndnoteTextChar"/>
    <w:uiPriority w:val="99"/>
    <w:semiHidden/>
    <w:unhideWhenUsed/>
    <w:rsid w:val="00231201"/>
    <w:pPr>
      <w:spacing w:after="0" w:line="240" w:lineRule="auto"/>
    </w:pPr>
  </w:style>
  <w:style w:type="character" w:customStyle="1" w:styleId="EndnoteTextChar">
    <w:name w:val="Endnote Text Char"/>
    <w:basedOn w:val="DefaultParagraphFont"/>
    <w:link w:val="EndnoteText"/>
    <w:uiPriority w:val="99"/>
    <w:semiHidden/>
    <w:rsid w:val="00231201"/>
  </w:style>
  <w:style w:type="character" w:styleId="EndnoteReference">
    <w:name w:val="endnote reference"/>
    <w:basedOn w:val="DefaultParagraphFont"/>
    <w:uiPriority w:val="99"/>
    <w:semiHidden/>
    <w:unhideWhenUsed/>
    <w:rsid w:val="00231201"/>
    <w:rPr>
      <w:vertAlign w:val="superscript"/>
    </w:rPr>
  </w:style>
  <w:style w:type="character" w:styleId="Hyperlink">
    <w:name w:val="Hyperlink"/>
    <w:basedOn w:val="DefaultParagraphFont"/>
    <w:uiPriority w:val="99"/>
    <w:unhideWhenUsed/>
    <w:rsid w:val="00A4664F"/>
    <w:rPr>
      <w:color w:val="0000FF" w:themeColor="hyperlink"/>
      <w:u w:val="single"/>
    </w:rPr>
  </w:style>
  <w:style w:type="character" w:styleId="CommentReference">
    <w:name w:val="annotation reference"/>
    <w:basedOn w:val="DefaultParagraphFont"/>
    <w:uiPriority w:val="99"/>
    <w:semiHidden/>
    <w:unhideWhenUsed/>
    <w:rsid w:val="009069C5"/>
    <w:rPr>
      <w:sz w:val="16"/>
      <w:szCs w:val="16"/>
    </w:rPr>
  </w:style>
  <w:style w:type="paragraph" w:styleId="CommentText">
    <w:name w:val="annotation text"/>
    <w:basedOn w:val="Normal"/>
    <w:link w:val="CommentTextChar"/>
    <w:uiPriority w:val="99"/>
    <w:semiHidden/>
    <w:unhideWhenUsed/>
    <w:rsid w:val="009069C5"/>
    <w:pPr>
      <w:spacing w:line="240" w:lineRule="auto"/>
    </w:pPr>
  </w:style>
  <w:style w:type="character" w:customStyle="1" w:styleId="CommentTextChar">
    <w:name w:val="Comment Text Char"/>
    <w:basedOn w:val="DefaultParagraphFont"/>
    <w:link w:val="CommentText"/>
    <w:uiPriority w:val="99"/>
    <w:semiHidden/>
    <w:rsid w:val="009069C5"/>
  </w:style>
  <w:style w:type="paragraph" w:styleId="CommentSubject">
    <w:name w:val="annotation subject"/>
    <w:basedOn w:val="CommentText"/>
    <w:next w:val="CommentText"/>
    <w:link w:val="CommentSubjectChar"/>
    <w:uiPriority w:val="99"/>
    <w:semiHidden/>
    <w:unhideWhenUsed/>
    <w:rsid w:val="009069C5"/>
    <w:rPr>
      <w:b/>
      <w:bCs/>
    </w:rPr>
  </w:style>
  <w:style w:type="character" w:customStyle="1" w:styleId="CommentSubjectChar">
    <w:name w:val="Comment Subject Char"/>
    <w:basedOn w:val="CommentTextChar"/>
    <w:link w:val="CommentSubject"/>
    <w:uiPriority w:val="99"/>
    <w:semiHidden/>
    <w:rsid w:val="009069C5"/>
    <w:rPr>
      <w:b/>
      <w:bCs/>
    </w:rPr>
  </w:style>
  <w:style w:type="paragraph" w:styleId="BalloonText">
    <w:name w:val="Balloon Text"/>
    <w:basedOn w:val="Normal"/>
    <w:link w:val="BalloonTextChar"/>
    <w:uiPriority w:val="99"/>
    <w:semiHidden/>
    <w:unhideWhenUsed/>
    <w:rsid w:val="0090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press/key/date/2012/html/sp120726.en.html" TargetMode="External"/><Relationship Id="rId2" Type="http://schemas.openxmlformats.org/officeDocument/2006/relationships/hyperlink" Target="http://blogs.lse.ac.uk/eurocrisispress/2013/03/17/cypriot-press-ire-and-disenchantment-over-bail-out-plan/" TargetMode="External"/><Relationship Id="rId1" Type="http://schemas.openxmlformats.org/officeDocument/2006/relationships/hyperlink" Target="http://www.consilium.europa.eu/en/council-eu/euro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1E22-9C15-4DD5-9ABF-F8C29C3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15</Pages>
  <Words>6669</Words>
  <Characters>38017</Characters>
  <Application>Microsoft Office Word</Application>
  <DocSecurity>0</DocSecurity>
  <Lines>316</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44597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dc:creator>
  <cp:lastModifiedBy>Acer</cp:lastModifiedBy>
  <cp:revision>19</cp:revision>
  <dcterms:created xsi:type="dcterms:W3CDTF">2016-04-01T10:29:00Z</dcterms:created>
  <dcterms:modified xsi:type="dcterms:W3CDTF">2016-08-29T18:37:00Z</dcterms:modified>
</cp:coreProperties>
</file>