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CF" w:rsidRPr="008B66CF" w:rsidRDefault="008B66CF" w:rsidP="008B66CF">
      <w:pPr>
        <w:jc w:val="center"/>
        <w:rPr>
          <w:b/>
        </w:rPr>
      </w:pPr>
      <w:r w:rsidRPr="008B66CF">
        <w:rPr>
          <w:b/>
        </w:rPr>
        <w:t>Sexual Activity in British Men’s Prisons: A Culture of Denial</w:t>
      </w:r>
    </w:p>
    <w:p w:rsidR="008B66CF" w:rsidRPr="008B66CF" w:rsidRDefault="008B66CF" w:rsidP="008B66CF">
      <w:pPr>
        <w:jc w:val="center"/>
        <w:rPr>
          <w:b/>
        </w:rPr>
      </w:pPr>
      <w:r w:rsidRPr="008B66CF">
        <w:rPr>
          <w:b/>
        </w:rPr>
        <w:t>Alisa Stevens</w:t>
      </w:r>
    </w:p>
    <w:p w:rsidR="008B66CF" w:rsidRDefault="008B66CF" w:rsidP="00EA12A6">
      <w:pPr>
        <w:autoSpaceDE w:val="0"/>
        <w:autoSpaceDN w:val="0"/>
        <w:adjustRightInd w:val="0"/>
        <w:spacing w:after="0" w:line="360" w:lineRule="auto"/>
        <w:jc w:val="both"/>
      </w:pPr>
    </w:p>
    <w:p w:rsidR="00EA12A6" w:rsidRDefault="00EA12A6" w:rsidP="00EA12A6">
      <w:pPr>
        <w:autoSpaceDE w:val="0"/>
        <w:autoSpaceDN w:val="0"/>
        <w:adjustRightInd w:val="0"/>
        <w:spacing w:after="0" w:line="360" w:lineRule="auto"/>
        <w:jc w:val="both"/>
      </w:pPr>
      <w:r>
        <w:t xml:space="preserve">Theorized through Stanley Cohen’s sociology of denial and informed by testimonies from formerly imprisoned men, this article argues that a culture of denial limits the ability and willingness of prison authorities and prison </w:t>
      </w:r>
      <w:proofErr w:type="gramStart"/>
      <w:r>
        <w:t>staff to recognise, acknowledge</w:t>
      </w:r>
      <w:proofErr w:type="gramEnd"/>
      <w:r>
        <w:t>, and respond appropriately to the realities of sexual activity in British prisons. It has three objectives: to detail experiences of consensual and coercive sex; to elucidate the collective and collaborative cultural habit of ‘don’t ask, don’t tell’ by wh</w:t>
      </w:r>
      <w:r w:rsidR="00931294">
        <w:t>ich what is</w:t>
      </w:r>
      <w:r>
        <w:t xml:space="preserve"> known becomes not known and what is concealed, remains hidden; and to show how this strategy leaves unprotected those who choose to engage in, or are coerced into, sexual activity.</w:t>
      </w:r>
    </w:p>
    <w:p w:rsidR="00EA12A6" w:rsidRDefault="00EA12A6" w:rsidP="00EA12A6">
      <w:bookmarkStart w:id="0" w:name="_GoBack"/>
      <w:bookmarkEnd w:id="0"/>
    </w:p>
    <w:p w:rsidR="00EA12A6" w:rsidRDefault="00EA12A6" w:rsidP="00EA12A6">
      <w:pPr>
        <w:spacing w:after="0" w:line="360" w:lineRule="auto"/>
      </w:pPr>
      <w:r>
        <w:rPr>
          <w:b/>
        </w:rPr>
        <w:t xml:space="preserve">Keywords: </w:t>
      </w:r>
      <w:r w:rsidRPr="008E0B02">
        <w:t>prison</w:t>
      </w:r>
      <w:r>
        <w:t>,</w:t>
      </w:r>
      <w:r w:rsidRPr="008E0B02">
        <w:t xml:space="preserve"> sex, </w:t>
      </w:r>
      <w:r>
        <w:t xml:space="preserve">rape, transactional sex, </w:t>
      </w:r>
      <w:r w:rsidRPr="00B27976">
        <w:t>denial,</w:t>
      </w:r>
      <w:r>
        <w:t xml:space="preserve"> condoms</w:t>
      </w:r>
    </w:p>
    <w:p w:rsidR="00EA12A6" w:rsidRDefault="00EA12A6"/>
    <w:p w:rsidR="00FB76CA" w:rsidRDefault="00FB76CA" w:rsidP="00FB76CA">
      <w:pPr>
        <w:spacing w:after="0" w:line="360" w:lineRule="auto"/>
        <w:jc w:val="both"/>
      </w:pPr>
      <w:r>
        <w:t>Remarkably little research has been conducted on sexual activity</w:t>
      </w:r>
      <w:r>
        <w:rPr>
          <w:rStyle w:val="FootnoteReference"/>
        </w:rPr>
        <w:footnoteReference w:id="1"/>
      </w:r>
      <w:r>
        <w:t xml:space="preserve"> in British prisons. While </w:t>
      </w:r>
      <w:r w:rsidR="00CE1F14">
        <w:t>empirically rich</w:t>
      </w:r>
      <w:r>
        <w:t xml:space="preserve"> </w:t>
      </w:r>
      <w:r w:rsidRPr="003C48C0">
        <w:t xml:space="preserve">scholarship on </w:t>
      </w:r>
      <w:r>
        <w:t>the complexities of prison sexual culture, sexualities, and consensual sexual relationships, and the interpersonal and institutional dynamics of sexual violence, has emerged from the United States (Hensley</w:t>
      </w:r>
      <w:r w:rsidRPr="003C48C0">
        <w:t xml:space="preserve"> 2002;</w:t>
      </w:r>
      <w:r>
        <w:t xml:space="preserve"> </w:t>
      </w:r>
      <w:proofErr w:type="spellStart"/>
      <w:r>
        <w:t>Kunzel</w:t>
      </w:r>
      <w:proofErr w:type="spellEnd"/>
      <w:r w:rsidRPr="003C48C0">
        <w:t xml:space="preserve"> 2008)</w:t>
      </w:r>
      <w:r>
        <w:t>; the minimal research undertaken in Britain has focus</w:t>
      </w:r>
      <w:r w:rsidR="00CE1F14">
        <w:t>ed</w:t>
      </w:r>
      <w:r>
        <w:t xml:space="preserve"> upon enumerating, from relatively small samples, how many prisoners willingly participate in same-sex sexual contact or are sexually assaulted (</w:t>
      </w:r>
      <w:proofErr w:type="spellStart"/>
      <w:r>
        <w:t>Strang</w:t>
      </w:r>
      <w:proofErr w:type="spellEnd"/>
      <w:r>
        <w:t xml:space="preserve"> </w:t>
      </w:r>
      <w:r w:rsidRPr="008808DA">
        <w:rPr>
          <w:i/>
        </w:rPr>
        <w:t>et al.</w:t>
      </w:r>
      <w:r>
        <w:t xml:space="preserve"> 1998; Banbury 2004). Invariably these studies conclude, in effect, ‘we don’t really know and more research is needed’.</w:t>
      </w:r>
    </w:p>
    <w:p w:rsidR="00FB76CA" w:rsidRDefault="00FB76CA" w:rsidP="00FB76CA"/>
    <w:p w:rsidR="00FB76CA" w:rsidRPr="00AF2BB4" w:rsidRDefault="00FB76CA" w:rsidP="00FB76CA">
      <w:pPr>
        <w:spacing w:after="0" w:line="360" w:lineRule="auto"/>
        <w:jc w:val="both"/>
        <w:rPr>
          <w:lang w:val="en-US"/>
        </w:rPr>
      </w:pPr>
      <w:r>
        <w:t xml:space="preserve">So little is known about prisoners’ sexual experiences only partly because they have so rarely been asked. </w:t>
      </w:r>
      <w:r w:rsidR="00CE1F14">
        <w:t>The</w:t>
      </w:r>
      <w:r>
        <w:t xml:space="preserve"> lack of knowledge and understanding, I suggest, reflects the lack of desire to know about a subject many, in and beyond the prison, would rather not confront </w:t>
      </w:r>
      <w:r w:rsidR="00CE1F14">
        <w:t xml:space="preserve">nor </w:t>
      </w:r>
      <w:r>
        <w:t xml:space="preserve">feel compelled to address. Unlike more typical ‘prison sex’ publications, with their estimates of incidence and prevalence, the threefold purpose of this article is, first, by drawing upon the testimonies of 24 formerly imprisoned men, to advance </w:t>
      </w:r>
      <w:r>
        <w:rPr>
          <w:lang w:val="en-US"/>
        </w:rPr>
        <w:t xml:space="preserve">a more nuanced exploration of this </w:t>
      </w:r>
      <w:r>
        <w:rPr>
          <w:lang w:val="en-US"/>
        </w:rPr>
        <w:lastRenderedPageBreak/>
        <w:t xml:space="preserve">aspect of ‘life behind bars’ than has previously been presented in British prison studies. Second, </w:t>
      </w:r>
      <w:r>
        <w:t xml:space="preserve">and theorized through Stanley Cohen’s (1993, 2001) sociology of denial, to elucidate the collective and collaborative cultural habit of ‘don’t ask, don’t tell’ which structures and sustains what it is that prison authorities, </w:t>
      </w:r>
      <w:r w:rsidR="00E7582D">
        <w:t xml:space="preserve">prison </w:t>
      </w:r>
      <w:r>
        <w:t>staff, prisoners, and penologists are able to know, do not know, choose not to know, and know but prefer not to acknowledge about sexual activity behind ba</w:t>
      </w:r>
      <w:r w:rsidR="00CE1F14">
        <w:t xml:space="preserve">rs. And third, to show how </w:t>
      </w:r>
      <w:r>
        <w:t>this conscious or unconscious avoidance of knowledge</w:t>
      </w:r>
      <w:r w:rsidR="00CE1F14" w:rsidRPr="00CE1F14">
        <w:t xml:space="preserve"> </w:t>
      </w:r>
      <w:r w:rsidR="00CE1F14">
        <w:t>and of intervention</w:t>
      </w:r>
      <w:r>
        <w:t xml:space="preserve">, imperils those who choose to engage in, or are coerced into, sex. My argument is that while the realities of sexual activity are, to some extent, known, </w:t>
      </w:r>
      <w:proofErr w:type="gramStart"/>
      <w:r>
        <w:t>too</w:t>
      </w:r>
      <w:proofErr w:type="gramEnd"/>
      <w:r>
        <w:t xml:space="preserve"> often ‘people react as if they do not know what they know. Or else the information is registered … but its implications are ignored’ (Cohen 2001: x). </w:t>
      </w:r>
    </w:p>
    <w:p w:rsidR="00FB76CA" w:rsidRDefault="00FB76CA" w:rsidP="00FB76CA">
      <w:pPr>
        <w:spacing w:after="0" w:line="360" w:lineRule="auto"/>
        <w:jc w:val="both"/>
      </w:pPr>
    </w:p>
    <w:p w:rsidR="00387DC6" w:rsidRDefault="00FB76CA" w:rsidP="00387DC6">
      <w:pPr>
        <w:spacing w:after="0" w:line="360" w:lineRule="auto"/>
        <w:jc w:val="both"/>
      </w:pPr>
      <w:r>
        <w:t xml:space="preserve">For this critical analysis of denial, then, I apply </w:t>
      </w:r>
      <w:r w:rsidRPr="00AE44D8">
        <w:t xml:space="preserve">the </w:t>
      </w:r>
      <w:r>
        <w:t>now well-utilised</w:t>
      </w:r>
      <w:r>
        <w:rPr>
          <w:rStyle w:val="FootnoteReference"/>
        </w:rPr>
        <w:footnoteReference w:id="2"/>
      </w:r>
      <w:r>
        <w:t xml:space="preserve"> </w:t>
      </w:r>
      <w:r w:rsidRPr="006A75A6">
        <w:t xml:space="preserve">conceptual framework developed by </w:t>
      </w:r>
      <w:r>
        <w:t xml:space="preserve">Cohen in his magnum opus, </w:t>
      </w:r>
      <w:r w:rsidRPr="00CA291C">
        <w:rPr>
          <w:i/>
        </w:rPr>
        <w:t>States of Denial</w:t>
      </w:r>
      <w:r>
        <w:rPr>
          <w:i/>
        </w:rPr>
        <w:t xml:space="preserve">: Knowing about Atrocities and Suffering. </w:t>
      </w:r>
      <w:r>
        <w:t>Through his</w:t>
      </w:r>
      <w:r>
        <w:rPr>
          <w:i/>
        </w:rPr>
        <w:t xml:space="preserve"> </w:t>
      </w:r>
      <w:r>
        <w:t xml:space="preserve">insightful and distinctly sociological dissection of the individually, socially, and politically mediated processes and permutations of cognition and denial, Cohen demonstrated how it is possible for ‘states of mind, or even whole cultures, in which we know and don’t know at the same time’ (2001: 4-5) to exist and persist. Denial, he explained, occurs when, rather than acknowledging harms and their moral, psychic, and emotional consequences, human suffering is ignored, evaded, reconfigured, or repressed, whether through ignorance, preoccupation, deception, identification with the perpetrator (rather than victim), or (the psychoanalytic concept of) unconscious defence mechanisms.  Of the three distinct, yet sometimes coexisting, forms of denial Cohen (2001: 7-9) identified, </w:t>
      </w:r>
      <w:r>
        <w:rPr>
          <w:i/>
        </w:rPr>
        <w:t>l</w:t>
      </w:r>
      <w:r w:rsidRPr="008020E3">
        <w:rPr>
          <w:i/>
        </w:rPr>
        <w:t>iteral denial</w:t>
      </w:r>
      <w:r>
        <w:t xml:space="preserve"> straightforward</w:t>
      </w:r>
      <w:r w:rsidR="00E56691">
        <w:t xml:space="preserve">ly </w:t>
      </w:r>
      <w:r w:rsidR="0012669E">
        <w:t xml:space="preserve">rejects as factually untrue, or repudiates knowledge of, others’ </w:t>
      </w:r>
      <w:r>
        <w:t xml:space="preserve">claims about ‘what happened’. </w:t>
      </w:r>
      <w:r w:rsidR="00387DC6">
        <w:t>The more subtle</w:t>
      </w:r>
      <w:r w:rsidR="00387DC6" w:rsidRPr="00DE29AD">
        <w:t xml:space="preserve"> </w:t>
      </w:r>
      <w:r w:rsidR="00387DC6" w:rsidRPr="008020E3">
        <w:rPr>
          <w:i/>
        </w:rPr>
        <w:t>interpretative denial</w:t>
      </w:r>
      <w:r w:rsidR="00387DC6">
        <w:t xml:space="preserve"> reconstructs, normalises, demotes</w:t>
      </w:r>
      <w:r w:rsidR="0012669E">
        <w:t>, or camouflages within euphemistic, technical, or legalistic language</w:t>
      </w:r>
      <w:r w:rsidR="00387DC6">
        <w:t xml:space="preserve"> ‘what happened’ into something less significant, and hence less problematic</w:t>
      </w:r>
      <w:r w:rsidR="0012669E">
        <w:t>,</w:t>
      </w:r>
      <w:r w:rsidR="00387DC6">
        <w:t xml:space="preserve"> than the complainant alleges. With </w:t>
      </w:r>
      <w:proofErr w:type="spellStart"/>
      <w:r w:rsidR="00387DC6" w:rsidRPr="008020E3">
        <w:rPr>
          <w:i/>
        </w:rPr>
        <w:t>implicatory</w:t>
      </w:r>
      <w:proofErr w:type="spellEnd"/>
      <w:r w:rsidR="00387DC6" w:rsidRPr="008020E3">
        <w:rPr>
          <w:i/>
        </w:rPr>
        <w:t xml:space="preserve"> denial</w:t>
      </w:r>
      <w:r w:rsidR="00387DC6">
        <w:t xml:space="preserve">, it is not the knowledge which is contested but its repercussions. By deploying ‘techniques of neutralization’ (Sykes and </w:t>
      </w:r>
      <w:proofErr w:type="spellStart"/>
      <w:r w:rsidR="00387DC6">
        <w:t>Matza</w:t>
      </w:r>
      <w:proofErr w:type="spellEnd"/>
      <w:r w:rsidR="00387DC6">
        <w:t xml:space="preserve"> 1957), Cohen (2001: 60-4) explained, one may decide that no action is necessary, desirable, or possible because ‘what happened’ produced unintended harm (denial of responsibility) or </w:t>
      </w:r>
      <w:r w:rsidR="00E56691">
        <w:t xml:space="preserve">only </w:t>
      </w:r>
      <w:r w:rsidR="00387DC6">
        <w:t xml:space="preserve">limited harm with </w:t>
      </w:r>
      <w:r w:rsidR="00387DC6">
        <w:lastRenderedPageBreak/>
        <w:t xml:space="preserve">minimal consequences (denial of injury), or the victim’s complicity in ‘what happened’ renders any suffering self-inflicted or deserved (denial of victim). </w:t>
      </w:r>
    </w:p>
    <w:p w:rsidR="00FB76CA" w:rsidRDefault="00FB76CA" w:rsidP="00FB76CA">
      <w:pPr>
        <w:spacing w:after="0" w:line="360" w:lineRule="auto"/>
        <w:jc w:val="both"/>
      </w:pPr>
    </w:p>
    <w:p w:rsidR="00FB76CA" w:rsidRPr="00AC1663" w:rsidRDefault="00FB76CA" w:rsidP="00FB76CA">
      <w:pPr>
        <w:spacing w:after="0" w:line="360" w:lineRule="auto"/>
        <w:jc w:val="both"/>
        <w:rPr>
          <w:i/>
        </w:rPr>
      </w:pPr>
      <w:r>
        <w:t xml:space="preserve">Given my focus upon the qualitative experience of sexual activity in British prisons, detailing quantitative findings about </w:t>
      </w:r>
      <w:r w:rsidR="00314460">
        <w:t>its</w:t>
      </w:r>
      <w:r>
        <w:t xml:space="preserve"> extent serves little purpose. It suffices to note that, </w:t>
      </w:r>
      <w:r w:rsidR="008B314E">
        <w:t>in</w:t>
      </w:r>
      <w:r>
        <w:t xml:space="preserve"> an early </w:t>
      </w:r>
      <w:r w:rsidR="008B314E">
        <w:t xml:space="preserve">and relatively ambitious </w:t>
      </w:r>
      <w:r>
        <w:t>study, medical researchers (</w:t>
      </w:r>
      <w:proofErr w:type="spellStart"/>
      <w:r>
        <w:t>Strang</w:t>
      </w:r>
      <w:proofErr w:type="spellEnd"/>
      <w:r>
        <w:t xml:space="preserve"> </w:t>
      </w:r>
      <w:r w:rsidRPr="008808DA">
        <w:rPr>
          <w:i/>
        </w:rPr>
        <w:t>et al.</w:t>
      </w:r>
      <w:r w:rsidR="00F6739E">
        <w:t xml:space="preserve"> 1998; </w:t>
      </w:r>
      <w:r>
        <w:t>Green</w:t>
      </w:r>
      <w:r w:rsidRPr="004A1AB7">
        <w:rPr>
          <w:i/>
        </w:rPr>
        <w:t xml:space="preserve"> </w:t>
      </w:r>
      <w:r w:rsidRPr="00AC1663">
        <w:rPr>
          <w:i/>
        </w:rPr>
        <w:t>et al.</w:t>
      </w:r>
      <w:r>
        <w:t xml:space="preserve"> 2003) who interviewed 1009 randomly selected men in 13 English and Welsh prisons </w:t>
      </w:r>
      <w:r w:rsidRPr="0095157D">
        <w:t xml:space="preserve">concluded that between </w:t>
      </w:r>
      <w:r w:rsidRPr="0060122C">
        <w:rPr>
          <w:iCs/>
        </w:rPr>
        <w:t>1.6 and</w:t>
      </w:r>
      <w:r w:rsidRPr="0095157D">
        <w:rPr>
          <w:iCs/>
        </w:rPr>
        <w:t xml:space="preserve"> 3.4 per </w:t>
      </w:r>
      <w:r>
        <w:t xml:space="preserve">of the cohort </w:t>
      </w:r>
      <w:r w:rsidRPr="0095157D">
        <w:rPr>
          <w:iCs/>
        </w:rPr>
        <w:t xml:space="preserve">willingly had </w:t>
      </w:r>
      <w:r>
        <w:rPr>
          <w:iCs/>
        </w:rPr>
        <w:t xml:space="preserve">sex, while </w:t>
      </w:r>
      <w:r>
        <w:t xml:space="preserve">2 per cent </w:t>
      </w:r>
      <w:r w:rsidRPr="00FE2089">
        <w:t>had experienced unwanted sexual activity</w:t>
      </w:r>
      <w:r w:rsidRPr="0037214E">
        <w:t xml:space="preserve">. </w:t>
      </w:r>
      <w:r>
        <w:t xml:space="preserve"> The former figure corresponds with a recent survey of 5076 Scottish prisoners, of whom 2.5% reported having anal sex in prison (Taylor </w:t>
      </w:r>
      <w:r w:rsidRPr="00236B31">
        <w:rPr>
          <w:i/>
        </w:rPr>
        <w:t>et al.</w:t>
      </w:r>
      <w:r w:rsidR="006618F0">
        <w:t xml:space="preserve"> 2013). The latter figure resonates</w:t>
      </w:r>
      <w:r w:rsidR="00027437">
        <w:t xml:space="preserve"> </w:t>
      </w:r>
      <w:r>
        <w:t>with statistically reliable data derived from the</w:t>
      </w:r>
      <w:r w:rsidRPr="00D9094D">
        <w:rPr>
          <w:iCs/>
        </w:rPr>
        <w:t xml:space="preserve"> </w:t>
      </w:r>
      <w:r>
        <w:rPr>
          <w:iCs/>
        </w:rPr>
        <w:t xml:space="preserve">confidential prisoner surveys administered by Her Majesty’s Inspectorate of Prisons (HMIP) for England and Wales. These questionnaires, completed by </w:t>
      </w:r>
      <w:r w:rsidR="00027437">
        <w:rPr>
          <w:iCs/>
        </w:rPr>
        <w:t>up</w:t>
      </w:r>
      <w:r>
        <w:rPr>
          <w:iCs/>
        </w:rPr>
        <w:t xml:space="preserve"> to a third of the population, randomly selected, at every prison inspected, have consistently shown that </w:t>
      </w:r>
      <w:r>
        <w:t xml:space="preserve">one per cent of prisoners report sexual abuse from other prisoners or staff, rising to between two and three per cent for people with disabilities and Muslim prisoners (Howard League 2012). </w:t>
      </w:r>
    </w:p>
    <w:p w:rsidR="00FB76CA" w:rsidRDefault="00FB76CA" w:rsidP="00FB76CA">
      <w:pPr>
        <w:autoSpaceDE w:val="0"/>
        <w:autoSpaceDN w:val="0"/>
        <w:adjustRightInd w:val="0"/>
        <w:spacing w:after="0" w:line="360" w:lineRule="auto"/>
        <w:jc w:val="both"/>
      </w:pPr>
    </w:p>
    <w:p w:rsidR="00FB76CA" w:rsidRDefault="00FB76CA" w:rsidP="00FB76CA">
      <w:pPr>
        <w:spacing w:after="0" w:line="360" w:lineRule="auto"/>
        <w:jc w:val="both"/>
      </w:pPr>
      <w:r>
        <w:t xml:space="preserve">The paper </w:t>
      </w:r>
      <w:r>
        <w:rPr>
          <w:lang w:eastAsia="en-GB"/>
        </w:rPr>
        <w:t>is organized as follows: after describing the methods employed for this study, research findings about mastu</w:t>
      </w:r>
      <w:r w:rsidR="003F3E8A">
        <w:rPr>
          <w:lang w:eastAsia="en-GB"/>
        </w:rPr>
        <w:t>rbation, consensual sex, coercive</w:t>
      </w:r>
      <w:r>
        <w:rPr>
          <w:lang w:eastAsia="en-GB"/>
        </w:rPr>
        <w:t xml:space="preserve"> sex, and their implications, are discussed and illustrated through verbatim interview excerpts. Readers should be aware this necessitates the reproduction of sexually explicit language</w:t>
      </w:r>
      <w:r>
        <w:t xml:space="preserve">. </w:t>
      </w:r>
    </w:p>
    <w:p w:rsidR="00FB76CA" w:rsidRDefault="00FB76CA" w:rsidP="00FB76CA">
      <w:pPr>
        <w:spacing w:after="0" w:line="360" w:lineRule="auto"/>
        <w:jc w:val="center"/>
        <w:rPr>
          <w:i/>
          <w:lang w:val="en-US"/>
        </w:rPr>
      </w:pPr>
    </w:p>
    <w:p w:rsidR="00FB76CA" w:rsidRPr="007052D3" w:rsidRDefault="00FB76CA" w:rsidP="00FB76CA">
      <w:pPr>
        <w:spacing w:after="0" w:line="360" w:lineRule="auto"/>
        <w:jc w:val="center"/>
        <w:rPr>
          <w:i/>
          <w:lang w:val="en-US"/>
        </w:rPr>
      </w:pPr>
      <w:r>
        <w:rPr>
          <w:i/>
          <w:lang w:val="en-US"/>
        </w:rPr>
        <w:t xml:space="preserve">The </w:t>
      </w:r>
      <w:r w:rsidRPr="007052D3">
        <w:rPr>
          <w:i/>
          <w:lang w:val="en-US"/>
        </w:rPr>
        <w:t>study</w:t>
      </w:r>
    </w:p>
    <w:p w:rsidR="00FB76CA" w:rsidRDefault="00FB76CA" w:rsidP="00FB76CA">
      <w:pPr>
        <w:spacing w:after="0" w:line="360" w:lineRule="auto"/>
        <w:jc w:val="both"/>
        <w:rPr>
          <w:lang w:val="en-US"/>
        </w:rPr>
      </w:pPr>
    </w:p>
    <w:p w:rsidR="00FB76CA" w:rsidRPr="004C2407" w:rsidRDefault="004C2407" w:rsidP="00FB76CA">
      <w:pPr>
        <w:autoSpaceDE w:val="0"/>
        <w:autoSpaceDN w:val="0"/>
        <w:adjustRightInd w:val="0"/>
        <w:spacing w:after="0" w:line="360" w:lineRule="auto"/>
        <w:jc w:val="both"/>
      </w:pPr>
      <w:r>
        <w:t>A</w:t>
      </w:r>
      <w:r>
        <w:rPr>
          <w:lang w:val="en-US"/>
        </w:rPr>
        <w:t xml:space="preserve">n independent Commission on Sex in Prison was established </w:t>
      </w:r>
      <w:r>
        <w:t>by the charity, The Howard League for Penal Reform,</w:t>
      </w:r>
      <w:r>
        <w:rPr>
          <w:lang w:val="en-US"/>
        </w:rPr>
        <w:t xml:space="preserve"> in 2012</w:t>
      </w:r>
      <w:r>
        <w:t xml:space="preserve">. </w:t>
      </w:r>
      <w:r w:rsidR="00FB76CA">
        <w:t xml:space="preserve">Commissioners, who included politicians, lawyers, prison governors, and academics, </w:t>
      </w:r>
      <w:r w:rsidR="00FB76CA">
        <w:rPr>
          <w:lang w:val="en-US"/>
        </w:rPr>
        <w:t xml:space="preserve">received written and oral evidence, chiefly from voluntary and statutory agencies, during a series of seminars held over two years, with the aim of formulating </w:t>
      </w:r>
      <w:r w:rsidR="00FB76CA">
        <w:t>evidence-based policy recommendations for improving the health, well-being, and safety of prisoners and children in custody</w:t>
      </w:r>
      <w:r w:rsidR="00FB76CA">
        <w:rPr>
          <w:lang w:val="en-US"/>
        </w:rPr>
        <w:t xml:space="preserve">. </w:t>
      </w:r>
    </w:p>
    <w:p w:rsidR="00FB76CA" w:rsidRDefault="00FB76CA" w:rsidP="00FB76CA">
      <w:pPr>
        <w:spacing w:after="0" w:line="360" w:lineRule="auto"/>
        <w:jc w:val="both"/>
        <w:rPr>
          <w:rFonts w:ascii="HelveticaNeueLT-Light" w:hAnsi="HelveticaNeueLT-Light" w:cs="HelveticaNeueLT-Light"/>
        </w:rPr>
      </w:pPr>
    </w:p>
    <w:p w:rsidR="00FB76CA" w:rsidRPr="008A3A99" w:rsidRDefault="00FB76CA" w:rsidP="00FB76CA">
      <w:pPr>
        <w:spacing w:after="0" w:line="360" w:lineRule="auto"/>
        <w:jc w:val="both"/>
      </w:pPr>
      <w:r>
        <w:rPr>
          <w:lang w:val="en-US"/>
        </w:rPr>
        <w:t xml:space="preserve">As academic consultant to the Commission, I was tasked with conducting primary research with adults with direct experience of imprisonment. </w:t>
      </w:r>
      <w:r>
        <w:t>Permission to conduct research</w:t>
      </w:r>
      <w:r w:rsidRPr="00542C43">
        <w:t xml:space="preserve"> </w:t>
      </w:r>
      <w:r>
        <w:t xml:space="preserve">with </w:t>
      </w:r>
      <w:r w:rsidRPr="00542C43">
        <w:t xml:space="preserve">serving prisoners </w:t>
      </w:r>
      <w:r w:rsidR="00ED4062">
        <w:t xml:space="preserve">and </w:t>
      </w:r>
      <w:r w:rsidR="005F3047">
        <w:t xml:space="preserve">prison managers </w:t>
      </w:r>
      <w:r w:rsidR="00AB729D">
        <w:t>(</w:t>
      </w:r>
      <w:r w:rsidR="005F3047">
        <w:t xml:space="preserve">with responsibilities </w:t>
      </w:r>
      <w:r w:rsidR="00AB729D">
        <w:t xml:space="preserve">for </w:t>
      </w:r>
      <w:r w:rsidR="005F3047">
        <w:t xml:space="preserve">healthcare, equality and </w:t>
      </w:r>
      <w:r w:rsidR="005F3047">
        <w:lastRenderedPageBreak/>
        <w:t xml:space="preserve">diversity, safer custody, </w:t>
      </w:r>
      <w:r w:rsidR="0036266D">
        <w:t>and/</w:t>
      </w:r>
      <w:r w:rsidR="005F3047">
        <w:t>or violence reduction)</w:t>
      </w:r>
      <w:r w:rsidR="005F3047" w:rsidRPr="00542C43">
        <w:t xml:space="preserve"> </w:t>
      </w:r>
      <w:r w:rsidRPr="00542C43">
        <w:t xml:space="preserve">was refused by the </w:t>
      </w:r>
      <w:r w:rsidR="00DE031B">
        <w:t xml:space="preserve">National Research Committee of the </w:t>
      </w:r>
      <w:r w:rsidRPr="00542C43">
        <w:t xml:space="preserve">National Offender Management Service (NOMS), the government agency responsible for prisons and probation services in England and Wales. </w:t>
      </w:r>
      <w:r>
        <w:t>Two</w:t>
      </w:r>
      <w:r w:rsidRPr="00542C43">
        <w:t xml:space="preserve"> </w:t>
      </w:r>
      <w:r>
        <w:t xml:space="preserve">criminal justice charities instead agreed to place an advert inviting formerly imprisoned people, no longer subject to probation supervision, </w:t>
      </w:r>
      <w:r w:rsidRPr="00542C43">
        <w:t xml:space="preserve">to </w:t>
      </w:r>
      <w:r>
        <w:t>contact the researcher</w:t>
      </w:r>
      <w:r w:rsidRPr="00542C43">
        <w:t xml:space="preserve"> if they would be interested in being interviewed </w:t>
      </w:r>
      <w:r>
        <w:t>about ‘</w:t>
      </w:r>
      <w:r w:rsidRPr="00542C43">
        <w:t xml:space="preserve">their knowledge about or personal experience of sexual activity in prison’ or ‘if your experience is that sex </w:t>
      </w:r>
      <w:r>
        <w:t>…</w:t>
      </w:r>
      <w:r w:rsidRPr="00542C43">
        <w:t xml:space="preserve"> does not happen in prison.’ </w:t>
      </w:r>
    </w:p>
    <w:p w:rsidR="00FB76CA" w:rsidRDefault="00FB76CA" w:rsidP="00FB76CA">
      <w:pPr>
        <w:autoSpaceDE w:val="0"/>
        <w:autoSpaceDN w:val="0"/>
        <w:adjustRightInd w:val="0"/>
        <w:spacing w:after="0" w:line="360" w:lineRule="auto"/>
        <w:jc w:val="both"/>
      </w:pPr>
    </w:p>
    <w:p w:rsidR="00FB76CA" w:rsidRDefault="00FB76CA" w:rsidP="00FB76CA">
      <w:pPr>
        <w:spacing w:after="0" w:line="360" w:lineRule="auto"/>
        <w:jc w:val="both"/>
      </w:pPr>
      <w:r>
        <w:t>Of the 37 people who initially responded</w:t>
      </w:r>
      <w:r w:rsidRPr="00363C4C">
        <w:t xml:space="preserve">, seven chose not to proceed to interview, and four </w:t>
      </w:r>
      <w:r>
        <w:t>did not meet the inclusion criteria</w:t>
      </w:r>
      <w:r w:rsidRPr="00363C4C">
        <w:t xml:space="preserve">.  </w:t>
      </w:r>
      <w:r>
        <w:t>Of the remaining 26 participants, 24 were male. Twenty semi-structured interviews were conducted by telephone and six in person</w:t>
      </w:r>
      <w:r w:rsidR="00FC4CB6">
        <w:t xml:space="preserve">, </w:t>
      </w:r>
      <w:r>
        <w:t xml:space="preserve">during the summer of 2014. </w:t>
      </w:r>
      <w:r w:rsidRPr="00363C4C">
        <w:t>The average interview lasted approximately 45 minutes, though this ranged from 20 to 100 minutes.</w:t>
      </w:r>
      <w:r w:rsidRPr="00064C67">
        <w:rPr>
          <w:i/>
        </w:rPr>
        <w:t xml:space="preserve"> </w:t>
      </w:r>
      <w:r>
        <w:t xml:space="preserve">With participants’ consent, the interviews were audio recorded and, once transcribed, subjected to thematic analysis in order to identify and develop inductively </w:t>
      </w:r>
      <w:r>
        <w:rPr>
          <w:rFonts w:ascii="TimesNewRoman" w:hAnsi="TimesNewRoman" w:cs="TimesNewRoman"/>
          <w:color w:val="000000"/>
          <w:lang w:eastAsia="en-GB"/>
        </w:rPr>
        <w:t xml:space="preserve">the data’s key and recurring categories and their properties. </w:t>
      </w:r>
      <w:r>
        <w:t>For reasons of clarity, the discussion which follows reflects the male participants’ experiences</w:t>
      </w:r>
      <w:r>
        <w:rPr>
          <w:rStyle w:val="FootnoteReference"/>
        </w:rPr>
        <w:footnoteReference w:id="3"/>
      </w:r>
      <w:r>
        <w:t>. Where names are attributed to quotations, these are pseudonyms</w:t>
      </w:r>
      <w:r>
        <w:rPr>
          <w:rStyle w:val="FootnoteReference"/>
        </w:rPr>
        <w:footnoteReference w:id="4"/>
      </w:r>
      <w:r>
        <w:t xml:space="preserve">. </w:t>
      </w:r>
    </w:p>
    <w:p w:rsidR="00FB76CA" w:rsidRDefault="00FB76CA" w:rsidP="00FB76CA">
      <w:pPr>
        <w:autoSpaceDE w:val="0"/>
        <w:autoSpaceDN w:val="0"/>
        <w:adjustRightInd w:val="0"/>
        <w:spacing w:after="0" w:line="360" w:lineRule="auto"/>
        <w:jc w:val="both"/>
        <w:rPr>
          <w:rFonts w:ascii="TimesNewRoman" w:hAnsi="TimesNewRoman" w:cs="TimesNewRoman"/>
          <w:color w:val="000000"/>
          <w:lang w:eastAsia="en-GB"/>
        </w:rPr>
      </w:pPr>
    </w:p>
    <w:p w:rsidR="00CC1717" w:rsidRDefault="00CC1717" w:rsidP="00CC1717">
      <w:pPr>
        <w:autoSpaceDE w:val="0"/>
        <w:autoSpaceDN w:val="0"/>
        <w:adjustRightInd w:val="0"/>
        <w:spacing w:after="0" w:line="360" w:lineRule="auto"/>
        <w:jc w:val="both"/>
      </w:pPr>
      <w:r>
        <w:t>Most male interviewees had substantial, recent experience of imprisonment</w:t>
      </w:r>
      <w:r w:rsidR="00F86AF7">
        <w:t xml:space="preserve">, having served, on average, </w:t>
      </w:r>
      <w:r w:rsidR="00184CB2">
        <w:t xml:space="preserve">64.6 </w:t>
      </w:r>
      <w:r w:rsidR="00F86AF7">
        <w:t xml:space="preserve">months, within </w:t>
      </w:r>
      <w:r w:rsidR="00CF3785">
        <w:t xml:space="preserve">the last decade, </w:t>
      </w:r>
      <w:r w:rsidR="00F86AF7">
        <w:t>when aged in their 20s and 30s</w:t>
      </w:r>
      <w:r>
        <w:t xml:space="preserve">. Collectively, </w:t>
      </w:r>
      <w:r w:rsidR="00B709CA">
        <w:t>they</w:t>
      </w:r>
      <w:r>
        <w:t xml:space="preserve"> had resided in five Young Offenders’ Institutions and 64 adult prisons in England, Wales, and Scotland, encompassing the high security estate, </w:t>
      </w:r>
      <w:r w:rsidR="00DA4BFC">
        <w:t>long and medium</w:t>
      </w:r>
      <w:r>
        <w:t>-term training prisons, short-term local</w:t>
      </w:r>
      <w:r w:rsidR="008477F9">
        <w:t xml:space="preserve"> establishments</w:t>
      </w:r>
      <w:r w:rsidR="00314342">
        <w:t xml:space="preserve">, and open </w:t>
      </w:r>
      <w:r w:rsidR="00E077FB">
        <w:t>(minimal security) prisons</w:t>
      </w:r>
      <w:r w:rsidR="00C30FE9">
        <w:t xml:space="preserve">. </w:t>
      </w:r>
      <w:r>
        <w:t xml:space="preserve">Eleven </w:t>
      </w:r>
      <w:r w:rsidR="002D3BFF">
        <w:t>men</w:t>
      </w:r>
      <w:r>
        <w:t xml:space="preserve"> (46%</w:t>
      </w:r>
      <w:r w:rsidR="005979F1">
        <w:t xml:space="preserve"> of interviewees</w:t>
      </w:r>
      <w:r>
        <w:t>)</w:t>
      </w:r>
      <w:r w:rsidR="00461E28">
        <w:t xml:space="preserve"> </w:t>
      </w:r>
      <w:r>
        <w:t xml:space="preserve">had offended sexually and </w:t>
      </w:r>
      <w:r w:rsidR="00AA64E5">
        <w:t xml:space="preserve">so </w:t>
      </w:r>
      <w:r>
        <w:t xml:space="preserve">had served either the majority or entirety of their </w:t>
      </w:r>
      <w:r w:rsidRPr="00F34759">
        <w:t xml:space="preserve">sentence </w:t>
      </w:r>
      <w:r>
        <w:t xml:space="preserve">in </w:t>
      </w:r>
      <w:r w:rsidR="00F25816">
        <w:t>specialist ‘sex offender prisons’</w:t>
      </w:r>
      <w:r>
        <w:t>, or in</w:t>
      </w:r>
      <w:r w:rsidR="00AA64E5">
        <w:t xml:space="preserve"> a discrete ‘vulnerable prisoners’ unit’ (VPU) within an otherwise</w:t>
      </w:r>
      <w:r>
        <w:t xml:space="preserve"> ‘mainstream’ establishment</w:t>
      </w:r>
      <w:r>
        <w:rPr>
          <w:rStyle w:val="FootnoteReference"/>
        </w:rPr>
        <w:footnoteReference w:id="5"/>
      </w:r>
      <w:r w:rsidRPr="00F34759">
        <w:t xml:space="preserve">. </w:t>
      </w:r>
      <w:r>
        <w:t xml:space="preserve">The </w:t>
      </w:r>
      <w:r w:rsidR="00B709CA">
        <w:t>remaining</w:t>
      </w:r>
      <w:r>
        <w:t xml:space="preserve"> interviewees had been imprisoned for violence (33%), property and acquisitive offending (13%), and drug-related offences (8%).</w:t>
      </w:r>
    </w:p>
    <w:p w:rsidR="00CC1717" w:rsidRDefault="00CC1717" w:rsidP="00FB76CA">
      <w:pPr>
        <w:autoSpaceDE w:val="0"/>
        <w:autoSpaceDN w:val="0"/>
        <w:adjustRightInd w:val="0"/>
        <w:spacing w:after="0" w:line="360" w:lineRule="auto"/>
        <w:jc w:val="both"/>
      </w:pPr>
    </w:p>
    <w:p w:rsidR="008B00F9" w:rsidRDefault="00FB76CA" w:rsidP="008B00F9">
      <w:pPr>
        <w:autoSpaceDE w:val="0"/>
        <w:autoSpaceDN w:val="0"/>
        <w:adjustRightInd w:val="0"/>
        <w:spacing w:after="0" w:line="360" w:lineRule="auto"/>
        <w:jc w:val="both"/>
      </w:pPr>
      <w:r>
        <w:t>This article therefore draws upon qualitative d</w:t>
      </w:r>
      <w:r w:rsidRPr="00B307DC">
        <w:t xml:space="preserve">ata </w:t>
      </w:r>
      <w:r>
        <w:t xml:space="preserve">deriving from a small, self-selecting, self-reporting cohort, with all the caveats this attracts. In particular, this study does not, and did not aspire to, present statistically generalizable insights into the sexual behaviour of British prisoners. </w:t>
      </w:r>
      <w:r w:rsidR="008B00F9">
        <w:t>Rather, t</w:t>
      </w:r>
      <w:r>
        <w:t>he data is generated from 24 men who wanted and felt able to relate their prison experiences</w:t>
      </w:r>
      <w:r w:rsidR="008B00F9">
        <w:t xml:space="preserve">. Three points merit attention. First, </w:t>
      </w:r>
      <w:r w:rsidR="008B00F9" w:rsidRPr="001D0259">
        <w:t xml:space="preserve">retrospective </w:t>
      </w:r>
      <w:r w:rsidR="008B00F9">
        <w:t xml:space="preserve">accounts are always </w:t>
      </w:r>
      <w:r w:rsidR="008B00F9" w:rsidRPr="001D0259">
        <w:t>vulnerable to imperfect recall</w:t>
      </w:r>
      <w:r w:rsidR="00CC4C83">
        <w:t xml:space="preserve"> and the distorting influence of hindsight</w:t>
      </w:r>
      <w:r w:rsidR="008B00F9">
        <w:t xml:space="preserve">. When the subject matter is sensitive, however, geographical and psychic distance from those events can be advantageous. </w:t>
      </w:r>
      <w:r w:rsidR="00976933">
        <w:t xml:space="preserve"> </w:t>
      </w:r>
      <w:r w:rsidR="008B00F9">
        <w:t>Notably, several participants stated that they would not have felt able to “speak up” while imprisoned, for fear of “leakage” of their confidential data and the potential (discussed presently) for ridicule or retaliation from the prison community. These concerns may explain why former</w:t>
      </w:r>
      <w:r w:rsidR="00EF2E69">
        <w:t>, rather than serving,</w:t>
      </w:r>
      <w:r w:rsidR="001250EB">
        <w:t xml:space="preserve"> prisoners</w:t>
      </w:r>
      <w:r w:rsidR="008B00F9">
        <w:t xml:space="preserve"> </w:t>
      </w:r>
      <w:r w:rsidR="008B00F9" w:rsidRPr="00B73736">
        <w:t>typically</w:t>
      </w:r>
      <w:r w:rsidR="008B00F9" w:rsidRPr="008B4806">
        <w:t xml:space="preserve"> </w:t>
      </w:r>
      <w:r w:rsidR="008B00F9">
        <w:t xml:space="preserve">report higher rates of consensual (for example, </w:t>
      </w:r>
      <w:r w:rsidR="008B00F9" w:rsidRPr="001250EB">
        <w:t xml:space="preserve">Dolan </w:t>
      </w:r>
      <w:r w:rsidR="008B00F9" w:rsidRPr="001250EB">
        <w:rPr>
          <w:i/>
        </w:rPr>
        <w:t>et al.</w:t>
      </w:r>
      <w:r w:rsidR="008B00F9" w:rsidRPr="001250EB">
        <w:t xml:space="preserve"> 1990</w:t>
      </w:r>
      <w:r w:rsidR="00EF2E69">
        <w:t xml:space="preserve"> </w:t>
      </w:r>
      <w:r w:rsidR="00EF2E69" w:rsidRPr="00EF2E69">
        <w:rPr>
          <w:i/>
        </w:rPr>
        <w:t>cf.</w:t>
      </w:r>
      <w:r w:rsidR="00EF2E69" w:rsidRPr="00EF2E69">
        <w:t xml:space="preserve"> </w:t>
      </w:r>
      <w:r w:rsidR="00EF2E69" w:rsidRPr="005654C0">
        <w:t xml:space="preserve">Power </w:t>
      </w:r>
      <w:r w:rsidR="00EF2E69" w:rsidRPr="005654C0">
        <w:rPr>
          <w:i/>
        </w:rPr>
        <w:t xml:space="preserve">et al. </w:t>
      </w:r>
      <w:r w:rsidR="00EF2E69">
        <w:t>1991</w:t>
      </w:r>
      <w:r w:rsidR="00EF2E69" w:rsidRPr="00EF2E69">
        <w:t>)</w:t>
      </w:r>
      <w:r w:rsidR="00EF2E69">
        <w:rPr>
          <w:b/>
        </w:rPr>
        <w:t xml:space="preserve"> </w:t>
      </w:r>
      <w:r w:rsidR="003F3E8A">
        <w:t>and coercive</w:t>
      </w:r>
      <w:r w:rsidR="008B00F9">
        <w:t xml:space="preserve"> sex </w:t>
      </w:r>
      <w:r w:rsidR="008B00F9" w:rsidRPr="00EF2E69">
        <w:t>(Banbury 2004</w:t>
      </w:r>
      <w:r w:rsidR="00EF2E69" w:rsidRPr="00EF2E69">
        <w:rPr>
          <w:b/>
          <w:i/>
        </w:rPr>
        <w:t xml:space="preserve"> </w:t>
      </w:r>
      <w:r w:rsidR="00EF2E69" w:rsidRPr="00EF2E69">
        <w:rPr>
          <w:i/>
        </w:rPr>
        <w:t>cf.</w:t>
      </w:r>
      <w:r w:rsidR="00EF2E69" w:rsidRPr="00012F23">
        <w:rPr>
          <w:b/>
        </w:rPr>
        <w:t xml:space="preserve"> </w:t>
      </w:r>
      <w:r w:rsidR="00EF2E69">
        <w:t xml:space="preserve">Edgar </w:t>
      </w:r>
      <w:r w:rsidR="00EF2E69" w:rsidRPr="00EF2E69">
        <w:rPr>
          <w:i/>
        </w:rPr>
        <w:t>et al.</w:t>
      </w:r>
      <w:r w:rsidR="00EF2E69">
        <w:t xml:space="preserve"> 2003</w:t>
      </w:r>
      <w:r w:rsidR="008B00F9" w:rsidRPr="00EF2E69">
        <w:t>)</w:t>
      </w:r>
      <w:r w:rsidR="004151FC" w:rsidRPr="00012F23">
        <w:t xml:space="preserve"> </w:t>
      </w:r>
      <w:r w:rsidR="004151FC">
        <w:t>in prison</w:t>
      </w:r>
      <w:r w:rsidR="008B00F9">
        <w:t xml:space="preserve">. Second, </w:t>
      </w:r>
      <w:r w:rsidR="00ED4062">
        <w:t>c</w:t>
      </w:r>
      <w:r>
        <w:t xml:space="preserve">onsensual same-sex sexual activity in </w:t>
      </w:r>
      <w:r w:rsidR="008B4806">
        <w:t xml:space="preserve">custody </w:t>
      </w:r>
      <w:r>
        <w:t>is often a continuation of pre-prison behaviours (</w:t>
      </w:r>
      <w:r w:rsidRPr="005654C0">
        <w:t xml:space="preserve">Power </w:t>
      </w:r>
      <w:r w:rsidRPr="005654C0">
        <w:rPr>
          <w:i/>
        </w:rPr>
        <w:t xml:space="preserve">et al. </w:t>
      </w:r>
      <w:r w:rsidRPr="005654C0">
        <w:t>1991;</w:t>
      </w:r>
      <w:r>
        <w:t xml:space="preserve"> </w:t>
      </w:r>
      <w:proofErr w:type="spellStart"/>
      <w:r w:rsidRPr="00F50061">
        <w:t>Strang</w:t>
      </w:r>
      <w:proofErr w:type="spellEnd"/>
      <w:r w:rsidRPr="00F50061">
        <w:t xml:space="preserve"> </w:t>
      </w:r>
      <w:r>
        <w:rPr>
          <w:i/>
        </w:rPr>
        <w:t>et al.</w:t>
      </w:r>
      <w:r w:rsidRPr="00F50061">
        <w:t xml:space="preserve"> 1998</w:t>
      </w:r>
      <w:r>
        <w:t>).  It is therefore significant that of the eight interviewees who reported having consensual sex in prison, five had experienced male-to-male sex prior to entering prison, while two “discovered” their sexual orientation towards men in prison.</w:t>
      </w:r>
      <w:r w:rsidRPr="00CA4D37">
        <w:t xml:space="preserve"> </w:t>
      </w:r>
      <w:r>
        <w:t xml:space="preserve"> </w:t>
      </w:r>
      <w:r w:rsidR="008B00F9">
        <w:t>Third</w:t>
      </w:r>
      <w:r>
        <w:t xml:space="preserve">, very young men, homosexual and bisexual prisoners, and men imprisoned for sexual offences, are at greater risk of sexual assault (Banbury 2004; Hensley </w:t>
      </w:r>
      <w:r w:rsidRPr="003E6E42">
        <w:rPr>
          <w:i/>
        </w:rPr>
        <w:t>et al.</w:t>
      </w:r>
      <w:r>
        <w:t xml:space="preserve"> 2005). Of the three </w:t>
      </w:r>
      <w:r w:rsidR="00890EB6">
        <w:t>rape survivors</w:t>
      </w:r>
      <w:r>
        <w:t xml:space="preserve">, one was 20 years when transferred to an adult </w:t>
      </w:r>
      <w:proofErr w:type="gramStart"/>
      <w:r>
        <w:t>prison,</w:t>
      </w:r>
      <w:proofErr w:type="gramEnd"/>
      <w:r>
        <w:t xml:space="preserve"> one was gay, and one, a sexual offender.  Of the three (other) men who had been sexually threatened, two were sexual offenders, one of whom was gay. </w:t>
      </w:r>
      <w:r w:rsidR="008B00F9">
        <w:t xml:space="preserve">The value of this article therefore lies in its inclusion of testimonies from </w:t>
      </w:r>
      <w:r>
        <w:t>the marginalized men from whom one otherwise rarely hears when discussing victimization between prisoners (O’Donnell 2004)</w:t>
      </w:r>
      <w:r w:rsidR="008B00F9">
        <w:t>; its identification of the culture of denial which characterises NOMS’s approach to sexual expression and activity among prisoners; and</w:t>
      </w:r>
      <w:r w:rsidR="008B314E">
        <w:t xml:space="preserve"> </w:t>
      </w:r>
      <w:r w:rsidR="008B00F9">
        <w:t xml:space="preserve">the framework of enquiry it </w:t>
      </w:r>
      <w:r w:rsidR="008B314E">
        <w:t>present</w:t>
      </w:r>
      <w:r w:rsidR="008B00F9">
        <w:t xml:space="preserve">s, </w:t>
      </w:r>
      <w:r w:rsidR="008B314E">
        <w:t xml:space="preserve">and </w:t>
      </w:r>
      <w:r w:rsidR="008B00F9">
        <w:t xml:space="preserve">upon which researchers may in future be able to build. </w:t>
      </w:r>
    </w:p>
    <w:p w:rsidR="00FB76CA" w:rsidRDefault="00FB76CA" w:rsidP="00FB76CA">
      <w:pPr>
        <w:spacing w:after="0" w:line="360" w:lineRule="auto"/>
        <w:jc w:val="center"/>
        <w:rPr>
          <w:i/>
        </w:rPr>
      </w:pPr>
    </w:p>
    <w:p w:rsidR="00FB76CA" w:rsidRDefault="00FB76CA" w:rsidP="00FB76CA">
      <w:pPr>
        <w:spacing w:after="0" w:line="360" w:lineRule="auto"/>
        <w:jc w:val="center"/>
        <w:rPr>
          <w:i/>
        </w:rPr>
      </w:pPr>
      <w:r>
        <w:rPr>
          <w:i/>
        </w:rPr>
        <w:t>Prisoners as sexual beings</w:t>
      </w:r>
    </w:p>
    <w:p w:rsidR="00FB76CA" w:rsidRDefault="00FB76CA" w:rsidP="00FB76CA">
      <w:pPr>
        <w:rPr>
          <w:i/>
        </w:rPr>
      </w:pPr>
    </w:p>
    <w:p w:rsidR="00FB76CA" w:rsidRPr="003E742B" w:rsidRDefault="00FB76CA" w:rsidP="00FB76CA">
      <w:pPr>
        <w:spacing w:after="0"/>
        <w:ind w:left="1440"/>
        <w:jc w:val="both"/>
      </w:pPr>
      <w:r w:rsidRPr="003E742B">
        <w:rPr>
          <w:i/>
        </w:rPr>
        <w:t>Of course</w:t>
      </w:r>
      <w:r w:rsidRPr="003E742B">
        <w:t xml:space="preserve"> people have sex in prison. Why wouldn’t they? We’re still human beings. Those feelings don’t go away just because you’re banged up.</w:t>
      </w:r>
    </w:p>
    <w:p w:rsidR="00FB76CA" w:rsidRPr="003E742B" w:rsidRDefault="00FB76CA" w:rsidP="00FB76CA">
      <w:pPr>
        <w:ind w:left="7200" w:firstLine="720"/>
      </w:pPr>
      <w:r w:rsidRPr="003E742B">
        <w:t>(Ryan)</w:t>
      </w:r>
    </w:p>
    <w:p w:rsidR="00FB76CA" w:rsidRDefault="00FB76CA" w:rsidP="00FB76CA">
      <w:pPr>
        <w:spacing w:after="0" w:line="360" w:lineRule="auto"/>
        <w:jc w:val="both"/>
      </w:pPr>
    </w:p>
    <w:p w:rsidR="00FB76CA" w:rsidRPr="00AA1110" w:rsidRDefault="00FB76CA" w:rsidP="00FB76CA">
      <w:pPr>
        <w:spacing w:after="0" w:line="360" w:lineRule="auto"/>
        <w:jc w:val="both"/>
      </w:pPr>
      <w:r>
        <w:lastRenderedPageBreak/>
        <w:t>In British law, an inescapable consequence of the imposition of a custodial sentence is the curtailment of many of the rights enjoyed by other citizens</w:t>
      </w:r>
      <w:r>
        <w:rPr>
          <w:rStyle w:val="FootnoteReference"/>
        </w:rPr>
        <w:footnoteReference w:id="6"/>
      </w:r>
      <w:r>
        <w:t xml:space="preserve">. Since all British prisons are same-sex, and (unlike other comparable jurisdictions) private family (‘conjugal’) visits are prohibited, prisoners accordingly suffer no human rights infringements by being deprived </w:t>
      </w:r>
      <w:r w:rsidR="0036266D">
        <w:t xml:space="preserve">of </w:t>
      </w:r>
      <w:r>
        <w:t>heterosexual relationships; nor do they possess  any  unqualified entitlement to be located near to, or share a cell with, an imprisoned same-sex partner</w:t>
      </w:r>
      <w:r>
        <w:rPr>
          <w:rStyle w:val="FootnoteReference"/>
        </w:rPr>
        <w:footnoteReference w:id="7"/>
      </w:r>
      <w:r>
        <w:t>.  Yet, the fact of imprisonment does not of itself automatically extinguish interest in or longing for emotional intimacy generally, and sexual intercourse specifically.</w:t>
      </w:r>
      <w:r w:rsidRPr="0010741F">
        <w:t xml:space="preserve"> </w:t>
      </w:r>
      <w:r>
        <w:t xml:space="preserve">Consequently, and especially among long-term male prisoners, enforced celibacy, and the cumulative sexual frustration which results, is experienced as a peculiarly punishing and painful aspect of incarceration (Sykes 1958; </w:t>
      </w:r>
      <w:proofErr w:type="spellStart"/>
      <w:r>
        <w:t>Hulley</w:t>
      </w:r>
      <w:proofErr w:type="spellEnd"/>
      <w:r>
        <w:t xml:space="preserve"> </w:t>
      </w:r>
      <w:r w:rsidRPr="00050A98">
        <w:rPr>
          <w:i/>
        </w:rPr>
        <w:t>et al.</w:t>
      </w:r>
      <w:r>
        <w:t xml:space="preserve"> 2016</w:t>
      </w:r>
      <w:r w:rsidRPr="00AA1110">
        <w:t xml:space="preserve">). </w:t>
      </w:r>
    </w:p>
    <w:p w:rsidR="00FB76CA" w:rsidRDefault="00FB76CA" w:rsidP="00FB76CA">
      <w:pPr>
        <w:spacing w:after="0" w:line="360" w:lineRule="auto"/>
        <w:jc w:val="both"/>
      </w:pPr>
    </w:p>
    <w:p w:rsidR="00FB76CA" w:rsidRDefault="00FB76CA" w:rsidP="00FB76CA">
      <w:pPr>
        <w:spacing w:after="0" w:line="360" w:lineRule="auto"/>
        <w:jc w:val="both"/>
      </w:pPr>
      <w:r>
        <w:t xml:space="preserve">It is an uncontroversial observation that nearly all male prisoners seek to </w:t>
      </w:r>
      <w:r w:rsidR="0058794B">
        <w:t xml:space="preserve">lessen </w:t>
      </w:r>
      <w:r>
        <w:t xml:space="preserve">this pain and relieve this frustration through masturbation (Hensley </w:t>
      </w:r>
      <w:r w:rsidRPr="00F2263E">
        <w:rPr>
          <w:i/>
        </w:rPr>
        <w:t>et al.</w:t>
      </w:r>
      <w:r>
        <w:t xml:space="preserve"> 2001</w:t>
      </w:r>
      <w:r w:rsidRPr="00D67CB7">
        <w:t>).</w:t>
      </w:r>
      <w:r>
        <w:t xml:space="preserve"> Arousal and enjoyment may be enhanced by the visual stimuli provided by pornographic magazines, which prisoners are permitted to purchase as long as the material is not “</w:t>
      </w:r>
      <w:proofErr w:type="spellStart"/>
      <w:r>
        <w:t>hardcore</w:t>
      </w:r>
      <w:proofErr w:type="spellEnd"/>
      <w:r>
        <w:t>”: a definition determined locally but which excludes images which are “gynaecological” or of erect penises</w:t>
      </w:r>
      <w:r>
        <w:rPr>
          <w:rStyle w:val="FootnoteReference"/>
        </w:rPr>
        <w:footnoteReference w:id="8"/>
      </w:r>
      <w:r>
        <w:t xml:space="preserve">. Inevitably, an illicit rental market also exists, notwithstanding the dubious delights of “second-hand </w:t>
      </w:r>
      <w:proofErr w:type="spellStart"/>
      <w:r>
        <w:t>wank</w:t>
      </w:r>
      <w:proofErr w:type="spellEnd"/>
      <w:r>
        <w:t xml:space="preserve"> mags with the best pages stuck together.”  Less frequently noted, however, is that since two thirds of all prisons</w:t>
      </w:r>
      <w:r w:rsidRPr="002C7B12">
        <w:t xml:space="preserve"> </w:t>
      </w:r>
      <w:r>
        <w:t>in England and Wales are overcrowded (</w:t>
      </w:r>
      <w:r w:rsidRPr="00B16175">
        <w:t>Ministry of Justice 2016</w:t>
      </w:r>
      <w:r>
        <w:t>a</w:t>
      </w:r>
      <w:r w:rsidRPr="00B16175">
        <w:t>)</w:t>
      </w:r>
      <w:r>
        <w:t xml:space="preserve">, many prisoners are ‘doubled up’ in a cell originally intended for single occupancy and therefore people with usually no prior acquaintanceship must sleep, wash, eat, urinate, defecate – and masturbate – in very close proximity.  </w:t>
      </w:r>
    </w:p>
    <w:p w:rsidR="00FB76CA" w:rsidRDefault="00FB76CA" w:rsidP="00FB76CA">
      <w:pPr>
        <w:spacing w:after="0" w:line="360" w:lineRule="auto"/>
        <w:jc w:val="both"/>
      </w:pPr>
    </w:p>
    <w:p w:rsidR="00FB76CA" w:rsidRDefault="00FB76CA" w:rsidP="00FB76CA">
      <w:pPr>
        <w:spacing w:after="0" w:line="360" w:lineRule="auto"/>
        <w:jc w:val="both"/>
      </w:pPr>
      <w:r>
        <w:t xml:space="preserve">To </w:t>
      </w:r>
      <w:r w:rsidR="0058794B">
        <w:t xml:space="preserve">manage </w:t>
      </w:r>
      <w:r>
        <w:t xml:space="preserve">(incompletely) the resulting deprivation of dignity such lack of privacy creates, an “etiquette of masturbation” has developed which is as much a part of the </w:t>
      </w:r>
      <w:r>
        <w:rPr>
          <w:i/>
        </w:rPr>
        <w:t>savoir-</w:t>
      </w:r>
      <w:r w:rsidRPr="00C229EB">
        <w:rPr>
          <w:i/>
        </w:rPr>
        <w:t>vivre</w:t>
      </w:r>
      <w:r>
        <w:t xml:space="preserve"> of the prison community as other, more openly approved and sociologically scrutinized elements of the prisoner code.  Thus the “considerate” cellmate masturbates “discretely” and “very, very quietly”: unobtrusively and preferably, unobserved. This typically means waiting for one’s </w:t>
      </w:r>
      <w:r>
        <w:lastRenderedPageBreak/>
        <w:t>cellmate to fall asleep, but also capitalizing upon opportunities for “</w:t>
      </w:r>
      <w:proofErr w:type="spellStart"/>
      <w:r>
        <w:t>wank</w:t>
      </w:r>
      <w:proofErr w:type="spellEnd"/>
      <w:r>
        <w:t xml:space="preserve"> fests” when guaranteed time alone; for example, when one’s cellmate is receiving a two hour </w:t>
      </w:r>
      <w:r w:rsidR="00972EC6">
        <w:t xml:space="preserve">social </w:t>
      </w:r>
      <w:r>
        <w:t xml:space="preserve">visit. Such occasions </w:t>
      </w:r>
      <w:r w:rsidR="00C35259">
        <w:t>provoke</w:t>
      </w:r>
      <w:r>
        <w:t xml:space="preserve"> much good-humoured teasing between prisoners about the physical effects and observable </w:t>
      </w:r>
      <w:r w:rsidR="00BC74B8">
        <w:t>evidence</w:t>
      </w:r>
      <w:r>
        <w:t xml:space="preserve"> of excessive masturbation (“wrist sprain”, “calluses on the palm of my hand”, “the pallor of the obsessive wanker”),  but also some competitive boasting about one’s stamina, prowess, and the frequency required “to empty the tank”. </w:t>
      </w:r>
    </w:p>
    <w:p w:rsidR="00FB76CA" w:rsidRDefault="00FB76CA" w:rsidP="00FB76CA">
      <w:pPr>
        <w:spacing w:after="0" w:line="360" w:lineRule="auto"/>
        <w:jc w:val="both"/>
      </w:pPr>
    </w:p>
    <w:p w:rsidR="00FB76CA" w:rsidRPr="00050316" w:rsidRDefault="00FB76CA" w:rsidP="00FB76CA">
      <w:pPr>
        <w:spacing w:after="0" w:line="360" w:lineRule="auto"/>
        <w:jc w:val="both"/>
      </w:pPr>
      <w:r>
        <w:t>Interviewees’</w:t>
      </w:r>
      <w:r w:rsidRPr="0012059B">
        <w:t xml:space="preserve"> many jocular accounts of frantic and furtive autoeroticism</w:t>
      </w:r>
      <w:r>
        <w:t xml:space="preserve"> indicated that </w:t>
      </w:r>
      <w:r w:rsidRPr="0012059B">
        <w:t>some prisoners are able to re</w:t>
      </w:r>
      <w:r>
        <w:t xml:space="preserve">frame </w:t>
      </w:r>
      <w:r w:rsidRPr="0012059B">
        <w:t xml:space="preserve">their </w:t>
      </w:r>
      <w:r>
        <w:t>predicam</w:t>
      </w:r>
      <w:r w:rsidR="00972EC6">
        <w:t xml:space="preserve">ent agentically. </w:t>
      </w:r>
      <w:proofErr w:type="gramStart"/>
      <w:r w:rsidR="00972EC6">
        <w:t>Asserting that</w:t>
      </w:r>
      <w:r>
        <w:t xml:space="preserve"> “For men, sex is a physical need, a need for sexual release.</w:t>
      </w:r>
      <w:proofErr w:type="gramEnd"/>
      <w:r>
        <w:t xml:space="preserve"> An erect penis must be attended to” (Sean), </w:t>
      </w:r>
      <w:r w:rsidRPr="0012059B">
        <w:t xml:space="preserve">serves to affirm one’s </w:t>
      </w:r>
      <w:r>
        <w:t xml:space="preserve">continuing, </w:t>
      </w:r>
      <w:r w:rsidRPr="0012059B">
        <w:t>sovereign, hydraulic</w:t>
      </w:r>
      <w:r>
        <w:t xml:space="preserve">, sexual potency and so resists the spectre of ‘figurative castration’ (Sykes 1958: 70) which involuntary celibacy otherwise threatens. Among heterosexual men, recalling one’s sexual exploits, anticipating future conquests, or commenting upon the perceived physical attractiveness of the female staff “keeps you in the game”. In the gendered context of the prison, however, even normative displays of masculine performance tend to mask other, less acceptable, and hence publically inadmissible, anxieties and sorrows (Newton 1994; </w:t>
      </w:r>
      <w:proofErr w:type="spellStart"/>
      <w:r>
        <w:t>Jewkes</w:t>
      </w:r>
      <w:proofErr w:type="spellEnd"/>
      <w:r>
        <w:t xml:space="preserve"> 2005). Men’s objectification of women additionally communicates the reassuring sub-text: ‘I fancy women, ergo, I am not gay’; while evoking images of the female form, whether discursively and collectively through sexually explicit banter between men, or cognitively in moments of self-reflection, </w:t>
      </w:r>
      <w:r w:rsidR="00440CD3">
        <w:t>further</w:t>
      </w:r>
      <w:r>
        <w:t xml:space="preserve"> reinforces the sexual unavailability of women. Memories of, or fantasizing about, a lover can both soothe and distress: to remember is to be reminded of what one has lost. The centrality of this psychological pain</w:t>
      </w:r>
      <w:r w:rsidRPr="005802B4">
        <w:t xml:space="preserve"> </w:t>
      </w:r>
      <w:r>
        <w:t xml:space="preserve">to the prison experience, and its </w:t>
      </w:r>
      <w:r w:rsidR="00440CD3">
        <w:t xml:space="preserve">only </w:t>
      </w:r>
      <w:r>
        <w:t>partial remedy through masturbation, was powerfully articulated by Lucas</w:t>
      </w:r>
      <w:r w:rsidRPr="00050316">
        <w:t xml:space="preserve">:  </w:t>
      </w:r>
    </w:p>
    <w:p w:rsidR="00FB76CA" w:rsidRDefault="00FB76CA" w:rsidP="00FB76CA">
      <w:pPr>
        <w:ind w:left="1440"/>
        <w:rPr>
          <w:bCs/>
        </w:rPr>
      </w:pPr>
    </w:p>
    <w:p w:rsidR="00FB76CA" w:rsidRDefault="00FB76CA" w:rsidP="00FB76CA">
      <w:pPr>
        <w:ind w:left="720"/>
        <w:jc w:val="both"/>
        <w:rPr>
          <w:bCs/>
        </w:rPr>
      </w:pPr>
      <w:r>
        <w:rPr>
          <w:bCs/>
        </w:rPr>
        <w:t>I’ll tell you what my abiding memory of prison is.  It’s staring at the wall, w</w:t>
      </w:r>
      <w:r w:rsidRPr="005B1038">
        <w:rPr>
          <w:bCs/>
        </w:rPr>
        <w:t xml:space="preserve">anking yourself off, night after night, trying to remember the touch of a </w:t>
      </w:r>
      <w:r>
        <w:rPr>
          <w:bCs/>
        </w:rPr>
        <w:t xml:space="preserve">woman, her taste, her smell; holding your cock in your hand and trying to remember how it </w:t>
      </w:r>
      <w:r w:rsidRPr="00E71826">
        <w:rPr>
          <w:bCs/>
          <w:i/>
        </w:rPr>
        <w:t>feels</w:t>
      </w:r>
      <w:r>
        <w:rPr>
          <w:bCs/>
        </w:rPr>
        <w:t xml:space="preserve"> to be with a woman. That’s prison.    </w:t>
      </w:r>
    </w:p>
    <w:p w:rsidR="00FB76CA" w:rsidRPr="00134EA2" w:rsidRDefault="00FB76CA" w:rsidP="00FB76CA">
      <w:pPr>
        <w:ind w:left="720"/>
        <w:jc w:val="both"/>
        <w:rPr>
          <w:bCs/>
        </w:rPr>
      </w:pPr>
    </w:p>
    <w:p w:rsidR="00FB76CA" w:rsidRDefault="00FB76CA" w:rsidP="00FB76CA">
      <w:pPr>
        <w:spacing w:after="0" w:line="360" w:lineRule="auto"/>
        <w:jc w:val="both"/>
      </w:pPr>
      <w:r>
        <w:t xml:space="preserve">Researchers have therefore long recognized that people in prison experience, and attempt to </w:t>
      </w:r>
      <w:r w:rsidR="0058794B">
        <w:t xml:space="preserve">alleviate </w:t>
      </w:r>
      <w:r>
        <w:t xml:space="preserve">through masturbation, sexual frustration. Prison officers are necessarily aware of the delivery to the wing and possession of pornography and so it requires little imagination, if the officer chooses to imagine, the masturbatory aid pornography provides. Indeed, </w:t>
      </w:r>
      <w:r>
        <w:lastRenderedPageBreak/>
        <w:t xml:space="preserve">“understanding” (and especially female) prison officers, interviewees noted, knock and pause before entering a cell and have “the good sense not to look” through the cell’s observation flap at night. The wider implications of this public knowledge about a private activity, however, have been largely occluded by prison authorities and in prison studies. By not thinking about masturbation as </w:t>
      </w:r>
      <w:r w:rsidR="00BC74B8">
        <w:t>an indicator</w:t>
      </w:r>
      <w:r w:rsidR="0058794B">
        <w:t xml:space="preserve"> </w:t>
      </w:r>
      <w:r>
        <w:t xml:space="preserve">of continuing libido, it is easier to avoid thinking about the otherwise obvious, if inconvenient, truth that the sexual desires of, in particular, “testosterone-charged young men” cannot be “turned off like a tap” upon entering prison; and easier to avoid questioning how likely it is that the primal urge for sex is quelled merely by the knowledge, among law-breakers, of the legality of the ban on intimate relations within prison. Such unprocessed awareness and ‘not quite conscious’ evasion of facts (Cohen 2001: 5) matters because it is this institutionalized reluctance to perceive prisoners as sexual beings, and the attendant invisibility of and silence surrounding their sexual needs, which provides the basis upon which sexual activity can be not seen and not </w:t>
      </w:r>
      <w:r w:rsidR="00F7707F">
        <w:t>thought about, and hence denied</w:t>
      </w:r>
      <w:r>
        <w:t xml:space="preserve">. </w:t>
      </w:r>
    </w:p>
    <w:p w:rsidR="00FB76CA" w:rsidRDefault="00FB76CA" w:rsidP="00FB76CA">
      <w:pPr>
        <w:jc w:val="center"/>
        <w:rPr>
          <w:i/>
        </w:rPr>
      </w:pPr>
    </w:p>
    <w:p w:rsidR="00FB76CA" w:rsidRDefault="00FB76CA" w:rsidP="00FB76CA">
      <w:pPr>
        <w:jc w:val="center"/>
        <w:rPr>
          <w:i/>
        </w:rPr>
      </w:pPr>
      <w:r>
        <w:rPr>
          <w:i/>
        </w:rPr>
        <w:t>Consensual sex</w:t>
      </w:r>
    </w:p>
    <w:p w:rsidR="00FB76CA" w:rsidRDefault="00FB76CA" w:rsidP="00FB76CA">
      <w:pPr>
        <w:spacing w:after="0" w:line="240" w:lineRule="auto"/>
        <w:jc w:val="center"/>
        <w:rPr>
          <w:i/>
        </w:rPr>
      </w:pPr>
    </w:p>
    <w:p w:rsidR="00FB76CA" w:rsidRPr="007268BC" w:rsidRDefault="00FB76CA" w:rsidP="00FB76CA">
      <w:pPr>
        <w:spacing w:after="0" w:line="240" w:lineRule="auto"/>
        <w:ind w:left="1440"/>
        <w:jc w:val="both"/>
      </w:pPr>
      <w:r w:rsidRPr="007268BC">
        <w:t xml:space="preserve">Oh my god, it was like I’d died and gone to heaven! As a gay man, prison was a fabulous sexual experience. I’ve never had so much sex. I was </w:t>
      </w:r>
      <w:r w:rsidRPr="007268BC">
        <w:rPr>
          <w:i/>
        </w:rPr>
        <w:t>very</w:t>
      </w:r>
      <w:r>
        <w:t xml:space="preserve"> popular, and I loved it! </w:t>
      </w:r>
    </w:p>
    <w:p w:rsidR="00FB76CA" w:rsidRDefault="00FB76CA" w:rsidP="00FB76CA">
      <w:pPr>
        <w:spacing w:after="0" w:line="240" w:lineRule="auto"/>
        <w:ind w:left="1440"/>
        <w:rPr>
          <w:rStyle w:val="apple-converted-space"/>
          <w:color w:val="000000"/>
        </w:rPr>
      </w:pPr>
      <w:r>
        <w:rPr>
          <w:rStyle w:val="apple-converted-space"/>
          <w:color w:val="000000"/>
        </w:rPr>
        <w:tab/>
      </w:r>
      <w:r>
        <w:rPr>
          <w:rStyle w:val="apple-converted-space"/>
          <w:color w:val="000000"/>
        </w:rPr>
        <w:tab/>
      </w:r>
      <w:r>
        <w:rPr>
          <w:rStyle w:val="apple-converted-space"/>
          <w:color w:val="000000"/>
        </w:rPr>
        <w:tab/>
      </w:r>
      <w:r>
        <w:rPr>
          <w:rStyle w:val="apple-converted-space"/>
          <w:color w:val="000000"/>
        </w:rPr>
        <w:tab/>
      </w:r>
      <w:r>
        <w:rPr>
          <w:rStyle w:val="apple-converted-space"/>
          <w:color w:val="000000"/>
        </w:rPr>
        <w:tab/>
      </w:r>
      <w:r>
        <w:rPr>
          <w:rStyle w:val="apple-converted-space"/>
          <w:color w:val="000000"/>
        </w:rPr>
        <w:tab/>
      </w:r>
      <w:r>
        <w:rPr>
          <w:rStyle w:val="apple-converted-space"/>
          <w:color w:val="000000"/>
        </w:rPr>
        <w:tab/>
      </w:r>
      <w:r>
        <w:rPr>
          <w:rStyle w:val="apple-converted-space"/>
          <w:color w:val="000000"/>
        </w:rPr>
        <w:tab/>
        <w:t xml:space="preserve">(Craig) </w:t>
      </w:r>
    </w:p>
    <w:p w:rsidR="00FB76CA" w:rsidRDefault="00FB76CA" w:rsidP="00FB76CA">
      <w:pPr>
        <w:spacing w:after="0" w:line="240" w:lineRule="auto"/>
        <w:ind w:left="1440"/>
        <w:rPr>
          <w:i/>
        </w:rPr>
      </w:pPr>
      <w:r>
        <w:rPr>
          <w:rStyle w:val="apple-converted-space"/>
          <w:color w:val="000000"/>
        </w:rPr>
        <w:tab/>
      </w:r>
    </w:p>
    <w:p w:rsidR="00FB76CA" w:rsidRDefault="00FB76CA" w:rsidP="00FB76CA">
      <w:pPr>
        <w:spacing w:after="0" w:line="360" w:lineRule="auto"/>
        <w:jc w:val="both"/>
      </w:pPr>
    </w:p>
    <w:p w:rsidR="00FB76CA" w:rsidRDefault="00FB76CA" w:rsidP="00FB76CA">
      <w:pPr>
        <w:pStyle w:val="FootnoteText"/>
        <w:spacing w:line="360" w:lineRule="auto"/>
        <w:jc w:val="both"/>
        <w:rPr>
          <w:sz w:val="24"/>
          <w:szCs w:val="24"/>
        </w:rPr>
      </w:pPr>
      <w:r w:rsidRPr="00C30949">
        <w:rPr>
          <w:sz w:val="24"/>
          <w:szCs w:val="24"/>
        </w:rPr>
        <w:t>There is no specific rule pr</w:t>
      </w:r>
      <w:r>
        <w:rPr>
          <w:sz w:val="24"/>
          <w:szCs w:val="24"/>
        </w:rPr>
        <w:t>ohibiting sex between prisoners.</w:t>
      </w:r>
      <w:r w:rsidRPr="00C30949">
        <w:rPr>
          <w:sz w:val="24"/>
          <w:szCs w:val="24"/>
        </w:rPr>
        <w:t xml:space="preserve"> </w:t>
      </w:r>
      <w:r w:rsidRPr="00E46749">
        <w:rPr>
          <w:i/>
          <w:sz w:val="24"/>
          <w:szCs w:val="24"/>
        </w:rPr>
        <w:t>O</w:t>
      </w:r>
      <w:r w:rsidRPr="00C30949">
        <w:rPr>
          <w:i/>
          <w:sz w:val="24"/>
          <w:szCs w:val="24"/>
        </w:rPr>
        <w:t>bserved</w:t>
      </w:r>
      <w:r w:rsidRPr="00C30949">
        <w:rPr>
          <w:sz w:val="24"/>
          <w:szCs w:val="24"/>
        </w:rPr>
        <w:t xml:space="preserve"> sexual activity</w:t>
      </w:r>
      <w:r>
        <w:rPr>
          <w:sz w:val="24"/>
          <w:szCs w:val="24"/>
        </w:rPr>
        <w:t xml:space="preserve"> may result in a disciplinary charge</w:t>
      </w:r>
      <w:r w:rsidR="00EF21C5">
        <w:rPr>
          <w:rStyle w:val="FootnoteReference"/>
          <w:sz w:val="24"/>
          <w:szCs w:val="24"/>
        </w:rPr>
        <w:footnoteReference w:id="9"/>
      </w:r>
      <w:r w:rsidR="00957EF5">
        <w:rPr>
          <w:sz w:val="24"/>
          <w:szCs w:val="24"/>
        </w:rPr>
        <w:t xml:space="preserve"> and </w:t>
      </w:r>
      <w:r w:rsidRPr="00C30949">
        <w:rPr>
          <w:sz w:val="24"/>
          <w:szCs w:val="24"/>
        </w:rPr>
        <w:t>losses of incentives and earned privileges</w:t>
      </w:r>
      <w:r w:rsidR="002035A2">
        <w:rPr>
          <w:rStyle w:val="FootnoteReference"/>
          <w:sz w:val="24"/>
          <w:szCs w:val="24"/>
        </w:rPr>
        <w:footnoteReference w:id="10"/>
      </w:r>
      <w:r w:rsidRPr="00C30949">
        <w:rPr>
          <w:sz w:val="24"/>
          <w:szCs w:val="24"/>
        </w:rPr>
        <w:t>.</w:t>
      </w:r>
      <w:r>
        <w:rPr>
          <w:sz w:val="24"/>
          <w:szCs w:val="24"/>
        </w:rPr>
        <w:t xml:space="preserve"> NOMS’s espoused position is that it </w:t>
      </w:r>
      <w:r w:rsidRPr="00E46749">
        <w:rPr>
          <w:sz w:val="24"/>
          <w:szCs w:val="24"/>
        </w:rPr>
        <w:t xml:space="preserve">does not ‘condone’ sex in prison; will not facilitate same-sex relationships by </w:t>
      </w:r>
      <w:r>
        <w:rPr>
          <w:sz w:val="24"/>
          <w:szCs w:val="24"/>
        </w:rPr>
        <w:t xml:space="preserve">permitting or </w:t>
      </w:r>
      <w:r w:rsidRPr="00E46749">
        <w:rPr>
          <w:sz w:val="24"/>
          <w:szCs w:val="24"/>
        </w:rPr>
        <w:t xml:space="preserve">arranging for sexual partners to reside together in the same cell or closely located cells; will remove to different wings or </w:t>
      </w:r>
      <w:r>
        <w:rPr>
          <w:sz w:val="24"/>
          <w:szCs w:val="24"/>
        </w:rPr>
        <w:t>establishments prisoners</w:t>
      </w:r>
      <w:r w:rsidRPr="00E46749">
        <w:rPr>
          <w:sz w:val="24"/>
          <w:szCs w:val="24"/>
        </w:rPr>
        <w:t xml:space="preserve"> known or suspected to be having sex; and regards sexual relationships as inimical to maintaining good order and discipline</w:t>
      </w:r>
      <w:r w:rsidRPr="00E46749">
        <w:rPr>
          <w:rStyle w:val="FootnoteReference"/>
          <w:sz w:val="24"/>
          <w:szCs w:val="24"/>
        </w:rPr>
        <w:footnoteReference w:id="11"/>
      </w:r>
      <w:r w:rsidRPr="00E46749">
        <w:rPr>
          <w:sz w:val="24"/>
          <w:szCs w:val="24"/>
        </w:rPr>
        <w:t xml:space="preserve">. </w:t>
      </w:r>
      <w:r>
        <w:rPr>
          <w:sz w:val="24"/>
          <w:szCs w:val="24"/>
        </w:rPr>
        <w:t>One may think such a position is entirely reasonable. It does not, however, accord with interviewees’ experiences</w:t>
      </w:r>
      <w:r w:rsidR="00CA3D34">
        <w:rPr>
          <w:sz w:val="24"/>
          <w:szCs w:val="24"/>
        </w:rPr>
        <w:t xml:space="preserve"> of </w:t>
      </w:r>
      <w:r w:rsidR="00C047FB">
        <w:rPr>
          <w:sz w:val="24"/>
          <w:szCs w:val="24"/>
        </w:rPr>
        <w:t>long</w:t>
      </w:r>
      <w:r w:rsidR="004170F1">
        <w:rPr>
          <w:sz w:val="24"/>
          <w:szCs w:val="24"/>
        </w:rPr>
        <w:t>-term</w:t>
      </w:r>
      <w:r w:rsidR="00C047FB">
        <w:rPr>
          <w:sz w:val="24"/>
          <w:szCs w:val="24"/>
        </w:rPr>
        <w:t>,</w:t>
      </w:r>
      <w:r w:rsidR="004170F1">
        <w:rPr>
          <w:sz w:val="24"/>
          <w:szCs w:val="24"/>
        </w:rPr>
        <w:t xml:space="preserve"> </w:t>
      </w:r>
      <w:r w:rsidR="00CA3D34">
        <w:rPr>
          <w:sz w:val="24"/>
          <w:szCs w:val="24"/>
        </w:rPr>
        <w:t>mainstream and offence-segregated prisons</w:t>
      </w:r>
      <w:r>
        <w:rPr>
          <w:sz w:val="24"/>
          <w:szCs w:val="24"/>
        </w:rPr>
        <w:t xml:space="preserve">. </w:t>
      </w:r>
    </w:p>
    <w:p w:rsidR="00FB76CA" w:rsidRDefault="00FB76CA" w:rsidP="00FB76CA">
      <w:pPr>
        <w:spacing w:after="0" w:line="360" w:lineRule="auto"/>
        <w:jc w:val="both"/>
      </w:pPr>
    </w:p>
    <w:p w:rsidR="00FB76CA" w:rsidRDefault="00FB76CA" w:rsidP="00FB76CA">
      <w:pPr>
        <w:spacing w:after="0" w:line="360" w:lineRule="auto"/>
        <w:jc w:val="both"/>
      </w:pPr>
      <w:r>
        <w:lastRenderedPageBreak/>
        <w:t>Most participants, then, perceived that prison officers either knew or “strongly suspected”</w:t>
      </w:r>
      <w:r w:rsidRPr="00B622BD">
        <w:t xml:space="preserve"> </w:t>
      </w:r>
      <w:r>
        <w:t>certain prisoners on t</w:t>
      </w:r>
      <w:r w:rsidR="00C35259">
        <w:t>heir wing were sexually active</w:t>
      </w:r>
      <w:r>
        <w:t xml:space="preserve">, but chose not to intervene or investigate further. In saying this, interviewees were </w:t>
      </w:r>
      <w:r w:rsidRPr="00134EA2">
        <w:t xml:space="preserve">not </w:t>
      </w:r>
      <w:r>
        <w:t xml:space="preserve">criticizing officers for their quiescence.  Rather, they stressed their sympathy for front line officers </w:t>
      </w:r>
      <w:r w:rsidRPr="00B622BD">
        <w:t xml:space="preserve">working </w:t>
      </w:r>
      <w:r>
        <w:t xml:space="preserve">on rambunctious, sometimes volatile, sometimes understaffed wings, for </w:t>
      </w:r>
      <w:proofErr w:type="gramStart"/>
      <w:r>
        <w:t>whom</w:t>
      </w:r>
      <w:proofErr w:type="gramEnd"/>
      <w:r>
        <w:t xml:space="preserve"> the key priority was, and had to be, the creation and </w:t>
      </w:r>
      <w:r w:rsidRPr="00B622BD">
        <w:t>maintenance of a relativel</w:t>
      </w:r>
      <w:r>
        <w:t xml:space="preserve">y safe, non-violent environment. Consensual sex, by contrast, was relegated to “the least of anyone’s problems”. What research participants </w:t>
      </w:r>
      <w:r w:rsidRPr="00805DC5">
        <w:rPr>
          <w:i/>
        </w:rPr>
        <w:t>were</w:t>
      </w:r>
      <w:r>
        <w:t xml:space="preserve"> critical of is the institutionalised “game playing” and “pretence” this </w:t>
      </w:r>
      <w:r w:rsidR="006A4C33">
        <w:t>demand</w:t>
      </w:r>
      <w:r>
        <w:t xml:space="preserve">ed of officers when they knew “what was going on” but had to feign not to know, as the following quotations, with their striking visual metaphors of denial, illustrate: </w:t>
      </w:r>
    </w:p>
    <w:p w:rsidR="00FB76CA" w:rsidRDefault="00FB76CA" w:rsidP="00FB76CA">
      <w:pPr>
        <w:spacing w:after="0"/>
        <w:ind w:left="720"/>
        <w:jc w:val="both"/>
      </w:pPr>
    </w:p>
    <w:p w:rsidR="00FB76CA" w:rsidRDefault="00FB76CA" w:rsidP="00FB76CA">
      <w:pPr>
        <w:spacing w:after="0" w:line="240" w:lineRule="auto"/>
        <w:ind w:left="720"/>
        <w:jc w:val="both"/>
      </w:pPr>
      <w:r>
        <w:t>E</w:t>
      </w:r>
      <w:r w:rsidRPr="00CE4788">
        <w:t>veryone knew what was going on</w:t>
      </w:r>
      <w:r>
        <w:t xml:space="preserve">. In prison, everyone’s watching everybody else, all the time; that’s what you do. So </w:t>
      </w:r>
      <w:r w:rsidRPr="00126235">
        <w:rPr>
          <w:i/>
        </w:rPr>
        <w:t>everyone</w:t>
      </w:r>
      <w:r w:rsidRPr="009B1788">
        <w:rPr>
          <w:i/>
        </w:rPr>
        <w:t xml:space="preserve"> </w:t>
      </w:r>
      <w:r>
        <w:t>knew, but nobo</w:t>
      </w:r>
      <w:r w:rsidR="00BA3DB4">
        <w:t xml:space="preserve">dy ever said anything about it </w:t>
      </w:r>
      <w:r w:rsidRPr="00CE4788">
        <w:t>… The officers have got two eyes in their head, just as prisoners have; they see the same things, more sometimes … Staff will turn a blind eye, as long as you don’t push it.</w:t>
      </w:r>
      <w:r>
        <w:t xml:space="preserve">  </w:t>
      </w:r>
    </w:p>
    <w:p w:rsidR="00FB76CA" w:rsidRDefault="00FB76CA" w:rsidP="00FB76CA">
      <w:pPr>
        <w:spacing w:after="0" w:line="240" w:lineRule="auto"/>
        <w:ind w:left="6480" w:firstLine="720"/>
      </w:pPr>
      <w:r>
        <w:t xml:space="preserve"> </w:t>
      </w:r>
      <w:r w:rsidRPr="00CE4788">
        <w:t>(Martin)</w:t>
      </w:r>
    </w:p>
    <w:p w:rsidR="00FB76CA" w:rsidRDefault="00FB76CA" w:rsidP="00FB76CA">
      <w:pPr>
        <w:spacing w:after="0" w:line="240" w:lineRule="auto"/>
        <w:ind w:left="567"/>
        <w:rPr>
          <w:i/>
        </w:rPr>
      </w:pPr>
    </w:p>
    <w:p w:rsidR="00FB76CA" w:rsidRDefault="00FB76CA" w:rsidP="00FB76CA">
      <w:pPr>
        <w:spacing w:after="0" w:line="240" w:lineRule="auto"/>
        <w:ind w:left="720"/>
        <w:jc w:val="both"/>
        <w:rPr>
          <w:rStyle w:val="apple-converted-space"/>
          <w:color w:val="000000"/>
        </w:rPr>
      </w:pPr>
    </w:p>
    <w:p w:rsidR="00FB76CA" w:rsidRPr="009B1788" w:rsidRDefault="00FB76CA" w:rsidP="00FB76CA">
      <w:pPr>
        <w:spacing w:after="0" w:line="240" w:lineRule="auto"/>
        <w:ind w:left="720"/>
        <w:jc w:val="both"/>
      </w:pPr>
      <w:proofErr w:type="gramStart"/>
      <w:r>
        <w:rPr>
          <w:rStyle w:val="apple-converted-space"/>
          <w:color w:val="000000"/>
        </w:rPr>
        <w:t xml:space="preserve">On that spur, </w:t>
      </w:r>
      <w:r>
        <w:t>you couldn’t not know.</w:t>
      </w:r>
      <w:proofErr w:type="gramEnd"/>
      <w:r>
        <w:t xml:space="preserve"> You’d have had to have been wearing blinkers not to see it!</w:t>
      </w:r>
      <w:r w:rsidRPr="00EF3DC9">
        <w:t xml:space="preserve"> … Most officers just want a quiet life, and as long as [the men having sex] caused no trouble and weren’t too in your face with it, they just, you know, ignored it.</w:t>
      </w:r>
    </w:p>
    <w:p w:rsidR="00FB76CA" w:rsidRDefault="00FB76CA" w:rsidP="00FB76CA">
      <w:pPr>
        <w:spacing w:after="0" w:line="240" w:lineRule="auto"/>
        <w:ind w:left="7200" w:firstLine="90"/>
      </w:pPr>
      <w:r w:rsidRPr="00EF3DC9">
        <w:t>(Jason)</w:t>
      </w:r>
    </w:p>
    <w:p w:rsidR="00FB76CA" w:rsidRDefault="00FB76CA" w:rsidP="00FB76CA">
      <w:pPr>
        <w:spacing w:after="0" w:line="240" w:lineRule="auto"/>
        <w:ind w:left="6480" w:firstLine="720"/>
      </w:pPr>
    </w:p>
    <w:p w:rsidR="00FB76CA" w:rsidRDefault="00FB76CA" w:rsidP="00FB76CA">
      <w:pPr>
        <w:autoSpaceDE w:val="0"/>
        <w:autoSpaceDN w:val="0"/>
        <w:adjustRightInd w:val="0"/>
        <w:spacing w:after="0" w:line="240" w:lineRule="auto"/>
        <w:ind w:left="720"/>
        <w:jc w:val="both"/>
        <w:rPr>
          <w:rStyle w:val="apple-converted-space"/>
          <w:color w:val="000000"/>
        </w:rPr>
      </w:pPr>
    </w:p>
    <w:p w:rsidR="00FB76CA" w:rsidRDefault="00FB76CA" w:rsidP="00FB76CA">
      <w:pPr>
        <w:autoSpaceDE w:val="0"/>
        <w:autoSpaceDN w:val="0"/>
        <w:adjustRightInd w:val="0"/>
        <w:spacing w:after="0" w:line="240" w:lineRule="auto"/>
        <w:ind w:left="720"/>
        <w:jc w:val="both"/>
        <w:rPr>
          <w:i/>
        </w:rPr>
      </w:pPr>
      <w:r w:rsidRPr="00D8671C">
        <w:rPr>
          <w:rStyle w:val="apple-converted-space"/>
          <w:color w:val="000000"/>
        </w:rPr>
        <w:t>I was an orderly and one of my jobs was to clean up the exercise yard outside the lifers’ wing. There were often used condoms, a really surprising amount</w:t>
      </w:r>
      <w:r>
        <w:rPr>
          <w:rStyle w:val="apple-converted-space"/>
          <w:color w:val="000000"/>
        </w:rPr>
        <w:t xml:space="preserve"> </w:t>
      </w:r>
      <w:r w:rsidRPr="00D8671C">
        <w:rPr>
          <w:rStyle w:val="apple-converted-space"/>
          <w:color w:val="000000"/>
        </w:rPr>
        <w:t>… chucked out of the [cell] windows. At [my prison], lifers could get away with all sorts, which the rest of us couldn’t. But I suppose you don’t really want to upset lifers if you can help it, do you?</w:t>
      </w:r>
      <w:r w:rsidRPr="00542888">
        <w:rPr>
          <w:rStyle w:val="apple-converted-space"/>
          <w:i/>
          <w:color w:val="000000"/>
        </w:rPr>
        <w:t xml:space="preserve">  </w:t>
      </w:r>
      <w:r w:rsidRPr="00542888">
        <w:rPr>
          <w:rStyle w:val="apple-converted-space"/>
          <w:i/>
          <w:color w:val="000000"/>
        </w:rPr>
        <w:tab/>
      </w:r>
      <w:r w:rsidRPr="00542888">
        <w:rPr>
          <w:rStyle w:val="apple-converted-space"/>
          <w:i/>
          <w:color w:val="000000"/>
        </w:rPr>
        <w:br/>
      </w:r>
    </w:p>
    <w:p w:rsidR="00FB76CA" w:rsidRDefault="00FB76CA" w:rsidP="00FB76CA">
      <w:pPr>
        <w:autoSpaceDE w:val="0"/>
        <w:autoSpaceDN w:val="0"/>
        <w:adjustRightInd w:val="0"/>
        <w:spacing w:after="0" w:line="240" w:lineRule="auto"/>
        <w:ind w:left="720"/>
      </w:pPr>
      <w:r w:rsidRPr="00ED65A5">
        <w:rPr>
          <w:i/>
        </w:rPr>
        <w:t>… Did you ever report finding condoms?</w:t>
      </w:r>
    </w:p>
    <w:p w:rsidR="00FB76CA" w:rsidRDefault="00FB76CA" w:rsidP="00FB76CA">
      <w:pPr>
        <w:autoSpaceDE w:val="0"/>
        <w:autoSpaceDN w:val="0"/>
        <w:adjustRightInd w:val="0"/>
        <w:spacing w:after="0" w:line="240" w:lineRule="auto"/>
        <w:ind w:left="720"/>
      </w:pPr>
    </w:p>
    <w:p w:rsidR="00FB76CA" w:rsidRDefault="00FB76CA" w:rsidP="00FB76CA">
      <w:pPr>
        <w:autoSpaceDE w:val="0"/>
        <w:autoSpaceDN w:val="0"/>
        <w:adjustRightInd w:val="0"/>
        <w:spacing w:after="0" w:line="240" w:lineRule="auto"/>
        <w:ind w:left="720"/>
        <w:jc w:val="both"/>
      </w:pPr>
      <w:r>
        <w:t>No! [Sounds incredulous, laughs] Besides, the officers already knew. I’d be out there with [supervising officers] and they’d just look the other way.</w:t>
      </w:r>
      <w:r w:rsidRPr="00226C97">
        <w:t xml:space="preserve"> </w:t>
      </w:r>
      <w:r>
        <w:t>Sometimes they’d tut-tut a bit; some would joke about it. But mostly, they pretended they weren’t there. And as long as I got rid before the Governor saw, they weren’t!</w:t>
      </w:r>
    </w:p>
    <w:p w:rsidR="00FB76CA" w:rsidRDefault="00FB76CA" w:rsidP="00FB76CA">
      <w:pPr>
        <w:spacing w:after="0" w:line="240" w:lineRule="auto"/>
        <w:ind w:left="6480" w:firstLine="720"/>
      </w:pPr>
      <w:r>
        <w:t xml:space="preserve">       (Ron)</w:t>
      </w:r>
    </w:p>
    <w:p w:rsidR="00FB76CA" w:rsidRDefault="00FB76CA" w:rsidP="00FB76CA">
      <w:pPr>
        <w:spacing w:line="360" w:lineRule="auto"/>
        <w:jc w:val="both"/>
      </w:pPr>
      <w:r>
        <w:t xml:space="preserve"> </w:t>
      </w:r>
    </w:p>
    <w:p w:rsidR="00FB76CA" w:rsidRPr="00A03414" w:rsidRDefault="00FB76CA" w:rsidP="00FB76CA">
      <w:pPr>
        <w:spacing w:after="0" w:line="360" w:lineRule="auto"/>
        <w:jc w:val="both"/>
      </w:pPr>
      <w:r>
        <w:t xml:space="preserve">The values contained within the above comments will be instantly recognizable to penologists. Most members of the prison community try to avoid “upsetting” prisoners “if you can help it”: disturbing the equilibrium needlessly and without strong provocation. Prison </w:t>
      </w:r>
      <w:r>
        <w:lastRenderedPageBreak/>
        <w:t>officers and governors routinely exercise discretion in determining what is and is not an appropriate or exigent concern, when, and under what circumstances and</w:t>
      </w:r>
      <w:r w:rsidRPr="00B61956">
        <w:t xml:space="preserve"> </w:t>
      </w:r>
      <w:r>
        <w:t xml:space="preserve">which, or which version of, prison rules, orders, and instructions to act upon in order to ensure the smooth running of prison life (Sykes 1958; Liebling </w:t>
      </w:r>
      <w:r w:rsidRPr="00696AC1">
        <w:rPr>
          <w:i/>
        </w:rPr>
        <w:t>et al</w:t>
      </w:r>
      <w:r>
        <w:rPr>
          <w:i/>
        </w:rPr>
        <w:t>.</w:t>
      </w:r>
      <w:r>
        <w:t xml:space="preserve"> 2011).  Prisoners also exhibit high levels of tolerance, even indifference,</w:t>
      </w:r>
      <w:r w:rsidRPr="00542888">
        <w:t xml:space="preserve"> </w:t>
      </w:r>
      <w:r>
        <w:t xml:space="preserve">towards the “private” activities of their peers, but for reasons of self-preservation as much as permissiveness. For both jailors and the jailed, ‘knowing and not-knowing’ </w:t>
      </w:r>
      <w:r w:rsidRPr="00EC39D1">
        <w:t xml:space="preserve">(Cohen </w:t>
      </w:r>
      <w:r>
        <w:t>2001</w:t>
      </w:r>
      <w:r w:rsidRPr="00EC39D1">
        <w:t>)</w:t>
      </w:r>
      <w:r>
        <w:t xml:space="preserve"> about activities about which one does not want or need to </w:t>
      </w:r>
      <w:proofErr w:type="gramStart"/>
      <w:r>
        <w:t>know,</w:t>
      </w:r>
      <w:proofErr w:type="gramEnd"/>
      <w:r>
        <w:t xml:space="preserve"> </w:t>
      </w:r>
      <w:r w:rsidR="00837E3C">
        <w:t xml:space="preserve">accordingly </w:t>
      </w:r>
      <w:r>
        <w:t xml:space="preserve">becomes embedded as a cultural habit. As Jem explained: </w:t>
      </w:r>
    </w:p>
    <w:p w:rsidR="00FB76CA" w:rsidRDefault="00FB76CA" w:rsidP="00FB76CA">
      <w:pPr>
        <w:spacing w:after="0"/>
        <w:ind w:left="567"/>
        <w:jc w:val="both"/>
      </w:pPr>
    </w:p>
    <w:p w:rsidR="00FB76CA" w:rsidRDefault="00FB76CA" w:rsidP="00FB76CA">
      <w:pPr>
        <w:spacing w:after="0"/>
        <w:ind w:left="720"/>
        <w:jc w:val="both"/>
      </w:pPr>
      <w:r w:rsidRPr="004E7D4C">
        <w:t>I think the general attitude, certainly among long-termers is, whatever people get up to, behind their door, is up to them. Sex, drugs, mobile phones – whatever gets you through the night. As long as it doesn’t impact on anyone else, you know, live and let live. Plus, you’ll keep your nose out of other people’s business, if you’ve got any sense.</w:t>
      </w:r>
    </w:p>
    <w:p w:rsidR="00FB76CA" w:rsidRPr="004E7D4C" w:rsidRDefault="00FB76CA" w:rsidP="00FB76CA">
      <w:pPr>
        <w:spacing w:after="0"/>
        <w:ind w:left="720"/>
        <w:jc w:val="both"/>
      </w:pPr>
    </w:p>
    <w:p w:rsidR="00FB76CA" w:rsidRDefault="00FB76CA" w:rsidP="00FB76CA">
      <w:pPr>
        <w:spacing w:after="0" w:line="360" w:lineRule="auto"/>
        <w:jc w:val="both"/>
      </w:pPr>
    </w:p>
    <w:p w:rsidR="00FB76CA" w:rsidRDefault="00FB76CA" w:rsidP="00FB76CA">
      <w:pPr>
        <w:spacing w:after="0" w:line="360" w:lineRule="auto"/>
        <w:jc w:val="both"/>
      </w:pPr>
      <w:r>
        <w:t>“Turning a blind eye” is</w:t>
      </w:r>
      <w:r w:rsidRPr="00B751A5">
        <w:t xml:space="preserve"> </w:t>
      </w:r>
      <w:r>
        <w:t xml:space="preserve">contingent, however, upon prisoners not “pushing it”: not overtly, and again, needlessly, attracting attention to themselves. Officers can overlook the ‘bending’ of certain rules but not their flagrant destruction. “Sensible” sexually actively men, even if they openly identify as gay or bisexual, therefore </w:t>
      </w:r>
      <w:r w:rsidRPr="004B203A">
        <w:t xml:space="preserve">conduct their sexual </w:t>
      </w:r>
      <w:r>
        <w:t>liaisons</w:t>
      </w:r>
      <w:r w:rsidRPr="004B203A">
        <w:t xml:space="preserve"> </w:t>
      </w:r>
      <w:r>
        <w:t>discreetly. Gay interviewees recounted how they would, for example, never advertise their affection for</w:t>
      </w:r>
      <w:r w:rsidR="00C35259">
        <w:t>,</w:t>
      </w:r>
      <w:r>
        <w:t xml:space="preserve"> or relationship with</w:t>
      </w:r>
      <w:r w:rsidR="00C35259">
        <w:t>,</w:t>
      </w:r>
      <w:r>
        <w:t xml:space="preserve"> another prisoner by </w:t>
      </w:r>
      <w:r w:rsidRPr="00542888">
        <w:t>holding hands or kissing</w:t>
      </w:r>
      <w:r>
        <w:t xml:space="preserve"> “in public”, and would enter into delicate negotiations with cellmates for time-limited exclusive use of their shared accommodation. Such precautions reflected not only the need to avoid disrupting the orderly, uneventful, “quiet life” desired by officers and prisoners alike, but also </w:t>
      </w:r>
      <w:r w:rsidRPr="00542888">
        <w:t xml:space="preserve">their own </w:t>
      </w:r>
      <w:r>
        <w:t xml:space="preserve">need for privacy and </w:t>
      </w:r>
      <w:r w:rsidRPr="00542888">
        <w:t>sense of decorum</w:t>
      </w:r>
      <w:r>
        <w:t xml:space="preserve">. Many had also resided in establishments (notably, Young Offenders’ Institutions and local prisons accommodating short-term and peripatetic prisoners), whose culture, rather than being one of apparent acceptance, was one of virulent homophobia. </w:t>
      </w:r>
    </w:p>
    <w:p w:rsidR="00FB76CA" w:rsidRDefault="00FB76CA" w:rsidP="00FB76CA">
      <w:pPr>
        <w:spacing w:after="0" w:line="360" w:lineRule="auto"/>
        <w:jc w:val="both"/>
      </w:pPr>
    </w:p>
    <w:p w:rsidR="00FB76CA" w:rsidRDefault="00FB76CA" w:rsidP="00FB76CA">
      <w:pPr>
        <w:spacing w:after="0" w:line="360" w:lineRule="auto"/>
        <w:jc w:val="both"/>
      </w:pPr>
      <w:r>
        <w:t xml:space="preserve">Gay, bisexual, and straight interviewees agreed that most prisoners who engage in sex consensually identify as </w:t>
      </w:r>
      <w:r w:rsidR="00AC765C">
        <w:t>homosexual</w:t>
      </w:r>
      <w:r>
        <w:t xml:space="preserve"> or bisexual, but that a minority of men “go gay for the stay”</w:t>
      </w:r>
      <w:r w:rsidRPr="00F3163B">
        <w:t xml:space="preserve">. </w:t>
      </w:r>
      <w:r>
        <w:t>Indeed, Craig, an openly gay man who gleefully recalled his custodial experience</w:t>
      </w:r>
      <w:r w:rsidR="00F701BD">
        <w:t>s</w:t>
      </w:r>
      <w:r>
        <w:t xml:space="preserve"> </w:t>
      </w:r>
      <w:r w:rsidR="00F701BD">
        <w:t xml:space="preserve">in </w:t>
      </w:r>
      <w:r w:rsidR="00014380">
        <w:t xml:space="preserve">mainstream </w:t>
      </w:r>
      <w:r w:rsidR="008730F4">
        <w:t>training</w:t>
      </w:r>
      <w:r w:rsidR="00F701BD">
        <w:t xml:space="preserve"> prisons </w:t>
      </w:r>
      <w:r>
        <w:t xml:space="preserve">as “one long fuck fest”, estimated that </w:t>
      </w:r>
      <w:r w:rsidRPr="007007C5">
        <w:t xml:space="preserve">the </w:t>
      </w:r>
      <w:r w:rsidRPr="00600EC8">
        <w:rPr>
          <w:i/>
        </w:rPr>
        <w:t>majority</w:t>
      </w:r>
      <w:r>
        <w:t xml:space="preserve"> of his “about 30, 35” sexual partners were “otherwise straight”. He described fleeting but mutually </w:t>
      </w:r>
      <w:r>
        <w:lastRenderedPageBreak/>
        <w:t xml:space="preserve">satisfying sexual encounters, pre-arranged and performed with minimal social interaction: </w:t>
      </w:r>
      <w:r w:rsidRPr="002F774B">
        <w:t xml:space="preserve"> </w:t>
      </w:r>
      <w:r>
        <w:t>“</w:t>
      </w:r>
      <w:r w:rsidRPr="00AA03A0">
        <w:t>He’d come in</w:t>
      </w:r>
      <w:r>
        <w:t xml:space="preserve"> [to my cell]</w:t>
      </w:r>
      <w:r w:rsidRPr="00AA03A0">
        <w:t xml:space="preserve">, not say a word, pull his cock out, I’d suck him off, and that was it; out the door again. </w:t>
      </w:r>
      <w:proofErr w:type="gramStart"/>
      <w:r w:rsidRPr="00AA03A0">
        <w:t>Never said a word!</w:t>
      </w:r>
      <w:r>
        <w:t>”</w:t>
      </w:r>
      <w:proofErr w:type="gramEnd"/>
      <w:r>
        <w:t xml:space="preserve"> Around the wing, typically no prior acquaintanceship was conceded; “prison gays”, Craig explained without rancour, do not associate with “genuine gays”. Likewise, the sole “100%</w:t>
      </w:r>
      <w:r w:rsidRPr="00F3163B">
        <w:t xml:space="preserve"> straight</w:t>
      </w:r>
      <w:r>
        <w:t xml:space="preserve">” participant in this study who had “dabbled in gay sex” </w:t>
      </w:r>
      <w:r w:rsidR="00EF2F2A">
        <w:t>at a</w:t>
      </w:r>
      <w:r w:rsidR="00F701BD">
        <w:t xml:space="preserve"> </w:t>
      </w:r>
      <w:r w:rsidR="008730F4">
        <w:t>long-term</w:t>
      </w:r>
      <w:r w:rsidR="00F701BD">
        <w:t xml:space="preserve"> prison</w:t>
      </w:r>
      <w:r w:rsidR="00AC765C">
        <w:t>,</w:t>
      </w:r>
      <w:r w:rsidR="00F701BD">
        <w:t xml:space="preserve"> </w:t>
      </w:r>
      <w:r>
        <w:t xml:space="preserve">strictly compartmentalized his social and sexual relationships: </w:t>
      </w:r>
    </w:p>
    <w:p w:rsidR="00FB76CA" w:rsidRDefault="00FB76CA" w:rsidP="00FB76CA">
      <w:pPr>
        <w:spacing w:after="0" w:line="360" w:lineRule="auto"/>
        <w:jc w:val="both"/>
      </w:pPr>
    </w:p>
    <w:p w:rsidR="00FB76CA" w:rsidRDefault="00FB76CA" w:rsidP="00FB76CA">
      <w:pPr>
        <w:spacing w:after="0" w:line="240" w:lineRule="auto"/>
        <w:ind w:left="720"/>
        <w:jc w:val="both"/>
      </w:pPr>
      <w:r>
        <w:t xml:space="preserve">I wasn’t friends with them … I fucked them purely out of necessity … </w:t>
      </w:r>
      <w:r w:rsidRPr="00F3163B">
        <w:t xml:space="preserve">I’m completely straight; what happened then was just about having my sexual needs met, in a particular time and place, where I couldn’t get </w:t>
      </w:r>
      <w:r>
        <w:t>normal sex.</w:t>
      </w:r>
    </w:p>
    <w:p w:rsidR="00FB76CA" w:rsidRDefault="00FB76CA" w:rsidP="00FB76CA">
      <w:pPr>
        <w:spacing w:after="0" w:line="240" w:lineRule="auto"/>
        <w:ind w:left="720"/>
        <w:jc w:val="both"/>
      </w:pPr>
    </w:p>
    <w:p w:rsidR="00FB76CA" w:rsidRDefault="00FB76CA" w:rsidP="00FB76CA">
      <w:pPr>
        <w:spacing w:after="0" w:line="360" w:lineRule="auto"/>
        <w:jc w:val="both"/>
      </w:pPr>
    </w:p>
    <w:p w:rsidR="00FB76CA" w:rsidRDefault="00FB76CA" w:rsidP="00FB76CA">
      <w:pPr>
        <w:spacing w:after="0" w:line="360" w:lineRule="auto"/>
        <w:jc w:val="both"/>
      </w:pPr>
      <w:r>
        <w:t>He was, he stressed, “</w:t>
      </w:r>
      <w:r w:rsidRPr="00E52750">
        <w:rPr>
          <w:i/>
        </w:rPr>
        <w:t>always</w:t>
      </w:r>
      <w:r>
        <w:t>” the “act</w:t>
      </w:r>
      <w:r w:rsidR="00931294">
        <w:t>ive” (orally and anally “inserte</w:t>
      </w:r>
      <w:r>
        <w:t xml:space="preserve">r”) partner and would fantasize about former girlfriends or women depicted in pornography during his sexual encounters with men.  He had thus remained psychologically committed to heterosexuality and heteronormativity during his sentence, and had resumed exclusively heterosexual relationships </w:t>
      </w:r>
      <w:r w:rsidR="00AC765C">
        <w:t>in the community</w:t>
      </w:r>
      <w:r>
        <w:t xml:space="preserve">. </w:t>
      </w:r>
    </w:p>
    <w:p w:rsidR="00FB76CA" w:rsidRDefault="00FB76CA" w:rsidP="00FB76CA">
      <w:pPr>
        <w:spacing w:after="0" w:line="360" w:lineRule="auto"/>
        <w:jc w:val="both"/>
      </w:pPr>
    </w:p>
    <w:p w:rsidR="00FB76CA" w:rsidRDefault="00FB76CA" w:rsidP="00FB76CA">
      <w:pPr>
        <w:spacing w:after="0" w:line="360" w:lineRule="auto"/>
        <w:jc w:val="both"/>
      </w:pPr>
      <w:r>
        <w:t xml:space="preserve">The literature which confirms that some straight-identifying ‘heteroflexible’ men have sex with men, including when situationally exiled from women for prolonged periods, and without disturbing their sexual identity and ontological security </w:t>
      </w:r>
      <w:r w:rsidRPr="002F774B">
        <w:t xml:space="preserve">(Ibrahim, 1974; </w:t>
      </w:r>
      <w:r>
        <w:t xml:space="preserve">Hensley </w:t>
      </w:r>
      <w:r w:rsidRPr="00F2263E">
        <w:rPr>
          <w:i/>
        </w:rPr>
        <w:t>et al.</w:t>
      </w:r>
      <w:r>
        <w:t xml:space="preserve"> 2001</w:t>
      </w:r>
      <w:r w:rsidRPr="002F774B">
        <w:t>)</w:t>
      </w:r>
      <w:r>
        <w:t>, need not be deconstructed here. For the purposes of this analysis, what is important is that these sexual relations were always conducted</w:t>
      </w:r>
      <w:r w:rsidRPr="00F3163B">
        <w:t xml:space="preserve"> </w:t>
      </w:r>
      <w:r>
        <w:t xml:space="preserve">“secretly, </w:t>
      </w:r>
      <w:r w:rsidRPr="00827AD2">
        <w:rPr>
          <w:i/>
        </w:rPr>
        <w:t>massively</w:t>
      </w:r>
      <w:r>
        <w:t xml:space="preserve"> so” and “on the QT”, with both parties implicitly recognizing the undesirability of discussing, even in private, ‘what happened’; to the extent of equal complicity in maintaining in public the fiction that ‘nothing’ had, in fact, ‘happened’. Given this code of </w:t>
      </w:r>
      <w:proofErr w:type="spellStart"/>
      <w:r>
        <w:t>omertà</w:t>
      </w:r>
      <w:proofErr w:type="spellEnd"/>
      <w:r>
        <w:t xml:space="preserve">, and the prudent lack of interest in others’ “business” Jem described, interviewees who had suspected “completely straight” men of having sex with men had neither the evidence nor inclination to question them. “It’s like the Army”, opined former solider Marcus, “Shit happens. But – what happens on </w:t>
      </w:r>
      <w:proofErr w:type="gramStart"/>
      <w:r>
        <w:t>tour,</w:t>
      </w:r>
      <w:proofErr w:type="gramEnd"/>
      <w:r>
        <w:t xml:space="preserve"> stays on tour. What happens in </w:t>
      </w:r>
      <w:proofErr w:type="gramStart"/>
      <w:r>
        <w:t>prison,</w:t>
      </w:r>
      <w:proofErr w:type="gramEnd"/>
      <w:r>
        <w:t xml:space="preserve"> stays in prison. You don’t talk about it.” Concealed heteroflexibility therefore remains hidden; its extent, unknown and probably, unknowable. </w:t>
      </w:r>
    </w:p>
    <w:p w:rsidR="00FB76CA" w:rsidRDefault="00FB76CA" w:rsidP="00FB76CA">
      <w:pPr>
        <w:spacing w:after="0" w:line="360" w:lineRule="auto"/>
        <w:jc w:val="both"/>
      </w:pPr>
    </w:p>
    <w:p w:rsidR="00FB76CA" w:rsidRDefault="00FB76CA" w:rsidP="00FB76CA">
      <w:pPr>
        <w:spacing w:after="0" w:line="360" w:lineRule="auto"/>
        <w:jc w:val="both"/>
      </w:pPr>
      <w:r>
        <w:t xml:space="preserve">To conclude this section with an arguably more commonplace, and certainly less incendiary, example: </w:t>
      </w:r>
      <w:r w:rsidR="00D16C60">
        <w:t xml:space="preserve">“openly gay” </w:t>
      </w:r>
      <w:r>
        <w:t xml:space="preserve">Liam successfully requested that his “good friend” move into his cell </w:t>
      </w:r>
      <w:r w:rsidR="00FD6AB9">
        <w:lastRenderedPageBreak/>
        <w:t xml:space="preserve">on a VPU </w:t>
      </w:r>
      <w:r>
        <w:t xml:space="preserve">when the previous occupant was transferred. “Of course” he had not stipulated the sexual nature of their friendship, and because he and his partner behaved modestly and were never “caught out”, prison officers </w:t>
      </w:r>
      <w:r w:rsidR="00AC765C">
        <w:t>never</w:t>
      </w:r>
      <w:r>
        <w:t xml:space="preserve"> question</w:t>
      </w:r>
      <w:r w:rsidR="00AC765C">
        <w:t>ed</w:t>
      </w:r>
      <w:r>
        <w:t xml:space="preserve"> their co-habitation, as Liam explained:</w:t>
      </w:r>
      <w:r w:rsidRPr="00582CDB">
        <w:t xml:space="preserve"> </w:t>
      </w:r>
    </w:p>
    <w:p w:rsidR="00FB76CA" w:rsidRDefault="00FB76CA" w:rsidP="00FB76CA">
      <w:pPr>
        <w:spacing w:after="0"/>
        <w:ind w:left="567"/>
        <w:jc w:val="both"/>
      </w:pPr>
    </w:p>
    <w:p w:rsidR="00FB76CA" w:rsidRDefault="00FB76CA" w:rsidP="00FB76CA">
      <w:pPr>
        <w:spacing w:after="0"/>
        <w:ind w:left="567"/>
        <w:jc w:val="both"/>
      </w:pPr>
      <w:r>
        <w:t xml:space="preserve">Oh, they knew alright but obviously nothing was said … </w:t>
      </w:r>
      <w:r w:rsidRPr="00CE4788">
        <w:t xml:space="preserve">If </w:t>
      </w:r>
      <w:r>
        <w:t xml:space="preserve">[the officers] </w:t>
      </w:r>
      <w:r w:rsidRPr="00CE4788">
        <w:t>had known for sure, they might have felt they had to do something about it. So I don’t think they wanted to know. Put it this way, they were sensible enough never to barge in [to the cell] without warning!</w:t>
      </w:r>
    </w:p>
    <w:p w:rsidR="00FB76CA" w:rsidRDefault="00FB76CA" w:rsidP="00FB76CA">
      <w:pPr>
        <w:spacing w:after="0"/>
        <w:ind w:left="567"/>
        <w:jc w:val="both"/>
      </w:pPr>
      <w:r>
        <w:t xml:space="preserve">      </w:t>
      </w:r>
    </w:p>
    <w:p w:rsidR="00FB76CA" w:rsidRDefault="00FB76CA" w:rsidP="00FB76CA">
      <w:pPr>
        <w:spacing w:after="0" w:line="360" w:lineRule="auto"/>
        <w:jc w:val="both"/>
      </w:pPr>
    </w:p>
    <w:p w:rsidR="00FB76CA" w:rsidRDefault="00FB76CA" w:rsidP="00FB76CA">
      <w:pPr>
        <w:spacing w:after="0" w:line="360" w:lineRule="auto"/>
        <w:jc w:val="both"/>
      </w:pPr>
      <w:r>
        <w:t xml:space="preserve">Another gay couple, however, accommodated on the same </w:t>
      </w:r>
      <w:r w:rsidR="00D16C60">
        <w:t xml:space="preserve">VPU </w:t>
      </w:r>
      <w:r>
        <w:t xml:space="preserve">but in different cells, “made no secret” of their sexual relationship. They joined the prison’s Lesbian Gay, Bisexual and Transgender (LGBT) support group (itself established by a progressively minded, openly homosexual custodial manager), and became increasingly “vocal about gay rights”, culminating in a request to share a cell and their decision to enter into a civil partnership. At this point, they were moved to different prisons; a transfer Liam perceived as “vindictive” and “a warning” to other gay prisoners “not to cause problems”. Thus while </w:t>
      </w:r>
      <w:r w:rsidR="006A4C33">
        <w:t xml:space="preserve">their </w:t>
      </w:r>
      <w:r>
        <w:t xml:space="preserve">relationship was officially unknown and unseen, and hence denied and deniable by the prison, </w:t>
      </w:r>
      <w:r w:rsidR="006A4C33">
        <w:t>this couple</w:t>
      </w:r>
      <w:r>
        <w:t xml:space="preserve"> could enjoy regular opportunities for sex. Once they made their relationship known and visible – once they (literally) asked and (metaphorically) told – NOMS’s ‘no sex’ doctrine </w:t>
      </w:r>
      <w:r w:rsidR="00DF2233">
        <w:t>requir</w:t>
      </w:r>
      <w:r>
        <w:t xml:space="preserve">ed their separation. </w:t>
      </w:r>
    </w:p>
    <w:p w:rsidR="00FB76CA" w:rsidRDefault="00FB76CA" w:rsidP="00FB76CA">
      <w:pPr>
        <w:spacing w:after="0" w:line="360" w:lineRule="auto"/>
        <w:jc w:val="both"/>
      </w:pPr>
    </w:p>
    <w:p w:rsidR="00FB76CA" w:rsidRDefault="00FB76CA" w:rsidP="00FB76CA">
      <w:pPr>
        <w:spacing w:after="0" w:line="360" w:lineRule="auto"/>
        <w:jc w:val="both"/>
      </w:pPr>
      <w:r>
        <w:t>The “going on” of sex in prison is therefore enabled through the communication and collective endorsement of a ‘don’t ask, don’t tell’ strategy</w:t>
      </w:r>
      <w:r w:rsidR="00FE3D67">
        <w:rPr>
          <w:rStyle w:val="FootnoteReference"/>
        </w:rPr>
        <w:footnoteReference w:id="12"/>
      </w:r>
      <w:r>
        <w:t xml:space="preserve">.  To borrow momentarily from </w:t>
      </w:r>
      <w:proofErr w:type="spellStart"/>
      <w:r>
        <w:t>Zerubavel’s</w:t>
      </w:r>
      <w:proofErr w:type="spellEnd"/>
      <w:r>
        <w:t xml:space="preserve"> (2006) theoretically complimentary scholarship on the social organisation of silence, </w:t>
      </w:r>
      <w:r>
        <w:rPr>
          <w:lang w:val="en-US"/>
        </w:rPr>
        <w:t>the</w:t>
      </w:r>
      <w:r w:rsidRPr="00C54A0C">
        <w:rPr>
          <w:lang w:val="en-US"/>
        </w:rPr>
        <w:t xml:space="preserve"> ability of </w:t>
      </w:r>
      <w:r w:rsidRPr="00C54A0C">
        <w:t xml:space="preserve">prison authorities to ignore ‘the elephant in the room’ is </w:t>
      </w:r>
      <w:r w:rsidR="00A9135A">
        <w:t>facilitated</w:t>
      </w:r>
      <w:r w:rsidRPr="00C54A0C">
        <w:t xml:space="preserve"> by a prison(</w:t>
      </w:r>
      <w:proofErr w:type="spellStart"/>
      <w:r w:rsidRPr="00C54A0C">
        <w:t>er</w:t>
      </w:r>
      <w:proofErr w:type="spellEnd"/>
      <w:r w:rsidRPr="00C54A0C">
        <w:t xml:space="preserve">) culture which is frequently invested in </w:t>
      </w:r>
      <w:r>
        <w:t>‘the keeping of open secrets’. Sexually active prisoners do not need to avoid detection, but merely to be fortunate enough to be supervised by pragmatic prison officers who enforce the rules</w:t>
      </w:r>
      <w:r w:rsidRPr="00837A15">
        <w:t xml:space="preserve"> </w:t>
      </w:r>
      <w:r>
        <w:t xml:space="preserve">selectively, and to be shrewd enough not do anything themselves – such as entering into a legally recognized relationship or conspicuously engaging in or bragging about sexual </w:t>
      </w:r>
      <w:r w:rsidR="00C30FE9">
        <w:t>relations</w:t>
      </w:r>
      <w:r>
        <w:t xml:space="preserve"> – which would force the prison to know and be unable to continue “pretending” not to know.</w:t>
      </w:r>
      <w:r w:rsidRPr="00714738">
        <w:t xml:space="preserve"> </w:t>
      </w:r>
      <w:r>
        <w:t xml:space="preserve">If these conditions are met, one can feasibly, in Cohen’s terms, engage in literal denial:  ‘I see no sexual activity therefore there is no sexual activity.’ </w:t>
      </w:r>
    </w:p>
    <w:p w:rsidR="00FB76CA" w:rsidRDefault="00FB76CA" w:rsidP="00FB76CA">
      <w:pPr>
        <w:spacing w:after="0" w:line="360" w:lineRule="auto"/>
        <w:jc w:val="both"/>
      </w:pPr>
    </w:p>
    <w:p w:rsidR="00FB76CA" w:rsidRDefault="00FB76CA" w:rsidP="00FB76CA">
      <w:pPr>
        <w:spacing w:after="0" w:line="360" w:lineRule="auto"/>
        <w:jc w:val="both"/>
      </w:pPr>
      <w:r>
        <w:t xml:space="preserve">One can only feel sympathy for prison staff </w:t>
      </w:r>
      <w:proofErr w:type="gramStart"/>
      <w:r>
        <w:t>who</w:t>
      </w:r>
      <w:proofErr w:type="gramEnd"/>
      <w:r>
        <w:t xml:space="preserve"> have to negotiate the morally ambiguous quagmire of prisoners’ sexual relationships, when ‘officially’ such relationships do not exist or at least, are never tolerated. Nevertheless, this institutionalized </w:t>
      </w:r>
      <w:r w:rsidR="00B83D15">
        <w:t>unwillingness to ‘</w:t>
      </w:r>
      <w:r w:rsidR="0063294D">
        <w:t>know</w:t>
      </w:r>
      <w:r w:rsidR="00B83D15">
        <w:t xml:space="preserve">’ </w:t>
      </w:r>
      <w:r w:rsidR="0063294D">
        <w:t xml:space="preserve">about </w:t>
      </w:r>
      <w:r>
        <w:t xml:space="preserve">sexual activity matters because </w:t>
      </w:r>
      <w:r w:rsidR="0063294D">
        <w:t xml:space="preserve">it </w:t>
      </w:r>
      <w:r w:rsidR="00A9135A">
        <w:t>permits</w:t>
      </w:r>
      <w:r w:rsidR="0063294D">
        <w:t xml:space="preserve"> some establishments to avoid </w:t>
      </w:r>
      <w:r>
        <w:t xml:space="preserve">engaging with ‘the condom policy’, to the potential detriment to the health of prisoners and the public. </w:t>
      </w:r>
    </w:p>
    <w:p w:rsidR="00FB76CA" w:rsidRDefault="00FB76CA" w:rsidP="00FB76CA">
      <w:pPr>
        <w:spacing w:after="0" w:line="360" w:lineRule="auto"/>
        <w:jc w:val="both"/>
        <w:rPr>
          <w:i/>
        </w:rPr>
      </w:pPr>
    </w:p>
    <w:p w:rsidR="00FB76CA" w:rsidRPr="00112336" w:rsidRDefault="00FB76CA" w:rsidP="00FB76CA">
      <w:pPr>
        <w:spacing w:after="0" w:line="360" w:lineRule="auto"/>
        <w:jc w:val="both"/>
        <w:rPr>
          <w:i/>
        </w:rPr>
      </w:pPr>
      <w:r w:rsidRPr="00112336">
        <w:rPr>
          <w:i/>
        </w:rPr>
        <w:t>‘The condom policy’</w:t>
      </w:r>
    </w:p>
    <w:p w:rsidR="00FB76CA" w:rsidRDefault="00FB76CA" w:rsidP="00FB76CA">
      <w:pPr>
        <w:spacing w:after="0" w:line="360" w:lineRule="auto"/>
        <w:jc w:val="both"/>
        <w:rPr>
          <w:rFonts w:ascii="HelveticaNeueLT-Light" w:hAnsi="HelveticaNeueLT-Light" w:cs="HelveticaNeueLT-Light"/>
        </w:rPr>
      </w:pPr>
    </w:p>
    <w:p w:rsidR="00FB76CA" w:rsidRDefault="00FB76CA" w:rsidP="00FB76CA">
      <w:pPr>
        <w:spacing w:after="0" w:line="360" w:lineRule="auto"/>
        <w:jc w:val="both"/>
      </w:pPr>
      <w:r>
        <w:t>Unprotected sex – in prison as elsewhere – risks the transmission of blood-borne viruses (BBVs) and sexually transmitted infections (STIs). Medical professionals working in English, Welsh and Scottish prisons are accordingly authorized to dispense condoms, dental dams and water-based lubricants if, in their clinical judgement, doing so will minimize the risk of infection transmission</w:t>
      </w:r>
      <w:r>
        <w:rPr>
          <w:rStyle w:val="FootnoteReference"/>
        </w:rPr>
        <w:footnoteReference w:id="13"/>
      </w:r>
      <w:r>
        <w:t>.</w:t>
      </w:r>
      <w:r w:rsidRPr="00B40567">
        <w:t xml:space="preserve"> </w:t>
      </w:r>
      <w:r>
        <w:t xml:space="preserve">NOMS has not, however, specified its preferred approach to condom distribution across the penal estate. Each prison’s senior management team must therefore decide how to implement the policy. The result is grossly iniquitous variance in the availability of condoms in British prisons.  </w:t>
      </w:r>
    </w:p>
    <w:p w:rsidR="00FB76CA" w:rsidRDefault="00FB76CA" w:rsidP="00FB76CA">
      <w:pPr>
        <w:spacing w:line="360" w:lineRule="auto"/>
        <w:jc w:val="both"/>
        <w:rPr>
          <w:rFonts w:ascii="HelveticaNeueLT-Light" w:hAnsi="HelveticaNeueLT-Light" w:cs="HelveticaNeueLT-Light"/>
        </w:rPr>
      </w:pPr>
    </w:p>
    <w:p w:rsidR="00FB76CA" w:rsidRDefault="0018039F" w:rsidP="00FB76CA">
      <w:pPr>
        <w:spacing w:after="0" w:line="360" w:lineRule="auto"/>
        <w:jc w:val="both"/>
      </w:pPr>
      <w:r>
        <w:t>I</w:t>
      </w:r>
      <w:r w:rsidR="001F2C41">
        <w:t xml:space="preserve">n recollecting their experiences of condom </w:t>
      </w:r>
      <w:r w:rsidR="00A70E7B">
        <w:t xml:space="preserve">provision </w:t>
      </w:r>
      <w:r w:rsidR="00DC092E">
        <w:t>a</w:t>
      </w:r>
      <w:r w:rsidR="003D5685">
        <w:t xml:space="preserve">cross the spectrum of the penal (mainstream and ‘vulnerable’) </w:t>
      </w:r>
      <w:r w:rsidR="00DC092E">
        <w:t>estate</w:t>
      </w:r>
      <w:r w:rsidR="001F2C41">
        <w:t>,</w:t>
      </w:r>
      <w:r w:rsidR="00A70E7B">
        <w:t xml:space="preserve"> </w:t>
      </w:r>
      <w:r>
        <w:t xml:space="preserve">then, </w:t>
      </w:r>
      <w:r w:rsidR="001F2C41">
        <w:t>s</w:t>
      </w:r>
      <w:r w:rsidR="00FB76CA">
        <w:t>ome interviewees had resided in prisons</w:t>
      </w:r>
      <w:r w:rsidR="00FB76CA" w:rsidRPr="0083304B">
        <w:t xml:space="preserve"> </w:t>
      </w:r>
      <w:r w:rsidR="00FB76CA">
        <w:t>where prominently displayed posters promoted safe sex messages, and in which “pretty much unlimited” amounts of condoms were “readily” obtainable from healthcare, and less frequently,</w:t>
      </w:r>
      <w:r w:rsidR="00FB76CA" w:rsidRPr="0083304B">
        <w:t xml:space="preserve"> </w:t>
      </w:r>
      <w:r w:rsidR="00FB76CA">
        <w:t xml:space="preserve">from drug workers, the chaplaincy, or at LGBT meetings.  Others had been advised </w:t>
      </w:r>
      <w:r w:rsidR="003F7BC7">
        <w:t xml:space="preserve">at reception </w:t>
      </w:r>
      <w:r w:rsidR="00FB76CA">
        <w:t>of their automatic entitlement to a specified number of condoms per week from healthcare – sometimes with the proviso of a “one-for-one swap”: “</w:t>
      </w:r>
      <w:r w:rsidR="00FB76CA" w:rsidRPr="00F3163B">
        <w:t xml:space="preserve">you had to return the used </w:t>
      </w:r>
      <w:r w:rsidR="00FB76CA">
        <w:t>ones</w:t>
      </w:r>
      <w:r w:rsidR="00FB76CA" w:rsidRPr="00F3163B">
        <w:t xml:space="preserve"> </w:t>
      </w:r>
      <w:r w:rsidR="00FB76CA">
        <w:t xml:space="preserve">… before you could get any more” – meaning that prisoners found </w:t>
      </w:r>
      <w:r w:rsidR="00FB76CA" w:rsidRPr="00516A84">
        <w:t xml:space="preserve">in possession of </w:t>
      </w:r>
      <w:r w:rsidR="00FB76CA">
        <w:t xml:space="preserve">“excessive” </w:t>
      </w:r>
      <w:r w:rsidR="00FB76CA" w:rsidRPr="00516A84">
        <w:t>condoms</w:t>
      </w:r>
      <w:r w:rsidR="00FB76CA">
        <w:t xml:space="preserve"> (that is, beyond the stipulated quota), were liable to be disciplined for ‘unauthorised articles’</w:t>
      </w:r>
      <w:r w:rsidR="00CA4CEA">
        <w:rPr>
          <w:rStyle w:val="FootnoteReference"/>
        </w:rPr>
        <w:footnoteReference w:id="14"/>
      </w:r>
      <w:r w:rsidR="00FB76CA">
        <w:t xml:space="preserve">. Only exceptionally, however, had interviewees been able to self-dispense condoms or obtain them in ways which they considered adequately guaranteed their anonymity and privacy. For, and as many interviewees observed, prisoners </w:t>
      </w:r>
      <w:r w:rsidR="00FB76CA">
        <w:lastRenderedPageBreak/>
        <w:t xml:space="preserve">in closed conditions are not autonomous agents, able to transport themselves to healthcare for a confidential consultation with their preferred primary care practitioner. An appointment requires permission to leave the wing and proceed through a series of locked doors and gates to access the clinic, whereupon prisoners will encounter other men awaiting medical treatment, and staff who may or may not be sympathetic to their request. Upon returning to the wing, prisoners will be searched. These practical obstacles had consequently deterred some men from obtaining condoms: </w:t>
      </w:r>
    </w:p>
    <w:p w:rsidR="00FB76CA" w:rsidRDefault="00FB76CA" w:rsidP="00FB76CA">
      <w:pPr>
        <w:spacing w:after="0" w:line="360" w:lineRule="auto"/>
        <w:jc w:val="both"/>
      </w:pPr>
    </w:p>
    <w:p w:rsidR="00FB76CA" w:rsidRDefault="00FB76CA" w:rsidP="00FB76CA">
      <w:pPr>
        <w:spacing w:after="0" w:line="240" w:lineRule="auto"/>
        <w:ind w:left="720"/>
        <w:jc w:val="both"/>
        <w:rPr>
          <w:bCs/>
        </w:rPr>
      </w:pPr>
      <w:r w:rsidRPr="00FE3372">
        <w:rPr>
          <w:bCs/>
        </w:rPr>
        <w:t>I never used condoms</w:t>
      </w:r>
      <w:r>
        <w:rPr>
          <w:bCs/>
        </w:rPr>
        <w:t>.</w:t>
      </w:r>
      <w:r w:rsidRPr="00FE3372">
        <w:rPr>
          <w:bCs/>
        </w:rPr>
        <w:t xml:space="preserve"> </w:t>
      </w:r>
      <w:r w:rsidRPr="00037A53">
        <w:rPr>
          <w:bCs/>
        </w:rPr>
        <w:t xml:space="preserve">I couldn’t risk outing myself </w:t>
      </w:r>
      <w:r w:rsidRPr="00FE3372">
        <w:rPr>
          <w:bCs/>
        </w:rPr>
        <w:t>… You’d have to queue up and ask for them in front of everyone else a</w:t>
      </w:r>
      <w:r>
        <w:rPr>
          <w:bCs/>
        </w:rPr>
        <w:t>nd I wasn’t prepared to do that.</w:t>
      </w:r>
    </w:p>
    <w:p w:rsidR="00FB76CA" w:rsidRDefault="00FB76CA" w:rsidP="00FB76CA">
      <w:pPr>
        <w:spacing w:after="0" w:line="360" w:lineRule="auto"/>
        <w:ind w:left="7200" w:firstLine="720"/>
        <w:jc w:val="both"/>
      </w:pPr>
      <w:r>
        <w:rPr>
          <w:bCs/>
        </w:rPr>
        <w:t xml:space="preserve"> (Simon)</w:t>
      </w:r>
    </w:p>
    <w:p w:rsidR="00FB76CA" w:rsidRDefault="00FB76CA" w:rsidP="00FB76CA">
      <w:pPr>
        <w:spacing w:after="0" w:line="360" w:lineRule="auto"/>
        <w:ind w:left="7200" w:firstLine="720"/>
        <w:jc w:val="both"/>
      </w:pPr>
    </w:p>
    <w:p w:rsidR="00FB76CA" w:rsidRDefault="00FB76CA" w:rsidP="00FB76CA">
      <w:pPr>
        <w:spacing w:after="0" w:line="240" w:lineRule="auto"/>
        <w:ind w:left="720"/>
        <w:jc w:val="both"/>
        <w:rPr>
          <w:bCs/>
        </w:rPr>
      </w:pPr>
      <w:r>
        <w:rPr>
          <w:bCs/>
        </w:rPr>
        <w:t>I</w:t>
      </w:r>
      <w:r w:rsidRPr="00037A53">
        <w:rPr>
          <w:bCs/>
        </w:rPr>
        <w:t xml:space="preserve"> was</w:t>
      </w:r>
      <w:r>
        <w:rPr>
          <w:bCs/>
        </w:rPr>
        <w:t>, at that time,</w:t>
      </w:r>
      <w:r w:rsidRPr="00037A53">
        <w:rPr>
          <w:bCs/>
        </w:rPr>
        <w:t xml:space="preserve"> straight. So how could I come back on the wing clutching a </w:t>
      </w:r>
      <w:r>
        <w:rPr>
          <w:bCs/>
        </w:rPr>
        <w:t>bag</w:t>
      </w:r>
      <w:r w:rsidRPr="00037A53">
        <w:rPr>
          <w:bCs/>
        </w:rPr>
        <w:t xml:space="preserve"> of condoms? </w:t>
      </w:r>
      <w:r>
        <w:rPr>
          <w:bCs/>
        </w:rPr>
        <w:t>…</w:t>
      </w:r>
      <w:r w:rsidRPr="00AE743A">
        <w:rPr>
          <w:bCs/>
        </w:rPr>
        <w:t xml:space="preserve"> </w:t>
      </w:r>
      <w:r>
        <w:rPr>
          <w:bCs/>
        </w:rPr>
        <w:t>Yeah, unsafe sex is a risk, but I thought it was a better risk than people knowing.</w:t>
      </w:r>
    </w:p>
    <w:p w:rsidR="00FB76CA" w:rsidRPr="00AA2952" w:rsidRDefault="00FB76CA" w:rsidP="00FB76CA">
      <w:pPr>
        <w:spacing w:after="0" w:line="240" w:lineRule="auto"/>
        <w:ind w:left="720"/>
        <w:jc w:val="both"/>
        <w:rPr>
          <w:bCs/>
        </w:rPr>
      </w:pPr>
      <w:r>
        <w:rPr>
          <w:bCs/>
        </w:rPr>
        <w:tab/>
      </w:r>
      <w:r>
        <w:rPr>
          <w:bCs/>
        </w:rPr>
        <w:tab/>
      </w:r>
      <w:r>
        <w:rPr>
          <w:bCs/>
        </w:rPr>
        <w:tab/>
      </w:r>
      <w:r>
        <w:rPr>
          <w:bCs/>
        </w:rPr>
        <w:tab/>
      </w:r>
      <w:r>
        <w:rPr>
          <w:bCs/>
        </w:rPr>
        <w:tab/>
      </w:r>
      <w:r>
        <w:rPr>
          <w:bCs/>
        </w:rPr>
        <w:tab/>
      </w:r>
      <w:r>
        <w:rPr>
          <w:bCs/>
        </w:rPr>
        <w:tab/>
      </w:r>
      <w:r>
        <w:rPr>
          <w:bCs/>
        </w:rPr>
        <w:tab/>
      </w:r>
      <w:r>
        <w:rPr>
          <w:bCs/>
        </w:rPr>
        <w:tab/>
      </w:r>
      <w:r w:rsidRPr="00AA2952">
        <w:rPr>
          <w:bCs/>
        </w:rPr>
        <w:tab/>
        <w:t>(Clem)</w:t>
      </w:r>
    </w:p>
    <w:p w:rsidR="00FB76CA" w:rsidRDefault="00FB76CA" w:rsidP="00FB76CA">
      <w:pPr>
        <w:spacing w:line="360" w:lineRule="auto"/>
        <w:jc w:val="both"/>
      </w:pPr>
    </w:p>
    <w:p w:rsidR="00FB76CA" w:rsidRDefault="00FB76CA" w:rsidP="00FB76CA">
      <w:pPr>
        <w:spacing w:after="0" w:line="240" w:lineRule="auto"/>
        <w:ind w:left="720"/>
        <w:jc w:val="both"/>
      </w:pPr>
      <w:r>
        <w:t>No, I didn’t [use condoms]. Unfortunately you can’t always trust healthcare staff not to report you.</w:t>
      </w:r>
      <w:r>
        <w:tab/>
      </w:r>
      <w:r>
        <w:tab/>
      </w:r>
      <w:r>
        <w:tab/>
      </w:r>
      <w:r>
        <w:tab/>
      </w:r>
      <w:r>
        <w:tab/>
      </w:r>
      <w:r>
        <w:tab/>
      </w:r>
      <w:r>
        <w:tab/>
      </w:r>
      <w:r>
        <w:tab/>
      </w:r>
      <w:r>
        <w:tab/>
      </w:r>
      <w:r>
        <w:tab/>
      </w:r>
      <w:r>
        <w:tab/>
      </w:r>
      <w:r>
        <w:tab/>
      </w:r>
      <w:r>
        <w:tab/>
      </w:r>
      <w:r>
        <w:tab/>
      </w:r>
      <w:r>
        <w:tab/>
      </w:r>
      <w:r>
        <w:tab/>
      </w:r>
      <w:r>
        <w:tab/>
      </w:r>
      <w:r>
        <w:tab/>
      </w:r>
      <w:r>
        <w:tab/>
      </w:r>
      <w:r>
        <w:tab/>
        <w:t>(Craig)</w:t>
      </w:r>
    </w:p>
    <w:p w:rsidR="00FB76CA" w:rsidRDefault="00FB76CA" w:rsidP="00FB76CA">
      <w:pPr>
        <w:spacing w:after="0" w:line="240" w:lineRule="auto"/>
        <w:jc w:val="both"/>
      </w:pPr>
    </w:p>
    <w:p w:rsidR="00FB76CA" w:rsidRDefault="00FB76CA" w:rsidP="00FB76CA">
      <w:pPr>
        <w:spacing w:after="0" w:line="240" w:lineRule="auto"/>
        <w:jc w:val="both"/>
      </w:pPr>
    </w:p>
    <w:p w:rsidR="00FB76CA" w:rsidRPr="00535B47" w:rsidRDefault="00D5339F" w:rsidP="00FB76CA">
      <w:pPr>
        <w:spacing w:after="0" w:line="360" w:lineRule="auto"/>
        <w:jc w:val="both"/>
      </w:pPr>
      <w:r>
        <w:t>O</w:t>
      </w:r>
      <w:r w:rsidR="00FB76CA">
        <w:t>ther interviewees</w:t>
      </w:r>
      <w:r w:rsidR="0018039F">
        <w:t>, however,</w:t>
      </w:r>
      <w:r w:rsidR="00FB76CA">
        <w:t xml:space="preserve"> had requested but been refused access to condoms because, they had been told, providing condoms “encourages homosexuality” and hence might increase involvement in consensual sex, and by being (</w:t>
      </w:r>
      <w:proofErr w:type="spellStart"/>
      <w:r w:rsidR="00FB76CA">
        <w:t>mis</w:t>
      </w:r>
      <w:proofErr w:type="spellEnd"/>
      <w:r w:rsidR="00FB76CA">
        <w:t xml:space="preserve">)used to conceal contraband, could increase levels of drug misuse.  (Both objections are empirically refutable: </w:t>
      </w:r>
      <w:r w:rsidR="00FB76CA" w:rsidRPr="00C9208E">
        <w:t xml:space="preserve">Butler </w:t>
      </w:r>
      <w:r w:rsidR="00FB76CA" w:rsidRPr="00C9208E">
        <w:rPr>
          <w:i/>
          <w:iCs/>
        </w:rPr>
        <w:t>et al.</w:t>
      </w:r>
      <w:r w:rsidR="00FB76CA" w:rsidRPr="00C9208E">
        <w:t xml:space="preserve"> 2013</w:t>
      </w:r>
      <w:r w:rsidR="00FB76CA">
        <w:t xml:space="preserve">; </w:t>
      </w:r>
      <w:r w:rsidR="00FB76CA" w:rsidRPr="00694C17">
        <w:t xml:space="preserve">Yap </w:t>
      </w:r>
      <w:r w:rsidR="00FB76CA" w:rsidRPr="00694C17">
        <w:rPr>
          <w:i/>
          <w:iCs/>
        </w:rPr>
        <w:t>et al</w:t>
      </w:r>
      <w:r w:rsidR="00FB76CA">
        <w:rPr>
          <w:i/>
          <w:iCs/>
        </w:rPr>
        <w:t>.</w:t>
      </w:r>
      <w:r w:rsidR="00FB76CA" w:rsidRPr="00694C17">
        <w:rPr>
          <w:i/>
          <w:iCs/>
        </w:rPr>
        <w:t xml:space="preserve"> </w:t>
      </w:r>
      <w:r w:rsidR="00FB76CA">
        <w:t>2007</w:t>
      </w:r>
      <w:r w:rsidR="00FB76CA" w:rsidRPr="00C9208E">
        <w:t>).</w:t>
      </w:r>
      <w:r w:rsidR="00FB76CA">
        <w:t xml:space="preserve"> As </w:t>
      </w:r>
      <w:r w:rsidR="00FB76CA" w:rsidRPr="009F4B78">
        <w:t>Noah</w:t>
      </w:r>
      <w:r w:rsidR="00FB76CA">
        <w:rPr>
          <w:b/>
        </w:rPr>
        <w:t xml:space="preserve"> </w:t>
      </w:r>
      <w:r w:rsidR="00FB76CA">
        <w:t xml:space="preserve">recalled, in terms similar to the metaphoric allusion to “a blind eye” above: </w:t>
      </w:r>
      <w:r w:rsidR="00FB76CA" w:rsidRPr="00516A84">
        <w:t xml:space="preserve"> </w:t>
      </w:r>
    </w:p>
    <w:p w:rsidR="00FB76CA" w:rsidRDefault="00FB76CA" w:rsidP="00FB76CA">
      <w:pPr>
        <w:spacing w:after="0"/>
        <w:ind w:left="1440"/>
        <w:jc w:val="both"/>
        <w:rPr>
          <w:color w:val="000000"/>
          <w:lang w:eastAsia="en-GB"/>
        </w:rPr>
      </w:pPr>
    </w:p>
    <w:p w:rsidR="00FB76CA" w:rsidRPr="000C784C" w:rsidRDefault="00FB76CA" w:rsidP="00FB76CA">
      <w:pPr>
        <w:ind w:left="720"/>
        <w:jc w:val="both"/>
        <w:rPr>
          <w:color w:val="000000"/>
          <w:lang w:eastAsia="en-GB"/>
        </w:rPr>
      </w:pPr>
      <w:r>
        <w:rPr>
          <w:color w:val="000000"/>
          <w:lang w:eastAsia="en-GB"/>
        </w:rPr>
        <w:t>When I moved to</w:t>
      </w:r>
      <w:r w:rsidRPr="000C784C">
        <w:rPr>
          <w:color w:val="000000"/>
          <w:lang w:eastAsia="en-GB"/>
        </w:rPr>
        <w:t xml:space="preserve"> </w:t>
      </w:r>
      <w:r>
        <w:rPr>
          <w:color w:val="000000"/>
          <w:lang w:eastAsia="en-GB"/>
        </w:rPr>
        <w:t xml:space="preserve">[an </w:t>
      </w:r>
      <w:r w:rsidRPr="000C784C">
        <w:rPr>
          <w:color w:val="000000"/>
          <w:lang w:eastAsia="en-GB"/>
        </w:rPr>
        <w:t>open prison</w:t>
      </w:r>
      <w:r>
        <w:rPr>
          <w:color w:val="000000"/>
          <w:lang w:eastAsia="en-GB"/>
        </w:rPr>
        <w:t xml:space="preserve">], </w:t>
      </w:r>
      <w:r w:rsidRPr="000C784C">
        <w:rPr>
          <w:color w:val="000000"/>
          <w:lang w:eastAsia="en-GB"/>
        </w:rPr>
        <w:t xml:space="preserve">I was aware </w:t>
      </w:r>
      <w:r>
        <w:rPr>
          <w:color w:val="000000"/>
          <w:lang w:eastAsia="en-GB"/>
        </w:rPr>
        <w:t xml:space="preserve">of guys having sex so I raised it </w:t>
      </w:r>
      <w:r w:rsidRPr="000C784C">
        <w:rPr>
          <w:color w:val="000000"/>
          <w:lang w:eastAsia="en-GB"/>
        </w:rPr>
        <w:t>wit</w:t>
      </w:r>
      <w:r>
        <w:rPr>
          <w:color w:val="000000"/>
          <w:lang w:eastAsia="en-GB"/>
        </w:rPr>
        <w:t>h Diversity. I believe condoms should be freely available but I was told no, ‘</w:t>
      </w:r>
      <w:r w:rsidRPr="00BE7DE3">
        <w:rPr>
          <w:color w:val="000000"/>
          <w:lang w:eastAsia="en-GB"/>
        </w:rPr>
        <w:t xml:space="preserve">prisoners </w:t>
      </w:r>
      <w:r>
        <w:rPr>
          <w:color w:val="000000"/>
          <w:lang w:eastAsia="en-GB"/>
        </w:rPr>
        <w:t xml:space="preserve">aren’t allowed condoms’ because they could be used to smuggle drugs … It was a kind of blindness, really, wilful blindness to what was going on, and ignorance about the potential risk to those guys, because staff had a responsibility to help but they wouldn’t because they were more worried about drugs. </w:t>
      </w:r>
    </w:p>
    <w:p w:rsidR="00FB76CA" w:rsidRDefault="00FB76CA" w:rsidP="00FB76CA">
      <w:pPr>
        <w:spacing w:after="0" w:line="360" w:lineRule="auto"/>
        <w:jc w:val="both"/>
      </w:pPr>
    </w:p>
    <w:p w:rsidR="00FB76CA" w:rsidRDefault="00FB76CA" w:rsidP="00FB76CA">
      <w:pPr>
        <w:spacing w:after="0" w:line="360" w:lineRule="auto"/>
        <w:jc w:val="both"/>
      </w:pPr>
      <w:r>
        <w:t xml:space="preserve">What </w:t>
      </w:r>
      <w:r w:rsidRPr="009F4B78">
        <w:t>Noah</w:t>
      </w:r>
      <w:r>
        <w:rPr>
          <w:b/>
        </w:rPr>
        <w:t xml:space="preserve"> </w:t>
      </w:r>
      <w:r w:rsidRPr="00A01A24">
        <w:t>is</w:t>
      </w:r>
      <w:r>
        <w:rPr>
          <w:b/>
        </w:rPr>
        <w:t xml:space="preserve"> </w:t>
      </w:r>
      <w:r>
        <w:t xml:space="preserve">describing here, then, is such prisons’ ‘moral indifference’ (Cohen 2001: 98-101)  to sexually active prisoners and their sexual health needs; indifference inculcated </w:t>
      </w:r>
      <w:r>
        <w:lastRenderedPageBreak/>
        <w:t>during officers’ training</w:t>
      </w:r>
      <w:r w:rsidR="00153E6F">
        <w:t xml:space="preserve"> and occupational socialization</w:t>
      </w:r>
      <w:r>
        <w:t>, and institutionalised within daily practice, by the foregrounding of security as the master status and meta-narrative for all that the prison is, does, and seeks to achieve</w:t>
      </w:r>
      <w:r w:rsidR="00265CF6">
        <w:t xml:space="preserve"> (</w:t>
      </w:r>
      <w:r w:rsidR="00F32854">
        <w:t>Arnold 2008</w:t>
      </w:r>
      <w:r w:rsidR="00265CF6">
        <w:t>)</w:t>
      </w:r>
      <w:r>
        <w:t>.</w:t>
      </w:r>
      <w:r>
        <w:rPr>
          <w:i/>
        </w:rPr>
        <w:t xml:space="preserve"> </w:t>
      </w:r>
      <w:r>
        <w:t xml:space="preserve">By reference to the familiar justifications of security and control, the prison can deny the countervailing imperative of sexual health and its ethical obligations to, and moral responsibilities for the health of, those in its care: the perceived risk to institutional good order </w:t>
      </w:r>
      <w:r w:rsidR="00BB1570">
        <w:t xml:space="preserve">overrides </w:t>
      </w:r>
      <w:r>
        <w:t xml:space="preserve">the risk to the sexual health of individuals.  </w:t>
      </w:r>
      <w:r w:rsidRPr="00E674E7">
        <w:t>Moreover, f</w:t>
      </w:r>
      <w:r>
        <w:t>rom this perspective, if prisoners are not ‘allowed’ to do something and do it anyway, any adverse outcomes they suffer are their own fault: the neutralising technique of ‘denial of victim’. It is more difficult, however, to apply the same logic to ‘innocent’ people in the community who recommence or begin a sexual relationship with a formerly imprisoned</w:t>
      </w:r>
      <w:r w:rsidR="008A0A04">
        <w:t xml:space="preserve">, and now </w:t>
      </w:r>
      <w:r>
        <w:t>infected</w:t>
      </w:r>
      <w:r w:rsidR="008A0A04">
        <w:t>,</w:t>
      </w:r>
      <w:r>
        <w:t xml:space="preserve"> partner.  </w:t>
      </w:r>
    </w:p>
    <w:p w:rsidR="00FB76CA" w:rsidRDefault="00FB76CA" w:rsidP="00FB76CA">
      <w:pPr>
        <w:spacing w:after="0" w:line="360" w:lineRule="auto"/>
        <w:jc w:val="both"/>
      </w:pPr>
    </w:p>
    <w:p w:rsidR="00FB76CA" w:rsidRDefault="00FB76CA" w:rsidP="00FB76CA">
      <w:pPr>
        <w:spacing w:after="0" w:line="360" w:lineRule="auto"/>
        <w:jc w:val="both"/>
      </w:pPr>
      <w:r>
        <w:t>Simultaneously to know about the need for condoms and knowingly evade its implications demands</w:t>
      </w:r>
      <w:r w:rsidRPr="002C3916">
        <w:t xml:space="preserve"> </w:t>
      </w:r>
      <w:r>
        <w:t xml:space="preserve">a substantial and sustained investment in denial. In establishments with openly advertised and codified condom distribution schemes, it is impossible </w:t>
      </w:r>
      <w:r w:rsidRPr="009A2015">
        <w:t xml:space="preserve">for </w:t>
      </w:r>
      <w:r>
        <w:t xml:space="preserve">prison </w:t>
      </w:r>
      <w:r w:rsidRPr="009A2015">
        <w:t>staff</w:t>
      </w:r>
      <w:r>
        <w:t xml:space="preserve"> not to be </w:t>
      </w:r>
      <w:r w:rsidRPr="009A2015">
        <w:t>aware, at the very least, of the likelihood that prisoners obtaining condoms ar</w:t>
      </w:r>
      <w:r>
        <w:t>e doing so in order to have sex – and yet, as argued above, neither sexual activity among prisoners nor the capacity for heteroflexibility</w:t>
      </w:r>
      <w:r w:rsidRPr="00226D3D">
        <w:t xml:space="preserve"> </w:t>
      </w:r>
      <w:r>
        <w:t xml:space="preserve">is publicly acknowledged. By relying upon the erroneous </w:t>
      </w:r>
      <w:r>
        <w:rPr>
          <w:rFonts w:eastAsia="Times New Roman"/>
          <w:color w:val="000000"/>
          <w:lang w:eastAsia="en-GB"/>
        </w:rPr>
        <w:t>heteronormative</w:t>
      </w:r>
      <w:r>
        <w:t xml:space="preserve"> assumption that only “genuinely” gay men have sex with men, prison staff </w:t>
      </w:r>
      <w:r w:rsidR="00386408">
        <w:t>we</w:t>
      </w:r>
      <w:r>
        <w:t xml:space="preserve">re able, for example, to inform prison inspectors that </w:t>
      </w:r>
      <w:r w:rsidR="00904B79">
        <w:t xml:space="preserve">‘access to barrier protection was </w:t>
      </w:r>
      <w:r>
        <w:t>unnecessary b</w:t>
      </w:r>
      <w:r w:rsidR="00904B79">
        <w:t xml:space="preserve">ecause </w:t>
      </w:r>
      <w:r>
        <w:t xml:space="preserve">none of its prisoners were homosexual’ (HMIP in Howard League 2012: 3). Establishments which do not permit, or make it very difficult in practice for, their prisoners to access condoms are choosing not to know about sexual activity, and not to think about the potential consequences of unprotected sex. They fail to consider the risk of transmission (denial of injury) or alternatively, nullify their own culpability (denial of responsibility) by relocating the risk and hence attribution of blame to the sexually active prisoner who ‘chose’ not to subject himself to the humiliations of semi-public access to condoms (denial of victim). Variations in the policy’s implementation across the penal estate also serve to disempower </w:t>
      </w:r>
      <w:r w:rsidRPr="009A2015">
        <w:t>prisoners</w:t>
      </w:r>
      <w:r>
        <w:t xml:space="preserve">, who cannot assume that they will be able to obtain condoms, either at all or with dignity, or retain them in their cell without attracting censure. For some sexually active men, these experiences of unpredictability and indifference, and the uncertainties and anxieties they foster, deter them from attempting to limit their exposure, and that of their present and prospective partners, to STIs and BBVs. Some 20 years after the condom policy was formally instituted, it therefore remains likely that only a </w:t>
      </w:r>
      <w:r w:rsidRPr="00502B76">
        <w:rPr>
          <w:i/>
        </w:rPr>
        <w:t>minority</w:t>
      </w:r>
      <w:r>
        <w:t xml:space="preserve"> of </w:t>
      </w:r>
      <w:proofErr w:type="gramStart"/>
      <w:r>
        <w:t>men</w:t>
      </w:r>
      <w:proofErr w:type="gramEnd"/>
      <w:r>
        <w:t xml:space="preserve"> </w:t>
      </w:r>
      <w:r>
        <w:lastRenderedPageBreak/>
        <w:t>who have sex in prison, use condoms (</w:t>
      </w:r>
      <w:proofErr w:type="spellStart"/>
      <w:r>
        <w:t>Strang</w:t>
      </w:r>
      <w:proofErr w:type="spellEnd"/>
      <w:r>
        <w:t xml:space="preserve"> </w:t>
      </w:r>
      <w:r w:rsidRPr="00E75BB6">
        <w:rPr>
          <w:i/>
        </w:rPr>
        <w:t>et al.</w:t>
      </w:r>
      <w:r>
        <w:t xml:space="preserve"> 1998; Taylor </w:t>
      </w:r>
      <w:r w:rsidRPr="00E75BB6">
        <w:rPr>
          <w:i/>
        </w:rPr>
        <w:t>et al.</w:t>
      </w:r>
      <w:r>
        <w:t xml:space="preserve"> 2013). This, then, is a significant harm which the condom policy was intended to acknowledge, but which some prisons, in their inconsistent and inadequate response, continue to deny. </w:t>
      </w:r>
    </w:p>
    <w:p w:rsidR="00FB76CA" w:rsidRDefault="00FB76CA" w:rsidP="00FB76CA">
      <w:pPr>
        <w:spacing w:after="0" w:line="360" w:lineRule="auto"/>
        <w:jc w:val="both"/>
      </w:pPr>
    </w:p>
    <w:p w:rsidR="00FB76CA" w:rsidRDefault="003F3E8A" w:rsidP="00FB76CA">
      <w:pPr>
        <w:spacing w:after="0" w:line="360" w:lineRule="auto"/>
        <w:jc w:val="center"/>
        <w:rPr>
          <w:i/>
        </w:rPr>
      </w:pPr>
      <w:r>
        <w:rPr>
          <w:i/>
        </w:rPr>
        <w:t>Coercive</w:t>
      </w:r>
      <w:r w:rsidR="00FB76CA">
        <w:rPr>
          <w:i/>
        </w:rPr>
        <w:t xml:space="preserve"> sex</w:t>
      </w:r>
    </w:p>
    <w:p w:rsidR="00FB76CA" w:rsidRDefault="00FB76CA" w:rsidP="00FB76CA">
      <w:pPr>
        <w:spacing w:after="0" w:line="360" w:lineRule="auto"/>
        <w:jc w:val="center"/>
        <w:rPr>
          <w:i/>
        </w:rPr>
      </w:pPr>
    </w:p>
    <w:p w:rsidR="008054CA" w:rsidRDefault="008054CA" w:rsidP="00B73736">
      <w:pPr>
        <w:spacing w:after="0"/>
        <w:ind w:left="1440"/>
        <w:jc w:val="both"/>
      </w:pPr>
      <w:r w:rsidRPr="00D0388D">
        <w:t>Quite</w:t>
      </w:r>
      <w:r>
        <w:t xml:space="preserve"> </w:t>
      </w:r>
      <w:r w:rsidRPr="00D0388D">
        <w:t>simply, what happened ruined my life</w:t>
      </w:r>
      <w:r>
        <w:t xml:space="preserve"> …</w:t>
      </w:r>
      <w:r w:rsidRPr="00D0388D">
        <w:t xml:space="preserve"> I’ve wanted to talk about it for a long time, but the means were not there. Because nobody wants to know, nobody wants to hear about this horrendous, horrendous abuse</w:t>
      </w:r>
      <w:r>
        <w:t xml:space="preserve">. </w:t>
      </w:r>
    </w:p>
    <w:p w:rsidR="008054CA" w:rsidRDefault="008054CA" w:rsidP="00B73736">
      <w:pPr>
        <w:spacing w:after="0"/>
        <w:ind w:left="7200" w:firstLine="720"/>
      </w:pPr>
      <w:r>
        <w:t>(William)</w:t>
      </w:r>
    </w:p>
    <w:p w:rsidR="00FB76CA" w:rsidRDefault="00FB76CA" w:rsidP="00FB76CA">
      <w:pPr>
        <w:rPr>
          <w:i/>
        </w:rPr>
      </w:pPr>
    </w:p>
    <w:p w:rsidR="007204D6" w:rsidRDefault="00FB76CA" w:rsidP="00B73736">
      <w:pPr>
        <w:spacing w:line="360" w:lineRule="auto"/>
        <w:jc w:val="both"/>
      </w:pPr>
      <w:r>
        <w:t xml:space="preserve">In an incisive paper published in this journal, O’Donnell (2004) explained what is exceptionally American about prison rape. As participants in this and other studies (for example, Edgar </w:t>
      </w:r>
      <w:r w:rsidRPr="00584030">
        <w:rPr>
          <w:i/>
        </w:rPr>
        <w:t>et al.</w:t>
      </w:r>
      <w:r>
        <w:t xml:space="preserve"> 2003) concur, rape in British prisons </w:t>
      </w:r>
      <w:r w:rsidRPr="00604BBD">
        <w:rPr>
          <w:i/>
        </w:rPr>
        <w:t>is</w:t>
      </w:r>
      <w:r>
        <w:t xml:space="preserve"> statistically rare, and fear of rape does not permeate British penal culture. </w:t>
      </w:r>
    </w:p>
    <w:p w:rsidR="00084A8B" w:rsidRDefault="00084A8B" w:rsidP="00FB76CA">
      <w:pPr>
        <w:spacing w:after="0" w:line="360" w:lineRule="auto"/>
        <w:jc w:val="both"/>
        <w:rPr>
          <w:rFonts w:eastAsia="Times New Roman"/>
          <w:color w:val="000000"/>
          <w:lang w:eastAsia="en-GB"/>
        </w:rPr>
      </w:pPr>
    </w:p>
    <w:p w:rsidR="00FB76CA" w:rsidRPr="0032731D" w:rsidRDefault="00FB76CA" w:rsidP="00FB76CA">
      <w:pPr>
        <w:spacing w:after="0" w:line="360" w:lineRule="auto"/>
        <w:jc w:val="both"/>
        <w:rPr>
          <w:rFonts w:eastAsia="Times New Roman"/>
          <w:color w:val="000000"/>
          <w:lang w:eastAsia="en-GB"/>
        </w:rPr>
      </w:pPr>
      <w:r>
        <w:rPr>
          <w:rFonts w:eastAsia="Times New Roman"/>
          <w:color w:val="000000"/>
          <w:lang w:eastAsia="en-GB"/>
        </w:rPr>
        <w:t xml:space="preserve">A </w:t>
      </w:r>
      <w:r w:rsidRPr="00FE1DD6">
        <w:rPr>
          <w:rFonts w:eastAsia="Times New Roman"/>
          <w:color w:val="000000"/>
          <w:lang w:eastAsia="en-GB"/>
        </w:rPr>
        <w:t>numerically “</w:t>
      </w:r>
      <w:r w:rsidRPr="00FE1DD6">
        <w:rPr>
          <w:rFonts w:eastAsia="Times New Roman"/>
          <w:i/>
          <w:color w:val="000000"/>
          <w:lang w:eastAsia="en-GB"/>
        </w:rPr>
        <w:t>much</w:t>
      </w:r>
      <w:r w:rsidRPr="00FE1DD6">
        <w:rPr>
          <w:rFonts w:eastAsia="Times New Roman"/>
          <w:color w:val="000000"/>
          <w:lang w:eastAsia="en-GB"/>
        </w:rPr>
        <w:t xml:space="preserve"> bigger problem than rape”</w:t>
      </w:r>
      <w:r w:rsidR="005F4826">
        <w:rPr>
          <w:rFonts w:eastAsia="Times New Roman"/>
          <w:color w:val="000000"/>
          <w:lang w:eastAsia="en-GB"/>
        </w:rPr>
        <w:t>, according to interviewees,</w:t>
      </w:r>
      <w:r w:rsidR="00D708F5">
        <w:rPr>
          <w:rFonts w:eastAsia="Times New Roman"/>
          <w:color w:val="000000"/>
          <w:lang w:eastAsia="en-GB"/>
        </w:rPr>
        <w:t xml:space="preserve"> </w:t>
      </w:r>
      <w:r w:rsidRPr="00FE1DD6">
        <w:rPr>
          <w:rFonts w:eastAsia="Times New Roman"/>
          <w:color w:val="000000"/>
          <w:lang w:eastAsia="en-GB"/>
        </w:rPr>
        <w:t xml:space="preserve">is transactional sex. </w:t>
      </w:r>
      <w:r>
        <w:rPr>
          <w:rFonts w:eastAsia="Times New Roman"/>
          <w:color w:val="000000"/>
          <w:lang w:eastAsia="en-GB"/>
        </w:rPr>
        <w:t xml:space="preserve">The trading and borrowing of permitted and contraband items (notably, classified drugs, prescription medications, mobile phones, tobacco, and alcohol) and </w:t>
      </w:r>
      <w:proofErr w:type="gramStart"/>
      <w:r>
        <w:rPr>
          <w:rFonts w:eastAsia="Times New Roman"/>
          <w:color w:val="000000"/>
          <w:lang w:eastAsia="en-GB"/>
        </w:rPr>
        <w:t>services (gambling, credit) is</w:t>
      </w:r>
      <w:proofErr w:type="gramEnd"/>
      <w:r>
        <w:rPr>
          <w:rFonts w:eastAsia="Times New Roman"/>
          <w:color w:val="000000"/>
          <w:lang w:eastAsia="en-GB"/>
        </w:rPr>
        <w:t xml:space="preserve"> an entrenched feature of prison life. Much prison violence – </w:t>
      </w:r>
      <w:r w:rsidRPr="00FE1DD6">
        <w:t xml:space="preserve">bullying, intimidation, and </w:t>
      </w:r>
      <w:r w:rsidRPr="000C71F8">
        <w:t xml:space="preserve">physical </w:t>
      </w:r>
      <w:r w:rsidRPr="00FE1DD6">
        <w:t>assaults</w:t>
      </w:r>
      <w:r>
        <w:t xml:space="preserve"> – is associated </w:t>
      </w:r>
      <w:r>
        <w:rPr>
          <w:rFonts w:eastAsia="Times New Roman"/>
          <w:color w:val="000000"/>
          <w:lang w:eastAsia="en-GB"/>
        </w:rPr>
        <w:t>with securing re</w:t>
      </w:r>
      <w:r>
        <w:t xml:space="preserve">payment from reluctant debtors; after all, there are </w:t>
      </w:r>
      <w:r>
        <w:rPr>
          <w:rFonts w:eastAsia="Times New Roman"/>
          <w:color w:val="000000"/>
          <w:lang w:eastAsia="en-GB"/>
        </w:rPr>
        <w:t xml:space="preserve">no </w:t>
      </w:r>
      <w:r>
        <w:t xml:space="preserve">legitimate means by which to compel the honouring of illicit agreements </w:t>
      </w:r>
      <w:r w:rsidRPr="00FE1DD6">
        <w:t xml:space="preserve">(Edgar </w:t>
      </w:r>
      <w:r w:rsidRPr="00FE1DD6">
        <w:rPr>
          <w:i/>
        </w:rPr>
        <w:t>et al.</w:t>
      </w:r>
      <w:r w:rsidRPr="00FE1DD6">
        <w:t xml:space="preserve"> 2003; </w:t>
      </w:r>
      <w:r>
        <w:t>Crewe 2009</w:t>
      </w:r>
      <w:r w:rsidRPr="00FE1DD6">
        <w:t>).</w:t>
      </w:r>
      <w:r>
        <w:rPr>
          <w:rFonts w:eastAsia="Times New Roman"/>
          <w:color w:val="000000"/>
          <w:lang w:eastAsia="en-GB"/>
        </w:rPr>
        <w:t xml:space="preserve"> Less well recognized </w:t>
      </w:r>
      <w:r>
        <w:t>(though see Banbury 2004)</w:t>
      </w:r>
      <w:r>
        <w:rPr>
          <w:rFonts w:eastAsia="Times New Roman"/>
          <w:color w:val="000000"/>
          <w:lang w:eastAsia="en-GB"/>
        </w:rPr>
        <w:t xml:space="preserve">, however, is the situation whereby </w:t>
      </w:r>
      <w:r>
        <w:t xml:space="preserve">prisoners </w:t>
      </w:r>
      <w:r w:rsidR="00722776">
        <w:t>in</w:t>
      </w:r>
      <w:r>
        <w:t xml:space="preserve"> debt or  “with zero credit” and minimal external social and financial support, </w:t>
      </w:r>
      <w:r w:rsidRPr="00FE1DD6">
        <w:t xml:space="preserve">offer “sexual </w:t>
      </w:r>
      <w:r>
        <w:t>favours”</w:t>
      </w:r>
      <w:r w:rsidRPr="00FE1DD6">
        <w:t xml:space="preserve"> in lieu of pay</w:t>
      </w:r>
      <w:r>
        <w:t>ment or in return for goods</w:t>
      </w:r>
      <w:r w:rsidRPr="00FE1DD6">
        <w:t xml:space="preserve"> purchased </w:t>
      </w:r>
      <w:r>
        <w:t xml:space="preserve">by the recipient of the “favour”. </w:t>
      </w:r>
      <w:r w:rsidR="008A0A04">
        <w:t>Research participants</w:t>
      </w:r>
      <w:r w:rsidR="00597696">
        <w:t xml:space="preserve"> reported witnessing such </w:t>
      </w:r>
      <w:r w:rsidR="007A4EAA">
        <w:t>transactions occur</w:t>
      </w:r>
      <w:r w:rsidR="00597696">
        <w:t>ring</w:t>
      </w:r>
      <w:r w:rsidR="007A4EAA">
        <w:t xml:space="preserve"> </w:t>
      </w:r>
      <w:r w:rsidR="00A70E7B">
        <w:t>in</w:t>
      </w:r>
      <w:r w:rsidR="007A4EAA">
        <w:t xml:space="preserve"> both mainstream and ‘vulnerable’ </w:t>
      </w:r>
      <w:r w:rsidR="00A70E7B">
        <w:t>setting</w:t>
      </w:r>
      <w:r w:rsidR="007A4EAA">
        <w:t>s</w:t>
      </w:r>
      <w:r w:rsidR="00597696">
        <w:t>,</w:t>
      </w:r>
      <w:r w:rsidR="004611B0">
        <w:t xml:space="preserve"> but it was those who</w:t>
      </w:r>
      <w:r w:rsidR="007A4EAA">
        <w:t xml:space="preserve"> </w:t>
      </w:r>
      <w:r>
        <w:t xml:space="preserve">had resided in VPUs </w:t>
      </w:r>
      <w:r w:rsidR="007A4EAA">
        <w:t xml:space="preserve">who </w:t>
      </w:r>
      <w:r w:rsidR="00A70E7B">
        <w:t>stressed</w:t>
      </w:r>
      <w:r w:rsidR="007204D6">
        <w:t xml:space="preserve"> </w:t>
      </w:r>
      <w:r>
        <w:t>how “frequently” they had observed predatory paedophiles pursue the closest approximation to their preferred prey, “boyish-looking” prisoners, whose sexual capitulation was rewarded with “gifts”</w:t>
      </w:r>
      <w:r>
        <w:rPr>
          <w:rFonts w:eastAsia="Times New Roman"/>
          <w:color w:val="000000"/>
          <w:lang w:eastAsia="en-GB"/>
        </w:rPr>
        <w:t>:</w:t>
      </w:r>
    </w:p>
    <w:p w:rsidR="00FB76CA" w:rsidRDefault="00FB76CA" w:rsidP="00FB76CA">
      <w:pPr>
        <w:spacing w:after="0" w:line="240" w:lineRule="auto"/>
        <w:jc w:val="both"/>
        <w:rPr>
          <w:rFonts w:eastAsia="Times New Roman"/>
          <w:color w:val="000000"/>
          <w:lang w:eastAsia="en-GB"/>
        </w:rPr>
      </w:pPr>
    </w:p>
    <w:p w:rsidR="00FB76CA" w:rsidRDefault="00FB76CA" w:rsidP="00FB76CA">
      <w:pPr>
        <w:spacing w:after="0" w:line="240" w:lineRule="auto"/>
        <w:jc w:val="both"/>
      </w:pPr>
    </w:p>
    <w:p w:rsidR="00FB76CA" w:rsidRDefault="00FB76CA" w:rsidP="00FB76CA">
      <w:pPr>
        <w:spacing w:after="0" w:line="240" w:lineRule="auto"/>
        <w:ind w:left="1440"/>
        <w:jc w:val="both"/>
      </w:pPr>
      <w:r>
        <w:t xml:space="preserve">This one </w:t>
      </w:r>
      <w:r w:rsidR="00597696">
        <w:t xml:space="preserve">[mainstream] </w:t>
      </w:r>
      <w:r>
        <w:t xml:space="preserve">guy, he would basically prostitute himself for heroin. He’d got a habit and no other way to pay for it. </w:t>
      </w:r>
    </w:p>
    <w:p w:rsidR="00FB76CA" w:rsidRDefault="00FB76CA" w:rsidP="00FB76CA">
      <w:pPr>
        <w:spacing w:after="0" w:line="240" w:lineRule="auto"/>
        <w:jc w:val="both"/>
      </w:pPr>
      <w:r>
        <w:tab/>
      </w:r>
      <w:r>
        <w:tab/>
      </w:r>
      <w:r>
        <w:tab/>
      </w:r>
      <w:r>
        <w:tab/>
      </w:r>
      <w:r>
        <w:tab/>
      </w:r>
      <w:r>
        <w:tab/>
      </w:r>
      <w:r>
        <w:tab/>
      </w:r>
      <w:r>
        <w:tab/>
      </w:r>
      <w:r>
        <w:tab/>
      </w:r>
      <w:r>
        <w:tab/>
      </w:r>
      <w:r>
        <w:tab/>
        <w:t>(Donald)</w:t>
      </w:r>
    </w:p>
    <w:p w:rsidR="00FB76CA" w:rsidRDefault="00FB76CA" w:rsidP="00FB76CA">
      <w:pPr>
        <w:spacing w:after="0" w:line="240" w:lineRule="auto"/>
        <w:ind w:left="1440"/>
        <w:jc w:val="both"/>
      </w:pPr>
    </w:p>
    <w:p w:rsidR="00FB76CA" w:rsidRDefault="00FB76CA" w:rsidP="00FB76CA">
      <w:pPr>
        <w:spacing w:after="0" w:line="240" w:lineRule="auto"/>
        <w:ind w:left="1440"/>
        <w:jc w:val="both"/>
      </w:pPr>
    </w:p>
    <w:p w:rsidR="00FB76CA" w:rsidRDefault="00FB76CA" w:rsidP="00FB76CA">
      <w:pPr>
        <w:spacing w:after="0" w:line="240" w:lineRule="auto"/>
        <w:ind w:left="1440"/>
        <w:jc w:val="both"/>
      </w:pPr>
      <w:r w:rsidRPr="00B51AAE">
        <w:t>At [</w:t>
      </w:r>
      <w:r w:rsidR="00DB7AD6">
        <w:t>my</w:t>
      </w:r>
      <w:r>
        <w:t xml:space="preserve"> VPU</w:t>
      </w:r>
      <w:r w:rsidRPr="00B51AAE">
        <w:t>], the going rate f</w:t>
      </w:r>
      <w:r>
        <w:t xml:space="preserve">or oral [sex] was a Mars Bar.  Sounds ridiculous, I know, but – depends how desperate you are … You see that </w:t>
      </w:r>
      <w:r w:rsidRPr="007310A9">
        <w:rPr>
          <w:i/>
        </w:rPr>
        <w:t>a lot</w:t>
      </w:r>
      <w:r>
        <w:t xml:space="preserve">, older guys with private cash grooming young guys with fuck all. </w:t>
      </w:r>
    </w:p>
    <w:p w:rsidR="00FB76CA" w:rsidRDefault="00FB76CA" w:rsidP="00FB76CA">
      <w:pPr>
        <w:spacing w:after="0" w:line="240" w:lineRule="auto"/>
        <w:ind w:left="720" w:firstLine="720"/>
        <w:jc w:val="both"/>
      </w:pPr>
      <w:r>
        <w:tab/>
      </w:r>
      <w:r>
        <w:tab/>
      </w:r>
      <w:r>
        <w:tab/>
      </w:r>
      <w:r>
        <w:tab/>
      </w:r>
      <w:r>
        <w:tab/>
      </w:r>
      <w:r>
        <w:tab/>
      </w:r>
      <w:r>
        <w:tab/>
      </w:r>
      <w:r>
        <w:tab/>
      </w:r>
      <w:r>
        <w:tab/>
        <w:t>(Ollie)</w:t>
      </w:r>
    </w:p>
    <w:p w:rsidR="00FB76CA" w:rsidRPr="005D0532" w:rsidRDefault="00FB76CA" w:rsidP="00FB76CA">
      <w:pPr>
        <w:spacing w:after="0" w:line="240" w:lineRule="auto"/>
        <w:ind w:left="720" w:firstLine="720"/>
        <w:jc w:val="both"/>
      </w:pPr>
    </w:p>
    <w:p w:rsidR="00FB76CA" w:rsidRDefault="00FB76CA" w:rsidP="00FB76CA">
      <w:pPr>
        <w:spacing w:after="0" w:line="360" w:lineRule="auto"/>
        <w:jc w:val="both"/>
      </w:pPr>
    </w:p>
    <w:p w:rsidR="00FB76CA" w:rsidRDefault="00FB76CA" w:rsidP="00FB76CA">
      <w:pPr>
        <w:spacing w:after="0" w:line="360" w:lineRule="auto"/>
        <w:jc w:val="both"/>
      </w:pPr>
      <w:r>
        <w:t xml:space="preserve">Views about whether sex might be offered and accepted as re-payment of debts already incurred were more mixed, however, and none of </w:t>
      </w:r>
      <w:r w:rsidR="004E383B">
        <w:t>the</w:t>
      </w:r>
      <w:r>
        <w:t xml:space="preserve"> interviewees had ever heard of a prisoner being sexually assaulted as punishment for non-payment or as a prospective strategy of debt enforcement. </w:t>
      </w:r>
    </w:p>
    <w:p w:rsidR="00FB76CA" w:rsidRDefault="00FB76CA" w:rsidP="00FB76CA">
      <w:pPr>
        <w:spacing w:after="0" w:line="360" w:lineRule="auto"/>
        <w:jc w:val="both"/>
      </w:pPr>
    </w:p>
    <w:p w:rsidR="00FB76CA" w:rsidRDefault="00FB76CA" w:rsidP="00FB76CA">
      <w:pPr>
        <w:spacing w:after="0" w:line="360" w:lineRule="auto"/>
        <w:jc w:val="both"/>
        <w:rPr>
          <w:rFonts w:eastAsia="Times New Roman"/>
          <w:color w:val="000000"/>
          <w:lang w:eastAsia="en-GB"/>
        </w:rPr>
      </w:pPr>
      <w:r>
        <w:t xml:space="preserve">Transactional sex is therefore neither a simple extension of the normal rules and codes by which the prison’s informal economy operates, nor straightforwardly coercive. </w:t>
      </w:r>
      <w:r w:rsidR="00900ED8">
        <w:t xml:space="preserve">Interviewees </w:t>
      </w:r>
      <w:r w:rsidR="00930085">
        <w:t xml:space="preserve">hypothesized </w:t>
      </w:r>
      <w:r w:rsidR="00AB145F">
        <w:t xml:space="preserve">that </w:t>
      </w:r>
      <w:r>
        <w:t xml:space="preserve">those who trade in sex agentically </w:t>
      </w:r>
      <w:r w:rsidR="00F26DD7">
        <w:t>ascribe</w:t>
      </w:r>
      <w:r>
        <w:t xml:space="preserve"> an instrumental meaning to their behaviour – they </w:t>
      </w:r>
      <w:r w:rsidR="00DB7AD6">
        <w:t>consent to enter into a commercial exchange at the market “going rate”</w:t>
      </w:r>
      <w:r>
        <w:t xml:space="preserve">, out of need, not desire – in order to protect themselves psychologically from the spoiled identity which </w:t>
      </w:r>
      <w:r w:rsidR="00261C5E">
        <w:t>unwanted</w:t>
      </w:r>
      <w:r>
        <w:t>, and for some, same-sex</w:t>
      </w:r>
      <w:r w:rsidR="00261C5E">
        <w:t>, sexual activity</w:t>
      </w:r>
      <w:r>
        <w:t xml:space="preserve"> would otherwise confer.  Donald’s comparison with prostitution is therefore apt: a binary distinction between consensual and coercive sex is morally problematic to sustain when drug addiction or economic pressure</w:t>
      </w:r>
      <w:r w:rsidRPr="00496C8E">
        <w:t xml:space="preserve"> </w:t>
      </w:r>
      <w:r>
        <w:t>obfuscate</w:t>
      </w:r>
      <w:r w:rsidRPr="007B43E9">
        <w:t xml:space="preserve"> </w:t>
      </w:r>
      <w:r>
        <w:t xml:space="preserve">the </w:t>
      </w:r>
      <w:r w:rsidRPr="007B43E9">
        <w:t>divide</w:t>
      </w:r>
      <w:r>
        <w:t xml:space="preserve"> between wholly voluntary and </w:t>
      </w:r>
      <w:r w:rsidR="008C46F7">
        <w:t>manifestly</w:t>
      </w:r>
      <w:r>
        <w:t xml:space="preserve"> involuntary conduct. Moreover, any such interpretative and indeed ‘personal denial’ (Cohen 2001: 10) about exchanging sex for goods is mirrored by the failure of the prison to </w:t>
      </w:r>
      <w:r w:rsidR="007E01BE">
        <w:t xml:space="preserve">initiate the </w:t>
      </w:r>
      <w:r>
        <w:t>identif</w:t>
      </w:r>
      <w:r w:rsidR="007E01BE">
        <w:t xml:space="preserve">ication </w:t>
      </w:r>
      <w:r>
        <w:t>and label</w:t>
      </w:r>
      <w:r w:rsidR="00695F7B">
        <w:t xml:space="preserve">ling of </w:t>
      </w:r>
      <w:r w:rsidR="003F3E8A">
        <w:t xml:space="preserve">transactional sex as, </w:t>
      </w:r>
      <w:r>
        <w:t xml:space="preserve">at minimum, abusive and </w:t>
      </w:r>
      <w:r w:rsidRPr="00FE479F">
        <w:t>inherently exploitative</w:t>
      </w:r>
      <w:r>
        <w:t xml:space="preserve"> sexual activity. ‘</w:t>
      </w:r>
      <w:r w:rsidR="0070588F">
        <w:t>T</w:t>
      </w:r>
      <w:r>
        <w:t xml:space="preserve">raders’, no matter how “desperate”, will not perceive themselves as victims until the prison does – and these “sort of wrong” “not really consensual” acts will continue to be </w:t>
      </w:r>
      <w:r w:rsidRPr="00FE1DD6">
        <w:rPr>
          <w:rFonts w:eastAsia="Times New Roman"/>
          <w:color w:val="000000"/>
          <w:lang w:eastAsia="en-GB"/>
        </w:rPr>
        <w:t>neglected and negated</w:t>
      </w:r>
      <w:r>
        <w:rPr>
          <w:rFonts w:eastAsia="Times New Roman"/>
          <w:color w:val="000000"/>
          <w:lang w:eastAsia="en-GB"/>
        </w:rPr>
        <w:t xml:space="preserve"> in assessments of sexual activity in British prisons.</w:t>
      </w:r>
    </w:p>
    <w:p w:rsidR="00FB76CA" w:rsidRDefault="00FB76CA" w:rsidP="00FB76CA">
      <w:pPr>
        <w:spacing w:after="0" w:line="360" w:lineRule="auto"/>
        <w:jc w:val="both"/>
        <w:rPr>
          <w:rFonts w:eastAsia="Times New Roman"/>
          <w:color w:val="000000"/>
          <w:lang w:eastAsia="en-GB"/>
        </w:rPr>
      </w:pPr>
    </w:p>
    <w:p w:rsidR="00FB76CA" w:rsidRPr="00E91B2D" w:rsidRDefault="00FB76CA" w:rsidP="00FB76CA">
      <w:pPr>
        <w:spacing w:after="0" w:line="360" w:lineRule="auto"/>
        <w:jc w:val="both"/>
        <w:rPr>
          <w:rFonts w:eastAsia="Times New Roman"/>
          <w:color w:val="000000"/>
          <w:lang w:eastAsia="en-GB"/>
        </w:rPr>
      </w:pPr>
      <w:r>
        <w:t xml:space="preserve">Moreover, just as participants had asserted that prison officers could only </w:t>
      </w:r>
      <w:r w:rsidRPr="00016106">
        <w:rPr>
          <w:i/>
        </w:rPr>
        <w:t>not</w:t>
      </w:r>
      <w:r>
        <w:t xml:space="preserve"> know about consensual sex by “wearing blinkers”, so they wondered how it was possible for them not to notice the “blindingly obvious”, “up-to-no-good” “arrangements” which were readily apparent to prisoners. As Vinny decried</w:t>
      </w:r>
      <w:r w:rsidR="004266DD">
        <w:t>, in recalling his time in a high security prison</w:t>
      </w:r>
      <w:r>
        <w:t>:</w:t>
      </w:r>
    </w:p>
    <w:p w:rsidR="00FB76CA" w:rsidRDefault="00FB76CA" w:rsidP="00FB76CA">
      <w:pPr>
        <w:spacing w:after="0" w:line="360" w:lineRule="auto"/>
        <w:jc w:val="both"/>
      </w:pPr>
    </w:p>
    <w:p w:rsidR="00FB76CA" w:rsidRDefault="00FB76CA" w:rsidP="00FB76CA">
      <w:pPr>
        <w:spacing w:after="0" w:line="240" w:lineRule="auto"/>
        <w:ind w:left="1440"/>
        <w:jc w:val="both"/>
      </w:pPr>
      <w:r>
        <w:t xml:space="preserve">You don’t have to be a genius to figure it out. These guys have got bugger all – but a drug habit – and yet there’s this dealer, or a mate of the dealer, going into his cell, closing the door, coming out five minutes later looking very </w:t>
      </w:r>
      <w:r>
        <w:lastRenderedPageBreak/>
        <w:t xml:space="preserve">pleased with himself, and hey presto, the druggie keeps getting his stuff! … I can only describe it as shameful, shameful inaction by the prison, because it’s obvious something’s not right. But also, to be fair, it’s pretty shaming that [prisoners] say nothing either – but of course you can’t, because that would make you a grass. </w:t>
      </w:r>
    </w:p>
    <w:p w:rsidR="00FB76CA" w:rsidRDefault="00FB76CA" w:rsidP="00FB76CA">
      <w:pPr>
        <w:spacing w:after="0" w:line="360" w:lineRule="auto"/>
        <w:jc w:val="both"/>
      </w:pPr>
    </w:p>
    <w:p w:rsidR="00FB76CA" w:rsidRDefault="00FB76CA" w:rsidP="00FB76CA">
      <w:pPr>
        <w:spacing w:after="0" w:line="360" w:lineRule="auto"/>
        <w:jc w:val="both"/>
      </w:pPr>
    </w:p>
    <w:p w:rsidR="00FB76CA" w:rsidRDefault="00FB76CA" w:rsidP="00FB76CA">
      <w:pPr>
        <w:spacing w:after="0" w:line="360" w:lineRule="auto"/>
        <w:jc w:val="both"/>
      </w:pPr>
      <w:r>
        <w:t>Vinny’s exasperation thus relates not</w:t>
      </w:r>
      <w:r w:rsidR="00440CD3">
        <w:t xml:space="preserve"> just</w:t>
      </w:r>
      <w:r>
        <w:t xml:space="preserve"> to the prison staff’s failure </w:t>
      </w:r>
      <w:r w:rsidR="004F18FB">
        <w:t>“</w:t>
      </w:r>
      <w:r>
        <w:t xml:space="preserve">to figure it out”, but to the vaunted inmate code prohibition against informing – ‘grassing’, or in American parlance, ‘snitching’ – whether as victim or observer. These two points merit expansion as they are implicated in the non-reporting of indisputably coercive sexual acts. Although the extent to which ‘grassing’ remains inviolate within the (criminal and) prisoner code of ‘acceptable’ behaviours is debatable </w:t>
      </w:r>
      <w:r w:rsidRPr="003C53E7">
        <w:t>(</w:t>
      </w:r>
      <w:r>
        <w:t>Crewe 2009</w:t>
      </w:r>
      <w:r w:rsidRPr="003C53E7">
        <w:t xml:space="preserve">), </w:t>
      </w:r>
      <w:r>
        <w:t>the fear and actuality of grievous retribution heaped upon ‘grasses’ and ‘snitches’ features regularly in analyses of contributory factors to non-reporting of sexual assault in prisons (</w:t>
      </w:r>
      <w:proofErr w:type="spellStart"/>
      <w:r w:rsidRPr="00353D7D">
        <w:t>Struckman</w:t>
      </w:r>
      <w:proofErr w:type="spellEnd"/>
      <w:r w:rsidRPr="00353D7D">
        <w:t xml:space="preserve">-Johnson </w:t>
      </w:r>
      <w:r w:rsidRPr="00353D7D">
        <w:rPr>
          <w:i/>
        </w:rPr>
        <w:t>et al.</w:t>
      </w:r>
      <w:r w:rsidRPr="00353D7D">
        <w:t xml:space="preserve"> 1996</w:t>
      </w:r>
      <w:r>
        <w:t xml:space="preserve">; Edgar </w:t>
      </w:r>
      <w:r w:rsidRPr="00A12894">
        <w:rPr>
          <w:i/>
        </w:rPr>
        <w:t>et al.</w:t>
      </w:r>
      <w:r>
        <w:t xml:space="preserve"> 2003</w:t>
      </w:r>
      <w:r w:rsidRPr="00A12894">
        <w:t>)</w:t>
      </w:r>
      <w:r>
        <w:t xml:space="preserve">, and to ‘the </w:t>
      </w:r>
      <w:r>
        <w:rPr>
          <w:rFonts w:eastAsia="Times New Roman"/>
          <w:color w:val="000000"/>
          <w:lang w:eastAsia="en-GB"/>
        </w:rPr>
        <w:t>cycle of sexual victimization’ (Banbury 2004: 125) which economic dependency and transactional sex foster</w:t>
      </w:r>
      <w:r w:rsidRPr="00353D7D">
        <w:t>.</w:t>
      </w:r>
      <w:r>
        <w:t xml:space="preserve"> </w:t>
      </w:r>
      <w:r w:rsidR="007319C2">
        <w:t xml:space="preserve">None of the three men in this </w:t>
      </w:r>
      <w:proofErr w:type="gramStart"/>
      <w:r w:rsidR="007319C2">
        <w:t>study</w:t>
      </w:r>
      <w:proofErr w:type="gramEnd"/>
      <w:r w:rsidR="007319C2">
        <w:t xml:space="preserve"> who </w:t>
      </w:r>
      <w:r w:rsidR="007319C2" w:rsidRPr="00D0388D">
        <w:t xml:space="preserve">had been raped in prison, </w:t>
      </w:r>
      <w:r w:rsidR="007319C2">
        <w:t xml:space="preserve">had their assaults ‘officially’ recorded as such. Aiden’s account illustrates why. </w:t>
      </w:r>
      <w:r w:rsidR="007C2267">
        <w:t xml:space="preserve">Shortly after his transfer from a Young Offenders’ Institution to an adult training prison, Aiden was anally raped by five assailants, sustaining internal injuries which required in-prison medical treatment. </w:t>
      </w:r>
      <w:r w:rsidR="00147480">
        <w:t xml:space="preserve">Aiden </w:t>
      </w:r>
      <w:r>
        <w:t xml:space="preserve">was explicitly discouraged from reporting the rapes by a </w:t>
      </w:r>
      <w:r w:rsidRPr="00B51AAE">
        <w:t>principal officer</w:t>
      </w:r>
      <w:r>
        <w:t xml:space="preserve"> </w:t>
      </w:r>
      <w:r w:rsidR="008F2752">
        <w:t>because</w:t>
      </w:r>
      <w:r>
        <w:t xml:space="preserve"> to name the perpetrators would “mark his cards”</w:t>
      </w:r>
      <w:r w:rsidRPr="00B51AAE">
        <w:t xml:space="preserve"> </w:t>
      </w:r>
      <w:r>
        <w:t xml:space="preserve">for the remainder of his sentence and risk </w:t>
      </w:r>
      <w:r>
        <w:rPr>
          <w:bCs/>
        </w:rPr>
        <w:t>retaliatory attack</w:t>
      </w:r>
      <w:r>
        <w:t xml:space="preserve">s from their associates. Instead, the officer </w:t>
      </w:r>
      <w:r w:rsidR="00147480">
        <w:t>relocat</w:t>
      </w:r>
      <w:r>
        <w:t>ed Aiden</w:t>
      </w:r>
      <w:r w:rsidR="00287DBC">
        <w:t xml:space="preserve">, </w:t>
      </w:r>
      <w:r w:rsidR="00837E3C">
        <w:t>initially</w:t>
      </w:r>
      <w:r>
        <w:t xml:space="preserve"> </w:t>
      </w:r>
      <w:r w:rsidRPr="00B51AAE">
        <w:t>to the segregatio</w:t>
      </w:r>
      <w:r>
        <w:t>n unit for his ‘own protection’</w:t>
      </w:r>
      <w:r w:rsidR="00837E3C">
        <w:t xml:space="preserve"> and soon after</w:t>
      </w:r>
      <w:r w:rsidR="00287DBC">
        <w:t xml:space="preserve">, </w:t>
      </w:r>
      <w:r>
        <w:t xml:space="preserve">another prison. This </w:t>
      </w:r>
      <w:r w:rsidR="00287DBC">
        <w:t>response</w:t>
      </w:r>
      <w:r>
        <w:t xml:space="preserve"> may have been well-meaning and even well-grounded – Aiden himself </w:t>
      </w:r>
      <w:r w:rsidR="00287DBC">
        <w:t>accepted</w:t>
      </w:r>
      <w:r>
        <w:t>: “</w:t>
      </w:r>
      <w:r w:rsidRPr="00B51AAE">
        <w:t>I would have been a target ... I’d have been labelled a grass, and in prison, a label like that follows you around forever an</w:t>
      </w:r>
      <w:r>
        <w:t>d can cause you serious trouble” – but it was contrary to policy</w:t>
      </w:r>
      <w:r>
        <w:rPr>
          <w:rStyle w:val="FootnoteReference"/>
        </w:rPr>
        <w:footnoteReference w:id="15"/>
      </w:r>
      <w:r>
        <w:t xml:space="preserve">. </w:t>
      </w:r>
    </w:p>
    <w:p w:rsidR="00FB76CA" w:rsidRDefault="00FB76CA" w:rsidP="00FB76CA">
      <w:pPr>
        <w:spacing w:after="0" w:line="360" w:lineRule="auto"/>
        <w:jc w:val="both"/>
      </w:pPr>
    </w:p>
    <w:p w:rsidR="00FB76CA" w:rsidRDefault="00FB76CA" w:rsidP="00FB76CA">
      <w:pPr>
        <w:spacing w:after="0" w:line="360" w:lineRule="auto"/>
        <w:jc w:val="both"/>
      </w:pPr>
      <w:r>
        <w:t xml:space="preserve">Although, then, Aiden felt unable to report the rapes, he subsequently signalled his distress </w:t>
      </w:r>
      <w:r>
        <w:rPr>
          <w:bCs/>
        </w:rPr>
        <w:t xml:space="preserve">indirectly through self-harming behaviours. </w:t>
      </w:r>
      <w:r>
        <w:t>The self-loathing he developed for his body manifested itself in anorexia, while his initial feelings of profound shame and constant anxiety metamorphosed into anger and isolationism. He uncharacteristically</w:t>
      </w:r>
      <w:r w:rsidR="0030560B">
        <w:t xml:space="preserve"> </w:t>
      </w:r>
      <w:r>
        <w:t xml:space="preserve">began to provoke or participate in fights with other prisoners or refuse to co-operate with staff, </w:t>
      </w:r>
      <w:r>
        <w:lastRenderedPageBreak/>
        <w:t xml:space="preserve">accumulating numerous disciplinary adjudications and sojourns “down the block” (punitive segregation) in the two years following the </w:t>
      </w:r>
      <w:r>
        <w:rPr>
          <w:rFonts w:eastAsia="Times New Roman"/>
          <w:color w:val="000000"/>
          <w:lang w:eastAsia="en-GB"/>
        </w:rPr>
        <w:t>multiple perpetrator rape</w:t>
      </w:r>
      <w:r>
        <w:t xml:space="preserve">. No one asked Aiden what these changes in his behaviour ‘meant’: why he was not eating or why he had become aggressive, uncommunicative, and withdrawn. It was only five years later, after Aiden entered into prolonged group psychotherapy at Grendon therapeutic community prison (see Stevens 2013), that he eventually felt able to disclose his victimization and came to understand how hurting himself and others was directly related to his sublimated trauma.  </w:t>
      </w:r>
    </w:p>
    <w:p w:rsidR="00FB76CA" w:rsidRDefault="00FB76CA" w:rsidP="00FB76CA">
      <w:pPr>
        <w:spacing w:after="0" w:line="360" w:lineRule="auto"/>
        <w:jc w:val="both"/>
      </w:pPr>
    </w:p>
    <w:p w:rsidR="00587BC8" w:rsidRDefault="00FB76CA" w:rsidP="001450CB">
      <w:pPr>
        <w:spacing w:after="0" w:line="360" w:lineRule="auto"/>
        <w:jc w:val="both"/>
      </w:pPr>
      <w:r w:rsidRPr="00254613">
        <w:t xml:space="preserve">Rape and sexual assault, of course, are </w:t>
      </w:r>
      <w:r>
        <w:t>habitually</w:t>
      </w:r>
      <w:r w:rsidRPr="00254613">
        <w:t xml:space="preserve"> i</w:t>
      </w:r>
      <w:r>
        <w:t xml:space="preserve">nvisible offences. Victims in the community can be deterred by, for example, </w:t>
      </w:r>
      <w:r w:rsidRPr="00254613">
        <w:t>embarrassment</w:t>
      </w:r>
      <w:r>
        <w:t xml:space="preserve">, rape myths (which for male </w:t>
      </w:r>
      <w:proofErr w:type="gramStart"/>
      <w:r>
        <w:t>victims,</w:t>
      </w:r>
      <w:proofErr w:type="gramEnd"/>
      <w:r>
        <w:t xml:space="preserve"> include negative aspersions about their masculinity and sexuality), and distrust of or </w:t>
      </w:r>
      <w:r w:rsidRPr="00254613">
        <w:t xml:space="preserve">lack of confidence in </w:t>
      </w:r>
      <w:r>
        <w:t xml:space="preserve">investigatory </w:t>
      </w:r>
      <w:r w:rsidRPr="00254613">
        <w:t>authorities</w:t>
      </w:r>
      <w:r>
        <w:t xml:space="preserve"> (</w:t>
      </w:r>
      <w:proofErr w:type="spellStart"/>
      <w:r>
        <w:t>Rumney</w:t>
      </w:r>
      <w:proofErr w:type="spellEnd"/>
      <w:r>
        <w:t xml:space="preserve"> 2009; Weiss 2011). In the total and robustly masculinist</w:t>
      </w:r>
      <w:r w:rsidRPr="00254613">
        <w:t xml:space="preserve"> institutional environment of the prison</w:t>
      </w:r>
      <w:r>
        <w:t xml:space="preserve">, however, these concerns and their inhibitory effects are </w:t>
      </w:r>
      <w:r w:rsidR="00440CD3">
        <w:t xml:space="preserve">both </w:t>
      </w:r>
      <w:r>
        <w:t xml:space="preserve">amplified </w:t>
      </w:r>
      <w:r w:rsidR="00440CD3">
        <w:t xml:space="preserve">and </w:t>
      </w:r>
      <w:r>
        <w:t>supplemented, as discussed above, by the potential repercussions of ‘grassing’</w:t>
      </w:r>
      <w:r w:rsidRPr="00254613">
        <w:t xml:space="preserve"> (</w:t>
      </w:r>
      <w:r w:rsidRPr="00AB3782">
        <w:t>Miller 2010</w:t>
      </w:r>
      <w:r w:rsidRPr="00254613">
        <w:t>).</w:t>
      </w:r>
      <w:r>
        <w:t xml:space="preserve">  Non</w:t>
      </w:r>
      <w:r w:rsidR="00440CD3">
        <w:t>-reporting is therefore not just</w:t>
      </w:r>
      <w:r>
        <w:t xml:space="preserve"> the norm</w:t>
      </w:r>
      <w:r w:rsidRPr="00254613">
        <w:t xml:space="preserve"> </w:t>
      </w:r>
      <w:r w:rsidR="00265C2F">
        <w:t xml:space="preserve">– American researchers found that </w:t>
      </w:r>
      <w:proofErr w:type="gramStart"/>
      <w:r w:rsidR="005C448B">
        <w:t>fewer</w:t>
      </w:r>
      <w:proofErr w:type="gramEnd"/>
      <w:r w:rsidR="00265C2F" w:rsidRPr="00254613">
        <w:t xml:space="preserve"> than a third of prisoners who disclosed sexual coercion </w:t>
      </w:r>
      <w:r w:rsidR="00265C2F">
        <w:t>to them</w:t>
      </w:r>
      <w:r w:rsidR="00265C2F" w:rsidRPr="00254613">
        <w:t xml:space="preserve">, had </w:t>
      </w:r>
      <w:r w:rsidR="008B314E">
        <w:t xml:space="preserve">informed prison </w:t>
      </w:r>
      <w:r w:rsidR="004151FC">
        <w:t>authorities</w:t>
      </w:r>
      <w:r w:rsidR="00265C2F" w:rsidRPr="00254613">
        <w:t xml:space="preserve"> (</w:t>
      </w:r>
      <w:proofErr w:type="spellStart"/>
      <w:r w:rsidR="00265C2F" w:rsidRPr="00254613">
        <w:t>Struckman</w:t>
      </w:r>
      <w:proofErr w:type="spellEnd"/>
      <w:r w:rsidR="00265C2F" w:rsidRPr="00254613">
        <w:t xml:space="preserve">-Johnson </w:t>
      </w:r>
      <w:r w:rsidR="00265C2F" w:rsidRPr="00254613">
        <w:rPr>
          <w:i/>
        </w:rPr>
        <w:t>et al.</w:t>
      </w:r>
      <w:r w:rsidR="00265C2F" w:rsidRPr="00254613">
        <w:t xml:space="preserve"> 1996</w:t>
      </w:r>
      <w:r w:rsidR="00265C2F">
        <w:t xml:space="preserve">) – </w:t>
      </w:r>
      <w:r>
        <w:t xml:space="preserve">but </w:t>
      </w:r>
      <w:r w:rsidR="00386408">
        <w:t>is to</w:t>
      </w:r>
      <w:r w:rsidR="00C60CB0">
        <w:t xml:space="preserve"> </w:t>
      </w:r>
      <w:r>
        <w:t xml:space="preserve">be anticipated. </w:t>
      </w:r>
      <w:r w:rsidRPr="00254613">
        <w:t xml:space="preserve">Just how opaque the dark figure of unreported </w:t>
      </w:r>
      <w:r>
        <w:t xml:space="preserve">(and hence unrecorded) </w:t>
      </w:r>
      <w:r w:rsidRPr="00254613">
        <w:t xml:space="preserve">assaults inevitably is, however, appears not to be fully appreciated by the Ministry of Justice (2015:  unpaginated), which </w:t>
      </w:r>
      <w:r w:rsidR="00440CD3">
        <w:t>only tepidly</w:t>
      </w:r>
      <w:r w:rsidRPr="00254613">
        <w:t xml:space="preserve"> concedes that ‘due to the nature of the type of assault not all sexual assaults may be reported’. </w:t>
      </w:r>
      <w:r w:rsidRPr="00254613">
        <w:rPr>
          <w:i/>
        </w:rPr>
        <w:t xml:space="preserve">Most </w:t>
      </w:r>
      <w:r w:rsidRPr="00254613">
        <w:t>sexual assaults in prison are not reported</w:t>
      </w:r>
      <w:r>
        <w:rPr>
          <w:rStyle w:val="FootnoteReference"/>
        </w:rPr>
        <w:footnoteReference w:id="16"/>
      </w:r>
      <w:r w:rsidRPr="00254613">
        <w:t xml:space="preserve">. </w:t>
      </w:r>
    </w:p>
    <w:p w:rsidR="00C2063D" w:rsidRDefault="00C2063D" w:rsidP="00B73736">
      <w:pPr>
        <w:spacing w:after="0" w:line="360" w:lineRule="auto"/>
        <w:jc w:val="both"/>
      </w:pPr>
    </w:p>
    <w:p w:rsidR="00477352" w:rsidRDefault="00FB76CA" w:rsidP="00B73736">
      <w:pPr>
        <w:spacing w:after="0" w:line="360" w:lineRule="auto"/>
        <w:jc w:val="both"/>
        <w:rPr>
          <w:color w:val="000000"/>
        </w:rPr>
      </w:pPr>
      <w:r>
        <w:t>In relation to coercive sex</w:t>
      </w:r>
      <w:r w:rsidR="00837E3C">
        <w:t xml:space="preserve">, </w:t>
      </w:r>
      <w:r>
        <w:t xml:space="preserve">the ‘don’t ask, don’t tell’ strategy </w:t>
      </w:r>
      <w:r w:rsidR="00837E3C">
        <w:t xml:space="preserve">accordingly </w:t>
      </w:r>
      <w:r>
        <w:t xml:space="preserve">presents itself in more subtle, more amorphous form. Some incidents are not ‘seen’ because they were never ‘seen’:  the nature of denial is rarely literal. Aiden, for example, was not told that he was not raped, but his suffering was interpretively denied; his ordeal reformulated to </w:t>
      </w:r>
      <w:r w:rsidR="006A4C33">
        <w:t>require</w:t>
      </w:r>
      <w:r>
        <w:t xml:space="preserve"> the silencing of the victim, rather than a criminal investigation into the rapists, and his subsequent trauma reframed as self-harming and institutionally ‘troublesome’ behaviours. </w:t>
      </w:r>
      <w:r w:rsidR="00387CBF">
        <w:t xml:space="preserve">While prison authorities cannot know what they are unable to know because of non-reporting, </w:t>
      </w:r>
      <w:r w:rsidR="00387CBF">
        <w:lastRenderedPageBreak/>
        <w:t xml:space="preserve">they could communicate their receptiveness to ‘knowing’ by </w:t>
      </w:r>
      <w:r w:rsidR="00F34D19">
        <w:t xml:space="preserve">unflinchingly </w:t>
      </w:r>
      <w:r w:rsidR="00902DD1">
        <w:t>acknowledging</w:t>
      </w:r>
      <w:r w:rsidR="00387CBF">
        <w:t xml:space="preserve"> that the tr</w:t>
      </w:r>
      <w:r w:rsidR="00145DE1">
        <w:t>ue extent of sexual assaults is</w:t>
      </w:r>
      <w:r w:rsidR="00387CBF">
        <w:t xml:space="preserve"> </w:t>
      </w:r>
      <w:r w:rsidR="00013C21">
        <w:t xml:space="preserve">not only </w:t>
      </w:r>
      <w:r w:rsidR="00013C21" w:rsidRPr="00D0388D">
        <w:rPr>
          <w:i/>
        </w:rPr>
        <w:t>significantly greater</w:t>
      </w:r>
      <w:r w:rsidR="00013C21">
        <w:t xml:space="preserve"> than officially recorded, but </w:t>
      </w:r>
      <w:r w:rsidR="00387CBF">
        <w:t>as Cohen almost said, a ‘known unknown’</w:t>
      </w:r>
      <w:r w:rsidR="00F34D19">
        <w:t xml:space="preserve">; </w:t>
      </w:r>
      <w:r w:rsidR="00387CBF">
        <w:t xml:space="preserve"> </w:t>
      </w:r>
      <w:r w:rsidR="007B7137">
        <w:t>the opacity of which could be lessened</w:t>
      </w:r>
      <w:r w:rsidR="00387CBF">
        <w:t xml:space="preserve"> by, for example, improving staff adherence to and understanding of reporting </w:t>
      </w:r>
      <w:r w:rsidR="00860B71">
        <w:t xml:space="preserve">and recording </w:t>
      </w:r>
      <w:r w:rsidR="00387CBF">
        <w:t>procedures, increasing prisoners’ confidence in those procedures, and by permitting research</w:t>
      </w:r>
      <w:r w:rsidR="00477352">
        <w:t xml:space="preserve">. For, to overcome denial </w:t>
      </w:r>
      <w:r w:rsidR="00210BBE">
        <w:t xml:space="preserve">and under-reaction </w:t>
      </w:r>
      <w:r w:rsidR="006A4C33">
        <w:t>entails</w:t>
      </w:r>
      <w:r w:rsidR="00477352">
        <w:t xml:space="preserve"> moving beyond the acquisition of knowledge to, and as Cohen (</w:t>
      </w:r>
      <w:r w:rsidR="00477352">
        <w:rPr>
          <w:color w:val="000000"/>
        </w:rPr>
        <w:t>2001:9) did say, ‘doing the “right” thing with this knowledge’</w:t>
      </w:r>
      <w:r w:rsidR="00CC6131">
        <w:rPr>
          <w:color w:val="000000"/>
        </w:rPr>
        <w:t>, by appreciating and acting upon its implications.</w:t>
      </w:r>
    </w:p>
    <w:p w:rsidR="00387CBF" w:rsidRDefault="00387CBF" w:rsidP="00FB76CA">
      <w:pPr>
        <w:spacing w:after="0" w:line="360" w:lineRule="auto"/>
        <w:jc w:val="both"/>
      </w:pPr>
    </w:p>
    <w:p w:rsidR="00387CBF" w:rsidRDefault="00387CBF" w:rsidP="00FB76CA">
      <w:pPr>
        <w:spacing w:after="0" w:line="360" w:lineRule="auto"/>
        <w:jc w:val="both"/>
      </w:pPr>
    </w:p>
    <w:p w:rsidR="00FB76CA" w:rsidRPr="007F41EF" w:rsidRDefault="00D009CA" w:rsidP="00A95B56">
      <w:pPr>
        <w:spacing w:after="0" w:line="360" w:lineRule="auto"/>
        <w:jc w:val="both"/>
      </w:pPr>
      <w:r>
        <w:t xml:space="preserve">Denial may also emanate, however, </w:t>
      </w:r>
      <w:proofErr w:type="gramStart"/>
      <w:r w:rsidRPr="005F3BBB">
        <w:rPr>
          <w:i/>
        </w:rPr>
        <w:t>not</w:t>
      </w:r>
      <w:r>
        <w:t xml:space="preserve"> from ‘not seeing’,</w:t>
      </w:r>
      <w:proofErr w:type="gramEnd"/>
      <w:r>
        <w:t xml:space="preserve"> but from not looking. ‘The universal tendency to see only what is convenient to see’ (Cohen 1993: 103) produces a cognitive confirmation bias in which information is selected to fit one’s existing perceptual frames. If one does not see what one does not expect to see, prison staff who, relying upon the low rates of </w:t>
      </w:r>
      <w:r w:rsidRPr="00B604D2">
        <w:rPr>
          <w:i/>
        </w:rPr>
        <w:t xml:space="preserve">reported </w:t>
      </w:r>
      <w:r w:rsidRPr="00F81952">
        <w:t>sexual</w:t>
      </w:r>
      <w:r>
        <w:rPr>
          <w:i/>
        </w:rPr>
        <w:t xml:space="preserve"> </w:t>
      </w:r>
      <w:r>
        <w:t>assaults,</w:t>
      </w:r>
      <w:r w:rsidRPr="00FF66ED">
        <w:t xml:space="preserve"> </w:t>
      </w:r>
      <w:r>
        <w:t xml:space="preserve">‘know’ that such crimes are comparatively rare, will not anticipate encountering evidence of their existence nor ponder the </w:t>
      </w:r>
      <w:r w:rsidRPr="00FF66ED">
        <w:rPr>
          <w:i/>
        </w:rPr>
        <w:t>actual</w:t>
      </w:r>
      <w:r>
        <w:t xml:space="preserve"> levels of assault.  Such ‘cultural not-noticing’, because it does not correspond with the prison’s ‘taken-for-granted view of the world’ (Cohen 2001:9), may then result in a foreclosure of imagination and of avenues of enquiry. This failure to look beyond </w:t>
      </w:r>
      <w:r>
        <w:rPr>
          <w:rFonts w:eastAsia="Palatino-Roman"/>
        </w:rPr>
        <w:t xml:space="preserve">presenting symptoms </w:t>
      </w:r>
      <w:r w:rsidR="002C5073">
        <w:rPr>
          <w:rFonts w:eastAsia="Palatino-Roman"/>
        </w:rPr>
        <w:t xml:space="preserve">– here, </w:t>
      </w:r>
      <w:r>
        <w:t xml:space="preserve">of coercion, grooming, or reluctant engagement in transactional sex </w:t>
      </w:r>
      <w:r w:rsidR="002C5073">
        <w:t xml:space="preserve">– </w:t>
      </w:r>
      <w:r>
        <w:rPr>
          <w:rFonts w:eastAsia="Palatino-Roman"/>
        </w:rPr>
        <w:t>to discern the chains of causation</w:t>
      </w:r>
      <w:r w:rsidRPr="00F752FE">
        <w:rPr>
          <w:rFonts w:eastAsia="Palatino-Roman"/>
        </w:rPr>
        <w:t xml:space="preserve"> </w:t>
      </w:r>
      <w:r>
        <w:rPr>
          <w:rFonts w:eastAsia="Palatino-Roman"/>
        </w:rPr>
        <w:t>and possibilities for meaningful intervention (Cohen 2001)</w:t>
      </w:r>
      <w:r>
        <w:t xml:space="preserve">, </w:t>
      </w:r>
      <w:r w:rsidR="00D93EDF">
        <w:t>can foster</w:t>
      </w:r>
      <w:r>
        <w:t xml:space="preserve"> the perception </w:t>
      </w:r>
      <w:r w:rsidR="00E2724B">
        <w:t xml:space="preserve">among prisoners </w:t>
      </w:r>
      <w:r>
        <w:t xml:space="preserve">that “nobody wants to know”.  </w:t>
      </w:r>
      <w:r w:rsidR="00890088">
        <w:t>More s</w:t>
      </w:r>
      <w:r w:rsidR="00FB76CA">
        <w:t xml:space="preserve">imply </w:t>
      </w:r>
      <w:r w:rsidR="00336E30">
        <w:t>stated</w:t>
      </w:r>
      <w:proofErr w:type="gramStart"/>
      <w:r w:rsidR="00FB76CA">
        <w:t>,</w:t>
      </w:r>
      <w:proofErr w:type="gramEnd"/>
      <w:r w:rsidR="00FB76CA">
        <w:t xml:space="preserve"> if victims of sexual coercion are not asked, they may not feel able to tell. (Conversely, as this and many other studies demonstrate, when asked, with sensitivity and in conditions of confidentiality, some prisoners, and the formerly imprisoned, will feel able to tell.) </w:t>
      </w:r>
      <w:r w:rsidR="007D4295">
        <w:t>Arguably, if prison staff were more fully apprised through training of American research which catalogues the persistently observed characteristics of victims and perpetrators of sexual assaults (</w:t>
      </w:r>
      <w:proofErr w:type="spellStart"/>
      <w:r w:rsidR="007D4295">
        <w:t>Dumond</w:t>
      </w:r>
      <w:proofErr w:type="spellEnd"/>
      <w:r w:rsidR="007D4295">
        <w:t xml:space="preserve"> 2000; </w:t>
      </w:r>
      <w:proofErr w:type="spellStart"/>
      <w:r w:rsidR="007D4295">
        <w:t>Morash</w:t>
      </w:r>
      <w:proofErr w:type="spellEnd"/>
      <w:r w:rsidR="007D4295">
        <w:t xml:space="preserve"> </w:t>
      </w:r>
      <w:r w:rsidR="007D4295" w:rsidRPr="00A45742">
        <w:rPr>
          <w:i/>
        </w:rPr>
        <w:t>et al.</w:t>
      </w:r>
      <w:r w:rsidR="007D4295">
        <w:t xml:space="preserve"> 2010), and were more imaginatively inquisitive about how, for example, substance-abusing prisoners with limited financial resources </w:t>
      </w:r>
      <w:r>
        <w:t>fund</w:t>
      </w:r>
      <w:r w:rsidR="007D4295">
        <w:t xml:space="preserve"> their habit, they </w:t>
      </w:r>
      <w:r w:rsidR="00336E30">
        <w:t>might</w:t>
      </w:r>
      <w:r w:rsidR="007D4295">
        <w:t xml:space="preserve"> be more alert to tell-tale </w:t>
      </w:r>
      <w:r w:rsidR="0058794B">
        <w:t>sign</w:t>
      </w:r>
      <w:r w:rsidR="007D4295">
        <w:t>s that “something’s not right”</w:t>
      </w:r>
      <w:r w:rsidR="007D4295" w:rsidRPr="007D4295">
        <w:t xml:space="preserve"> </w:t>
      </w:r>
      <w:r w:rsidR="007D4295">
        <w:t xml:space="preserve">and be able “to figure it out”. They would then be better equipped to intervene, prospectively and pro-actively, to </w:t>
      </w:r>
      <w:r w:rsidR="00EC08DB">
        <w:t xml:space="preserve">enquire into and </w:t>
      </w:r>
      <w:r w:rsidR="007D4295">
        <w:t xml:space="preserve">prevent or curtail abusive behaviours and situations; and at least to consider whether problematic behaviour might be a consequence of trauma. </w:t>
      </w:r>
      <w:r w:rsidR="00FB76CA">
        <w:t xml:space="preserve">Otherwise, not noticing and not </w:t>
      </w:r>
      <w:r w:rsidR="00FB76CA">
        <w:lastRenderedPageBreak/>
        <w:t>thinking results in not knowing, leaving the sexually assaulted and sexually exploited unprotected, and their survival and recovery unaided.</w:t>
      </w:r>
    </w:p>
    <w:p w:rsidR="00FB76CA" w:rsidRDefault="00FB76CA" w:rsidP="00FB76CA">
      <w:pPr>
        <w:jc w:val="center"/>
        <w:rPr>
          <w:i/>
        </w:rPr>
      </w:pPr>
    </w:p>
    <w:p w:rsidR="00FB76CA" w:rsidRDefault="00FB76CA" w:rsidP="00FB76CA">
      <w:pPr>
        <w:jc w:val="center"/>
        <w:rPr>
          <w:i/>
        </w:rPr>
      </w:pPr>
      <w:r w:rsidRPr="004B7DD9">
        <w:rPr>
          <w:i/>
        </w:rPr>
        <w:t>Conclu</w:t>
      </w:r>
      <w:r>
        <w:rPr>
          <w:i/>
        </w:rPr>
        <w:t>sion</w:t>
      </w:r>
    </w:p>
    <w:p w:rsidR="00FB76CA" w:rsidRDefault="00FB76CA" w:rsidP="00FB76CA">
      <w:pPr>
        <w:spacing w:after="0" w:line="240" w:lineRule="auto"/>
        <w:jc w:val="center"/>
        <w:rPr>
          <w:i/>
        </w:rPr>
      </w:pPr>
    </w:p>
    <w:p w:rsidR="00FB76CA" w:rsidRPr="00394F2F" w:rsidRDefault="00FB76CA" w:rsidP="00FB76CA">
      <w:pPr>
        <w:spacing w:after="0" w:line="240" w:lineRule="auto"/>
        <w:ind w:left="720" w:firstLine="720"/>
        <w:jc w:val="both"/>
        <w:rPr>
          <w:i/>
        </w:rPr>
      </w:pPr>
      <w:r w:rsidRPr="00394F2F">
        <w:rPr>
          <w:i/>
        </w:rPr>
        <w:t xml:space="preserve">So it sounds as if you’re saying </w:t>
      </w:r>
      <w:r>
        <w:rPr>
          <w:i/>
        </w:rPr>
        <w:t>the Prison Service</w:t>
      </w:r>
      <w:r w:rsidRPr="00394F2F">
        <w:rPr>
          <w:i/>
        </w:rPr>
        <w:t xml:space="preserve"> is in denial?</w:t>
      </w:r>
    </w:p>
    <w:p w:rsidR="00FB76CA" w:rsidRDefault="00FB76CA" w:rsidP="00FB76CA">
      <w:pPr>
        <w:spacing w:after="0" w:line="240" w:lineRule="auto"/>
        <w:ind w:left="720" w:firstLine="720"/>
        <w:jc w:val="both"/>
      </w:pPr>
      <w:r>
        <w:t xml:space="preserve">Oh, for sure. Denial’s not just a river in Egypt, you know!   </w:t>
      </w:r>
    </w:p>
    <w:p w:rsidR="00FB76CA" w:rsidRDefault="00FB76CA" w:rsidP="00FB76CA">
      <w:pPr>
        <w:spacing w:after="0" w:line="240" w:lineRule="auto"/>
        <w:ind w:left="6480" w:firstLine="720"/>
        <w:jc w:val="both"/>
      </w:pPr>
      <w:r>
        <w:t xml:space="preserve">(Frankie) </w:t>
      </w:r>
    </w:p>
    <w:p w:rsidR="00FB76CA" w:rsidRDefault="00FB76CA" w:rsidP="00FB76CA">
      <w:pPr>
        <w:spacing w:after="0" w:line="360" w:lineRule="auto"/>
        <w:jc w:val="both"/>
      </w:pPr>
    </w:p>
    <w:p w:rsidR="00FB76CA" w:rsidRDefault="00FB76CA" w:rsidP="00FB76CA">
      <w:pPr>
        <w:spacing w:after="0" w:line="360" w:lineRule="auto"/>
        <w:jc w:val="both"/>
      </w:pPr>
    </w:p>
    <w:p w:rsidR="00FB76CA" w:rsidRDefault="00FB76CA" w:rsidP="00FB76CA">
      <w:pPr>
        <w:spacing w:after="0" w:line="360" w:lineRule="auto"/>
        <w:jc w:val="both"/>
      </w:pPr>
      <w:r>
        <w:t>As theorized through Stanley Cohen’s (1993, 2001) sociology of denial, and illustrated through interviewees’ accounts</w:t>
      </w:r>
      <w:r w:rsidRPr="00141750">
        <w:t xml:space="preserve"> </w:t>
      </w:r>
      <w:r>
        <w:t xml:space="preserve">of sexual relationships and sexual assaults, this article has shown how a collective and collaborative strategy and cultural habit of ‘don’t ask, don’t tell’ ensures that too often, inconvenient knowledge is avoided and necessary interventions evaded. </w:t>
      </w:r>
    </w:p>
    <w:p w:rsidR="00FB76CA" w:rsidRDefault="00FB76CA" w:rsidP="00FB76CA">
      <w:pPr>
        <w:spacing w:after="0" w:line="360" w:lineRule="auto"/>
        <w:jc w:val="both"/>
      </w:pPr>
    </w:p>
    <w:p w:rsidR="00FB76CA" w:rsidRDefault="00FB76CA" w:rsidP="00FB76CA">
      <w:pPr>
        <w:spacing w:after="0" w:line="360" w:lineRule="auto"/>
        <w:jc w:val="both"/>
      </w:pPr>
      <w:r>
        <w:t>This culture of denial begins with the institutional failure to recognise that imprisoned men remain sexual beings, with sexual needs, which a minority of men will seek to satisfy by having sex with other men. Both prisoners and staff conspire to ensure that consensual same-sex sexual relationships can pass unseen; while transactional sex is not noticed and not labelled as abusive, because of the fallacious polarity between consensual and non-consensual sex in an inherently coercive environment. The prisoner code against ‘grassing’ induces the silence of many, perhaps most, victims of sexual coercion; compounded sometimes by the inattention and inaction, or inappropriate action, of frontline officers little used to anticipating, or responding appropriately to, reports of sexual assaults (Miller 2010). E</w:t>
      </w:r>
      <w:r w:rsidRPr="009A2015">
        <w:t>quivo</w:t>
      </w:r>
      <w:r>
        <w:t xml:space="preserve">cal and inconsistently applied policies about what is and is not permitted in prison, and how (or even whether) to implement the condom </w:t>
      </w:r>
      <w:proofErr w:type="gramStart"/>
      <w:r>
        <w:t>policy,</w:t>
      </w:r>
      <w:proofErr w:type="gramEnd"/>
      <w:r>
        <w:t xml:space="preserve"> result in inequalities </w:t>
      </w:r>
      <w:r w:rsidR="000649B7">
        <w:t xml:space="preserve">in practice </w:t>
      </w:r>
      <w:r>
        <w:t>between establishments, dressed up as localized discretion.  The sexually active prisoner may be lucky, and find himself in a prison which facilitates anonymized access to condoms</w:t>
      </w:r>
      <w:r w:rsidR="00D5339F">
        <w:t xml:space="preserve">; or at least, </w:t>
      </w:r>
      <w:r w:rsidR="000649B7">
        <w:t>where</w:t>
      </w:r>
      <w:r w:rsidR="00D76533">
        <w:t xml:space="preserve"> </w:t>
      </w:r>
      <w:r w:rsidR="000A5C9C">
        <w:t xml:space="preserve">the personal values of </w:t>
      </w:r>
      <w:r w:rsidR="00D5339F">
        <w:t xml:space="preserve">managers </w:t>
      </w:r>
      <w:r w:rsidR="007A1252">
        <w:t>favour</w:t>
      </w:r>
      <w:r w:rsidR="000A5C9C">
        <w:t xml:space="preserve"> the prioritisation of </w:t>
      </w:r>
      <w:r w:rsidR="00843154">
        <w:t xml:space="preserve">public </w:t>
      </w:r>
      <w:r w:rsidR="00D5339F">
        <w:t xml:space="preserve">health </w:t>
      </w:r>
      <w:r w:rsidR="000A5C9C">
        <w:t xml:space="preserve">over </w:t>
      </w:r>
      <w:r w:rsidR="00D5339F">
        <w:t>‘moral opprobrium</w:t>
      </w:r>
      <w:r w:rsidR="00843154" w:rsidRPr="00843154">
        <w:t xml:space="preserve"> </w:t>
      </w:r>
      <w:r w:rsidR="00843154">
        <w:t>and security risks</w:t>
      </w:r>
      <w:r w:rsidR="00D5339F">
        <w:t>’ (</w:t>
      </w:r>
      <w:r w:rsidR="000649B7">
        <w:t>see</w:t>
      </w:r>
      <w:r w:rsidR="00E91E6E">
        <w:t xml:space="preserve"> </w:t>
      </w:r>
      <w:r w:rsidR="00843154">
        <w:t>Bennett 2016:126</w:t>
      </w:r>
      <w:r w:rsidR="00D5339F">
        <w:t>)</w:t>
      </w:r>
      <w:r>
        <w:t xml:space="preserve">. </w:t>
      </w:r>
      <w:r w:rsidR="004A14D3">
        <w:t>Conversely</w:t>
      </w:r>
      <w:r>
        <w:t xml:space="preserve">, </w:t>
      </w:r>
      <w:r w:rsidR="00D5339F">
        <w:t xml:space="preserve">a prisoner </w:t>
      </w:r>
      <w:r>
        <w:t xml:space="preserve">may find himself accommodated in a prison where </w:t>
      </w:r>
      <w:r w:rsidR="00843154">
        <w:t xml:space="preserve">sexual </w:t>
      </w:r>
      <w:r>
        <w:t xml:space="preserve">health needs are more than usually subservient to the insistent and irresistible demands of security, and in which the </w:t>
      </w:r>
      <w:r>
        <w:lastRenderedPageBreak/>
        <w:t xml:space="preserve">impracticalities of the procedures by which he is expected to acquire condoms deter him from protecting himself – and others – against STIs and BBVs. </w:t>
      </w:r>
    </w:p>
    <w:p w:rsidR="00FB76CA" w:rsidRDefault="00FB76CA" w:rsidP="00FB76CA">
      <w:pPr>
        <w:spacing w:after="0" w:line="360" w:lineRule="auto"/>
        <w:jc w:val="both"/>
      </w:pPr>
    </w:p>
    <w:p w:rsidR="00FB76CA" w:rsidRDefault="00FB76CA" w:rsidP="00FB76CA">
      <w:pPr>
        <w:spacing w:after="0" w:line="360" w:lineRule="auto"/>
        <w:jc w:val="both"/>
      </w:pPr>
      <w:r>
        <w:t xml:space="preserve">While the road from “wilful blindness” to “shameful inaction” can be short, </w:t>
      </w:r>
      <w:r w:rsidR="00DA4BFC">
        <w:t xml:space="preserve">my contention is that </w:t>
      </w:r>
      <w:r>
        <w:t xml:space="preserve">the prison’s response is not </w:t>
      </w:r>
      <w:r w:rsidR="00EC2B51">
        <w:t>general</w:t>
      </w:r>
      <w:r w:rsidR="00E0119A">
        <w:t xml:space="preserve">ly </w:t>
      </w:r>
      <w:r>
        <w:t xml:space="preserve">one of </w:t>
      </w:r>
      <w:r w:rsidR="00DA4BFC">
        <w:t xml:space="preserve">purposive </w:t>
      </w:r>
      <w:r>
        <w:t xml:space="preserve">cover-up but of </w:t>
      </w:r>
      <w:r w:rsidR="00DA4BFC">
        <w:t xml:space="preserve">unimaginative </w:t>
      </w:r>
      <w:r>
        <w:t xml:space="preserve">complacency: complacency </w:t>
      </w:r>
      <w:r w:rsidR="0086776F">
        <w:t>which</w:t>
      </w:r>
      <w:r>
        <w:t xml:space="preserve"> comes from knowing a little, and knowing that one knows only a little, and not wanting to know more – because if one does, one may feel obliged to do something about it. The ease with which this ignorance about sexual activity has been accepted and perpetuated is most </w:t>
      </w:r>
      <w:r w:rsidR="004844DE">
        <w:t>evident in</w:t>
      </w:r>
      <w:r>
        <w:t xml:space="preserve"> the lack </w:t>
      </w:r>
      <w:r w:rsidR="00980388">
        <w:t xml:space="preserve">of research. Undoubtedly, such </w:t>
      </w:r>
      <w:r>
        <w:t>research is exceptionally difficult to conduct, methodologically and ethically – but not insurmountably so, as the depth and breadth of American scholarship attests. Perhaps, however, because most research reassuringly suggests that the percentage of prisoners suffering sexual violence</w:t>
      </w:r>
      <w:r w:rsidR="0086776F">
        <w:t xml:space="preserve"> or willingly having sex is </w:t>
      </w:r>
      <w:r>
        <w:t xml:space="preserve">in single digits, British penologists and NOMS have been lulled into believing that the subject does not </w:t>
      </w:r>
      <w:r w:rsidR="00A6001D">
        <w:t xml:space="preserve">warrant </w:t>
      </w:r>
      <w:r>
        <w:t xml:space="preserve">further investigation. This, however, would be to miss the point. There are sound reasons for believing that consensual sex among the long-term population in particular, but also sexual activity which traverses the continuum of coercion, is more widespread than currently thought. Moreover, for those who are sexually assaulted, it matters little that theirs is an atypical experience. For those for whom sexual </w:t>
      </w:r>
      <w:r w:rsidR="00A959B6">
        <w:t>relations are</w:t>
      </w:r>
      <w:r>
        <w:t>, to varying degrees, a choice but who are or feel unable to obtain condoms, it matters a great deal if their sexual health, and that of present and future sexual partners, is jeopardised. Actual and potential harms follow from just one person being raped</w:t>
      </w:r>
      <w:r w:rsidRPr="00804F79">
        <w:t xml:space="preserve"> </w:t>
      </w:r>
      <w:r>
        <w:t xml:space="preserve">or just one </w:t>
      </w:r>
      <w:proofErr w:type="gramStart"/>
      <w:r>
        <w:t>person</w:t>
      </w:r>
      <w:r w:rsidRPr="00804F79">
        <w:t xml:space="preserve"> </w:t>
      </w:r>
      <w:r>
        <w:t>having</w:t>
      </w:r>
      <w:proofErr w:type="gramEnd"/>
      <w:r>
        <w:t xml:space="preserve"> unprotected sex.</w:t>
      </w:r>
    </w:p>
    <w:p w:rsidR="00FB76CA" w:rsidRDefault="00FB76CA" w:rsidP="00FB76CA">
      <w:pPr>
        <w:spacing w:after="0" w:line="360" w:lineRule="auto"/>
        <w:jc w:val="both"/>
      </w:pPr>
    </w:p>
    <w:p w:rsidR="00FB76CA" w:rsidRDefault="00FB76CA" w:rsidP="00FB76CA">
      <w:pPr>
        <w:spacing w:after="0" w:line="360" w:lineRule="auto"/>
        <w:jc w:val="both"/>
      </w:pPr>
      <w:r>
        <w:t xml:space="preserve">To ‘knowingly know’, or to actively seek to learn, more about sexual activity in British prisons invites the prospect of unwelcome discoveries and uncomfortable truths. </w:t>
      </w:r>
      <w:r w:rsidR="00106EAE">
        <w:t>Congruent with Carlen’s (2008)</w:t>
      </w:r>
      <w:r w:rsidR="00106EAE">
        <w:rPr>
          <w:rStyle w:val="FootnoteReference"/>
        </w:rPr>
        <w:footnoteReference w:id="17"/>
      </w:r>
      <w:r w:rsidR="00106EAE">
        <w:t xml:space="preserve"> concept of ‘imaginary penalties’, prisons </w:t>
      </w:r>
      <w:r w:rsidR="00093E4A">
        <w:t xml:space="preserve">maintain </w:t>
      </w:r>
      <w:r w:rsidR="00950D6B">
        <w:t>the</w:t>
      </w:r>
      <w:r w:rsidR="00093E4A">
        <w:t xml:space="preserve"> </w:t>
      </w:r>
      <w:r w:rsidR="00FD79CC">
        <w:t>official rhetoric</w:t>
      </w:r>
      <w:r w:rsidR="00093E4A">
        <w:t xml:space="preserve"> </w:t>
      </w:r>
      <w:r w:rsidR="00950D6B">
        <w:t xml:space="preserve">that, </w:t>
      </w:r>
      <w:r w:rsidR="00093E4A">
        <w:t xml:space="preserve">and proceed </w:t>
      </w:r>
      <w:r w:rsidR="00106EAE">
        <w:t>‘as if’</w:t>
      </w:r>
      <w:r w:rsidR="00950D6B">
        <w:t>,</w:t>
      </w:r>
      <w:r w:rsidR="00106EAE">
        <w:t xml:space="preserve"> prisoners do not have sex, yet </w:t>
      </w:r>
      <w:r w:rsidR="007F746B">
        <w:t xml:space="preserve">are permitted to </w:t>
      </w:r>
      <w:r w:rsidR="00106EAE">
        <w:t xml:space="preserve">distribute </w:t>
      </w:r>
      <w:r w:rsidR="00D93EDF">
        <w:t>condoms</w:t>
      </w:r>
      <w:r w:rsidR="00106EAE">
        <w:t xml:space="preserve"> because they ‘know’ some do. </w:t>
      </w:r>
      <w:r w:rsidR="00980388">
        <w:t xml:space="preserve">One might </w:t>
      </w:r>
      <w:r w:rsidR="004963A8">
        <w:t xml:space="preserve">therefore reasonably anticipate </w:t>
      </w:r>
      <w:r w:rsidR="00980388">
        <w:t xml:space="preserve">that </w:t>
      </w:r>
      <w:r>
        <w:t>NOMS</w:t>
      </w:r>
      <w:r w:rsidR="00106EAE" w:rsidRPr="00106EAE">
        <w:t xml:space="preserve"> </w:t>
      </w:r>
      <w:r w:rsidR="00980388">
        <w:t xml:space="preserve">would </w:t>
      </w:r>
      <w:r>
        <w:t xml:space="preserve">be sensitive to the </w:t>
      </w:r>
      <w:r w:rsidR="00C717E4">
        <w:t xml:space="preserve">national </w:t>
      </w:r>
      <w:r>
        <w:t>collection and publication of data which is shown to countermand its policies on consensual sex</w:t>
      </w:r>
      <w:r w:rsidR="00980388">
        <w:t xml:space="preserve">, </w:t>
      </w:r>
      <w:r w:rsidR="00093E4A">
        <w:t xml:space="preserve">or </w:t>
      </w:r>
      <w:r>
        <w:t>expose</w:t>
      </w:r>
      <w:r w:rsidR="00980388">
        <w:t>s</w:t>
      </w:r>
      <w:r>
        <w:t xml:space="preserve"> inaction on</w:t>
      </w:r>
      <w:r w:rsidR="00093E4A">
        <w:t>, or impotency in the face of,</w:t>
      </w:r>
      <w:r>
        <w:t xml:space="preserve"> coercive and transactional sex. Equally, prisoners may not </w:t>
      </w:r>
      <w:r w:rsidR="00980388">
        <w:t xml:space="preserve">relish </w:t>
      </w:r>
      <w:r>
        <w:t xml:space="preserve">revelations about the sexual behaviour of some of their brethren.  To uncover more about the phenomenon of </w:t>
      </w:r>
      <w:r>
        <w:lastRenderedPageBreak/>
        <w:t>heteroflexibility in particular would threaten the conspiracies of silence surrounding straight men who temporarily engage in male-to-male sexual contact, but whose discursive positioning of themselves as perpetually priapic heterosexuals is the only enactment of their sexuality the hypermasculine and homophobic prison environment permits. While the present levels of denial about sex and sexual assault are therefore understandable, not knowing, not choosing to know, or knowing but preferring not to think about what this means or necessitates in response, leaves unprotected those people who willingly engage in, or are coerced into, sex</w:t>
      </w:r>
      <w:r w:rsidR="00980388" w:rsidRPr="00980388">
        <w:t xml:space="preserve"> </w:t>
      </w:r>
      <w:r w:rsidR="00980388">
        <w:t>in prison</w:t>
      </w:r>
      <w:r>
        <w:t xml:space="preserve">.  Denial, in short, has immensely harmful consequences. </w:t>
      </w:r>
    </w:p>
    <w:p w:rsidR="00FB76CA" w:rsidRDefault="00FB76CA" w:rsidP="00FB76CA">
      <w:pPr>
        <w:spacing w:after="0" w:line="360" w:lineRule="auto"/>
        <w:jc w:val="both"/>
      </w:pPr>
    </w:p>
    <w:p w:rsidR="00FB76CA" w:rsidRPr="00B73736" w:rsidRDefault="00FB76CA" w:rsidP="00FB76CA">
      <w:pPr>
        <w:spacing w:after="0" w:line="360" w:lineRule="auto"/>
        <w:jc w:val="both"/>
        <w:rPr>
          <w:u w:val="single"/>
        </w:rPr>
      </w:pPr>
      <w:r>
        <w:rPr>
          <w:color w:val="000000"/>
        </w:rPr>
        <w:t xml:space="preserve">As others have urged </w:t>
      </w:r>
      <w:r>
        <w:t xml:space="preserve">(Stewart 2007), there </w:t>
      </w:r>
      <w:r w:rsidRPr="00266B0D">
        <w:rPr>
          <w:i/>
        </w:rPr>
        <w:t>is</w:t>
      </w:r>
      <w:r>
        <w:t xml:space="preserve"> a pressing need for more research; research which both integrates and progresses a reformatory agenda by which, to misquote Cohen (1993: 97), one can ‘do’ both criminology and human rights. </w:t>
      </w:r>
      <w:r w:rsidR="00CC15BB">
        <w:t xml:space="preserve">Although 24 former prisoners do not constitute a representative sample or produce generalizable findings, their testimonies do suggest that important aspects of the prisoner experience have been </w:t>
      </w:r>
      <w:r w:rsidR="008B314E">
        <w:t>empirically neglect</w:t>
      </w:r>
      <w:r w:rsidR="00CC15BB">
        <w:t xml:space="preserve">ed. Thus </w:t>
      </w:r>
      <w:r w:rsidR="00CC15BB" w:rsidRPr="004D6798">
        <w:t xml:space="preserve">‘we </w:t>
      </w:r>
      <w:r w:rsidR="00CC15BB" w:rsidRPr="00B61C6C">
        <w:rPr>
          <w:i/>
        </w:rPr>
        <w:t>still</w:t>
      </w:r>
      <w:r w:rsidR="00CC15BB">
        <w:t xml:space="preserve"> </w:t>
      </w:r>
      <w:r w:rsidR="00CC15BB" w:rsidRPr="004D6798">
        <w:t xml:space="preserve">don’t really know and more research is needed’ – well </w:t>
      </w:r>
      <w:proofErr w:type="gramStart"/>
      <w:r w:rsidR="00CC15BB" w:rsidRPr="001109F9">
        <w:t>funded,</w:t>
      </w:r>
      <w:proofErr w:type="gramEnd"/>
      <w:r w:rsidR="00CC15BB" w:rsidRPr="001109F9">
        <w:t xml:space="preserve"> methodologically</w:t>
      </w:r>
      <w:r w:rsidR="00CC15BB">
        <w:t xml:space="preserve"> rigorous </w:t>
      </w:r>
      <w:r>
        <w:t xml:space="preserve">research which would allow </w:t>
      </w:r>
      <w:r w:rsidR="00B17277">
        <w:t xml:space="preserve">penologists </w:t>
      </w:r>
      <w:r w:rsidR="007C7190">
        <w:t xml:space="preserve">to understand better the realities and complexities of </w:t>
      </w:r>
      <w:r w:rsidR="00E16B8F">
        <w:t>sexual activity in British prisons</w:t>
      </w:r>
      <w:r>
        <w:t>.  However challenging, what is required is</w:t>
      </w:r>
      <w:r w:rsidR="00684B3E">
        <w:t xml:space="preserve"> a sustained</w:t>
      </w:r>
      <w:r>
        <w:t xml:space="preserve"> </w:t>
      </w:r>
      <w:r w:rsidR="00684B3E">
        <w:t xml:space="preserve">commitment to </w:t>
      </w:r>
      <w:r>
        <w:t xml:space="preserve">research </w:t>
      </w:r>
      <w:r w:rsidR="00684B3E">
        <w:t xml:space="preserve">which </w:t>
      </w:r>
      <w:r w:rsidR="00C60CB0">
        <w:t>encompass</w:t>
      </w:r>
      <w:r w:rsidR="00684B3E">
        <w:t xml:space="preserve">es </w:t>
      </w:r>
      <w:r w:rsidR="00C60CB0">
        <w:t xml:space="preserve">the perspectives of </w:t>
      </w:r>
      <w:r>
        <w:t>serving and</w:t>
      </w:r>
      <w:r w:rsidRPr="00816461">
        <w:t xml:space="preserve"> former prisoners</w:t>
      </w:r>
      <w:r w:rsidR="00C60CB0">
        <w:t xml:space="preserve"> and prison staff</w:t>
      </w:r>
      <w:r w:rsidRPr="00816461">
        <w:t>, elici</w:t>
      </w:r>
      <w:r>
        <w:t>t</w:t>
      </w:r>
      <w:r w:rsidR="00684B3E">
        <w:t>s</w:t>
      </w:r>
      <w:r w:rsidRPr="00816461">
        <w:t xml:space="preserve"> quantitative and qualitative data</w:t>
      </w:r>
      <w:r>
        <w:t xml:space="preserve"> on all manifestations of sexual activity, </w:t>
      </w:r>
      <w:r w:rsidRPr="00816461">
        <w:t xml:space="preserve">and </w:t>
      </w:r>
      <w:r w:rsidR="00684B3E">
        <w:t>is</w:t>
      </w:r>
      <w:r>
        <w:t xml:space="preserve"> facilitated</w:t>
      </w:r>
      <w:r w:rsidRPr="00816461">
        <w:t xml:space="preserve"> by but independent of </w:t>
      </w:r>
      <w:r>
        <w:t xml:space="preserve">NOMS. However uncomfortable, what is required is a clear-eyed determination across the penal estate to recognize prisoners’ continuing sexual needs, </w:t>
      </w:r>
      <w:r w:rsidRPr="007647A0">
        <w:rPr>
          <w:color w:val="000000"/>
        </w:rPr>
        <w:t xml:space="preserve">the </w:t>
      </w:r>
      <w:r>
        <w:rPr>
          <w:color w:val="000000"/>
        </w:rPr>
        <w:t>certainty of</w:t>
      </w:r>
      <w:r w:rsidRPr="007647A0">
        <w:rPr>
          <w:color w:val="000000"/>
        </w:rPr>
        <w:t xml:space="preserve"> </w:t>
      </w:r>
      <w:r>
        <w:rPr>
          <w:color w:val="000000"/>
        </w:rPr>
        <w:t xml:space="preserve">some </w:t>
      </w:r>
      <w:r w:rsidRPr="007647A0">
        <w:rPr>
          <w:color w:val="000000"/>
        </w:rPr>
        <w:t>consens</w:t>
      </w:r>
      <w:r>
        <w:rPr>
          <w:color w:val="000000"/>
        </w:rPr>
        <w:t xml:space="preserve">ual sex, the potential for sexual exploitation and rape, </w:t>
      </w:r>
      <w:r>
        <w:t xml:space="preserve">and the consequences these have for </w:t>
      </w:r>
      <w:r w:rsidR="00E958FF">
        <w:t>prisoners’ well-being and safety</w:t>
      </w:r>
      <w:r w:rsidR="004A74EA">
        <w:t xml:space="preserve"> and </w:t>
      </w:r>
      <w:r w:rsidR="005C4E08">
        <w:t xml:space="preserve">for </w:t>
      </w:r>
      <w:r w:rsidR="004A74EA">
        <w:t>trauma-informed practice</w:t>
      </w:r>
      <w:r>
        <w:t xml:space="preserve">. Such awareness </w:t>
      </w:r>
      <w:r w:rsidR="00FD5711">
        <w:t>c</w:t>
      </w:r>
      <w:r w:rsidR="009F49EC">
        <w:t xml:space="preserve">ould </w:t>
      </w:r>
      <w:r>
        <w:t>be embedded through enhanced staff training and a</w:t>
      </w:r>
      <w:r>
        <w:rPr>
          <w:color w:val="000000"/>
        </w:rPr>
        <w:t xml:space="preserve"> philosophical and operational framework which prioritizes the identification and protection of prisoners vulnerable to unsafe sexual practices, sexual coercion, and grooming (</w:t>
      </w:r>
      <w:r w:rsidR="00A03E34">
        <w:rPr>
          <w:color w:val="000000"/>
        </w:rPr>
        <w:t>Stevens</w:t>
      </w:r>
      <w:r>
        <w:rPr>
          <w:color w:val="000000"/>
        </w:rPr>
        <w:t xml:space="preserve"> 2015). </w:t>
      </w:r>
      <w:r>
        <w:t xml:space="preserve">This would then result </w:t>
      </w:r>
      <w:r>
        <w:rPr>
          <w:color w:val="000000"/>
        </w:rPr>
        <w:t xml:space="preserve">in realistic policies and enforceable instructions to staff which more effectively </w:t>
      </w:r>
      <w:r>
        <w:t xml:space="preserve">safeguard prisoners’ sexual health and minimize the risks of sexual coercion; and so would – finally – acknowledge sexual activity in British prisons, ‘not just its existence but its moral implications’ (Cohen 1993: 113). </w:t>
      </w:r>
    </w:p>
    <w:p w:rsidR="00FB76CA" w:rsidRDefault="00FB76CA" w:rsidP="00FB76CA"/>
    <w:p w:rsidR="00BD00E2" w:rsidRPr="00BD00E2" w:rsidRDefault="00BD00E2" w:rsidP="00FB76CA">
      <w:pPr>
        <w:spacing w:after="0" w:line="360" w:lineRule="auto"/>
        <w:jc w:val="center"/>
        <w:rPr>
          <w:i/>
        </w:rPr>
      </w:pPr>
      <w:r w:rsidRPr="00BD00E2">
        <w:rPr>
          <w:i/>
        </w:rPr>
        <w:t>Funding</w:t>
      </w:r>
    </w:p>
    <w:p w:rsidR="00BD00E2" w:rsidRDefault="00BD00E2" w:rsidP="00BD00E2">
      <w:pPr>
        <w:spacing w:after="0" w:line="360" w:lineRule="auto"/>
      </w:pPr>
    </w:p>
    <w:p w:rsidR="00BD00E2" w:rsidRDefault="00BD00E2" w:rsidP="00BD00E2">
      <w:pPr>
        <w:spacing w:after="0" w:line="360" w:lineRule="auto"/>
      </w:pPr>
      <w:r>
        <w:t>This work was supported by The Howard League for Penal Reform.</w:t>
      </w:r>
    </w:p>
    <w:p w:rsidR="00BD00E2" w:rsidRDefault="00BD00E2" w:rsidP="00FB76CA">
      <w:pPr>
        <w:spacing w:after="0" w:line="360" w:lineRule="auto"/>
        <w:jc w:val="center"/>
      </w:pPr>
    </w:p>
    <w:p w:rsidR="00FB76CA" w:rsidRDefault="00FB76CA" w:rsidP="00FB76CA">
      <w:pPr>
        <w:spacing w:after="0" w:line="360" w:lineRule="auto"/>
        <w:jc w:val="center"/>
      </w:pPr>
      <w:r>
        <w:t>REFERENCES</w:t>
      </w:r>
    </w:p>
    <w:p w:rsidR="00FB76CA" w:rsidRDefault="00FB76CA" w:rsidP="00FB76CA">
      <w:pPr>
        <w:spacing w:after="0" w:line="360" w:lineRule="auto"/>
        <w:jc w:val="center"/>
      </w:pPr>
    </w:p>
    <w:p w:rsidR="00F32854" w:rsidRDefault="00F32854" w:rsidP="00B73736">
      <w:pPr>
        <w:spacing w:after="0" w:line="240" w:lineRule="auto"/>
        <w:jc w:val="both"/>
      </w:pPr>
      <w:r>
        <w:t>ARNOLD, H. (2008)</w:t>
      </w:r>
      <w:r w:rsidR="00EA5BF0">
        <w:t>,</w:t>
      </w:r>
      <w:r>
        <w:t xml:space="preserve"> </w:t>
      </w:r>
      <w:r w:rsidR="00940570">
        <w:t>‘The Experience of Prison Officer Training’,</w:t>
      </w:r>
      <w:r>
        <w:t xml:space="preserve"> in J. Bennett, B. Crewe and A. </w:t>
      </w:r>
      <w:proofErr w:type="spellStart"/>
      <w:r>
        <w:t>Wahidin</w:t>
      </w:r>
      <w:proofErr w:type="spellEnd"/>
      <w:r>
        <w:t xml:space="preserve">, </w:t>
      </w:r>
      <w:proofErr w:type="spellStart"/>
      <w:r>
        <w:t>eds</w:t>
      </w:r>
      <w:proofErr w:type="spellEnd"/>
      <w:r>
        <w:t xml:space="preserve">, </w:t>
      </w:r>
      <w:r w:rsidRPr="00E358EA">
        <w:rPr>
          <w:i/>
        </w:rPr>
        <w:t>Understanding Prison S</w:t>
      </w:r>
      <w:r>
        <w:rPr>
          <w:i/>
        </w:rPr>
        <w:t>t</w:t>
      </w:r>
      <w:r w:rsidRPr="00E358EA">
        <w:rPr>
          <w:i/>
        </w:rPr>
        <w:t>aff</w:t>
      </w:r>
      <w:r>
        <w:t>,</w:t>
      </w:r>
      <w:r w:rsidR="00940570">
        <w:t xml:space="preserve"> 399-418</w:t>
      </w:r>
      <w:r>
        <w:t xml:space="preserve">. </w:t>
      </w:r>
      <w:proofErr w:type="spellStart"/>
      <w:proofErr w:type="gramStart"/>
      <w:r>
        <w:t>Willan</w:t>
      </w:r>
      <w:proofErr w:type="spellEnd"/>
      <w:r>
        <w:t>.</w:t>
      </w:r>
      <w:proofErr w:type="gramEnd"/>
    </w:p>
    <w:p w:rsidR="00F32854" w:rsidRDefault="00F32854" w:rsidP="00FB76CA">
      <w:pPr>
        <w:pStyle w:val="WW-HTMLPreformatted"/>
        <w:jc w:val="both"/>
        <w:rPr>
          <w:rFonts w:ascii="Times New Roman" w:hAnsi="Times New Roman" w:cs="Times New Roman"/>
          <w:sz w:val="24"/>
          <w:szCs w:val="24"/>
        </w:rPr>
      </w:pPr>
    </w:p>
    <w:p w:rsidR="00FB76CA" w:rsidRPr="00401C42" w:rsidRDefault="00FB76CA" w:rsidP="00FB76CA">
      <w:pPr>
        <w:pStyle w:val="WW-HTMLPreformatted"/>
        <w:jc w:val="both"/>
        <w:rPr>
          <w:rFonts w:ascii="Times New Roman" w:hAnsi="Times New Roman" w:cs="Times New Roman"/>
          <w:sz w:val="24"/>
          <w:szCs w:val="24"/>
        </w:rPr>
      </w:pPr>
      <w:r w:rsidRPr="00401C42">
        <w:rPr>
          <w:rFonts w:ascii="Times New Roman" w:hAnsi="Times New Roman" w:cs="Times New Roman"/>
          <w:sz w:val="24"/>
          <w:szCs w:val="24"/>
        </w:rPr>
        <w:t>B</w:t>
      </w:r>
      <w:r w:rsidRPr="00855E76">
        <w:rPr>
          <w:rFonts w:ascii="Times New Roman" w:hAnsi="Times New Roman" w:cs="Times New Roman"/>
          <w:caps/>
          <w:sz w:val="24"/>
          <w:szCs w:val="24"/>
        </w:rPr>
        <w:t>anbury</w:t>
      </w:r>
      <w:r w:rsidRPr="00401C42">
        <w:rPr>
          <w:rFonts w:ascii="Times New Roman" w:hAnsi="Times New Roman" w:cs="Times New Roman"/>
          <w:sz w:val="24"/>
          <w:szCs w:val="24"/>
        </w:rPr>
        <w:t>, S. (2004)</w:t>
      </w:r>
      <w:r>
        <w:rPr>
          <w:rFonts w:ascii="Times New Roman" w:hAnsi="Times New Roman" w:cs="Times New Roman"/>
          <w:sz w:val="24"/>
          <w:szCs w:val="24"/>
        </w:rPr>
        <w:t>, ‘Coercive Sexual Behaviour in British Prisons as Reported by Adult Ex-P</w:t>
      </w:r>
      <w:r w:rsidRPr="00401C42">
        <w:rPr>
          <w:rFonts w:ascii="Times New Roman" w:hAnsi="Times New Roman" w:cs="Times New Roman"/>
          <w:sz w:val="24"/>
          <w:szCs w:val="24"/>
        </w:rPr>
        <w:t xml:space="preserve">risoners’, </w:t>
      </w:r>
      <w:r w:rsidRPr="00401C42">
        <w:rPr>
          <w:rFonts w:ascii="Times New Roman" w:hAnsi="Times New Roman" w:cs="Times New Roman"/>
          <w:i/>
          <w:iCs/>
          <w:sz w:val="24"/>
          <w:szCs w:val="24"/>
        </w:rPr>
        <w:t>Howard Journal of Criminal Justice</w:t>
      </w:r>
      <w:r>
        <w:rPr>
          <w:rFonts w:ascii="Times New Roman" w:hAnsi="Times New Roman" w:cs="Times New Roman"/>
          <w:i/>
          <w:iCs/>
          <w:sz w:val="24"/>
          <w:szCs w:val="24"/>
        </w:rPr>
        <w:t>,</w:t>
      </w:r>
      <w:r w:rsidRPr="00401C42">
        <w:rPr>
          <w:rFonts w:ascii="Times New Roman" w:hAnsi="Times New Roman" w:cs="Times New Roman"/>
          <w:i/>
          <w:iCs/>
          <w:sz w:val="24"/>
          <w:szCs w:val="24"/>
        </w:rPr>
        <w:t xml:space="preserve"> </w:t>
      </w:r>
      <w:r>
        <w:rPr>
          <w:rFonts w:ascii="Times New Roman" w:hAnsi="Times New Roman" w:cs="Times New Roman"/>
          <w:sz w:val="24"/>
          <w:szCs w:val="24"/>
        </w:rPr>
        <w:t>43</w:t>
      </w:r>
      <w:r w:rsidRPr="00401C42">
        <w:rPr>
          <w:rFonts w:ascii="Times New Roman" w:hAnsi="Times New Roman" w:cs="Times New Roman"/>
          <w:sz w:val="24"/>
          <w:szCs w:val="24"/>
        </w:rPr>
        <w:t>: 113-30.</w:t>
      </w:r>
    </w:p>
    <w:p w:rsidR="00FB76CA" w:rsidRDefault="00FB76CA" w:rsidP="00FB76CA">
      <w:pPr>
        <w:spacing w:after="0" w:line="240" w:lineRule="auto"/>
        <w:jc w:val="both"/>
        <w:rPr>
          <w:rFonts w:cs="ITC Slimbach Std"/>
          <w:color w:val="000000"/>
        </w:rPr>
      </w:pPr>
    </w:p>
    <w:p w:rsidR="00FB76CA" w:rsidRDefault="00FB76CA" w:rsidP="00FB76CA">
      <w:pPr>
        <w:spacing w:after="0" w:line="240" w:lineRule="auto"/>
        <w:jc w:val="both"/>
        <w:rPr>
          <w:shd w:val="clear" w:color="auto" w:fill="FFFFFF"/>
        </w:rPr>
      </w:pPr>
      <w:r>
        <w:rPr>
          <w:color w:val="000000"/>
        </w:rPr>
        <w:t>B</w:t>
      </w:r>
      <w:r w:rsidRPr="004155DC">
        <w:rPr>
          <w:caps/>
          <w:color w:val="000000"/>
        </w:rPr>
        <w:t>ennett</w:t>
      </w:r>
      <w:r>
        <w:rPr>
          <w:color w:val="000000"/>
        </w:rPr>
        <w:t xml:space="preserve">, J. (2016), </w:t>
      </w:r>
      <w:proofErr w:type="gramStart"/>
      <w:r w:rsidRPr="0095420D">
        <w:rPr>
          <w:i/>
          <w:color w:val="000000"/>
        </w:rPr>
        <w:t>The</w:t>
      </w:r>
      <w:proofErr w:type="gramEnd"/>
      <w:r w:rsidRPr="0095420D">
        <w:rPr>
          <w:i/>
          <w:color w:val="000000"/>
        </w:rPr>
        <w:t xml:space="preserve"> Working Lives of Prison Managers</w:t>
      </w:r>
      <w:r>
        <w:rPr>
          <w:color w:val="000000"/>
        </w:rPr>
        <w:t xml:space="preserve">: </w:t>
      </w:r>
      <w:r w:rsidRPr="0095420D">
        <w:rPr>
          <w:i/>
          <w:shd w:val="clear" w:color="auto" w:fill="FFFFFF"/>
        </w:rPr>
        <w:t>Global Change, Local Culture and Individual Agency in the Late Modern Prison</w:t>
      </w:r>
      <w:r>
        <w:rPr>
          <w:i/>
          <w:shd w:val="clear" w:color="auto" w:fill="FFFFFF"/>
        </w:rPr>
        <w:t xml:space="preserve">. </w:t>
      </w:r>
      <w:r w:rsidRPr="0095420D">
        <w:rPr>
          <w:shd w:val="clear" w:color="auto" w:fill="FFFFFF"/>
        </w:rPr>
        <w:t xml:space="preserve">Palgrave Macmillan. </w:t>
      </w:r>
    </w:p>
    <w:p w:rsidR="00FB76CA" w:rsidRDefault="00FB76CA" w:rsidP="00FB76CA">
      <w:pPr>
        <w:spacing w:after="0" w:line="240" w:lineRule="auto"/>
        <w:jc w:val="both"/>
      </w:pPr>
    </w:p>
    <w:p w:rsidR="00FB76CA" w:rsidRDefault="00FB76CA" w:rsidP="00FB76CA">
      <w:pPr>
        <w:spacing w:after="0" w:line="240" w:lineRule="auto"/>
        <w:jc w:val="both"/>
      </w:pPr>
      <w:r w:rsidRPr="00CC06E2">
        <w:t>B</w:t>
      </w:r>
      <w:r w:rsidRPr="00CC06E2">
        <w:rPr>
          <w:caps/>
        </w:rPr>
        <w:t>utler</w:t>
      </w:r>
      <w:r w:rsidRPr="00CC06E2">
        <w:t>, T</w:t>
      </w:r>
      <w:r>
        <w:t>.</w:t>
      </w:r>
      <w:r w:rsidRPr="00CC06E2">
        <w:t>, R</w:t>
      </w:r>
      <w:r w:rsidRPr="00CC06E2">
        <w:rPr>
          <w:caps/>
        </w:rPr>
        <w:t>ichters</w:t>
      </w:r>
      <w:r w:rsidRPr="00CC06E2">
        <w:t>, J</w:t>
      </w:r>
      <w:r>
        <w:t>.</w:t>
      </w:r>
      <w:r w:rsidRPr="00CC06E2">
        <w:t>, Y</w:t>
      </w:r>
      <w:r w:rsidRPr="00CC06E2">
        <w:rPr>
          <w:caps/>
        </w:rPr>
        <w:t>ap</w:t>
      </w:r>
      <w:r w:rsidRPr="00CC06E2">
        <w:t>, L</w:t>
      </w:r>
      <w:r>
        <w:t>.</w:t>
      </w:r>
      <w:r w:rsidRPr="00CC06E2">
        <w:t xml:space="preserve"> and D</w:t>
      </w:r>
      <w:r w:rsidRPr="00CC06E2">
        <w:rPr>
          <w:caps/>
        </w:rPr>
        <w:t>onovan</w:t>
      </w:r>
      <w:r w:rsidRPr="00CC06E2">
        <w:t>, B. (2013)</w:t>
      </w:r>
      <w:r>
        <w:t>, ‘Condoms for Prisoners: No E</w:t>
      </w:r>
      <w:r w:rsidRPr="00CC06E2">
        <w:t>vidence that they Increase Sex in Prison, but they Increase Safe Sex</w:t>
      </w:r>
      <w:r>
        <w:t>’</w:t>
      </w:r>
      <w:r w:rsidRPr="00CC06E2">
        <w:t xml:space="preserve">, </w:t>
      </w:r>
      <w:r w:rsidRPr="00CC06E2">
        <w:rPr>
          <w:i/>
          <w:iCs/>
        </w:rPr>
        <w:t xml:space="preserve">Sexually Transmitted Infections, </w:t>
      </w:r>
      <w:r w:rsidRPr="00CC06E2">
        <w:t>89: 377-79.</w:t>
      </w:r>
    </w:p>
    <w:p w:rsidR="00FB76CA" w:rsidRPr="00CC06E2" w:rsidRDefault="00FB76CA" w:rsidP="00FB76CA">
      <w:pPr>
        <w:spacing w:after="0" w:line="240" w:lineRule="auto"/>
        <w:jc w:val="both"/>
      </w:pPr>
    </w:p>
    <w:p w:rsidR="00FB76CA" w:rsidRDefault="007A216A" w:rsidP="00FB76CA">
      <w:pPr>
        <w:spacing w:after="0" w:line="240" w:lineRule="auto"/>
        <w:jc w:val="both"/>
        <w:rPr>
          <w:color w:val="000000"/>
        </w:rPr>
      </w:pPr>
      <w:r>
        <w:rPr>
          <w:color w:val="000000"/>
        </w:rPr>
        <w:t xml:space="preserve">CARLEN, P. </w:t>
      </w:r>
      <w:r w:rsidR="00940570">
        <w:rPr>
          <w:color w:val="000000"/>
        </w:rPr>
        <w:t>(2008)</w:t>
      </w:r>
      <w:r w:rsidR="00EA5BF0">
        <w:rPr>
          <w:color w:val="000000"/>
        </w:rPr>
        <w:t>,</w:t>
      </w:r>
      <w:r w:rsidR="00940570">
        <w:rPr>
          <w:color w:val="000000"/>
        </w:rPr>
        <w:t xml:space="preserve"> ‘Imaginary </w:t>
      </w:r>
      <w:proofErr w:type="spellStart"/>
      <w:r w:rsidR="00940570">
        <w:rPr>
          <w:color w:val="000000"/>
        </w:rPr>
        <w:t>Penalities</w:t>
      </w:r>
      <w:proofErr w:type="spellEnd"/>
      <w:r w:rsidR="00940570">
        <w:rPr>
          <w:color w:val="000000"/>
        </w:rPr>
        <w:t xml:space="preserve"> and Risk-Crazed Governance’, in P. Carlen, ed., </w:t>
      </w:r>
      <w:r w:rsidR="00940570" w:rsidRPr="00B73736">
        <w:rPr>
          <w:i/>
          <w:color w:val="000000"/>
        </w:rPr>
        <w:t xml:space="preserve">Imaginary </w:t>
      </w:r>
      <w:proofErr w:type="spellStart"/>
      <w:r w:rsidR="00940570" w:rsidRPr="00B73736">
        <w:rPr>
          <w:i/>
          <w:color w:val="000000"/>
        </w:rPr>
        <w:t>Penalities</w:t>
      </w:r>
      <w:proofErr w:type="spellEnd"/>
      <w:r w:rsidR="00940570">
        <w:rPr>
          <w:color w:val="000000"/>
        </w:rPr>
        <w:t xml:space="preserve">, 1-25. </w:t>
      </w:r>
      <w:proofErr w:type="spellStart"/>
      <w:proofErr w:type="gramStart"/>
      <w:r w:rsidR="00940570">
        <w:rPr>
          <w:color w:val="000000"/>
        </w:rPr>
        <w:t>Willan</w:t>
      </w:r>
      <w:proofErr w:type="spellEnd"/>
      <w:r w:rsidR="00EF2E69">
        <w:rPr>
          <w:color w:val="000000"/>
        </w:rPr>
        <w:t>.</w:t>
      </w:r>
      <w:proofErr w:type="gramEnd"/>
    </w:p>
    <w:p w:rsidR="00FB76CA" w:rsidRDefault="00FB76CA">
      <w:pPr>
        <w:spacing w:after="0" w:line="240" w:lineRule="auto"/>
        <w:jc w:val="both"/>
        <w:rPr>
          <w:color w:val="000000"/>
        </w:rPr>
      </w:pPr>
    </w:p>
    <w:p w:rsidR="00FB76CA" w:rsidRPr="00D56F90" w:rsidRDefault="00FB76CA">
      <w:pPr>
        <w:spacing w:after="0" w:line="240" w:lineRule="auto"/>
        <w:jc w:val="both"/>
        <w:rPr>
          <w:color w:val="000000"/>
        </w:rPr>
      </w:pPr>
      <w:r w:rsidRPr="00D56F90">
        <w:rPr>
          <w:color w:val="000000"/>
        </w:rPr>
        <w:t>C</w:t>
      </w:r>
      <w:r>
        <w:rPr>
          <w:color w:val="000000"/>
        </w:rPr>
        <w:t>OHEN</w:t>
      </w:r>
      <w:r w:rsidRPr="00D56F90">
        <w:rPr>
          <w:color w:val="000000"/>
        </w:rPr>
        <w:t>, S. (1993)</w:t>
      </w:r>
      <w:r>
        <w:rPr>
          <w:color w:val="000000"/>
        </w:rPr>
        <w:t>,</w:t>
      </w:r>
      <w:r w:rsidRPr="00D56F90">
        <w:rPr>
          <w:color w:val="000000"/>
        </w:rPr>
        <w:t xml:space="preserve"> </w:t>
      </w:r>
      <w:r w:rsidRPr="00964881">
        <w:rPr>
          <w:color w:val="000000"/>
        </w:rPr>
        <w:t>‘</w:t>
      </w:r>
      <w:r w:rsidRPr="00C22115">
        <w:rPr>
          <w:rStyle w:val="cit-title6"/>
          <w:b w:val="0"/>
          <w:lang w:val="en"/>
          <w:specVanish w:val="0"/>
        </w:rPr>
        <w:t>Human Rights and Crimes of the State: The Culture of Denial’,</w:t>
      </w:r>
      <w:r w:rsidRPr="00D56F90">
        <w:rPr>
          <w:rStyle w:val="cit-title6"/>
          <w:lang w:val="en"/>
          <w:specVanish w:val="0"/>
        </w:rPr>
        <w:t xml:space="preserve"> </w:t>
      </w:r>
      <w:r w:rsidRPr="00D56F90">
        <w:rPr>
          <w:rStyle w:val="site-title"/>
          <w:i/>
          <w:color w:val="222222"/>
          <w:lang w:val="en"/>
        </w:rPr>
        <w:t>Australian &amp; New Zealand Journal of Criminology</w:t>
      </w:r>
      <w:r>
        <w:rPr>
          <w:rStyle w:val="site-title"/>
          <w:i/>
          <w:color w:val="222222"/>
          <w:lang w:val="en"/>
        </w:rPr>
        <w:t>,</w:t>
      </w:r>
      <w:r>
        <w:rPr>
          <w:rStyle w:val="site-title"/>
          <w:color w:val="222222"/>
          <w:lang w:val="en"/>
        </w:rPr>
        <w:t xml:space="preserve"> 26: </w:t>
      </w:r>
      <w:r w:rsidRPr="00D56F90">
        <w:rPr>
          <w:rStyle w:val="site-title"/>
          <w:color w:val="222222"/>
          <w:lang w:val="en"/>
        </w:rPr>
        <w:t>97-115.</w:t>
      </w:r>
    </w:p>
    <w:p w:rsidR="00FB76CA" w:rsidRPr="00D56F90" w:rsidRDefault="00FB76CA" w:rsidP="00FB76CA">
      <w:pPr>
        <w:spacing w:after="0" w:line="240" w:lineRule="auto"/>
        <w:jc w:val="both"/>
        <w:rPr>
          <w:color w:val="000000"/>
        </w:rPr>
      </w:pPr>
    </w:p>
    <w:p w:rsidR="00FB76CA" w:rsidRDefault="00FB76CA" w:rsidP="00FB76CA">
      <w:pPr>
        <w:spacing w:after="0" w:line="240" w:lineRule="auto"/>
        <w:jc w:val="both"/>
        <w:rPr>
          <w:color w:val="000000"/>
        </w:rPr>
      </w:pPr>
      <w:r>
        <w:rPr>
          <w:color w:val="000000"/>
        </w:rPr>
        <w:t>COHEN, S. (2001</w:t>
      </w:r>
      <w:r w:rsidRPr="00D56F90">
        <w:rPr>
          <w:color w:val="000000"/>
        </w:rPr>
        <w:t>)</w:t>
      </w:r>
      <w:r>
        <w:rPr>
          <w:color w:val="000000"/>
        </w:rPr>
        <w:t>,</w:t>
      </w:r>
      <w:r w:rsidRPr="00D56F90">
        <w:rPr>
          <w:color w:val="000000"/>
        </w:rPr>
        <w:t xml:space="preserve"> </w:t>
      </w:r>
      <w:r w:rsidRPr="00D56F90">
        <w:rPr>
          <w:i/>
          <w:iCs/>
          <w:color w:val="000000"/>
        </w:rPr>
        <w:t>States of Denial: Knowing about Atrocities and Suffering</w:t>
      </w:r>
      <w:r w:rsidRPr="00D56F90">
        <w:rPr>
          <w:color w:val="000000"/>
        </w:rPr>
        <w:t xml:space="preserve">. </w:t>
      </w:r>
      <w:proofErr w:type="gramStart"/>
      <w:r w:rsidRPr="00D56F90">
        <w:rPr>
          <w:color w:val="000000"/>
        </w:rPr>
        <w:t>Polity Press.</w:t>
      </w:r>
      <w:proofErr w:type="gramEnd"/>
    </w:p>
    <w:p w:rsidR="00940570" w:rsidRPr="00B73736" w:rsidRDefault="00940570" w:rsidP="00B73736">
      <w:pPr>
        <w:spacing w:after="0" w:line="240" w:lineRule="auto"/>
        <w:jc w:val="both"/>
      </w:pPr>
    </w:p>
    <w:p w:rsidR="00FB76CA" w:rsidRPr="00021CB3" w:rsidRDefault="00FB76CA">
      <w:pPr>
        <w:pStyle w:val="HTMLPreformatted"/>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CREWE, B. (2009), </w:t>
      </w:r>
      <w:proofErr w:type="gramStart"/>
      <w:r w:rsidRPr="00E12B49">
        <w:rPr>
          <w:rFonts w:ascii="Times New Roman" w:hAnsi="Times New Roman" w:cs="Times New Roman"/>
          <w:i/>
          <w:color w:val="000000"/>
          <w:sz w:val="24"/>
          <w:szCs w:val="24"/>
          <w:lang w:val="en"/>
        </w:rPr>
        <w:t>The</w:t>
      </w:r>
      <w:proofErr w:type="gramEnd"/>
      <w:r w:rsidRPr="00E12B49">
        <w:rPr>
          <w:rFonts w:ascii="Times New Roman" w:hAnsi="Times New Roman" w:cs="Times New Roman"/>
          <w:i/>
          <w:color w:val="000000"/>
          <w:sz w:val="24"/>
          <w:szCs w:val="24"/>
          <w:lang w:val="en"/>
        </w:rPr>
        <w:t xml:space="preserve"> Prisoner Society: Power, Adaptation</w:t>
      </w:r>
      <w:r>
        <w:rPr>
          <w:rFonts w:ascii="Times New Roman" w:hAnsi="Times New Roman" w:cs="Times New Roman"/>
          <w:i/>
          <w:color w:val="000000"/>
          <w:sz w:val="24"/>
          <w:szCs w:val="24"/>
          <w:lang w:val="en"/>
        </w:rPr>
        <w:t>,</w:t>
      </w:r>
      <w:r w:rsidRPr="00E12B49">
        <w:rPr>
          <w:rFonts w:ascii="Times New Roman" w:hAnsi="Times New Roman" w:cs="Times New Roman"/>
          <w:i/>
          <w:color w:val="000000"/>
          <w:sz w:val="24"/>
          <w:szCs w:val="24"/>
          <w:lang w:val="en"/>
        </w:rPr>
        <w:t xml:space="preserve"> and Social Life in an English Prison</w:t>
      </w:r>
      <w:r w:rsidRPr="00021CB3">
        <w:rPr>
          <w:rFonts w:ascii="Times New Roman" w:hAnsi="Times New Roman" w:cs="Times New Roman"/>
          <w:color w:val="000000"/>
          <w:sz w:val="24"/>
          <w:szCs w:val="24"/>
          <w:lang w:val="en"/>
        </w:rPr>
        <w:t xml:space="preserve">. </w:t>
      </w:r>
      <w:proofErr w:type="gramStart"/>
      <w:r>
        <w:rPr>
          <w:rFonts w:ascii="Times New Roman" w:hAnsi="Times New Roman" w:cs="Times New Roman"/>
          <w:color w:val="000000"/>
          <w:sz w:val="24"/>
          <w:szCs w:val="24"/>
          <w:lang w:val="en"/>
        </w:rPr>
        <w:t>Oxford University Press</w:t>
      </w:r>
      <w:r w:rsidRPr="00021CB3">
        <w:rPr>
          <w:rFonts w:ascii="Times New Roman" w:hAnsi="Times New Roman" w:cs="Times New Roman"/>
          <w:color w:val="000000"/>
          <w:sz w:val="24"/>
          <w:szCs w:val="24"/>
          <w:lang w:val="en"/>
        </w:rPr>
        <w:t>.</w:t>
      </w:r>
      <w:proofErr w:type="gramEnd"/>
    </w:p>
    <w:p w:rsidR="00FB76CA" w:rsidRDefault="00FB76CA">
      <w:pPr>
        <w:spacing w:after="0" w:line="240" w:lineRule="auto"/>
        <w:jc w:val="both"/>
      </w:pPr>
    </w:p>
    <w:p w:rsidR="00FB76CA" w:rsidRDefault="00FB76CA">
      <w:pPr>
        <w:spacing w:after="0" w:line="240" w:lineRule="auto"/>
        <w:jc w:val="both"/>
      </w:pPr>
      <w:r w:rsidRPr="00473F89">
        <w:t>D</w:t>
      </w:r>
      <w:r>
        <w:t>AEMS</w:t>
      </w:r>
      <w:r w:rsidRPr="00473F89">
        <w:t>, T. (2014)</w:t>
      </w:r>
      <w:r>
        <w:t>,</w:t>
      </w:r>
      <w:r w:rsidRPr="00473F89">
        <w:t xml:space="preserve"> ‘</w:t>
      </w:r>
      <w:proofErr w:type="spellStart"/>
      <w:r>
        <w:rPr>
          <w:shd w:val="clear" w:color="auto" w:fill="FFFFFF"/>
        </w:rPr>
        <w:t>Ceci</w:t>
      </w:r>
      <w:proofErr w:type="spellEnd"/>
      <w:r>
        <w:rPr>
          <w:shd w:val="clear" w:color="auto" w:fill="FFFFFF"/>
        </w:rPr>
        <w:t xml:space="preserve"> </w:t>
      </w:r>
      <w:proofErr w:type="spellStart"/>
      <w:r>
        <w:rPr>
          <w:shd w:val="clear" w:color="auto" w:fill="FFFFFF"/>
        </w:rPr>
        <w:t>n’est</w:t>
      </w:r>
      <w:proofErr w:type="spellEnd"/>
      <w:r>
        <w:rPr>
          <w:shd w:val="clear" w:color="auto" w:fill="FFFFFF"/>
        </w:rPr>
        <w:t xml:space="preserve"> pas </w:t>
      </w:r>
      <w:proofErr w:type="spellStart"/>
      <w:r>
        <w:rPr>
          <w:shd w:val="clear" w:color="auto" w:fill="FFFFFF"/>
        </w:rPr>
        <w:t>une</w:t>
      </w:r>
      <w:proofErr w:type="spellEnd"/>
      <w:r>
        <w:rPr>
          <w:shd w:val="clear" w:color="auto" w:fill="FFFFFF"/>
        </w:rPr>
        <w:t xml:space="preserve"> </w:t>
      </w:r>
      <w:proofErr w:type="spellStart"/>
      <w:r>
        <w:rPr>
          <w:shd w:val="clear" w:color="auto" w:fill="FFFFFF"/>
        </w:rPr>
        <w:t>F</w:t>
      </w:r>
      <w:r w:rsidRPr="00473F89">
        <w:rPr>
          <w:shd w:val="clear" w:color="auto" w:fill="FFFFFF"/>
        </w:rPr>
        <w:t>ouille</w:t>
      </w:r>
      <w:proofErr w:type="spellEnd"/>
      <w:r w:rsidRPr="00473F89">
        <w:rPr>
          <w:shd w:val="clear" w:color="auto" w:fill="FFFFFF"/>
        </w:rPr>
        <w:t xml:space="preserve"> </w:t>
      </w:r>
      <w:r w:rsidRPr="00473F89">
        <w:t>à</w:t>
      </w:r>
      <w:r>
        <w:rPr>
          <w:shd w:val="clear" w:color="auto" w:fill="FFFFFF"/>
        </w:rPr>
        <w:t xml:space="preserve"> C</w:t>
      </w:r>
      <w:r w:rsidRPr="00473F89">
        <w:rPr>
          <w:shd w:val="clear" w:color="auto" w:fill="FFFFFF"/>
        </w:rPr>
        <w:t xml:space="preserve">orps’: The Denial of Strip Searches in Belgian Prisons’, in </w:t>
      </w:r>
      <w:r>
        <w:rPr>
          <w:shd w:val="clear" w:color="auto" w:fill="FFFFFF"/>
        </w:rPr>
        <w:t xml:space="preserve">M. </w:t>
      </w:r>
      <w:proofErr w:type="spellStart"/>
      <w:r w:rsidRPr="00473F89">
        <w:rPr>
          <w:rStyle w:val="nlmstring-name"/>
          <w:shd w:val="clear" w:color="auto" w:fill="FFFFFF"/>
        </w:rPr>
        <w:t>Deflem</w:t>
      </w:r>
      <w:proofErr w:type="spellEnd"/>
      <w:r w:rsidRPr="00473F89">
        <w:rPr>
          <w:rStyle w:val="nlmstring-name"/>
          <w:shd w:val="clear" w:color="auto" w:fill="FFFFFF"/>
        </w:rPr>
        <w:t xml:space="preserve">, </w:t>
      </w:r>
      <w:r>
        <w:rPr>
          <w:rStyle w:val="nlmstring-name"/>
          <w:shd w:val="clear" w:color="auto" w:fill="FFFFFF"/>
        </w:rPr>
        <w:t xml:space="preserve">ed., </w:t>
      </w:r>
      <w:r w:rsidRPr="00473F89">
        <w:rPr>
          <w:i/>
          <w:iCs/>
          <w:shd w:val="clear" w:color="auto" w:fill="FFFFFF"/>
        </w:rPr>
        <w:t>Punishment and Inca</w:t>
      </w:r>
      <w:r>
        <w:rPr>
          <w:i/>
          <w:iCs/>
          <w:shd w:val="clear" w:color="auto" w:fill="FFFFFF"/>
        </w:rPr>
        <w:t xml:space="preserve">rceration: A Global Perspective, </w:t>
      </w:r>
      <w:r>
        <w:rPr>
          <w:shd w:val="clear" w:color="auto" w:fill="FFFFFF"/>
        </w:rPr>
        <w:t>75</w:t>
      </w:r>
      <w:r>
        <w:rPr>
          <w:color w:val="000000"/>
        </w:rPr>
        <w:t>-</w:t>
      </w:r>
      <w:r w:rsidRPr="00473F89">
        <w:rPr>
          <w:shd w:val="clear" w:color="auto" w:fill="FFFFFF"/>
        </w:rPr>
        <w:t>94</w:t>
      </w:r>
      <w:r>
        <w:rPr>
          <w:shd w:val="clear" w:color="auto" w:fill="FFFFFF"/>
        </w:rPr>
        <w:t xml:space="preserve">. </w:t>
      </w:r>
      <w:r w:rsidRPr="00473F89">
        <w:rPr>
          <w:shd w:val="clear" w:color="auto" w:fill="FFFFFF"/>
        </w:rPr>
        <w:t>Emerald</w:t>
      </w:r>
      <w:r>
        <w:rPr>
          <w:shd w:val="clear" w:color="auto" w:fill="FFFFFF"/>
        </w:rPr>
        <w:t xml:space="preserve"> Group</w:t>
      </w:r>
      <w:r w:rsidRPr="00473F89">
        <w:rPr>
          <w:shd w:val="clear" w:color="auto" w:fill="FFFFFF"/>
        </w:rPr>
        <w:t>.</w:t>
      </w:r>
      <w:r>
        <w:t xml:space="preserve"> </w:t>
      </w:r>
    </w:p>
    <w:p w:rsidR="00FB76CA" w:rsidRDefault="00FB76CA" w:rsidP="00FB76CA">
      <w:pPr>
        <w:spacing w:after="0" w:line="240" w:lineRule="auto"/>
        <w:jc w:val="both"/>
        <w:rPr>
          <w:rFonts w:eastAsia="Times New Roman"/>
        </w:rPr>
      </w:pPr>
    </w:p>
    <w:p w:rsidR="00FB76CA" w:rsidRPr="005654C0" w:rsidRDefault="00FB76CA" w:rsidP="00FB76CA">
      <w:pPr>
        <w:spacing w:after="0" w:line="240" w:lineRule="auto"/>
        <w:jc w:val="both"/>
      </w:pPr>
      <w:r>
        <w:t xml:space="preserve">DOLAN, K., DONOGHOE, M. and STIMSON, G. (1990), ‘Drug Injecting and Syringe Sharing in Custody and in the Community: An Exploratory Survey of HIV Risk Behaviour’, </w:t>
      </w:r>
      <w:r w:rsidRPr="00401C42">
        <w:rPr>
          <w:i/>
          <w:iCs/>
        </w:rPr>
        <w:t>Howard Journal of Criminal Justice</w:t>
      </w:r>
      <w:r>
        <w:rPr>
          <w:i/>
          <w:iCs/>
        </w:rPr>
        <w:t xml:space="preserve">, </w:t>
      </w:r>
      <w:r w:rsidRPr="005654C0">
        <w:rPr>
          <w:iCs/>
        </w:rPr>
        <w:t>29: 177-86.</w:t>
      </w:r>
    </w:p>
    <w:p w:rsidR="00FB76CA" w:rsidRDefault="00FB76CA" w:rsidP="00FB76CA">
      <w:pPr>
        <w:spacing w:after="0" w:line="240" w:lineRule="auto"/>
        <w:jc w:val="both"/>
      </w:pPr>
    </w:p>
    <w:p w:rsidR="00FB76CA" w:rsidRDefault="00FB76CA" w:rsidP="00FB76CA">
      <w:pPr>
        <w:spacing w:after="0" w:line="240" w:lineRule="auto"/>
        <w:jc w:val="both"/>
      </w:pPr>
      <w:r w:rsidRPr="00401C42">
        <w:t>D</w:t>
      </w:r>
      <w:r w:rsidRPr="00E31B69">
        <w:rPr>
          <w:caps/>
        </w:rPr>
        <w:t>umond</w:t>
      </w:r>
      <w:r w:rsidRPr="00401C42">
        <w:t>, R. (2000)</w:t>
      </w:r>
      <w:r>
        <w:t>, ‘Inmate Sexual A</w:t>
      </w:r>
      <w:r w:rsidRPr="00401C42">
        <w:t xml:space="preserve">ssault: The </w:t>
      </w:r>
      <w:r>
        <w:t>P</w:t>
      </w:r>
      <w:r w:rsidRPr="00401C42">
        <w:t xml:space="preserve">lague </w:t>
      </w:r>
      <w:r>
        <w:t>that P</w:t>
      </w:r>
      <w:r w:rsidRPr="00401C42">
        <w:t xml:space="preserve">ersists’, </w:t>
      </w:r>
      <w:r w:rsidRPr="00401C42">
        <w:rPr>
          <w:i/>
        </w:rPr>
        <w:t>The Prison Journal</w:t>
      </w:r>
      <w:r>
        <w:rPr>
          <w:i/>
        </w:rPr>
        <w:t>,</w:t>
      </w:r>
      <w:r w:rsidRPr="00401C42">
        <w:t xml:space="preserve"> 80: 407-14.</w:t>
      </w:r>
    </w:p>
    <w:p w:rsidR="00FB76CA" w:rsidRPr="00401C42" w:rsidRDefault="00FB76CA" w:rsidP="00FB76CA">
      <w:pPr>
        <w:spacing w:after="0" w:line="240" w:lineRule="auto"/>
        <w:jc w:val="both"/>
      </w:pPr>
    </w:p>
    <w:p w:rsidR="00FB76CA" w:rsidRPr="008E3CCB" w:rsidRDefault="00FB76CA" w:rsidP="00FB76CA">
      <w:pPr>
        <w:spacing w:after="0" w:line="240" w:lineRule="auto"/>
        <w:jc w:val="both"/>
        <w:rPr>
          <w:rFonts w:eastAsia="Times New Roman"/>
        </w:rPr>
      </w:pPr>
      <w:r w:rsidRPr="008E3CCB">
        <w:rPr>
          <w:rFonts w:eastAsia="Times New Roman"/>
        </w:rPr>
        <w:t>E</w:t>
      </w:r>
      <w:r w:rsidRPr="00F82A0F">
        <w:rPr>
          <w:rFonts w:eastAsia="Times New Roman"/>
          <w:caps/>
        </w:rPr>
        <w:t>dgar</w:t>
      </w:r>
      <w:r w:rsidRPr="008E3CCB">
        <w:rPr>
          <w:rFonts w:eastAsia="Times New Roman"/>
        </w:rPr>
        <w:t>, K., O’D</w:t>
      </w:r>
      <w:r w:rsidRPr="00F82A0F">
        <w:rPr>
          <w:rFonts w:eastAsia="Times New Roman"/>
          <w:caps/>
        </w:rPr>
        <w:t>onnell</w:t>
      </w:r>
      <w:r w:rsidRPr="008E3CCB">
        <w:rPr>
          <w:rFonts w:eastAsia="Times New Roman"/>
        </w:rPr>
        <w:t>, I. and M</w:t>
      </w:r>
      <w:r w:rsidRPr="00F82A0F">
        <w:rPr>
          <w:rFonts w:eastAsia="Times New Roman"/>
          <w:caps/>
        </w:rPr>
        <w:t>artin</w:t>
      </w:r>
      <w:r w:rsidRPr="008E3CCB">
        <w:rPr>
          <w:rFonts w:eastAsia="Times New Roman"/>
        </w:rPr>
        <w:t>, C. (2003)</w:t>
      </w:r>
      <w:r>
        <w:rPr>
          <w:rFonts w:eastAsia="Times New Roman"/>
        </w:rPr>
        <w:t>,</w:t>
      </w:r>
      <w:r w:rsidRPr="008E3CCB">
        <w:rPr>
          <w:rFonts w:eastAsia="Times New Roman"/>
        </w:rPr>
        <w:t xml:space="preserve"> </w:t>
      </w:r>
      <w:r w:rsidRPr="008E3CCB">
        <w:rPr>
          <w:rFonts w:eastAsia="Times New Roman"/>
          <w:i/>
        </w:rPr>
        <w:t>Prison Violence: The Dynamics of Conflict, Fear and Power</w:t>
      </w:r>
      <w:r w:rsidRPr="008E3CCB">
        <w:rPr>
          <w:rFonts w:eastAsia="Times New Roman"/>
        </w:rPr>
        <w:t xml:space="preserve">. </w:t>
      </w:r>
      <w:proofErr w:type="spellStart"/>
      <w:proofErr w:type="gramStart"/>
      <w:r w:rsidRPr="008E3CCB">
        <w:rPr>
          <w:rFonts w:eastAsia="Times New Roman"/>
        </w:rPr>
        <w:t>Willan</w:t>
      </w:r>
      <w:proofErr w:type="spellEnd"/>
      <w:r w:rsidRPr="008E3CCB">
        <w:rPr>
          <w:rFonts w:eastAsia="Times New Roman"/>
        </w:rPr>
        <w:t>.</w:t>
      </w:r>
      <w:proofErr w:type="gramEnd"/>
    </w:p>
    <w:p w:rsidR="00FB76CA" w:rsidRDefault="00FB76CA" w:rsidP="00FB76CA">
      <w:pPr>
        <w:spacing w:after="0" w:line="240" w:lineRule="auto"/>
        <w:jc w:val="both"/>
        <w:rPr>
          <w:color w:val="000000"/>
        </w:rPr>
      </w:pPr>
    </w:p>
    <w:p w:rsidR="00FB76CA" w:rsidRPr="001078D0" w:rsidRDefault="00FB76CA" w:rsidP="00FB76CA">
      <w:pPr>
        <w:spacing w:after="0" w:line="240" w:lineRule="auto"/>
        <w:jc w:val="both"/>
      </w:pPr>
      <w:proofErr w:type="gramStart"/>
      <w:r w:rsidRPr="00E12A66">
        <w:rPr>
          <w:color w:val="000000"/>
        </w:rPr>
        <w:t>G</w:t>
      </w:r>
      <w:r w:rsidRPr="00E12A66">
        <w:rPr>
          <w:caps/>
          <w:color w:val="000000"/>
        </w:rPr>
        <w:t>reen</w:t>
      </w:r>
      <w:r>
        <w:rPr>
          <w:color w:val="000000"/>
        </w:rPr>
        <w:t>,</w:t>
      </w:r>
      <w:r w:rsidRPr="00E12A66">
        <w:rPr>
          <w:color w:val="000000"/>
        </w:rPr>
        <w:t xml:space="preserve"> J</w:t>
      </w:r>
      <w:r>
        <w:rPr>
          <w:color w:val="000000"/>
        </w:rPr>
        <w:t xml:space="preserve">., </w:t>
      </w:r>
      <w:r w:rsidRPr="00E12A66">
        <w:rPr>
          <w:color w:val="000000"/>
        </w:rPr>
        <w:t>S</w:t>
      </w:r>
      <w:r w:rsidRPr="00E12A66">
        <w:rPr>
          <w:caps/>
          <w:color w:val="000000"/>
        </w:rPr>
        <w:t>trang</w:t>
      </w:r>
      <w:r>
        <w:rPr>
          <w:color w:val="000000"/>
        </w:rPr>
        <w:t>,</w:t>
      </w:r>
      <w:r w:rsidRPr="00E12A66">
        <w:rPr>
          <w:color w:val="000000"/>
        </w:rPr>
        <w:t xml:space="preserve"> J</w:t>
      </w:r>
      <w:r>
        <w:rPr>
          <w:color w:val="000000"/>
        </w:rPr>
        <w:t>.</w:t>
      </w:r>
      <w:r w:rsidRPr="00E12A66">
        <w:rPr>
          <w:color w:val="000000"/>
        </w:rPr>
        <w:t>,</w:t>
      </w:r>
      <w:r>
        <w:rPr>
          <w:color w:val="000000"/>
        </w:rPr>
        <w:t xml:space="preserve"> HETHERTON, J., WHITELEY, C., </w:t>
      </w:r>
      <w:r w:rsidRPr="00E12A66">
        <w:rPr>
          <w:color w:val="000000"/>
        </w:rPr>
        <w:t>H</w:t>
      </w:r>
      <w:r w:rsidRPr="00E12A66">
        <w:rPr>
          <w:caps/>
          <w:color w:val="000000"/>
        </w:rPr>
        <w:t>eusto</w:t>
      </w:r>
      <w:r>
        <w:rPr>
          <w:color w:val="000000"/>
        </w:rPr>
        <w:t>N,</w:t>
      </w:r>
      <w:r w:rsidRPr="00E12A66">
        <w:rPr>
          <w:color w:val="000000"/>
        </w:rPr>
        <w:t xml:space="preserve"> J</w:t>
      </w:r>
      <w:r>
        <w:rPr>
          <w:color w:val="000000"/>
        </w:rPr>
        <w:t>. and</w:t>
      </w:r>
      <w:r w:rsidRPr="00E12A66">
        <w:rPr>
          <w:color w:val="000000"/>
        </w:rPr>
        <w:t xml:space="preserve"> M</w:t>
      </w:r>
      <w:r w:rsidRPr="00E12A66">
        <w:rPr>
          <w:caps/>
          <w:color w:val="000000"/>
        </w:rPr>
        <w:t>aden</w:t>
      </w:r>
      <w:r>
        <w:rPr>
          <w:color w:val="000000"/>
        </w:rPr>
        <w:t>,</w:t>
      </w:r>
      <w:r w:rsidRPr="00E12A66">
        <w:rPr>
          <w:color w:val="000000"/>
        </w:rPr>
        <w:t xml:space="preserve"> T</w:t>
      </w:r>
      <w:r>
        <w:rPr>
          <w:color w:val="000000"/>
        </w:rPr>
        <w:t xml:space="preserve">. (2003), </w:t>
      </w:r>
      <w:r>
        <w:rPr>
          <w:bCs/>
        </w:rPr>
        <w:t xml:space="preserve">‘Same-Sex Sexual Activity of Male Prisoners in </w:t>
      </w:r>
      <w:r w:rsidRPr="00417E03">
        <w:rPr>
          <w:bCs/>
        </w:rPr>
        <w:t>England and Wales</w:t>
      </w:r>
      <w:r>
        <w:rPr>
          <w:bCs/>
        </w:rPr>
        <w:t xml:space="preserve">’, </w:t>
      </w:r>
      <w:r w:rsidRPr="00417E03">
        <w:rPr>
          <w:bCs/>
          <w:i/>
        </w:rPr>
        <w:t xml:space="preserve">International Journal of STD and AIDS, </w:t>
      </w:r>
      <w:r w:rsidRPr="00417E03">
        <w:rPr>
          <w:bCs/>
        </w:rPr>
        <w:t>14</w:t>
      </w:r>
      <w:r w:rsidRPr="00417E03">
        <w:t>:</w:t>
      </w:r>
      <w:r>
        <w:t xml:space="preserve"> 253</w:t>
      </w:r>
      <w:r>
        <w:rPr>
          <w:color w:val="000000"/>
        </w:rPr>
        <w:t>-</w:t>
      </w:r>
      <w:r w:rsidRPr="00417E03">
        <w:t>57</w:t>
      </w:r>
      <w:r>
        <w:t>.</w:t>
      </w:r>
      <w:proofErr w:type="gramEnd"/>
    </w:p>
    <w:p w:rsidR="00FB76CA" w:rsidRDefault="00FB76CA" w:rsidP="00FB76CA">
      <w:pPr>
        <w:spacing w:after="0" w:line="240" w:lineRule="auto"/>
        <w:jc w:val="both"/>
        <w:rPr>
          <w:rFonts w:cs="ITC Slimbach Std"/>
          <w:color w:val="000000"/>
        </w:rPr>
      </w:pPr>
    </w:p>
    <w:p w:rsidR="00FB76CA" w:rsidRPr="00A36D65" w:rsidRDefault="00FB76CA" w:rsidP="00FB76CA">
      <w:pPr>
        <w:spacing w:after="0" w:line="240" w:lineRule="auto"/>
        <w:jc w:val="both"/>
        <w:rPr>
          <w:rFonts w:cs="ITC Slimbach Std"/>
          <w:color w:val="000000"/>
        </w:rPr>
      </w:pPr>
      <w:r w:rsidRPr="00401C42">
        <w:rPr>
          <w:rFonts w:cs="ITC Slimbach Std"/>
          <w:color w:val="000000"/>
        </w:rPr>
        <w:t>H</w:t>
      </w:r>
      <w:r>
        <w:rPr>
          <w:rFonts w:cs="ITC Slimbach Std"/>
          <w:color w:val="000000"/>
        </w:rPr>
        <w:t>ENSLEY, C. (e</w:t>
      </w:r>
      <w:r w:rsidRPr="00401C42">
        <w:rPr>
          <w:rFonts w:cs="ITC Slimbach Std"/>
          <w:color w:val="000000"/>
        </w:rPr>
        <w:t xml:space="preserve">d.) </w:t>
      </w:r>
      <w:r>
        <w:rPr>
          <w:rFonts w:cs="ITC Slimbach Std"/>
          <w:color w:val="000000"/>
        </w:rPr>
        <w:t xml:space="preserve">(2002), </w:t>
      </w:r>
      <w:r w:rsidRPr="00401C42">
        <w:rPr>
          <w:rFonts w:cs="ITC Slimbach Std"/>
          <w:i/>
          <w:color w:val="000000"/>
        </w:rPr>
        <w:t>Prison Sex: Practice</w:t>
      </w:r>
      <w:r>
        <w:rPr>
          <w:rFonts w:cs="ITC Slimbach Std"/>
          <w:i/>
          <w:color w:val="000000"/>
        </w:rPr>
        <w:t xml:space="preserve"> and Policy</w:t>
      </w:r>
      <w:r w:rsidRPr="00401C42">
        <w:rPr>
          <w:rFonts w:cs="ITC Slimbach Std"/>
          <w:color w:val="000000"/>
        </w:rPr>
        <w:t xml:space="preserve">. Lynne </w:t>
      </w:r>
      <w:proofErr w:type="spellStart"/>
      <w:r w:rsidRPr="00401C42">
        <w:rPr>
          <w:rFonts w:cs="ITC Slimbach Std"/>
          <w:color w:val="000000"/>
        </w:rPr>
        <w:t>Rienner</w:t>
      </w:r>
      <w:proofErr w:type="spellEnd"/>
      <w:r w:rsidRPr="00401C42">
        <w:rPr>
          <w:rFonts w:cs="ITC Slimbach Std"/>
          <w:color w:val="000000"/>
        </w:rPr>
        <w:t>.</w:t>
      </w:r>
    </w:p>
    <w:p w:rsidR="00FB76CA" w:rsidRDefault="00FB76CA" w:rsidP="00FB76CA">
      <w:pPr>
        <w:spacing w:after="0" w:line="240" w:lineRule="auto"/>
        <w:jc w:val="both"/>
        <w:outlineLvl w:val="1"/>
      </w:pPr>
    </w:p>
    <w:p w:rsidR="00FB76CA" w:rsidRPr="009B2471" w:rsidRDefault="00FB76CA" w:rsidP="00FB76CA">
      <w:pPr>
        <w:spacing w:after="0" w:line="240" w:lineRule="auto"/>
        <w:jc w:val="both"/>
      </w:pPr>
      <w:r w:rsidRPr="009B2471">
        <w:rPr>
          <w:rFonts w:eastAsia="Times New Roman"/>
          <w:lang w:eastAsia="en-GB"/>
        </w:rPr>
        <w:t>H</w:t>
      </w:r>
      <w:r w:rsidRPr="009B2471">
        <w:rPr>
          <w:rFonts w:eastAsia="Times New Roman"/>
          <w:caps/>
          <w:lang w:eastAsia="en-GB"/>
        </w:rPr>
        <w:t>ensley</w:t>
      </w:r>
      <w:r w:rsidRPr="009B2471">
        <w:rPr>
          <w:rFonts w:eastAsia="Times New Roman"/>
          <w:lang w:eastAsia="en-GB"/>
        </w:rPr>
        <w:t>, C., T</w:t>
      </w:r>
      <w:r w:rsidRPr="009B2471">
        <w:rPr>
          <w:rFonts w:eastAsia="Times New Roman"/>
          <w:caps/>
          <w:lang w:eastAsia="en-GB"/>
        </w:rPr>
        <w:t>ewksbury</w:t>
      </w:r>
      <w:r w:rsidRPr="009B2471">
        <w:rPr>
          <w:rFonts w:eastAsia="Times New Roman"/>
          <w:lang w:eastAsia="en-GB"/>
        </w:rPr>
        <w:t>, R. and W</w:t>
      </w:r>
      <w:r w:rsidRPr="009B2471">
        <w:rPr>
          <w:rFonts w:eastAsia="Times New Roman"/>
          <w:caps/>
          <w:lang w:eastAsia="en-GB"/>
        </w:rPr>
        <w:t>right</w:t>
      </w:r>
      <w:r w:rsidRPr="009B2471">
        <w:rPr>
          <w:rFonts w:eastAsia="Times New Roman"/>
          <w:lang w:eastAsia="en-GB"/>
        </w:rPr>
        <w:t>, J. (200</w:t>
      </w:r>
      <w:r>
        <w:rPr>
          <w:rFonts w:eastAsia="Times New Roman"/>
          <w:bCs/>
          <w:lang w:eastAsia="en-GB"/>
        </w:rPr>
        <w:t xml:space="preserve">1), ‘Exploring the Dynamics of Masturbation and Consensual Same-Sex Activity within a Male Maximum Security Prison’, </w:t>
      </w:r>
      <w:r w:rsidRPr="009B2471">
        <w:rPr>
          <w:rFonts w:eastAsia="Times New Roman"/>
          <w:bCs/>
          <w:i/>
          <w:lang w:eastAsia="en-GB"/>
        </w:rPr>
        <w:t>The Journal of Men’s Studies</w:t>
      </w:r>
      <w:r>
        <w:rPr>
          <w:rFonts w:eastAsia="Times New Roman"/>
          <w:bCs/>
          <w:lang w:eastAsia="en-GB"/>
        </w:rPr>
        <w:t xml:space="preserve">, </w:t>
      </w:r>
      <w:r w:rsidRPr="00401C42">
        <w:t>10: 59-71.</w:t>
      </w:r>
    </w:p>
    <w:p w:rsidR="00FB76CA" w:rsidRDefault="00FB76CA" w:rsidP="00FB76CA">
      <w:pPr>
        <w:pStyle w:val="NoSpacing"/>
        <w:jc w:val="both"/>
      </w:pPr>
    </w:p>
    <w:p w:rsidR="00FB76CA" w:rsidRPr="007C390C" w:rsidRDefault="00FB76CA" w:rsidP="00FB76CA">
      <w:pPr>
        <w:autoSpaceDE w:val="0"/>
        <w:autoSpaceDN w:val="0"/>
        <w:adjustRightInd w:val="0"/>
        <w:spacing w:after="0" w:line="240" w:lineRule="auto"/>
        <w:jc w:val="both"/>
      </w:pPr>
      <w:proofErr w:type="gramStart"/>
      <w:r w:rsidRPr="009B2471">
        <w:rPr>
          <w:rFonts w:eastAsia="Times New Roman"/>
          <w:lang w:eastAsia="en-GB"/>
        </w:rPr>
        <w:t>H</w:t>
      </w:r>
      <w:r w:rsidRPr="009B2471">
        <w:rPr>
          <w:rFonts w:eastAsia="Times New Roman"/>
          <w:caps/>
          <w:lang w:eastAsia="en-GB"/>
        </w:rPr>
        <w:t>ensley</w:t>
      </w:r>
      <w:r w:rsidRPr="009B2471">
        <w:rPr>
          <w:rFonts w:eastAsia="Times New Roman"/>
          <w:lang w:eastAsia="en-GB"/>
        </w:rPr>
        <w:t xml:space="preserve">, C., </w:t>
      </w:r>
      <w:r w:rsidRPr="007C390C">
        <w:t xml:space="preserve">KOSCHESKI, M. </w:t>
      </w:r>
      <w:r w:rsidRPr="009B2471">
        <w:rPr>
          <w:rFonts w:eastAsia="Times New Roman"/>
          <w:lang w:eastAsia="en-GB"/>
        </w:rPr>
        <w:t>and</w:t>
      </w:r>
      <w:r>
        <w:rPr>
          <w:rFonts w:eastAsia="Times New Roman"/>
          <w:lang w:eastAsia="en-GB"/>
        </w:rPr>
        <w:t xml:space="preserve"> </w:t>
      </w:r>
      <w:r w:rsidRPr="009B2471">
        <w:rPr>
          <w:rFonts w:eastAsia="Times New Roman"/>
          <w:lang w:eastAsia="en-GB"/>
        </w:rPr>
        <w:t>T</w:t>
      </w:r>
      <w:r w:rsidRPr="009B2471">
        <w:rPr>
          <w:rFonts w:eastAsia="Times New Roman"/>
          <w:caps/>
          <w:lang w:eastAsia="en-GB"/>
        </w:rPr>
        <w:t>ewksbury</w:t>
      </w:r>
      <w:r w:rsidRPr="009B2471">
        <w:rPr>
          <w:rFonts w:eastAsia="Times New Roman"/>
          <w:lang w:eastAsia="en-GB"/>
        </w:rPr>
        <w:t xml:space="preserve">, R. </w:t>
      </w:r>
      <w:r>
        <w:rPr>
          <w:rFonts w:eastAsia="Times New Roman"/>
          <w:lang w:eastAsia="en-GB"/>
        </w:rPr>
        <w:t>(2005), ‘</w:t>
      </w:r>
      <w:r w:rsidRPr="007C390C">
        <w:t xml:space="preserve">Examining the Characteristics of Male Sexual Assault Targets in a Southern Maximum-Security Prison’, </w:t>
      </w:r>
      <w:r w:rsidRPr="007C390C">
        <w:rPr>
          <w:i/>
        </w:rPr>
        <w:t>Journal of Interpersonal Violence</w:t>
      </w:r>
      <w:r w:rsidRPr="007C390C">
        <w:t>, 20: 667-79.</w:t>
      </w:r>
      <w:proofErr w:type="gramEnd"/>
      <w:r w:rsidRPr="007C390C">
        <w:t xml:space="preserve"> </w:t>
      </w:r>
    </w:p>
    <w:p w:rsidR="00FB76CA" w:rsidRDefault="00FB76CA" w:rsidP="00FB76CA">
      <w:pPr>
        <w:pStyle w:val="NoSpacing"/>
        <w:jc w:val="both"/>
        <w:rPr>
          <w:lang w:eastAsia="en-GB"/>
        </w:rPr>
      </w:pPr>
    </w:p>
    <w:p w:rsidR="00FB76CA" w:rsidRDefault="00FB76CA" w:rsidP="00FB76CA">
      <w:pPr>
        <w:pStyle w:val="NoSpacing"/>
        <w:jc w:val="both"/>
        <w:rPr>
          <w:rStyle w:val="Hyperlink"/>
          <w:lang w:val="en-GB"/>
        </w:rPr>
      </w:pPr>
      <w:r>
        <w:t>H</w:t>
      </w:r>
      <w:r w:rsidRPr="001077EA">
        <w:rPr>
          <w:caps/>
        </w:rPr>
        <w:t>oward</w:t>
      </w:r>
      <w:r>
        <w:t xml:space="preserve"> L</w:t>
      </w:r>
      <w:r w:rsidRPr="001077EA">
        <w:rPr>
          <w:caps/>
        </w:rPr>
        <w:t>eague</w:t>
      </w:r>
      <w:r>
        <w:t xml:space="preserve"> (</w:t>
      </w:r>
      <w:r w:rsidRPr="00B15B8B">
        <w:t>2012)</w:t>
      </w:r>
      <w:r>
        <w:t>,</w:t>
      </w:r>
      <w:r w:rsidRPr="00B15B8B">
        <w:t xml:space="preserve"> </w:t>
      </w:r>
      <w:r w:rsidRPr="00B15B8B">
        <w:rPr>
          <w:i/>
          <w:lang w:val="en-GB"/>
        </w:rPr>
        <w:t>Seminar with Key Statutory</w:t>
      </w:r>
      <w:r>
        <w:rPr>
          <w:i/>
          <w:lang w:val="en-GB"/>
        </w:rPr>
        <w:t xml:space="preserve"> Stakeholders, 20 November 2012. </w:t>
      </w:r>
      <w:r w:rsidR="0073252F" w:rsidRPr="0073252F">
        <w:rPr>
          <w:lang w:val="en-GB"/>
        </w:rPr>
        <w:t>London: Howard League.</w:t>
      </w:r>
    </w:p>
    <w:p w:rsidR="00620AA8" w:rsidRDefault="00620AA8" w:rsidP="00FB76CA">
      <w:pPr>
        <w:autoSpaceDE w:val="0"/>
        <w:autoSpaceDN w:val="0"/>
        <w:adjustRightInd w:val="0"/>
        <w:spacing w:after="0" w:line="240" w:lineRule="auto"/>
        <w:jc w:val="both"/>
      </w:pPr>
    </w:p>
    <w:p w:rsidR="00FB76CA" w:rsidRDefault="00FB76CA" w:rsidP="00FB76CA">
      <w:pPr>
        <w:autoSpaceDE w:val="0"/>
        <w:autoSpaceDN w:val="0"/>
        <w:adjustRightInd w:val="0"/>
        <w:spacing w:after="0" w:line="240" w:lineRule="auto"/>
        <w:jc w:val="both"/>
      </w:pPr>
      <w:proofErr w:type="gramStart"/>
      <w:r>
        <w:t>HULLEY, S., CREWE.</w:t>
      </w:r>
      <w:proofErr w:type="gramEnd"/>
      <w:r>
        <w:t xml:space="preserve"> B. and WRIGHT, S. (2016),</w:t>
      </w:r>
      <w:r w:rsidRPr="00BC6E80">
        <w:rPr>
          <w:smallCaps/>
        </w:rPr>
        <w:t xml:space="preserve"> </w:t>
      </w:r>
      <w:r>
        <w:rPr>
          <w:smallCaps/>
        </w:rPr>
        <w:t>‘</w:t>
      </w:r>
      <w:r w:rsidRPr="00E82B9C">
        <w:rPr>
          <w:smallCaps/>
        </w:rPr>
        <w:t>R</w:t>
      </w:r>
      <w:r w:rsidRPr="00E82B9C">
        <w:t xml:space="preserve">e-examining the Problems of Long-term Imprisonment’, </w:t>
      </w:r>
      <w:r w:rsidRPr="00BC6E80">
        <w:rPr>
          <w:i/>
        </w:rPr>
        <w:t>British Journal of Criminology</w:t>
      </w:r>
      <w:r>
        <w:t xml:space="preserve">, 56: 769-92. </w:t>
      </w:r>
    </w:p>
    <w:p w:rsidR="00FB76CA" w:rsidRDefault="00FB76CA" w:rsidP="00FB76CA">
      <w:pPr>
        <w:autoSpaceDE w:val="0"/>
        <w:autoSpaceDN w:val="0"/>
        <w:adjustRightInd w:val="0"/>
        <w:spacing w:after="0" w:line="240" w:lineRule="auto"/>
        <w:jc w:val="both"/>
      </w:pPr>
    </w:p>
    <w:p w:rsidR="00FB76CA" w:rsidRDefault="00FB76CA" w:rsidP="00FB76CA">
      <w:pPr>
        <w:spacing w:after="0" w:line="240" w:lineRule="auto"/>
        <w:jc w:val="both"/>
        <w:rPr>
          <w:rFonts w:cs="ITC Slimbach Std"/>
          <w:color w:val="000000"/>
        </w:rPr>
      </w:pPr>
      <w:r>
        <w:rPr>
          <w:rFonts w:cs="ITC Slimbach Std"/>
          <w:color w:val="000000"/>
        </w:rPr>
        <w:t>I</w:t>
      </w:r>
      <w:r w:rsidRPr="00660A8A">
        <w:rPr>
          <w:rFonts w:cs="ITC Slimbach Std"/>
          <w:caps/>
          <w:color w:val="000000"/>
        </w:rPr>
        <w:t>brahim</w:t>
      </w:r>
      <w:r>
        <w:rPr>
          <w:rFonts w:cs="ITC Slimbach Std"/>
          <w:color w:val="000000"/>
        </w:rPr>
        <w:t xml:space="preserve">, A. (1974), ‘Deviant Sexual </w:t>
      </w:r>
      <w:proofErr w:type="spellStart"/>
      <w:r>
        <w:rPr>
          <w:rFonts w:cs="ITC Slimbach Std"/>
          <w:color w:val="000000"/>
        </w:rPr>
        <w:t>Behavior</w:t>
      </w:r>
      <w:proofErr w:type="spellEnd"/>
      <w:r>
        <w:rPr>
          <w:rFonts w:cs="ITC Slimbach Std"/>
          <w:color w:val="000000"/>
        </w:rPr>
        <w:t xml:space="preserve"> in Men’s Prisons’, </w:t>
      </w:r>
      <w:r w:rsidRPr="009E36D0">
        <w:rPr>
          <w:rFonts w:cs="ITC Slimbach Std"/>
          <w:i/>
          <w:color w:val="000000"/>
        </w:rPr>
        <w:t>Crime and Delinquency</w:t>
      </w:r>
      <w:r>
        <w:rPr>
          <w:rFonts w:cs="ITC Slimbach Std"/>
          <w:i/>
          <w:color w:val="000000"/>
        </w:rPr>
        <w:t>,</w:t>
      </w:r>
      <w:r>
        <w:rPr>
          <w:rFonts w:cs="ITC Slimbach Std"/>
          <w:color w:val="000000"/>
        </w:rPr>
        <w:t xml:space="preserve"> 20: 38-44.</w:t>
      </w:r>
    </w:p>
    <w:p w:rsidR="00FB76CA" w:rsidRDefault="00FB76CA" w:rsidP="00FB76CA">
      <w:pPr>
        <w:spacing w:after="0" w:line="240" w:lineRule="auto"/>
        <w:jc w:val="both"/>
        <w:rPr>
          <w:lang w:eastAsia="en-GB"/>
        </w:rPr>
      </w:pPr>
    </w:p>
    <w:p w:rsidR="00FB76CA" w:rsidRDefault="00FB76CA" w:rsidP="00FB76CA">
      <w:pPr>
        <w:spacing w:after="0" w:line="240" w:lineRule="auto"/>
        <w:jc w:val="both"/>
      </w:pPr>
      <w:r w:rsidRPr="00A26EDE">
        <w:rPr>
          <w:bCs/>
        </w:rPr>
        <w:t>J</w:t>
      </w:r>
      <w:r w:rsidRPr="008529D4">
        <w:rPr>
          <w:bCs/>
          <w:caps/>
        </w:rPr>
        <w:t>ewkes</w:t>
      </w:r>
      <w:r w:rsidRPr="00A26EDE">
        <w:rPr>
          <w:bCs/>
        </w:rPr>
        <w:t>, Y. (2005)</w:t>
      </w:r>
      <w:r>
        <w:rPr>
          <w:bCs/>
        </w:rPr>
        <w:t>,</w:t>
      </w:r>
      <w:r w:rsidRPr="00A26EDE">
        <w:rPr>
          <w:bCs/>
        </w:rPr>
        <w:t xml:space="preserve"> ‘Men Behind Bars: “Doing” Masculinity as an Adaptation to Imprisonment’, </w:t>
      </w:r>
      <w:r w:rsidRPr="00A26EDE">
        <w:rPr>
          <w:i/>
          <w:iCs/>
        </w:rPr>
        <w:t>Men and Masculinities</w:t>
      </w:r>
      <w:r>
        <w:rPr>
          <w:i/>
          <w:iCs/>
        </w:rPr>
        <w:t>,</w:t>
      </w:r>
      <w:r w:rsidRPr="00A26EDE">
        <w:rPr>
          <w:i/>
          <w:iCs/>
        </w:rPr>
        <w:t xml:space="preserve"> </w:t>
      </w:r>
      <w:r>
        <w:t>8</w:t>
      </w:r>
      <w:r w:rsidRPr="00A26EDE">
        <w:t>: 44-63.</w:t>
      </w:r>
    </w:p>
    <w:p w:rsidR="00FB76CA" w:rsidRPr="00A26EDE" w:rsidRDefault="00FB76CA" w:rsidP="00FB76CA">
      <w:pPr>
        <w:spacing w:after="0" w:line="240" w:lineRule="auto"/>
        <w:jc w:val="both"/>
      </w:pPr>
    </w:p>
    <w:p w:rsidR="00FB76CA" w:rsidRDefault="00FB76CA" w:rsidP="00FB76CA">
      <w:pPr>
        <w:spacing w:after="0" w:line="240" w:lineRule="auto"/>
        <w:jc w:val="both"/>
      </w:pPr>
      <w:proofErr w:type="gramStart"/>
      <w:r w:rsidRPr="003F4AFC">
        <w:t>KELLY,</w:t>
      </w:r>
      <w:r w:rsidRPr="00B51077">
        <w:t xml:space="preserve"> L.,</w:t>
      </w:r>
      <w:r>
        <w:t xml:space="preserve"> LOVETT, J. and REGAN, L. (2005),</w:t>
      </w:r>
      <w:r w:rsidRPr="00B51077">
        <w:rPr>
          <w:i/>
        </w:rPr>
        <w:t xml:space="preserve"> A Gap or a Chasm?</w:t>
      </w:r>
      <w:proofErr w:type="gramEnd"/>
      <w:r w:rsidRPr="00B51077">
        <w:rPr>
          <w:i/>
        </w:rPr>
        <w:t xml:space="preserve"> </w:t>
      </w:r>
      <w:proofErr w:type="gramStart"/>
      <w:r w:rsidRPr="00B51077">
        <w:rPr>
          <w:i/>
        </w:rPr>
        <w:t>Attrition in Reported Rape Cases</w:t>
      </w:r>
      <w:r>
        <w:t>.</w:t>
      </w:r>
      <w:proofErr w:type="gramEnd"/>
      <w:r w:rsidRPr="00B51077">
        <w:t xml:space="preserve"> </w:t>
      </w:r>
      <w:proofErr w:type="gramStart"/>
      <w:r w:rsidRPr="00B51077">
        <w:t>Home Office Research Study 293.</w:t>
      </w:r>
      <w:proofErr w:type="gramEnd"/>
      <w:r w:rsidRPr="00B51077">
        <w:t xml:space="preserve">  </w:t>
      </w:r>
    </w:p>
    <w:p w:rsidR="00FB76CA" w:rsidRPr="00B51077" w:rsidRDefault="00FB76CA" w:rsidP="00FB76CA">
      <w:pPr>
        <w:spacing w:after="0" w:line="240" w:lineRule="auto"/>
        <w:jc w:val="both"/>
      </w:pPr>
    </w:p>
    <w:p w:rsidR="00FB76CA" w:rsidRDefault="00FB76CA" w:rsidP="00FB76CA">
      <w:pPr>
        <w:spacing w:after="0" w:line="240" w:lineRule="auto"/>
        <w:jc w:val="both"/>
        <w:outlineLvl w:val="1"/>
        <w:rPr>
          <w:rFonts w:eastAsia="Times New Roman"/>
          <w:lang w:val="en" w:eastAsia="en-GB"/>
        </w:rPr>
      </w:pPr>
      <w:r w:rsidRPr="008E3CCB">
        <w:t>K</w:t>
      </w:r>
      <w:r w:rsidRPr="00E12A66">
        <w:rPr>
          <w:caps/>
        </w:rPr>
        <w:t>unzel</w:t>
      </w:r>
      <w:r w:rsidRPr="008E3CCB">
        <w:t>, R. (2008)</w:t>
      </w:r>
      <w:r>
        <w:t>,</w:t>
      </w:r>
      <w:r w:rsidRPr="008E3CCB">
        <w:t xml:space="preserve"> </w:t>
      </w:r>
      <w:r w:rsidRPr="008E3CCB">
        <w:rPr>
          <w:rFonts w:eastAsia="Times New Roman"/>
          <w:bCs/>
          <w:i/>
          <w:lang w:val="en" w:eastAsia="en-GB"/>
        </w:rPr>
        <w:t>Criminal Intimacy: Prison and the Uneven History of Modern American Sexuality</w:t>
      </w:r>
      <w:r>
        <w:rPr>
          <w:rFonts w:eastAsia="Times New Roman"/>
          <w:bCs/>
          <w:i/>
          <w:lang w:val="en" w:eastAsia="en-GB"/>
        </w:rPr>
        <w:t xml:space="preserve">. </w:t>
      </w:r>
      <w:proofErr w:type="gramStart"/>
      <w:r w:rsidRPr="008E3CCB">
        <w:rPr>
          <w:rFonts w:eastAsia="Times New Roman"/>
          <w:lang w:val="en" w:eastAsia="en-GB"/>
        </w:rPr>
        <w:t>University of Chicago Press.</w:t>
      </w:r>
      <w:proofErr w:type="gramEnd"/>
    </w:p>
    <w:p w:rsidR="00FB76CA" w:rsidRPr="008E3CCB" w:rsidRDefault="00FB76CA" w:rsidP="00FB76CA">
      <w:pPr>
        <w:spacing w:after="0" w:line="240" w:lineRule="auto"/>
        <w:jc w:val="both"/>
        <w:outlineLvl w:val="1"/>
        <w:rPr>
          <w:rFonts w:eastAsia="Times New Roman"/>
          <w:bCs/>
          <w:i/>
          <w:lang w:val="en" w:eastAsia="en-GB"/>
        </w:rPr>
      </w:pPr>
    </w:p>
    <w:p w:rsidR="00FB76CA" w:rsidRDefault="00FB76CA" w:rsidP="00FB76CA">
      <w:pPr>
        <w:pStyle w:val="FootnoteText"/>
        <w:jc w:val="both"/>
        <w:rPr>
          <w:sz w:val="24"/>
          <w:szCs w:val="24"/>
        </w:rPr>
      </w:pPr>
      <w:proofErr w:type="gramStart"/>
      <w:r w:rsidRPr="00CB7C12">
        <w:rPr>
          <w:sz w:val="24"/>
          <w:szCs w:val="24"/>
        </w:rPr>
        <w:t>L</w:t>
      </w:r>
      <w:r w:rsidRPr="00924712">
        <w:rPr>
          <w:caps/>
          <w:sz w:val="24"/>
          <w:szCs w:val="24"/>
        </w:rPr>
        <w:t>iebling</w:t>
      </w:r>
      <w:r w:rsidRPr="00CB7C12">
        <w:rPr>
          <w:sz w:val="24"/>
          <w:szCs w:val="24"/>
        </w:rPr>
        <w:t>, A., P</w:t>
      </w:r>
      <w:r w:rsidRPr="00924712">
        <w:rPr>
          <w:caps/>
          <w:sz w:val="24"/>
          <w:szCs w:val="24"/>
        </w:rPr>
        <w:t>rice</w:t>
      </w:r>
      <w:r w:rsidRPr="00CB7C12">
        <w:rPr>
          <w:sz w:val="24"/>
          <w:szCs w:val="24"/>
        </w:rPr>
        <w:t>, D. and S</w:t>
      </w:r>
      <w:r w:rsidRPr="00924712">
        <w:rPr>
          <w:caps/>
          <w:sz w:val="24"/>
          <w:szCs w:val="24"/>
        </w:rPr>
        <w:t>hefer</w:t>
      </w:r>
      <w:r>
        <w:rPr>
          <w:sz w:val="24"/>
          <w:szCs w:val="24"/>
        </w:rPr>
        <w:t>, G. (2011</w:t>
      </w:r>
      <w:r w:rsidRPr="00CB7C12">
        <w:rPr>
          <w:sz w:val="24"/>
          <w:szCs w:val="24"/>
        </w:rPr>
        <w:t>)</w:t>
      </w:r>
      <w:r>
        <w:rPr>
          <w:sz w:val="24"/>
          <w:szCs w:val="24"/>
        </w:rPr>
        <w:t>,</w:t>
      </w:r>
      <w:r w:rsidRPr="00CB7C12">
        <w:rPr>
          <w:sz w:val="24"/>
          <w:szCs w:val="24"/>
        </w:rPr>
        <w:t xml:space="preserve"> </w:t>
      </w:r>
      <w:r w:rsidRPr="00CB7C12">
        <w:rPr>
          <w:i/>
          <w:sz w:val="24"/>
          <w:szCs w:val="24"/>
        </w:rPr>
        <w:t>The Prison Officer</w:t>
      </w:r>
      <w:r w:rsidRPr="00CB7C12">
        <w:rPr>
          <w:sz w:val="24"/>
          <w:szCs w:val="24"/>
        </w:rPr>
        <w:t>, 2</w:t>
      </w:r>
      <w:r w:rsidRPr="00CB7C12">
        <w:rPr>
          <w:sz w:val="24"/>
          <w:szCs w:val="24"/>
          <w:vertAlign w:val="superscript"/>
        </w:rPr>
        <w:t>nd</w:t>
      </w:r>
      <w:r>
        <w:rPr>
          <w:sz w:val="24"/>
          <w:szCs w:val="24"/>
        </w:rPr>
        <w:t xml:space="preserve"> </w:t>
      </w:r>
      <w:proofErr w:type="spellStart"/>
      <w:r>
        <w:rPr>
          <w:sz w:val="24"/>
          <w:szCs w:val="24"/>
        </w:rPr>
        <w:t>ed</w:t>
      </w:r>
      <w:r w:rsidRPr="00CB7C12">
        <w:rPr>
          <w:sz w:val="24"/>
          <w:szCs w:val="24"/>
        </w:rPr>
        <w:t>n</w:t>
      </w:r>
      <w:proofErr w:type="spellEnd"/>
      <w:r w:rsidRPr="00CB7C12">
        <w:rPr>
          <w:sz w:val="24"/>
          <w:szCs w:val="24"/>
        </w:rPr>
        <w:t>.</w:t>
      </w:r>
      <w:proofErr w:type="gramEnd"/>
      <w:r w:rsidRPr="00CB7C12">
        <w:rPr>
          <w:sz w:val="24"/>
          <w:szCs w:val="24"/>
        </w:rPr>
        <w:t xml:space="preserve"> </w:t>
      </w:r>
      <w:proofErr w:type="spellStart"/>
      <w:proofErr w:type="gramStart"/>
      <w:r w:rsidRPr="00CB7C12">
        <w:rPr>
          <w:sz w:val="24"/>
          <w:szCs w:val="24"/>
        </w:rPr>
        <w:t>Willan</w:t>
      </w:r>
      <w:proofErr w:type="spellEnd"/>
      <w:r w:rsidRPr="00CB7C12">
        <w:rPr>
          <w:sz w:val="24"/>
          <w:szCs w:val="24"/>
        </w:rPr>
        <w:t>.</w:t>
      </w:r>
      <w:proofErr w:type="gramEnd"/>
    </w:p>
    <w:p w:rsidR="00FB76CA" w:rsidRPr="00CB7C12" w:rsidRDefault="00FB76CA" w:rsidP="00FB76CA">
      <w:pPr>
        <w:pStyle w:val="FootnoteText"/>
        <w:jc w:val="both"/>
        <w:rPr>
          <w:sz w:val="24"/>
          <w:szCs w:val="24"/>
        </w:rPr>
      </w:pPr>
    </w:p>
    <w:p w:rsidR="00FB76CA" w:rsidRPr="00500F69" w:rsidRDefault="00FB76CA" w:rsidP="00FB76CA">
      <w:pPr>
        <w:autoSpaceDE w:val="0"/>
        <w:autoSpaceDN w:val="0"/>
        <w:adjustRightInd w:val="0"/>
        <w:spacing w:after="0" w:line="240" w:lineRule="auto"/>
        <w:jc w:val="both"/>
        <w:rPr>
          <w:bCs/>
        </w:rPr>
      </w:pPr>
      <w:r w:rsidRPr="00AB3782">
        <w:t>MILLER,</w:t>
      </w:r>
      <w:r>
        <w:t xml:space="preserve"> K.L. (2010), </w:t>
      </w:r>
      <w:r w:rsidRPr="00500F69">
        <w:rPr>
          <w:bCs/>
        </w:rPr>
        <w:t>‘The Darkest Figure of Crime: Perceptions of Reasons for Male Inmates to Not Report Sexual Assault’,</w:t>
      </w:r>
      <w:r>
        <w:rPr>
          <w:bCs/>
        </w:rPr>
        <w:t xml:space="preserve"> </w:t>
      </w:r>
      <w:r w:rsidRPr="00500F69">
        <w:rPr>
          <w:bCs/>
          <w:i/>
        </w:rPr>
        <w:t>Justice Quarterly</w:t>
      </w:r>
      <w:r>
        <w:rPr>
          <w:bCs/>
        </w:rPr>
        <w:t>, 27: 692-712.</w:t>
      </w:r>
    </w:p>
    <w:p w:rsidR="00FB76CA" w:rsidRDefault="00FB76CA" w:rsidP="00FB76CA">
      <w:pPr>
        <w:spacing w:after="0" w:line="240" w:lineRule="auto"/>
        <w:jc w:val="both"/>
      </w:pPr>
    </w:p>
    <w:p w:rsidR="00FB76CA" w:rsidRDefault="00FB76CA" w:rsidP="00FB76CA">
      <w:pPr>
        <w:spacing w:after="0" w:line="240" w:lineRule="auto"/>
        <w:jc w:val="both"/>
      </w:pPr>
      <w:proofErr w:type="gramStart"/>
      <w:r w:rsidRPr="00601A7E">
        <w:t>M</w:t>
      </w:r>
      <w:r w:rsidRPr="00601A7E">
        <w:rPr>
          <w:caps/>
        </w:rPr>
        <w:t>inistry</w:t>
      </w:r>
      <w:r w:rsidRPr="00601A7E">
        <w:t xml:space="preserve"> of J</w:t>
      </w:r>
      <w:r w:rsidRPr="00601A7E">
        <w:rPr>
          <w:caps/>
        </w:rPr>
        <w:t>ustice</w:t>
      </w:r>
      <w:r>
        <w:t xml:space="preserve"> </w:t>
      </w:r>
      <w:r w:rsidRPr="008E3CCB">
        <w:t>(2015)</w:t>
      </w:r>
      <w:r>
        <w:t>,</w:t>
      </w:r>
      <w:r w:rsidRPr="008E3CCB">
        <w:t xml:space="preserve"> </w:t>
      </w:r>
      <w:r w:rsidRPr="008E3CCB">
        <w:rPr>
          <w:i/>
        </w:rPr>
        <w:t>Management Information Bulletin on Sexual Assaults in Prison Custody</w:t>
      </w:r>
      <w:r w:rsidRPr="008E3CCB">
        <w:t>.</w:t>
      </w:r>
      <w:proofErr w:type="gramEnd"/>
      <w:r w:rsidRPr="008E3CCB">
        <w:t xml:space="preserve"> </w:t>
      </w:r>
      <w:r>
        <w:t xml:space="preserve">Available at: </w:t>
      </w:r>
      <w:hyperlink r:id="rId9" w:history="1">
        <w:r w:rsidRPr="001F4ACD">
          <w:rPr>
            <w:rStyle w:val="Hyperlink"/>
          </w:rPr>
          <w:t>https://www.gov.uk/government/statistics/management-information-on-sexual-assaults-in-prison-custody</w:t>
        </w:r>
      </w:hyperlink>
    </w:p>
    <w:p w:rsidR="00FB76CA" w:rsidRDefault="00FB76CA" w:rsidP="00FB76CA">
      <w:pPr>
        <w:widowControl w:val="0"/>
        <w:tabs>
          <w:tab w:val="left" w:pos="90"/>
        </w:tabs>
        <w:autoSpaceDE w:val="0"/>
        <w:autoSpaceDN w:val="0"/>
        <w:adjustRightInd w:val="0"/>
        <w:spacing w:after="0" w:line="240" w:lineRule="auto"/>
        <w:jc w:val="both"/>
      </w:pPr>
    </w:p>
    <w:p w:rsidR="00FB76CA" w:rsidRPr="00D32A0A" w:rsidRDefault="00FB76CA" w:rsidP="00FB76CA">
      <w:pPr>
        <w:widowControl w:val="0"/>
        <w:tabs>
          <w:tab w:val="left" w:pos="90"/>
        </w:tabs>
        <w:autoSpaceDE w:val="0"/>
        <w:autoSpaceDN w:val="0"/>
        <w:adjustRightInd w:val="0"/>
        <w:spacing w:after="0" w:line="240" w:lineRule="auto"/>
        <w:jc w:val="both"/>
        <w:rPr>
          <w:color w:val="000000"/>
        </w:rPr>
      </w:pPr>
      <w:r>
        <w:t>M</w:t>
      </w:r>
      <w:r w:rsidRPr="00015183">
        <w:rPr>
          <w:caps/>
        </w:rPr>
        <w:t>inistry</w:t>
      </w:r>
      <w:r>
        <w:t xml:space="preserve"> of J</w:t>
      </w:r>
      <w:r w:rsidRPr="00015183">
        <w:rPr>
          <w:caps/>
        </w:rPr>
        <w:t>ustice</w:t>
      </w:r>
      <w:r>
        <w:t xml:space="preserve"> (2016a), </w:t>
      </w:r>
      <w:r w:rsidRPr="00EF3FD7">
        <w:rPr>
          <w:i/>
          <w:color w:val="000000"/>
        </w:rPr>
        <w:t>Population Bulletin: Monthly May 2016</w:t>
      </w:r>
      <w:r>
        <w:rPr>
          <w:color w:val="000000"/>
        </w:rPr>
        <w:t xml:space="preserve">. Available at: </w:t>
      </w:r>
    </w:p>
    <w:p w:rsidR="00FB76CA" w:rsidRPr="00676B22" w:rsidRDefault="009E5FF2" w:rsidP="00FB76CA">
      <w:pPr>
        <w:widowControl w:val="0"/>
        <w:tabs>
          <w:tab w:val="left" w:pos="90"/>
        </w:tabs>
        <w:autoSpaceDE w:val="0"/>
        <w:autoSpaceDN w:val="0"/>
        <w:adjustRightInd w:val="0"/>
        <w:spacing w:after="0" w:line="240" w:lineRule="auto"/>
        <w:jc w:val="both"/>
        <w:rPr>
          <w:color w:val="000000"/>
        </w:rPr>
      </w:pPr>
      <w:hyperlink r:id="rId10" w:history="1">
        <w:r w:rsidR="00FB76CA" w:rsidRPr="00676B22">
          <w:rPr>
            <w:rStyle w:val="Hyperlink"/>
          </w:rPr>
          <w:t>https://www.gov.uk/government/statistics/prison-population-figures-2016</w:t>
        </w:r>
      </w:hyperlink>
      <w:r w:rsidR="00FB76CA">
        <w:rPr>
          <w:color w:val="000000"/>
        </w:rPr>
        <w:t xml:space="preserve">  </w:t>
      </w:r>
    </w:p>
    <w:p w:rsidR="00FB76CA" w:rsidRDefault="00FB76CA" w:rsidP="00FB76CA">
      <w:pPr>
        <w:pStyle w:val="Heading3"/>
        <w:spacing w:line="240" w:lineRule="auto"/>
        <w:jc w:val="both"/>
        <w:rPr>
          <w:b w:val="0"/>
          <w:i w:val="0"/>
        </w:rPr>
      </w:pPr>
    </w:p>
    <w:p w:rsidR="00FB76CA" w:rsidRDefault="00FB76CA" w:rsidP="00FB76CA">
      <w:pPr>
        <w:spacing w:after="0" w:line="240" w:lineRule="auto"/>
        <w:jc w:val="both"/>
      </w:pPr>
      <w:r w:rsidRPr="008C7881">
        <w:t>M</w:t>
      </w:r>
      <w:r w:rsidRPr="008C7881">
        <w:rPr>
          <w:caps/>
        </w:rPr>
        <w:t>inistry</w:t>
      </w:r>
      <w:r w:rsidRPr="008C7881">
        <w:t xml:space="preserve"> of J</w:t>
      </w:r>
      <w:r w:rsidRPr="008C7881">
        <w:rPr>
          <w:caps/>
        </w:rPr>
        <w:t>ustice</w:t>
      </w:r>
      <w:r>
        <w:t xml:space="preserve"> (2016b</w:t>
      </w:r>
      <w:proofErr w:type="gramStart"/>
      <w:r>
        <w:t>),</w:t>
      </w:r>
      <w:proofErr w:type="gramEnd"/>
      <w:r>
        <w:t xml:space="preserve"> </w:t>
      </w:r>
      <w:r w:rsidRPr="002D561E">
        <w:rPr>
          <w:i/>
        </w:rPr>
        <w:t>Assaults in Prison Custody</w:t>
      </w:r>
      <w:r>
        <w:rPr>
          <w:i/>
        </w:rPr>
        <w:t xml:space="preserve"> 2000-2015.</w:t>
      </w:r>
      <w:r w:rsidRPr="002D561E">
        <w:rPr>
          <w:i/>
        </w:rPr>
        <w:t xml:space="preserve"> </w:t>
      </w:r>
      <w:r>
        <w:t xml:space="preserve">Available at: </w:t>
      </w:r>
      <w:hyperlink r:id="rId11" w:history="1">
        <w:r w:rsidRPr="001F4ACD">
          <w:rPr>
            <w:rStyle w:val="Hyperlink"/>
          </w:rPr>
          <w:t>https://www.gov.uk/government/statistics/safety-in-custody-quarterly-update-to-december-2015</w:t>
        </w:r>
      </w:hyperlink>
    </w:p>
    <w:p w:rsidR="00FB76CA" w:rsidRDefault="00FB76CA" w:rsidP="00FB76CA">
      <w:pPr>
        <w:spacing w:after="0" w:line="240" w:lineRule="auto"/>
        <w:jc w:val="both"/>
      </w:pPr>
    </w:p>
    <w:p w:rsidR="00FB76CA" w:rsidRDefault="00FB76CA" w:rsidP="00FB76CA">
      <w:pPr>
        <w:spacing w:after="0" w:line="240" w:lineRule="auto"/>
        <w:jc w:val="both"/>
      </w:pPr>
      <w:r>
        <w:t>MORASH, M., JEONG, S. J. and ZANG, N. (2010), ‘An Exploratory S</w:t>
      </w:r>
      <w:r w:rsidR="00297F3E">
        <w:t xml:space="preserve">tudy of the Characteristics </w:t>
      </w:r>
      <w:proofErr w:type="gramStart"/>
      <w:r w:rsidR="00297F3E">
        <w:t xml:space="preserve">of  </w:t>
      </w:r>
      <w:r>
        <w:t>Men</w:t>
      </w:r>
      <w:proofErr w:type="gramEnd"/>
      <w:r>
        <w:t xml:space="preserve"> Known to Commit Prisoner-on-Prisoner Sexual Violence’, </w:t>
      </w:r>
      <w:r w:rsidRPr="00A45742">
        <w:rPr>
          <w:i/>
        </w:rPr>
        <w:t>The Prison Journal,</w:t>
      </w:r>
      <w:r>
        <w:t xml:space="preserve"> 90: 161-78.</w:t>
      </w:r>
    </w:p>
    <w:p w:rsidR="00FB76CA" w:rsidRDefault="00FB76CA" w:rsidP="00FB76CA">
      <w:pPr>
        <w:spacing w:after="0" w:line="240" w:lineRule="auto"/>
        <w:jc w:val="both"/>
      </w:pPr>
    </w:p>
    <w:p w:rsidR="00FB76CA" w:rsidRDefault="00FB76CA" w:rsidP="00FB76CA">
      <w:pPr>
        <w:spacing w:after="0" w:line="240" w:lineRule="auto"/>
        <w:jc w:val="both"/>
      </w:pPr>
      <w:r>
        <w:rPr>
          <w:caps/>
        </w:rPr>
        <w:t>National offender management service</w:t>
      </w:r>
      <w:r>
        <w:t xml:space="preserve">, </w:t>
      </w:r>
      <w:r w:rsidRPr="0049625C">
        <w:rPr>
          <w:caps/>
        </w:rPr>
        <w:t>Crown Prosecution Service</w:t>
      </w:r>
      <w:r>
        <w:t xml:space="preserve"> and </w:t>
      </w:r>
      <w:r w:rsidRPr="0049625C">
        <w:rPr>
          <w:caps/>
        </w:rPr>
        <w:t>Association of Chief Police Officers</w:t>
      </w:r>
      <w:r>
        <w:t xml:space="preserve"> (2015) </w:t>
      </w:r>
      <w:proofErr w:type="gramStart"/>
      <w:r w:rsidRPr="009C7D9E">
        <w:rPr>
          <w:i/>
        </w:rPr>
        <w:t>The</w:t>
      </w:r>
      <w:proofErr w:type="gramEnd"/>
      <w:r w:rsidRPr="009C7D9E">
        <w:rPr>
          <w:i/>
        </w:rPr>
        <w:t xml:space="preserve"> Appropriate Handling of Crimes in Prison.</w:t>
      </w:r>
      <w:r>
        <w:t xml:space="preserve"> Available at: </w:t>
      </w:r>
    </w:p>
    <w:p w:rsidR="00FB76CA" w:rsidRDefault="009E5FF2" w:rsidP="00FB76CA">
      <w:pPr>
        <w:spacing w:after="0" w:line="240" w:lineRule="auto"/>
        <w:jc w:val="both"/>
      </w:pPr>
      <w:hyperlink r:id="rId12" w:history="1">
        <w:r w:rsidR="00FB76CA" w:rsidRPr="001F4ACD">
          <w:rPr>
            <w:rStyle w:val="Hyperlink"/>
          </w:rPr>
          <w:t>http://www.cps.gov.uk/publications/agencies/crime_in_prisons_protocol_2015.pdf</w:t>
        </w:r>
      </w:hyperlink>
    </w:p>
    <w:p w:rsidR="00FB76CA" w:rsidRDefault="00FB76CA" w:rsidP="00FB76CA">
      <w:pPr>
        <w:pStyle w:val="Heading3"/>
        <w:spacing w:line="240" w:lineRule="auto"/>
        <w:jc w:val="both"/>
        <w:rPr>
          <w:b w:val="0"/>
          <w:i w:val="0"/>
        </w:rPr>
      </w:pPr>
    </w:p>
    <w:p w:rsidR="00FB76CA" w:rsidRDefault="00FB76CA" w:rsidP="00FB76CA">
      <w:pPr>
        <w:spacing w:after="0" w:line="240" w:lineRule="auto"/>
        <w:jc w:val="both"/>
      </w:pPr>
      <w:r w:rsidRPr="00A26EDE">
        <w:t>N</w:t>
      </w:r>
      <w:r w:rsidRPr="00A26EDE">
        <w:rPr>
          <w:caps/>
        </w:rPr>
        <w:t>ewton</w:t>
      </w:r>
      <w:r w:rsidRPr="00A26EDE">
        <w:t>, C. (1994)</w:t>
      </w:r>
      <w:r>
        <w:t>,</w:t>
      </w:r>
      <w:r w:rsidRPr="00A26EDE">
        <w:t xml:space="preserve"> ‘Gender Theory and Prison Sociology: Using Theories of Masculinities to Interpret the Sociology of Prisons for Men’, </w:t>
      </w:r>
      <w:r w:rsidRPr="00A26EDE">
        <w:rPr>
          <w:i/>
        </w:rPr>
        <w:t>The Howard Journal of Criminal Justice</w:t>
      </w:r>
      <w:r>
        <w:rPr>
          <w:i/>
        </w:rPr>
        <w:t>,</w:t>
      </w:r>
      <w:r w:rsidRPr="00A26EDE">
        <w:rPr>
          <w:i/>
        </w:rPr>
        <w:t xml:space="preserve"> </w:t>
      </w:r>
      <w:r>
        <w:t xml:space="preserve">33: </w:t>
      </w:r>
      <w:r w:rsidRPr="00A26EDE">
        <w:t>193-202.</w:t>
      </w:r>
    </w:p>
    <w:p w:rsidR="00FB76CA" w:rsidRPr="00A26EDE" w:rsidRDefault="00FB76CA" w:rsidP="00FB76CA">
      <w:pPr>
        <w:spacing w:after="0" w:line="240" w:lineRule="auto"/>
        <w:jc w:val="both"/>
      </w:pPr>
    </w:p>
    <w:p w:rsidR="00FB76CA" w:rsidRPr="00401C42" w:rsidRDefault="00FB76CA" w:rsidP="00FB76CA">
      <w:pPr>
        <w:pStyle w:val="Heading3"/>
        <w:spacing w:line="240" w:lineRule="auto"/>
        <w:jc w:val="both"/>
        <w:rPr>
          <w:b w:val="0"/>
          <w:i w:val="0"/>
        </w:rPr>
      </w:pPr>
      <w:proofErr w:type="gramStart"/>
      <w:r w:rsidRPr="00401C42">
        <w:rPr>
          <w:b w:val="0"/>
          <w:i w:val="0"/>
        </w:rPr>
        <w:t>O’D</w:t>
      </w:r>
      <w:r w:rsidRPr="00620F2F">
        <w:rPr>
          <w:b w:val="0"/>
          <w:i w:val="0"/>
          <w:caps/>
        </w:rPr>
        <w:t>onnell</w:t>
      </w:r>
      <w:r w:rsidRPr="00401C42">
        <w:rPr>
          <w:b w:val="0"/>
          <w:i w:val="0"/>
        </w:rPr>
        <w:t>, I. (2</w:t>
      </w:r>
      <w:r>
        <w:rPr>
          <w:b w:val="0"/>
          <w:i w:val="0"/>
        </w:rPr>
        <w:t>004), ‘Prison Rape in C</w:t>
      </w:r>
      <w:r w:rsidRPr="00401C42">
        <w:rPr>
          <w:b w:val="0"/>
          <w:i w:val="0"/>
        </w:rPr>
        <w:t xml:space="preserve">ontext’, </w:t>
      </w:r>
      <w:r w:rsidRPr="00401C42">
        <w:rPr>
          <w:b w:val="0"/>
        </w:rPr>
        <w:t>British Journal of Criminology</w:t>
      </w:r>
      <w:r>
        <w:rPr>
          <w:b w:val="0"/>
        </w:rPr>
        <w:t>,</w:t>
      </w:r>
      <w:r w:rsidRPr="00401C42">
        <w:rPr>
          <w:b w:val="0"/>
          <w:i w:val="0"/>
        </w:rPr>
        <w:t xml:space="preserve"> 44</w:t>
      </w:r>
      <w:r>
        <w:rPr>
          <w:b w:val="0"/>
          <w:i w:val="0"/>
        </w:rPr>
        <w:t xml:space="preserve">: </w:t>
      </w:r>
      <w:r w:rsidRPr="00401C42">
        <w:rPr>
          <w:b w:val="0"/>
          <w:i w:val="0"/>
        </w:rPr>
        <w:t>241-55.</w:t>
      </w:r>
      <w:proofErr w:type="gramEnd"/>
    </w:p>
    <w:p w:rsidR="00FB76CA" w:rsidRDefault="00FB76CA" w:rsidP="00FB76CA">
      <w:pPr>
        <w:spacing w:after="0" w:line="240" w:lineRule="auto"/>
        <w:jc w:val="both"/>
      </w:pPr>
    </w:p>
    <w:p w:rsidR="00FB76CA" w:rsidRDefault="00FB76CA" w:rsidP="00FB76CA">
      <w:pPr>
        <w:spacing w:after="0" w:line="240" w:lineRule="auto"/>
        <w:jc w:val="both"/>
      </w:pPr>
      <w:proofErr w:type="gramStart"/>
      <w:r w:rsidRPr="00D44A1A">
        <w:rPr>
          <w:caps/>
        </w:rPr>
        <w:t>Power</w:t>
      </w:r>
      <w:r>
        <w:t xml:space="preserve">, K., </w:t>
      </w:r>
      <w:r w:rsidRPr="00D44A1A">
        <w:rPr>
          <w:caps/>
        </w:rPr>
        <w:t>Markova</w:t>
      </w:r>
      <w:r>
        <w:t xml:space="preserve">, I., </w:t>
      </w:r>
      <w:r w:rsidRPr="00D44A1A">
        <w:rPr>
          <w:caps/>
        </w:rPr>
        <w:t>Rowlands</w:t>
      </w:r>
      <w:r>
        <w:t xml:space="preserve">, A., </w:t>
      </w:r>
      <w:proofErr w:type="spellStart"/>
      <w:r>
        <w:t>Mc</w:t>
      </w:r>
      <w:r w:rsidRPr="00D44A1A">
        <w:rPr>
          <w:caps/>
        </w:rPr>
        <w:t>Kee</w:t>
      </w:r>
      <w:proofErr w:type="spellEnd"/>
      <w:r>
        <w:t>, K., A</w:t>
      </w:r>
      <w:r w:rsidRPr="00D44A1A">
        <w:rPr>
          <w:caps/>
        </w:rPr>
        <w:t>nslow</w:t>
      </w:r>
      <w:r>
        <w:t>, P. and K</w:t>
      </w:r>
      <w:r w:rsidRPr="00D44A1A">
        <w:rPr>
          <w:caps/>
        </w:rPr>
        <w:t>ilfedder</w:t>
      </w:r>
      <w:r>
        <w:t xml:space="preserve">, C. (1991), ‘Sexual Behaviour in Scottish Prisons’, </w:t>
      </w:r>
      <w:r w:rsidRPr="006F20C5">
        <w:rPr>
          <w:i/>
        </w:rPr>
        <w:t>British Medical Journal</w:t>
      </w:r>
      <w:r>
        <w:rPr>
          <w:i/>
        </w:rPr>
        <w:t>,</w:t>
      </w:r>
      <w:r>
        <w:t xml:space="preserve"> 33: 1507-8.</w:t>
      </w:r>
      <w:proofErr w:type="gramEnd"/>
    </w:p>
    <w:p w:rsidR="00FB76CA" w:rsidRDefault="00FB76CA" w:rsidP="00FB76CA">
      <w:pPr>
        <w:spacing w:after="0" w:line="240" w:lineRule="auto"/>
        <w:jc w:val="both"/>
      </w:pPr>
    </w:p>
    <w:p w:rsidR="00FB76CA" w:rsidRPr="00BA07D9" w:rsidRDefault="00FB76CA" w:rsidP="00FB76CA">
      <w:pPr>
        <w:autoSpaceDE w:val="0"/>
        <w:autoSpaceDN w:val="0"/>
        <w:adjustRightInd w:val="0"/>
        <w:spacing w:after="0" w:line="240" w:lineRule="auto"/>
        <w:jc w:val="both"/>
      </w:pPr>
      <w:r w:rsidRPr="00BA07D9">
        <w:t>R</w:t>
      </w:r>
      <w:r>
        <w:t>UMNEY</w:t>
      </w:r>
      <w:r w:rsidRPr="00BA07D9">
        <w:t>, P. (2009)</w:t>
      </w:r>
      <w:r>
        <w:t>,</w:t>
      </w:r>
      <w:r w:rsidRPr="00BA07D9">
        <w:t xml:space="preserve"> </w:t>
      </w:r>
      <w:r>
        <w:t>‘Gay Male Rape Victims: Law Enforcement, S</w:t>
      </w:r>
      <w:r w:rsidRPr="00BA07D9">
        <w:t>ocial</w:t>
      </w:r>
      <w:r>
        <w:t xml:space="preserve"> Attitudes and Barriers to R</w:t>
      </w:r>
      <w:r w:rsidRPr="00BA07D9">
        <w:t>ecognition</w:t>
      </w:r>
      <w:r>
        <w:t>’</w:t>
      </w:r>
      <w:r w:rsidRPr="00BA07D9">
        <w:t xml:space="preserve">, </w:t>
      </w:r>
      <w:proofErr w:type="gramStart"/>
      <w:r w:rsidRPr="00BA07D9">
        <w:rPr>
          <w:i/>
        </w:rPr>
        <w:t>The</w:t>
      </w:r>
      <w:proofErr w:type="gramEnd"/>
      <w:r w:rsidRPr="00BA07D9">
        <w:rPr>
          <w:i/>
        </w:rPr>
        <w:t xml:space="preserve"> International Journal of Human Rights</w:t>
      </w:r>
      <w:r w:rsidRPr="00BA07D9">
        <w:t>, 13: 233-50.</w:t>
      </w:r>
    </w:p>
    <w:p w:rsidR="00FB76CA" w:rsidRDefault="00FB76CA" w:rsidP="00FB76CA">
      <w:pPr>
        <w:spacing w:after="0" w:line="240" w:lineRule="auto"/>
        <w:jc w:val="both"/>
        <w:rPr>
          <w:lang w:eastAsia="en-GB"/>
        </w:rPr>
      </w:pPr>
    </w:p>
    <w:p w:rsidR="00FB76CA" w:rsidRDefault="00FB76CA" w:rsidP="00FB76CA">
      <w:pPr>
        <w:spacing w:after="0" w:line="240" w:lineRule="auto"/>
        <w:jc w:val="both"/>
      </w:pPr>
      <w:r>
        <w:t xml:space="preserve">SCOTT, D. (2008), ‘Creating Ghosts in the Penal Machine: Prison Officer Occupational Morality and the Techniques of Denial’, in J. Bennett, B. Crewe and A. </w:t>
      </w:r>
      <w:proofErr w:type="spellStart"/>
      <w:r>
        <w:t>Wahidin</w:t>
      </w:r>
      <w:proofErr w:type="spellEnd"/>
      <w:r>
        <w:t xml:space="preserve">, </w:t>
      </w:r>
      <w:proofErr w:type="spellStart"/>
      <w:r>
        <w:t>eds</w:t>
      </w:r>
      <w:proofErr w:type="spellEnd"/>
      <w:r>
        <w:t xml:space="preserve">, </w:t>
      </w:r>
      <w:r w:rsidRPr="00E358EA">
        <w:rPr>
          <w:i/>
        </w:rPr>
        <w:t>Understanding Prison S</w:t>
      </w:r>
      <w:r>
        <w:rPr>
          <w:i/>
        </w:rPr>
        <w:t>t</w:t>
      </w:r>
      <w:r w:rsidRPr="00E358EA">
        <w:rPr>
          <w:i/>
        </w:rPr>
        <w:t>aff</w:t>
      </w:r>
      <w:r>
        <w:t xml:space="preserve">, 168-86. </w:t>
      </w:r>
      <w:proofErr w:type="spellStart"/>
      <w:proofErr w:type="gramStart"/>
      <w:r>
        <w:t>Willan</w:t>
      </w:r>
      <w:proofErr w:type="spellEnd"/>
      <w:r>
        <w:t>.</w:t>
      </w:r>
      <w:proofErr w:type="gramEnd"/>
    </w:p>
    <w:p w:rsidR="00FB76CA" w:rsidRDefault="00FB76CA" w:rsidP="00FB76CA">
      <w:pPr>
        <w:spacing w:after="0" w:line="240" w:lineRule="auto"/>
        <w:jc w:val="both"/>
      </w:pPr>
    </w:p>
    <w:p w:rsidR="00FB76CA" w:rsidRDefault="00FB76CA" w:rsidP="00FB76CA">
      <w:pPr>
        <w:spacing w:after="0" w:line="240" w:lineRule="auto"/>
        <w:jc w:val="both"/>
        <w:rPr>
          <w:lang w:val="en"/>
        </w:rPr>
      </w:pPr>
      <w:r w:rsidRPr="00F47A27">
        <w:rPr>
          <w:caps/>
          <w:lang w:val="en"/>
        </w:rPr>
        <w:t>Stevens</w:t>
      </w:r>
      <w:r>
        <w:rPr>
          <w:lang w:val="en"/>
        </w:rPr>
        <w:t xml:space="preserve">, A. (2013), </w:t>
      </w:r>
      <w:r>
        <w:rPr>
          <w:rStyle w:val="Emphasis"/>
          <w:lang w:val="en"/>
        </w:rPr>
        <w:t>Offender Rehabilitation and Therapeutic Communities: Enabling Change the TC Way</w:t>
      </w:r>
      <w:r>
        <w:rPr>
          <w:lang w:val="en"/>
        </w:rPr>
        <w:t xml:space="preserve">. </w:t>
      </w:r>
      <w:proofErr w:type="gramStart"/>
      <w:r>
        <w:rPr>
          <w:lang w:val="en"/>
        </w:rPr>
        <w:t>Routledge.</w:t>
      </w:r>
      <w:proofErr w:type="gramEnd"/>
      <w:r>
        <w:rPr>
          <w:lang w:val="en"/>
        </w:rPr>
        <w:t xml:space="preserve"> </w:t>
      </w:r>
    </w:p>
    <w:p w:rsidR="00FB76CA" w:rsidRDefault="00FB76CA" w:rsidP="00FB76CA">
      <w:pPr>
        <w:pStyle w:val="WW-HTMLPreformatted"/>
        <w:jc w:val="both"/>
        <w:rPr>
          <w:rFonts w:ascii="Times New Roman" w:hAnsi="Times New Roman" w:cs="Times New Roman"/>
          <w:caps/>
          <w:sz w:val="24"/>
          <w:szCs w:val="24"/>
        </w:rPr>
      </w:pPr>
    </w:p>
    <w:p w:rsidR="00A03E34" w:rsidRDefault="00A03E34" w:rsidP="00A03E34">
      <w:r>
        <w:t xml:space="preserve">STEVENS, A. (2015), </w:t>
      </w:r>
      <w:r w:rsidRPr="00A52CE2">
        <w:rPr>
          <w:i/>
        </w:rPr>
        <w:t>Sex in Prison: Experiences of Former Prisoners</w:t>
      </w:r>
      <w:r>
        <w:t xml:space="preserve">. </w:t>
      </w:r>
      <w:r w:rsidR="00D93EDF">
        <w:t xml:space="preserve">London: Howard League. </w:t>
      </w:r>
      <w:r>
        <w:t xml:space="preserve">Available at: </w:t>
      </w:r>
      <w:hyperlink r:id="rId13" w:history="1">
        <w:r w:rsidRPr="00AF1F1F">
          <w:rPr>
            <w:rStyle w:val="Hyperlink"/>
          </w:rPr>
          <w:t>http://howardleague.org/publications/sex-in-prison-experiences-of-former-prisoners/</w:t>
        </w:r>
      </w:hyperlink>
    </w:p>
    <w:p w:rsidR="00FB76CA" w:rsidRPr="00276225" w:rsidRDefault="00FB76CA" w:rsidP="00FB76CA">
      <w:pPr>
        <w:pStyle w:val="WW-HTMLPreformatted"/>
        <w:jc w:val="both"/>
        <w:rPr>
          <w:rFonts w:ascii="Times New Roman" w:hAnsi="Times New Roman" w:cs="Times New Roman"/>
          <w:sz w:val="24"/>
          <w:szCs w:val="24"/>
        </w:rPr>
      </w:pPr>
      <w:r w:rsidRPr="00132B89">
        <w:rPr>
          <w:rFonts w:ascii="Times New Roman" w:hAnsi="Times New Roman" w:cs="Times New Roman"/>
          <w:caps/>
          <w:sz w:val="24"/>
          <w:szCs w:val="24"/>
        </w:rPr>
        <w:t>Stewart</w:t>
      </w:r>
      <w:r>
        <w:rPr>
          <w:rFonts w:ascii="Times New Roman" w:hAnsi="Times New Roman" w:cs="Times New Roman"/>
          <w:sz w:val="24"/>
          <w:szCs w:val="24"/>
        </w:rPr>
        <w:t>, E. (2007),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Sexual Health and Behaviour of Male Prisoners: The Need for Research’, </w:t>
      </w:r>
      <w:r w:rsidRPr="004109A3">
        <w:rPr>
          <w:rFonts w:ascii="Times New Roman" w:hAnsi="Times New Roman" w:cs="Times New Roman"/>
          <w:i/>
          <w:iCs/>
          <w:sz w:val="24"/>
          <w:szCs w:val="24"/>
        </w:rPr>
        <w:t>The Howard Journal of Criminal Justi</w:t>
      </w:r>
      <w:r>
        <w:rPr>
          <w:rFonts w:ascii="Times New Roman" w:hAnsi="Times New Roman" w:cs="Times New Roman"/>
          <w:i/>
          <w:iCs/>
          <w:sz w:val="24"/>
          <w:szCs w:val="24"/>
        </w:rPr>
        <w:t xml:space="preserve">ce </w:t>
      </w:r>
      <w:r>
        <w:rPr>
          <w:rFonts w:ascii="Times New Roman" w:hAnsi="Times New Roman" w:cs="Times New Roman"/>
          <w:sz w:val="24"/>
          <w:szCs w:val="24"/>
        </w:rPr>
        <w:t>46: 43-59.</w:t>
      </w:r>
    </w:p>
    <w:p w:rsidR="00FB76CA" w:rsidRDefault="00FB76CA" w:rsidP="00FB76CA">
      <w:pPr>
        <w:spacing w:after="0" w:line="240" w:lineRule="auto"/>
        <w:jc w:val="both"/>
        <w:rPr>
          <w:color w:val="000000"/>
        </w:rPr>
      </w:pPr>
    </w:p>
    <w:p w:rsidR="00FB76CA" w:rsidRDefault="00FB76CA" w:rsidP="00FB76CA">
      <w:pPr>
        <w:spacing w:after="0" w:line="240" w:lineRule="auto"/>
        <w:jc w:val="both"/>
        <w:rPr>
          <w:color w:val="000000"/>
        </w:rPr>
      </w:pPr>
      <w:r w:rsidRPr="00E12A66">
        <w:rPr>
          <w:color w:val="000000"/>
        </w:rPr>
        <w:t>S</w:t>
      </w:r>
      <w:r w:rsidRPr="00E12A66">
        <w:rPr>
          <w:caps/>
          <w:color w:val="000000"/>
        </w:rPr>
        <w:t>trang</w:t>
      </w:r>
      <w:r>
        <w:rPr>
          <w:color w:val="000000"/>
        </w:rPr>
        <w:t>,</w:t>
      </w:r>
      <w:r w:rsidRPr="00E12A66">
        <w:rPr>
          <w:color w:val="000000"/>
        </w:rPr>
        <w:t xml:space="preserve"> J</w:t>
      </w:r>
      <w:r>
        <w:rPr>
          <w:color w:val="000000"/>
        </w:rPr>
        <w:t>.</w:t>
      </w:r>
      <w:r w:rsidRPr="00E12A66">
        <w:rPr>
          <w:color w:val="000000"/>
        </w:rPr>
        <w:t>, H</w:t>
      </w:r>
      <w:r w:rsidRPr="00E12A66">
        <w:rPr>
          <w:caps/>
          <w:color w:val="000000"/>
        </w:rPr>
        <w:t>eusto</w:t>
      </w:r>
      <w:r>
        <w:rPr>
          <w:color w:val="000000"/>
        </w:rPr>
        <w:t>N,</w:t>
      </w:r>
      <w:r w:rsidRPr="00E12A66">
        <w:rPr>
          <w:color w:val="000000"/>
        </w:rPr>
        <w:t xml:space="preserve"> J</w:t>
      </w:r>
      <w:r>
        <w:rPr>
          <w:color w:val="000000"/>
        </w:rPr>
        <w:t>.</w:t>
      </w:r>
      <w:r w:rsidRPr="00E12A66">
        <w:rPr>
          <w:color w:val="000000"/>
        </w:rPr>
        <w:t>, G</w:t>
      </w:r>
      <w:r w:rsidRPr="00E12A66">
        <w:rPr>
          <w:caps/>
          <w:color w:val="000000"/>
        </w:rPr>
        <w:t>osso</w:t>
      </w:r>
      <w:r>
        <w:rPr>
          <w:color w:val="000000"/>
        </w:rPr>
        <w:t>P,</w:t>
      </w:r>
      <w:r w:rsidRPr="00E12A66">
        <w:rPr>
          <w:color w:val="000000"/>
        </w:rPr>
        <w:t xml:space="preserve"> M</w:t>
      </w:r>
      <w:r>
        <w:rPr>
          <w:color w:val="000000"/>
        </w:rPr>
        <w:t>.</w:t>
      </w:r>
      <w:r w:rsidRPr="00E12A66">
        <w:rPr>
          <w:color w:val="000000"/>
        </w:rPr>
        <w:t>, G</w:t>
      </w:r>
      <w:r w:rsidRPr="00E12A66">
        <w:rPr>
          <w:caps/>
          <w:color w:val="000000"/>
        </w:rPr>
        <w:t>reen</w:t>
      </w:r>
      <w:r>
        <w:rPr>
          <w:color w:val="000000"/>
        </w:rPr>
        <w:t>,</w:t>
      </w:r>
      <w:r w:rsidRPr="00E12A66">
        <w:rPr>
          <w:color w:val="000000"/>
        </w:rPr>
        <w:t xml:space="preserve"> J</w:t>
      </w:r>
      <w:r>
        <w:rPr>
          <w:color w:val="000000"/>
        </w:rPr>
        <w:t>. and</w:t>
      </w:r>
      <w:r w:rsidRPr="00E12A66">
        <w:rPr>
          <w:color w:val="000000"/>
        </w:rPr>
        <w:t xml:space="preserve"> M</w:t>
      </w:r>
      <w:r w:rsidRPr="00E12A66">
        <w:rPr>
          <w:caps/>
          <w:color w:val="000000"/>
        </w:rPr>
        <w:t>aden</w:t>
      </w:r>
      <w:r>
        <w:rPr>
          <w:color w:val="000000"/>
        </w:rPr>
        <w:t>,</w:t>
      </w:r>
      <w:r w:rsidRPr="00E12A66">
        <w:rPr>
          <w:color w:val="000000"/>
        </w:rPr>
        <w:t xml:space="preserve"> T</w:t>
      </w:r>
      <w:r>
        <w:rPr>
          <w:color w:val="000000"/>
        </w:rPr>
        <w:t>.</w:t>
      </w:r>
      <w:r w:rsidRPr="00E12A66">
        <w:rPr>
          <w:color w:val="000000"/>
        </w:rPr>
        <w:t xml:space="preserve"> (1998), </w:t>
      </w:r>
      <w:r w:rsidRPr="00E12A66">
        <w:rPr>
          <w:i/>
          <w:iCs/>
          <w:color w:val="000000"/>
        </w:rPr>
        <w:t>HIV/AIDS Risk Behav</w:t>
      </w:r>
      <w:r>
        <w:rPr>
          <w:i/>
          <w:iCs/>
          <w:color w:val="000000"/>
        </w:rPr>
        <w:t>iour Among Adult Male Prisoners.</w:t>
      </w:r>
      <w:r w:rsidRPr="00E12A66">
        <w:rPr>
          <w:i/>
          <w:iCs/>
          <w:color w:val="000000"/>
        </w:rPr>
        <w:t xml:space="preserve"> </w:t>
      </w:r>
      <w:proofErr w:type="gramStart"/>
      <w:r w:rsidRPr="00E12A66">
        <w:rPr>
          <w:color w:val="000000"/>
        </w:rPr>
        <w:t xml:space="preserve">Home Office Research Findings </w:t>
      </w:r>
      <w:r>
        <w:rPr>
          <w:color w:val="000000"/>
        </w:rPr>
        <w:t xml:space="preserve">No. </w:t>
      </w:r>
      <w:r w:rsidRPr="00E12A66">
        <w:rPr>
          <w:color w:val="000000"/>
        </w:rPr>
        <w:t>82.</w:t>
      </w:r>
      <w:proofErr w:type="gramEnd"/>
    </w:p>
    <w:p w:rsidR="00FB76CA" w:rsidRDefault="00FB76CA" w:rsidP="00FB76CA">
      <w:pPr>
        <w:autoSpaceDE w:val="0"/>
        <w:autoSpaceDN w:val="0"/>
        <w:adjustRightInd w:val="0"/>
        <w:spacing w:after="0" w:line="240" w:lineRule="auto"/>
        <w:jc w:val="both"/>
      </w:pPr>
    </w:p>
    <w:p w:rsidR="00FB76CA" w:rsidRPr="00872E84" w:rsidRDefault="00FB76CA" w:rsidP="00FB76CA">
      <w:pPr>
        <w:pStyle w:val="FootnoteText"/>
        <w:jc w:val="both"/>
        <w:rPr>
          <w:sz w:val="24"/>
          <w:szCs w:val="24"/>
        </w:rPr>
      </w:pPr>
      <w:r w:rsidRPr="00353D7D">
        <w:rPr>
          <w:caps/>
          <w:sz w:val="24"/>
          <w:szCs w:val="24"/>
        </w:rPr>
        <w:t>Struckman-</w:t>
      </w:r>
      <w:r w:rsidRPr="00872E84">
        <w:rPr>
          <w:caps/>
          <w:sz w:val="24"/>
          <w:szCs w:val="24"/>
        </w:rPr>
        <w:t>Johnson</w:t>
      </w:r>
      <w:r w:rsidRPr="00872E84">
        <w:rPr>
          <w:sz w:val="24"/>
          <w:szCs w:val="24"/>
        </w:rPr>
        <w:t xml:space="preserve">, C., </w:t>
      </w:r>
      <w:r w:rsidRPr="00872E84">
        <w:rPr>
          <w:caps/>
          <w:sz w:val="24"/>
          <w:szCs w:val="24"/>
        </w:rPr>
        <w:t>Struckman-Johnson</w:t>
      </w:r>
      <w:r w:rsidRPr="00872E84">
        <w:rPr>
          <w:sz w:val="24"/>
          <w:szCs w:val="24"/>
        </w:rPr>
        <w:t xml:space="preserve">, D., </w:t>
      </w:r>
      <w:r w:rsidRPr="00872E84">
        <w:rPr>
          <w:caps/>
          <w:sz w:val="24"/>
          <w:szCs w:val="24"/>
        </w:rPr>
        <w:t>Rucker</w:t>
      </w:r>
      <w:r w:rsidRPr="00872E84">
        <w:rPr>
          <w:sz w:val="24"/>
          <w:szCs w:val="24"/>
        </w:rPr>
        <w:t xml:space="preserve">, L., </w:t>
      </w:r>
      <w:r w:rsidRPr="00872E84">
        <w:rPr>
          <w:caps/>
          <w:sz w:val="24"/>
          <w:szCs w:val="24"/>
        </w:rPr>
        <w:t>Bumby</w:t>
      </w:r>
      <w:r w:rsidRPr="00872E84">
        <w:rPr>
          <w:sz w:val="24"/>
          <w:szCs w:val="24"/>
        </w:rPr>
        <w:t xml:space="preserve">, K. and </w:t>
      </w:r>
      <w:r w:rsidRPr="00872E84">
        <w:rPr>
          <w:caps/>
          <w:sz w:val="24"/>
          <w:szCs w:val="24"/>
        </w:rPr>
        <w:t>Donaldson</w:t>
      </w:r>
      <w:r w:rsidRPr="00872E84">
        <w:rPr>
          <w:sz w:val="24"/>
          <w:szCs w:val="24"/>
        </w:rPr>
        <w:t>, S. (1996)</w:t>
      </w:r>
      <w:r>
        <w:rPr>
          <w:sz w:val="24"/>
          <w:szCs w:val="24"/>
        </w:rPr>
        <w:t>,</w:t>
      </w:r>
      <w:r w:rsidRPr="00872E84">
        <w:rPr>
          <w:sz w:val="24"/>
          <w:szCs w:val="24"/>
        </w:rPr>
        <w:t xml:space="preserve"> ‘Sexual Coercion Reported by Men and Women in Prison’, </w:t>
      </w:r>
      <w:r w:rsidRPr="00872E84">
        <w:rPr>
          <w:i/>
          <w:sz w:val="24"/>
          <w:szCs w:val="24"/>
        </w:rPr>
        <w:t>Journal of Sex Research,</w:t>
      </w:r>
      <w:r w:rsidRPr="00872E84">
        <w:rPr>
          <w:sz w:val="24"/>
          <w:szCs w:val="24"/>
        </w:rPr>
        <w:t xml:space="preserve"> 33: 67-76. </w:t>
      </w:r>
    </w:p>
    <w:p w:rsidR="00FB76CA" w:rsidRDefault="00FB76CA" w:rsidP="00FB76CA">
      <w:pPr>
        <w:autoSpaceDE w:val="0"/>
        <w:autoSpaceDN w:val="0"/>
        <w:adjustRightInd w:val="0"/>
        <w:spacing w:after="0" w:line="240" w:lineRule="auto"/>
        <w:jc w:val="both"/>
      </w:pPr>
    </w:p>
    <w:p w:rsidR="00FB76CA" w:rsidRDefault="00FB76CA" w:rsidP="00FB76CA">
      <w:pPr>
        <w:autoSpaceDE w:val="0"/>
        <w:autoSpaceDN w:val="0"/>
        <w:adjustRightInd w:val="0"/>
        <w:spacing w:after="0" w:line="240" w:lineRule="auto"/>
        <w:jc w:val="both"/>
      </w:pPr>
      <w:r>
        <w:t xml:space="preserve">SYKES, G. (1958), </w:t>
      </w:r>
      <w:proofErr w:type="gramStart"/>
      <w:r w:rsidRPr="008E152A">
        <w:rPr>
          <w:i/>
          <w:iCs/>
        </w:rPr>
        <w:t>The</w:t>
      </w:r>
      <w:proofErr w:type="gramEnd"/>
      <w:r w:rsidRPr="008E152A">
        <w:rPr>
          <w:i/>
          <w:iCs/>
        </w:rPr>
        <w:t xml:space="preserve"> Society of Captives: A Study of A Maximum Security Prison</w:t>
      </w:r>
      <w:r>
        <w:t xml:space="preserve">. </w:t>
      </w:r>
      <w:proofErr w:type="gramStart"/>
      <w:r>
        <w:t xml:space="preserve">Princeton </w:t>
      </w:r>
      <w:r w:rsidRPr="008E152A">
        <w:t>University Press.</w:t>
      </w:r>
      <w:proofErr w:type="gramEnd"/>
    </w:p>
    <w:p w:rsidR="00FB76CA" w:rsidRPr="008E152A" w:rsidRDefault="00FB76CA" w:rsidP="00FB76CA">
      <w:pPr>
        <w:autoSpaceDE w:val="0"/>
        <w:autoSpaceDN w:val="0"/>
        <w:adjustRightInd w:val="0"/>
        <w:spacing w:after="0" w:line="240" w:lineRule="auto"/>
        <w:jc w:val="both"/>
      </w:pPr>
    </w:p>
    <w:p w:rsidR="00FB76CA" w:rsidRDefault="00FB76CA" w:rsidP="00FB76CA">
      <w:pPr>
        <w:autoSpaceDE w:val="0"/>
        <w:spacing w:after="0" w:line="240" w:lineRule="auto"/>
        <w:jc w:val="both"/>
      </w:pPr>
      <w:r>
        <w:t xml:space="preserve">SYKES, G. and MATZA, D. (1957), ‘Techniques of Neutralization: A Theory of Delinquency’, </w:t>
      </w:r>
      <w:r>
        <w:rPr>
          <w:i/>
        </w:rPr>
        <w:t>American Sociological Review,</w:t>
      </w:r>
      <w:r>
        <w:t xml:space="preserve"> 22: 664-70.</w:t>
      </w:r>
    </w:p>
    <w:p w:rsidR="00FB76CA" w:rsidRDefault="00FB76CA" w:rsidP="00FB76CA">
      <w:pPr>
        <w:autoSpaceDE w:val="0"/>
        <w:spacing w:after="0" w:line="240" w:lineRule="auto"/>
        <w:jc w:val="both"/>
      </w:pPr>
    </w:p>
    <w:p w:rsidR="00FB76CA" w:rsidRDefault="00FB76CA" w:rsidP="00FB76CA">
      <w:pPr>
        <w:spacing w:after="0" w:line="240" w:lineRule="auto"/>
        <w:jc w:val="both"/>
      </w:pPr>
      <w:proofErr w:type="gramStart"/>
      <w:r>
        <w:t xml:space="preserve">TAYLOR, A., MUNRO, A., ALLEN, E., DUNLEAVY, K., CAMERON, S., MILLER, L. and HICKMAN, M. (2013), ‘Low Incidence of Hepatitis C Virus among Prisoners in Scotland’, </w:t>
      </w:r>
      <w:r>
        <w:rPr>
          <w:i/>
        </w:rPr>
        <w:t>Addic</w:t>
      </w:r>
      <w:r w:rsidRPr="00AE0AAC">
        <w:rPr>
          <w:i/>
        </w:rPr>
        <w:t>tion</w:t>
      </w:r>
      <w:r>
        <w:rPr>
          <w:i/>
        </w:rPr>
        <w:t>,</w:t>
      </w:r>
      <w:r>
        <w:t xml:space="preserve"> 108: 1296-1304.</w:t>
      </w:r>
      <w:proofErr w:type="gramEnd"/>
    </w:p>
    <w:p w:rsidR="00FB76CA" w:rsidRDefault="00FB76CA" w:rsidP="00FB76CA">
      <w:pPr>
        <w:spacing w:after="0" w:line="240" w:lineRule="auto"/>
        <w:jc w:val="both"/>
      </w:pPr>
    </w:p>
    <w:p w:rsidR="00FB76CA" w:rsidRPr="00C1687C" w:rsidRDefault="00FB76CA" w:rsidP="00FB76CA">
      <w:pPr>
        <w:spacing w:after="0" w:line="240" w:lineRule="auto"/>
        <w:jc w:val="both"/>
      </w:pPr>
      <w:r w:rsidRPr="00941054">
        <w:t>W</w:t>
      </w:r>
      <w:r w:rsidRPr="00941054">
        <w:rPr>
          <w:caps/>
        </w:rPr>
        <w:t>eiss</w:t>
      </w:r>
      <w:r w:rsidRPr="00941054">
        <w:t>,</w:t>
      </w:r>
      <w:r>
        <w:t xml:space="preserve"> K. </w:t>
      </w:r>
      <w:r w:rsidRPr="00C1687C">
        <w:t>(2011)</w:t>
      </w:r>
      <w:r>
        <w:t>,</w:t>
      </w:r>
      <w:r w:rsidRPr="00C1687C">
        <w:t xml:space="preserve"> ‘Neutralizing</w:t>
      </w:r>
      <w:r>
        <w:t xml:space="preserve"> Sexual Victimization: A Typology of Victims’ Non-Reporting A</w:t>
      </w:r>
      <w:r w:rsidRPr="00C1687C">
        <w:t xml:space="preserve">ccounts’, </w:t>
      </w:r>
      <w:r w:rsidRPr="00C1687C">
        <w:rPr>
          <w:i/>
          <w:iCs/>
        </w:rPr>
        <w:t>Theoretical Criminology</w:t>
      </w:r>
      <w:r>
        <w:t>, 15: 445-</w:t>
      </w:r>
      <w:r w:rsidRPr="00C1687C">
        <w:t>67.</w:t>
      </w:r>
    </w:p>
    <w:p w:rsidR="00FB76CA" w:rsidRDefault="00FB76CA" w:rsidP="00FB76CA">
      <w:pPr>
        <w:spacing w:after="0" w:line="240" w:lineRule="auto"/>
        <w:jc w:val="both"/>
      </w:pPr>
    </w:p>
    <w:p w:rsidR="00FB76CA" w:rsidRDefault="00FB76CA" w:rsidP="00FB76CA">
      <w:pPr>
        <w:spacing w:after="0" w:line="240" w:lineRule="auto"/>
        <w:jc w:val="both"/>
      </w:pPr>
      <w:proofErr w:type="gramStart"/>
      <w:r w:rsidRPr="00CC06E2">
        <w:lastRenderedPageBreak/>
        <w:t>Y</w:t>
      </w:r>
      <w:r w:rsidRPr="00CC06E2">
        <w:rPr>
          <w:caps/>
        </w:rPr>
        <w:t>ap</w:t>
      </w:r>
      <w:r w:rsidRPr="00CC06E2">
        <w:t>, L</w:t>
      </w:r>
      <w:r>
        <w:t xml:space="preserve">., </w:t>
      </w:r>
      <w:r w:rsidRPr="00CC06E2">
        <w:t>B</w:t>
      </w:r>
      <w:r w:rsidRPr="00CC06E2">
        <w:rPr>
          <w:caps/>
        </w:rPr>
        <w:t>utler</w:t>
      </w:r>
      <w:r w:rsidRPr="00CC06E2">
        <w:t>, T</w:t>
      </w:r>
      <w:r>
        <w:t>.</w:t>
      </w:r>
      <w:r w:rsidRPr="00CC06E2">
        <w:t>, R</w:t>
      </w:r>
      <w:r w:rsidRPr="00CC06E2">
        <w:rPr>
          <w:caps/>
        </w:rPr>
        <w:t>ichters</w:t>
      </w:r>
      <w:r w:rsidRPr="00CC06E2">
        <w:t>, J</w:t>
      </w:r>
      <w:r>
        <w:t>.</w:t>
      </w:r>
      <w:r w:rsidRPr="00CC06E2">
        <w:t xml:space="preserve">, </w:t>
      </w:r>
      <w:r>
        <w:t>KIRKWOOD, K., GRANT, L., SAXBY, M., ROPP, F.</w:t>
      </w:r>
      <w:r w:rsidRPr="00CC06E2">
        <w:t xml:space="preserve"> and D</w:t>
      </w:r>
      <w:r w:rsidRPr="00CC06E2">
        <w:rPr>
          <w:caps/>
        </w:rPr>
        <w:t>onovan</w:t>
      </w:r>
      <w:r w:rsidRPr="00CC06E2">
        <w:t>, B.</w:t>
      </w:r>
      <w:r>
        <w:t xml:space="preserve"> (2007), ‘Do C</w:t>
      </w:r>
      <w:r w:rsidRPr="00CC06E2">
        <w:t xml:space="preserve">ondoms </w:t>
      </w:r>
      <w:r>
        <w:t>Cause Rape and M</w:t>
      </w:r>
      <w:r w:rsidRPr="00CC06E2">
        <w:t>ayhem?</w:t>
      </w:r>
      <w:proofErr w:type="gramEnd"/>
      <w:r w:rsidRPr="00CC06E2">
        <w:t xml:space="preserve"> </w:t>
      </w:r>
      <w:r>
        <w:t>The Long-term Effects of Condoms in New South Wales’ P</w:t>
      </w:r>
      <w:r w:rsidRPr="00CC06E2">
        <w:t>risons</w:t>
      </w:r>
      <w:r>
        <w:t xml:space="preserve">’, </w:t>
      </w:r>
      <w:r w:rsidRPr="00CC06E2">
        <w:rPr>
          <w:i/>
          <w:iCs/>
        </w:rPr>
        <w:t xml:space="preserve">Sexually Transmitted Infections, </w:t>
      </w:r>
      <w:r w:rsidRPr="00CC06E2">
        <w:rPr>
          <w:iCs/>
        </w:rPr>
        <w:t>83:</w:t>
      </w:r>
      <w:r>
        <w:rPr>
          <w:i/>
          <w:iCs/>
        </w:rPr>
        <w:t xml:space="preserve"> </w:t>
      </w:r>
      <w:r>
        <w:t>219-22</w:t>
      </w:r>
      <w:r w:rsidRPr="00CC06E2">
        <w:t>.</w:t>
      </w:r>
    </w:p>
    <w:p w:rsidR="00FB76CA" w:rsidRPr="00CC06E2" w:rsidRDefault="00FB76CA" w:rsidP="00FB76CA">
      <w:pPr>
        <w:spacing w:after="0" w:line="240" w:lineRule="auto"/>
        <w:jc w:val="both"/>
      </w:pPr>
    </w:p>
    <w:p w:rsidR="00FB76CA" w:rsidRDefault="00FB76CA" w:rsidP="00FB76CA">
      <w:pPr>
        <w:spacing w:after="0" w:line="240" w:lineRule="auto"/>
        <w:jc w:val="both"/>
      </w:pPr>
      <w:r>
        <w:t>Z</w:t>
      </w:r>
      <w:r w:rsidRPr="00924712">
        <w:rPr>
          <w:caps/>
        </w:rPr>
        <w:t>erubavel</w:t>
      </w:r>
      <w:r>
        <w:t xml:space="preserve">, E. (2006), </w:t>
      </w:r>
      <w:proofErr w:type="gramStart"/>
      <w:r w:rsidRPr="003814A3">
        <w:rPr>
          <w:i/>
        </w:rPr>
        <w:t>The</w:t>
      </w:r>
      <w:proofErr w:type="gramEnd"/>
      <w:r w:rsidRPr="003814A3">
        <w:rPr>
          <w:i/>
        </w:rPr>
        <w:t xml:space="preserve"> Elephant in the Room: Silence and Denial in Everyday Life</w:t>
      </w:r>
      <w:r>
        <w:t xml:space="preserve">. </w:t>
      </w:r>
      <w:proofErr w:type="gramStart"/>
      <w:r>
        <w:t>Oxford University Press.</w:t>
      </w:r>
      <w:proofErr w:type="gramEnd"/>
    </w:p>
    <w:p w:rsidR="00FB76CA" w:rsidRDefault="00FB76CA" w:rsidP="00FB76CA">
      <w:pPr>
        <w:spacing w:after="0" w:line="240" w:lineRule="auto"/>
        <w:jc w:val="both"/>
      </w:pPr>
    </w:p>
    <w:p w:rsidR="00FB76CA" w:rsidRDefault="00FB76CA" w:rsidP="00FB76CA">
      <w:pPr>
        <w:spacing w:after="0" w:line="240" w:lineRule="auto"/>
        <w:jc w:val="both"/>
      </w:pPr>
    </w:p>
    <w:p w:rsidR="00FB76CA" w:rsidRDefault="00FB76CA" w:rsidP="00FB76CA"/>
    <w:p w:rsidR="00A46DC0" w:rsidRDefault="00A46DC0"/>
    <w:sectPr w:rsidR="00A46DC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407" w:rsidRDefault="008F1407" w:rsidP="00FB76CA">
      <w:pPr>
        <w:spacing w:after="0" w:line="240" w:lineRule="auto"/>
      </w:pPr>
      <w:r>
        <w:separator/>
      </w:r>
    </w:p>
  </w:endnote>
  <w:endnote w:type="continuationSeparator" w:id="0">
    <w:p w:rsidR="008F1407" w:rsidRDefault="008F1407" w:rsidP="00FB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Ligh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ITC Slimbach Std">
    <w:altName w:val="ITC Slimbach St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C9" w:rsidRDefault="00B70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C9" w:rsidRDefault="00B70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C9" w:rsidRDefault="00B70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407" w:rsidRDefault="008F1407" w:rsidP="00FB76CA">
      <w:pPr>
        <w:spacing w:after="0" w:line="240" w:lineRule="auto"/>
      </w:pPr>
      <w:r>
        <w:separator/>
      </w:r>
    </w:p>
  </w:footnote>
  <w:footnote w:type="continuationSeparator" w:id="0">
    <w:p w:rsidR="008F1407" w:rsidRDefault="008F1407" w:rsidP="00FB76CA">
      <w:pPr>
        <w:spacing w:after="0" w:line="240" w:lineRule="auto"/>
      </w:pPr>
      <w:r>
        <w:continuationSeparator/>
      </w:r>
    </w:p>
  </w:footnote>
  <w:footnote w:id="1">
    <w:p w:rsidR="00FB76CA" w:rsidRPr="004A564F" w:rsidRDefault="00FB76CA" w:rsidP="00FB76CA">
      <w:pPr>
        <w:spacing w:after="0" w:line="240" w:lineRule="auto"/>
        <w:jc w:val="both"/>
        <w:rPr>
          <w:sz w:val="20"/>
          <w:szCs w:val="20"/>
        </w:rPr>
      </w:pPr>
      <w:r w:rsidRPr="004A564F">
        <w:rPr>
          <w:rStyle w:val="FootnoteReference"/>
          <w:sz w:val="20"/>
          <w:szCs w:val="20"/>
        </w:rPr>
        <w:footnoteRef/>
      </w:r>
      <w:r w:rsidRPr="004A564F">
        <w:rPr>
          <w:sz w:val="20"/>
          <w:szCs w:val="20"/>
        </w:rPr>
        <w:t xml:space="preserve"> Sexual activity includes </w:t>
      </w:r>
      <w:r w:rsidR="00E7280F" w:rsidRPr="004A564F">
        <w:rPr>
          <w:sz w:val="20"/>
          <w:szCs w:val="20"/>
        </w:rPr>
        <w:t>masturbation</w:t>
      </w:r>
      <w:r w:rsidRPr="004A564F">
        <w:rPr>
          <w:sz w:val="20"/>
          <w:szCs w:val="20"/>
        </w:rPr>
        <w:t xml:space="preserve"> but chiefly refers to penetrative and non-penetrative acts of a sexual nature between two or more people. I describe the activity as consensual when the agents participated willingly, and as coercive when it was unwanted or pressurized, including sexual assaults as defined by the Sexual Offences Act 2003. </w:t>
      </w:r>
    </w:p>
    <w:p w:rsidR="00466400" w:rsidRPr="0088231D" w:rsidRDefault="00466400" w:rsidP="00FB76CA">
      <w:pPr>
        <w:spacing w:after="0" w:line="240" w:lineRule="auto"/>
        <w:jc w:val="both"/>
        <w:rPr>
          <w:sz w:val="20"/>
          <w:szCs w:val="20"/>
        </w:rPr>
      </w:pPr>
    </w:p>
  </w:footnote>
  <w:footnote w:id="2">
    <w:p w:rsidR="00FB76CA" w:rsidRDefault="00FB76CA" w:rsidP="00FB76CA">
      <w:pPr>
        <w:pStyle w:val="FootnoteText"/>
        <w:jc w:val="both"/>
      </w:pPr>
      <w:r>
        <w:rPr>
          <w:rStyle w:val="FootnoteReference"/>
        </w:rPr>
        <w:footnoteRef/>
      </w:r>
      <w:r>
        <w:t xml:space="preserve"> See, for example, Scott (2008) on some prison officers’ negation of prisoners’ human rights, </w:t>
      </w:r>
      <w:proofErr w:type="spellStart"/>
      <w:r>
        <w:t>Daems</w:t>
      </w:r>
      <w:proofErr w:type="spellEnd"/>
      <w:r>
        <w:t xml:space="preserve"> (2014) on the (ab</w:t>
      </w:r>
      <w:proofErr w:type="gramStart"/>
      <w:r>
        <w:t>)use</w:t>
      </w:r>
      <w:proofErr w:type="gramEnd"/>
      <w:r>
        <w:t xml:space="preserve"> of strip searching in Belgian prisons, and Bennett (2016) on attitudes towards ethnic diversity among prison managers.  </w:t>
      </w:r>
    </w:p>
  </w:footnote>
  <w:footnote w:id="3">
    <w:p w:rsidR="00FB76CA" w:rsidRDefault="00FB76CA" w:rsidP="00FB76CA">
      <w:pPr>
        <w:spacing w:after="0" w:line="240" w:lineRule="auto"/>
        <w:jc w:val="both"/>
        <w:rPr>
          <w:sz w:val="20"/>
          <w:szCs w:val="20"/>
        </w:rPr>
      </w:pPr>
      <w:r w:rsidRPr="00AB402C">
        <w:rPr>
          <w:rStyle w:val="FootnoteReference"/>
        </w:rPr>
        <w:footnoteRef/>
      </w:r>
      <w:r w:rsidRPr="00AB402C">
        <w:rPr>
          <w:sz w:val="20"/>
          <w:szCs w:val="20"/>
        </w:rPr>
        <w:t xml:space="preserve"> </w:t>
      </w:r>
      <w:r>
        <w:rPr>
          <w:sz w:val="20"/>
          <w:szCs w:val="20"/>
        </w:rPr>
        <w:t xml:space="preserve">The two </w:t>
      </w:r>
      <w:r w:rsidRPr="00AB402C">
        <w:rPr>
          <w:sz w:val="20"/>
          <w:szCs w:val="20"/>
        </w:rPr>
        <w:t>female interviewees</w:t>
      </w:r>
      <w:r>
        <w:rPr>
          <w:sz w:val="20"/>
          <w:szCs w:val="20"/>
        </w:rPr>
        <w:t>’ experiences are inclu</w:t>
      </w:r>
      <w:r w:rsidR="000D5B8A">
        <w:rPr>
          <w:sz w:val="20"/>
          <w:szCs w:val="20"/>
        </w:rPr>
        <w:t>ded in the research report (</w:t>
      </w:r>
      <w:r w:rsidR="00A03E34">
        <w:rPr>
          <w:sz w:val="20"/>
          <w:szCs w:val="20"/>
        </w:rPr>
        <w:t>Stevens</w:t>
      </w:r>
      <w:r>
        <w:rPr>
          <w:sz w:val="20"/>
          <w:szCs w:val="20"/>
        </w:rPr>
        <w:t xml:space="preserve"> 2015). </w:t>
      </w:r>
    </w:p>
    <w:p w:rsidR="00FB76CA" w:rsidRPr="007856E1" w:rsidRDefault="00FB76CA" w:rsidP="00FB76CA">
      <w:pPr>
        <w:spacing w:after="0" w:line="240" w:lineRule="auto"/>
        <w:jc w:val="both"/>
        <w:rPr>
          <w:sz w:val="20"/>
          <w:szCs w:val="20"/>
        </w:rPr>
      </w:pPr>
    </w:p>
  </w:footnote>
  <w:footnote w:id="4">
    <w:p w:rsidR="00FB76CA" w:rsidRDefault="00FB76CA" w:rsidP="00FB76CA">
      <w:pPr>
        <w:pStyle w:val="FootnoteText"/>
        <w:jc w:val="both"/>
      </w:pPr>
      <w:r>
        <w:rPr>
          <w:rStyle w:val="FootnoteReference"/>
        </w:rPr>
        <w:footnoteRef/>
      </w:r>
      <w:r>
        <w:t xml:space="preserve"> In addition to excerpts from interviews, I incorporate the men’s words into my commentary. These are denoted by double quotation marks, and thus are distinguishable from the single quotation marks used, for example, for quotes from literature. </w:t>
      </w:r>
    </w:p>
    <w:p w:rsidR="00CC1717" w:rsidRDefault="00CC1717" w:rsidP="00FB76CA">
      <w:pPr>
        <w:pStyle w:val="FootnoteText"/>
        <w:jc w:val="both"/>
      </w:pPr>
    </w:p>
  </w:footnote>
  <w:footnote w:id="5">
    <w:p w:rsidR="00CC1717" w:rsidRDefault="00CC1717" w:rsidP="00CC1717">
      <w:pPr>
        <w:pStyle w:val="FootnoteText"/>
        <w:jc w:val="both"/>
      </w:pPr>
      <w:r>
        <w:rPr>
          <w:rStyle w:val="FootnoteReference"/>
        </w:rPr>
        <w:footnoteRef/>
      </w:r>
      <w:r>
        <w:t xml:space="preserve"> Some of </w:t>
      </w:r>
      <w:r w:rsidR="00F25816">
        <w:t xml:space="preserve">these men had </w:t>
      </w:r>
      <w:r w:rsidR="002035A2">
        <w:t xml:space="preserve">also </w:t>
      </w:r>
      <w:r w:rsidR="00F25816">
        <w:t xml:space="preserve">served sentences </w:t>
      </w:r>
      <w:r w:rsidR="002035A2">
        <w:t xml:space="preserve">for non-sexual offences </w:t>
      </w:r>
      <w:r>
        <w:t xml:space="preserve">‘on normal location’. </w:t>
      </w:r>
      <w:r w:rsidR="002035A2">
        <w:t>In</w:t>
      </w:r>
      <w:r>
        <w:t xml:space="preserve"> describing the sample, </w:t>
      </w:r>
      <w:r w:rsidR="003C5C4D">
        <w:t xml:space="preserve">however, </w:t>
      </w:r>
      <w:r>
        <w:t xml:space="preserve">interviewees were classified according to the offence which resulted in the longest </w:t>
      </w:r>
      <w:r w:rsidR="004151FC">
        <w:t>custodial sentence</w:t>
      </w:r>
      <w:r>
        <w:t xml:space="preserve">. </w:t>
      </w:r>
    </w:p>
  </w:footnote>
  <w:footnote w:id="6">
    <w:p w:rsidR="00FB76CA" w:rsidRDefault="00FB76CA" w:rsidP="00FB76CA">
      <w:pPr>
        <w:pStyle w:val="FootnoteText"/>
        <w:jc w:val="both"/>
        <w:rPr>
          <w:rFonts w:eastAsia="Times New Roman"/>
          <w:lang w:eastAsia="en-GB"/>
        </w:rPr>
      </w:pPr>
      <w:r>
        <w:rPr>
          <w:rStyle w:val="FootnoteReference"/>
        </w:rPr>
        <w:footnoteRef/>
      </w:r>
      <w:r>
        <w:t xml:space="preserve"> </w:t>
      </w:r>
      <w:proofErr w:type="gramStart"/>
      <w:r w:rsidRPr="00047210">
        <w:rPr>
          <w:rFonts w:eastAsia="Times New Roman"/>
          <w:i/>
          <w:lang w:eastAsia="en-GB"/>
        </w:rPr>
        <w:t>R (Daly) v Secretary of State for the Home Department </w:t>
      </w:r>
      <w:hyperlink r:id="rId1" w:tooltip="Link to BAILII version" w:history="1">
        <w:r w:rsidRPr="002E5A5D">
          <w:rPr>
            <w:rFonts w:eastAsia="Times New Roman"/>
            <w:lang w:eastAsia="en-GB"/>
          </w:rPr>
          <w:t>[2001] 2 AC 532</w:t>
        </w:r>
      </w:hyperlink>
      <w:r w:rsidRPr="002E5A5D">
        <w:rPr>
          <w:rFonts w:eastAsia="Times New Roman"/>
          <w:lang w:eastAsia="en-GB"/>
        </w:rPr>
        <w:t>.</w:t>
      </w:r>
      <w:proofErr w:type="gramEnd"/>
    </w:p>
    <w:p w:rsidR="00FB76CA" w:rsidRPr="00AE7147" w:rsidRDefault="00FB76CA" w:rsidP="00FB76CA">
      <w:pPr>
        <w:pStyle w:val="FootnoteText"/>
        <w:jc w:val="both"/>
        <w:rPr>
          <w:rFonts w:eastAsia="Times New Roman"/>
          <w:lang w:eastAsia="en-GB"/>
        </w:rPr>
      </w:pPr>
    </w:p>
  </w:footnote>
  <w:footnote w:id="7">
    <w:p w:rsidR="009C7669" w:rsidRPr="004E7D4C" w:rsidRDefault="00FB76CA" w:rsidP="009C7669">
      <w:pPr>
        <w:autoSpaceDE w:val="0"/>
        <w:autoSpaceDN w:val="0"/>
        <w:adjustRightInd w:val="0"/>
        <w:spacing w:after="0" w:line="240" w:lineRule="auto"/>
        <w:jc w:val="both"/>
      </w:pPr>
      <w:r>
        <w:rPr>
          <w:rStyle w:val="FootnoteReference"/>
        </w:rPr>
        <w:footnoteRef/>
      </w:r>
      <w:r>
        <w:t xml:space="preserve"> </w:t>
      </w:r>
      <w:proofErr w:type="gramStart"/>
      <w:r w:rsidRPr="00FA0715">
        <w:rPr>
          <w:rFonts w:eastAsia="Times New Roman"/>
          <w:i/>
          <w:color w:val="000000"/>
          <w:sz w:val="20"/>
          <w:szCs w:val="20"/>
          <w:lang w:eastAsia="en-GB"/>
        </w:rPr>
        <w:t>R (Bright and another) v Secretary of State</w:t>
      </w:r>
      <w:r w:rsidR="009C7669">
        <w:rPr>
          <w:rFonts w:eastAsia="Times New Roman"/>
          <w:i/>
          <w:color w:val="000000"/>
          <w:sz w:val="20"/>
          <w:szCs w:val="20"/>
          <w:lang w:eastAsia="en-GB"/>
        </w:rPr>
        <w:t xml:space="preserve"> for Justice</w:t>
      </w:r>
      <w:r w:rsidRPr="00FA0715">
        <w:rPr>
          <w:rFonts w:eastAsia="Times New Roman"/>
          <w:i/>
          <w:color w:val="000000"/>
          <w:sz w:val="20"/>
          <w:szCs w:val="20"/>
          <w:lang w:eastAsia="en-GB"/>
        </w:rPr>
        <w:t> </w:t>
      </w:r>
      <w:r w:rsidRPr="00FA0715">
        <w:rPr>
          <w:bCs/>
          <w:sz w:val="20"/>
          <w:szCs w:val="20"/>
        </w:rPr>
        <w:t xml:space="preserve">[2014] EWCA </w:t>
      </w:r>
      <w:proofErr w:type="spellStart"/>
      <w:r w:rsidRPr="00FA0715">
        <w:rPr>
          <w:bCs/>
          <w:sz w:val="20"/>
          <w:szCs w:val="20"/>
        </w:rPr>
        <w:t>Civ</w:t>
      </w:r>
      <w:proofErr w:type="spellEnd"/>
      <w:r w:rsidRPr="00FA0715">
        <w:rPr>
          <w:bCs/>
          <w:sz w:val="20"/>
          <w:szCs w:val="20"/>
        </w:rPr>
        <w:t xml:space="preserve"> 1628</w:t>
      </w:r>
      <w:r w:rsidRPr="00FA0715">
        <w:rPr>
          <w:rFonts w:eastAsia="Times New Roman"/>
          <w:color w:val="000000"/>
          <w:sz w:val="20"/>
          <w:szCs w:val="20"/>
          <w:lang w:eastAsia="en-GB"/>
        </w:rPr>
        <w:t xml:space="preserve">; </w:t>
      </w:r>
      <w:r w:rsidRPr="00FA0715">
        <w:rPr>
          <w:i/>
          <w:color w:val="000000"/>
          <w:sz w:val="20"/>
          <w:szCs w:val="20"/>
        </w:rPr>
        <w:t>Hopkins, R (on</w:t>
      </w:r>
      <w:r w:rsidR="009C7669">
        <w:rPr>
          <w:i/>
          <w:color w:val="000000"/>
          <w:sz w:val="20"/>
          <w:szCs w:val="20"/>
        </w:rPr>
        <w:t xml:space="preserve"> the application of) v Sodexo/HMP </w:t>
      </w:r>
      <w:proofErr w:type="spellStart"/>
      <w:r w:rsidR="009C7669">
        <w:rPr>
          <w:i/>
          <w:color w:val="000000"/>
          <w:sz w:val="20"/>
          <w:szCs w:val="20"/>
        </w:rPr>
        <w:t>Bronzefield</w:t>
      </w:r>
      <w:proofErr w:type="spellEnd"/>
      <w:r w:rsidR="009C7669">
        <w:rPr>
          <w:i/>
          <w:color w:val="000000"/>
          <w:sz w:val="20"/>
          <w:szCs w:val="20"/>
        </w:rPr>
        <w:t xml:space="preserve"> and</w:t>
      </w:r>
      <w:r w:rsidRPr="00FA0715">
        <w:rPr>
          <w:i/>
          <w:color w:val="000000"/>
          <w:sz w:val="20"/>
          <w:szCs w:val="20"/>
        </w:rPr>
        <w:t xml:space="preserve"> Others</w:t>
      </w:r>
      <w:r w:rsidRPr="00FA0715">
        <w:rPr>
          <w:color w:val="000000"/>
          <w:sz w:val="20"/>
          <w:szCs w:val="20"/>
        </w:rPr>
        <w:t xml:space="preserve"> [2016] EWHC 606 (Admin).</w:t>
      </w:r>
      <w:proofErr w:type="gramEnd"/>
      <w:r>
        <w:rPr>
          <w:color w:val="000000"/>
          <w:sz w:val="20"/>
          <w:szCs w:val="20"/>
        </w:rPr>
        <w:t xml:space="preserve"> </w:t>
      </w:r>
    </w:p>
    <w:p w:rsidR="00FB76CA" w:rsidRPr="00FA0715" w:rsidRDefault="00FB76CA" w:rsidP="00FB76CA">
      <w:pPr>
        <w:autoSpaceDE w:val="0"/>
        <w:autoSpaceDN w:val="0"/>
        <w:adjustRightInd w:val="0"/>
        <w:spacing w:after="0" w:line="240" w:lineRule="auto"/>
        <w:rPr>
          <w:sz w:val="20"/>
          <w:szCs w:val="20"/>
        </w:rPr>
      </w:pPr>
    </w:p>
  </w:footnote>
  <w:footnote w:id="8">
    <w:p w:rsidR="00FB76CA" w:rsidRDefault="00FB76CA" w:rsidP="00FB76CA">
      <w:pPr>
        <w:pStyle w:val="FootnoteText"/>
        <w:jc w:val="both"/>
      </w:pPr>
      <w:r>
        <w:rPr>
          <w:rStyle w:val="FootnoteReference"/>
        </w:rPr>
        <w:footnoteRef/>
      </w:r>
      <w:r>
        <w:t xml:space="preserve"> </w:t>
      </w:r>
      <w:proofErr w:type="gramStart"/>
      <w:r>
        <w:t xml:space="preserve">Legitimate access to and possession of “gay porn” is accordingly “extremely difficult” in prisons which </w:t>
      </w:r>
      <w:r w:rsidR="00333FD2">
        <w:t xml:space="preserve">strictly </w:t>
      </w:r>
      <w:r>
        <w:t xml:space="preserve">observe </w:t>
      </w:r>
      <w:r w:rsidR="002035A2">
        <w:t>this “</w:t>
      </w:r>
      <w:r>
        <w:t xml:space="preserve">no </w:t>
      </w:r>
      <w:proofErr w:type="spellStart"/>
      <w:r>
        <w:t>stiffies</w:t>
      </w:r>
      <w:proofErr w:type="spellEnd"/>
      <w:r>
        <w:t xml:space="preserve"> rule”.</w:t>
      </w:r>
      <w:proofErr w:type="gramEnd"/>
      <w:r>
        <w:t xml:space="preserve"> </w:t>
      </w:r>
    </w:p>
  </w:footnote>
  <w:footnote w:id="9">
    <w:p w:rsidR="00EF21C5" w:rsidRDefault="00EF21C5" w:rsidP="00EF21C5">
      <w:pPr>
        <w:pStyle w:val="FootnoteText"/>
        <w:rPr>
          <w:rFonts w:eastAsia="Times New Roman"/>
          <w:lang w:eastAsia="en-GB"/>
        </w:rPr>
      </w:pPr>
      <w:r>
        <w:rPr>
          <w:rStyle w:val="FootnoteReference"/>
        </w:rPr>
        <w:footnoteRef/>
      </w:r>
      <w:r w:rsidR="00B4520D">
        <w:t xml:space="preserve"> Under Prison Rule 51(20);</w:t>
      </w:r>
      <w:r>
        <w:t xml:space="preserve"> </w:t>
      </w:r>
      <w:r w:rsidRPr="009917FA">
        <w:rPr>
          <w:rFonts w:eastAsia="Times New Roman"/>
          <w:lang w:eastAsia="en-GB"/>
        </w:rPr>
        <w:t>Prison Service Instruction (PSI) 47/2011</w:t>
      </w:r>
      <w:r>
        <w:rPr>
          <w:rFonts w:eastAsia="Times New Roman"/>
          <w:lang w:eastAsia="en-GB"/>
        </w:rPr>
        <w:t>, paragraph 1.76.</w:t>
      </w:r>
    </w:p>
    <w:p w:rsidR="00EF21C5" w:rsidRDefault="00EF21C5" w:rsidP="00EF21C5">
      <w:pPr>
        <w:pStyle w:val="FootnoteText"/>
      </w:pPr>
    </w:p>
  </w:footnote>
  <w:footnote w:id="10">
    <w:p w:rsidR="002035A2" w:rsidRPr="00EF21C5" w:rsidRDefault="002035A2" w:rsidP="002035A2">
      <w:pPr>
        <w:pStyle w:val="FootnoteText"/>
      </w:pPr>
      <w:r>
        <w:rPr>
          <w:rStyle w:val="FootnoteReference"/>
        </w:rPr>
        <w:footnoteRef/>
      </w:r>
      <w:r>
        <w:t xml:space="preserve"> </w:t>
      </w:r>
      <w:r w:rsidR="00EF21C5">
        <w:t xml:space="preserve">PSI </w:t>
      </w:r>
      <w:r w:rsidR="00EF21C5" w:rsidRPr="009917FA">
        <w:t>30/2013, Annexe B</w:t>
      </w:r>
      <w:r w:rsidR="000F290F">
        <w:t>: ‘Behavioural expectations’.</w:t>
      </w:r>
      <w:r w:rsidR="00EF21C5" w:rsidRPr="009917FA">
        <w:t xml:space="preserve"> </w:t>
      </w:r>
    </w:p>
    <w:p w:rsidR="002035A2" w:rsidRDefault="002035A2" w:rsidP="002035A2">
      <w:pPr>
        <w:pStyle w:val="FootnoteText"/>
      </w:pPr>
    </w:p>
  </w:footnote>
  <w:footnote w:id="11">
    <w:p w:rsidR="00FB76CA" w:rsidRDefault="00FB76CA" w:rsidP="00FB76CA">
      <w:pPr>
        <w:pStyle w:val="FootnoteText"/>
        <w:jc w:val="both"/>
      </w:pPr>
      <w:r>
        <w:rPr>
          <w:rStyle w:val="FootnoteReference"/>
        </w:rPr>
        <w:footnoteRef/>
      </w:r>
      <w:r>
        <w:t xml:space="preserve"> </w:t>
      </w:r>
      <w:r w:rsidR="000F290F">
        <w:t>S</w:t>
      </w:r>
      <w:r w:rsidR="009C7669">
        <w:t xml:space="preserve">ee footnote 7. </w:t>
      </w:r>
    </w:p>
  </w:footnote>
  <w:footnote w:id="12">
    <w:p w:rsidR="00FE3D67" w:rsidRDefault="00FE3D67" w:rsidP="00FE3D67">
      <w:pPr>
        <w:pStyle w:val="FootnoteText"/>
      </w:pPr>
      <w:r>
        <w:rPr>
          <w:rStyle w:val="FootnoteReference"/>
        </w:rPr>
        <w:footnoteRef/>
      </w:r>
      <w:r>
        <w:t xml:space="preserve"> This phrase formerly described American military policy towards homosexual personnel.</w:t>
      </w:r>
    </w:p>
  </w:footnote>
  <w:footnote w:id="13">
    <w:p w:rsidR="00FB76CA" w:rsidRDefault="00FB76CA" w:rsidP="00FB76CA">
      <w:pPr>
        <w:pStyle w:val="FootnoteText"/>
        <w:jc w:val="both"/>
      </w:pPr>
      <w:r>
        <w:rPr>
          <w:rStyle w:val="FootnoteReference"/>
        </w:rPr>
        <w:footnoteRef/>
      </w:r>
      <w:r>
        <w:t xml:space="preserve">  </w:t>
      </w:r>
      <w:r w:rsidR="00826D27">
        <w:t>This</w:t>
      </w:r>
      <w:r>
        <w:t xml:space="preserve"> policy dates from (at least) a 1995 ‘Dear Doctor’ letter, subsequently clarified in case law (</w:t>
      </w:r>
      <w:r w:rsidRPr="00A22B09">
        <w:rPr>
          <w:i/>
        </w:rPr>
        <w:t>R v Secreta</w:t>
      </w:r>
      <w:r>
        <w:rPr>
          <w:i/>
        </w:rPr>
        <w:t>ry of State for Home Department Ex P</w:t>
      </w:r>
      <w:r w:rsidRPr="00A22B09">
        <w:rPr>
          <w:i/>
        </w:rPr>
        <w:t>arte Glen</w:t>
      </w:r>
      <w:r>
        <w:t xml:space="preserve"> </w:t>
      </w:r>
      <w:r w:rsidRPr="00BE33BF">
        <w:rPr>
          <w:i/>
        </w:rPr>
        <w:t>Fielding</w:t>
      </w:r>
      <w:r>
        <w:rPr>
          <w:i/>
        </w:rPr>
        <w:t xml:space="preserve"> </w:t>
      </w:r>
      <w:r>
        <w:t xml:space="preserve">[1999] </w:t>
      </w:r>
      <w:r w:rsidRPr="009439F2">
        <w:t>EWHC Admin 641</w:t>
      </w:r>
      <w:r>
        <w:t>) and operationalized in Prison Service Order 3845 (1999). The policy has never applied in Northern Ireland.</w:t>
      </w:r>
    </w:p>
    <w:p w:rsidR="00CA4CEA" w:rsidRDefault="00CA4CEA" w:rsidP="00FB76CA">
      <w:pPr>
        <w:pStyle w:val="FootnoteText"/>
        <w:jc w:val="both"/>
      </w:pPr>
    </w:p>
  </w:footnote>
  <w:footnote w:id="14">
    <w:p w:rsidR="00CA4CEA" w:rsidRDefault="00CA4CEA" w:rsidP="00CA4CEA">
      <w:pPr>
        <w:pStyle w:val="FootnoteText"/>
      </w:pPr>
      <w:r>
        <w:rPr>
          <w:rStyle w:val="FootnoteReference"/>
        </w:rPr>
        <w:footnoteRef/>
      </w:r>
      <w:r>
        <w:t xml:space="preserve"> </w:t>
      </w:r>
      <w:proofErr w:type="gramStart"/>
      <w:r>
        <w:t>Contrary to Prison Rule 51(12).</w:t>
      </w:r>
      <w:proofErr w:type="gramEnd"/>
      <w:r>
        <w:t xml:space="preserve"> </w:t>
      </w:r>
    </w:p>
  </w:footnote>
  <w:footnote w:id="15">
    <w:p w:rsidR="00FB76CA" w:rsidRPr="00920CC5" w:rsidRDefault="00FB76CA" w:rsidP="00FB76CA">
      <w:pPr>
        <w:pStyle w:val="FootnoteText"/>
        <w:jc w:val="both"/>
      </w:pPr>
      <w:r>
        <w:rPr>
          <w:rStyle w:val="FootnoteReference"/>
        </w:rPr>
        <w:footnoteRef/>
      </w:r>
      <w:r>
        <w:t xml:space="preserve"> The perpetrator(s) should normally be relocated (Howard League 2012). Rape (and other sexual offences) </w:t>
      </w:r>
      <w:r w:rsidRPr="00053AAE">
        <w:t>‘must be referred to the police’</w:t>
      </w:r>
      <w:r>
        <w:t xml:space="preserve"> (</w:t>
      </w:r>
      <w:r w:rsidR="0030560B">
        <w:t>NOMS</w:t>
      </w:r>
      <w:r>
        <w:t xml:space="preserve"> </w:t>
      </w:r>
      <w:r w:rsidRPr="004439CB">
        <w:rPr>
          <w:i/>
        </w:rPr>
        <w:t>et al.</w:t>
      </w:r>
      <w:r>
        <w:t xml:space="preserve"> 2015: </w:t>
      </w:r>
      <w:r w:rsidRPr="00053AAE">
        <w:t>Annexe B).</w:t>
      </w:r>
    </w:p>
  </w:footnote>
  <w:footnote w:id="16">
    <w:p w:rsidR="00FB76CA" w:rsidRPr="008D1CAB" w:rsidRDefault="00FB76CA" w:rsidP="00C2063D">
      <w:pPr>
        <w:spacing w:after="0" w:line="240" w:lineRule="auto"/>
        <w:jc w:val="both"/>
        <w:rPr>
          <w:b/>
          <w:sz w:val="20"/>
          <w:szCs w:val="20"/>
        </w:rPr>
      </w:pPr>
      <w:r w:rsidRPr="00793A5D">
        <w:rPr>
          <w:rStyle w:val="FootnoteReference"/>
        </w:rPr>
        <w:footnoteRef/>
      </w:r>
      <w:r w:rsidRPr="00793A5D">
        <w:rPr>
          <w:sz w:val="20"/>
          <w:szCs w:val="20"/>
        </w:rPr>
        <w:t xml:space="preserve"> Space precludes discussion of the </w:t>
      </w:r>
      <w:r w:rsidR="0030560B">
        <w:rPr>
          <w:sz w:val="20"/>
          <w:szCs w:val="20"/>
        </w:rPr>
        <w:t xml:space="preserve">well-evidenced </w:t>
      </w:r>
      <w:r w:rsidRPr="00793A5D">
        <w:rPr>
          <w:sz w:val="20"/>
          <w:szCs w:val="20"/>
        </w:rPr>
        <w:t>opportunities for attrition</w:t>
      </w:r>
      <w:r w:rsidR="0030560B">
        <w:rPr>
          <w:sz w:val="20"/>
          <w:szCs w:val="20"/>
        </w:rPr>
        <w:t xml:space="preserve"> </w:t>
      </w:r>
      <w:r w:rsidRPr="008D1CAB">
        <w:rPr>
          <w:sz w:val="20"/>
          <w:szCs w:val="20"/>
        </w:rPr>
        <w:t>between reporting, recording, referral to the police, and prosecution</w:t>
      </w:r>
      <w:r w:rsidR="00F7707F" w:rsidRPr="00F7707F">
        <w:rPr>
          <w:sz w:val="20"/>
          <w:szCs w:val="20"/>
        </w:rPr>
        <w:t xml:space="preserve"> </w:t>
      </w:r>
      <w:r w:rsidR="00F7707F">
        <w:rPr>
          <w:sz w:val="20"/>
          <w:szCs w:val="20"/>
        </w:rPr>
        <w:t>in the community (</w:t>
      </w:r>
      <w:r w:rsidR="00F7707F" w:rsidRPr="00793A5D">
        <w:rPr>
          <w:sz w:val="20"/>
          <w:szCs w:val="20"/>
        </w:rPr>
        <w:t>Kelly</w:t>
      </w:r>
      <w:r w:rsidR="00F7707F" w:rsidRPr="008D1CAB">
        <w:rPr>
          <w:sz w:val="20"/>
          <w:szCs w:val="20"/>
        </w:rPr>
        <w:t xml:space="preserve"> </w:t>
      </w:r>
      <w:r w:rsidR="00F7707F" w:rsidRPr="008D1CAB">
        <w:rPr>
          <w:i/>
          <w:sz w:val="20"/>
          <w:szCs w:val="20"/>
        </w:rPr>
        <w:t>et al.</w:t>
      </w:r>
      <w:r w:rsidR="00F7707F">
        <w:rPr>
          <w:sz w:val="20"/>
          <w:szCs w:val="20"/>
        </w:rPr>
        <w:t xml:space="preserve"> 2005)</w:t>
      </w:r>
      <w:r>
        <w:rPr>
          <w:sz w:val="20"/>
          <w:szCs w:val="20"/>
        </w:rPr>
        <w:t>.</w:t>
      </w:r>
      <w:r w:rsidRPr="008D1CAB">
        <w:rPr>
          <w:sz w:val="20"/>
          <w:szCs w:val="20"/>
        </w:rPr>
        <w:t xml:space="preserve"> </w:t>
      </w:r>
      <w:r>
        <w:rPr>
          <w:sz w:val="20"/>
          <w:szCs w:val="20"/>
        </w:rPr>
        <w:t xml:space="preserve">These ‘gaps’ help to explain, though, the </w:t>
      </w:r>
      <w:r w:rsidRPr="008D1CAB">
        <w:rPr>
          <w:rFonts w:eastAsia="Times New Roman"/>
          <w:color w:val="000000"/>
          <w:sz w:val="20"/>
          <w:szCs w:val="20"/>
          <w:lang w:eastAsia="en-GB"/>
        </w:rPr>
        <w:t xml:space="preserve">discrepancy between HMIP’s </w:t>
      </w:r>
      <w:r>
        <w:rPr>
          <w:rFonts w:eastAsia="Times New Roman"/>
          <w:color w:val="000000"/>
          <w:sz w:val="20"/>
          <w:szCs w:val="20"/>
          <w:lang w:eastAsia="en-GB"/>
        </w:rPr>
        <w:t>findings</w:t>
      </w:r>
      <w:r w:rsidRPr="008D1CAB">
        <w:rPr>
          <w:rFonts w:eastAsia="Times New Roman"/>
          <w:color w:val="000000"/>
          <w:sz w:val="20"/>
          <w:szCs w:val="20"/>
          <w:lang w:eastAsia="en-GB"/>
        </w:rPr>
        <w:t xml:space="preserve"> that at least one per cent of prisoners are sexually assaulted (Howard League </w:t>
      </w:r>
      <w:r w:rsidR="00650B7B">
        <w:rPr>
          <w:rFonts w:eastAsia="Times New Roman"/>
          <w:color w:val="000000"/>
          <w:sz w:val="20"/>
          <w:szCs w:val="20"/>
          <w:lang w:eastAsia="en-GB"/>
        </w:rPr>
        <w:t>2012</w:t>
      </w:r>
      <w:r>
        <w:rPr>
          <w:rFonts w:eastAsia="Times New Roman"/>
          <w:color w:val="000000"/>
          <w:sz w:val="20"/>
          <w:szCs w:val="20"/>
          <w:lang w:eastAsia="en-GB"/>
        </w:rPr>
        <w:t xml:space="preserve">) – </w:t>
      </w:r>
      <w:r w:rsidRPr="008D1CAB">
        <w:rPr>
          <w:rFonts w:eastAsia="Times New Roman"/>
          <w:color w:val="000000"/>
          <w:sz w:val="20"/>
          <w:szCs w:val="20"/>
          <w:lang w:eastAsia="en-GB"/>
        </w:rPr>
        <w:t xml:space="preserve">which </w:t>
      </w:r>
      <w:r w:rsidRPr="008D1CAB">
        <w:rPr>
          <w:sz w:val="20"/>
          <w:szCs w:val="20"/>
        </w:rPr>
        <w:t xml:space="preserve">extrapolating from </w:t>
      </w:r>
      <w:r>
        <w:rPr>
          <w:sz w:val="20"/>
          <w:szCs w:val="20"/>
        </w:rPr>
        <w:t>daily prison population figures</w:t>
      </w:r>
      <w:r w:rsidRPr="008D1CAB">
        <w:rPr>
          <w:sz w:val="20"/>
          <w:szCs w:val="20"/>
        </w:rPr>
        <w:t xml:space="preserve"> equate</w:t>
      </w:r>
      <w:r>
        <w:rPr>
          <w:sz w:val="20"/>
          <w:szCs w:val="20"/>
        </w:rPr>
        <w:t>s</w:t>
      </w:r>
      <w:r w:rsidRPr="008D1CAB">
        <w:rPr>
          <w:sz w:val="20"/>
          <w:szCs w:val="20"/>
        </w:rPr>
        <w:t xml:space="preserve"> to </w:t>
      </w:r>
      <w:r>
        <w:rPr>
          <w:sz w:val="20"/>
          <w:szCs w:val="20"/>
        </w:rPr>
        <w:t>approximately</w:t>
      </w:r>
      <w:r w:rsidRPr="008D1CAB">
        <w:rPr>
          <w:sz w:val="20"/>
          <w:szCs w:val="20"/>
        </w:rPr>
        <w:t xml:space="preserve"> 850 men and women</w:t>
      </w:r>
      <w:r w:rsidRPr="008D1CAB">
        <w:rPr>
          <w:rFonts w:eastAsia="Times New Roman"/>
          <w:color w:val="000000"/>
          <w:sz w:val="20"/>
          <w:szCs w:val="20"/>
          <w:lang w:eastAsia="en-GB"/>
        </w:rPr>
        <w:t xml:space="preserve"> </w:t>
      </w:r>
      <w:r>
        <w:rPr>
          <w:rFonts w:eastAsia="Times New Roman"/>
          <w:color w:val="000000"/>
          <w:sz w:val="20"/>
          <w:szCs w:val="20"/>
          <w:lang w:eastAsia="en-GB"/>
        </w:rPr>
        <w:t xml:space="preserve">– and </w:t>
      </w:r>
      <w:r w:rsidRPr="008D1CAB">
        <w:rPr>
          <w:sz w:val="20"/>
          <w:szCs w:val="20"/>
        </w:rPr>
        <w:t xml:space="preserve">NOMS incident reporting data of 300 </w:t>
      </w:r>
      <w:r>
        <w:rPr>
          <w:sz w:val="20"/>
          <w:szCs w:val="20"/>
        </w:rPr>
        <w:t xml:space="preserve">sexual assaults </w:t>
      </w:r>
      <w:r w:rsidRPr="008D1CAB">
        <w:rPr>
          <w:sz w:val="20"/>
          <w:szCs w:val="20"/>
        </w:rPr>
        <w:t>for 2015 (Ministry of Justice 2016b</w:t>
      </w:r>
      <w:r w:rsidRPr="008D1CAB">
        <w:rPr>
          <w:rFonts w:eastAsia="Times New Roman"/>
          <w:color w:val="000000"/>
          <w:sz w:val="20"/>
          <w:szCs w:val="20"/>
          <w:lang w:eastAsia="en-GB"/>
        </w:rPr>
        <w:t>).</w:t>
      </w:r>
      <w:r w:rsidRPr="008D1CAB">
        <w:rPr>
          <w:sz w:val="20"/>
          <w:szCs w:val="20"/>
        </w:rPr>
        <w:t xml:space="preserve"> </w:t>
      </w:r>
    </w:p>
  </w:footnote>
  <w:footnote w:id="17">
    <w:p w:rsidR="00106EAE" w:rsidRDefault="00106EAE" w:rsidP="00106EAE">
      <w:pPr>
        <w:pStyle w:val="FootnoteText"/>
      </w:pPr>
      <w:r>
        <w:rPr>
          <w:rStyle w:val="FootnoteReference"/>
        </w:rPr>
        <w:footnoteRef/>
      </w:r>
      <w:r>
        <w:t xml:space="preserve"> I am grateful to the anonymous reviewer for this insight and</w:t>
      </w:r>
      <w:r w:rsidR="000F290F">
        <w:t xml:space="preserve"> indeed</w:t>
      </w:r>
      <w:r>
        <w:t xml:space="preserve"> to both referees for their constructive comments on an earlier draft.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C9" w:rsidRDefault="00B70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C9" w:rsidRDefault="00B70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C9" w:rsidRDefault="00B70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3661AF3"/>
    <w:multiLevelType w:val="hybridMultilevel"/>
    <w:tmpl w:val="0A84AD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AE25F6A"/>
    <w:multiLevelType w:val="hybridMultilevel"/>
    <w:tmpl w:val="64323192"/>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nsid w:val="722F35FA"/>
    <w:multiLevelType w:val="hybridMultilevel"/>
    <w:tmpl w:val="0C8E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FA5A45"/>
    <w:multiLevelType w:val="hybridMultilevel"/>
    <w:tmpl w:val="EA54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79"/>
    <w:rsid w:val="0000273A"/>
    <w:rsid w:val="00012F23"/>
    <w:rsid w:val="00013C21"/>
    <w:rsid w:val="00014225"/>
    <w:rsid w:val="00014380"/>
    <w:rsid w:val="0001439F"/>
    <w:rsid w:val="00027437"/>
    <w:rsid w:val="000333A8"/>
    <w:rsid w:val="0005792C"/>
    <w:rsid w:val="00060CD6"/>
    <w:rsid w:val="00062326"/>
    <w:rsid w:val="000649B7"/>
    <w:rsid w:val="00067D85"/>
    <w:rsid w:val="00081AFB"/>
    <w:rsid w:val="00082415"/>
    <w:rsid w:val="00084A8B"/>
    <w:rsid w:val="00090C57"/>
    <w:rsid w:val="00093E4A"/>
    <w:rsid w:val="000A3A1E"/>
    <w:rsid w:val="000A5C9C"/>
    <w:rsid w:val="000D5B8A"/>
    <w:rsid w:val="000E6F2B"/>
    <w:rsid w:val="000F290F"/>
    <w:rsid w:val="000F4289"/>
    <w:rsid w:val="00101E91"/>
    <w:rsid w:val="001022EA"/>
    <w:rsid w:val="00106EAE"/>
    <w:rsid w:val="00120663"/>
    <w:rsid w:val="001221CD"/>
    <w:rsid w:val="001250EB"/>
    <w:rsid w:val="0012669E"/>
    <w:rsid w:val="00134FB6"/>
    <w:rsid w:val="00143648"/>
    <w:rsid w:val="001450CB"/>
    <w:rsid w:val="00145DE1"/>
    <w:rsid w:val="00147480"/>
    <w:rsid w:val="00151567"/>
    <w:rsid w:val="001527AC"/>
    <w:rsid w:val="00153E6F"/>
    <w:rsid w:val="0018039F"/>
    <w:rsid w:val="00180D73"/>
    <w:rsid w:val="00184CB2"/>
    <w:rsid w:val="00197B36"/>
    <w:rsid w:val="001B5899"/>
    <w:rsid w:val="001F2C41"/>
    <w:rsid w:val="001F6A35"/>
    <w:rsid w:val="002035A2"/>
    <w:rsid w:val="00204FC8"/>
    <w:rsid w:val="00206E6E"/>
    <w:rsid w:val="00210BBE"/>
    <w:rsid w:val="00230198"/>
    <w:rsid w:val="00231166"/>
    <w:rsid w:val="00232ED0"/>
    <w:rsid w:val="00242894"/>
    <w:rsid w:val="0024677E"/>
    <w:rsid w:val="00261C5E"/>
    <w:rsid w:val="00265C2F"/>
    <w:rsid w:val="00265CF6"/>
    <w:rsid w:val="00265F9E"/>
    <w:rsid w:val="00287DBC"/>
    <w:rsid w:val="002906F8"/>
    <w:rsid w:val="002977CD"/>
    <w:rsid w:val="00297F3E"/>
    <w:rsid w:val="002A7F3B"/>
    <w:rsid w:val="002C30D6"/>
    <w:rsid w:val="002C4187"/>
    <w:rsid w:val="002C5073"/>
    <w:rsid w:val="002D3BFF"/>
    <w:rsid w:val="002E786C"/>
    <w:rsid w:val="002F1BE2"/>
    <w:rsid w:val="002F39C7"/>
    <w:rsid w:val="002F5E40"/>
    <w:rsid w:val="0030560B"/>
    <w:rsid w:val="00310CB5"/>
    <w:rsid w:val="00312307"/>
    <w:rsid w:val="003140FF"/>
    <w:rsid w:val="00314342"/>
    <w:rsid w:val="00314460"/>
    <w:rsid w:val="00315D1F"/>
    <w:rsid w:val="00316203"/>
    <w:rsid w:val="003204E8"/>
    <w:rsid w:val="00324E87"/>
    <w:rsid w:val="003260BE"/>
    <w:rsid w:val="00326C16"/>
    <w:rsid w:val="00333FD2"/>
    <w:rsid w:val="00336E30"/>
    <w:rsid w:val="00354AAA"/>
    <w:rsid w:val="00356D13"/>
    <w:rsid w:val="0036266D"/>
    <w:rsid w:val="003656F5"/>
    <w:rsid w:val="003739A3"/>
    <w:rsid w:val="00386408"/>
    <w:rsid w:val="00387CBF"/>
    <w:rsid w:val="00387DC6"/>
    <w:rsid w:val="003A6B81"/>
    <w:rsid w:val="003C5C4D"/>
    <w:rsid w:val="003C64DF"/>
    <w:rsid w:val="003D5685"/>
    <w:rsid w:val="003E4024"/>
    <w:rsid w:val="003F3E8A"/>
    <w:rsid w:val="003F7BC7"/>
    <w:rsid w:val="004151FC"/>
    <w:rsid w:val="004170F1"/>
    <w:rsid w:val="004266DD"/>
    <w:rsid w:val="00440CD3"/>
    <w:rsid w:val="00446329"/>
    <w:rsid w:val="004611B0"/>
    <w:rsid w:val="00461E28"/>
    <w:rsid w:val="00466400"/>
    <w:rsid w:val="00477352"/>
    <w:rsid w:val="004844DE"/>
    <w:rsid w:val="00484AE9"/>
    <w:rsid w:val="004963A8"/>
    <w:rsid w:val="004A14D3"/>
    <w:rsid w:val="004A564F"/>
    <w:rsid w:val="004A74EA"/>
    <w:rsid w:val="004B0DEA"/>
    <w:rsid w:val="004C2407"/>
    <w:rsid w:val="004D3B23"/>
    <w:rsid w:val="004D3DA3"/>
    <w:rsid w:val="004E383B"/>
    <w:rsid w:val="004E3912"/>
    <w:rsid w:val="004E6E56"/>
    <w:rsid w:val="004F18FB"/>
    <w:rsid w:val="004F2258"/>
    <w:rsid w:val="005234E2"/>
    <w:rsid w:val="0052375F"/>
    <w:rsid w:val="00534C90"/>
    <w:rsid w:val="0055363B"/>
    <w:rsid w:val="00555511"/>
    <w:rsid w:val="005614BA"/>
    <w:rsid w:val="00575DA6"/>
    <w:rsid w:val="00577E64"/>
    <w:rsid w:val="005856DF"/>
    <w:rsid w:val="0058794B"/>
    <w:rsid w:val="00587BC8"/>
    <w:rsid w:val="00597696"/>
    <w:rsid w:val="005979F1"/>
    <w:rsid w:val="005C448B"/>
    <w:rsid w:val="005C4E08"/>
    <w:rsid w:val="005D2A63"/>
    <w:rsid w:val="005F3047"/>
    <w:rsid w:val="005F4826"/>
    <w:rsid w:val="005F7296"/>
    <w:rsid w:val="00600B64"/>
    <w:rsid w:val="00612409"/>
    <w:rsid w:val="00620AA8"/>
    <w:rsid w:val="00620B67"/>
    <w:rsid w:val="00631CC5"/>
    <w:rsid w:val="0063294D"/>
    <w:rsid w:val="00650B7B"/>
    <w:rsid w:val="00652A32"/>
    <w:rsid w:val="006618F0"/>
    <w:rsid w:val="00684B3E"/>
    <w:rsid w:val="00692D9B"/>
    <w:rsid w:val="00695F7B"/>
    <w:rsid w:val="006A01C1"/>
    <w:rsid w:val="006A4C33"/>
    <w:rsid w:val="006E2C47"/>
    <w:rsid w:val="0070588F"/>
    <w:rsid w:val="00713DD2"/>
    <w:rsid w:val="007204D6"/>
    <w:rsid w:val="00722776"/>
    <w:rsid w:val="00727FAF"/>
    <w:rsid w:val="007300C6"/>
    <w:rsid w:val="007319C2"/>
    <w:rsid w:val="0073252F"/>
    <w:rsid w:val="007411C3"/>
    <w:rsid w:val="007519F6"/>
    <w:rsid w:val="00770FA3"/>
    <w:rsid w:val="007740FD"/>
    <w:rsid w:val="007A1252"/>
    <w:rsid w:val="007A216A"/>
    <w:rsid w:val="007A4EAA"/>
    <w:rsid w:val="007B7137"/>
    <w:rsid w:val="007C2267"/>
    <w:rsid w:val="007C47F8"/>
    <w:rsid w:val="007C7190"/>
    <w:rsid w:val="007D4295"/>
    <w:rsid w:val="007D7536"/>
    <w:rsid w:val="007E01BE"/>
    <w:rsid w:val="007F41EF"/>
    <w:rsid w:val="007F746B"/>
    <w:rsid w:val="008054CA"/>
    <w:rsid w:val="00811BCD"/>
    <w:rsid w:val="00826D27"/>
    <w:rsid w:val="00837E3C"/>
    <w:rsid w:val="00843154"/>
    <w:rsid w:val="008458C8"/>
    <w:rsid w:val="008477F9"/>
    <w:rsid w:val="0085391D"/>
    <w:rsid w:val="00860B71"/>
    <w:rsid w:val="0086776F"/>
    <w:rsid w:val="008730F4"/>
    <w:rsid w:val="0088064C"/>
    <w:rsid w:val="008818D7"/>
    <w:rsid w:val="00890088"/>
    <w:rsid w:val="00890EB6"/>
    <w:rsid w:val="00897C54"/>
    <w:rsid w:val="008A0A04"/>
    <w:rsid w:val="008A52D4"/>
    <w:rsid w:val="008A67BF"/>
    <w:rsid w:val="008B00F9"/>
    <w:rsid w:val="008B17E7"/>
    <w:rsid w:val="008B314E"/>
    <w:rsid w:val="008B4806"/>
    <w:rsid w:val="008B66CF"/>
    <w:rsid w:val="008C0FF5"/>
    <w:rsid w:val="008C46F7"/>
    <w:rsid w:val="008D30F3"/>
    <w:rsid w:val="008F1407"/>
    <w:rsid w:val="008F2752"/>
    <w:rsid w:val="008F47FF"/>
    <w:rsid w:val="00900ED8"/>
    <w:rsid w:val="00902DD1"/>
    <w:rsid w:val="00904B79"/>
    <w:rsid w:val="00906B01"/>
    <w:rsid w:val="00917487"/>
    <w:rsid w:val="00926990"/>
    <w:rsid w:val="00930085"/>
    <w:rsid w:val="00931294"/>
    <w:rsid w:val="00931D14"/>
    <w:rsid w:val="00940570"/>
    <w:rsid w:val="009407C6"/>
    <w:rsid w:val="00950D6B"/>
    <w:rsid w:val="00954EC7"/>
    <w:rsid w:val="00957EF5"/>
    <w:rsid w:val="009706CE"/>
    <w:rsid w:val="00972EC6"/>
    <w:rsid w:val="00976933"/>
    <w:rsid w:val="00976A63"/>
    <w:rsid w:val="00980388"/>
    <w:rsid w:val="00991EAA"/>
    <w:rsid w:val="00994F43"/>
    <w:rsid w:val="009A30C3"/>
    <w:rsid w:val="009A425B"/>
    <w:rsid w:val="009C019E"/>
    <w:rsid w:val="009C2879"/>
    <w:rsid w:val="009C7669"/>
    <w:rsid w:val="009E5FF2"/>
    <w:rsid w:val="009F49EC"/>
    <w:rsid w:val="00A03E34"/>
    <w:rsid w:val="00A1632F"/>
    <w:rsid w:val="00A355DC"/>
    <w:rsid w:val="00A46DC0"/>
    <w:rsid w:val="00A6001D"/>
    <w:rsid w:val="00A6780D"/>
    <w:rsid w:val="00A70E7B"/>
    <w:rsid w:val="00A86D3C"/>
    <w:rsid w:val="00A87B9D"/>
    <w:rsid w:val="00A9135A"/>
    <w:rsid w:val="00A959B6"/>
    <w:rsid w:val="00A95B56"/>
    <w:rsid w:val="00AA633F"/>
    <w:rsid w:val="00AA64E5"/>
    <w:rsid w:val="00AB145F"/>
    <w:rsid w:val="00AB729D"/>
    <w:rsid w:val="00AC765C"/>
    <w:rsid w:val="00AD4102"/>
    <w:rsid w:val="00AF16B3"/>
    <w:rsid w:val="00AF4BE8"/>
    <w:rsid w:val="00B03CB5"/>
    <w:rsid w:val="00B11A4E"/>
    <w:rsid w:val="00B17277"/>
    <w:rsid w:val="00B342AE"/>
    <w:rsid w:val="00B4520D"/>
    <w:rsid w:val="00B45248"/>
    <w:rsid w:val="00B45391"/>
    <w:rsid w:val="00B60050"/>
    <w:rsid w:val="00B709CA"/>
    <w:rsid w:val="00B70DC9"/>
    <w:rsid w:val="00B73736"/>
    <w:rsid w:val="00B83D15"/>
    <w:rsid w:val="00B940EB"/>
    <w:rsid w:val="00BA3DB4"/>
    <w:rsid w:val="00BA521E"/>
    <w:rsid w:val="00BB1570"/>
    <w:rsid w:val="00BC74B8"/>
    <w:rsid w:val="00BD00E2"/>
    <w:rsid w:val="00BD6D70"/>
    <w:rsid w:val="00BF0F1A"/>
    <w:rsid w:val="00BF2ADF"/>
    <w:rsid w:val="00C02205"/>
    <w:rsid w:val="00C047FB"/>
    <w:rsid w:val="00C07D49"/>
    <w:rsid w:val="00C2063D"/>
    <w:rsid w:val="00C2720F"/>
    <w:rsid w:val="00C30C60"/>
    <w:rsid w:val="00C30FE9"/>
    <w:rsid w:val="00C34224"/>
    <w:rsid w:val="00C35259"/>
    <w:rsid w:val="00C41CCB"/>
    <w:rsid w:val="00C42F40"/>
    <w:rsid w:val="00C60CB0"/>
    <w:rsid w:val="00C717E4"/>
    <w:rsid w:val="00C82546"/>
    <w:rsid w:val="00C8293E"/>
    <w:rsid w:val="00CA3D34"/>
    <w:rsid w:val="00CA4CEA"/>
    <w:rsid w:val="00CA72E0"/>
    <w:rsid w:val="00CC15BB"/>
    <w:rsid w:val="00CC1717"/>
    <w:rsid w:val="00CC3430"/>
    <w:rsid w:val="00CC4C83"/>
    <w:rsid w:val="00CC6131"/>
    <w:rsid w:val="00CD7751"/>
    <w:rsid w:val="00CE1F14"/>
    <w:rsid w:val="00CE5EE0"/>
    <w:rsid w:val="00CE67C8"/>
    <w:rsid w:val="00CF0B98"/>
    <w:rsid w:val="00CF3785"/>
    <w:rsid w:val="00CF5AE3"/>
    <w:rsid w:val="00D009CA"/>
    <w:rsid w:val="00D07314"/>
    <w:rsid w:val="00D16C60"/>
    <w:rsid w:val="00D2461E"/>
    <w:rsid w:val="00D36C7E"/>
    <w:rsid w:val="00D5339F"/>
    <w:rsid w:val="00D55A6D"/>
    <w:rsid w:val="00D61B3F"/>
    <w:rsid w:val="00D708F5"/>
    <w:rsid w:val="00D73220"/>
    <w:rsid w:val="00D753A2"/>
    <w:rsid w:val="00D761F8"/>
    <w:rsid w:val="00D76533"/>
    <w:rsid w:val="00D83F21"/>
    <w:rsid w:val="00D90B4C"/>
    <w:rsid w:val="00D93EDF"/>
    <w:rsid w:val="00D96741"/>
    <w:rsid w:val="00DA4BFC"/>
    <w:rsid w:val="00DB4EE2"/>
    <w:rsid w:val="00DB7AD6"/>
    <w:rsid w:val="00DC092E"/>
    <w:rsid w:val="00DD2307"/>
    <w:rsid w:val="00DE031B"/>
    <w:rsid w:val="00DE14FD"/>
    <w:rsid w:val="00DF2233"/>
    <w:rsid w:val="00E0119A"/>
    <w:rsid w:val="00E077FB"/>
    <w:rsid w:val="00E16B8F"/>
    <w:rsid w:val="00E24189"/>
    <w:rsid w:val="00E24897"/>
    <w:rsid w:val="00E2724B"/>
    <w:rsid w:val="00E36117"/>
    <w:rsid w:val="00E56691"/>
    <w:rsid w:val="00E6310A"/>
    <w:rsid w:val="00E647BF"/>
    <w:rsid w:val="00E7280F"/>
    <w:rsid w:val="00E7582D"/>
    <w:rsid w:val="00E82E3C"/>
    <w:rsid w:val="00E91E6E"/>
    <w:rsid w:val="00E958FF"/>
    <w:rsid w:val="00EA12A6"/>
    <w:rsid w:val="00EA5BF0"/>
    <w:rsid w:val="00EB773B"/>
    <w:rsid w:val="00EC08DB"/>
    <w:rsid w:val="00EC2B51"/>
    <w:rsid w:val="00ED4062"/>
    <w:rsid w:val="00ED4F89"/>
    <w:rsid w:val="00EE0FA6"/>
    <w:rsid w:val="00EE2D6D"/>
    <w:rsid w:val="00EF21C5"/>
    <w:rsid w:val="00EF2E69"/>
    <w:rsid w:val="00EF2F2A"/>
    <w:rsid w:val="00F102B9"/>
    <w:rsid w:val="00F10A5B"/>
    <w:rsid w:val="00F24EC3"/>
    <w:rsid w:val="00F25816"/>
    <w:rsid w:val="00F26DD7"/>
    <w:rsid w:val="00F31129"/>
    <w:rsid w:val="00F32854"/>
    <w:rsid w:val="00F34D19"/>
    <w:rsid w:val="00F450D9"/>
    <w:rsid w:val="00F53D51"/>
    <w:rsid w:val="00F565C6"/>
    <w:rsid w:val="00F61CF8"/>
    <w:rsid w:val="00F621EB"/>
    <w:rsid w:val="00F641CA"/>
    <w:rsid w:val="00F6739E"/>
    <w:rsid w:val="00F701BD"/>
    <w:rsid w:val="00F72FC8"/>
    <w:rsid w:val="00F7685D"/>
    <w:rsid w:val="00F7707F"/>
    <w:rsid w:val="00F86AF7"/>
    <w:rsid w:val="00F87F32"/>
    <w:rsid w:val="00F97695"/>
    <w:rsid w:val="00FA367C"/>
    <w:rsid w:val="00FB1017"/>
    <w:rsid w:val="00FB76CA"/>
    <w:rsid w:val="00FC4CB6"/>
    <w:rsid w:val="00FC53A9"/>
    <w:rsid w:val="00FD5711"/>
    <w:rsid w:val="00FD6AB9"/>
    <w:rsid w:val="00FD79CC"/>
    <w:rsid w:val="00FE3D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CA"/>
  </w:style>
  <w:style w:type="paragraph" w:styleId="Heading3">
    <w:name w:val="heading 3"/>
    <w:basedOn w:val="Normal"/>
    <w:next w:val="Normal"/>
    <w:link w:val="Heading3Char"/>
    <w:qFormat/>
    <w:rsid w:val="00FB76CA"/>
    <w:pPr>
      <w:keepNext/>
      <w:numPr>
        <w:ilvl w:val="2"/>
        <w:numId w:val="4"/>
      </w:numPr>
      <w:suppressAutoHyphens/>
      <w:spacing w:after="0" w:line="360" w:lineRule="auto"/>
      <w:outlineLvl w:val="2"/>
    </w:pPr>
    <w:rPr>
      <w:rFonts w:eastAsia="Times New Roman"/>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B76CA"/>
    <w:rPr>
      <w:rFonts w:eastAsia="Times New Roman"/>
      <w:b/>
      <w:bCs/>
      <w:i/>
      <w:iCs/>
      <w:lang w:eastAsia="ar-SA"/>
    </w:rPr>
  </w:style>
  <w:style w:type="paragraph" w:styleId="FootnoteText">
    <w:name w:val="footnote text"/>
    <w:aliases w:val="Footnote Text Char1,Footnote Text Char Char Char,Footnote Text Char Char,Footnote Text Char Char Char Char Char Char Char,Footnote Text Char Char Char Char,Footnote Text Char Char Char Char Char Char Char Char Char Char Char"/>
    <w:basedOn w:val="Normal"/>
    <w:link w:val="FootnoteTextChar"/>
    <w:unhideWhenUsed/>
    <w:rsid w:val="00FB76CA"/>
    <w:pPr>
      <w:spacing w:after="0" w:line="240" w:lineRule="auto"/>
    </w:pPr>
    <w:rPr>
      <w:sz w:val="20"/>
      <w:szCs w:val="20"/>
    </w:rPr>
  </w:style>
  <w:style w:type="character" w:customStyle="1" w:styleId="FootnoteTextChar">
    <w:name w:val="Footnote Text Char"/>
    <w:aliases w:val="Footnote Text Char1 Char,Footnote Text Char Char Char Char1,Footnote Text Char Char Char1,Footnote Text Char Char Char Char Char Char Char Char,Footnote Text Char Char Char Char Char"/>
    <w:basedOn w:val="DefaultParagraphFont"/>
    <w:link w:val="FootnoteText"/>
    <w:rsid w:val="00FB76CA"/>
    <w:rPr>
      <w:sz w:val="20"/>
      <w:szCs w:val="20"/>
    </w:rPr>
  </w:style>
  <w:style w:type="character" w:styleId="FootnoteReference">
    <w:name w:val="footnote reference"/>
    <w:basedOn w:val="DefaultParagraphFont"/>
    <w:uiPriority w:val="99"/>
    <w:unhideWhenUsed/>
    <w:rsid w:val="00FB76CA"/>
    <w:rPr>
      <w:vertAlign w:val="superscript"/>
    </w:rPr>
  </w:style>
  <w:style w:type="character" w:styleId="Hyperlink">
    <w:name w:val="Hyperlink"/>
    <w:basedOn w:val="DefaultParagraphFont"/>
    <w:uiPriority w:val="99"/>
    <w:unhideWhenUsed/>
    <w:rsid w:val="00FB76CA"/>
    <w:rPr>
      <w:color w:val="0000FF"/>
      <w:u w:val="single"/>
    </w:rPr>
  </w:style>
  <w:style w:type="character" w:customStyle="1" w:styleId="apple-converted-space">
    <w:name w:val="apple-converted-space"/>
    <w:basedOn w:val="DefaultParagraphFont"/>
    <w:rsid w:val="00FB76CA"/>
  </w:style>
  <w:style w:type="paragraph" w:styleId="ListParagraph">
    <w:name w:val="List Paragraph"/>
    <w:basedOn w:val="Normal"/>
    <w:uiPriority w:val="34"/>
    <w:qFormat/>
    <w:rsid w:val="00FB76CA"/>
    <w:pPr>
      <w:ind w:left="720"/>
      <w:contextualSpacing/>
    </w:pPr>
  </w:style>
  <w:style w:type="paragraph" w:customStyle="1" w:styleId="Default">
    <w:name w:val="Default"/>
    <w:rsid w:val="00FB76CA"/>
    <w:pPr>
      <w:autoSpaceDE w:val="0"/>
      <w:autoSpaceDN w:val="0"/>
      <w:adjustRightInd w:val="0"/>
      <w:spacing w:after="0" w:line="240" w:lineRule="auto"/>
    </w:pPr>
    <w:rPr>
      <w:rFonts w:ascii="Verdana" w:hAnsi="Verdana" w:cs="Verdana"/>
      <w:color w:val="000000"/>
    </w:rPr>
  </w:style>
  <w:style w:type="paragraph" w:styleId="EndnoteText">
    <w:name w:val="endnote text"/>
    <w:basedOn w:val="Normal"/>
    <w:link w:val="EndnoteTextChar"/>
    <w:unhideWhenUsed/>
    <w:rsid w:val="00FB76CA"/>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FB76CA"/>
    <w:rPr>
      <w:rFonts w:eastAsia="Times New Roman"/>
      <w:sz w:val="20"/>
      <w:szCs w:val="20"/>
    </w:rPr>
  </w:style>
  <w:style w:type="paragraph" w:styleId="BalloonText">
    <w:name w:val="Balloon Text"/>
    <w:basedOn w:val="Normal"/>
    <w:link w:val="BalloonTextChar"/>
    <w:uiPriority w:val="99"/>
    <w:semiHidden/>
    <w:unhideWhenUsed/>
    <w:rsid w:val="00FB7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CA"/>
    <w:rPr>
      <w:rFonts w:ascii="Tahoma" w:hAnsi="Tahoma" w:cs="Tahoma"/>
      <w:sz w:val="16"/>
      <w:szCs w:val="16"/>
    </w:rPr>
  </w:style>
  <w:style w:type="paragraph" w:customStyle="1" w:styleId="WW-HTMLPreformatted">
    <w:name w:val="WW-HTML Preformatted"/>
    <w:basedOn w:val="Normal"/>
    <w:rsid w:val="00FB7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cit-title6">
    <w:name w:val="cit-title6"/>
    <w:rsid w:val="00FB76CA"/>
    <w:rPr>
      <w:b/>
      <w:bCs/>
      <w:vanish w:val="0"/>
      <w:webHidden w:val="0"/>
      <w:color w:val="111111"/>
      <w:sz w:val="24"/>
      <w:szCs w:val="24"/>
      <w:specVanish w:val="0"/>
    </w:rPr>
  </w:style>
  <w:style w:type="character" w:customStyle="1" w:styleId="site-title">
    <w:name w:val="site-title"/>
    <w:rsid w:val="00FB76CA"/>
  </w:style>
  <w:style w:type="character" w:customStyle="1" w:styleId="nlmstring-name">
    <w:name w:val="nlm_string-name"/>
    <w:basedOn w:val="DefaultParagraphFont"/>
    <w:rsid w:val="00FB76CA"/>
  </w:style>
  <w:style w:type="paragraph" w:styleId="NoSpacing">
    <w:name w:val="No Spacing"/>
    <w:uiPriority w:val="99"/>
    <w:qFormat/>
    <w:rsid w:val="00FB76CA"/>
    <w:pPr>
      <w:spacing w:after="0" w:line="240" w:lineRule="auto"/>
    </w:pPr>
    <w:rPr>
      <w:rFonts w:eastAsia="Times New Roman"/>
      <w:lang w:val="en-US"/>
    </w:rPr>
  </w:style>
  <w:style w:type="character" w:styleId="Emphasis">
    <w:name w:val="Emphasis"/>
    <w:basedOn w:val="DefaultParagraphFont"/>
    <w:uiPriority w:val="20"/>
    <w:qFormat/>
    <w:rsid w:val="00FB76CA"/>
    <w:rPr>
      <w:i/>
      <w:iCs/>
    </w:rPr>
  </w:style>
  <w:style w:type="paragraph" w:styleId="HTMLPreformatted">
    <w:name w:val="HTML Preformatted"/>
    <w:basedOn w:val="Normal"/>
    <w:link w:val="HTMLPreformattedChar"/>
    <w:rsid w:val="00FB7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B76CA"/>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B70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DC9"/>
  </w:style>
  <w:style w:type="paragraph" w:styleId="Footer">
    <w:name w:val="footer"/>
    <w:basedOn w:val="Normal"/>
    <w:link w:val="FooterChar"/>
    <w:uiPriority w:val="99"/>
    <w:unhideWhenUsed/>
    <w:rsid w:val="00B70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CA"/>
  </w:style>
  <w:style w:type="paragraph" w:styleId="Heading3">
    <w:name w:val="heading 3"/>
    <w:basedOn w:val="Normal"/>
    <w:next w:val="Normal"/>
    <w:link w:val="Heading3Char"/>
    <w:qFormat/>
    <w:rsid w:val="00FB76CA"/>
    <w:pPr>
      <w:keepNext/>
      <w:numPr>
        <w:ilvl w:val="2"/>
        <w:numId w:val="4"/>
      </w:numPr>
      <w:suppressAutoHyphens/>
      <w:spacing w:after="0" w:line="360" w:lineRule="auto"/>
      <w:outlineLvl w:val="2"/>
    </w:pPr>
    <w:rPr>
      <w:rFonts w:eastAsia="Times New Roman"/>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B76CA"/>
    <w:rPr>
      <w:rFonts w:eastAsia="Times New Roman"/>
      <w:b/>
      <w:bCs/>
      <w:i/>
      <w:iCs/>
      <w:lang w:eastAsia="ar-SA"/>
    </w:rPr>
  </w:style>
  <w:style w:type="paragraph" w:styleId="FootnoteText">
    <w:name w:val="footnote text"/>
    <w:aliases w:val="Footnote Text Char1,Footnote Text Char Char Char,Footnote Text Char Char,Footnote Text Char Char Char Char Char Char Char,Footnote Text Char Char Char Char,Footnote Text Char Char Char Char Char Char Char Char Char Char Char"/>
    <w:basedOn w:val="Normal"/>
    <w:link w:val="FootnoteTextChar"/>
    <w:unhideWhenUsed/>
    <w:rsid w:val="00FB76CA"/>
    <w:pPr>
      <w:spacing w:after="0" w:line="240" w:lineRule="auto"/>
    </w:pPr>
    <w:rPr>
      <w:sz w:val="20"/>
      <w:szCs w:val="20"/>
    </w:rPr>
  </w:style>
  <w:style w:type="character" w:customStyle="1" w:styleId="FootnoteTextChar">
    <w:name w:val="Footnote Text Char"/>
    <w:aliases w:val="Footnote Text Char1 Char,Footnote Text Char Char Char Char1,Footnote Text Char Char Char1,Footnote Text Char Char Char Char Char Char Char Char,Footnote Text Char Char Char Char Char"/>
    <w:basedOn w:val="DefaultParagraphFont"/>
    <w:link w:val="FootnoteText"/>
    <w:rsid w:val="00FB76CA"/>
    <w:rPr>
      <w:sz w:val="20"/>
      <w:szCs w:val="20"/>
    </w:rPr>
  </w:style>
  <w:style w:type="character" w:styleId="FootnoteReference">
    <w:name w:val="footnote reference"/>
    <w:basedOn w:val="DefaultParagraphFont"/>
    <w:uiPriority w:val="99"/>
    <w:unhideWhenUsed/>
    <w:rsid w:val="00FB76CA"/>
    <w:rPr>
      <w:vertAlign w:val="superscript"/>
    </w:rPr>
  </w:style>
  <w:style w:type="character" w:styleId="Hyperlink">
    <w:name w:val="Hyperlink"/>
    <w:basedOn w:val="DefaultParagraphFont"/>
    <w:uiPriority w:val="99"/>
    <w:unhideWhenUsed/>
    <w:rsid w:val="00FB76CA"/>
    <w:rPr>
      <w:color w:val="0000FF"/>
      <w:u w:val="single"/>
    </w:rPr>
  </w:style>
  <w:style w:type="character" w:customStyle="1" w:styleId="apple-converted-space">
    <w:name w:val="apple-converted-space"/>
    <w:basedOn w:val="DefaultParagraphFont"/>
    <w:rsid w:val="00FB76CA"/>
  </w:style>
  <w:style w:type="paragraph" w:styleId="ListParagraph">
    <w:name w:val="List Paragraph"/>
    <w:basedOn w:val="Normal"/>
    <w:uiPriority w:val="34"/>
    <w:qFormat/>
    <w:rsid w:val="00FB76CA"/>
    <w:pPr>
      <w:ind w:left="720"/>
      <w:contextualSpacing/>
    </w:pPr>
  </w:style>
  <w:style w:type="paragraph" w:customStyle="1" w:styleId="Default">
    <w:name w:val="Default"/>
    <w:rsid w:val="00FB76CA"/>
    <w:pPr>
      <w:autoSpaceDE w:val="0"/>
      <w:autoSpaceDN w:val="0"/>
      <w:adjustRightInd w:val="0"/>
      <w:spacing w:after="0" w:line="240" w:lineRule="auto"/>
    </w:pPr>
    <w:rPr>
      <w:rFonts w:ascii="Verdana" w:hAnsi="Verdana" w:cs="Verdana"/>
      <w:color w:val="000000"/>
    </w:rPr>
  </w:style>
  <w:style w:type="paragraph" w:styleId="EndnoteText">
    <w:name w:val="endnote text"/>
    <w:basedOn w:val="Normal"/>
    <w:link w:val="EndnoteTextChar"/>
    <w:unhideWhenUsed/>
    <w:rsid w:val="00FB76CA"/>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FB76CA"/>
    <w:rPr>
      <w:rFonts w:eastAsia="Times New Roman"/>
      <w:sz w:val="20"/>
      <w:szCs w:val="20"/>
    </w:rPr>
  </w:style>
  <w:style w:type="paragraph" w:styleId="BalloonText">
    <w:name w:val="Balloon Text"/>
    <w:basedOn w:val="Normal"/>
    <w:link w:val="BalloonTextChar"/>
    <w:uiPriority w:val="99"/>
    <w:semiHidden/>
    <w:unhideWhenUsed/>
    <w:rsid w:val="00FB7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CA"/>
    <w:rPr>
      <w:rFonts w:ascii="Tahoma" w:hAnsi="Tahoma" w:cs="Tahoma"/>
      <w:sz w:val="16"/>
      <w:szCs w:val="16"/>
    </w:rPr>
  </w:style>
  <w:style w:type="paragraph" w:customStyle="1" w:styleId="WW-HTMLPreformatted">
    <w:name w:val="WW-HTML Preformatted"/>
    <w:basedOn w:val="Normal"/>
    <w:rsid w:val="00FB7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cit-title6">
    <w:name w:val="cit-title6"/>
    <w:rsid w:val="00FB76CA"/>
    <w:rPr>
      <w:b/>
      <w:bCs/>
      <w:vanish w:val="0"/>
      <w:webHidden w:val="0"/>
      <w:color w:val="111111"/>
      <w:sz w:val="24"/>
      <w:szCs w:val="24"/>
      <w:specVanish w:val="0"/>
    </w:rPr>
  </w:style>
  <w:style w:type="character" w:customStyle="1" w:styleId="site-title">
    <w:name w:val="site-title"/>
    <w:rsid w:val="00FB76CA"/>
  </w:style>
  <w:style w:type="character" w:customStyle="1" w:styleId="nlmstring-name">
    <w:name w:val="nlm_string-name"/>
    <w:basedOn w:val="DefaultParagraphFont"/>
    <w:rsid w:val="00FB76CA"/>
  </w:style>
  <w:style w:type="paragraph" w:styleId="NoSpacing">
    <w:name w:val="No Spacing"/>
    <w:uiPriority w:val="99"/>
    <w:qFormat/>
    <w:rsid w:val="00FB76CA"/>
    <w:pPr>
      <w:spacing w:after="0" w:line="240" w:lineRule="auto"/>
    </w:pPr>
    <w:rPr>
      <w:rFonts w:eastAsia="Times New Roman"/>
      <w:lang w:val="en-US"/>
    </w:rPr>
  </w:style>
  <w:style w:type="character" w:styleId="Emphasis">
    <w:name w:val="Emphasis"/>
    <w:basedOn w:val="DefaultParagraphFont"/>
    <w:uiPriority w:val="20"/>
    <w:qFormat/>
    <w:rsid w:val="00FB76CA"/>
    <w:rPr>
      <w:i/>
      <w:iCs/>
    </w:rPr>
  </w:style>
  <w:style w:type="paragraph" w:styleId="HTMLPreformatted">
    <w:name w:val="HTML Preformatted"/>
    <w:basedOn w:val="Normal"/>
    <w:link w:val="HTMLPreformattedChar"/>
    <w:rsid w:val="00FB7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B76CA"/>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B70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DC9"/>
  </w:style>
  <w:style w:type="paragraph" w:styleId="Footer">
    <w:name w:val="footer"/>
    <w:basedOn w:val="Normal"/>
    <w:link w:val="FooterChar"/>
    <w:uiPriority w:val="99"/>
    <w:unhideWhenUsed/>
    <w:rsid w:val="00B70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wardleague.org/publications/sex-in-prison-experiences-of-former-prison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ps.gov.uk/publications/agencies/crime_in_prisons_protocol_201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statistics/safety-in-custody-quarterly-update-to-december-201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statistics/prison-population-figures-2016"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gov.uk/government/statistics/management-information-on-sexual-assaults-in-prison-custod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ailii.org/cgi-bin/redirect.cgi?path=/uk/cases/UKHL/200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EE32-A3F9-41D2-A250-88E7931A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9610</Words>
  <Characters>54780</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2017-01-10T10:14:00Z</dcterms:created>
  <dcterms:modified xsi:type="dcterms:W3CDTF">2017-01-10T10:14:00Z</dcterms:modified>
</cp:coreProperties>
</file>