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39" w:rsidRPr="00A53C50" w:rsidRDefault="00212A58" w:rsidP="0051528B">
      <w:pPr>
        <w:spacing w:line="480" w:lineRule="auto"/>
        <w:jc w:val="center"/>
        <w:rPr>
          <w:b/>
          <w:caps/>
          <w:sz w:val="28"/>
          <w:szCs w:val="28"/>
        </w:rPr>
      </w:pPr>
      <w:r w:rsidRPr="00A53C50">
        <w:rPr>
          <w:b/>
          <w:caps/>
          <w:sz w:val="28"/>
          <w:szCs w:val="28"/>
        </w:rPr>
        <w:t>influenza virus</w:t>
      </w:r>
      <w:r>
        <w:rPr>
          <w:b/>
          <w:caps/>
          <w:sz w:val="28"/>
          <w:szCs w:val="28"/>
        </w:rPr>
        <w:t xml:space="preserve"> </w:t>
      </w:r>
      <w:r w:rsidR="00781F39" w:rsidRPr="00A53C50">
        <w:rPr>
          <w:b/>
          <w:caps/>
          <w:sz w:val="28"/>
          <w:szCs w:val="28"/>
        </w:rPr>
        <w:t>research</w:t>
      </w:r>
      <w:r w:rsidR="009C533C">
        <w:rPr>
          <w:b/>
          <w:caps/>
          <w:sz w:val="28"/>
          <w:szCs w:val="28"/>
        </w:rPr>
        <w:t xml:space="preserve"> and EU Export Regulations</w:t>
      </w:r>
      <w:r w:rsidR="00781F39" w:rsidRPr="00A53C50">
        <w:rPr>
          <w:b/>
          <w:caps/>
          <w:sz w:val="28"/>
          <w:szCs w:val="28"/>
        </w:rPr>
        <w:t xml:space="preserve">: publication, proliferation and pandemic </w:t>
      </w:r>
      <w:r w:rsidR="003D4A11">
        <w:rPr>
          <w:b/>
          <w:caps/>
          <w:sz w:val="28"/>
          <w:szCs w:val="28"/>
        </w:rPr>
        <w:t>Risks</w:t>
      </w:r>
    </w:p>
    <w:p w:rsidR="00781F39" w:rsidRDefault="00781F39" w:rsidP="0051528B">
      <w:pPr>
        <w:spacing w:line="480" w:lineRule="auto"/>
      </w:pPr>
    </w:p>
    <w:p w:rsidR="008D6B15" w:rsidRDefault="008D6B15" w:rsidP="0051528B">
      <w:pPr>
        <w:spacing w:line="480" w:lineRule="auto"/>
      </w:pPr>
    </w:p>
    <w:p w:rsidR="00781F39" w:rsidRPr="00A53C50" w:rsidRDefault="00D0684C" w:rsidP="0051528B">
      <w:pPr>
        <w:pStyle w:val="Heading1"/>
        <w:spacing w:line="480" w:lineRule="auto"/>
      </w:pPr>
      <w:r>
        <w:t>Abstract</w:t>
      </w:r>
    </w:p>
    <w:p w:rsidR="00F216DE" w:rsidRDefault="00F216DE" w:rsidP="0051528B">
      <w:pPr>
        <w:spacing w:line="480" w:lineRule="auto"/>
        <w:jc w:val="both"/>
      </w:pPr>
    </w:p>
    <w:p w:rsidR="0081579A" w:rsidRDefault="00F216DE" w:rsidP="0051528B">
      <w:pPr>
        <w:spacing w:line="480" w:lineRule="auto"/>
        <w:jc w:val="both"/>
      </w:pPr>
      <w:r>
        <w:t xml:space="preserve">An influenza pandemic would be a global health emergency, and laboratory-based research on influenza viruses is an important component of worldwide efforts to prevent </w:t>
      </w:r>
      <w:r w:rsidR="0092586C">
        <w:t>and</w:t>
      </w:r>
      <w:r>
        <w:t xml:space="preserve"> prepare for this. </w:t>
      </w:r>
      <w:r w:rsidR="00157BEB">
        <w:t xml:space="preserve">There </w:t>
      </w:r>
      <w:r w:rsidR="00B32727">
        <w:t>are</w:t>
      </w:r>
      <w:r w:rsidR="00157BEB">
        <w:t xml:space="preserve"> concern</w:t>
      </w:r>
      <w:r w:rsidR="00B32727">
        <w:t>s</w:t>
      </w:r>
      <w:r w:rsidR="00157BEB">
        <w:t>, however,</w:t>
      </w:r>
      <w:r>
        <w:t xml:space="preserve"> that publishing the findings of such research might sometimes </w:t>
      </w:r>
      <w:r w:rsidR="0081579A">
        <w:t>increase the risk of a pandemic caused by a laboratory accident or the deliberate release of a deadly virus.</w:t>
      </w:r>
      <w:r w:rsidR="00610372">
        <w:t xml:space="preserve"> </w:t>
      </w:r>
      <w:r w:rsidR="004E3AB5">
        <w:t>T</w:t>
      </w:r>
      <w:r w:rsidR="00610372">
        <w:t>his article</w:t>
      </w:r>
      <w:r w:rsidR="004E3AB5">
        <w:t xml:space="preserve"> </w:t>
      </w:r>
      <w:r w:rsidR="006F1A8B">
        <w:t>address</w:t>
      </w:r>
      <w:r w:rsidR="004E3AB5">
        <w:t>es</w:t>
      </w:r>
      <w:r w:rsidR="00610372">
        <w:t xml:space="preserve"> the challenge of governing scientific </w:t>
      </w:r>
      <w:proofErr w:type="gramStart"/>
      <w:r w:rsidR="00610372">
        <w:t>information-sharing</w:t>
      </w:r>
      <w:proofErr w:type="gramEnd"/>
      <w:r w:rsidR="00610372">
        <w:t xml:space="preserve">, </w:t>
      </w:r>
      <w:r w:rsidR="00B32727">
        <w:t>with regard to</w:t>
      </w:r>
      <w:r w:rsidR="00610372">
        <w:t xml:space="preserve"> public health</w:t>
      </w:r>
      <w:r w:rsidR="00B32727">
        <w:t xml:space="preserve"> benefits and risks</w:t>
      </w:r>
      <w:r w:rsidR="00610372">
        <w:t>, from an export-control perspective. The discussion focuses on research findings</w:t>
      </w:r>
      <w:r w:rsidR="00157BEB">
        <w:t xml:space="preserve"> </w:t>
      </w:r>
      <w:r w:rsidR="00610372">
        <w:t xml:space="preserve">produced in 2011 by a team of </w:t>
      </w:r>
      <w:r w:rsidR="00E962BE">
        <w:t xml:space="preserve">influenza </w:t>
      </w:r>
      <w:r w:rsidR="00610372">
        <w:t>virologists in the Netherlands</w:t>
      </w:r>
      <w:r w:rsidR="004E3AB5">
        <w:t>,</w:t>
      </w:r>
      <w:r w:rsidR="00E962BE">
        <w:t xml:space="preserve"> </w:t>
      </w:r>
      <w:r w:rsidR="00157BEB">
        <w:t xml:space="preserve">and </w:t>
      </w:r>
      <w:r w:rsidR="004E3AB5">
        <w:t xml:space="preserve">on </w:t>
      </w:r>
      <w:r w:rsidR="00157BEB">
        <w:t xml:space="preserve">the </w:t>
      </w:r>
      <w:r w:rsidR="00E962BE">
        <w:t xml:space="preserve">Dutch Government’s </w:t>
      </w:r>
      <w:r w:rsidR="00157BEB">
        <w:t xml:space="preserve">unprecedented </w:t>
      </w:r>
      <w:r w:rsidR="00B32727">
        <w:t>decision to regard</w:t>
      </w:r>
      <w:r w:rsidR="00E962BE">
        <w:t xml:space="preserve"> the </w:t>
      </w:r>
      <w:r w:rsidR="00CA5686">
        <w:t xml:space="preserve">intended </w:t>
      </w:r>
      <w:r w:rsidR="00E962BE">
        <w:t xml:space="preserve">publication of these findings </w:t>
      </w:r>
      <w:r w:rsidR="00B32727">
        <w:t>as being</w:t>
      </w:r>
      <w:r w:rsidR="00E962BE">
        <w:t xml:space="preserve"> </w:t>
      </w:r>
      <w:r w:rsidR="00157BEB">
        <w:t>subject to</w:t>
      </w:r>
      <w:r w:rsidR="00D0684C">
        <w:t xml:space="preserve"> European Union</w:t>
      </w:r>
      <w:r w:rsidR="00610372">
        <w:t xml:space="preserve"> </w:t>
      </w:r>
      <w:r w:rsidR="00610372" w:rsidRPr="00AB43E6">
        <w:t xml:space="preserve">regulations </w:t>
      </w:r>
      <w:r w:rsidR="00157BEB">
        <w:t>on</w:t>
      </w:r>
      <w:r w:rsidR="00610372" w:rsidRPr="00AB43E6">
        <w:t xml:space="preserve"> </w:t>
      </w:r>
      <w:r w:rsidR="00BC5C64">
        <w:t>the</w:t>
      </w:r>
      <w:r w:rsidR="00E962BE">
        <w:t xml:space="preserve"> </w:t>
      </w:r>
      <w:r w:rsidR="00157BEB">
        <w:t xml:space="preserve">export of </w:t>
      </w:r>
      <w:r w:rsidR="004E3AB5">
        <w:t>‘dual-</w:t>
      </w:r>
      <w:r w:rsidR="00610372" w:rsidRPr="00AB43E6">
        <w:t>use’ items.</w:t>
      </w:r>
      <w:r w:rsidR="006F1A8B">
        <w:t xml:space="preserve"> I argue that, </w:t>
      </w:r>
      <w:r w:rsidR="005A256F">
        <w:t>when</w:t>
      </w:r>
      <w:r w:rsidR="006F1A8B">
        <w:t xml:space="preserve"> a government is uncertain about whether the </w:t>
      </w:r>
      <w:r w:rsidR="00ED6E9E">
        <w:t xml:space="preserve">benefits </w:t>
      </w:r>
      <w:r w:rsidR="006F1A8B">
        <w:t xml:space="preserve">of </w:t>
      </w:r>
      <w:r w:rsidR="00ED6E9E">
        <w:t>publishing particular research findings</w:t>
      </w:r>
      <w:r w:rsidR="006F1A8B">
        <w:t xml:space="preserve"> in a scientific journal outweigh the risks, a process of </w:t>
      </w:r>
      <w:r w:rsidR="00ED6E9E">
        <w:t>selectively</w:t>
      </w:r>
      <w:r w:rsidR="006F1A8B">
        <w:t xml:space="preserve"> dissemin</w:t>
      </w:r>
      <w:r w:rsidR="00ED6E9E">
        <w:t>ating</w:t>
      </w:r>
      <w:r w:rsidR="00D0684C">
        <w:t xml:space="preserve"> </w:t>
      </w:r>
      <w:r w:rsidR="00ED6E9E">
        <w:t>those</w:t>
      </w:r>
      <w:r w:rsidR="00D0684C">
        <w:t xml:space="preserve"> findings </w:t>
      </w:r>
      <w:r w:rsidR="00ED6E9E">
        <w:t>should be available as an alternative</w:t>
      </w:r>
      <w:r w:rsidR="006F1A8B">
        <w:t xml:space="preserve"> to official censorship.</w:t>
      </w:r>
    </w:p>
    <w:p w:rsidR="00781F39" w:rsidRDefault="00781F39" w:rsidP="0051528B">
      <w:pPr>
        <w:spacing w:line="480" w:lineRule="auto"/>
        <w:jc w:val="both"/>
      </w:pPr>
    </w:p>
    <w:p w:rsidR="00781F39" w:rsidRDefault="00A53C50" w:rsidP="0051528B">
      <w:pPr>
        <w:spacing w:line="480" w:lineRule="auto"/>
        <w:jc w:val="both"/>
      </w:pPr>
      <w:r w:rsidRPr="00A53C50">
        <w:rPr>
          <w:b/>
          <w:smallCaps/>
        </w:rPr>
        <w:t>Keywords:</w:t>
      </w:r>
      <w:r w:rsidR="005A256F">
        <w:t xml:space="preserve"> bioterrorism, dual-</w:t>
      </w:r>
      <w:r>
        <w:t>use dilemma, European Union, export control</w:t>
      </w:r>
      <w:r w:rsidR="00610372">
        <w:t>s, pandemic influenza, research</w:t>
      </w:r>
    </w:p>
    <w:p w:rsidR="00772391" w:rsidRDefault="00772391" w:rsidP="0051528B">
      <w:pPr>
        <w:spacing w:line="480" w:lineRule="auto"/>
        <w:jc w:val="both"/>
      </w:pPr>
    </w:p>
    <w:p w:rsidR="00113983" w:rsidRDefault="00113983" w:rsidP="0051528B">
      <w:pPr>
        <w:spacing w:line="480" w:lineRule="auto"/>
        <w:jc w:val="both"/>
      </w:pPr>
    </w:p>
    <w:p w:rsidR="00CA5686" w:rsidRDefault="00CA5686" w:rsidP="0051528B">
      <w:pPr>
        <w:spacing w:line="480" w:lineRule="auto"/>
        <w:jc w:val="both"/>
      </w:pPr>
    </w:p>
    <w:p w:rsidR="00781F39" w:rsidRPr="00772391" w:rsidRDefault="00772391" w:rsidP="0051528B">
      <w:pPr>
        <w:pStyle w:val="Heading1"/>
        <w:spacing w:line="480" w:lineRule="auto"/>
      </w:pPr>
      <w:r w:rsidRPr="00772391">
        <w:lastRenderedPageBreak/>
        <w:t xml:space="preserve">I. </w:t>
      </w:r>
      <w:r w:rsidR="00781F39" w:rsidRPr="00772391">
        <w:t>Introduction</w:t>
      </w:r>
    </w:p>
    <w:p w:rsidR="002634FB" w:rsidRDefault="002634FB" w:rsidP="0051528B">
      <w:pPr>
        <w:spacing w:line="480" w:lineRule="auto"/>
        <w:jc w:val="both"/>
      </w:pPr>
    </w:p>
    <w:p w:rsidR="001F1165" w:rsidRDefault="00F13B88" w:rsidP="0051528B">
      <w:pPr>
        <w:spacing w:line="480" w:lineRule="auto"/>
        <w:jc w:val="both"/>
        <w:rPr>
          <w:lang w:val="en-US"/>
        </w:rPr>
      </w:pPr>
      <w:r>
        <w:rPr>
          <w:lang w:val="en-US"/>
        </w:rPr>
        <w:t>P</w:t>
      </w:r>
      <w:r w:rsidR="00986F64" w:rsidRPr="005157DA">
        <w:rPr>
          <w:lang w:val="en-US"/>
        </w:rPr>
        <w:t xml:space="preserve">andemic influenza is a public health risk of global concern. </w:t>
      </w:r>
      <w:r w:rsidR="00032CFD">
        <w:rPr>
          <w:lang w:val="en-US"/>
        </w:rPr>
        <w:t xml:space="preserve">A variety of pharmaceutical and non-pharmaceutical measures </w:t>
      </w:r>
      <w:proofErr w:type="gramStart"/>
      <w:r w:rsidR="00415E68">
        <w:rPr>
          <w:lang w:val="en-US"/>
        </w:rPr>
        <w:t>can</w:t>
      </w:r>
      <w:r w:rsidR="00032CFD">
        <w:rPr>
          <w:lang w:val="en-US"/>
        </w:rPr>
        <w:t xml:space="preserve"> be used</w:t>
      </w:r>
      <w:proofErr w:type="gramEnd"/>
      <w:r w:rsidR="00032CFD">
        <w:rPr>
          <w:lang w:val="en-US"/>
        </w:rPr>
        <w:t xml:space="preserve"> to mitigate that risk. H</w:t>
      </w:r>
      <w:r w:rsidR="00415E68">
        <w:rPr>
          <w:lang w:val="en-US"/>
        </w:rPr>
        <w:t>owever, the effectiveness of tho</w:t>
      </w:r>
      <w:r w:rsidR="00032CFD">
        <w:rPr>
          <w:lang w:val="en-US"/>
        </w:rPr>
        <w:t xml:space="preserve">se measures, now and into the future, is </w:t>
      </w:r>
      <w:r w:rsidR="00986F64" w:rsidRPr="005157DA">
        <w:rPr>
          <w:lang w:val="en-US"/>
        </w:rPr>
        <w:t xml:space="preserve">in large measure dependent upon a strong scientific understanding of the </w:t>
      </w:r>
      <w:r w:rsidR="00032CFD">
        <w:rPr>
          <w:lang w:val="en-US"/>
        </w:rPr>
        <w:t xml:space="preserve">changing </w:t>
      </w:r>
      <w:r w:rsidR="00986F64" w:rsidRPr="005157DA">
        <w:rPr>
          <w:lang w:val="en-US"/>
        </w:rPr>
        <w:t xml:space="preserve">properties and behavior of influenza viruses. For this reason, laboratory-based influenza research, to the extent that it contributes to better </w:t>
      </w:r>
      <w:r w:rsidR="0092586C">
        <w:rPr>
          <w:lang w:val="en-US"/>
        </w:rPr>
        <w:t>treatment</w:t>
      </w:r>
      <w:r w:rsidR="005A256F">
        <w:rPr>
          <w:lang w:val="en-US"/>
        </w:rPr>
        <w:t>s</w:t>
      </w:r>
      <w:r w:rsidR="00986F64" w:rsidRPr="005157DA">
        <w:rPr>
          <w:lang w:val="en-US"/>
        </w:rPr>
        <w:t xml:space="preserve"> and disease-control methods, is important to all people everywhere. </w:t>
      </w:r>
      <w:r w:rsidR="00032CFD">
        <w:rPr>
          <w:lang w:val="en-US"/>
        </w:rPr>
        <w:t xml:space="preserve">At the same time, such research can itself </w:t>
      </w:r>
      <w:proofErr w:type="gramStart"/>
      <w:r w:rsidR="008678EC">
        <w:rPr>
          <w:lang w:val="en-US"/>
        </w:rPr>
        <w:t xml:space="preserve">sometimes </w:t>
      </w:r>
      <w:r w:rsidR="00032CFD">
        <w:rPr>
          <w:lang w:val="en-US"/>
        </w:rPr>
        <w:t>present</w:t>
      </w:r>
      <w:proofErr w:type="gramEnd"/>
      <w:r w:rsidR="00032CFD">
        <w:rPr>
          <w:lang w:val="en-US"/>
        </w:rPr>
        <w:t xml:space="preserve"> risks to public health</w:t>
      </w:r>
      <w:r w:rsidR="00415E68">
        <w:rPr>
          <w:lang w:val="en-US"/>
        </w:rPr>
        <w:t xml:space="preserve"> or national security</w:t>
      </w:r>
      <w:r w:rsidR="00032CFD">
        <w:rPr>
          <w:lang w:val="en-US"/>
        </w:rPr>
        <w:t xml:space="preserve">. In the course of experimentation, a deadly virus </w:t>
      </w:r>
      <w:r w:rsidR="00BA3245">
        <w:rPr>
          <w:lang w:val="en-US"/>
        </w:rPr>
        <w:t>might</w:t>
      </w:r>
      <w:r w:rsidR="00032CFD">
        <w:rPr>
          <w:lang w:val="en-US"/>
        </w:rPr>
        <w:t xml:space="preserve"> accidently escape from a laboratory and spark contagion</w:t>
      </w:r>
      <w:r w:rsidR="00BA3245">
        <w:rPr>
          <w:lang w:val="en-US"/>
        </w:rPr>
        <w:t xml:space="preserve">, or a laboratory worker might decide to use </w:t>
      </w:r>
      <w:r w:rsidR="005A256F">
        <w:rPr>
          <w:lang w:val="en-US"/>
        </w:rPr>
        <w:t>the virus</w:t>
      </w:r>
      <w:r w:rsidR="00BA3245">
        <w:rPr>
          <w:lang w:val="en-US"/>
        </w:rPr>
        <w:t xml:space="preserve"> </w:t>
      </w:r>
      <w:r w:rsidR="00415E68">
        <w:rPr>
          <w:lang w:val="en-US"/>
        </w:rPr>
        <w:t>in</w:t>
      </w:r>
      <w:r w:rsidR="00BA3245">
        <w:rPr>
          <w:lang w:val="en-US"/>
        </w:rPr>
        <w:t xml:space="preserve"> a biological attack.</w:t>
      </w:r>
      <w:r w:rsidR="00415E68">
        <w:rPr>
          <w:lang w:val="en-US"/>
        </w:rPr>
        <w:t xml:space="preserve"> Just as there </w:t>
      </w:r>
      <w:proofErr w:type="gramStart"/>
      <w:r w:rsidR="00415E68">
        <w:rPr>
          <w:lang w:val="en-US"/>
        </w:rPr>
        <w:t>are</w:t>
      </w:r>
      <w:proofErr w:type="gramEnd"/>
      <w:r w:rsidR="00415E68">
        <w:rPr>
          <w:lang w:val="en-US"/>
        </w:rPr>
        <w:t xml:space="preserve"> benefits and risks associated with the conduct of laboratory-based influenza research, so too the written findings of such research </w:t>
      </w:r>
      <w:r w:rsidR="00F400F0">
        <w:rPr>
          <w:lang w:val="en-US"/>
        </w:rPr>
        <w:t xml:space="preserve">have the potential to be put to good </w:t>
      </w:r>
      <w:r w:rsidR="00737F2F">
        <w:rPr>
          <w:lang w:val="en-US"/>
        </w:rPr>
        <w:t>or</w:t>
      </w:r>
      <w:r w:rsidR="00F400F0">
        <w:rPr>
          <w:lang w:val="en-US"/>
        </w:rPr>
        <w:t xml:space="preserve"> bad uses. </w:t>
      </w:r>
      <w:r w:rsidR="00071F1C">
        <w:rPr>
          <w:lang w:val="en-US"/>
        </w:rPr>
        <w:t xml:space="preserve">This expansion of the </w:t>
      </w:r>
      <w:r w:rsidR="00CF56DE">
        <w:rPr>
          <w:lang w:val="en-US"/>
        </w:rPr>
        <w:t>‘</w:t>
      </w:r>
      <w:r w:rsidR="00071F1C">
        <w:rPr>
          <w:lang w:val="en-US"/>
        </w:rPr>
        <w:t>dual-use</w:t>
      </w:r>
      <w:r w:rsidR="00CF56DE">
        <w:rPr>
          <w:lang w:val="en-US"/>
        </w:rPr>
        <w:t>’</w:t>
      </w:r>
      <w:r w:rsidR="00071F1C">
        <w:rPr>
          <w:lang w:val="en-US"/>
        </w:rPr>
        <w:t xml:space="preserve"> problem in </w:t>
      </w:r>
      <w:r w:rsidR="008471B9">
        <w:rPr>
          <w:lang w:val="en-US"/>
        </w:rPr>
        <w:t>pathogen research</w:t>
      </w:r>
      <w:r w:rsidR="00071F1C">
        <w:rPr>
          <w:lang w:val="en-US"/>
        </w:rPr>
        <w:t xml:space="preserve"> is largely</w:t>
      </w:r>
      <w:r w:rsidR="00F400F0">
        <w:rPr>
          <w:lang w:val="en-US"/>
        </w:rPr>
        <w:t xml:space="preserve"> </w:t>
      </w:r>
      <w:r w:rsidR="00D21703">
        <w:rPr>
          <w:lang w:val="en-US"/>
        </w:rPr>
        <w:t>due to advances in genetic engineering and gene synthesis technologies</w:t>
      </w:r>
      <w:r w:rsidR="00071F1C">
        <w:rPr>
          <w:lang w:val="en-US"/>
        </w:rPr>
        <w:t xml:space="preserve">. Increasingly, </w:t>
      </w:r>
      <w:r w:rsidR="00D21703">
        <w:rPr>
          <w:lang w:val="en-US"/>
        </w:rPr>
        <w:t xml:space="preserve">gaining access to a </w:t>
      </w:r>
      <w:r w:rsidR="00AD7CC4">
        <w:rPr>
          <w:lang w:val="en-US"/>
        </w:rPr>
        <w:t xml:space="preserve">virus with particular genetic properties </w:t>
      </w:r>
      <w:proofErr w:type="gramStart"/>
      <w:r w:rsidR="00D21703">
        <w:rPr>
          <w:lang w:val="en-US"/>
        </w:rPr>
        <w:t>is enabled</w:t>
      </w:r>
      <w:proofErr w:type="gramEnd"/>
      <w:r w:rsidR="00D21703">
        <w:rPr>
          <w:lang w:val="en-US"/>
        </w:rPr>
        <w:t xml:space="preserve"> by</w:t>
      </w:r>
      <w:r w:rsidR="00737F2F">
        <w:rPr>
          <w:lang w:val="en-US"/>
        </w:rPr>
        <w:t xml:space="preserve"> the sharing of a technique for</w:t>
      </w:r>
      <w:r w:rsidR="00D21703">
        <w:rPr>
          <w:lang w:val="en-US"/>
        </w:rPr>
        <w:t xml:space="preserve"> </w:t>
      </w:r>
      <w:r w:rsidR="00737F2F">
        <w:rPr>
          <w:lang w:val="en-US"/>
        </w:rPr>
        <w:t>producing</w:t>
      </w:r>
      <w:r w:rsidR="00CF56DE">
        <w:rPr>
          <w:lang w:val="en-US"/>
        </w:rPr>
        <w:t xml:space="preserve"> it in a laboratory</w:t>
      </w:r>
      <w:r w:rsidR="00D21703">
        <w:rPr>
          <w:lang w:val="en-US"/>
        </w:rPr>
        <w:t xml:space="preserve"> rather than by the shipping of physical </w:t>
      </w:r>
      <w:r w:rsidR="0092586C">
        <w:rPr>
          <w:lang w:val="en-US"/>
        </w:rPr>
        <w:t>specimens</w:t>
      </w:r>
      <w:r w:rsidR="00D21703">
        <w:rPr>
          <w:lang w:val="en-US"/>
        </w:rPr>
        <w:t xml:space="preserve"> </w:t>
      </w:r>
      <w:r w:rsidR="00737F2F">
        <w:rPr>
          <w:lang w:val="en-US"/>
        </w:rPr>
        <w:t>between</w:t>
      </w:r>
      <w:r w:rsidR="00D21703">
        <w:rPr>
          <w:lang w:val="en-US"/>
        </w:rPr>
        <w:t xml:space="preserve"> scientists. </w:t>
      </w:r>
      <w:r w:rsidR="00CF56DE">
        <w:rPr>
          <w:lang w:val="en-US"/>
        </w:rPr>
        <w:t>From a security perspective, a</w:t>
      </w:r>
      <w:r w:rsidR="00D21703">
        <w:rPr>
          <w:lang w:val="en-US"/>
        </w:rPr>
        <w:t xml:space="preserve"> shift from tangible to intangible </w:t>
      </w:r>
      <w:r w:rsidR="00C07B22">
        <w:rPr>
          <w:lang w:val="en-US"/>
        </w:rPr>
        <w:t>technology-</w:t>
      </w:r>
      <w:r w:rsidR="00D21703">
        <w:rPr>
          <w:lang w:val="en-US"/>
        </w:rPr>
        <w:t>transfer presents a challen</w:t>
      </w:r>
      <w:r w:rsidR="00CF56DE">
        <w:rPr>
          <w:lang w:val="en-US"/>
        </w:rPr>
        <w:t xml:space="preserve">ge </w:t>
      </w:r>
      <w:r w:rsidR="00D21703">
        <w:rPr>
          <w:lang w:val="en-US"/>
        </w:rPr>
        <w:t xml:space="preserve">to export-control regimes aimed at preventing the </w:t>
      </w:r>
      <w:r w:rsidR="004E3AB5">
        <w:rPr>
          <w:lang w:val="en-US"/>
        </w:rPr>
        <w:t>international</w:t>
      </w:r>
      <w:r w:rsidR="00737F2F">
        <w:rPr>
          <w:lang w:val="en-US"/>
        </w:rPr>
        <w:t xml:space="preserve"> </w:t>
      </w:r>
      <w:r w:rsidR="00D21703">
        <w:rPr>
          <w:lang w:val="en-US"/>
        </w:rPr>
        <w:t xml:space="preserve">proliferation of ‘weapons of mass destruction’ (including biological weapons). </w:t>
      </w:r>
      <w:proofErr w:type="gramStart"/>
      <w:r w:rsidR="00071F1C">
        <w:rPr>
          <w:lang w:val="en-US"/>
        </w:rPr>
        <w:t>And yet</w:t>
      </w:r>
      <w:proofErr w:type="gramEnd"/>
      <w:r w:rsidR="00071F1C">
        <w:rPr>
          <w:lang w:val="en-US"/>
        </w:rPr>
        <w:t xml:space="preserve">, </w:t>
      </w:r>
      <w:r w:rsidR="00C07B22">
        <w:rPr>
          <w:lang w:val="en-US"/>
        </w:rPr>
        <w:t xml:space="preserve">from a public health perspective, </w:t>
      </w:r>
      <w:r w:rsidR="002B439E">
        <w:rPr>
          <w:lang w:val="en-US"/>
        </w:rPr>
        <w:t xml:space="preserve">the </w:t>
      </w:r>
      <w:r w:rsidR="00C07B22">
        <w:rPr>
          <w:lang w:val="en-US"/>
        </w:rPr>
        <w:t xml:space="preserve">swift and </w:t>
      </w:r>
      <w:r w:rsidR="00CF56DE">
        <w:rPr>
          <w:lang w:val="en-US"/>
        </w:rPr>
        <w:t>extensive</w:t>
      </w:r>
      <w:r w:rsidR="00692107">
        <w:rPr>
          <w:lang w:val="en-US"/>
        </w:rPr>
        <w:t xml:space="preserve"> </w:t>
      </w:r>
      <w:r w:rsidR="00C07B22">
        <w:rPr>
          <w:lang w:val="en-US"/>
        </w:rPr>
        <w:t xml:space="preserve">sharing of </w:t>
      </w:r>
      <w:r w:rsidR="00692107">
        <w:rPr>
          <w:lang w:val="en-US"/>
        </w:rPr>
        <w:t>new discoveries about influenza viruses</w:t>
      </w:r>
      <w:r w:rsidR="002B439E">
        <w:rPr>
          <w:lang w:val="en-US"/>
        </w:rPr>
        <w:t xml:space="preserve"> </w:t>
      </w:r>
      <w:r w:rsidR="00692107">
        <w:rPr>
          <w:lang w:val="en-US"/>
        </w:rPr>
        <w:t xml:space="preserve">potentially improves global preparedness for a pandemic. </w:t>
      </w:r>
    </w:p>
    <w:p w:rsidR="001F1165" w:rsidRDefault="001F1165" w:rsidP="0051528B">
      <w:pPr>
        <w:spacing w:line="480" w:lineRule="auto"/>
        <w:jc w:val="both"/>
        <w:rPr>
          <w:lang w:val="en-US"/>
        </w:rPr>
      </w:pPr>
    </w:p>
    <w:p w:rsidR="00445C67" w:rsidRDefault="001164EF" w:rsidP="0051528B">
      <w:pPr>
        <w:spacing w:line="480" w:lineRule="auto"/>
        <w:jc w:val="both"/>
      </w:pPr>
      <w:r>
        <w:rPr>
          <w:lang w:val="en-US"/>
        </w:rPr>
        <w:t xml:space="preserve">This article focuses on the dilemma </w:t>
      </w:r>
      <w:r w:rsidR="00040BFD">
        <w:rPr>
          <w:lang w:val="en-US"/>
        </w:rPr>
        <w:t xml:space="preserve">a government </w:t>
      </w:r>
      <w:r w:rsidR="0092586C">
        <w:rPr>
          <w:lang w:val="en-US"/>
        </w:rPr>
        <w:t>potentially</w:t>
      </w:r>
      <w:r w:rsidR="00040BFD">
        <w:rPr>
          <w:lang w:val="en-US"/>
        </w:rPr>
        <w:t xml:space="preserve"> face</w:t>
      </w:r>
      <w:r w:rsidR="0092586C">
        <w:rPr>
          <w:lang w:val="en-US"/>
        </w:rPr>
        <w:t>s</w:t>
      </w:r>
      <w:r w:rsidR="00040BFD">
        <w:rPr>
          <w:lang w:val="en-US"/>
        </w:rPr>
        <w:t xml:space="preserve"> when it</w:t>
      </w:r>
      <w:r w:rsidR="007E1C82" w:rsidRPr="00FE74E8">
        <w:t xml:space="preserve"> attempts to prevent biological attacks by regulating the </w:t>
      </w:r>
      <w:r>
        <w:t xml:space="preserve">international transfer </w:t>
      </w:r>
      <w:r w:rsidR="00054967">
        <w:t>(</w:t>
      </w:r>
      <w:r w:rsidR="005A256F">
        <w:t>export</w:t>
      </w:r>
      <w:r w:rsidR="00054967">
        <w:t xml:space="preserve">) </w:t>
      </w:r>
      <w:r>
        <w:t>of certain research findings</w:t>
      </w:r>
      <w:r w:rsidR="007E1C82" w:rsidRPr="00FE74E8">
        <w:t xml:space="preserve">. </w:t>
      </w:r>
      <w:r w:rsidR="008471B9" w:rsidRPr="00FE74E8">
        <w:lastRenderedPageBreak/>
        <w:t xml:space="preserve">Of </w:t>
      </w:r>
      <w:r w:rsidR="008471B9">
        <w:t>central</w:t>
      </w:r>
      <w:r w:rsidR="008471B9" w:rsidRPr="00FE74E8">
        <w:t xml:space="preserve"> concern is the pub</w:t>
      </w:r>
      <w:r w:rsidR="00DF4C87">
        <w:t>lication in scientific journals</w:t>
      </w:r>
      <w:r w:rsidR="008471B9" w:rsidRPr="00FE74E8">
        <w:t xml:space="preserve"> of experimental techniques </w:t>
      </w:r>
      <w:r w:rsidR="002728BD">
        <w:t>for producing</w:t>
      </w:r>
      <w:r w:rsidR="008471B9">
        <w:t xml:space="preserve"> an influenza virus that is more </w:t>
      </w:r>
      <w:r w:rsidR="00DF4C87">
        <w:t xml:space="preserve">dangerous </w:t>
      </w:r>
      <w:r w:rsidR="002728BD" w:rsidRPr="00FE74E8">
        <w:t>(</w:t>
      </w:r>
      <w:r w:rsidR="002728BD">
        <w:t>e.g.,</w:t>
      </w:r>
      <w:r w:rsidR="004E3AB5">
        <w:t xml:space="preserve"> more transmissible or</w:t>
      </w:r>
      <w:r w:rsidR="002728BD" w:rsidRPr="00FE74E8">
        <w:t xml:space="preserve"> more</w:t>
      </w:r>
      <w:r w:rsidR="002728BD">
        <w:t xml:space="preserve"> virulent</w:t>
      </w:r>
      <w:r w:rsidR="002728BD" w:rsidRPr="00FE74E8">
        <w:t>)</w:t>
      </w:r>
      <w:r w:rsidR="002728BD">
        <w:t xml:space="preserve"> </w:t>
      </w:r>
      <w:r w:rsidR="00DF4C87">
        <w:t>to</w:t>
      </w:r>
      <w:r w:rsidR="008471B9">
        <w:t xml:space="preserve"> human health</w:t>
      </w:r>
      <w:r w:rsidR="008471B9" w:rsidRPr="00FE74E8">
        <w:t xml:space="preserve">. On the one hand, it </w:t>
      </w:r>
      <w:proofErr w:type="gramStart"/>
      <w:r w:rsidR="008471B9" w:rsidRPr="00FE74E8">
        <w:t>might be argued</w:t>
      </w:r>
      <w:proofErr w:type="gramEnd"/>
      <w:r w:rsidR="008471B9" w:rsidRPr="00FE74E8">
        <w:t>, the mass communication of information on</w:t>
      </w:r>
      <w:r w:rsidR="008471B9">
        <w:t xml:space="preserve"> exactly</w:t>
      </w:r>
      <w:r w:rsidR="008471B9" w:rsidRPr="00FE74E8">
        <w:t xml:space="preserve"> </w:t>
      </w:r>
      <w:r w:rsidR="008471B9" w:rsidRPr="001165C4">
        <w:t>how</w:t>
      </w:r>
      <w:r w:rsidR="008471B9" w:rsidRPr="00FE74E8">
        <w:t xml:space="preserve"> a </w:t>
      </w:r>
      <w:r w:rsidR="008471B9">
        <w:t>virus</w:t>
      </w:r>
      <w:r w:rsidR="002728BD">
        <w:t xml:space="preserve"> can be made more dangerous</w:t>
      </w:r>
      <w:r w:rsidR="00DF4C87">
        <w:t xml:space="preserve"> </w:t>
      </w:r>
      <w:r w:rsidR="008471B9" w:rsidRPr="00FE74E8">
        <w:t xml:space="preserve">could </w:t>
      </w:r>
      <w:r w:rsidR="005A256F">
        <w:t xml:space="preserve">further </w:t>
      </w:r>
      <w:r w:rsidR="00AD7CC4">
        <w:t xml:space="preserve">enable </w:t>
      </w:r>
      <w:r w:rsidR="008471B9" w:rsidRPr="00FE74E8">
        <w:t xml:space="preserve">the use of that information for a harmful purpose. On the </w:t>
      </w:r>
      <w:r w:rsidR="008471B9">
        <w:t>other</w:t>
      </w:r>
      <w:r w:rsidR="008471B9" w:rsidRPr="00FE74E8">
        <w:t xml:space="preserve"> hand, making such findings available to </w:t>
      </w:r>
      <w:r w:rsidR="005A256F">
        <w:t xml:space="preserve">lots of </w:t>
      </w:r>
      <w:r w:rsidR="008471B9" w:rsidRPr="00FE74E8">
        <w:t xml:space="preserve">other scientists could </w:t>
      </w:r>
      <w:r w:rsidR="00161F2F">
        <w:t xml:space="preserve">raise awareness </w:t>
      </w:r>
      <w:r w:rsidR="0080458F">
        <w:t>and assist</w:t>
      </w:r>
      <w:r w:rsidR="008471B9" w:rsidRPr="00FE74E8">
        <w:t xml:space="preserve"> </w:t>
      </w:r>
      <w:r w:rsidR="009C35E2">
        <w:t xml:space="preserve">in </w:t>
      </w:r>
      <w:r w:rsidR="008471B9" w:rsidRPr="00FE74E8">
        <w:t xml:space="preserve">the development of new </w:t>
      </w:r>
      <w:r w:rsidR="008471B9">
        <w:t>and</w:t>
      </w:r>
      <w:r w:rsidR="008471B9" w:rsidRPr="00FE74E8">
        <w:t xml:space="preserve"> improved measures for </w:t>
      </w:r>
      <w:r w:rsidR="008471B9">
        <w:t>preventing, containing a</w:t>
      </w:r>
      <w:r w:rsidR="00E94E04">
        <w:t xml:space="preserve">nd treating influenza. </w:t>
      </w:r>
      <w:r w:rsidR="008471B9">
        <w:t>T</w:t>
      </w:r>
      <w:r w:rsidR="008471B9" w:rsidRPr="00FE74E8">
        <w:t xml:space="preserve">he conundrum for policymakers </w:t>
      </w:r>
      <w:proofErr w:type="gramStart"/>
      <w:r w:rsidR="008471B9" w:rsidRPr="00FE74E8">
        <w:t>is:</w:t>
      </w:r>
      <w:proofErr w:type="gramEnd"/>
      <w:r w:rsidR="008471B9" w:rsidRPr="00FE74E8">
        <w:t xml:space="preserve"> what </w:t>
      </w:r>
      <w:r w:rsidR="008471B9">
        <w:t xml:space="preserve">kind of </w:t>
      </w:r>
      <w:r w:rsidR="008471B9" w:rsidRPr="00FE74E8">
        <w:t xml:space="preserve">regulation is necessary to reduce the risk of </w:t>
      </w:r>
      <w:r w:rsidR="00054967">
        <w:t>this intangible technology</w:t>
      </w:r>
      <w:r w:rsidR="008471B9" w:rsidRPr="00FE74E8">
        <w:t xml:space="preserve"> being </w:t>
      </w:r>
      <w:r w:rsidR="008471B9">
        <w:t xml:space="preserve">harmfully </w:t>
      </w:r>
      <w:r w:rsidR="008471B9" w:rsidRPr="00FE74E8">
        <w:t xml:space="preserve">misused, and what </w:t>
      </w:r>
      <w:r w:rsidR="008471B9">
        <w:t>kind of regulation</w:t>
      </w:r>
      <w:r w:rsidR="008471B9" w:rsidRPr="00FE74E8">
        <w:t xml:space="preserve"> </w:t>
      </w:r>
      <w:r w:rsidR="008471B9">
        <w:t>is</w:t>
      </w:r>
      <w:r w:rsidR="008471B9" w:rsidRPr="00FE74E8">
        <w:t xml:space="preserve"> likely to thwart the </w:t>
      </w:r>
      <w:r w:rsidR="008471B9">
        <w:t xml:space="preserve">spread </w:t>
      </w:r>
      <w:r w:rsidR="008471B9" w:rsidRPr="00FE74E8">
        <w:t xml:space="preserve">of knowledge applicable </w:t>
      </w:r>
      <w:r w:rsidR="008471B9">
        <w:t>to</w:t>
      </w:r>
      <w:r w:rsidR="008471B9" w:rsidRPr="00FE74E8">
        <w:t xml:space="preserve"> health-protection purposes?</w:t>
      </w:r>
      <w:r w:rsidR="00054967">
        <w:t xml:space="preserve"> </w:t>
      </w:r>
      <w:r w:rsidR="00445C67">
        <w:t>When it comes to t</w:t>
      </w:r>
      <w:r w:rsidR="00445C67" w:rsidRPr="00FE74E8">
        <w:t>he securing of populations against infectious disease risks</w:t>
      </w:r>
      <w:r w:rsidR="00445C67">
        <w:t>—</w:t>
      </w:r>
      <w:r w:rsidR="005A256F">
        <w:t xml:space="preserve">be they </w:t>
      </w:r>
      <w:r w:rsidR="00445C67">
        <w:t xml:space="preserve">naturally occurring or deliberately caused—the required approach seems to be </w:t>
      </w:r>
      <w:r w:rsidR="004E3AB5">
        <w:t xml:space="preserve">both </w:t>
      </w:r>
      <w:r w:rsidR="00445C67">
        <w:t xml:space="preserve">to restrict </w:t>
      </w:r>
      <w:r w:rsidR="00445C67" w:rsidRPr="00445C67">
        <w:rPr>
          <w:i/>
        </w:rPr>
        <w:t>and</w:t>
      </w:r>
      <w:r w:rsidR="00445C67">
        <w:t xml:space="preserve"> to facilitate the dissemination of certain research findings.</w:t>
      </w:r>
    </w:p>
    <w:p w:rsidR="00F742B9" w:rsidRDefault="00F742B9" w:rsidP="0051528B">
      <w:pPr>
        <w:spacing w:line="480" w:lineRule="auto"/>
        <w:jc w:val="both"/>
      </w:pPr>
    </w:p>
    <w:p w:rsidR="00666D13" w:rsidRDefault="00F742B9" w:rsidP="0051528B">
      <w:pPr>
        <w:spacing w:line="480" w:lineRule="auto"/>
        <w:jc w:val="both"/>
      </w:pPr>
      <w:r>
        <w:t xml:space="preserve">In </w:t>
      </w:r>
      <w:proofErr w:type="gramStart"/>
      <w:r>
        <w:t>2012</w:t>
      </w:r>
      <w:proofErr w:type="gramEnd"/>
      <w:r>
        <w:t xml:space="preserve"> the Dutch Government took the unprecedented </w:t>
      </w:r>
      <w:r w:rsidR="009C35E2">
        <w:t>decision to</w:t>
      </w:r>
      <w:r>
        <w:t xml:space="preserve"> characteri</w:t>
      </w:r>
      <w:r w:rsidR="009C35E2">
        <w:t>se</w:t>
      </w:r>
      <w:r>
        <w:t xml:space="preserve"> research findings, produced by a team of virologists in the Netherlands, as technology that was subject to European Union (EU) regulations on the exp</w:t>
      </w:r>
      <w:r w:rsidR="00414F82">
        <w:t>ort of dual-</w:t>
      </w:r>
      <w:r>
        <w:t>use items.</w:t>
      </w:r>
      <w:r w:rsidR="00666D13" w:rsidRPr="005157DA">
        <w:rPr>
          <w:rStyle w:val="FootnoteReference"/>
        </w:rPr>
        <w:footnoteReference w:id="1"/>
      </w:r>
      <w:r w:rsidR="00666D13">
        <w:t xml:space="preserve"> It was the first instance anywhere in Europe of an export permit being required before a manuscript </w:t>
      </w:r>
      <w:proofErr w:type="gramStart"/>
      <w:r w:rsidR="00666D13">
        <w:t>could be submitted</w:t>
      </w:r>
      <w:proofErr w:type="gramEnd"/>
      <w:r w:rsidR="00666D13">
        <w:t xml:space="preserve"> to an international journal (</w:t>
      </w:r>
      <w:r w:rsidR="00666D13" w:rsidRPr="00075415">
        <w:rPr>
          <w:i/>
        </w:rPr>
        <w:t>Science</w:t>
      </w:r>
      <w:r w:rsidR="00666D13">
        <w:t xml:space="preserve">) for publication. The virologists, led by Ron </w:t>
      </w:r>
      <w:proofErr w:type="spellStart"/>
      <w:r w:rsidR="00666D13">
        <w:t>Fouchier</w:t>
      </w:r>
      <w:proofErr w:type="spellEnd"/>
      <w:r w:rsidR="00666D13">
        <w:t xml:space="preserve"> of the Erasmus Medical Centre (EMC) in Rotterdam, intended to publish an account of how they produced an H5N1 avian influenza virus that was airborne-transmissible between ferrets. Because a ferret’s respiratory system is similar to a human’s, this new virus was presumptively </w:t>
      </w:r>
      <w:r w:rsidR="00666D13">
        <w:lastRenderedPageBreak/>
        <w:t xml:space="preserve">able also to spread easily between humans in a pandemic. Although an export permit </w:t>
      </w:r>
      <w:proofErr w:type="gramStart"/>
      <w:r w:rsidR="00666D13">
        <w:t>was eventually granted</w:t>
      </w:r>
      <w:proofErr w:type="gramEnd"/>
      <w:r w:rsidR="00666D13">
        <w:t xml:space="preserve"> </w:t>
      </w:r>
      <w:r w:rsidR="00666D13" w:rsidRPr="005157DA">
        <w:rPr>
          <w:lang w:val="en-US"/>
        </w:rPr>
        <w:t>and publication went ahead,</w:t>
      </w:r>
      <w:r w:rsidR="00666D13" w:rsidRPr="005157DA">
        <w:rPr>
          <w:rStyle w:val="FootnoteReference"/>
        </w:rPr>
        <w:footnoteReference w:id="2"/>
      </w:r>
      <w:r w:rsidR="00666D13">
        <w:t xml:space="preserve"> </w:t>
      </w:r>
      <w:proofErr w:type="spellStart"/>
      <w:r w:rsidR="00666D13">
        <w:t>Fouchier</w:t>
      </w:r>
      <w:proofErr w:type="spellEnd"/>
      <w:r w:rsidR="00666D13">
        <w:t xml:space="preserve"> questioned whether the EU regulations were applicable in the first place, raising the issue in two Dutch court cases (in 2013 and 2015). However, the broader public debate that ensued was about whether the Dutch Government did the right thing when it ultimately allowed the publication of these research findings</w:t>
      </w:r>
      <w:r w:rsidR="005A256F">
        <w:t xml:space="preserve">, and more </w:t>
      </w:r>
      <w:proofErr w:type="gramStart"/>
      <w:r w:rsidR="005A256F">
        <w:t>generally</w:t>
      </w:r>
      <w:proofErr w:type="gramEnd"/>
      <w:r w:rsidR="005A256F">
        <w:t xml:space="preserve"> it was</w:t>
      </w:r>
      <w:r w:rsidR="00666D13">
        <w:t xml:space="preserve"> about how to govern transfers of intangible dual-use technology.</w:t>
      </w:r>
    </w:p>
    <w:p w:rsidR="00666D13" w:rsidRDefault="00666D13" w:rsidP="0051528B">
      <w:pPr>
        <w:spacing w:line="480" w:lineRule="auto"/>
        <w:jc w:val="both"/>
      </w:pPr>
    </w:p>
    <w:p w:rsidR="00666D13" w:rsidRDefault="00666D13" w:rsidP="0051528B">
      <w:pPr>
        <w:spacing w:line="480" w:lineRule="auto"/>
        <w:jc w:val="both"/>
        <w:rPr>
          <w:rFonts w:eastAsia="SimSun"/>
          <w:lang w:val="en-US"/>
        </w:rPr>
      </w:pPr>
      <w:r>
        <w:rPr>
          <w:rStyle w:val="Heading1Char"/>
          <w:b w:val="0"/>
          <w:caps w:val="0"/>
          <w:sz w:val="24"/>
          <w:szCs w:val="24"/>
        </w:rPr>
        <w:t>To address these issues, t</w:t>
      </w:r>
      <w:r w:rsidRPr="00307BCB">
        <w:rPr>
          <w:rStyle w:val="Heading1Char"/>
          <w:b w:val="0"/>
          <w:caps w:val="0"/>
          <w:sz w:val="24"/>
          <w:szCs w:val="24"/>
        </w:rPr>
        <w:t xml:space="preserve">he </w:t>
      </w:r>
      <w:r>
        <w:rPr>
          <w:rStyle w:val="Heading1Char"/>
          <w:b w:val="0"/>
          <w:caps w:val="0"/>
          <w:sz w:val="24"/>
          <w:szCs w:val="24"/>
        </w:rPr>
        <w:t>discussion</w:t>
      </w:r>
      <w:r w:rsidRPr="00307BCB">
        <w:rPr>
          <w:rStyle w:val="Heading1Char"/>
          <w:b w:val="0"/>
          <w:caps w:val="0"/>
          <w:sz w:val="24"/>
          <w:szCs w:val="24"/>
        </w:rPr>
        <w:t xml:space="preserve"> </w:t>
      </w:r>
      <w:r w:rsidR="005A256F">
        <w:rPr>
          <w:rStyle w:val="Heading1Char"/>
          <w:b w:val="0"/>
          <w:caps w:val="0"/>
          <w:sz w:val="24"/>
          <w:szCs w:val="24"/>
        </w:rPr>
        <w:t>here</w:t>
      </w:r>
      <w:r>
        <w:rPr>
          <w:rStyle w:val="Heading1Char"/>
          <w:b w:val="0"/>
          <w:caps w:val="0"/>
          <w:sz w:val="24"/>
          <w:szCs w:val="24"/>
        </w:rPr>
        <w:t xml:space="preserve"> begins by exploring the</w:t>
      </w:r>
      <w:r w:rsidRPr="00307BCB">
        <w:rPr>
          <w:rStyle w:val="Heading1Char"/>
          <w:b w:val="0"/>
          <w:caps w:val="0"/>
          <w:sz w:val="24"/>
          <w:szCs w:val="24"/>
        </w:rPr>
        <w:t xml:space="preserve"> tension between the governance imperatives of restrictiveness and permissiveness when </w:t>
      </w:r>
      <w:r>
        <w:rPr>
          <w:rStyle w:val="Heading1Char"/>
          <w:b w:val="0"/>
          <w:caps w:val="0"/>
          <w:sz w:val="24"/>
          <w:szCs w:val="24"/>
        </w:rPr>
        <w:t>it comes to the sharing of dual-</w:t>
      </w:r>
      <w:r w:rsidRPr="00307BCB">
        <w:rPr>
          <w:rStyle w:val="Heading1Char"/>
          <w:b w:val="0"/>
          <w:caps w:val="0"/>
          <w:sz w:val="24"/>
          <w:szCs w:val="24"/>
        </w:rPr>
        <w:t xml:space="preserve">use biotechnology. </w:t>
      </w:r>
      <w:r>
        <w:rPr>
          <w:rStyle w:val="Heading1Char"/>
          <w:b w:val="0"/>
          <w:caps w:val="0"/>
          <w:sz w:val="24"/>
          <w:szCs w:val="24"/>
        </w:rPr>
        <w:t xml:space="preserve">The article then considers legal and ethical questions surrounding </w:t>
      </w:r>
      <w:proofErr w:type="spellStart"/>
      <w:r>
        <w:rPr>
          <w:rStyle w:val="Heading1Char"/>
          <w:b w:val="0"/>
          <w:caps w:val="0"/>
          <w:sz w:val="24"/>
          <w:szCs w:val="24"/>
        </w:rPr>
        <w:t>Fouchier’s</w:t>
      </w:r>
      <w:proofErr w:type="spellEnd"/>
      <w:r>
        <w:rPr>
          <w:rStyle w:val="Heading1Char"/>
          <w:b w:val="0"/>
          <w:caps w:val="0"/>
          <w:sz w:val="24"/>
          <w:szCs w:val="24"/>
        </w:rPr>
        <w:t xml:space="preserve"> intended publication of his team’s H5N1 findings: was it lawful for the Dutch Government to require </w:t>
      </w:r>
      <w:proofErr w:type="spellStart"/>
      <w:r>
        <w:rPr>
          <w:rStyle w:val="Heading1Char"/>
          <w:b w:val="0"/>
          <w:caps w:val="0"/>
          <w:sz w:val="24"/>
          <w:szCs w:val="24"/>
        </w:rPr>
        <w:t>Fouchier</w:t>
      </w:r>
      <w:proofErr w:type="spellEnd"/>
      <w:r>
        <w:rPr>
          <w:rStyle w:val="Heading1Char"/>
          <w:b w:val="0"/>
          <w:caps w:val="0"/>
          <w:sz w:val="24"/>
          <w:szCs w:val="24"/>
        </w:rPr>
        <w:t xml:space="preserve"> to apply for an export permit, and was it morally right to grant one? Assuming that EU export control law was applicable, the problem in this case was that, despite deep uncertainty about the benefits and risks of publication, only two governance options were available: censorship (refusal of an export permit) or full publication. In the final section of the article, a third option </w:t>
      </w:r>
      <w:proofErr w:type="gramStart"/>
      <w:r>
        <w:rPr>
          <w:rStyle w:val="Heading1Char"/>
          <w:b w:val="0"/>
          <w:caps w:val="0"/>
          <w:sz w:val="24"/>
          <w:szCs w:val="24"/>
        </w:rPr>
        <w:t>is suggested</w:t>
      </w:r>
      <w:proofErr w:type="gramEnd"/>
      <w:r>
        <w:rPr>
          <w:rStyle w:val="Heading1Char"/>
          <w:b w:val="0"/>
          <w:caps w:val="0"/>
          <w:sz w:val="24"/>
          <w:szCs w:val="24"/>
        </w:rPr>
        <w:t xml:space="preserve">: granting a permit for targeted export (PTE). </w:t>
      </w:r>
      <w:r w:rsidR="005A256F">
        <w:rPr>
          <w:rStyle w:val="Heading1Char"/>
          <w:b w:val="0"/>
          <w:caps w:val="0"/>
          <w:sz w:val="24"/>
          <w:szCs w:val="24"/>
        </w:rPr>
        <w:t>When</w:t>
      </w:r>
      <w:r>
        <w:t xml:space="preserve"> a government is uncertain about whether the benefits of publishing particular research findings in a scientific journal outweigh the risks, it should be able to authorise the selective </w:t>
      </w:r>
      <w:r>
        <w:lastRenderedPageBreak/>
        <w:t xml:space="preserve">dissemination of those findings. Such dissemination could be arranged </w:t>
      </w:r>
      <w:proofErr w:type="gramStart"/>
      <w:r>
        <w:t>so as to</w:t>
      </w:r>
      <w:proofErr w:type="gramEnd"/>
      <w:r>
        <w:t xml:space="preserve"> address security </w:t>
      </w:r>
      <w:r w:rsidR="005A256F">
        <w:t>as well as</w:t>
      </w:r>
      <w:r>
        <w:t xml:space="preserve"> public health concerns, although it would probably be less beneficial than publication to the careers of </w:t>
      </w:r>
      <w:r w:rsidR="005A256F">
        <w:t xml:space="preserve">individual </w:t>
      </w:r>
      <w:r>
        <w:t>academic scientists.</w:t>
      </w:r>
    </w:p>
    <w:p w:rsidR="00666D13" w:rsidRDefault="00666D13" w:rsidP="0051528B">
      <w:pPr>
        <w:spacing w:line="480" w:lineRule="auto"/>
        <w:rPr>
          <w:rFonts w:eastAsia="SimSun"/>
          <w:lang w:val="en-US"/>
        </w:rPr>
      </w:pPr>
    </w:p>
    <w:p w:rsidR="00666D13" w:rsidRPr="00120AF3" w:rsidRDefault="00666D13" w:rsidP="0051528B">
      <w:pPr>
        <w:spacing w:line="480" w:lineRule="auto"/>
        <w:rPr>
          <w:rStyle w:val="Heading1Char"/>
          <w:b w:val="0"/>
          <w:caps w:val="0"/>
          <w:sz w:val="24"/>
          <w:szCs w:val="24"/>
        </w:rPr>
      </w:pPr>
    </w:p>
    <w:p w:rsidR="00666D13" w:rsidRPr="005B7AE4" w:rsidRDefault="00666D13" w:rsidP="0051528B">
      <w:pPr>
        <w:pStyle w:val="Heading1"/>
        <w:spacing w:line="480" w:lineRule="auto"/>
      </w:pPr>
      <w:r>
        <w:t xml:space="preserve">II. Dual-use biotechnology, </w:t>
      </w:r>
      <w:r w:rsidRPr="005B7AE4">
        <w:t>export controls</w:t>
      </w:r>
      <w:r>
        <w:t>, and research publications</w:t>
      </w:r>
    </w:p>
    <w:p w:rsidR="00666D13" w:rsidRDefault="00666D13" w:rsidP="0051528B">
      <w:pPr>
        <w:spacing w:line="480" w:lineRule="auto"/>
        <w:jc w:val="both"/>
        <w:rPr>
          <w:rStyle w:val="Heading1Char"/>
          <w:b w:val="0"/>
        </w:rPr>
      </w:pPr>
    </w:p>
    <w:p w:rsidR="00666D13" w:rsidRDefault="00666D13" w:rsidP="0051528B">
      <w:pPr>
        <w:spacing w:line="480" w:lineRule="auto"/>
        <w:jc w:val="both"/>
        <w:rPr>
          <w:lang w:val="en-US"/>
        </w:rPr>
      </w:pPr>
      <w:r w:rsidRPr="00966FE5">
        <w:rPr>
          <w:lang w:val="en-US"/>
        </w:rPr>
        <w:t xml:space="preserve">Biotechnology, along with virtually all other technologies, has the potential to </w:t>
      </w:r>
      <w:proofErr w:type="gramStart"/>
      <w:r w:rsidRPr="00966FE5">
        <w:rPr>
          <w:lang w:val="en-US"/>
        </w:rPr>
        <w:t>be used</w:t>
      </w:r>
      <w:proofErr w:type="gramEnd"/>
      <w:r w:rsidRPr="00966FE5">
        <w:rPr>
          <w:lang w:val="en-US"/>
        </w:rPr>
        <w:t xml:space="preserve"> for </w:t>
      </w:r>
      <w:r>
        <w:rPr>
          <w:lang w:val="en-US"/>
        </w:rPr>
        <w:t>beneficial</w:t>
      </w:r>
      <w:r w:rsidRPr="00966FE5">
        <w:rPr>
          <w:lang w:val="en-US"/>
        </w:rPr>
        <w:t xml:space="preserve"> and malign purposes. </w:t>
      </w:r>
      <w:r>
        <w:rPr>
          <w:lang w:val="en-US"/>
        </w:rPr>
        <w:t xml:space="preserve">In practice, dual-use </w:t>
      </w:r>
      <w:r w:rsidRPr="00966FE5">
        <w:rPr>
          <w:lang w:val="en-US"/>
        </w:rPr>
        <w:t xml:space="preserve">potential rarely poses a </w:t>
      </w:r>
      <w:r>
        <w:rPr>
          <w:lang w:val="en-US"/>
        </w:rPr>
        <w:t>governance</w:t>
      </w:r>
      <w:r w:rsidRPr="00966FE5">
        <w:rPr>
          <w:lang w:val="en-US"/>
        </w:rPr>
        <w:t xml:space="preserve"> challenge </w:t>
      </w:r>
      <w:r>
        <w:rPr>
          <w:lang w:val="en-US"/>
        </w:rPr>
        <w:t>because</w:t>
      </w:r>
      <w:r w:rsidRPr="00966FE5">
        <w:rPr>
          <w:lang w:val="en-US"/>
        </w:rPr>
        <w:t xml:space="preserve"> the benefit of the widespread application of most technology </w:t>
      </w:r>
      <w:r>
        <w:rPr>
          <w:lang w:val="en-US"/>
        </w:rPr>
        <w:t xml:space="preserve">usually </w:t>
      </w:r>
      <w:r w:rsidRPr="00966FE5">
        <w:rPr>
          <w:lang w:val="en-US"/>
        </w:rPr>
        <w:t xml:space="preserve">far outweighs the risk of harmful misuse. </w:t>
      </w:r>
      <w:r>
        <w:rPr>
          <w:lang w:val="en-US"/>
        </w:rPr>
        <w:t>Occasionally</w:t>
      </w:r>
      <w:r w:rsidRPr="00966FE5">
        <w:rPr>
          <w:lang w:val="en-US"/>
        </w:rPr>
        <w:t xml:space="preserve">, however, </w:t>
      </w:r>
      <w:r>
        <w:rPr>
          <w:lang w:val="en-US"/>
        </w:rPr>
        <w:t>a particular</w:t>
      </w:r>
      <w:r w:rsidRPr="00966FE5">
        <w:rPr>
          <w:lang w:val="en-US"/>
        </w:rPr>
        <w:t xml:space="preserve"> technology </w:t>
      </w:r>
      <w:r>
        <w:rPr>
          <w:lang w:val="en-US"/>
        </w:rPr>
        <w:t>can present a dual-</w:t>
      </w:r>
      <w:r w:rsidRPr="00966FE5">
        <w:rPr>
          <w:lang w:val="en-US"/>
        </w:rPr>
        <w:t xml:space="preserve">use </w:t>
      </w:r>
      <w:r w:rsidRPr="00966FE5">
        <w:rPr>
          <w:i/>
          <w:lang w:val="en-US"/>
        </w:rPr>
        <w:t>dilemma</w:t>
      </w:r>
      <w:r w:rsidRPr="00966FE5">
        <w:rPr>
          <w:lang w:val="en-US"/>
        </w:rPr>
        <w:t xml:space="preserve"> because the preponderance of benefits over risks (or vice versa) associated with its application is not obvious. In such circumstances, the challenge is to govern access to and use of a particular technology in a way that is likely to achieve more good than harm. Here, ‘good’ includes both actual benefits and avoided harms, and ‘harm’ includes both actual harm and forgone benefits.</w:t>
      </w:r>
      <w:r>
        <w:rPr>
          <w:lang w:val="en-US"/>
        </w:rPr>
        <w:t xml:space="preserve"> When it comes to certain kinds of research on pathogenic microorganisms, the benefit to </w:t>
      </w:r>
      <w:proofErr w:type="gramStart"/>
      <w:r>
        <w:rPr>
          <w:lang w:val="en-US"/>
        </w:rPr>
        <w:t>be gained</w:t>
      </w:r>
      <w:proofErr w:type="gramEnd"/>
      <w:r>
        <w:rPr>
          <w:lang w:val="en-US"/>
        </w:rPr>
        <w:t xml:space="preserve"> is a better understanding of how to protect human health against infectious diseases. The countervailing risk is that the production of such knowledge might result in the accidental release from a laboratory of a </w:t>
      </w:r>
      <w:r w:rsidR="005A256F">
        <w:rPr>
          <w:lang w:val="en-US"/>
        </w:rPr>
        <w:t>disease-causing</w:t>
      </w:r>
      <w:r>
        <w:rPr>
          <w:lang w:val="en-US"/>
        </w:rPr>
        <w:t xml:space="preserve"> microorganism or its use in a biological attack.</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Pr>
          <w:lang w:val="en-US"/>
        </w:rPr>
        <w:t>Dual-use biotechnology today includes gene modification and synthesis techniques that make it</w:t>
      </w:r>
      <w:r w:rsidRPr="00966FE5">
        <w:rPr>
          <w:lang w:val="en-US"/>
        </w:rPr>
        <w:t xml:space="preserve"> possible to </w:t>
      </w:r>
      <w:r>
        <w:rPr>
          <w:lang w:val="en-US"/>
        </w:rPr>
        <w:t>produce</w:t>
      </w:r>
      <w:r w:rsidRPr="00966FE5">
        <w:rPr>
          <w:lang w:val="en-US"/>
        </w:rPr>
        <w:t xml:space="preserve"> pathogenic microorganisms </w:t>
      </w:r>
      <w:r>
        <w:rPr>
          <w:lang w:val="en-US"/>
        </w:rPr>
        <w:t xml:space="preserve">with particular genetic properties </w:t>
      </w:r>
      <w:r w:rsidRPr="00966FE5">
        <w:rPr>
          <w:lang w:val="en-US"/>
        </w:rPr>
        <w:t xml:space="preserve">in a laboratory setting. </w:t>
      </w:r>
      <w:r>
        <w:rPr>
          <w:lang w:val="en-US"/>
        </w:rPr>
        <w:t xml:space="preserve">One </w:t>
      </w:r>
      <w:r w:rsidRPr="00966FE5">
        <w:rPr>
          <w:lang w:val="en-US"/>
        </w:rPr>
        <w:t xml:space="preserve">use of such technology </w:t>
      </w:r>
      <w:r>
        <w:rPr>
          <w:lang w:val="en-US"/>
        </w:rPr>
        <w:t>is to</w:t>
      </w:r>
      <w:r w:rsidRPr="00966FE5">
        <w:rPr>
          <w:lang w:val="en-US"/>
        </w:rPr>
        <w:t xml:space="preserve"> investigate</w:t>
      </w:r>
      <w:r>
        <w:rPr>
          <w:lang w:val="en-US"/>
        </w:rPr>
        <w:t xml:space="preserve"> </w:t>
      </w:r>
      <w:r w:rsidRPr="00966FE5">
        <w:rPr>
          <w:lang w:val="en-US"/>
        </w:rPr>
        <w:t xml:space="preserve">the potential for a </w:t>
      </w:r>
      <w:r w:rsidRPr="00966FE5">
        <w:rPr>
          <w:lang w:val="en-US"/>
        </w:rPr>
        <w:lastRenderedPageBreak/>
        <w:t xml:space="preserve">microorganism’s genome to mutate naturally and so present a new kind of </w:t>
      </w:r>
      <w:r>
        <w:rPr>
          <w:lang w:val="en-US"/>
        </w:rPr>
        <w:t xml:space="preserve">infectious disease </w:t>
      </w:r>
      <w:r w:rsidRPr="00966FE5">
        <w:rPr>
          <w:lang w:val="en-US"/>
        </w:rPr>
        <w:t xml:space="preserve">risk. By anticipating that risk, the findings of research into the nature and behavior of a genetically-mutated microorganism can then inform the preparation of </w:t>
      </w:r>
      <w:r>
        <w:rPr>
          <w:lang w:val="en-US"/>
        </w:rPr>
        <w:t>clinical</w:t>
      </w:r>
      <w:r w:rsidRPr="00966FE5">
        <w:rPr>
          <w:lang w:val="en-US"/>
        </w:rPr>
        <w:t xml:space="preserve"> and public health responses</w:t>
      </w:r>
      <w:r>
        <w:rPr>
          <w:lang w:val="en-US"/>
        </w:rPr>
        <w:t xml:space="preserve"> on a just-in-case basis</w:t>
      </w:r>
      <w:r w:rsidRPr="00966FE5">
        <w:rPr>
          <w:lang w:val="en-US"/>
        </w:rPr>
        <w:t xml:space="preserve">. A scientist </w:t>
      </w:r>
      <w:proofErr w:type="gramStart"/>
      <w:r w:rsidRPr="00966FE5">
        <w:rPr>
          <w:lang w:val="en-US"/>
        </w:rPr>
        <w:t>might, for example, set</w:t>
      </w:r>
      <w:proofErr w:type="gramEnd"/>
      <w:r w:rsidRPr="00966FE5">
        <w:rPr>
          <w:lang w:val="en-US"/>
        </w:rPr>
        <w:t xml:space="preserve"> out to </w:t>
      </w:r>
      <w:r>
        <w:rPr>
          <w:lang w:val="en-US"/>
        </w:rPr>
        <w:t>produce</w:t>
      </w:r>
      <w:r w:rsidRPr="00966FE5">
        <w:rPr>
          <w:lang w:val="en-US"/>
        </w:rPr>
        <w:t xml:space="preserve"> a bacterium resistant to a certain class of antibiotics to determine whether it could </w:t>
      </w:r>
      <w:r>
        <w:rPr>
          <w:lang w:val="en-US"/>
        </w:rPr>
        <w:t xml:space="preserve">ever </w:t>
      </w:r>
      <w:r w:rsidRPr="00966FE5">
        <w:rPr>
          <w:lang w:val="en-US"/>
        </w:rPr>
        <w:t xml:space="preserve">become resistant to that class through natural </w:t>
      </w:r>
      <w:r w:rsidR="005A256F">
        <w:rPr>
          <w:lang w:val="en-US"/>
        </w:rPr>
        <w:t xml:space="preserve">evolutionary </w:t>
      </w:r>
      <w:r w:rsidRPr="00966FE5">
        <w:rPr>
          <w:lang w:val="en-US"/>
        </w:rPr>
        <w:t xml:space="preserve">processes. Such information would be relevant to recommendations on how best to administer the antibiotic and it could help guide the </w:t>
      </w:r>
      <w:r>
        <w:rPr>
          <w:lang w:val="en-US"/>
        </w:rPr>
        <w:t>medical</w:t>
      </w:r>
      <w:r w:rsidRPr="00966FE5">
        <w:rPr>
          <w:lang w:val="en-US"/>
        </w:rPr>
        <w:t xml:space="preserve"> management of infectious disease cases. Alternatively, laboratory work of this kind might make </w:t>
      </w:r>
      <w:r>
        <w:rPr>
          <w:lang w:val="en-US"/>
        </w:rPr>
        <w:t>that bacterium</w:t>
      </w:r>
      <w:r w:rsidRPr="00966FE5">
        <w:rPr>
          <w:lang w:val="en-US"/>
        </w:rPr>
        <w:t xml:space="preserve"> more useful for biological </w:t>
      </w:r>
      <w:r w:rsidRPr="002A3414">
        <w:rPr>
          <w:lang w:val="en-US"/>
        </w:rPr>
        <w:t>attack</w:t>
      </w:r>
      <w:r w:rsidRPr="00966FE5">
        <w:rPr>
          <w:lang w:val="en-US"/>
        </w:rPr>
        <w:t xml:space="preserve"> purposes precisely </w:t>
      </w:r>
      <w:r w:rsidRPr="00202669">
        <w:rPr>
          <w:lang w:val="en-US"/>
        </w:rPr>
        <w:t>because</w:t>
      </w:r>
      <w:r w:rsidRPr="00966FE5">
        <w:rPr>
          <w:lang w:val="en-US"/>
        </w:rPr>
        <w:t xml:space="preserve"> </w:t>
      </w:r>
      <w:r>
        <w:rPr>
          <w:lang w:val="en-US"/>
        </w:rPr>
        <w:t>it</w:t>
      </w:r>
      <w:r w:rsidRPr="00966FE5">
        <w:rPr>
          <w:lang w:val="en-US"/>
        </w:rPr>
        <w:t xml:space="preserve"> </w:t>
      </w:r>
      <w:proofErr w:type="gramStart"/>
      <w:r w:rsidRPr="00966FE5">
        <w:rPr>
          <w:lang w:val="en-US"/>
        </w:rPr>
        <w:t>has been rendered</w:t>
      </w:r>
      <w:proofErr w:type="gramEnd"/>
      <w:r w:rsidRPr="00966FE5">
        <w:rPr>
          <w:lang w:val="en-US"/>
        </w:rPr>
        <w:t xml:space="preserve"> capable of defeating </w:t>
      </w:r>
      <w:r w:rsidR="005A256F">
        <w:rPr>
          <w:lang w:val="en-US"/>
        </w:rPr>
        <w:t xml:space="preserve">human </w:t>
      </w:r>
      <w:r>
        <w:rPr>
          <w:lang w:val="en-US"/>
        </w:rPr>
        <w:t>immune system</w:t>
      </w:r>
      <w:r w:rsidR="005A256F">
        <w:rPr>
          <w:lang w:val="en-US"/>
        </w:rPr>
        <w:t>s</w:t>
      </w:r>
      <w:r>
        <w:rPr>
          <w:lang w:val="en-US"/>
        </w:rPr>
        <w:t xml:space="preserve"> and pharmaceutical defenses. </w:t>
      </w:r>
    </w:p>
    <w:p w:rsidR="00666D13" w:rsidRPr="00966FE5" w:rsidRDefault="00666D13" w:rsidP="0051528B">
      <w:pPr>
        <w:pStyle w:val="PlainText"/>
        <w:spacing w:line="480" w:lineRule="auto"/>
        <w:jc w:val="both"/>
        <w:rPr>
          <w:rFonts w:ascii="Times New Roman" w:hAnsi="Times New Roman" w:cs="Times New Roman"/>
          <w:sz w:val="24"/>
          <w:szCs w:val="24"/>
          <w:lang w:val="en-US"/>
        </w:rPr>
      </w:pPr>
    </w:p>
    <w:p w:rsidR="00666D13" w:rsidRDefault="00666D13" w:rsidP="0051528B">
      <w:pPr>
        <w:pStyle w:val="PlainText"/>
        <w:spacing w:line="480" w:lineRule="auto"/>
        <w:jc w:val="both"/>
        <w:rPr>
          <w:rFonts w:ascii="Times New Roman" w:hAnsi="Times New Roman" w:cs="Times New Roman"/>
          <w:sz w:val="24"/>
          <w:szCs w:val="24"/>
          <w:lang w:val="en-US"/>
        </w:rPr>
      </w:pPr>
      <w:proofErr w:type="gramStart"/>
      <w:r w:rsidRPr="00966FE5">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2004 </w:t>
      </w:r>
      <w:r w:rsidRPr="00966FE5">
        <w:rPr>
          <w:rFonts w:ascii="Times New Roman" w:hAnsi="Times New Roman" w:cs="Times New Roman"/>
          <w:sz w:val="24"/>
          <w:szCs w:val="24"/>
          <w:lang w:val="en-US"/>
        </w:rPr>
        <w:t xml:space="preserve">a report </w:t>
      </w:r>
      <w:r>
        <w:rPr>
          <w:rFonts w:ascii="Times New Roman" w:hAnsi="Times New Roman" w:cs="Times New Roman"/>
          <w:sz w:val="24"/>
          <w:szCs w:val="24"/>
          <w:lang w:val="en-US"/>
        </w:rPr>
        <w:t>by the US National Research Council on</w:t>
      </w:r>
      <w:r w:rsidRPr="00966FE5">
        <w:rPr>
          <w:rFonts w:ascii="Times New Roman" w:hAnsi="Times New Roman" w:cs="Times New Roman"/>
          <w:sz w:val="24"/>
          <w:szCs w:val="24"/>
          <w:lang w:val="en-US"/>
        </w:rPr>
        <w:t xml:space="preserve"> </w:t>
      </w:r>
      <w:r w:rsidRPr="00966FE5">
        <w:rPr>
          <w:rFonts w:ascii="Times New Roman" w:hAnsi="Times New Roman" w:cs="Times New Roman"/>
          <w:i/>
          <w:sz w:val="24"/>
          <w:szCs w:val="24"/>
          <w:lang w:val="en-US"/>
        </w:rPr>
        <w:t>Biotechnology Research in an Age of Terrorism</w:t>
      </w:r>
      <w:r w:rsidRPr="00966F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identified </w:t>
      </w:r>
      <w:r w:rsidRPr="00966FE5">
        <w:rPr>
          <w:rFonts w:ascii="Times New Roman" w:hAnsi="Times New Roman" w:cs="Times New Roman"/>
          <w:sz w:val="24"/>
          <w:szCs w:val="24"/>
          <w:lang w:val="en-US"/>
        </w:rPr>
        <w:t xml:space="preserve">seven kinds of experiments as most likely to have biological weapons potential: (1) demonstrating how to render a vaccine ineffective; (2) conferring resistance to therapeutically useful antibiotics; (3) enhancing the virulence of a pathogen or rendering a non-pathogen virulent; (4) increasing the transmissibility of a pathogen; (5) altering the host range of a pathogen; (6) enabling the evasion of diagnosis and/or detection by established methods; and (7) enabling the </w:t>
      </w:r>
      <w:proofErr w:type="spellStart"/>
      <w:r w:rsidRPr="00966FE5">
        <w:rPr>
          <w:rFonts w:ascii="Times New Roman" w:hAnsi="Times New Roman" w:cs="Times New Roman"/>
          <w:sz w:val="24"/>
          <w:szCs w:val="24"/>
          <w:lang w:val="en-US"/>
        </w:rPr>
        <w:t>weaponization</w:t>
      </w:r>
      <w:proofErr w:type="spellEnd"/>
      <w:r w:rsidRPr="00966FE5">
        <w:rPr>
          <w:rFonts w:ascii="Times New Roman" w:hAnsi="Times New Roman" w:cs="Times New Roman"/>
          <w:sz w:val="24"/>
          <w:szCs w:val="24"/>
          <w:lang w:val="en-US"/>
        </w:rPr>
        <w:t xml:space="preserve"> of a biological agent.</w:t>
      </w:r>
      <w:r w:rsidRPr="00966FE5">
        <w:rPr>
          <w:rStyle w:val="FootnoteReference"/>
          <w:rFonts w:ascii="Times New Roman" w:hAnsi="Times New Roman" w:cs="Times New Roman"/>
          <w:sz w:val="24"/>
          <w:szCs w:val="24"/>
          <w:lang w:val="en-US"/>
        </w:rPr>
        <w:footnoteReference w:id="3"/>
      </w:r>
      <w:proofErr w:type="gramEnd"/>
      <w:r w:rsidRPr="00966FE5">
        <w:rPr>
          <w:rFonts w:ascii="Times New Roman" w:hAnsi="Times New Roman" w:cs="Times New Roman"/>
          <w:sz w:val="24"/>
          <w:szCs w:val="24"/>
          <w:lang w:val="en-US"/>
        </w:rPr>
        <w:t xml:space="preserve"> More recently, the US </w:t>
      </w:r>
      <w:r>
        <w:rPr>
          <w:rFonts w:ascii="Times New Roman" w:hAnsi="Times New Roman" w:cs="Times New Roman"/>
          <w:sz w:val="24"/>
          <w:szCs w:val="24"/>
          <w:lang w:val="en-US"/>
        </w:rPr>
        <w:t>Department of Health and Human Services</w:t>
      </w:r>
      <w:r w:rsidRPr="00966FE5">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referred to </w:t>
      </w:r>
      <w:r w:rsidRPr="00966FE5">
        <w:rPr>
          <w:rFonts w:ascii="Times New Roman" w:hAnsi="Times New Roman" w:cs="Times New Roman"/>
          <w:sz w:val="24"/>
          <w:szCs w:val="24"/>
          <w:lang w:val="en-US"/>
        </w:rPr>
        <w:t xml:space="preserve">a similar list of experiment categories </w:t>
      </w:r>
      <w:r>
        <w:rPr>
          <w:rFonts w:ascii="Times New Roman" w:hAnsi="Times New Roman" w:cs="Times New Roman"/>
          <w:sz w:val="24"/>
          <w:szCs w:val="24"/>
          <w:lang w:val="en-US"/>
        </w:rPr>
        <w:t>using</w:t>
      </w:r>
      <w:r w:rsidR="005A256F">
        <w:rPr>
          <w:rFonts w:ascii="Times New Roman" w:hAnsi="Times New Roman" w:cs="Times New Roman"/>
          <w:sz w:val="24"/>
          <w:szCs w:val="24"/>
          <w:lang w:val="en-US"/>
        </w:rPr>
        <w:t xml:space="preserve"> the term “</w:t>
      </w:r>
      <w:r w:rsidRPr="00966FE5">
        <w:rPr>
          <w:rFonts w:ascii="Times New Roman" w:hAnsi="Times New Roman" w:cs="Times New Roman"/>
          <w:sz w:val="24"/>
          <w:szCs w:val="24"/>
          <w:lang w:val="en-US"/>
        </w:rPr>
        <w:t>dual</w:t>
      </w:r>
      <w:r w:rsidR="005A256F">
        <w:rPr>
          <w:rFonts w:ascii="Times New Roman" w:hAnsi="Times New Roman" w:cs="Times New Roman"/>
          <w:sz w:val="24"/>
          <w:szCs w:val="24"/>
          <w:lang w:val="en-US"/>
        </w:rPr>
        <w:t xml:space="preserve"> use research of concern”</w:t>
      </w:r>
      <w:r w:rsidRPr="00966F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defined </w:t>
      </w: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w:t>
      </w:r>
    </w:p>
    <w:p w:rsidR="00666D13" w:rsidRPr="00966FE5" w:rsidRDefault="00666D13" w:rsidP="0051528B">
      <w:pPr>
        <w:pStyle w:val="PlainText"/>
        <w:spacing w:line="480" w:lineRule="auto"/>
        <w:jc w:val="both"/>
        <w:rPr>
          <w:rFonts w:ascii="Times New Roman" w:hAnsi="Times New Roman" w:cs="Times New Roman"/>
          <w:sz w:val="24"/>
          <w:szCs w:val="24"/>
          <w:lang w:val="en-US"/>
        </w:rPr>
      </w:pPr>
    </w:p>
    <w:p w:rsidR="00666D13" w:rsidRPr="00966FE5" w:rsidRDefault="00666D13" w:rsidP="0051528B">
      <w:pPr>
        <w:pStyle w:val="PlainText"/>
        <w:spacing w:line="480" w:lineRule="auto"/>
        <w:ind w:left="720"/>
        <w:jc w:val="both"/>
        <w:rPr>
          <w:rFonts w:ascii="Times New Roman" w:hAnsi="Times New Roman" w:cs="Times New Roman"/>
          <w:sz w:val="24"/>
          <w:szCs w:val="24"/>
          <w:lang w:val="en-US"/>
        </w:rPr>
      </w:pPr>
      <w:r w:rsidRPr="00966FE5">
        <w:rPr>
          <w:rFonts w:ascii="Times New Roman" w:hAnsi="Times New Roman" w:cs="Times New Roman"/>
          <w:szCs w:val="22"/>
          <w:lang w:val="en-US"/>
        </w:rPr>
        <w:t xml:space="preserve">life sciences research that, based on current understanding, can be </w:t>
      </w:r>
      <w:r w:rsidRPr="002A3414">
        <w:rPr>
          <w:rFonts w:ascii="Times New Roman" w:hAnsi="Times New Roman" w:cs="Times New Roman"/>
          <w:szCs w:val="22"/>
          <w:lang w:val="en-US"/>
        </w:rPr>
        <w:t>reasonably</w:t>
      </w:r>
      <w:r w:rsidRPr="00966FE5">
        <w:rPr>
          <w:rFonts w:ascii="Times New Roman" w:hAnsi="Times New Roman" w:cs="Times New Roman"/>
          <w:szCs w:val="22"/>
          <w:lang w:val="en-US"/>
        </w:rPr>
        <w:t xml:space="preserve"> anticipated to provide knowledge, information, products, or technologies that could be </w:t>
      </w:r>
      <w:r w:rsidRPr="002A3414">
        <w:rPr>
          <w:rFonts w:ascii="Times New Roman" w:hAnsi="Times New Roman" w:cs="Times New Roman"/>
          <w:szCs w:val="22"/>
          <w:lang w:val="en-US"/>
        </w:rPr>
        <w:t>directly</w:t>
      </w:r>
      <w:r w:rsidRPr="00966FE5">
        <w:rPr>
          <w:rFonts w:ascii="Times New Roman" w:hAnsi="Times New Roman" w:cs="Times New Roman"/>
          <w:szCs w:val="22"/>
          <w:lang w:val="en-US"/>
        </w:rPr>
        <w:t xml:space="preserve"> misapplied to </w:t>
      </w:r>
      <w:r w:rsidRPr="00966FE5">
        <w:rPr>
          <w:rFonts w:ascii="Times New Roman" w:hAnsi="Times New Roman" w:cs="Times New Roman"/>
          <w:szCs w:val="22"/>
          <w:lang w:val="en-US"/>
        </w:rPr>
        <w:lastRenderedPageBreak/>
        <w:t>pose a significant threat with broad potential consequences to public health and safety, agricultural crops and other plants, animals, the environment, material, or national security.</w:t>
      </w:r>
      <w:r w:rsidRPr="00966FE5">
        <w:rPr>
          <w:rStyle w:val="FootnoteReference"/>
          <w:rFonts w:ascii="Times New Roman" w:hAnsi="Times New Roman" w:cs="Times New Roman"/>
          <w:sz w:val="24"/>
          <w:szCs w:val="24"/>
          <w:lang w:val="en-US"/>
        </w:rPr>
        <w:footnoteReference w:id="4"/>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Pr>
          <w:lang w:val="en-US"/>
        </w:rPr>
        <w:t xml:space="preserve">From a governance perspective, when contemplating the benefits and risks of research on influenza viruses and other microorganisms, an important </w:t>
      </w:r>
      <w:r w:rsidR="005A256F">
        <w:rPr>
          <w:lang w:val="en-US"/>
        </w:rPr>
        <w:t xml:space="preserve">threshold </w:t>
      </w:r>
      <w:r>
        <w:rPr>
          <w:lang w:val="en-US"/>
        </w:rPr>
        <w:t xml:space="preserve">question is whether it </w:t>
      </w:r>
      <w:proofErr w:type="gramStart"/>
      <w:r>
        <w:rPr>
          <w:lang w:val="en-US"/>
        </w:rPr>
        <w:t>should be conducted</w:t>
      </w:r>
      <w:proofErr w:type="gramEnd"/>
      <w:r>
        <w:rPr>
          <w:lang w:val="en-US"/>
        </w:rPr>
        <w:t xml:space="preserve"> at all. For present purposes, however, the key issue is whether, how and to whom the findings of research already conducted </w:t>
      </w:r>
      <w:proofErr w:type="gramStart"/>
      <w:r>
        <w:rPr>
          <w:lang w:val="en-US"/>
        </w:rPr>
        <w:t>should then be communicated</w:t>
      </w:r>
      <w:proofErr w:type="gramEnd"/>
      <w:r>
        <w:rPr>
          <w:lang w:val="en-US"/>
        </w:rPr>
        <w:t xml:space="preserve">. To the extent that sharing those findings with other scientists would be beneficial to public health, there is a technology-transfer imperative. </w:t>
      </w:r>
      <w:proofErr w:type="gramStart"/>
      <w:r>
        <w:rPr>
          <w:lang w:val="en-US"/>
        </w:rPr>
        <w:t>But</w:t>
      </w:r>
      <w:proofErr w:type="gramEnd"/>
      <w:r>
        <w:rPr>
          <w:lang w:val="en-US"/>
        </w:rPr>
        <w:t xml:space="preserve"> if there are risks associated with such sharing, there might also be a non-proliferation imperative to prevent this.</w:t>
      </w:r>
    </w:p>
    <w:p w:rsidR="00666D13" w:rsidRDefault="00666D13" w:rsidP="0051528B">
      <w:pPr>
        <w:spacing w:line="480" w:lineRule="auto"/>
        <w:jc w:val="both"/>
        <w:rPr>
          <w:lang w:val="en-US"/>
        </w:rPr>
      </w:pPr>
    </w:p>
    <w:p w:rsidR="00666D13" w:rsidRPr="00361F67" w:rsidRDefault="00666D13" w:rsidP="0051528B">
      <w:pPr>
        <w:spacing w:line="480" w:lineRule="auto"/>
        <w:jc w:val="both"/>
        <w:rPr>
          <w:rFonts w:eastAsia="SimSun"/>
          <w:lang w:val="en-US"/>
        </w:rPr>
      </w:pPr>
      <w:r>
        <w:rPr>
          <w:lang w:val="en-US"/>
        </w:rPr>
        <w:t xml:space="preserve">A useful starting point for thinking about the tension between </w:t>
      </w:r>
      <w:r>
        <w:rPr>
          <w:rStyle w:val="Heading1Char"/>
          <w:b w:val="0"/>
          <w:caps w:val="0"/>
          <w:sz w:val="24"/>
          <w:szCs w:val="24"/>
        </w:rPr>
        <w:t>restrictive and permissive</w:t>
      </w:r>
      <w:r w:rsidRPr="00307BCB">
        <w:rPr>
          <w:rStyle w:val="Heading1Char"/>
          <w:b w:val="0"/>
          <w:caps w:val="0"/>
          <w:sz w:val="24"/>
          <w:szCs w:val="24"/>
        </w:rPr>
        <w:t xml:space="preserve"> </w:t>
      </w:r>
      <w:r>
        <w:rPr>
          <w:rStyle w:val="Heading1Char"/>
          <w:b w:val="0"/>
          <w:caps w:val="0"/>
          <w:sz w:val="24"/>
          <w:szCs w:val="24"/>
        </w:rPr>
        <w:t>approaches to dual-use biotechnology transfers is</w:t>
      </w:r>
      <w:r>
        <w:rPr>
          <w:lang w:val="en-US"/>
        </w:rPr>
        <w:t xml:space="preserve"> the 1972 Biological Weapons Convention (BWC).</w:t>
      </w:r>
      <w:r>
        <w:rPr>
          <w:rFonts w:eastAsia="SimSun"/>
          <w:lang w:val="en-US"/>
        </w:rPr>
        <w:t xml:space="preserve"> </w:t>
      </w:r>
      <w:r w:rsidRPr="005157DA">
        <w:rPr>
          <w:lang w:val="en-US"/>
        </w:rPr>
        <w:t xml:space="preserve">Article I of the </w:t>
      </w:r>
      <w:r>
        <w:rPr>
          <w:lang w:val="en-US"/>
        </w:rPr>
        <w:t>BWC</w:t>
      </w:r>
      <w:r w:rsidRPr="005157DA">
        <w:rPr>
          <w:lang w:val="en-US"/>
        </w:rPr>
        <w:t xml:space="preserve"> binds member states never to develop, produce, stockpile or otherwise acquire or retain “microbial or other biological agents, or toxins whatever their origin or method of production, of types and in quantities that have no justification for prophylactic, protective or other peaceful purposes”. Article IV requires states to give effect to this rule through their domestic law. </w:t>
      </w:r>
      <w:r>
        <w:rPr>
          <w:lang w:val="en-US"/>
        </w:rPr>
        <w:t xml:space="preserve">However, it can sometimes be difficult in practice </w:t>
      </w:r>
      <w:r w:rsidRPr="005157DA">
        <w:rPr>
          <w:lang w:val="en-US"/>
        </w:rPr>
        <w:t xml:space="preserve">to discern reliably the </w:t>
      </w:r>
      <w:r w:rsidRPr="005157DA">
        <w:rPr>
          <w:i/>
          <w:lang w:val="en-US"/>
        </w:rPr>
        <w:t>lack</w:t>
      </w:r>
      <w:r w:rsidRPr="005157DA">
        <w:rPr>
          <w:lang w:val="en-US"/>
        </w:rPr>
        <w:t xml:space="preserve"> of a </w:t>
      </w:r>
      <w:r w:rsidR="005A256F">
        <w:rPr>
          <w:lang w:val="en-US"/>
        </w:rPr>
        <w:t xml:space="preserve">peaceful </w:t>
      </w:r>
      <w:r w:rsidRPr="005157DA">
        <w:rPr>
          <w:lang w:val="en-US"/>
        </w:rPr>
        <w:t>justification given the importance of biomedical research to human health and the scale of the scientific enterprise directed to</w:t>
      </w:r>
      <w:r>
        <w:rPr>
          <w:lang w:val="en-US"/>
        </w:rPr>
        <w:t>ward</w:t>
      </w:r>
      <w:r w:rsidRPr="005157DA">
        <w:rPr>
          <w:lang w:val="en-US"/>
        </w:rPr>
        <w:t xml:space="preserve"> understanding </w:t>
      </w:r>
      <w:r w:rsidR="005A256F">
        <w:rPr>
          <w:lang w:val="en-US"/>
        </w:rPr>
        <w:t xml:space="preserve">pathogenic </w:t>
      </w:r>
      <w:r w:rsidRPr="005157DA">
        <w:rPr>
          <w:lang w:val="en-US"/>
        </w:rPr>
        <w:t xml:space="preserve">microorganisms. The task of preventing the use of microorganisms in </w:t>
      </w:r>
      <w:r>
        <w:rPr>
          <w:lang w:val="en-US"/>
        </w:rPr>
        <w:t xml:space="preserve">biological attacks </w:t>
      </w:r>
      <w:proofErr w:type="gramStart"/>
      <w:r>
        <w:rPr>
          <w:lang w:val="en-US"/>
        </w:rPr>
        <w:t>is also made</w:t>
      </w:r>
      <w:proofErr w:type="gramEnd"/>
      <w:r>
        <w:rPr>
          <w:lang w:val="en-US"/>
        </w:rPr>
        <w:t xml:space="preserve"> difficult, from a legal standpoint, </w:t>
      </w:r>
      <w:r w:rsidRPr="005157DA">
        <w:rPr>
          <w:lang w:val="en-US"/>
        </w:rPr>
        <w:t xml:space="preserve">by two </w:t>
      </w:r>
      <w:r w:rsidRPr="005157DA">
        <w:rPr>
          <w:rFonts w:eastAsia="SimSun"/>
          <w:lang w:val="en-US"/>
        </w:rPr>
        <w:t xml:space="preserve">provisions of the BWC between </w:t>
      </w:r>
      <w:r w:rsidRPr="005157DA">
        <w:rPr>
          <w:rFonts w:eastAsia="SimSun"/>
          <w:lang w:val="en-US"/>
        </w:rPr>
        <w:lastRenderedPageBreak/>
        <w:t xml:space="preserve">which there is clear tension. On the one hand, Article III of the Convention requires member states “not to transfer to any recipient whatsoever, directly or indirectly, and not in any way to assist, encourage, or induce” the manufacture or acquisition of any “[biological] agents” </w:t>
      </w:r>
      <w:r>
        <w:rPr>
          <w:rFonts w:eastAsia="SimSun"/>
          <w:lang w:val="en-US"/>
        </w:rPr>
        <w:t>for biological weapons purposes</w:t>
      </w:r>
      <w:r w:rsidRPr="005157DA">
        <w:rPr>
          <w:rFonts w:eastAsia="SimSun"/>
          <w:lang w:val="en-US"/>
        </w:rPr>
        <w:t xml:space="preserve">. On the other hand, </w:t>
      </w:r>
      <w:r w:rsidRPr="005157DA">
        <w:rPr>
          <w:lang w:val="en-US"/>
        </w:rPr>
        <w:t>Article X requires states to “facilitate … the fullest possible exchange” of technology and to “cooperate in contributing … to the further development and application of scientific discoveries in the field of bacteriology (biology) for prevention of disease, or for other peaceful purposes”.</w:t>
      </w:r>
      <w:r w:rsidRPr="005157DA">
        <w:rPr>
          <w:rStyle w:val="FootnoteReference"/>
        </w:rPr>
        <w:footnoteReference w:id="5"/>
      </w:r>
      <w:r w:rsidRPr="005157DA">
        <w:rPr>
          <w:lang w:val="en-US"/>
        </w:rPr>
        <w:t xml:space="preserve"> </w:t>
      </w:r>
    </w:p>
    <w:p w:rsidR="00666D13" w:rsidRPr="005157DA" w:rsidRDefault="00666D13" w:rsidP="0051528B">
      <w:pPr>
        <w:spacing w:line="480" w:lineRule="auto"/>
        <w:jc w:val="both"/>
        <w:rPr>
          <w:lang w:val="en-US"/>
        </w:rPr>
      </w:pPr>
    </w:p>
    <w:p w:rsidR="00666D13" w:rsidRDefault="00666D13" w:rsidP="0051528B">
      <w:pPr>
        <w:spacing w:line="480" w:lineRule="auto"/>
        <w:jc w:val="both"/>
      </w:pPr>
      <w:r w:rsidRPr="005157DA">
        <w:rPr>
          <w:rFonts w:cs="Arial"/>
        </w:rPr>
        <w:t>The langu</w:t>
      </w:r>
      <w:r>
        <w:rPr>
          <w:rFonts w:cs="Arial"/>
        </w:rPr>
        <w:t>age of Article X (“peaceful purposes”</w:t>
      </w:r>
      <w:r w:rsidRPr="005157DA">
        <w:rPr>
          <w:rFonts w:cs="Arial"/>
        </w:rPr>
        <w:t xml:space="preserve">) is such that the provision is subject to interpretations of intent, and it has long been a sign of international distrust </w:t>
      </w:r>
      <w:r>
        <w:rPr>
          <w:rFonts w:cs="Arial"/>
        </w:rPr>
        <w:t xml:space="preserve">that many developed </w:t>
      </w:r>
      <w:r w:rsidRPr="005157DA">
        <w:rPr>
          <w:rFonts w:cs="Arial"/>
        </w:rPr>
        <w:t xml:space="preserve">countries are afraid to share certain kinds of biotechnology with </w:t>
      </w:r>
      <w:r>
        <w:rPr>
          <w:rFonts w:cs="Arial"/>
        </w:rPr>
        <w:t xml:space="preserve">some </w:t>
      </w:r>
      <w:r w:rsidRPr="005157DA">
        <w:rPr>
          <w:rFonts w:cs="Arial"/>
        </w:rPr>
        <w:t xml:space="preserve">developing countries for fear that it will not be used peacefully. </w:t>
      </w:r>
      <w:r>
        <w:rPr>
          <w:rFonts w:eastAsia="SimSun"/>
          <w:lang w:val="en-US"/>
        </w:rPr>
        <w:t xml:space="preserve">Article III of the BWC was reinforced in 2004 by United Nations (UN) Security Council Resolution </w:t>
      </w:r>
      <w:proofErr w:type="gramStart"/>
      <w:r>
        <w:rPr>
          <w:rFonts w:eastAsia="SimSun"/>
          <w:lang w:val="en-US"/>
        </w:rPr>
        <w:t>1540 which</w:t>
      </w:r>
      <w:proofErr w:type="gramEnd"/>
      <w:r>
        <w:rPr>
          <w:rFonts w:eastAsia="SimSun"/>
          <w:lang w:val="en-US"/>
        </w:rPr>
        <w:t xml:space="preserve"> requires all states to “</w:t>
      </w:r>
      <w:r>
        <w:t>take and enforce effective measures to establish domestic controls to prevent the proliferation of nuclear, chemical, or biological weapons and their means of delivery, including by establishing appropriate controls over related materials”. To this end, states must establish, develop, review and maintain “effective national export and trans-shipment controls over such items …</w:t>
      </w:r>
      <w:proofErr w:type="gramStart"/>
      <w:r>
        <w:t>”.</w:t>
      </w:r>
      <w:proofErr w:type="gramEnd"/>
      <w:r>
        <w:rPr>
          <w:rStyle w:val="FootnoteReference"/>
        </w:rPr>
        <w:footnoteReference w:id="6"/>
      </w:r>
      <w:r>
        <w:t xml:space="preserve"> Subsequently, </w:t>
      </w:r>
      <w:r w:rsidRPr="005157DA">
        <w:rPr>
          <w:rFonts w:eastAsia="SimSun"/>
          <w:lang w:val="en-US"/>
        </w:rPr>
        <w:t xml:space="preserve">many developed countries </w:t>
      </w:r>
      <w:r>
        <w:rPr>
          <w:rFonts w:eastAsia="SimSun"/>
          <w:lang w:val="en-US"/>
        </w:rPr>
        <w:t>have cont</w:t>
      </w:r>
      <w:r w:rsidR="005A256F">
        <w:rPr>
          <w:rFonts w:eastAsia="SimSun"/>
          <w:lang w:val="en-US"/>
        </w:rPr>
        <w:t>inued to favor export controls (</w:t>
      </w:r>
      <w:r>
        <w:rPr>
          <w:rFonts w:eastAsia="SimSun"/>
          <w:lang w:val="en-US"/>
        </w:rPr>
        <w:t>with more emphasis on the nee</w:t>
      </w:r>
      <w:r w:rsidR="005A256F">
        <w:rPr>
          <w:rFonts w:eastAsia="SimSun"/>
          <w:lang w:val="en-US"/>
        </w:rPr>
        <w:t>d to reduce proliferation risks)</w:t>
      </w:r>
      <w:r>
        <w:rPr>
          <w:rFonts w:eastAsia="SimSun"/>
          <w:lang w:val="en-US"/>
        </w:rPr>
        <w:t xml:space="preserve"> over the facilitating of bio</w:t>
      </w:r>
      <w:r w:rsidRPr="005157DA">
        <w:rPr>
          <w:rFonts w:eastAsia="SimSun"/>
          <w:lang w:val="en-US"/>
        </w:rPr>
        <w:t>technology transfers</w:t>
      </w:r>
      <w:r>
        <w:rPr>
          <w:rFonts w:eastAsia="SimSun"/>
          <w:lang w:val="en-US"/>
        </w:rPr>
        <w:t xml:space="preserve">. </w:t>
      </w:r>
      <w:r>
        <w:rPr>
          <w:lang w:val="en-US"/>
        </w:rPr>
        <w:t xml:space="preserve">Since </w:t>
      </w:r>
      <w:proofErr w:type="gramStart"/>
      <w:r>
        <w:rPr>
          <w:lang w:val="en-US"/>
        </w:rPr>
        <w:t>1984</w:t>
      </w:r>
      <w:proofErr w:type="gramEnd"/>
      <w:r w:rsidRPr="005157DA">
        <w:rPr>
          <w:lang w:val="en-US"/>
        </w:rPr>
        <w:t xml:space="preserve"> a </w:t>
      </w:r>
      <w:r>
        <w:rPr>
          <w:lang w:val="en-US"/>
        </w:rPr>
        <w:t>group of states</w:t>
      </w:r>
      <w:r w:rsidRPr="005157DA">
        <w:rPr>
          <w:lang w:val="en-US"/>
        </w:rPr>
        <w:t xml:space="preserve"> kn</w:t>
      </w:r>
      <w:r>
        <w:rPr>
          <w:lang w:val="en-US"/>
        </w:rPr>
        <w:t>own as the Australia Group (AG)</w:t>
      </w:r>
      <w:r w:rsidRPr="005157DA">
        <w:rPr>
          <w:lang w:val="en-US"/>
        </w:rPr>
        <w:t xml:space="preserve"> </w:t>
      </w:r>
      <w:r>
        <w:rPr>
          <w:lang w:val="en-US"/>
        </w:rPr>
        <w:t>has</w:t>
      </w:r>
      <w:r w:rsidRPr="005157DA">
        <w:rPr>
          <w:lang w:val="en-US"/>
        </w:rPr>
        <w:t xml:space="preserve"> </w:t>
      </w:r>
      <w:r w:rsidRPr="005157DA">
        <w:rPr>
          <w:lang w:val="en-US"/>
        </w:rPr>
        <w:lastRenderedPageBreak/>
        <w:t xml:space="preserve">cooperated to restrict exports of biological (and chemical) technology with a view to preventing the use thereof in weaponized form. </w:t>
      </w:r>
      <w:r>
        <w:rPr>
          <w:lang w:val="en-US"/>
        </w:rPr>
        <w:t>T</w:t>
      </w:r>
      <w:r w:rsidRPr="005157DA">
        <w:t xml:space="preserve">he AG maintains </w:t>
      </w:r>
      <w:r>
        <w:t>lists that define dual-</w:t>
      </w:r>
      <w:r w:rsidRPr="005157DA">
        <w:t>use biological agents and biological equipment, with participating states informally committed to ensure these items are subject to national export controls, and each state assesses export licence applications in accordance with an agreed set of guidelines.</w:t>
      </w:r>
      <w:r w:rsidRPr="005157DA">
        <w:rPr>
          <w:rStyle w:val="FootnoteReference"/>
          <w:rFonts w:cs="Arial"/>
        </w:rPr>
        <w:footnoteReference w:id="7"/>
      </w:r>
      <w:r w:rsidRPr="005157DA">
        <w:t xml:space="preserve"> In respect of biotech</w:t>
      </w:r>
      <w:r>
        <w:t>nology, the list of controlled equipment</w:t>
      </w:r>
      <w:r w:rsidRPr="005157DA">
        <w:t xml:space="preserve"> includes, for example, fermenters, aerosol inhalation chambers and spraying systems. In addition, in the category “related technology”, AG controls </w:t>
      </w:r>
      <w:proofErr w:type="gramStart"/>
      <w:r w:rsidRPr="005157DA">
        <w:t>are intended</w:t>
      </w:r>
      <w:proofErr w:type="gramEnd"/>
      <w:r w:rsidRPr="005157DA">
        <w:t xml:space="preserve"> to cover the “transfer of technology (technical data) by any means, including electronic media, fax or telephone” and “transfer of technology in th</w:t>
      </w:r>
      <w:r>
        <w:t>e form of technical assistance”</w:t>
      </w:r>
      <w:r w:rsidRPr="005157DA">
        <w:t>.</w:t>
      </w:r>
      <w:r w:rsidRPr="005157DA">
        <w:rPr>
          <w:rStyle w:val="FootnoteReference"/>
        </w:rPr>
        <w:footnoteReference w:id="8"/>
      </w:r>
      <w:r w:rsidRPr="005157DA">
        <w:t xml:space="preserve"> </w:t>
      </w:r>
    </w:p>
    <w:p w:rsidR="00666D13" w:rsidRDefault="00666D13" w:rsidP="0051528B">
      <w:pPr>
        <w:spacing w:line="480" w:lineRule="auto"/>
        <w:jc w:val="both"/>
      </w:pPr>
    </w:p>
    <w:p w:rsidR="005A256F" w:rsidRDefault="00666D13" w:rsidP="0051528B">
      <w:pPr>
        <w:spacing w:line="480" w:lineRule="auto"/>
        <w:jc w:val="both"/>
        <w:rPr>
          <w:lang w:val="en-US"/>
        </w:rPr>
      </w:pPr>
      <w:r w:rsidRPr="005157DA">
        <w:t>The decision to control “</w:t>
      </w:r>
      <w:r w:rsidRPr="005157DA">
        <w:rPr>
          <w:lang w:val="en-US"/>
        </w:rPr>
        <w:t xml:space="preserve">the intangible transfer of information and knowledge” </w:t>
      </w:r>
      <w:proofErr w:type="gramStart"/>
      <w:r w:rsidRPr="005157DA">
        <w:rPr>
          <w:lang w:val="en-US"/>
        </w:rPr>
        <w:t>was made</w:t>
      </w:r>
      <w:proofErr w:type="gramEnd"/>
      <w:r w:rsidRPr="005157DA">
        <w:rPr>
          <w:lang w:val="en-US"/>
        </w:rPr>
        <w:t xml:space="preserve"> at an AG meeting in 2002,</w:t>
      </w:r>
      <w:r w:rsidRPr="005157DA">
        <w:rPr>
          <w:rStyle w:val="FootnoteReference"/>
        </w:rPr>
        <w:footnoteReference w:id="9"/>
      </w:r>
      <w:r w:rsidRPr="005157DA">
        <w:rPr>
          <w:lang w:val="en-US"/>
        </w:rPr>
        <w:t xml:space="preserve"> </w:t>
      </w:r>
      <w:r>
        <w:rPr>
          <w:lang w:val="en-US"/>
        </w:rPr>
        <w:t xml:space="preserve">and several participating states have since implemented </w:t>
      </w:r>
      <w:r w:rsidRPr="005157DA">
        <w:rPr>
          <w:lang w:val="en-US"/>
        </w:rPr>
        <w:t xml:space="preserve">enforceable legislation. </w:t>
      </w:r>
      <w:r>
        <w:rPr>
          <w:lang w:val="en-US"/>
        </w:rPr>
        <w:t xml:space="preserve">For example, since 2009 and throughout the EU, Council </w:t>
      </w:r>
      <w:r w:rsidRPr="005157DA">
        <w:t xml:space="preserve">Regulation 428/2009 has provided a </w:t>
      </w:r>
      <w:r>
        <w:t>common legal basis</w:t>
      </w:r>
      <w:r w:rsidRPr="005157DA">
        <w:t xml:space="preserve"> </w:t>
      </w:r>
      <w:r>
        <w:t>for the 28 EU member states individually to control exports of dual-</w:t>
      </w:r>
      <w:r w:rsidRPr="005157DA">
        <w:t>use technology to non-EU states.</w:t>
      </w:r>
      <w:r>
        <w:t xml:space="preserve"> For the purposes of the Regulation, </w:t>
      </w:r>
      <w:r w:rsidR="005A256F">
        <w:t>“</w:t>
      </w:r>
      <w:r>
        <w:t>dual-use items</w:t>
      </w:r>
      <w:r w:rsidR="005A256F">
        <w:t>”</w:t>
      </w:r>
      <w:r>
        <w:t xml:space="preserve"> means “items, including software and technology, which can be used for both civil and military purposes”, and </w:t>
      </w:r>
      <w:r w:rsidR="005A256F">
        <w:t>“</w:t>
      </w:r>
      <w:r>
        <w:t>export</w:t>
      </w:r>
      <w:r w:rsidR="005A256F">
        <w:t>”</w:t>
      </w:r>
      <w:r>
        <w:t xml:space="preserve"> </w:t>
      </w:r>
      <w:proofErr w:type="gramStart"/>
      <w:r>
        <w:t>is defined</w:t>
      </w:r>
      <w:proofErr w:type="gramEnd"/>
      <w:r>
        <w:t xml:space="preserve"> to </w:t>
      </w:r>
      <w:r w:rsidRPr="00A64C68">
        <w:t>include “</w:t>
      </w:r>
      <w:r w:rsidRPr="00A64C68">
        <w:rPr>
          <w:lang w:val="en-US"/>
        </w:rPr>
        <w:t>transmission of software or technology by electronic media, including by fax, telephone, electronic mail or any other electronic means to a destination outside the European Community</w:t>
      </w:r>
      <w:r>
        <w:rPr>
          <w:lang w:val="en-US"/>
        </w:rPr>
        <w:t>”</w:t>
      </w:r>
      <w:r w:rsidRPr="00A64C68">
        <w:t xml:space="preserve"> (Article 2)</w:t>
      </w:r>
      <w:r>
        <w:t xml:space="preserve">. </w:t>
      </w:r>
      <w:r w:rsidRPr="005157DA">
        <w:t>I</w:t>
      </w:r>
      <w:r>
        <w:rPr>
          <w:rFonts w:eastAsia="SimSun"/>
          <w:lang w:val="en-US"/>
        </w:rPr>
        <w:t>f an item of dual-use technology</w:t>
      </w:r>
      <w:r w:rsidRPr="005157DA">
        <w:rPr>
          <w:rFonts w:eastAsia="SimSun"/>
          <w:lang w:val="en-US"/>
        </w:rPr>
        <w:t xml:space="preserve"> </w:t>
      </w:r>
      <w:proofErr w:type="gramStart"/>
      <w:r w:rsidRPr="005157DA">
        <w:rPr>
          <w:rFonts w:eastAsia="SimSun"/>
          <w:lang w:val="en-US"/>
        </w:rPr>
        <w:lastRenderedPageBreak/>
        <w:t>is listed</w:t>
      </w:r>
      <w:proofErr w:type="gramEnd"/>
      <w:r w:rsidRPr="005157DA">
        <w:rPr>
          <w:rFonts w:eastAsia="SimSun"/>
          <w:lang w:val="en-US"/>
        </w:rPr>
        <w:t xml:space="preserve"> in Annex 1 of the Regulation, the government of an EU </w:t>
      </w:r>
      <w:r>
        <w:rPr>
          <w:rFonts w:eastAsia="SimSun"/>
          <w:lang w:val="en-US"/>
        </w:rPr>
        <w:t>s</w:t>
      </w:r>
      <w:r w:rsidRPr="005157DA">
        <w:rPr>
          <w:rFonts w:eastAsia="SimSun"/>
          <w:lang w:val="en-US"/>
        </w:rPr>
        <w:t>tate must require the export of that item to be officially authorized</w:t>
      </w:r>
      <w:r>
        <w:rPr>
          <w:rFonts w:eastAsia="SimSun"/>
          <w:lang w:val="en-US"/>
        </w:rPr>
        <w:t xml:space="preserve"> (Article 3)</w:t>
      </w:r>
      <w:r w:rsidRPr="005157DA">
        <w:rPr>
          <w:rFonts w:eastAsia="SimSun"/>
          <w:lang w:val="en-US"/>
        </w:rPr>
        <w:t xml:space="preserve">. </w:t>
      </w:r>
      <w:r>
        <w:rPr>
          <w:lang w:val="en-US"/>
        </w:rPr>
        <w:t xml:space="preserve">In Annex I, </w:t>
      </w:r>
      <w:r w:rsidR="005A256F">
        <w:rPr>
          <w:lang w:val="en-US"/>
        </w:rPr>
        <w:t>“</w:t>
      </w:r>
      <w:r>
        <w:rPr>
          <w:lang w:val="en-US"/>
        </w:rPr>
        <w:t>technology</w:t>
      </w:r>
      <w:r w:rsidR="005A256F">
        <w:rPr>
          <w:lang w:val="en-US"/>
        </w:rPr>
        <w:t>”</w:t>
      </w:r>
      <w:r w:rsidRPr="00036B93">
        <w:rPr>
          <w:lang w:val="en-US"/>
        </w:rPr>
        <w:t xml:space="preserve"> means specific information</w:t>
      </w:r>
      <w:r>
        <w:rPr>
          <w:lang w:val="en-US"/>
        </w:rPr>
        <w:t xml:space="preserve">, taking the form of </w:t>
      </w:r>
      <w:r w:rsidR="005A256F">
        <w:rPr>
          <w:lang w:val="en-US"/>
        </w:rPr>
        <w:t>“</w:t>
      </w:r>
      <w:r w:rsidRPr="00036B93">
        <w:rPr>
          <w:lang w:val="en-US"/>
        </w:rPr>
        <w:t>technical data</w:t>
      </w:r>
      <w:r w:rsidR="005A256F">
        <w:rPr>
          <w:lang w:val="en-US"/>
        </w:rPr>
        <w:t>”</w:t>
      </w:r>
      <w:r w:rsidRPr="00036B93">
        <w:rPr>
          <w:lang w:val="en-US"/>
        </w:rPr>
        <w:t xml:space="preserve"> or </w:t>
      </w:r>
      <w:r w:rsidR="005A256F">
        <w:rPr>
          <w:lang w:val="en-US"/>
        </w:rPr>
        <w:t>“</w:t>
      </w:r>
      <w:r w:rsidRPr="00036B93">
        <w:rPr>
          <w:lang w:val="en-US"/>
        </w:rPr>
        <w:t>technical assistance</w:t>
      </w:r>
      <w:r w:rsidR="005A256F">
        <w:rPr>
          <w:lang w:val="en-US"/>
        </w:rPr>
        <w:t>”</w:t>
      </w:r>
      <w:r>
        <w:rPr>
          <w:lang w:val="en-US"/>
        </w:rPr>
        <w:t xml:space="preserve">, necessary for the development, production or use of goods, and a general exception to technology transfer controls </w:t>
      </w:r>
      <w:proofErr w:type="gramStart"/>
      <w:r>
        <w:rPr>
          <w:lang w:val="en-US"/>
        </w:rPr>
        <w:t>is made</w:t>
      </w:r>
      <w:proofErr w:type="gramEnd"/>
      <w:r>
        <w:rPr>
          <w:lang w:val="en-US"/>
        </w:rPr>
        <w:t xml:space="preserve"> for “basic scientific research” and information “in the public domain”.</w:t>
      </w:r>
      <w:r>
        <w:rPr>
          <w:rStyle w:val="FootnoteReference"/>
        </w:rPr>
        <w:footnoteReference w:id="10"/>
      </w:r>
      <w:r>
        <w:rPr>
          <w:lang w:val="en-US"/>
        </w:rPr>
        <w:t xml:space="preserve"> </w:t>
      </w:r>
    </w:p>
    <w:p w:rsidR="005A256F" w:rsidRDefault="005A256F" w:rsidP="0051528B">
      <w:pPr>
        <w:spacing w:line="480" w:lineRule="auto"/>
        <w:jc w:val="both"/>
        <w:rPr>
          <w:lang w:val="en-US"/>
        </w:rPr>
      </w:pPr>
    </w:p>
    <w:p w:rsidR="00666D13" w:rsidRPr="005A256F" w:rsidRDefault="00666D13" w:rsidP="0051528B">
      <w:pPr>
        <w:spacing w:line="480" w:lineRule="auto"/>
        <w:jc w:val="both"/>
        <w:rPr>
          <w:rFonts w:eastAsia="SimSun"/>
          <w:lang w:val="en-US"/>
        </w:rPr>
      </w:pPr>
      <w:r>
        <w:rPr>
          <w:lang w:val="en-US"/>
        </w:rPr>
        <w:t xml:space="preserve">In 2012, Regulation 428/2009 was for the first time applied to the intended transmission (for publication purposes) of written research findings; specifically, the findings of particular research on the transmissibility of H5N1 influenza virus that had been conducted in the Netherlands. Although this was an unprecedented application of export control law to this form of intangible technology transfer, it was not the first time that the risks of publishing the findings of virus research had generated public concern. </w:t>
      </w:r>
      <w:r>
        <w:rPr>
          <w:rStyle w:val="Heading1Char"/>
          <w:rFonts w:eastAsiaTheme="minorEastAsia"/>
          <w:b w:val="0"/>
          <w:caps w:val="0"/>
          <w:sz w:val="24"/>
          <w:szCs w:val="24"/>
          <w:lang w:val="en-AU"/>
        </w:rPr>
        <w:t xml:space="preserve">Over the preceding decade, a small number of cases had generated concern about </w:t>
      </w:r>
      <w:r w:rsidRPr="00307BCB">
        <w:rPr>
          <w:rStyle w:val="Heading1Char"/>
          <w:rFonts w:eastAsiaTheme="minorEastAsia"/>
          <w:b w:val="0"/>
          <w:caps w:val="0"/>
          <w:sz w:val="24"/>
          <w:szCs w:val="24"/>
          <w:lang w:val="en-AU"/>
        </w:rPr>
        <w:t xml:space="preserve">the </w:t>
      </w:r>
      <w:r>
        <w:rPr>
          <w:rStyle w:val="Heading1Char"/>
          <w:rFonts w:eastAsiaTheme="minorEastAsia"/>
          <w:b w:val="0"/>
          <w:caps w:val="0"/>
          <w:sz w:val="24"/>
          <w:szCs w:val="24"/>
          <w:lang w:val="en-AU"/>
        </w:rPr>
        <w:t>possible</w:t>
      </w:r>
      <w:r w:rsidRPr="00307BCB">
        <w:rPr>
          <w:rStyle w:val="Heading1Char"/>
          <w:rFonts w:eastAsiaTheme="minorEastAsia"/>
          <w:b w:val="0"/>
          <w:caps w:val="0"/>
          <w:sz w:val="24"/>
          <w:szCs w:val="24"/>
          <w:lang w:val="en-AU"/>
        </w:rPr>
        <w:t xml:space="preserve"> harmful application of published </w:t>
      </w:r>
      <w:r>
        <w:rPr>
          <w:rStyle w:val="Heading1Char"/>
          <w:rFonts w:eastAsiaTheme="minorEastAsia"/>
          <w:b w:val="0"/>
          <w:caps w:val="0"/>
          <w:sz w:val="24"/>
          <w:szCs w:val="24"/>
          <w:lang w:val="en-AU"/>
        </w:rPr>
        <w:t>research methods. The controversies</w:t>
      </w:r>
      <w:r w:rsidRPr="00307BCB">
        <w:rPr>
          <w:rStyle w:val="Heading1Char"/>
          <w:rFonts w:eastAsiaTheme="minorEastAsia"/>
          <w:b w:val="0"/>
          <w:caps w:val="0"/>
          <w:sz w:val="24"/>
          <w:szCs w:val="24"/>
          <w:lang w:val="en-AU"/>
        </w:rPr>
        <w:t xml:space="preserve"> surrounding these cases in turn gradually intensified the political pressure on </w:t>
      </w:r>
      <w:r>
        <w:rPr>
          <w:rStyle w:val="Heading1Char"/>
          <w:rFonts w:eastAsiaTheme="minorEastAsia"/>
          <w:b w:val="0"/>
          <w:caps w:val="0"/>
          <w:sz w:val="24"/>
          <w:szCs w:val="24"/>
          <w:lang w:val="en-AU"/>
        </w:rPr>
        <w:t>the</w:t>
      </w:r>
      <w:r w:rsidRPr="00307BCB">
        <w:rPr>
          <w:rStyle w:val="Heading1Char"/>
          <w:rFonts w:eastAsiaTheme="minorEastAsia"/>
          <w:b w:val="0"/>
          <w:caps w:val="0"/>
          <w:sz w:val="24"/>
          <w:szCs w:val="24"/>
          <w:lang w:val="en-AU"/>
        </w:rPr>
        <w:t xml:space="preserve"> editors </w:t>
      </w:r>
      <w:r>
        <w:rPr>
          <w:rStyle w:val="Heading1Char"/>
          <w:rFonts w:eastAsiaTheme="minorEastAsia"/>
          <w:b w:val="0"/>
          <w:caps w:val="0"/>
          <w:sz w:val="24"/>
          <w:szCs w:val="24"/>
          <w:lang w:val="en-AU"/>
        </w:rPr>
        <w:t xml:space="preserve">of scientific journals </w:t>
      </w:r>
      <w:r w:rsidRPr="00307BCB">
        <w:rPr>
          <w:rStyle w:val="Heading1Char"/>
          <w:rFonts w:eastAsiaTheme="minorEastAsia"/>
          <w:b w:val="0"/>
          <w:caps w:val="0"/>
          <w:sz w:val="24"/>
          <w:szCs w:val="24"/>
          <w:lang w:val="en-AU"/>
        </w:rPr>
        <w:t>to</w:t>
      </w:r>
      <w:r>
        <w:rPr>
          <w:rStyle w:val="Heading1Char"/>
          <w:rFonts w:eastAsiaTheme="minorEastAsia"/>
          <w:b w:val="0"/>
          <w:caps w:val="0"/>
          <w:sz w:val="24"/>
          <w:szCs w:val="24"/>
          <w:lang w:val="en-AU"/>
        </w:rPr>
        <w:t xml:space="preserve"> refrain from publishing (on </w:t>
      </w:r>
      <w:r w:rsidRPr="00307BCB">
        <w:rPr>
          <w:rStyle w:val="Heading1Char"/>
          <w:rFonts w:eastAsiaTheme="minorEastAsia"/>
          <w:b w:val="0"/>
          <w:caps w:val="0"/>
          <w:sz w:val="24"/>
          <w:szCs w:val="24"/>
          <w:lang w:val="en-AU"/>
        </w:rPr>
        <w:t xml:space="preserve">security grounds) or else </w:t>
      </w:r>
      <w:r w:rsidR="005A256F">
        <w:rPr>
          <w:rStyle w:val="Heading1Char"/>
          <w:rFonts w:eastAsiaTheme="minorEastAsia"/>
          <w:b w:val="0"/>
          <w:caps w:val="0"/>
          <w:sz w:val="24"/>
          <w:szCs w:val="24"/>
          <w:lang w:val="en-AU"/>
        </w:rPr>
        <w:t xml:space="preserve">perhaps </w:t>
      </w:r>
      <w:r w:rsidRPr="00307BCB">
        <w:rPr>
          <w:rStyle w:val="Heading1Char"/>
          <w:rFonts w:eastAsiaTheme="minorEastAsia"/>
          <w:b w:val="0"/>
          <w:caps w:val="0"/>
          <w:sz w:val="24"/>
          <w:szCs w:val="24"/>
          <w:lang w:val="en-AU"/>
        </w:rPr>
        <w:t xml:space="preserve">see governments </w:t>
      </w:r>
      <w:r>
        <w:rPr>
          <w:rStyle w:val="Heading1Char"/>
          <w:rFonts w:eastAsiaTheme="minorEastAsia"/>
          <w:b w:val="0"/>
          <w:caps w:val="0"/>
          <w:sz w:val="24"/>
          <w:szCs w:val="24"/>
          <w:lang w:val="en-AU"/>
        </w:rPr>
        <w:t xml:space="preserve">one day </w:t>
      </w:r>
      <w:r w:rsidRPr="00307BCB">
        <w:rPr>
          <w:rStyle w:val="Heading1Char"/>
          <w:rFonts w:eastAsiaTheme="minorEastAsia"/>
          <w:b w:val="0"/>
          <w:caps w:val="0"/>
          <w:sz w:val="24"/>
          <w:szCs w:val="24"/>
          <w:lang w:val="en-AU"/>
        </w:rPr>
        <w:t>take the decision out of their hands.</w:t>
      </w:r>
      <w:r>
        <w:rPr>
          <w:rStyle w:val="Heading1Char"/>
          <w:rFonts w:eastAsiaTheme="minorEastAsia"/>
          <w:b w:val="0"/>
          <w:caps w:val="0"/>
          <w:sz w:val="24"/>
          <w:szCs w:val="24"/>
        </w:rPr>
        <w:t xml:space="preserve"> </w:t>
      </w:r>
      <w:r w:rsidRPr="00307BCB">
        <w:rPr>
          <w:rStyle w:val="Heading1Char"/>
          <w:rFonts w:eastAsiaTheme="minorEastAsia"/>
          <w:b w:val="0"/>
          <w:caps w:val="0"/>
          <w:sz w:val="24"/>
          <w:szCs w:val="24"/>
          <w:lang w:val="en-AU"/>
        </w:rPr>
        <w:t>One such controversy arose from an article that appeared in</w:t>
      </w:r>
      <w:r>
        <w:rPr>
          <w:rStyle w:val="Heading1Char"/>
          <w:rFonts w:eastAsiaTheme="minorEastAsia"/>
          <w:b w:val="0"/>
          <w:caps w:val="0"/>
          <w:sz w:val="24"/>
          <w:szCs w:val="24"/>
          <w:lang w:val="en-AU"/>
        </w:rPr>
        <w:t xml:space="preserve"> </w:t>
      </w:r>
      <w:r w:rsidRPr="00400D45">
        <w:rPr>
          <w:rStyle w:val="Heading1Char"/>
          <w:rFonts w:eastAsiaTheme="minorEastAsia"/>
          <w:b w:val="0"/>
          <w:i/>
          <w:caps w:val="0"/>
          <w:sz w:val="24"/>
          <w:szCs w:val="24"/>
          <w:lang w:val="en-AU"/>
        </w:rPr>
        <w:t>Science</w:t>
      </w:r>
      <w:r>
        <w:rPr>
          <w:rStyle w:val="Heading1Char"/>
          <w:rFonts w:eastAsiaTheme="minorEastAsia"/>
          <w:b w:val="0"/>
          <w:caps w:val="0"/>
          <w:sz w:val="24"/>
          <w:szCs w:val="24"/>
          <w:lang w:val="en-AU"/>
        </w:rPr>
        <w:t xml:space="preserve"> in 2002, less than a year after </w:t>
      </w:r>
      <w:r w:rsidRPr="005157DA">
        <w:t xml:space="preserve">the anthrax </w:t>
      </w:r>
      <w:r>
        <w:t xml:space="preserve">envelope </w:t>
      </w:r>
      <w:r w:rsidRPr="005157DA">
        <w:t>attacks in the United States</w:t>
      </w:r>
      <w:r>
        <w:t>.</w:t>
      </w:r>
      <w:r>
        <w:rPr>
          <w:rStyle w:val="Heading1Char"/>
          <w:rFonts w:eastAsiaTheme="minorEastAsia"/>
          <w:b w:val="0"/>
          <w:caps w:val="0"/>
          <w:sz w:val="24"/>
          <w:szCs w:val="24"/>
          <w:lang w:val="en-AU"/>
        </w:rPr>
        <w:t xml:space="preserve"> </w:t>
      </w:r>
      <w:r>
        <w:t>The article was authored by some</w:t>
      </w:r>
      <w:r w:rsidRPr="005157DA">
        <w:t xml:space="preserve"> </w:t>
      </w:r>
      <w:r w:rsidRPr="005157DA">
        <w:rPr>
          <w:lang w:val="en-US"/>
        </w:rPr>
        <w:t xml:space="preserve">US scientists </w:t>
      </w:r>
      <w:r>
        <w:rPr>
          <w:lang w:val="en-US"/>
        </w:rPr>
        <w:t xml:space="preserve">who, </w:t>
      </w:r>
      <w:r w:rsidRPr="005157DA">
        <w:rPr>
          <w:lang w:val="en-US"/>
        </w:rPr>
        <w:t xml:space="preserve">sponsored by the US </w:t>
      </w:r>
      <w:r>
        <w:rPr>
          <w:lang w:val="en-US"/>
        </w:rPr>
        <w:t xml:space="preserve">Defense </w:t>
      </w:r>
      <w:r w:rsidRPr="005157DA">
        <w:rPr>
          <w:lang w:val="en-US"/>
        </w:rPr>
        <w:t>Department</w:t>
      </w:r>
      <w:r>
        <w:rPr>
          <w:lang w:val="en-US"/>
        </w:rPr>
        <w:t>,</w:t>
      </w:r>
      <w:r w:rsidRPr="005157DA">
        <w:rPr>
          <w:lang w:val="en-US"/>
        </w:rPr>
        <w:t xml:space="preserve"> had spent three years </w:t>
      </w:r>
      <w:r>
        <w:rPr>
          <w:lang w:val="en-US"/>
        </w:rPr>
        <w:t xml:space="preserve">chemically </w:t>
      </w:r>
      <w:r w:rsidRPr="005157DA">
        <w:rPr>
          <w:lang w:val="en-US"/>
        </w:rPr>
        <w:t xml:space="preserve">synthesizing the </w:t>
      </w:r>
      <w:proofErr w:type="gramStart"/>
      <w:r>
        <w:rPr>
          <w:lang w:val="en-US"/>
        </w:rPr>
        <w:t>polio virus</w:t>
      </w:r>
      <w:proofErr w:type="gramEnd"/>
      <w:r>
        <w:rPr>
          <w:lang w:val="en-US"/>
        </w:rPr>
        <w:t xml:space="preserve"> using </w:t>
      </w:r>
      <w:r w:rsidRPr="005157DA">
        <w:rPr>
          <w:lang w:val="en-US"/>
        </w:rPr>
        <w:t xml:space="preserve">sequences </w:t>
      </w:r>
      <w:r>
        <w:rPr>
          <w:lang w:val="en-US"/>
        </w:rPr>
        <w:t xml:space="preserve">of genetic material </w:t>
      </w:r>
      <w:r w:rsidRPr="005157DA">
        <w:rPr>
          <w:lang w:val="en-US"/>
        </w:rPr>
        <w:t xml:space="preserve">purchased </w:t>
      </w:r>
      <w:r>
        <w:rPr>
          <w:lang w:val="en-US"/>
        </w:rPr>
        <w:t>via the internet. The assembled</w:t>
      </w:r>
      <w:r w:rsidRPr="005157DA">
        <w:rPr>
          <w:lang w:val="en-US"/>
        </w:rPr>
        <w:t xml:space="preserve"> </w:t>
      </w:r>
      <w:r>
        <w:rPr>
          <w:lang w:val="en-US"/>
        </w:rPr>
        <w:t xml:space="preserve">material </w:t>
      </w:r>
      <w:r w:rsidRPr="005157DA">
        <w:rPr>
          <w:lang w:val="en-US"/>
        </w:rPr>
        <w:t xml:space="preserve">was </w:t>
      </w:r>
      <w:r>
        <w:rPr>
          <w:lang w:val="en-US"/>
        </w:rPr>
        <w:t xml:space="preserve">then </w:t>
      </w:r>
      <w:r w:rsidRPr="005157DA">
        <w:rPr>
          <w:lang w:val="en-US"/>
        </w:rPr>
        <w:t xml:space="preserve">used to create live </w:t>
      </w:r>
      <w:proofErr w:type="gramStart"/>
      <w:r>
        <w:rPr>
          <w:lang w:val="en-US"/>
        </w:rPr>
        <w:t xml:space="preserve">polio </w:t>
      </w:r>
      <w:r w:rsidRPr="005157DA">
        <w:rPr>
          <w:lang w:val="en-US"/>
        </w:rPr>
        <w:t>virus</w:t>
      </w:r>
      <w:proofErr w:type="gramEnd"/>
      <w:r>
        <w:rPr>
          <w:lang w:val="en-US"/>
        </w:rPr>
        <w:t xml:space="preserve"> that paralyzed and killed mice, thus </w:t>
      </w:r>
      <w:r>
        <w:rPr>
          <w:lang w:val="en-US"/>
        </w:rPr>
        <w:lastRenderedPageBreak/>
        <w:t xml:space="preserve">showing </w:t>
      </w:r>
      <w:r w:rsidRPr="005157DA">
        <w:rPr>
          <w:lang w:val="en-US"/>
        </w:rPr>
        <w:t>that eradicating a virus in the wild might not mean it is gone forever.</w:t>
      </w:r>
      <w:r w:rsidRPr="005157DA">
        <w:rPr>
          <w:rStyle w:val="FootnoteReference"/>
        </w:rPr>
        <w:footnoteReference w:id="11"/>
      </w:r>
      <w:r w:rsidRPr="005157DA">
        <w:rPr>
          <w:lang w:val="en-US"/>
        </w:rPr>
        <w:t xml:space="preserve"> More broadly, the findings demonstrated how </w:t>
      </w:r>
      <w:r>
        <w:rPr>
          <w:lang w:val="en-US"/>
        </w:rPr>
        <w:t xml:space="preserve">gene </w:t>
      </w:r>
      <w:r w:rsidRPr="005157DA">
        <w:rPr>
          <w:lang w:val="en-US"/>
        </w:rPr>
        <w:t xml:space="preserve">synthesis technology could obviate the need to source pathogens from natural reservoirs or from other laboratories. Criticisms of the </w:t>
      </w:r>
      <w:r>
        <w:rPr>
          <w:lang w:val="en-US"/>
        </w:rPr>
        <w:t xml:space="preserve">journal’s </w:t>
      </w:r>
      <w:r w:rsidRPr="005157DA">
        <w:rPr>
          <w:lang w:val="en-US"/>
        </w:rPr>
        <w:t xml:space="preserve">decision to publish ranged from </w:t>
      </w:r>
      <w:r>
        <w:rPr>
          <w:lang w:val="en-US"/>
        </w:rPr>
        <w:t>claims</w:t>
      </w:r>
      <w:r w:rsidRPr="005157DA">
        <w:rPr>
          <w:lang w:val="en-US"/>
        </w:rPr>
        <w:t xml:space="preserve"> that the research findings were scientifically uninteresting to </w:t>
      </w:r>
      <w:r>
        <w:rPr>
          <w:lang w:val="en-US"/>
        </w:rPr>
        <w:t>claims</w:t>
      </w:r>
      <w:r w:rsidRPr="005157DA">
        <w:rPr>
          <w:lang w:val="en-US"/>
        </w:rPr>
        <w:t xml:space="preserve"> that </w:t>
      </w:r>
      <w:proofErr w:type="gramStart"/>
      <w:r w:rsidRPr="005157DA">
        <w:rPr>
          <w:lang w:val="en-US"/>
        </w:rPr>
        <w:t xml:space="preserve">the information could be </w:t>
      </w:r>
      <w:r>
        <w:rPr>
          <w:lang w:val="en-US"/>
        </w:rPr>
        <w:t xml:space="preserve">maliciously and harmfully </w:t>
      </w:r>
      <w:r w:rsidRPr="005157DA">
        <w:rPr>
          <w:lang w:val="en-US"/>
        </w:rPr>
        <w:t>misused by its reader</w:t>
      </w:r>
      <w:proofErr w:type="gramEnd"/>
      <w:r w:rsidRPr="005157DA">
        <w:rPr>
          <w:lang w:val="en-US"/>
        </w:rPr>
        <w:t xml:space="preserve">. One US </w:t>
      </w:r>
      <w:proofErr w:type="gramStart"/>
      <w:r w:rsidRPr="005157DA">
        <w:rPr>
          <w:lang w:val="en-US"/>
        </w:rPr>
        <w:t>congressman</w:t>
      </w:r>
      <w:proofErr w:type="gramEnd"/>
      <w:r w:rsidRPr="005157DA">
        <w:rPr>
          <w:lang w:val="en-US"/>
        </w:rPr>
        <w:t xml:space="preserve"> even tabled a congressional resolution accusing </w:t>
      </w:r>
      <w:r w:rsidRPr="005157DA">
        <w:rPr>
          <w:i/>
          <w:lang w:val="en-US"/>
        </w:rPr>
        <w:t>Science</w:t>
      </w:r>
      <w:r w:rsidRPr="005157DA">
        <w:rPr>
          <w:lang w:val="en-US"/>
        </w:rPr>
        <w:t xml:space="preserve"> of publishing “a blueprint that could conceivably enable terrorists to inexpensively create human pathogens”.</w:t>
      </w:r>
      <w:r w:rsidRPr="005157DA">
        <w:rPr>
          <w:rStyle w:val="FootnoteReference"/>
        </w:rPr>
        <w:footnoteReference w:id="12"/>
      </w:r>
      <w:r w:rsidRPr="005157DA">
        <w:rPr>
          <w:lang w:val="en-US"/>
        </w:rPr>
        <w:t xml:space="preserve"> </w:t>
      </w:r>
      <w:proofErr w:type="gramStart"/>
      <w:r w:rsidRPr="005157DA">
        <w:rPr>
          <w:lang w:val="en-US"/>
        </w:rPr>
        <w:t>But</w:t>
      </w:r>
      <w:proofErr w:type="gramEnd"/>
      <w:r w:rsidRPr="005157DA">
        <w:rPr>
          <w:lang w:val="en-US"/>
        </w:rPr>
        <w:t xml:space="preserve"> the journal’s editor</w:t>
      </w:r>
      <w:r>
        <w:rPr>
          <w:lang w:val="en-US"/>
        </w:rPr>
        <w:t xml:space="preserve"> at the time</w:t>
      </w:r>
      <w:r w:rsidRPr="005157DA">
        <w:rPr>
          <w:lang w:val="en-US"/>
        </w:rPr>
        <w:t xml:space="preserve">, Donald Kennedy, defended </w:t>
      </w:r>
      <w:r>
        <w:rPr>
          <w:lang w:val="en-US"/>
        </w:rPr>
        <w:t>his</w:t>
      </w:r>
      <w:r w:rsidRPr="005157DA">
        <w:rPr>
          <w:lang w:val="en-US"/>
        </w:rPr>
        <w:t xml:space="preserve"> decision by arguing: “Sticking one’s head in the sand and hoping that unpleasant realities will go away has never been a fruitful approach to science or public policy”. He conceded, </w:t>
      </w:r>
      <w:r>
        <w:rPr>
          <w:lang w:val="en-US"/>
        </w:rPr>
        <w:t>though</w:t>
      </w:r>
      <w:proofErr w:type="gramStart"/>
      <w:r w:rsidRPr="005157DA">
        <w:rPr>
          <w:lang w:val="en-US"/>
        </w:rPr>
        <w:t>, that</w:t>
      </w:r>
      <w:proofErr w:type="gramEnd"/>
      <w:r w:rsidRPr="005157DA">
        <w:rPr>
          <w:lang w:val="en-US"/>
        </w:rPr>
        <w:t xml:space="preserve"> “there should continue to be serious conversations about the relationship between scientific research, publication, and security”.</w:t>
      </w:r>
      <w:r w:rsidRPr="005157DA">
        <w:rPr>
          <w:rStyle w:val="FootnoteReference"/>
        </w:rPr>
        <w:footnoteReference w:id="13"/>
      </w:r>
    </w:p>
    <w:p w:rsidR="00666D13" w:rsidRDefault="00666D13" w:rsidP="0051528B">
      <w:pPr>
        <w:spacing w:line="480" w:lineRule="auto"/>
        <w:jc w:val="both"/>
      </w:pPr>
    </w:p>
    <w:p w:rsidR="00666D13" w:rsidRPr="001C67CA" w:rsidRDefault="00666D13" w:rsidP="0051528B">
      <w:pPr>
        <w:spacing w:line="480" w:lineRule="auto"/>
        <w:jc w:val="both"/>
      </w:pPr>
      <w:r w:rsidRPr="005157DA">
        <w:t xml:space="preserve">In 2005, journal editors </w:t>
      </w:r>
      <w:r>
        <w:t xml:space="preserve">again </w:t>
      </w:r>
      <w:r w:rsidRPr="005157DA">
        <w:t xml:space="preserve">came under political pressure in respect of </w:t>
      </w:r>
      <w:r>
        <w:t>two</w:t>
      </w:r>
      <w:r w:rsidRPr="005157DA">
        <w:t xml:space="preserve"> </w:t>
      </w:r>
      <w:r>
        <w:t xml:space="preserve">sets of written findings from research on the H1N1 virus that caused the devastating Spanish Flu of 1918-19. One of the papers was eventually published in </w:t>
      </w:r>
      <w:r w:rsidRPr="00A03767">
        <w:rPr>
          <w:i/>
        </w:rPr>
        <w:t>Nature</w:t>
      </w:r>
      <w:r>
        <w:t>,</w:t>
      </w:r>
      <w:r>
        <w:rPr>
          <w:rStyle w:val="FootnoteReference"/>
        </w:rPr>
        <w:footnoteReference w:id="14"/>
      </w:r>
      <w:r>
        <w:t xml:space="preserve"> and the other in </w:t>
      </w:r>
      <w:r w:rsidRPr="00A03767">
        <w:rPr>
          <w:i/>
        </w:rPr>
        <w:t>Science</w:t>
      </w:r>
      <w:r>
        <w:t>,</w:t>
      </w:r>
      <w:r>
        <w:rPr>
          <w:rStyle w:val="FootnoteReference"/>
        </w:rPr>
        <w:footnoteReference w:id="15"/>
      </w:r>
      <w:r>
        <w:t xml:space="preserve"> but on this </w:t>
      </w:r>
      <w:proofErr w:type="gramStart"/>
      <w:r>
        <w:lastRenderedPageBreak/>
        <w:t>occasion</w:t>
      </w:r>
      <w:proofErr w:type="gramEnd"/>
      <w:r>
        <w:t xml:space="preserve"> the US Government </w:t>
      </w:r>
      <w:r w:rsidRPr="005157DA">
        <w:t>(which had funded the research)</w:t>
      </w:r>
      <w:r>
        <w:t xml:space="preserve"> first referred the papers to the newly-formed National Science Advisory Board for Biosecurity (NSABB) </w:t>
      </w:r>
      <w:r w:rsidRPr="005157DA">
        <w:t xml:space="preserve">for advice on whether </w:t>
      </w:r>
      <w:r w:rsidRPr="005157DA">
        <w:rPr>
          <w:lang w:val="en-US"/>
        </w:rPr>
        <w:t xml:space="preserve">the benefit </w:t>
      </w:r>
      <w:r>
        <w:rPr>
          <w:lang w:val="en-US"/>
        </w:rPr>
        <w:t>to be derived from</w:t>
      </w:r>
      <w:r w:rsidRPr="005157DA">
        <w:rPr>
          <w:lang w:val="en-US"/>
        </w:rPr>
        <w:t xml:space="preserve"> </w:t>
      </w:r>
      <w:r w:rsidR="00D156CE">
        <w:rPr>
          <w:lang w:val="en-US"/>
        </w:rPr>
        <w:t xml:space="preserve">publishing </w:t>
      </w:r>
      <w:r w:rsidRPr="005157DA">
        <w:rPr>
          <w:lang w:val="en-US"/>
        </w:rPr>
        <w:t>this information outweigh</w:t>
      </w:r>
      <w:r>
        <w:rPr>
          <w:lang w:val="en-US"/>
        </w:rPr>
        <w:t>ed the risk of harmful misuse</w:t>
      </w:r>
      <w:r>
        <w:t xml:space="preserve">. </w:t>
      </w:r>
      <w:r w:rsidRPr="005157DA">
        <w:rPr>
          <w:lang w:val="en-US"/>
        </w:rPr>
        <w:t>In com</w:t>
      </w:r>
      <w:r>
        <w:rPr>
          <w:lang w:val="en-US"/>
        </w:rPr>
        <w:t>bination, the findings revealed</w:t>
      </w:r>
      <w:r w:rsidRPr="005157DA">
        <w:rPr>
          <w:lang w:val="en-US"/>
        </w:rPr>
        <w:t xml:space="preserve"> the genetic traits</w:t>
      </w:r>
      <w:r>
        <w:rPr>
          <w:lang w:val="en-US"/>
        </w:rPr>
        <w:t xml:space="preserve"> that made this influenza virus (which</w:t>
      </w:r>
      <w:r w:rsidRPr="005157DA">
        <w:rPr>
          <w:lang w:val="en-US"/>
        </w:rPr>
        <w:t xml:space="preserve"> killed around 50 million people worldwide</w:t>
      </w:r>
      <w:r>
        <w:rPr>
          <w:lang w:val="en-US"/>
        </w:rPr>
        <w:t xml:space="preserve">) </w:t>
      </w:r>
      <w:r w:rsidRPr="005157DA">
        <w:rPr>
          <w:lang w:val="en-US"/>
        </w:rPr>
        <w:t xml:space="preserve">so </w:t>
      </w:r>
      <w:r>
        <w:rPr>
          <w:lang w:val="en-US"/>
        </w:rPr>
        <w:t>deadly</w:t>
      </w:r>
      <w:r w:rsidRPr="005157DA">
        <w:rPr>
          <w:lang w:val="en-US"/>
        </w:rPr>
        <w:t xml:space="preserve">. </w:t>
      </w:r>
      <w:r>
        <w:rPr>
          <w:lang w:val="en-US"/>
        </w:rPr>
        <w:t>The promise of sharing</w:t>
      </w:r>
      <w:r w:rsidRPr="005157DA">
        <w:rPr>
          <w:lang w:val="en-US"/>
        </w:rPr>
        <w:t xml:space="preserve"> such information </w:t>
      </w:r>
      <w:r>
        <w:rPr>
          <w:lang w:val="en-US"/>
        </w:rPr>
        <w:t>was that it could</w:t>
      </w:r>
      <w:r w:rsidRPr="005157DA">
        <w:rPr>
          <w:lang w:val="en-US"/>
        </w:rPr>
        <w:t xml:space="preserve"> assist in further gene-synthesis experiments aimed at better understanding the nature of influenza viruses and developing new vaccines or treatments. However, the </w:t>
      </w:r>
      <w:r w:rsidR="00D156CE">
        <w:rPr>
          <w:lang w:val="en-US"/>
        </w:rPr>
        <w:t xml:space="preserve">intended </w:t>
      </w:r>
      <w:r w:rsidRPr="005157DA">
        <w:rPr>
          <w:lang w:val="en-US"/>
        </w:rPr>
        <w:t xml:space="preserve">publication of this information </w:t>
      </w:r>
      <w:r>
        <w:rPr>
          <w:lang w:val="en-US"/>
        </w:rPr>
        <w:t xml:space="preserve">also </w:t>
      </w:r>
      <w:r w:rsidRPr="005157DA">
        <w:rPr>
          <w:lang w:val="en-US"/>
        </w:rPr>
        <w:t xml:space="preserve">gave rise to concerns that would-be bioterrorists could use it to reconstruct the </w:t>
      </w:r>
      <w:r w:rsidR="00D156CE">
        <w:rPr>
          <w:lang w:val="en-US"/>
        </w:rPr>
        <w:t xml:space="preserve">Spanish Flu </w:t>
      </w:r>
      <w:r w:rsidRPr="005157DA">
        <w:rPr>
          <w:lang w:val="en-US"/>
        </w:rPr>
        <w:t xml:space="preserve">virus </w:t>
      </w:r>
      <w:proofErr w:type="gramStart"/>
      <w:r w:rsidRPr="005157DA">
        <w:rPr>
          <w:lang w:val="en-US"/>
        </w:rPr>
        <w:t>for the purpose of</w:t>
      </w:r>
      <w:proofErr w:type="gramEnd"/>
      <w:r w:rsidRPr="005157DA">
        <w:rPr>
          <w:lang w:val="en-US"/>
        </w:rPr>
        <w:t xml:space="preserve"> attacking a target population with no natural immunity. </w:t>
      </w:r>
      <w:r w:rsidR="00D156CE">
        <w:rPr>
          <w:lang w:val="en-US"/>
        </w:rPr>
        <w:t>For example, a</w:t>
      </w:r>
      <w:r w:rsidRPr="005157DA">
        <w:rPr>
          <w:lang w:val="en-US"/>
        </w:rPr>
        <w:t xml:space="preserve">n </w:t>
      </w:r>
      <w:r>
        <w:rPr>
          <w:lang w:val="en-US"/>
        </w:rPr>
        <w:t xml:space="preserve">opinion </w:t>
      </w:r>
      <w:r w:rsidRPr="005157DA">
        <w:rPr>
          <w:lang w:val="en-US"/>
        </w:rPr>
        <w:t xml:space="preserve">article in the </w:t>
      </w:r>
      <w:r w:rsidRPr="005157DA">
        <w:rPr>
          <w:i/>
          <w:lang w:val="en-US"/>
        </w:rPr>
        <w:t>New York Times</w:t>
      </w:r>
      <w:r w:rsidR="00D156CE">
        <w:rPr>
          <w:lang w:val="en-US"/>
        </w:rPr>
        <w:t xml:space="preserve"> </w:t>
      </w:r>
      <w:r w:rsidRPr="005157DA">
        <w:rPr>
          <w:lang w:val="en-US"/>
        </w:rPr>
        <w:t xml:space="preserve">described the published genome of </w:t>
      </w:r>
      <w:r w:rsidR="00D156CE">
        <w:rPr>
          <w:lang w:val="en-US"/>
        </w:rPr>
        <w:t>this</w:t>
      </w:r>
      <w:r w:rsidRPr="005157DA">
        <w:rPr>
          <w:lang w:val="en-US"/>
        </w:rPr>
        <w:t xml:space="preserve"> virus as “essentially the design of a weapon of mass destruction”.</w:t>
      </w:r>
      <w:r w:rsidRPr="005157DA">
        <w:rPr>
          <w:rStyle w:val="FootnoteReference"/>
        </w:rPr>
        <w:footnoteReference w:id="16"/>
      </w:r>
      <w:r w:rsidRPr="005157DA">
        <w:rPr>
          <w:lang w:val="en-US"/>
        </w:rPr>
        <w:t xml:space="preserve"> Members of the NSABB agreed that publication should proceed</w:t>
      </w:r>
      <w:r>
        <w:rPr>
          <w:lang w:val="en-US"/>
        </w:rPr>
        <w:t xml:space="preserve"> anyway</w:t>
      </w:r>
      <w:r w:rsidRPr="005157DA">
        <w:rPr>
          <w:lang w:val="en-US"/>
        </w:rPr>
        <w:t xml:space="preserve">, and </w:t>
      </w:r>
      <w:r w:rsidRPr="005157DA">
        <w:rPr>
          <w:i/>
          <w:lang w:val="en-US"/>
        </w:rPr>
        <w:t>Science</w:t>
      </w:r>
      <w:r w:rsidRPr="005157DA">
        <w:rPr>
          <w:lang w:val="en-US"/>
        </w:rPr>
        <w:t xml:space="preserve">’s Donald Kennedy explained that the risk of doing so </w:t>
      </w:r>
      <w:proofErr w:type="gramStart"/>
      <w:r w:rsidRPr="005157DA">
        <w:rPr>
          <w:lang w:val="en-US"/>
        </w:rPr>
        <w:t>was far outweighed</w:t>
      </w:r>
      <w:proofErr w:type="gramEnd"/>
      <w:r w:rsidRPr="005157DA">
        <w:rPr>
          <w:lang w:val="en-US"/>
        </w:rPr>
        <w:t xml:space="preserve"> by the benefit that it “could help prevent another global flu pandemic”.</w:t>
      </w:r>
      <w:r w:rsidRPr="005157DA">
        <w:rPr>
          <w:rStyle w:val="FootnoteReference"/>
        </w:rPr>
        <w:footnoteReference w:id="17"/>
      </w:r>
      <w:r w:rsidRPr="005157DA">
        <w:rPr>
          <w:lang w:val="en-US"/>
        </w:rPr>
        <w:t xml:space="preserve"> </w:t>
      </w:r>
    </w:p>
    <w:p w:rsidR="00666D13" w:rsidRDefault="00666D13" w:rsidP="0051528B">
      <w:pPr>
        <w:spacing w:line="480" w:lineRule="auto"/>
        <w:jc w:val="both"/>
      </w:pPr>
    </w:p>
    <w:p w:rsidR="00666D13" w:rsidRDefault="00666D13" w:rsidP="0051528B">
      <w:pPr>
        <w:spacing w:line="480" w:lineRule="auto"/>
        <w:jc w:val="both"/>
        <w:rPr>
          <w:lang w:val="en-US"/>
        </w:rPr>
      </w:pPr>
      <w:r>
        <w:rPr>
          <w:lang w:val="en-US"/>
        </w:rPr>
        <w:t xml:space="preserve">Six years later, when another influenza research controversy (involving the H5N1 virus) began to unfold in the Netherlands, the situation was quite different. The editor of </w:t>
      </w:r>
      <w:r w:rsidRPr="008D12CD">
        <w:rPr>
          <w:i/>
          <w:lang w:val="en-US"/>
        </w:rPr>
        <w:t>Science</w:t>
      </w:r>
      <w:r>
        <w:rPr>
          <w:lang w:val="en-US"/>
        </w:rPr>
        <w:t xml:space="preserve"> (a journal based in the United States) was less in control of whether the research findings </w:t>
      </w:r>
      <w:proofErr w:type="gramStart"/>
      <w:r>
        <w:rPr>
          <w:lang w:val="en-US"/>
        </w:rPr>
        <w:t>should be published</w:t>
      </w:r>
      <w:proofErr w:type="gramEnd"/>
      <w:r>
        <w:rPr>
          <w:lang w:val="en-US"/>
        </w:rPr>
        <w:t xml:space="preserve">, because the Dutch Government decided that </w:t>
      </w:r>
      <w:r w:rsidR="00D156CE">
        <w:rPr>
          <w:lang w:val="en-US"/>
        </w:rPr>
        <w:t xml:space="preserve">electronic </w:t>
      </w:r>
      <w:r>
        <w:rPr>
          <w:lang w:val="en-US"/>
        </w:rPr>
        <w:t xml:space="preserve">transmission of the </w:t>
      </w:r>
      <w:r>
        <w:rPr>
          <w:lang w:val="en-US"/>
        </w:rPr>
        <w:lastRenderedPageBreak/>
        <w:t xml:space="preserve">researchers’ manuscript beyond the EU first required an export permit. As the next section will show, this decision raised legal and ethical questions to which the answers remain unclear: was this kind of research covered by Regulation 428/2009? If so, </w:t>
      </w:r>
      <w:proofErr w:type="gramStart"/>
      <w:r>
        <w:rPr>
          <w:lang w:val="en-US"/>
        </w:rPr>
        <w:t>should the researchers have been allowed</w:t>
      </w:r>
      <w:proofErr w:type="gramEnd"/>
      <w:r>
        <w:rPr>
          <w:lang w:val="en-US"/>
        </w:rPr>
        <w:t xml:space="preserve"> to proceed toward publication?</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p>
    <w:p w:rsidR="00666D13" w:rsidRDefault="00666D13" w:rsidP="0051528B">
      <w:pPr>
        <w:pStyle w:val="Heading1"/>
        <w:spacing w:line="480" w:lineRule="auto"/>
      </w:pPr>
      <w:r>
        <w:t>III. A potential pandemic virus in a Dutch laboratory</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sidRPr="005157DA">
        <w:t xml:space="preserve">Since 2003, according to the </w:t>
      </w:r>
      <w:r>
        <w:t>World Health Organization (</w:t>
      </w:r>
      <w:r w:rsidRPr="005157DA">
        <w:t>WHO</w:t>
      </w:r>
      <w:r>
        <w:t>)</w:t>
      </w:r>
      <w:r w:rsidRPr="005157DA">
        <w:t xml:space="preserve">, there have been </w:t>
      </w:r>
      <w:r>
        <w:rPr>
          <w:lang w:val="en-US"/>
        </w:rPr>
        <w:t>85</w:t>
      </w:r>
      <w:r w:rsidRPr="00541357">
        <w:rPr>
          <w:lang w:val="en-US"/>
        </w:rPr>
        <w:t xml:space="preserve">4 confirmed human cases of H5N1 </w:t>
      </w:r>
      <w:r>
        <w:rPr>
          <w:lang w:val="en-US"/>
        </w:rPr>
        <w:t xml:space="preserve">avian </w:t>
      </w:r>
      <w:r w:rsidRPr="00541357">
        <w:rPr>
          <w:lang w:val="en-US"/>
        </w:rPr>
        <w:t xml:space="preserve">influenza across 16 </w:t>
      </w:r>
      <w:r>
        <w:rPr>
          <w:lang w:val="en-US"/>
        </w:rPr>
        <w:t>countries, including 450</w:t>
      </w:r>
      <w:r w:rsidRPr="00541357">
        <w:rPr>
          <w:lang w:val="en-US"/>
        </w:rPr>
        <w:t xml:space="preserve"> deaths (a global average case-fata</w:t>
      </w:r>
      <w:r>
        <w:rPr>
          <w:lang w:val="en-US"/>
        </w:rPr>
        <w:t>lity rate of around 53 percent).</w:t>
      </w:r>
      <w:r>
        <w:rPr>
          <w:rStyle w:val="FootnoteReference"/>
          <w:lang w:val="en-US"/>
        </w:rPr>
        <w:footnoteReference w:id="18"/>
      </w:r>
      <w:r>
        <w:rPr>
          <w:lang w:val="en-US"/>
        </w:rPr>
        <w:t xml:space="preserve"> The continued circulation of H5N1 viruses in poultry, and occasional infections of humans, has enabled ongoing viral evolution, and a key question </w:t>
      </w:r>
      <w:r w:rsidR="00D156CE">
        <w:rPr>
          <w:lang w:val="en-US"/>
        </w:rPr>
        <w:t xml:space="preserve">for scientists </w:t>
      </w:r>
      <w:r>
        <w:rPr>
          <w:lang w:val="en-US"/>
        </w:rPr>
        <w:t xml:space="preserve">has been whether this could eventually lead to the emergence of a virus with pandemic potential. Such a virus would be able to spread through the air between humans via tiny droplets expelled during coughing and sneezing, and some influenza researchers have been interested to discover which genetic mutations might allow H5N1 to do this. Ron </w:t>
      </w:r>
      <w:proofErr w:type="spellStart"/>
      <w:r>
        <w:rPr>
          <w:lang w:val="en-US"/>
        </w:rPr>
        <w:t>Fouchier</w:t>
      </w:r>
      <w:proofErr w:type="spellEnd"/>
      <w:r>
        <w:rPr>
          <w:lang w:val="en-US"/>
        </w:rPr>
        <w:t xml:space="preserve"> at the EMC</w:t>
      </w:r>
      <w:r w:rsidRPr="008C32BC">
        <w:rPr>
          <w:lang w:val="en-US"/>
        </w:rPr>
        <w:t xml:space="preserve"> in Rotterdam, the Netherlands</w:t>
      </w:r>
      <w:r>
        <w:rPr>
          <w:lang w:val="en-US"/>
        </w:rPr>
        <w:t xml:space="preserve">, was one of a number of scientists funded by the US National Institutes of Health (NIH) to conduct experiments to investigate </w:t>
      </w:r>
      <w:r w:rsidRPr="008C32BC">
        <w:rPr>
          <w:lang w:val="en-US"/>
        </w:rPr>
        <w:t xml:space="preserve">how </w:t>
      </w:r>
      <w:r w:rsidR="00D156CE">
        <w:rPr>
          <w:lang w:val="en-US"/>
        </w:rPr>
        <w:t>H5N1</w:t>
      </w:r>
      <w:r w:rsidRPr="008C32BC">
        <w:rPr>
          <w:lang w:val="en-US"/>
        </w:rPr>
        <w:t xml:space="preserve"> might evolve</w:t>
      </w:r>
      <w:r>
        <w:rPr>
          <w:lang w:val="en-US"/>
        </w:rPr>
        <w:t xml:space="preserve"> to acquire </w:t>
      </w:r>
      <w:r w:rsidRPr="008C32BC">
        <w:rPr>
          <w:lang w:val="en-US"/>
        </w:rPr>
        <w:t>the ability to spread from person to person.</w:t>
      </w:r>
      <w:r w:rsidRPr="007C3D76">
        <w:rPr>
          <w:rStyle w:val="FootnoteReference"/>
          <w:lang w:val="en-US"/>
        </w:rPr>
        <w:footnoteReference w:id="19"/>
      </w:r>
      <w:r>
        <w:rPr>
          <w:lang w:val="en-US"/>
        </w:rPr>
        <w:t xml:space="preserve"> In September 2011, at the fourth conference of </w:t>
      </w:r>
      <w:r w:rsidRPr="00225B94">
        <w:rPr>
          <w:lang w:val="en-US"/>
        </w:rPr>
        <w:t>the European Scientific Working Group on Influenza</w:t>
      </w:r>
      <w:r>
        <w:rPr>
          <w:lang w:val="en-US"/>
        </w:rPr>
        <w:t xml:space="preserve"> held in Malta, </w:t>
      </w:r>
      <w:proofErr w:type="spellStart"/>
      <w:r>
        <w:rPr>
          <w:lang w:val="en-US"/>
        </w:rPr>
        <w:t>Fouchier</w:t>
      </w:r>
      <w:proofErr w:type="spellEnd"/>
      <w:r>
        <w:rPr>
          <w:lang w:val="en-US"/>
        </w:rPr>
        <w:t xml:space="preserve"> announced a breakthrough: using a </w:t>
      </w:r>
      <w:r w:rsidRPr="00966FE5">
        <w:rPr>
          <w:lang w:val="en-US"/>
        </w:rPr>
        <w:t xml:space="preserve">combination of genetic engineering and </w:t>
      </w:r>
      <w:r w:rsidRPr="00966FE5">
        <w:rPr>
          <w:lang w:val="en-US"/>
        </w:rPr>
        <w:lastRenderedPageBreak/>
        <w:t>serial infection of ferrets</w:t>
      </w:r>
      <w:r>
        <w:rPr>
          <w:lang w:val="en-US"/>
        </w:rPr>
        <w:t>, he and his team had succeeded in causing</w:t>
      </w:r>
      <w:r w:rsidRPr="005157DA">
        <w:rPr>
          <w:lang w:val="en-US"/>
        </w:rPr>
        <w:t xml:space="preserve"> the mutation of H5N1 into a form directly transmissible </w:t>
      </w:r>
      <w:r>
        <w:rPr>
          <w:lang w:val="en-US"/>
        </w:rPr>
        <w:t xml:space="preserve">(through the air) </w:t>
      </w:r>
      <w:r w:rsidRPr="005157DA">
        <w:rPr>
          <w:lang w:val="en-US"/>
        </w:rPr>
        <w:t xml:space="preserve">between </w:t>
      </w:r>
      <w:r>
        <w:rPr>
          <w:lang w:val="en-US"/>
        </w:rPr>
        <w:t>the animals</w:t>
      </w:r>
      <w:r w:rsidRPr="005157DA">
        <w:rPr>
          <w:lang w:val="en-US"/>
        </w:rPr>
        <w:t>.</w:t>
      </w:r>
      <w:r>
        <w:rPr>
          <w:rStyle w:val="FootnoteReference"/>
          <w:lang w:val="en-US"/>
        </w:rPr>
        <w:footnoteReference w:id="20"/>
      </w:r>
      <w:r w:rsidRPr="005157DA">
        <w:rPr>
          <w:lang w:val="en-US"/>
        </w:rPr>
        <w:t xml:space="preserve"> </w:t>
      </w:r>
      <w:r>
        <w:t xml:space="preserve">A ferret’s respiratory system closely resembles that of a human, and ferret-to-ferret transmission of influenza virus </w:t>
      </w:r>
      <w:proofErr w:type="gramStart"/>
      <w:r>
        <w:t>is generally assumed</w:t>
      </w:r>
      <w:proofErr w:type="gramEnd"/>
      <w:r>
        <w:t xml:space="preserve"> to demonstrate human-to-human transmissibility. </w:t>
      </w:r>
      <w:r w:rsidR="00D156CE">
        <w:t>Thus, it seemed, a</w:t>
      </w:r>
      <w:r>
        <w:t xml:space="preserve"> </w:t>
      </w:r>
      <w:r>
        <w:rPr>
          <w:lang w:val="en-US"/>
        </w:rPr>
        <w:t>n</w:t>
      </w:r>
      <w:r w:rsidRPr="005157DA">
        <w:rPr>
          <w:lang w:val="en-US"/>
        </w:rPr>
        <w:t xml:space="preserve">ew and presumably </w:t>
      </w:r>
      <w:r>
        <w:rPr>
          <w:lang w:val="en-US"/>
        </w:rPr>
        <w:t xml:space="preserve">pandemic virus </w:t>
      </w:r>
      <w:r w:rsidRPr="005157DA">
        <w:rPr>
          <w:lang w:val="en-US"/>
        </w:rPr>
        <w:t xml:space="preserve">had emerged not through natural </w:t>
      </w:r>
      <w:r>
        <w:rPr>
          <w:lang w:val="en-US"/>
        </w:rPr>
        <w:t xml:space="preserve">evolutionary </w:t>
      </w:r>
      <w:r w:rsidRPr="005157DA">
        <w:rPr>
          <w:lang w:val="en-US"/>
        </w:rPr>
        <w:t xml:space="preserve">processes but </w:t>
      </w:r>
      <w:proofErr w:type="gramStart"/>
      <w:r w:rsidRPr="005157DA">
        <w:rPr>
          <w:lang w:val="en-US"/>
        </w:rPr>
        <w:t>as a result</w:t>
      </w:r>
      <w:proofErr w:type="gramEnd"/>
      <w:r w:rsidRPr="005157DA">
        <w:rPr>
          <w:lang w:val="en-US"/>
        </w:rPr>
        <w:t xml:space="preserve"> of human experimentation</w:t>
      </w:r>
      <w:r>
        <w:rPr>
          <w:lang w:val="en-US"/>
        </w:rPr>
        <w:t xml:space="preserve"> at the molecular level of biology</w:t>
      </w:r>
      <w:r w:rsidRPr="005157DA">
        <w:rPr>
          <w:lang w:val="en-US"/>
        </w:rPr>
        <w:t xml:space="preserve">. </w:t>
      </w:r>
    </w:p>
    <w:p w:rsidR="00666D13" w:rsidRDefault="00666D13" w:rsidP="0051528B">
      <w:pPr>
        <w:spacing w:line="480" w:lineRule="auto"/>
        <w:jc w:val="both"/>
        <w:rPr>
          <w:lang w:val="en-US"/>
        </w:rPr>
      </w:pPr>
    </w:p>
    <w:p w:rsidR="00666D13" w:rsidRDefault="00666D13" w:rsidP="0051528B">
      <w:pPr>
        <w:spacing w:line="480" w:lineRule="auto"/>
        <w:jc w:val="both"/>
      </w:pPr>
      <w:r>
        <w:rPr>
          <w:lang w:val="en-US"/>
        </w:rPr>
        <w:t xml:space="preserve">A written account of this discovery, including a </w:t>
      </w:r>
      <w:proofErr w:type="gramStart"/>
      <w:r>
        <w:rPr>
          <w:lang w:val="en-US"/>
        </w:rPr>
        <w:t>step-by-step</w:t>
      </w:r>
      <w:proofErr w:type="gramEnd"/>
      <w:r>
        <w:rPr>
          <w:lang w:val="en-US"/>
        </w:rPr>
        <w:t xml:space="preserve"> description of how it was achieved, was made ready for submission to </w:t>
      </w:r>
      <w:r w:rsidRPr="00AB43E6">
        <w:rPr>
          <w:i/>
        </w:rPr>
        <w:t>Science</w:t>
      </w:r>
      <w:r>
        <w:t>.</w:t>
      </w:r>
      <w:r>
        <w:rPr>
          <w:rStyle w:val="FootnoteReference"/>
        </w:rPr>
        <w:footnoteReference w:id="21"/>
      </w:r>
      <w:r>
        <w:t xml:space="preserve"> The journal’s editorial board referred the manuscript to the NIH (which had funded the research), and in October 2011 the NIH in turn referred it to the NSABB to make </w:t>
      </w:r>
      <w:r>
        <w:rPr>
          <w:lang w:val="en-US"/>
        </w:rPr>
        <w:t xml:space="preserve">recommendations regarding the </w:t>
      </w:r>
      <w:r w:rsidRPr="00FF245A">
        <w:rPr>
          <w:lang w:val="en-US"/>
        </w:rPr>
        <w:t xml:space="preserve">responsible communication of </w:t>
      </w:r>
      <w:proofErr w:type="spellStart"/>
      <w:r>
        <w:rPr>
          <w:lang w:val="en-US"/>
        </w:rPr>
        <w:t>Fouchier’s</w:t>
      </w:r>
      <w:proofErr w:type="spellEnd"/>
      <w:r>
        <w:rPr>
          <w:lang w:val="en-US"/>
        </w:rPr>
        <w:t xml:space="preserve"> findings. </w:t>
      </w:r>
      <w:r>
        <w:rPr>
          <w:rStyle w:val="Strong"/>
          <w:b w:val="0"/>
          <w:lang w:val="en-US"/>
        </w:rPr>
        <w:t xml:space="preserve">Two months later </w:t>
      </w:r>
      <w:r w:rsidRPr="005157DA">
        <w:rPr>
          <w:rStyle w:val="Strong"/>
          <w:b w:val="0"/>
          <w:lang w:val="en-US"/>
        </w:rPr>
        <w:t xml:space="preserve">the </w:t>
      </w:r>
      <w:r>
        <w:rPr>
          <w:rStyle w:val="Strong"/>
          <w:b w:val="0"/>
          <w:lang w:val="en-US"/>
        </w:rPr>
        <w:t>Board</w:t>
      </w:r>
      <w:r w:rsidRPr="005157DA">
        <w:rPr>
          <w:rStyle w:val="Strong"/>
          <w:b w:val="0"/>
          <w:lang w:val="en-US"/>
        </w:rPr>
        <w:t xml:space="preserve"> recommended against </w:t>
      </w:r>
      <w:r>
        <w:rPr>
          <w:rStyle w:val="Strong"/>
          <w:b w:val="0"/>
          <w:lang w:val="en-US"/>
        </w:rPr>
        <w:t>publication</w:t>
      </w:r>
      <w:r w:rsidRPr="005157DA">
        <w:rPr>
          <w:rStyle w:val="Strong"/>
          <w:b w:val="0"/>
          <w:lang w:val="en-US"/>
        </w:rPr>
        <w:t xml:space="preserve"> unless certain methodological details </w:t>
      </w:r>
      <w:proofErr w:type="gramStart"/>
      <w:r w:rsidRPr="005157DA">
        <w:rPr>
          <w:rStyle w:val="Strong"/>
          <w:b w:val="0"/>
          <w:lang w:val="en-US"/>
        </w:rPr>
        <w:t>were omitted</w:t>
      </w:r>
      <w:proofErr w:type="gramEnd"/>
      <w:r w:rsidRPr="005157DA">
        <w:rPr>
          <w:rStyle w:val="Strong"/>
          <w:b w:val="0"/>
          <w:lang w:val="en-US"/>
        </w:rPr>
        <w:t xml:space="preserve">. The recommendation was unanimous, and </w:t>
      </w:r>
      <w:r>
        <w:rPr>
          <w:rStyle w:val="Strong"/>
          <w:b w:val="0"/>
          <w:lang w:val="en-US"/>
        </w:rPr>
        <w:t>NSABB</w:t>
      </w:r>
      <w:r w:rsidRPr="005157DA">
        <w:rPr>
          <w:rStyle w:val="Strong"/>
          <w:b w:val="0"/>
          <w:lang w:val="en-US"/>
        </w:rPr>
        <w:t xml:space="preserve"> member </w:t>
      </w:r>
      <w:r>
        <w:rPr>
          <w:rStyle w:val="Strong"/>
          <w:b w:val="0"/>
          <w:lang w:val="en-US"/>
        </w:rPr>
        <w:t>David Franz explained</w:t>
      </w:r>
      <w:r w:rsidRPr="005157DA">
        <w:rPr>
          <w:rStyle w:val="Strong"/>
          <w:b w:val="0"/>
          <w:lang w:val="en-US"/>
        </w:rPr>
        <w:t xml:space="preserve">: “My concern is that we don’t give amateurs – or terrorists – information that might let them do something that could really cause </w:t>
      </w:r>
      <w:r w:rsidRPr="005157DA">
        <w:rPr>
          <w:rStyle w:val="Strong"/>
          <w:b w:val="0"/>
          <w:lang w:val="en-US"/>
        </w:rPr>
        <w:lastRenderedPageBreak/>
        <w:t>a lot of harm.”</w:t>
      </w:r>
      <w:r w:rsidRPr="005157DA">
        <w:rPr>
          <w:rStyle w:val="FootnoteReference"/>
        </w:rPr>
        <w:footnoteReference w:id="22"/>
      </w:r>
      <w:r w:rsidRPr="005157DA">
        <w:rPr>
          <w:rStyle w:val="Strong"/>
          <w:b w:val="0"/>
          <w:lang w:val="en-US"/>
        </w:rPr>
        <w:t xml:space="preserve"> </w:t>
      </w:r>
      <w:r>
        <w:rPr>
          <w:rStyle w:val="Strong"/>
          <w:b w:val="0"/>
          <w:lang w:val="en-US"/>
        </w:rPr>
        <w:t xml:space="preserve">In February 2012, however, </w:t>
      </w:r>
      <w:r>
        <w:t>participants in</w:t>
      </w:r>
      <w:r w:rsidRPr="005157DA">
        <w:t xml:space="preserve"> a meeting organized by the </w:t>
      </w:r>
      <w:r>
        <w:t>WHO</w:t>
      </w:r>
      <w:r w:rsidRPr="005157DA">
        <w:t xml:space="preserve"> </w:t>
      </w:r>
      <w:r>
        <w:t>recommended</w:t>
      </w:r>
      <w:r w:rsidRPr="005157DA">
        <w:t xml:space="preserve"> that the </w:t>
      </w:r>
      <w:r>
        <w:t xml:space="preserve">findings be published in full, </w:t>
      </w:r>
      <w:proofErr w:type="gramStart"/>
      <w:r>
        <w:t>on the grounds that</w:t>
      </w:r>
      <w:proofErr w:type="gramEnd"/>
      <w:r>
        <w:t xml:space="preserve"> </w:t>
      </w:r>
      <w:r w:rsidRPr="005157DA">
        <w:rPr>
          <w:rStyle w:val="Strong"/>
          <w:b w:val="0"/>
          <w:lang w:val="en-US"/>
        </w:rPr>
        <w:t xml:space="preserve">“the results </w:t>
      </w:r>
      <w:r>
        <w:rPr>
          <w:rStyle w:val="Strong"/>
          <w:b w:val="0"/>
          <w:lang w:val="en-US"/>
        </w:rPr>
        <w:t>…</w:t>
      </w:r>
      <w:r w:rsidRPr="005157DA">
        <w:rPr>
          <w:rStyle w:val="Strong"/>
          <w:b w:val="0"/>
          <w:lang w:val="en-US"/>
        </w:rPr>
        <w:t xml:space="preserve"> provide an important contribution to public health surveillance of H5N1 viruses and to a better understanding of </w:t>
      </w:r>
      <w:r>
        <w:rPr>
          <w:rStyle w:val="Strong"/>
          <w:b w:val="0"/>
          <w:lang w:val="en-US"/>
        </w:rPr>
        <w:t>the properties of these viruses</w:t>
      </w:r>
      <w:r w:rsidRPr="005157DA">
        <w:rPr>
          <w:rStyle w:val="Strong"/>
          <w:b w:val="0"/>
          <w:lang w:val="en-US"/>
        </w:rPr>
        <w:t>”</w:t>
      </w:r>
      <w:r>
        <w:rPr>
          <w:rStyle w:val="Strong"/>
          <w:b w:val="0"/>
          <w:lang w:val="en-US"/>
        </w:rPr>
        <w:t>.</w:t>
      </w:r>
      <w:r>
        <w:rPr>
          <w:rStyle w:val="FootnoteReference"/>
        </w:rPr>
        <w:footnoteReference w:id="23"/>
      </w:r>
      <w:r>
        <w:rPr>
          <w:rStyle w:val="Strong"/>
          <w:b w:val="0"/>
          <w:bCs w:val="0"/>
        </w:rPr>
        <w:t xml:space="preserve"> </w:t>
      </w:r>
      <w:r>
        <w:rPr>
          <w:rStyle w:val="Strong"/>
          <w:b w:val="0"/>
          <w:lang w:val="en-US"/>
        </w:rPr>
        <w:t>The following month</w:t>
      </w:r>
      <w:r w:rsidRPr="005157DA">
        <w:rPr>
          <w:rStyle w:val="Strong"/>
          <w:b w:val="0"/>
          <w:lang w:val="en-US"/>
        </w:rPr>
        <w:t xml:space="preserve">, after considering </w:t>
      </w:r>
      <w:r>
        <w:rPr>
          <w:rStyle w:val="Strong"/>
          <w:b w:val="0"/>
          <w:lang w:val="en-US"/>
        </w:rPr>
        <w:t>a revised manuscript</w:t>
      </w:r>
      <w:r w:rsidRPr="005157DA">
        <w:rPr>
          <w:rStyle w:val="Strong"/>
          <w:b w:val="0"/>
          <w:lang w:val="en-US"/>
        </w:rPr>
        <w:t xml:space="preserve"> </w:t>
      </w:r>
      <w:r>
        <w:rPr>
          <w:rStyle w:val="Strong"/>
          <w:b w:val="0"/>
          <w:lang w:val="en-US"/>
        </w:rPr>
        <w:t xml:space="preserve">received </w:t>
      </w:r>
      <w:r w:rsidRPr="005157DA">
        <w:rPr>
          <w:rStyle w:val="Strong"/>
          <w:b w:val="0"/>
          <w:lang w:val="en-US"/>
        </w:rPr>
        <w:t xml:space="preserve">from </w:t>
      </w:r>
      <w:r>
        <w:rPr>
          <w:rStyle w:val="Strong"/>
          <w:b w:val="0"/>
          <w:lang w:val="en-US"/>
        </w:rPr>
        <w:t>the Dutch</w:t>
      </w:r>
      <w:r w:rsidRPr="005157DA">
        <w:rPr>
          <w:rStyle w:val="Strong"/>
          <w:b w:val="0"/>
          <w:lang w:val="en-US"/>
        </w:rPr>
        <w:t xml:space="preserve"> research team, the NSABB recommended that </w:t>
      </w:r>
      <w:r>
        <w:rPr>
          <w:rStyle w:val="Strong"/>
          <w:b w:val="0"/>
          <w:lang w:val="en-US"/>
        </w:rPr>
        <w:t xml:space="preserve">it </w:t>
      </w:r>
      <w:proofErr w:type="gramStart"/>
      <w:r w:rsidRPr="005157DA">
        <w:rPr>
          <w:rStyle w:val="Strong"/>
          <w:b w:val="0"/>
          <w:lang w:val="en-US"/>
        </w:rPr>
        <w:t>should be published</w:t>
      </w:r>
      <w:proofErr w:type="gramEnd"/>
      <w:r w:rsidRPr="005157DA">
        <w:rPr>
          <w:rStyle w:val="Strong"/>
          <w:b w:val="0"/>
          <w:lang w:val="en-US"/>
        </w:rPr>
        <w:t xml:space="preserve">, although one-third of the Board’s members remained opposed to the publication of </w:t>
      </w:r>
      <w:proofErr w:type="spellStart"/>
      <w:r w:rsidRPr="005157DA">
        <w:rPr>
          <w:rStyle w:val="Strong"/>
          <w:b w:val="0"/>
          <w:lang w:val="en-US"/>
        </w:rPr>
        <w:t>Fouchier’s</w:t>
      </w:r>
      <w:proofErr w:type="spellEnd"/>
      <w:r w:rsidRPr="005157DA">
        <w:rPr>
          <w:rStyle w:val="Strong"/>
          <w:b w:val="0"/>
          <w:lang w:val="en-US"/>
        </w:rPr>
        <w:t xml:space="preserve"> findings.</w:t>
      </w:r>
      <w:r w:rsidRPr="005157DA">
        <w:rPr>
          <w:rStyle w:val="FootnoteReference"/>
        </w:rPr>
        <w:footnoteReference w:id="24"/>
      </w:r>
      <w:r>
        <w:rPr>
          <w:rStyle w:val="Strong"/>
          <w:b w:val="0"/>
          <w:bCs w:val="0"/>
          <w:lang w:val="en-US"/>
        </w:rPr>
        <w:t xml:space="preserve"> Soon afterwards, with </w:t>
      </w:r>
      <w:r w:rsidRPr="00443A10">
        <w:rPr>
          <w:rStyle w:val="Strong"/>
          <w:b w:val="0"/>
          <w:bCs w:val="0"/>
          <w:i/>
          <w:lang w:val="en-US"/>
        </w:rPr>
        <w:t>Science</w:t>
      </w:r>
      <w:r>
        <w:rPr>
          <w:rStyle w:val="Strong"/>
          <w:b w:val="0"/>
          <w:bCs w:val="0"/>
          <w:lang w:val="en-US"/>
        </w:rPr>
        <w:t xml:space="preserve"> poised to publish, the Dutch Government made an extraordinary intervention on the basis that </w:t>
      </w:r>
      <w:r w:rsidRPr="005157DA">
        <w:t>highly pathogenic avian influenza viruses of subtype H5</w:t>
      </w:r>
      <w:r>
        <w:t xml:space="preserve"> </w:t>
      </w:r>
      <w:proofErr w:type="gramStart"/>
      <w:r>
        <w:t>are listed</w:t>
      </w:r>
      <w:proofErr w:type="gramEnd"/>
      <w:r>
        <w:t xml:space="preserve"> in Annex I of </w:t>
      </w:r>
      <w:r w:rsidRPr="00226B28">
        <w:rPr>
          <w:rStyle w:val="Strong"/>
          <w:b w:val="0"/>
          <w:bCs w:val="0"/>
          <w:lang w:val="en-US"/>
        </w:rPr>
        <w:t>EU Council Regulation 428</w:t>
      </w:r>
      <w:r>
        <w:rPr>
          <w:rStyle w:val="Strong"/>
          <w:b w:val="0"/>
          <w:bCs w:val="0"/>
          <w:lang w:val="en-US"/>
        </w:rPr>
        <w:t>/2009.</w:t>
      </w:r>
      <w:r>
        <w:rPr>
          <w:rStyle w:val="FootnoteReference"/>
          <w:lang w:val="en-US"/>
        </w:rPr>
        <w:footnoteReference w:id="25"/>
      </w:r>
      <w:r>
        <w:rPr>
          <w:rStyle w:val="Strong"/>
          <w:b w:val="0"/>
          <w:bCs w:val="0"/>
          <w:lang w:val="en-US"/>
        </w:rPr>
        <w:t xml:space="preserve"> U</w:t>
      </w:r>
      <w:r w:rsidRPr="00226B28">
        <w:rPr>
          <w:rStyle w:val="Strong"/>
          <w:b w:val="0"/>
          <w:bCs w:val="0"/>
          <w:lang w:val="en-US"/>
        </w:rPr>
        <w:t>nder the terms of the Strategic Goods Decree</w:t>
      </w:r>
      <w:r>
        <w:rPr>
          <w:rStyle w:val="Strong"/>
          <w:b w:val="0"/>
          <w:bCs w:val="0"/>
          <w:lang w:val="en-US"/>
        </w:rPr>
        <w:t xml:space="preserve">, which </w:t>
      </w:r>
      <w:r w:rsidRPr="00226B28">
        <w:rPr>
          <w:rStyle w:val="Strong"/>
          <w:b w:val="0"/>
          <w:bCs w:val="0"/>
          <w:lang w:val="en-US"/>
        </w:rPr>
        <w:t xml:space="preserve">implements </w:t>
      </w:r>
      <w:r>
        <w:rPr>
          <w:rStyle w:val="Strong"/>
          <w:b w:val="0"/>
          <w:bCs w:val="0"/>
          <w:lang w:val="en-US"/>
        </w:rPr>
        <w:t>the</w:t>
      </w:r>
      <w:r w:rsidRPr="00226B28">
        <w:rPr>
          <w:rStyle w:val="Strong"/>
          <w:b w:val="0"/>
          <w:bCs w:val="0"/>
          <w:lang w:val="en-US"/>
        </w:rPr>
        <w:t xml:space="preserve"> Regulation</w:t>
      </w:r>
      <w:r w:rsidR="00D156CE">
        <w:rPr>
          <w:rStyle w:val="Strong"/>
          <w:b w:val="0"/>
          <w:bCs w:val="0"/>
          <w:lang w:val="en-US"/>
        </w:rPr>
        <w:t xml:space="preserve"> inside the Netherlands</w:t>
      </w:r>
      <w:r>
        <w:rPr>
          <w:rStyle w:val="Strong"/>
          <w:b w:val="0"/>
          <w:bCs w:val="0"/>
          <w:lang w:val="en-US"/>
        </w:rPr>
        <w:t>, t</w:t>
      </w:r>
      <w:r w:rsidRPr="00226B28">
        <w:rPr>
          <w:rStyle w:val="Strong"/>
          <w:b w:val="0"/>
          <w:bCs w:val="0"/>
          <w:lang w:val="en-US"/>
        </w:rPr>
        <w:t xml:space="preserve">he Ministry of </w:t>
      </w:r>
      <w:r>
        <w:rPr>
          <w:rStyle w:val="Strong"/>
          <w:b w:val="0"/>
          <w:bCs w:val="0"/>
          <w:lang w:val="en-US"/>
        </w:rPr>
        <w:t xml:space="preserve">Economic Affairs, Agriculture </w:t>
      </w:r>
      <w:r w:rsidRPr="00226B28">
        <w:rPr>
          <w:rStyle w:val="Strong"/>
          <w:b w:val="0"/>
          <w:bCs w:val="0"/>
          <w:lang w:val="en-US"/>
        </w:rPr>
        <w:t xml:space="preserve">and Innovation </w:t>
      </w:r>
      <w:r>
        <w:rPr>
          <w:rStyle w:val="Strong"/>
          <w:b w:val="0"/>
          <w:bCs w:val="0"/>
          <w:lang w:val="en-US"/>
        </w:rPr>
        <w:t xml:space="preserve">announced in April 2012 that </w:t>
      </w:r>
      <w:proofErr w:type="spellStart"/>
      <w:r>
        <w:rPr>
          <w:rStyle w:val="Strong"/>
          <w:b w:val="0"/>
          <w:bCs w:val="0"/>
          <w:lang w:val="en-US"/>
        </w:rPr>
        <w:t>Fouchier</w:t>
      </w:r>
      <w:proofErr w:type="spellEnd"/>
      <w:r>
        <w:rPr>
          <w:rStyle w:val="Strong"/>
          <w:b w:val="0"/>
          <w:bCs w:val="0"/>
          <w:lang w:val="en-US"/>
        </w:rPr>
        <w:t xml:space="preserve"> was required to apply for and be granted</w:t>
      </w:r>
      <w:r>
        <w:rPr>
          <w:rStyle w:val="Strong"/>
          <w:b w:val="0"/>
          <w:bCs w:val="0"/>
        </w:rPr>
        <w:t xml:space="preserve"> </w:t>
      </w:r>
      <w:r>
        <w:t xml:space="preserve">a </w:t>
      </w:r>
      <w:r w:rsidRPr="00AB43E6">
        <w:t>permit</w:t>
      </w:r>
      <w:r w:rsidR="00D156CE">
        <w:t xml:space="preserve"> to export</w:t>
      </w:r>
      <w:r>
        <w:t xml:space="preserve"> his dual-use technology beyond the </w:t>
      </w:r>
      <w:proofErr w:type="gramStart"/>
      <w:r>
        <w:t>EU</w:t>
      </w:r>
      <w:r w:rsidRPr="00AB43E6">
        <w:t>.</w:t>
      </w:r>
      <w:proofErr w:type="gramEnd"/>
      <w:r w:rsidRPr="005157DA">
        <w:rPr>
          <w:rStyle w:val="FootnoteReference"/>
        </w:rPr>
        <w:footnoteReference w:id="26"/>
      </w:r>
      <w:r w:rsidRPr="00AB43E6">
        <w:t xml:space="preserve"> </w:t>
      </w:r>
      <w:r>
        <w:t xml:space="preserve">A ministry </w:t>
      </w:r>
      <w:proofErr w:type="gramStart"/>
      <w:r>
        <w:t>spokeswoman</w:t>
      </w:r>
      <w:proofErr w:type="gramEnd"/>
      <w:r>
        <w:t xml:space="preserve"> explained that transferring technology without the required permit is “</w:t>
      </w:r>
      <w:r w:rsidRPr="00593EB4">
        <w:rPr>
          <w:rFonts w:eastAsia="SimSun"/>
          <w:lang w:val="en-US"/>
        </w:rPr>
        <w:t xml:space="preserve">an infringement of export-control </w:t>
      </w:r>
      <w:r w:rsidRPr="00593EB4">
        <w:rPr>
          <w:rFonts w:eastAsia="SimSun"/>
          <w:lang w:val="en-US"/>
        </w:rPr>
        <w:lastRenderedPageBreak/>
        <w:t>legislation under the</w:t>
      </w:r>
      <w:r>
        <w:rPr>
          <w:rFonts w:eastAsia="SimSun"/>
          <w:lang w:val="en-US"/>
        </w:rPr>
        <w:t xml:space="preserve"> Economic Offences Act” for which the “maximum </w:t>
      </w:r>
      <w:r w:rsidRPr="00593EB4">
        <w:rPr>
          <w:rFonts w:eastAsia="SimSun"/>
          <w:lang w:val="en-US"/>
        </w:rPr>
        <w:t>penalty, in case of premeditation or severe negligence, is six y</w:t>
      </w:r>
      <w:r>
        <w:rPr>
          <w:rFonts w:eastAsia="SimSun"/>
          <w:lang w:val="en-US"/>
        </w:rPr>
        <w:t>ears' imprisonment or a €78,000</w:t>
      </w:r>
      <w:r w:rsidRPr="00593EB4">
        <w:rPr>
          <w:rFonts w:eastAsia="SimSun"/>
          <w:lang w:val="en-US"/>
        </w:rPr>
        <w:t xml:space="preserve"> fine.”</w:t>
      </w:r>
      <w:r>
        <w:rPr>
          <w:rStyle w:val="FootnoteReference"/>
          <w:rFonts w:eastAsia="SimSun"/>
          <w:lang w:val="en-US"/>
        </w:rPr>
        <w:footnoteReference w:id="27"/>
      </w:r>
    </w:p>
    <w:p w:rsidR="00666D13" w:rsidRDefault="00666D13" w:rsidP="0051528B">
      <w:pPr>
        <w:spacing w:line="480" w:lineRule="auto"/>
        <w:jc w:val="both"/>
        <w:rPr>
          <w:rStyle w:val="Strong"/>
          <w:b w:val="0"/>
          <w:lang w:val="en-US"/>
        </w:rPr>
      </w:pPr>
    </w:p>
    <w:p w:rsidR="00666D13" w:rsidRDefault="00666D13" w:rsidP="0051528B">
      <w:pPr>
        <w:spacing w:line="480" w:lineRule="auto"/>
        <w:jc w:val="both"/>
        <w:rPr>
          <w:rStyle w:val="Strong"/>
          <w:b w:val="0"/>
          <w:lang w:val="en-US"/>
        </w:rPr>
      </w:pPr>
      <w:r>
        <w:rPr>
          <w:rStyle w:val="Strong"/>
          <w:b w:val="0"/>
          <w:lang w:val="en-US"/>
        </w:rPr>
        <w:t xml:space="preserve">Prior to making a decision on whether to grant </w:t>
      </w:r>
      <w:proofErr w:type="spellStart"/>
      <w:r>
        <w:rPr>
          <w:rStyle w:val="Strong"/>
          <w:b w:val="0"/>
          <w:lang w:val="en-US"/>
        </w:rPr>
        <w:t>Fouchier</w:t>
      </w:r>
      <w:proofErr w:type="spellEnd"/>
      <w:r>
        <w:rPr>
          <w:rStyle w:val="Strong"/>
          <w:b w:val="0"/>
          <w:lang w:val="en-US"/>
        </w:rPr>
        <w:t xml:space="preserve"> an export permit, the Dutch Government convened a closed meeting in The Hague at which </w:t>
      </w:r>
      <w:r w:rsidRPr="005D4B8C">
        <w:rPr>
          <w:rFonts w:eastAsia="SimSun"/>
          <w:lang w:val="en-US"/>
        </w:rPr>
        <w:t xml:space="preserve">government officials discussed the risks and benefits of </w:t>
      </w:r>
      <w:r>
        <w:rPr>
          <w:rFonts w:eastAsia="SimSun"/>
          <w:lang w:val="en-US"/>
        </w:rPr>
        <w:t>publication</w:t>
      </w:r>
      <w:r w:rsidRPr="005D4B8C">
        <w:rPr>
          <w:rFonts w:eastAsia="SimSun"/>
          <w:lang w:val="en-US"/>
        </w:rPr>
        <w:t xml:space="preserve"> with an international group of scientists and security experts.</w:t>
      </w:r>
      <w:r>
        <w:rPr>
          <w:rFonts w:eastAsia="SimSun"/>
          <w:lang w:val="en-US"/>
        </w:rPr>
        <w:t xml:space="preserve"> After the meeting, </w:t>
      </w:r>
      <w:proofErr w:type="spellStart"/>
      <w:r>
        <w:rPr>
          <w:rFonts w:eastAsia="SimSun"/>
          <w:lang w:val="en-US"/>
        </w:rPr>
        <w:t>Fouchier</w:t>
      </w:r>
      <w:proofErr w:type="spellEnd"/>
      <w:r>
        <w:rPr>
          <w:rFonts w:eastAsia="SimSun"/>
          <w:lang w:val="en-US"/>
        </w:rPr>
        <w:t xml:space="preserve"> applied for a permit despite earlier claiming he did not need one,</w:t>
      </w:r>
      <w:r>
        <w:rPr>
          <w:rStyle w:val="FootnoteReference"/>
          <w:rFonts w:eastAsia="SimSun"/>
          <w:lang w:val="en-US"/>
        </w:rPr>
        <w:footnoteReference w:id="28"/>
      </w:r>
      <w:r>
        <w:rPr>
          <w:rFonts w:eastAsia="SimSun"/>
          <w:lang w:val="en-US"/>
        </w:rPr>
        <w:t xml:space="preserve"> and on 27 April </w:t>
      </w:r>
      <w:proofErr w:type="gramStart"/>
      <w:r>
        <w:rPr>
          <w:rFonts w:eastAsia="SimSun"/>
          <w:lang w:val="en-US"/>
        </w:rPr>
        <w:t>2012</w:t>
      </w:r>
      <w:proofErr w:type="gramEnd"/>
      <w:r>
        <w:rPr>
          <w:rFonts w:eastAsia="SimSun"/>
          <w:lang w:val="en-US"/>
        </w:rPr>
        <w:t xml:space="preserve"> the Dutch minister for agriculture and foreign trade announced his decision to allow the export.</w:t>
      </w:r>
      <w:r>
        <w:rPr>
          <w:rStyle w:val="FootnoteReference"/>
          <w:rFonts w:eastAsia="SimSun"/>
          <w:lang w:val="en-US"/>
        </w:rPr>
        <w:footnoteReference w:id="29"/>
      </w:r>
      <w:r>
        <w:rPr>
          <w:rFonts w:eastAsia="SimSun"/>
          <w:lang w:val="en-US"/>
        </w:rPr>
        <w:t xml:space="preserve"> The EMC nevertheless filed a formal objection to the requirement for an export permit in this case, and the government disallowed the objection in December 2012.</w:t>
      </w:r>
      <w:r>
        <w:rPr>
          <w:rStyle w:val="FootnoteReference"/>
          <w:lang w:val="en-US"/>
        </w:rPr>
        <w:footnoteReference w:id="30"/>
      </w:r>
      <w:r>
        <w:rPr>
          <w:rFonts w:eastAsia="SimSun"/>
          <w:lang w:val="en-US"/>
        </w:rPr>
        <w:t xml:space="preserve"> Thereafter, the matter of the applicability of Regulation 428/2009 to </w:t>
      </w:r>
      <w:proofErr w:type="spellStart"/>
      <w:r>
        <w:rPr>
          <w:rFonts w:eastAsia="SimSun"/>
          <w:lang w:val="en-US"/>
        </w:rPr>
        <w:t>Fouchier’s</w:t>
      </w:r>
      <w:proofErr w:type="spellEnd"/>
      <w:r>
        <w:rPr>
          <w:rFonts w:eastAsia="SimSun"/>
          <w:lang w:val="en-US"/>
        </w:rPr>
        <w:t xml:space="preserve"> H5N1 research findings </w:t>
      </w:r>
      <w:proofErr w:type="gramStart"/>
      <w:r>
        <w:rPr>
          <w:rFonts w:eastAsia="SimSun"/>
          <w:lang w:val="en-US"/>
        </w:rPr>
        <w:t>was pursued</w:t>
      </w:r>
      <w:proofErr w:type="gramEnd"/>
      <w:r>
        <w:rPr>
          <w:rFonts w:eastAsia="SimSun"/>
          <w:lang w:val="en-US"/>
        </w:rPr>
        <w:t xml:space="preserve"> in court.</w:t>
      </w:r>
    </w:p>
    <w:p w:rsidR="00666D13" w:rsidRDefault="00666D13" w:rsidP="0051528B">
      <w:pPr>
        <w:spacing w:line="480" w:lineRule="auto"/>
        <w:jc w:val="both"/>
        <w:rPr>
          <w:lang w:val="en-US"/>
        </w:rPr>
      </w:pPr>
    </w:p>
    <w:p w:rsidR="00666D13" w:rsidRDefault="00666D13" w:rsidP="0051528B">
      <w:pPr>
        <w:spacing w:line="480" w:lineRule="auto"/>
        <w:jc w:val="both"/>
        <w:rPr>
          <w:rFonts w:eastAsia="SimSun"/>
          <w:lang w:val="en-US"/>
        </w:rPr>
      </w:pPr>
    </w:p>
    <w:p w:rsidR="00666D13" w:rsidRDefault="00666D13" w:rsidP="0051528B">
      <w:pPr>
        <w:pStyle w:val="Heading2"/>
        <w:spacing w:line="480" w:lineRule="auto"/>
        <w:rPr>
          <w:rFonts w:eastAsia="SimSun"/>
          <w:lang w:val="en-US"/>
        </w:rPr>
      </w:pPr>
      <w:r>
        <w:rPr>
          <w:rFonts w:eastAsia="SimSun"/>
          <w:lang w:val="en-US"/>
        </w:rPr>
        <w:t xml:space="preserve">A. </w:t>
      </w:r>
      <w:r w:rsidRPr="00A41145">
        <w:rPr>
          <w:rFonts w:eastAsia="SimSun"/>
          <w:lang w:val="en-US"/>
        </w:rPr>
        <w:t xml:space="preserve">Applicability of </w:t>
      </w:r>
      <w:r w:rsidRPr="008C04E0">
        <w:t>Regulation</w:t>
      </w:r>
      <w:r w:rsidRPr="005157DA">
        <w:t xml:space="preserve"> 428/2009</w:t>
      </w:r>
    </w:p>
    <w:p w:rsidR="00666D13" w:rsidRDefault="00666D13" w:rsidP="0051528B">
      <w:pPr>
        <w:spacing w:line="480" w:lineRule="auto"/>
        <w:jc w:val="both"/>
        <w:rPr>
          <w:rStyle w:val="Strong"/>
          <w:b w:val="0"/>
          <w:bCs w:val="0"/>
          <w:lang w:val="en-US"/>
        </w:rPr>
      </w:pPr>
    </w:p>
    <w:p w:rsidR="00666D13" w:rsidRDefault="00666D13" w:rsidP="0051528B">
      <w:pPr>
        <w:spacing w:line="480" w:lineRule="auto"/>
        <w:jc w:val="both"/>
        <w:rPr>
          <w:rStyle w:val="Strong"/>
          <w:b w:val="0"/>
          <w:bCs w:val="0"/>
          <w:lang w:val="en-US"/>
        </w:rPr>
      </w:pPr>
      <w:r>
        <w:rPr>
          <w:rFonts w:eastAsia="SimSun"/>
          <w:lang w:val="en-US"/>
        </w:rPr>
        <w:t xml:space="preserve">Was it lawful on this occasion for the Dutch Government to decide </w:t>
      </w:r>
      <w:proofErr w:type="gramStart"/>
      <w:r>
        <w:rPr>
          <w:rFonts w:eastAsia="SimSun"/>
          <w:lang w:val="en-US"/>
        </w:rPr>
        <w:t>whether or not</w:t>
      </w:r>
      <w:proofErr w:type="gramEnd"/>
      <w:r>
        <w:rPr>
          <w:rFonts w:eastAsia="SimSun"/>
          <w:lang w:val="en-US"/>
        </w:rPr>
        <w:t xml:space="preserve"> a scientific manuscript may be submitted for publication? </w:t>
      </w:r>
      <w:proofErr w:type="spellStart"/>
      <w:r>
        <w:rPr>
          <w:rFonts w:eastAsia="SimSun"/>
          <w:lang w:val="en-US"/>
        </w:rPr>
        <w:t>Fouchier</w:t>
      </w:r>
      <w:proofErr w:type="spellEnd"/>
      <w:r>
        <w:rPr>
          <w:rFonts w:eastAsia="SimSun"/>
          <w:lang w:val="en-US"/>
        </w:rPr>
        <w:t xml:space="preserve"> claimed that he </w:t>
      </w:r>
      <w:proofErr w:type="gramStart"/>
      <w:r>
        <w:rPr>
          <w:rFonts w:eastAsia="SimSun"/>
          <w:lang w:val="en-US"/>
        </w:rPr>
        <w:t xml:space="preserve">should not have been </w:t>
      </w:r>
      <w:r>
        <w:rPr>
          <w:rFonts w:eastAsia="SimSun"/>
          <w:lang w:val="en-US"/>
        </w:rPr>
        <w:lastRenderedPageBreak/>
        <w:t>required</w:t>
      </w:r>
      <w:proofErr w:type="gramEnd"/>
      <w:r>
        <w:rPr>
          <w:rFonts w:eastAsia="SimSun"/>
          <w:lang w:val="en-US"/>
        </w:rPr>
        <w:t xml:space="preserve"> to obtain an export permit, because the information to be published fell within two exceptions to the authorization rule in Regulation 428/2009. With regard to items listed in Annex I, one exception is that which applies to technology that is “in the public domain”, and another applies to “basic scientif</w:t>
      </w:r>
      <w:r w:rsidR="009B7634">
        <w:rPr>
          <w:rFonts w:eastAsia="SimSun"/>
          <w:lang w:val="en-US"/>
        </w:rPr>
        <w:t>ic research”</w:t>
      </w:r>
      <w:r>
        <w:rPr>
          <w:rFonts w:eastAsia="SimSun"/>
          <w:lang w:val="en-US"/>
        </w:rPr>
        <w:t>.</w:t>
      </w:r>
      <w:r>
        <w:rPr>
          <w:rStyle w:val="FootnoteReference"/>
          <w:rFonts w:eastAsia="SimSun"/>
          <w:lang w:val="en-US"/>
        </w:rPr>
        <w:footnoteReference w:id="31"/>
      </w:r>
      <w:r>
        <w:rPr>
          <w:rFonts w:eastAsia="SimSun"/>
          <w:lang w:val="en-US"/>
        </w:rPr>
        <w:t xml:space="preserve"> In a case brought before the </w:t>
      </w:r>
      <w:r w:rsidRPr="00226B28">
        <w:rPr>
          <w:rStyle w:val="Strong"/>
          <w:b w:val="0"/>
          <w:bCs w:val="0"/>
          <w:lang w:val="en-US"/>
        </w:rPr>
        <w:t xml:space="preserve">District </w:t>
      </w:r>
      <w:r>
        <w:rPr>
          <w:rStyle w:val="Strong"/>
          <w:b w:val="0"/>
          <w:bCs w:val="0"/>
          <w:lang w:val="en-US"/>
        </w:rPr>
        <w:t xml:space="preserve">Court of Noord-Holland in </w:t>
      </w:r>
      <w:r w:rsidRPr="005157DA">
        <w:rPr>
          <w:rFonts w:eastAsia="SimSun"/>
          <w:lang w:val="en-US"/>
        </w:rPr>
        <w:t>Haarlem</w:t>
      </w:r>
      <w:r>
        <w:rPr>
          <w:rStyle w:val="Strong"/>
          <w:b w:val="0"/>
          <w:bCs w:val="0"/>
          <w:lang w:val="en-US"/>
        </w:rPr>
        <w:t xml:space="preserve">, </w:t>
      </w:r>
      <w:proofErr w:type="spellStart"/>
      <w:r>
        <w:rPr>
          <w:rStyle w:val="Strong"/>
          <w:b w:val="0"/>
          <w:bCs w:val="0"/>
          <w:lang w:val="en-US"/>
        </w:rPr>
        <w:t>Fouchier’s</w:t>
      </w:r>
      <w:proofErr w:type="spellEnd"/>
      <w:r>
        <w:rPr>
          <w:rStyle w:val="Strong"/>
          <w:b w:val="0"/>
          <w:bCs w:val="0"/>
          <w:lang w:val="en-US"/>
        </w:rPr>
        <w:t xml:space="preserve"> lawyer argued that </w:t>
      </w:r>
      <w:r w:rsidRPr="00B92227">
        <w:rPr>
          <w:lang w:val="en-US"/>
        </w:rPr>
        <w:t xml:space="preserve">the methods used in the </w:t>
      </w:r>
      <w:r>
        <w:rPr>
          <w:lang w:val="en-US"/>
        </w:rPr>
        <w:t>H5N1 mutation experiment</w:t>
      </w:r>
      <w:r w:rsidRPr="00B92227">
        <w:rPr>
          <w:lang w:val="en-US"/>
        </w:rPr>
        <w:t xml:space="preserve"> had been descri</w:t>
      </w:r>
      <w:r>
        <w:rPr>
          <w:lang w:val="en-US"/>
        </w:rPr>
        <w:t xml:space="preserve">bed before and were well-known (in the public domain), and that the virologists at EMC had sought only to better understand </w:t>
      </w:r>
      <w:r w:rsidRPr="00B92227">
        <w:rPr>
          <w:lang w:val="en-US"/>
        </w:rPr>
        <w:t>mammalian transmissibility of an influenza strain</w:t>
      </w:r>
      <w:r>
        <w:rPr>
          <w:lang w:val="en-US"/>
        </w:rPr>
        <w:t xml:space="preserve"> (basic scientific research).</w:t>
      </w:r>
      <w:r>
        <w:rPr>
          <w:rStyle w:val="FootnoteReference"/>
          <w:lang w:val="en-US"/>
        </w:rPr>
        <w:footnoteReference w:id="32"/>
      </w:r>
      <w:r>
        <w:rPr>
          <w:lang w:val="en-US"/>
        </w:rPr>
        <w:t xml:space="preserve"> On 20 September </w:t>
      </w:r>
      <w:proofErr w:type="gramStart"/>
      <w:r>
        <w:rPr>
          <w:lang w:val="en-US"/>
        </w:rPr>
        <w:t>2013</w:t>
      </w:r>
      <w:proofErr w:type="gramEnd"/>
      <w:r>
        <w:rPr>
          <w:lang w:val="en-US"/>
        </w:rPr>
        <w:t xml:space="preserve"> the District Court rejected both arguments.</w:t>
      </w:r>
      <w:r>
        <w:rPr>
          <w:rStyle w:val="FootnoteReference"/>
          <w:lang w:val="en-US"/>
        </w:rPr>
        <w:footnoteReference w:id="33"/>
      </w:r>
      <w:r>
        <w:rPr>
          <w:lang w:val="en-US"/>
        </w:rPr>
        <w:t xml:space="preserve"> In general, it considered that non-proliferation was a priority in the Regulation and that exemptions </w:t>
      </w:r>
      <w:proofErr w:type="gramStart"/>
      <w:r>
        <w:rPr>
          <w:lang w:val="en-US"/>
        </w:rPr>
        <w:t>should therefore be interpreted</w:t>
      </w:r>
      <w:proofErr w:type="gramEnd"/>
      <w:r>
        <w:rPr>
          <w:lang w:val="en-US"/>
        </w:rPr>
        <w:t xml:space="preserve"> narrowly. </w:t>
      </w:r>
      <w:r>
        <w:t xml:space="preserve">Regarding the first claimed exemption, the court found that </w:t>
      </w:r>
      <w:proofErr w:type="spellStart"/>
      <w:r>
        <w:t>Fouchier’s</w:t>
      </w:r>
      <w:proofErr w:type="spellEnd"/>
      <w:r>
        <w:t xml:space="preserve"> study went beyond known methods, </w:t>
      </w:r>
      <w:r w:rsidRPr="0072646E">
        <w:t xml:space="preserve">by selecting and detailing the </w:t>
      </w:r>
      <w:r>
        <w:t xml:space="preserve">genetic </w:t>
      </w:r>
      <w:r w:rsidRPr="0072646E">
        <w:t xml:space="preserve">changes </w:t>
      </w:r>
      <w:r>
        <w:t>needed</w:t>
      </w:r>
      <w:r w:rsidRPr="0072646E">
        <w:t xml:space="preserve"> to </w:t>
      </w:r>
      <w:r>
        <w:t>produce mammal</w:t>
      </w:r>
      <w:r w:rsidRPr="0072646E">
        <w:t xml:space="preserve">-transmissible </w:t>
      </w:r>
      <w:r>
        <w:t xml:space="preserve">H5N1 </w:t>
      </w:r>
      <w:r w:rsidRPr="0072646E">
        <w:t xml:space="preserve">strains, </w:t>
      </w:r>
      <w:r>
        <w:t>and thus</w:t>
      </w:r>
      <w:r w:rsidRPr="0072646E">
        <w:t xml:space="preserve"> was not already in the public domain.</w:t>
      </w:r>
      <w:r>
        <w:t xml:space="preserve"> The novelty of the research findings </w:t>
      </w:r>
      <w:proofErr w:type="gramStart"/>
      <w:r>
        <w:t>was also indicated</w:t>
      </w:r>
      <w:proofErr w:type="gramEnd"/>
      <w:r>
        <w:t xml:space="preserve"> by the willingness of </w:t>
      </w:r>
      <w:r w:rsidRPr="005B66B9">
        <w:rPr>
          <w:i/>
        </w:rPr>
        <w:t>Science</w:t>
      </w:r>
      <w:r>
        <w:t xml:space="preserve"> to publish them.</w:t>
      </w:r>
      <w:r>
        <w:rPr>
          <w:rStyle w:val="FootnoteReference"/>
        </w:rPr>
        <w:footnoteReference w:id="34"/>
      </w:r>
      <w:r>
        <w:t xml:space="preserve"> The court found also that the research was not “basic scientific research”, defined in the Regulation as </w:t>
      </w:r>
      <w:r w:rsidRPr="005157DA">
        <w:rPr>
          <w:rFonts w:eastAsia="SimSun"/>
          <w:lang w:val="en-US"/>
        </w:rPr>
        <w:t xml:space="preserve">“experimental or theoretical work undertaken principally to acquire new knowledge of the </w:t>
      </w:r>
      <w:r w:rsidRPr="005157DA">
        <w:rPr>
          <w:rFonts w:eastAsia="SimSun"/>
          <w:lang w:val="en-US"/>
        </w:rPr>
        <w:lastRenderedPageBreak/>
        <w:t xml:space="preserve">fundamental principles of phenomena </w:t>
      </w:r>
      <w:r>
        <w:rPr>
          <w:rFonts w:eastAsia="SimSun"/>
          <w:lang w:val="en-US"/>
        </w:rPr>
        <w:t>…</w:t>
      </w:r>
      <w:r w:rsidRPr="005157DA">
        <w:rPr>
          <w:rFonts w:eastAsia="SimSun"/>
          <w:lang w:val="en-US"/>
        </w:rPr>
        <w:t>, not primarily directed towards a specific practical aim or objective”.</w:t>
      </w:r>
      <w:r>
        <w:rPr>
          <w:rStyle w:val="FootnoteReference"/>
          <w:rFonts w:eastAsia="SimSun"/>
          <w:lang w:val="en-US"/>
        </w:rPr>
        <w:footnoteReference w:id="35"/>
      </w:r>
      <w:r w:rsidRPr="005157DA">
        <w:rPr>
          <w:rFonts w:eastAsia="SimSun"/>
          <w:lang w:val="en-US"/>
        </w:rPr>
        <w:t xml:space="preserve"> </w:t>
      </w:r>
      <w:r>
        <w:rPr>
          <w:rFonts w:eastAsia="SimSun"/>
          <w:lang w:val="en-US"/>
        </w:rPr>
        <w:t xml:space="preserve">Instead, the court characterized </w:t>
      </w:r>
      <w:r>
        <w:rPr>
          <w:lang w:val="en-US"/>
        </w:rPr>
        <w:t xml:space="preserve">the development of an airborne </w:t>
      </w:r>
      <w:r w:rsidRPr="00B92227">
        <w:rPr>
          <w:lang w:val="en-US"/>
        </w:rPr>
        <w:t xml:space="preserve">H5N1 </w:t>
      </w:r>
      <w:r w:rsidR="009B7634">
        <w:rPr>
          <w:lang w:val="en-US"/>
        </w:rPr>
        <w:t xml:space="preserve">virus as a </w:t>
      </w:r>
      <w:r>
        <w:rPr>
          <w:lang w:val="en-US"/>
        </w:rPr>
        <w:t>practical goal, adding that it is not up to individual researchers to determine whether their research is basic.</w:t>
      </w:r>
      <w:r>
        <w:rPr>
          <w:rStyle w:val="FootnoteReference"/>
          <w:lang w:val="en-US"/>
        </w:rPr>
        <w:footnoteReference w:id="36"/>
      </w:r>
      <w:r w:rsidRPr="00B92227">
        <w:rPr>
          <w:lang w:val="en-US"/>
        </w:rPr>
        <w:t xml:space="preserve"> </w:t>
      </w:r>
      <w:r>
        <w:rPr>
          <w:lang w:val="en-US"/>
        </w:rPr>
        <w:t xml:space="preserve">Were the latter to occur, the court reasoned, it would compromise the obligation of </w:t>
      </w:r>
      <w:r>
        <w:rPr>
          <w:i/>
          <w:lang w:val="en-US"/>
        </w:rPr>
        <w:t>states</w:t>
      </w:r>
      <w:r>
        <w:rPr>
          <w:lang w:val="en-US"/>
        </w:rPr>
        <w:t xml:space="preserve"> under UN Security Council Resolution 1540 to counter the proliferation of biological weapons.</w:t>
      </w:r>
      <w:r>
        <w:rPr>
          <w:rStyle w:val="FootnoteReference"/>
          <w:lang w:val="en-US"/>
        </w:rPr>
        <w:footnoteReference w:id="37"/>
      </w:r>
    </w:p>
    <w:p w:rsidR="00666D13" w:rsidRDefault="00666D13" w:rsidP="0051528B">
      <w:pPr>
        <w:spacing w:line="480" w:lineRule="auto"/>
        <w:jc w:val="both"/>
        <w:rPr>
          <w:rStyle w:val="Strong"/>
          <w:b w:val="0"/>
          <w:bCs w:val="0"/>
          <w:lang w:val="en-US"/>
        </w:rPr>
      </w:pPr>
    </w:p>
    <w:p w:rsidR="00666D13" w:rsidRDefault="00666D13" w:rsidP="0051528B">
      <w:pPr>
        <w:spacing w:line="480" w:lineRule="auto"/>
        <w:jc w:val="both"/>
        <w:rPr>
          <w:rStyle w:val="Strong"/>
          <w:b w:val="0"/>
          <w:lang w:val="en-US"/>
        </w:rPr>
      </w:pPr>
      <w:r>
        <w:rPr>
          <w:rStyle w:val="Strong"/>
          <w:b w:val="0"/>
          <w:lang w:val="en-US"/>
        </w:rPr>
        <w:t xml:space="preserve">When </w:t>
      </w:r>
      <w:proofErr w:type="spellStart"/>
      <w:r>
        <w:rPr>
          <w:rStyle w:val="Strong"/>
          <w:b w:val="0"/>
          <w:lang w:val="en-US"/>
        </w:rPr>
        <w:t>Fouchier</w:t>
      </w:r>
      <w:proofErr w:type="spellEnd"/>
      <w:r>
        <w:rPr>
          <w:rStyle w:val="Strong"/>
          <w:b w:val="0"/>
          <w:lang w:val="en-US"/>
        </w:rPr>
        <w:t xml:space="preserve"> appealed against this decision, the </w:t>
      </w:r>
      <w:r w:rsidRPr="002F39E1">
        <w:t>Dutch Court of Appeal in Amsterdam</w:t>
      </w:r>
      <w:r>
        <w:t xml:space="preserve"> held (on 18 June 2015) that </w:t>
      </w:r>
      <w:r w:rsidRPr="002F39E1">
        <w:t>it did not need</w:t>
      </w:r>
      <w:r>
        <w:t xml:space="preserve"> to decide whether his research was basic or applied</w:t>
      </w:r>
      <w:r w:rsidRPr="002F39E1">
        <w:t xml:space="preserve"> and thus whether the </w:t>
      </w:r>
      <w:r>
        <w:t xml:space="preserve">international </w:t>
      </w:r>
      <w:r w:rsidRPr="002F39E1">
        <w:t xml:space="preserve">transfer of </w:t>
      </w:r>
      <w:r>
        <w:t xml:space="preserve">the H5N1 experiment </w:t>
      </w:r>
      <w:r w:rsidRPr="002F39E1">
        <w:t>data was subject to EU export regulations.</w:t>
      </w:r>
      <w:r>
        <w:rPr>
          <w:rStyle w:val="FootnoteReference"/>
        </w:rPr>
        <w:footnoteReference w:id="38"/>
      </w:r>
      <w:r>
        <w:t xml:space="preserve"> Rather, the court dismissed the appeal on procedural grounds alone. </w:t>
      </w:r>
      <w:proofErr w:type="spellStart"/>
      <w:r>
        <w:t>Fouchier</w:t>
      </w:r>
      <w:proofErr w:type="spellEnd"/>
      <w:r>
        <w:t xml:space="preserve"> had applied to the Dutch Government for an export permit, he had then received one,</w:t>
      </w:r>
      <w:r w:rsidR="009B7634">
        <w:t xml:space="preserve"> and so he did not incur damage</w:t>
      </w:r>
      <w:r>
        <w:t xml:space="preserve"> for which a remedy was necessary. That is, he no longer had a legal interest in pursuing the case. Moreover, the Court of Appeal held that t</w:t>
      </w:r>
      <w:r w:rsidRPr="00F243C4">
        <w:t xml:space="preserve">he government should not have </w:t>
      </w:r>
      <w:proofErr w:type="gramStart"/>
      <w:r w:rsidRPr="00F243C4">
        <w:t xml:space="preserve">taken </w:t>
      </w:r>
      <w:proofErr w:type="spellStart"/>
      <w:r>
        <w:t>Fouchier</w:t>
      </w:r>
      <w:r w:rsidRPr="00F243C4">
        <w:t>'s</w:t>
      </w:r>
      <w:proofErr w:type="spellEnd"/>
      <w:r w:rsidRPr="00F243C4">
        <w:t xml:space="preserve"> complaint into consideration</w:t>
      </w:r>
      <w:proofErr w:type="gramEnd"/>
      <w:r w:rsidRPr="00F243C4">
        <w:t xml:space="preserve">, and </w:t>
      </w:r>
      <w:r>
        <w:t xml:space="preserve">that </w:t>
      </w:r>
      <w:r w:rsidRPr="00F243C4">
        <w:t xml:space="preserve">the District Court should not </w:t>
      </w:r>
      <w:r w:rsidRPr="00F243C4">
        <w:lastRenderedPageBreak/>
        <w:t xml:space="preserve">have upheld the government's rejection of </w:t>
      </w:r>
      <w:r>
        <w:t>that</w:t>
      </w:r>
      <w:r w:rsidRPr="00F243C4">
        <w:t xml:space="preserve"> complaint</w:t>
      </w:r>
      <w:r>
        <w:t>.</w:t>
      </w:r>
      <w:r>
        <w:rPr>
          <w:rStyle w:val="FootnoteReference"/>
        </w:rPr>
        <w:footnoteReference w:id="39"/>
      </w:r>
      <w:r>
        <w:t xml:space="preserve"> Effectively, then, the legal question of whether research findings like </w:t>
      </w:r>
      <w:proofErr w:type="spellStart"/>
      <w:r>
        <w:t>Fouchier’s</w:t>
      </w:r>
      <w:proofErr w:type="spellEnd"/>
      <w:r>
        <w:t xml:space="preserve"> </w:t>
      </w:r>
      <w:r w:rsidR="009B7634">
        <w:t>qualify</w:t>
      </w:r>
      <w:r>
        <w:t xml:space="preserve"> as basic research remains open. Even so, a political precedent has been set for a government to assume that research of this kind is non-basic and therefore not exempt from the export authorisation requirement in Regulation 428/2009. An ethical question remains, though: </w:t>
      </w:r>
      <w:r>
        <w:rPr>
          <w:rStyle w:val="Strong"/>
          <w:b w:val="0"/>
          <w:lang w:val="en-US"/>
        </w:rPr>
        <w:t xml:space="preserve">should </w:t>
      </w:r>
      <w:r w:rsidRPr="00781F39">
        <w:rPr>
          <w:rStyle w:val="Strong"/>
          <w:b w:val="0"/>
          <w:lang w:val="en-US"/>
        </w:rPr>
        <w:t xml:space="preserve">the Dutch Government </w:t>
      </w:r>
      <w:r>
        <w:rPr>
          <w:rStyle w:val="Strong"/>
          <w:b w:val="0"/>
          <w:lang w:val="en-US"/>
        </w:rPr>
        <w:t>have allowed</w:t>
      </w:r>
      <w:r w:rsidRPr="00781F39">
        <w:rPr>
          <w:rStyle w:val="Strong"/>
          <w:b w:val="0"/>
          <w:lang w:val="en-US"/>
        </w:rPr>
        <w:t xml:space="preserve"> </w:t>
      </w:r>
      <w:proofErr w:type="spellStart"/>
      <w:r>
        <w:rPr>
          <w:rStyle w:val="Strong"/>
          <w:b w:val="0"/>
          <w:lang w:val="en-US"/>
        </w:rPr>
        <w:t>Fouchier’s</w:t>
      </w:r>
      <w:proofErr w:type="spellEnd"/>
      <w:r>
        <w:rPr>
          <w:rStyle w:val="Strong"/>
          <w:b w:val="0"/>
          <w:lang w:val="en-US"/>
        </w:rPr>
        <w:t xml:space="preserve"> findings to </w:t>
      </w:r>
      <w:proofErr w:type="gramStart"/>
      <w:r>
        <w:rPr>
          <w:rStyle w:val="Strong"/>
          <w:b w:val="0"/>
          <w:lang w:val="en-US"/>
        </w:rPr>
        <w:t>be submitted</w:t>
      </w:r>
      <w:proofErr w:type="gramEnd"/>
      <w:r>
        <w:rPr>
          <w:rStyle w:val="Strong"/>
          <w:b w:val="0"/>
          <w:lang w:val="en-US"/>
        </w:rPr>
        <w:t xml:space="preserve"> for publication?</w:t>
      </w:r>
    </w:p>
    <w:p w:rsidR="00666D13" w:rsidRDefault="00666D13" w:rsidP="0051528B">
      <w:pPr>
        <w:spacing w:line="480" w:lineRule="auto"/>
        <w:jc w:val="both"/>
        <w:rPr>
          <w:rStyle w:val="Strong"/>
          <w:b w:val="0"/>
          <w:lang w:val="en-US"/>
        </w:rPr>
      </w:pPr>
    </w:p>
    <w:p w:rsidR="00666D13" w:rsidRPr="005157DA" w:rsidRDefault="00666D13" w:rsidP="0051528B">
      <w:pPr>
        <w:spacing w:line="480" w:lineRule="auto"/>
        <w:jc w:val="both"/>
        <w:rPr>
          <w:rStyle w:val="Strong"/>
          <w:b w:val="0"/>
          <w:bCs w:val="0"/>
          <w:lang w:val="en-US"/>
        </w:rPr>
      </w:pPr>
    </w:p>
    <w:p w:rsidR="00666D13" w:rsidRPr="00217DB8" w:rsidRDefault="00666D13" w:rsidP="0051528B">
      <w:pPr>
        <w:pStyle w:val="Heading2"/>
        <w:spacing w:line="480" w:lineRule="auto"/>
        <w:rPr>
          <w:rStyle w:val="Strong"/>
          <w:b w:val="0"/>
          <w:bCs w:val="0"/>
        </w:rPr>
      </w:pPr>
      <w:r>
        <w:rPr>
          <w:rStyle w:val="Strong"/>
          <w:b w:val="0"/>
          <w:bCs w:val="0"/>
        </w:rPr>
        <w:t>B</w:t>
      </w:r>
      <w:r w:rsidRPr="00217DB8">
        <w:rPr>
          <w:rStyle w:val="Strong"/>
          <w:b w:val="0"/>
          <w:bCs w:val="0"/>
        </w:rPr>
        <w:t xml:space="preserve">. Benefits and risks of </w:t>
      </w:r>
      <w:r>
        <w:rPr>
          <w:rStyle w:val="Strong"/>
          <w:b w:val="0"/>
          <w:bCs w:val="0"/>
        </w:rPr>
        <w:t>publication</w:t>
      </w:r>
    </w:p>
    <w:p w:rsidR="00666D13" w:rsidRDefault="00666D13" w:rsidP="0051528B">
      <w:pPr>
        <w:spacing w:line="480" w:lineRule="auto"/>
        <w:jc w:val="both"/>
        <w:rPr>
          <w:rStyle w:val="Strong"/>
          <w:b w:val="0"/>
          <w:bCs w:val="0"/>
          <w:lang w:val="en-US"/>
        </w:rPr>
      </w:pPr>
    </w:p>
    <w:p w:rsidR="00666D13" w:rsidRDefault="00666D13" w:rsidP="0051528B">
      <w:pPr>
        <w:spacing w:line="480" w:lineRule="auto"/>
        <w:jc w:val="both"/>
        <w:rPr>
          <w:rFonts w:eastAsia="SimSun"/>
          <w:lang w:val="en-US"/>
        </w:rPr>
      </w:pPr>
      <w:r w:rsidRPr="005157DA">
        <w:rPr>
          <w:rStyle w:val="Strong"/>
          <w:b w:val="0"/>
          <w:lang w:val="en-US"/>
        </w:rPr>
        <w:t xml:space="preserve">It is not clear </w:t>
      </w:r>
      <w:r>
        <w:rPr>
          <w:rStyle w:val="Strong"/>
          <w:b w:val="0"/>
          <w:lang w:val="en-US"/>
        </w:rPr>
        <w:t>exactly how</w:t>
      </w:r>
      <w:r w:rsidRPr="005157DA">
        <w:rPr>
          <w:rStyle w:val="Strong"/>
          <w:b w:val="0"/>
          <w:lang w:val="en-US"/>
        </w:rPr>
        <w:t xml:space="preserve"> the Dutch Government </w:t>
      </w:r>
      <w:r w:rsidR="009B7634">
        <w:rPr>
          <w:rStyle w:val="Strong"/>
          <w:b w:val="0"/>
          <w:lang w:val="en-US"/>
        </w:rPr>
        <w:t>arrived at its decision</w:t>
      </w:r>
      <w:r>
        <w:rPr>
          <w:rStyle w:val="Strong"/>
          <w:b w:val="0"/>
          <w:lang w:val="en-US"/>
        </w:rPr>
        <w:t xml:space="preserve"> to grant </w:t>
      </w:r>
      <w:proofErr w:type="spellStart"/>
      <w:r>
        <w:rPr>
          <w:rStyle w:val="Strong"/>
          <w:b w:val="0"/>
          <w:lang w:val="en-US"/>
        </w:rPr>
        <w:t>Fouchier</w:t>
      </w:r>
      <w:proofErr w:type="spellEnd"/>
      <w:r w:rsidRPr="005157DA">
        <w:rPr>
          <w:rStyle w:val="Strong"/>
          <w:b w:val="0"/>
          <w:lang w:val="en-US"/>
        </w:rPr>
        <w:t xml:space="preserve"> a permit to transfer his intangible </w:t>
      </w:r>
      <w:r w:rsidR="009B7634">
        <w:rPr>
          <w:rStyle w:val="Strong"/>
          <w:b w:val="0"/>
          <w:lang w:val="en-US"/>
        </w:rPr>
        <w:t xml:space="preserve">H5N1 </w:t>
      </w:r>
      <w:r w:rsidRPr="005157DA">
        <w:rPr>
          <w:rStyle w:val="Strong"/>
          <w:b w:val="0"/>
          <w:lang w:val="en-US"/>
        </w:rPr>
        <w:t xml:space="preserve">technology to the editor of </w:t>
      </w:r>
      <w:r w:rsidRPr="005157DA">
        <w:rPr>
          <w:rStyle w:val="Strong"/>
          <w:b w:val="0"/>
          <w:i/>
          <w:lang w:val="en-US"/>
        </w:rPr>
        <w:t>Science</w:t>
      </w:r>
      <w:r>
        <w:rPr>
          <w:lang w:val="en-US"/>
        </w:rPr>
        <w:t xml:space="preserve">. </w:t>
      </w:r>
      <w:r>
        <w:t>Regulation 428/2009 provides that, in deciding whether or not to grant an export authori</w:t>
      </w:r>
      <w:r w:rsidR="009B7634">
        <w:t>z</w:t>
      </w:r>
      <w:r>
        <w:t xml:space="preserve">ation, EU states </w:t>
      </w:r>
      <w:r>
        <w:rPr>
          <w:lang w:val="en-GB"/>
        </w:rPr>
        <w:t>“shall</w:t>
      </w:r>
      <w:r>
        <w:t xml:space="preserve"> take into account all relevant considerations including: (a) the obligations and commitments they have each accepted as members of the relevant international non-proliferation regimes and export control arrangements, or by ratification of relevant international treaties; …</w:t>
      </w:r>
      <w:proofErr w:type="gramStart"/>
      <w:r>
        <w:t>”</w:t>
      </w:r>
      <w:r w:rsidR="009B7634">
        <w:t>.</w:t>
      </w:r>
      <w:proofErr w:type="gramEnd"/>
      <w:r>
        <w:rPr>
          <w:rStyle w:val="FootnoteReference"/>
        </w:rPr>
        <w:footnoteReference w:id="40"/>
      </w:r>
      <w:r>
        <w:t xml:space="preserve"> It is reasonable to assume, therefore, that the Dutch Government considered the requirements of the BWC, to which the Netherlands is party, and UN Security Council Resolution </w:t>
      </w:r>
      <w:proofErr w:type="gramStart"/>
      <w:r>
        <w:t>1540 which</w:t>
      </w:r>
      <w:proofErr w:type="gramEnd"/>
      <w:r>
        <w:t xml:space="preserve"> is binding on all states. Beyond that, taking into account “all relevant considerations” appears to have involved assessing the perceived benefits and risks of allowing </w:t>
      </w:r>
      <w:proofErr w:type="spellStart"/>
      <w:r>
        <w:t>Fouchier’s</w:t>
      </w:r>
      <w:proofErr w:type="spellEnd"/>
      <w:r>
        <w:t xml:space="preserve"> H5N1 findings </w:t>
      </w:r>
      <w:r>
        <w:lastRenderedPageBreak/>
        <w:t xml:space="preserve">to </w:t>
      </w:r>
      <w:proofErr w:type="gramStart"/>
      <w:r>
        <w:t>be published</w:t>
      </w:r>
      <w:proofErr w:type="gramEnd"/>
      <w:r>
        <w:t xml:space="preserve"> outside the EU. When export permission </w:t>
      </w:r>
      <w:proofErr w:type="gramStart"/>
      <w:r>
        <w:t>was announced</w:t>
      </w:r>
      <w:proofErr w:type="gramEnd"/>
      <w:r>
        <w:t xml:space="preserve"> on 27 April 2012, the Dutch ministry </w:t>
      </w:r>
      <w:r w:rsidRPr="005D4B8C">
        <w:rPr>
          <w:rFonts w:eastAsia="SimSun"/>
          <w:lang w:val="en-US"/>
        </w:rPr>
        <w:t>for agriculture and foreign trade</w:t>
      </w:r>
      <w:r>
        <w:rPr>
          <w:rFonts w:eastAsia="SimSun"/>
          <w:lang w:val="en-US"/>
        </w:rPr>
        <w:t xml:space="preserve"> issued a statement:</w:t>
      </w:r>
      <w:r>
        <w:rPr>
          <w:rStyle w:val="FootnoteReference"/>
          <w:rFonts w:eastAsia="SimSun"/>
          <w:lang w:val="en-US"/>
        </w:rPr>
        <w:footnoteReference w:id="41"/>
      </w:r>
    </w:p>
    <w:p w:rsidR="00666D13" w:rsidRPr="006254E5" w:rsidRDefault="00666D13" w:rsidP="0051528B">
      <w:pPr>
        <w:spacing w:line="480" w:lineRule="auto"/>
        <w:jc w:val="both"/>
      </w:pPr>
    </w:p>
    <w:p w:rsidR="00666D13" w:rsidRPr="005D4B8C" w:rsidRDefault="00666D13" w:rsidP="0051528B">
      <w:pPr>
        <w:spacing w:line="480" w:lineRule="auto"/>
        <w:ind w:left="720"/>
        <w:jc w:val="both"/>
        <w:rPr>
          <w:rStyle w:val="Strong"/>
          <w:rFonts w:eastAsia="SimSun"/>
          <w:b w:val="0"/>
          <w:bCs w:val="0"/>
          <w:sz w:val="22"/>
          <w:szCs w:val="22"/>
          <w:lang w:val="en-US"/>
        </w:rPr>
      </w:pPr>
      <w:r w:rsidRPr="005D4B8C">
        <w:rPr>
          <w:rFonts w:eastAsia="SimSun"/>
          <w:sz w:val="22"/>
          <w:szCs w:val="22"/>
          <w:lang w:val="en-US"/>
        </w:rPr>
        <w:t xml:space="preserve">Minister </w:t>
      </w:r>
      <w:r>
        <w:rPr>
          <w:rFonts w:eastAsia="SimSun"/>
          <w:sz w:val="22"/>
          <w:szCs w:val="22"/>
          <w:lang w:val="en-US"/>
        </w:rPr>
        <w:t>[</w:t>
      </w:r>
      <w:proofErr w:type="spellStart"/>
      <w:r>
        <w:rPr>
          <w:rFonts w:eastAsia="SimSun"/>
          <w:sz w:val="22"/>
          <w:szCs w:val="22"/>
          <w:lang w:val="en-US"/>
        </w:rPr>
        <w:t>Henk</w:t>
      </w:r>
      <w:proofErr w:type="spellEnd"/>
      <w:r>
        <w:rPr>
          <w:rFonts w:eastAsia="SimSun"/>
          <w:sz w:val="22"/>
          <w:szCs w:val="22"/>
          <w:lang w:val="en-US"/>
        </w:rPr>
        <w:t xml:space="preserve">] </w:t>
      </w:r>
      <w:proofErr w:type="spellStart"/>
      <w:r w:rsidRPr="005D4B8C">
        <w:rPr>
          <w:rFonts w:eastAsia="SimSun"/>
          <w:sz w:val="22"/>
          <w:szCs w:val="22"/>
          <w:lang w:val="en-US"/>
        </w:rPr>
        <w:t>Bleker</w:t>
      </w:r>
      <w:proofErr w:type="spellEnd"/>
      <w:r w:rsidRPr="005D4B8C">
        <w:rPr>
          <w:rFonts w:eastAsia="SimSun"/>
          <w:sz w:val="22"/>
          <w:szCs w:val="22"/>
          <w:lang w:val="en-US"/>
        </w:rPr>
        <w:t xml:space="preserve"> has weighed all of the benefits and risks of publication of the avian influenza research, and has especially looked at the freedom of research and publication, health, and safety. He has also taken into consideration insights from national and international experts in the areas of security, health, and research; the positive advice of the U.S. National Science Advisory Board on Biosecurity to the U.S. government about publication of the research; and the U.S. government's decision to follow that advice.</w:t>
      </w:r>
    </w:p>
    <w:p w:rsidR="00666D13" w:rsidRDefault="00666D13" w:rsidP="0051528B">
      <w:pPr>
        <w:spacing w:line="480" w:lineRule="auto"/>
        <w:jc w:val="both"/>
        <w:rPr>
          <w:rStyle w:val="Strong"/>
          <w:b w:val="0"/>
          <w:lang w:val="en-US"/>
        </w:rPr>
      </w:pPr>
    </w:p>
    <w:p w:rsidR="00666D13" w:rsidRPr="00307505" w:rsidRDefault="00666D13" w:rsidP="0051528B">
      <w:pPr>
        <w:spacing w:line="480" w:lineRule="auto"/>
        <w:jc w:val="both"/>
        <w:rPr>
          <w:rStyle w:val="Strong"/>
          <w:b w:val="0"/>
          <w:lang w:val="en-US"/>
        </w:rPr>
      </w:pPr>
      <w:r>
        <w:rPr>
          <w:rStyle w:val="Strong"/>
          <w:b w:val="0"/>
          <w:lang w:val="en-US"/>
        </w:rPr>
        <w:t xml:space="preserve">What, then, were the benefits and risks that the Dutch Government might have considered before deciding to grant </w:t>
      </w:r>
      <w:proofErr w:type="spellStart"/>
      <w:r>
        <w:rPr>
          <w:rStyle w:val="Strong"/>
          <w:b w:val="0"/>
          <w:lang w:val="en-US"/>
        </w:rPr>
        <w:t>Fouchier</w:t>
      </w:r>
      <w:proofErr w:type="spellEnd"/>
      <w:r>
        <w:rPr>
          <w:rStyle w:val="Strong"/>
          <w:b w:val="0"/>
          <w:lang w:val="en-US"/>
        </w:rPr>
        <w:t xml:space="preserve"> an export permit? In March 2012</w:t>
      </w:r>
      <w:r w:rsidRPr="005157DA">
        <w:rPr>
          <w:rStyle w:val="Strong"/>
          <w:b w:val="0"/>
          <w:lang w:val="en-US"/>
        </w:rPr>
        <w:t xml:space="preserve">, when </w:t>
      </w:r>
      <w:r>
        <w:rPr>
          <w:rStyle w:val="Strong"/>
          <w:b w:val="0"/>
          <w:lang w:val="en-US"/>
        </w:rPr>
        <w:t xml:space="preserve">a majority of </w:t>
      </w:r>
      <w:r w:rsidRPr="005157DA">
        <w:rPr>
          <w:rStyle w:val="Strong"/>
          <w:b w:val="0"/>
          <w:lang w:val="en-US"/>
        </w:rPr>
        <w:t xml:space="preserve">NSABB </w:t>
      </w:r>
      <w:r>
        <w:rPr>
          <w:rStyle w:val="Strong"/>
          <w:b w:val="0"/>
          <w:lang w:val="en-US"/>
        </w:rPr>
        <w:t xml:space="preserve">members </w:t>
      </w:r>
      <w:r w:rsidRPr="005157DA">
        <w:rPr>
          <w:rStyle w:val="Strong"/>
          <w:b w:val="0"/>
          <w:lang w:val="en-US"/>
        </w:rPr>
        <w:t xml:space="preserve">recommended the communication in full of </w:t>
      </w:r>
      <w:proofErr w:type="spellStart"/>
      <w:r>
        <w:rPr>
          <w:rStyle w:val="Strong"/>
          <w:b w:val="0"/>
          <w:lang w:val="en-US"/>
        </w:rPr>
        <w:t>Fouchier</w:t>
      </w:r>
      <w:r w:rsidRPr="005157DA">
        <w:rPr>
          <w:rStyle w:val="Strong"/>
          <w:b w:val="0"/>
          <w:lang w:val="en-US"/>
        </w:rPr>
        <w:t>’</w:t>
      </w:r>
      <w:r>
        <w:rPr>
          <w:rStyle w:val="Strong"/>
          <w:b w:val="0"/>
          <w:lang w:val="en-US"/>
        </w:rPr>
        <w:t>s</w:t>
      </w:r>
      <w:proofErr w:type="spellEnd"/>
      <w:r>
        <w:rPr>
          <w:rStyle w:val="Strong"/>
          <w:b w:val="0"/>
          <w:lang w:val="en-US"/>
        </w:rPr>
        <w:t xml:space="preserve"> data, methods and conclusions,</w:t>
      </w:r>
      <w:r w:rsidRPr="005157DA">
        <w:rPr>
          <w:rStyle w:val="Strong"/>
          <w:b w:val="0"/>
          <w:lang w:val="en-US"/>
        </w:rPr>
        <w:t xml:space="preserve"> </w:t>
      </w:r>
      <w:r>
        <w:rPr>
          <w:rStyle w:val="Strong"/>
          <w:b w:val="0"/>
          <w:lang w:val="en-US"/>
        </w:rPr>
        <w:t xml:space="preserve">the benefit of publication </w:t>
      </w:r>
      <w:proofErr w:type="gramStart"/>
      <w:r w:rsidRPr="005157DA">
        <w:rPr>
          <w:rStyle w:val="Strong"/>
          <w:b w:val="0"/>
          <w:lang w:val="en-US"/>
        </w:rPr>
        <w:t>was couched</w:t>
      </w:r>
      <w:proofErr w:type="gramEnd"/>
      <w:r w:rsidRPr="005157DA">
        <w:rPr>
          <w:rStyle w:val="Strong"/>
          <w:b w:val="0"/>
          <w:lang w:val="en-US"/>
        </w:rPr>
        <w:t xml:space="preserve"> in the following terms:</w:t>
      </w:r>
    </w:p>
    <w:p w:rsidR="00666D13" w:rsidRPr="005157DA" w:rsidRDefault="00666D13" w:rsidP="0051528B">
      <w:pPr>
        <w:spacing w:line="480" w:lineRule="auto"/>
        <w:jc w:val="both"/>
        <w:rPr>
          <w:rStyle w:val="Strong"/>
          <w:b w:val="0"/>
          <w:bCs w:val="0"/>
          <w:lang w:val="en-US"/>
        </w:rPr>
      </w:pPr>
    </w:p>
    <w:p w:rsidR="00666D13" w:rsidRPr="005157DA" w:rsidRDefault="00666D13" w:rsidP="0051528B">
      <w:pPr>
        <w:spacing w:line="480" w:lineRule="auto"/>
        <w:ind w:left="720"/>
        <w:jc w:val="both"/>
        <w:rPr>
          <w:rStyle w:val="Strong"/>
          <w:b w:val="0"/>
          <w:bCs w:val="0"/>
          <w:lang w:val="en-US"/>
        </w:rPr>
      </w:pPr>
      <w:r w:rsidRPr="005157DA">
        <w:rPr>
          <w:rStyle w:val="Strong"/>
          <w:b w:val="0"/>
          <w:sz w:val="22"/>
          <w:szCs w:val="22"/>
          <w:lang w:val="en-US"/>
        </w:rPr>
        <w:t xml:space="preserve">New evidence has emerged that underscores the fact that understanding specific </w:t>
      </w:r>
      <w:r w:rsidR="009B7634">
        <w:rPr>
          <w:rStyle w:val="Strong"/>
          <w:b w:val="0"/>
          <w:sz w:val="22"/>
          <w:szCs w:val="22"/>
          <w:lang w:val="en-US"/>
        </w:rPr>
        <w:t xml:space="preserve">[viral] </w:t>
      </w:r>
      <w:r w:rsidRPr="005157DA">
        <w:rPr>
          <w:rStyle w:val="Strong"/>
          <w:b w:val="0"/>
          <w:sz w:val="22"/>
          <w:szCs w:val="22"/>
          <w:lang w:val="en-US"/>
        </w:rPr>
        <w:t xml:space="preserve">mutations may improve international surveillance and public health and safety. Global cooperation, critical for pandemic influenza preparedness efforts, is predicated upon the free sharing of </w:t>
      </w:r>
      <w:proofErr w:type="gramStart"/>
      <w:r w:rsidRPr="005157DA">
        <w:rPr>
          <w:rStyle w:val="Strong"/>
          <w:b w:val="0"/>
          <w:sz w:val="22"/>
          <w:szCs w:val="22"/>
          <w:lang w:val="en-US"/>
        </w:rPr>
        <w:t>information</w:t>
      </w:r>
      <w:r>
        <w:rPr>
          <w:rStyle w:val="Strong"/>
          <w:b w:val="0"/>
          <w:sz w:val="22"/>
          <w:szCs w:val="22"/>
          <w:lang w:val="en-US"/>
        </w:rPr>
        <w:t xml:space="preserve"> ..</w:t>
      </w:r>
      <w:r w:rsidRPr="005157DA">
        <w:rPr>
          <w:rStyle w:val="Strong"/>
          <w:b w:val="0"/>
          <w:sz w:val="22"/>
          <w:szCs w:val="22"/>
          <w:lang w:val="en-US"/>
        </w:rPr>
        <w:t>.</w:t>
      </w:r>
      <w:proofErr w:type="gramEnd"/>
      <w:r w:rsidRPr="005157DA">
        <w:rPr>
          <w:rStyle w:val="FootnoteReference"/>
        </w:rPr>
        <w:footnoteReference w:id="42"/>
      </w:r>
    </w:p>
    <w:p w:rsidR="00666D13" w:rsidRPr="005157DA" w:rsidRDefault="00666D13" w:rsidP="0051528B">
      <w:pPr>
        <w:spacing w:line="480" w:lineRule="auto"/>
        <w:jc w:val="both"/>
        <w:rPr>
          <w:rStyle w:val="Strong"/>
          <w:b w:val="0"/>
          <w:bCs w:val="0"/>
          <w:lang w:val="en-US"/>
        </w:rPr>
      </w:pPr>
    </w:p>
    <w:p w:rsidR="00666D13" w:rsidRPr="005157DA" w:rsidRDefault="00666D13" w:rsidP="0051528B">
      <w:pPr>
        <w:spacing w:line="480" w:lineRule="auto"/>
        <w:jc w:val="both"/>
        <w:rPr>
          <w:lang w:val="en-US"/>
        </w:rPr>
      </w:pPr>
      <w:r>
        <w:rPr>
          <w:lang w:val="en-US"/>
        </w:rPr>
        <w:lastRenderedPageBreak/>
        <w:t xml:space="preserve">Around this time, several of </w:t>
      </w:r>
      <w:proofErr w:type="spellStart"/>
      <w:r>
        <w:rPr>
          <w:lang w:val="en-US"/>
        </w:rPr>
        <w:t>Fouchier’s</w:t>
      </w:r>
      <w:proofErr w:type="spellEnd"/>
      <w:r>
        <w:rPr>
          <w:lang w:val="en-US"/>
        </w:rPr>
        <w:t xml:space="preserve"> colleagues publicly emphasized the importance of </w:t>
      </w:r>
      <w:proofErr w:type="gramStart"/>
      <w:r>
        <w:rPr>
          <w:lang w:val="en-US"/>
        </w:rPr>
        <w:t>information-sharing</w:t>
      </w:r>
      <w:proofErr w:type="gramEnd"/>
      <w:r>
        <w:rPr>
          <w:lang w:val="en-US"/>
        </w:rPr>
        <w:t xml:space="preserve"> for disease surveillance and vaccine-testing purposes,</w:t>
      </w:r>
      <w:r>
        <w:rPr>
          <w:rStyle w:val="FootnoteReference"/>
          <w:bCs/>
          <w:lang w:val="en-US"/>
        </w:rPr>
        <w:footnoteReference w:id="43"/>
      </w:r>
      <w:r>
        <w:rPr>
          <w:lang w:val="en-US"/>
        </w:rPr>
        <w:t xml:space="preserve"> and </w:t>
      </w:r>
      <w:proofErr w:type="spellStart"/>
      <w:r>
        <w:rPr>
          <w:lang w:val="en-US"/>
        </w:rPr>
        <w:t>Fouchier</w:t>
      </w:r>
      <w:proofErr w:type="spellEnd"/>
      <w:r>
        <w:rPr>
          <w:lang w:val="en-US"/>
        </w:rPr>
        <w:t xml:space="preserve"> himself had previously argued in a televised</w:t>
      </w:r>
      <w:r w:rsidRPr="005157DA">
        <w:rPr>
          <w:lang w:val="en-US"/>
        </w:rPr>
        <w:t xml:space="preserve"> interview: </w:t>
      </w:r>
    </w:p>
    <w:p w:rsidR="00666D13" w:rsidRPr="005157DA" w:rsidRDefault="00666D13" w:rsidP="0051528B">
      <w:pPr>
        <w:spacing w:line="480" w:lineRule="auto"/>
        <w:jc w:val="both"/>
        <w:rPr>
          <w:lang w:val="en-US"/>
        </w:rPr>
      </w:pPr>
    </w:p>
    <w:p w:rsidR="00666D13" w:rsidRPr="005157DA" w:rsidRDefault="00666D13" w:rsidP="0051528B">
      <w:pPr>
        <w:spacing w:line="480" w:lineRule="auto"/>
        <w:ind w:left="720"/>
        <w:jc w:val="both"/>
        <w:rPr>
          <w:lang w:val="en-US"/>
        </w:rPr>
      </w:pPr>
      <w:r w:rsidRPr="005157DA">
        <w:rPr>
          <w:sz w:val="22"/>
          <w:szCs w:val="22"/>
          <w:lang w:val="en-US"/>
        </w:rPr>
        <w:t xml:space="preserve">We have to be prepared for such viruses to emerge in the wild. If we would detect these viruses out in the field, then we could go out to outbreak areas and try to eradicate the virus and prevent a pandemic from happening. If that would fail, </w:t>
      </w:r>
      <w:proofErr w:type="gramStart"/>
      <w:r w:rsidRPr="005157DA">
        <w:rPr>
          <w:sz w:val="22"/>
          <w:szCs w:val="22"/>
          <w:lang w:val="en-US"/>
        </w:rPr>
        <w:t>then</w:t>
      </w:r>
      <w:proofErr w:type="gramEnd"/>
      <w:r w:rsidRPr="005157DA">
        <w:rPr>
          <w:sz w:val="22"/>
          <w:szCs w:val="22"/>
          <w:lang w:val="en-US"/>
        </w:rPr>
        <w:t xml:space="preserve"> we would still be in a good position to, ahead of that pandemic, evaluate our vaccines and anti-viral drugs and therefore gain months of time if a pandemic would hit and therefore we would be able to handle it better.</w:t>
      </w:r>
      <w:r w:rsidRPr="005157DA">
        <w:rPr>
          <w:rStyle w:val="FootnoteReference"/>
        </w:rPr>
        <w:footnoteReference w:id="44"/>
      </w:r>
      <w:r w:rsidRPr="005157DA">
        <w:rPr>
          <w:lang w:val="en-US"/>
        </w:rPr>
        <w:t xml:space="preserve"> </w:t>
      </w:r>
    </w:p>
    <w:p w:rsidR="00666D13" w:rsidRPr="005157DA" w:rsidRDefault="00666D13" w:rsidP="0051528B">
      <w:pPr>
        <w:spacing w:line="480" w:lineRule="auto"/>
        <w:jc w:val="both"/>
        <w:rPr>
          <w:rStyle w:val="Strong"/>
          <w:b w:val="0"/>
          <w:bCs w:val="0"/>
          <w:lang w:val="en-US"/>
        </w:rPr>
      </w:pPr>
    </w:p>
    <w:p w:rsidR="00666D13" w:rsidRDefault="00666D13" w:rsidP="0051528B">
      <w:pPr>
        <w:spacing w:line="480" w:lineRule="auto"/>
        <w:jc w:val="both"/>
        <w:rPr>
          <w:rStyle w:val="Strong"/>
          <w:b w:val="0"/>
          <w:lang w:val="en-US"/>
        </w:rPr>
      </w:pPr>
      <w:r>
        <w:rPr>
          <w:rStyle w:val="Strong"/>
          <w:b w:val="0"/>
          <w:lang w:val="en-US"/>
        </w:rPr>
        <w:t>However, t</w:t>
      </w:r>
      <w:r w:rsidRPr="005157DA">
        <w:rPr>
          <w:rStyle w:val="Strong"/>
          <w:b w:val="0"/>
          <w:lang w:val="en-US"/>
        </w:rPr>
        <w:t xml:space="preserve">he </w:t>
      </w:r>
      <w:r>
        <w:rPr>
          <w:rStyle w:val="Strong"/>
          <w:b w:val="0"/>
          <w:lang w:val="en-US"/>
        </w:rPr>
        <w:t xml:space="preserve">public health </w:t>
      </w:r>
      <w:r w:rsidRPr="005157DA">
        <w:rPr>
          <w:rStyle w:val="Strong"/>
          <w:b w:val="0"/>
          <w:lang w:val="en-US"/>
        </w:rPr>
        <w:t xml:space="preserve">benefit of </w:t>
      </w:r>
      <w:r>
        <w:rPr>
          <w:rStyle w:val="Strong"/>
          <w:b w:val="0"/>
          <w:lang w:val="en-US"/>
        </w:rPr>
        <w:t xml:space="preserve">publishing research findings on influenza virus mutation </w:t>
      </w:r>
      <w:proofErr w:type="gramStart"/>
      <w:r>
        <w:rPr>
          <w:rStyle w:val="Strong"/>
          <w:b w:val="0"/>
          <w:lang w:val="en-US"/>
        </w:rPr>
        <w:t>is diminished</w:t>
      </w:r>
      <w:proofErr w:type="gramEnd"/>
      <w:r>
        <w:rPr>
          <w:rStyle w:val="Strong"/>
          <w:b w:val="0"/>
          <w:lang w:val="en-US"/>
        </w:rPr>
        <w:t xml:space="preserve"> if, in practice, systemic problems deny the theoretical opportunity to </w:t>
      </w:r>
      <w:r w:rsidRPr="005157DA">
        <w:rPr>
          <w:rStyle w:val="Strong"/>
          <w:b w:val="0"/>
          <w:lang w:val="en-US"/>
        </w:rPr>
        <w:t xml:space="preserve">“prevent a pandemic from happening”. </w:t>
      </w:r>
      <w:r w:rsidRPr="005157DA">
        <w:rPr>
          <w:lang w:val="en-US"/>
        </w:rPr>
        <w:t xml:space="preserve">On the issue of translating scientific discovery into </w:t>
      </w:r>
      <w:r>
        <w:rPr>
          <w:lang w:val="en-US"/>
        </w:rPr>
        <w:t>actual</w:t>
      </w:r>
      <w:r w:rsidRPr="005157DA">
        <w:rPr>
          <w:lang w:val="en-US"/>
        </w:rPr>
        <w:t xml:space="preserve"> benefit, </w:t>
      </w:r>
      <w:r>
        <w:rPr>
          <w:lang w:val="en-US"/>
        </w:rPr>
        <w:t xml:space="preserve">a minority of the </w:t>
      </w:r>
      <w:r w:rsidRPr="005157DA">
        <w:rPr>
          <w:lang w:val="en-US"/>
        </w:rPr>
        <w:t xml:space="preserve">NSABB members </w:t>
      </w:r>
      <w:r>
        <w:rPr>
          <w:lang w:val="en-US"/>
        </w:rPr>
        <w:t>who met in</w:t>
      </w:r>
      <w:r w:rsidRPr="005157DA">
        <w:rPr>
          <w:lang w:val="en-US"/>
        </w:rPr>
        <w:t xml:space="preserve"> March 2012 concluded that “the current </w:t>
      </w:r>
      <w:r>
        <w:rPr>
          <w:lang w:val="en-US"/>
        </w:rPr>
        <w:t xml:space="preserve">[disease] </w:t>
      </w:r>
      <w:r w:rsidRPr="005157DA">
        <w:rPr>
          <w:lang w:val="en-US"/>
        </w:rPr>
        <w:t>surveillance infrastructure is ill-equipped to detect the emergence of highly transmissible influenza viruses in real time prior t</w:t>
      </w:r>
      <w:r>
        <w:rPr>
          <w:lang w:val="en-US"/>
        </w:rPr>
        <w:t>o their dissemination in nature</w:t>
      </w:r>
      <w:r w:rsidRPr="005157DA">
        <w:rPr>
          <w:lang w:val="en-US"/>
        </w:rPr>
        <w:t>”</w:t>
      </w:r>
      <w:r>
        <w:rPr>
          <w:lang w:val="en-US"/>
        </w:rPr>
        <w:t>.</w:t>
      </w:r>
      <w:r w:rsidRPr="005157DA">
        <w:rPr>
          <w:rStyle w:val="FootnoteReference"/>
        </w:rPr>
        <w:footnoteReference w:id="45"/>
      </w:r>
      <w:r w:rsidRPr="005157DA">
        <w:rPr>
          <w:lang w:val="en-US"/>
        </w:rPr>
        <w:t xml:space="preserve"> </w:t>
      </w:r>
      <w:r>
        <w:rPr>
          <w:lang w:val="en-US"/>
        </w:rPr>
        <w:t xml:space="preserve">NSABB </w:t>
      </w:r>
      <w:proofErr w:type="gramStart"/>
      <w:r w:rsidRPr="005157DA">
        <w:rPr>
          <w:rStyle w:val="Strong"/>
          <w:b w:val="0"/>
          <w:lang w:val="en-US"/>
        </w:rPr>
        <w:t>chair</w:t>
      </w:r>
      <w:r>
        <w:rPr>
          <w:rStyle w:val="Strong"/>
          <w:b w:val="0"/>
          <w:lang w:val="en-US"/>
        </w:rPr>
        <w:t>man</w:t>
      </w:r>
      <w:proofErr w:type="gramEnd"/>
      <w:r w:rsidRPr="005157DA">
        <w:rPr>
          <w:rStyle w:val="Strong"/>
          <w:b w:val="0"/>
          <w:lang w:val="en-US"/>
        </w:rPr>
        <w:t xml:space="preserve"> Paul </w:t>
      </w:r>
      <w:proofErr w:type="spellStart"/>
      <w:r w:rsidRPr="005157DA">
        <w:rPr>
          <w:rStyle w:val="Strong"/>
          <w:b w:val="0"/>
          <w:lang w:val="en-US"/>
        </w:rPr>
        <w:t>Keim</w:t>
      </w:r>
      <w:proofErr w:type="spellEnd"/>
      <w:r w:rsidRPr="005157DA">
        <w:rPr>
          <w:rStyle w:val="Strong"/>
          <w:b w:val="0"/>
          <w:lang w:val="en-US"/>
        </w:rPr>
        <w:t xml:space="preserve"> </w:t>
      </w:r>
      <w:r>
        <w:rPr>
          <w:rStyle w:val="Strong"/>
          <w:b w:val="0"/>
          <w:lang w:val="en-US"/>
        </w:rPr>
        <w:t xml:space="preserve">had earlier </w:t>
      </w:r>
      <w:r w:rsidRPr="00367CF4">
        <w:rPr>
          <w:rStyle w:val="Strong"/>
          <w:b w:val="0"/>
          <w:lang w:val="en-US"/>
        </w:rPr>
        <w:t xml:space="preserve">observed: </w:t>
      </w:r>
    </w:p>
    <w:p w:rsidR="00666D13" w:rsidRDefault="00666D13" w:rsidP="0051528B">
      <w:pPr>
        <w:spacing w:line="480" w:lineRule="auto"/>
        <w:jc w:val="both"/>
        <w:rPr>
          <w:rStyle w:val="Strong"/>
          <w:b w:val="0"/>
          <w:lang w:val="en-US"/>
        </w:rPr>
      </w:pPr>
    </w:p>
    <w:p w:rsidR="00666D13" w:rsidRDefault="00666D13" w:rsidP="0051528B">
      <w:pPr>
        <w:spacing w:line="480" w:lineRule="auto"/>
        <w:ind w:left="720"/>
        <w:jc w:val="both"/>
        <w:rPr>
          <w:lang w:val="en-US"/>
        </w:rPr>
      </w:pPr>
      <w:proofErr w:type="gramStart"/>
      <w:r w:rsidRPr="0055214A">
        <w:rPr>
          <w:rStyle w:val="Strong"/>
          <w:b w:val="0"/>
          <w:bCs w:val="0"/>
          <w:sz w:val="22"/>
          <w:szCs w:val="22"/>
          <w:lang w:val="en-US"/>
        </w:rPr>
        <w:lastRenderedPageBreak/>
        <w:t>I’m</w:t>
      </w:r>
      <w:proofErr w:type="gramEnd"/>
      <w:r w:rsidRPr="0055214A">
        <w:rPr>
          <w:rStyle w:val="Strong"/>
          <w:b w:val="0"/>
          <w:bCs w:val="0"/>
          <w:sz w:val="22"/>
          <w:szCs w:val="22"/>
          <w:lang w:val="en-US"/>
        </w:rPr>
        <w:t xml:space="preserve"> not confident at all that we have the surveillance capability to spot an emerging virus in time to stop it. </w:t>
      </w:r>
      <w:proofErr w:type="gramStart"/>
      <w:r w:rsidRPr="0055214A">
        <w:rPr>
          <w:rStyle w:val="Strong"/>
          <w:b w:val="0"/>
          <w:bCs w:val="0"/>
          <w:sz w:val="22"/>
          <w:szCs w:val="22"/>
          <w:lang w:val="en-US"/>
        </w:rPr>
        <w:t>And</w:t>
      </w:r>
      <w:proofErr w:type="gramEnd"/>
      <w:r w:rsidRPr="0055214A">
        <w:rPr>
          <w:rStyle w:val="Strong"/>
          <w:b w:val="0"/>
          <w:bCs w:val="0"/>
          <w:sz w:val="22"/>
          <w:szCs w:val="22"/>
          <w:lang w:val="en-US"/>
        </w:rPr>
        <w:t xml:space="preserve"> </w:t>
      </w:r>
      <w:r w:rsidRPr="0055214A">
        <w:rPr>
          <w:rStyle w:val="Strong"/>
          <w:b w:val="0"/>
          <w:sz w:val="22"/>
          <w:szCs w:val="22"/>
          <w:lang w:val="en-US"/>
        </w:rPr>
        <w:t xml:space="preserve">even if we did spot it early on, I don’t think we have sufficient vaccines. The vaccines </w:t>
      </w:r>
      <w:proofErr w:type="gramStart"/>
      <w:r w:rsidRPr="0055214A">
        <w:rPr>
          <w:rStyle w:val="Strong"/>
          <w:b w:val="0"/>
          <w:sz w:val="22"/>
          <w:szCs w:val="22"/>
          <w:lang w:val="en-US"/>
        </w:rPr>
        <w:t>aren’t</w:t>
      </w:r>
      <w:proofErr w:type="gramEnd"/>
      <w:r w:rsidRPr="0055214A">
        <w:rPr>
          <w:rStyle w:val="Strong"/>
          <w:b w:val="0"/>
          <w:sz w:val="22"/>
          <w:szCs w:val="22"/>
          <w:lang w:val="en-US"/>
        </w:rPr>
        <w:t xml:space="preserve"> good enough, and the drugs are not good enough to stop this emerging and being a pandemic.</w:t>
      </w:r>
      <w:r w:rsidRPr="005157DA">
        <w:rPr>
          <w:rStyle w:val="FootnoteReference"/>
        </w:rPr>
        <w:footnoteReference w:id="46"/>
      </w:r>
      <w:r>
        <w:rPr>
          <w:lang w:val="en-US"/>
        </w:rPr>
        <w:t xml:space="preserve"> </w:t>
      </w:r>
    </w:p>
    <w:p w:rsidR="00666D13" w:rsidRDefault="00666D13" w:rsidP="0051528B">
      <w:pPr>
        <w:spacing w:line="480" w:lineRule="auto"/>
        <w:jc w:val="both"/>
        <w:rPr>
          <w:lang w:val="en-US"/>
        </w:rPr>
      </w:pPr>
    </w:p>
    <w:p w:rsidR="00666D13" w:rsidRDefault="00666D13" w:rsidP="0051528B">
      <w:pPr>
        <w:spacing w:line="480" w:lineRule="auto"/>
        <w:jc w:val="both"/>
      </w:pPr>
      <w:r>
        <w:t>The message here seemed</w:t>
      </w:r>
      <w:r w:rsidRPr="005157DA">
        <w:t xml:space="preserve"> to be that the benefit of publication—to inform scientists worldwide of a discovery</w:t>
      </w:r>
      <w:r>
        <w:t xml:space="preserve"> about H5N1 influenza virus</w:t>
      </w:r>
      <w:r w:rsidRPr="005157DA">
        <w:t xml:space="preserve">—is dependent upon the degree to which the information </w:t>
      </w:r>
      <w:proofErr w:type="gramStart"/>
      <w:r w:rsidRPr="005157DA">
        <w:t>can</w:t>
      </w:r>
      <w:r>
        <w:t xml:space="preserve"> then</w:t>
      </w:r>
      <w:r w:rsidRPr="005157DA">
        <w:t xml:space="preserve"> be exploited</w:t>
      </w:r>
      <w:proofErr w:type="gramEnd"/>
      <w:r w:rsidRPr="005157DA">
        <w:t xml:space="preserve"> </w:t>
      </w:r>
      <w:r>
        <w:t xml:space="preserve">in a timely fashion </w:t>
      </w:r>
      <w:r w:rsidRPr="005157DA">
        <w:t xml:space="preserve">by public-health practitioners. </w:t>
      </w:r>
      <w:r>
        <w:t>I</w:t>
      </w:r>
      <w:r w:rsidRPr="005157DA">
        <w:t xml:space="preserve">f the prospect of beneficial application of published findings is </w:t>
      </w:r>
      <w:r>
        <w:t>slim</w:t>
      </w:r>
      <w:r w:rsidRPr="005157DA">
        <w:t xml:space="preserve">, it is harder to claim that any risk associated with publication is outweighed. </w:t>
      </w:r>
    </w:p>
    <w:p w:rsidR="00666D13" w:rsidRDefault="00666D13" w:rsidP="0051528B">
      <w:pPr>
        <w:spacing w:line="480" w:lineRule="auto"/>
        <w:jc w:val="both"/>
      </w:pPr>
    </w:p>
    <w:p w:rsidR="00666D13" w:rsidRPr="003C4A61" w:rsidRDefault="00666D13" w:rsidP="0051528B">
      <w:pPr>
        <w:spacing w:line="480" w:lineRule="auto"/>
        <w:jc w:val="both"/>
        <w:rPr>
          <w:lang w:val="en-US"/>
        </w:rPr>
      </w:pPr>
      <w:r>
        <w:t xml:space="preserve">One such risk relates to laboratory biosafety. Even if it was sufficiently safe for </w:t>
      </w:r>
      <w:proofErr w:type="spellStart"/>
      <w:r>
        <w:t>Fouchier’s</w:t>
      </w:r>
      <w:proofErr w:type="spellEnd"/>
      <w:r>
        <w:t xml:space="preserve"> team to conduct their H5N1 experiment inside the EMC in Rotterdam, the same work done (using a published methodology) in less well-managed laboratories </w:t>
      </w:r>
      <w:r w:rsidR="009B7634">
        <w:t xml:space="preserve">elsewhere in the world </w:t>
      </w:r>
      <w:r>
        <w:t xml:space="preserve">might carry a greater risk of an unintentional release of the mutated virus. According to </w:t>
      </w:r>
      <w:r w:rsidRPr="00966FE5">
        <w:rPr>
          <w:lang w:val="en-US"/>
        </w:rPr>
        <w:t xml:space="preserve">Marc </w:t>
      </w:r>
      <w:proofErr w:type="spellStart"/>
      <w:r w:rsidRPr="00966FE5">
        <w:rPr>
          <w:lang w:val="en-US"/>
        </w:rPr>
        <w:t>Lipsitch</w:t>
      </w:r>
      <w:proofErr w:type="spellEnd"/>
      <w:r w:rsidRPr="00966FE5">
        <w:rPr>
          <w:lang w:val="en-US"/>
        </w:rPr>
        <w:t xml:space="preserve"> and Alison Galvani</w:t>
      </w:r>
      <w:r>
        <w:rPr>
          <w:lang w:val="en-US"/>
        </w:rPr>
        <w:t xml:space="preserve">, the </w:t>
      </w:r>
      <w:r w:rsidRPr="00966FE5">
        <w:rPr>
          <w:lang w:val="en-US"/>
        </w:rPr>
        <w:t xml:space="preserve">likelihood of a scientist </w:t>
      </w:r>
      <w:r>
        <w:rPr>
          <w:lang w:val="en-US"/>
        </w:rPr>
        <w:t xml:space="preserve">somewhere </w:t>
      </w:r>
      <w:proofErr w:type="gramStart"/>
      <w:r w:rsidRPr="00966FE5">
        <w:rPr>
          <w:lang w:val="en-US"/>
        </w:rPr>
        <w:t>being infected</w:t>
      </w:r>
      <w:proofErr w:type="gramEnd"/>
      <w:r w:rsidRPr="00966FE5">
        <w:rPr>
          <w:lang w:val="en-US"/>
        </w:rPr>
        <w:t xml:space="preserve"> accidentally, for example, </w:t>
      </w:r>
      <w:r>
        <w:rPr>
          <w:lang w:val="en-US"/>
        </w:rPr>
        <w:t>approaches</w:t>
      </w:r>
      <w:r w:rsidRPr="00966FE5">
        <w:rPr>
          <w:lang w:val="en-US"/>
        </w:rPr>
        <w:t xml:space="preserve"> 20 percent over a 10-year period</w:t>
      </w:r>
      <w:r>
        <w:rPr>
          <w:lang w:val="en-US"/>
        </w:rPr>
        <w:t>.</w:t>
      </w:r>
      <w:r w:rsidRPr="00966FE5">
        <w:rPr>
          <w:rStyle w:val="FootnoteReference"/>
          <w:lang w:val="en-US"/>
        </w:rPr>
        <w:footnoteReference w:id="47"/>
      </w:r>
      <w:r>
        <w:rPr>
          <w:lang w:val="en-US"/>
        </w:rPr>
        <w:t xml:space="preserve"> </w:t>
      </w:r>
      <w:proofErr w:type="spellStart"/>
      <w:r w:rsidRPr="00966FE5">
        <w:rPr>
          <w:lang w:val="en-US"/>
        </w:rPr>
        <w:t>Fouchier</w:t>
      </w:r>
      <w:proofErr w:type="spellEnd"/>
      <w:r w:rsidRPr="00966FE5">
        <w:rPr>
          <w:lang w:val="en-US"/>
        </w:rPr>
        <w:t xml:space="preserve"> </w:t>
      </w:r>
      <w:r>
        <w:rPr>
          <w:lang w:val="en-US"/>
        </w:rPr>
        <w:t xml:space="preserve">has </w:t>
      </w:r>
      <w:r w:rsidRPr="00966FE5">
        <w:rPr>
          <w:lang w:val="en-US"/>
        </w:rPr>
        <w:t>insisted that “scientific research has never triggered a virus pandemic”,</w:t>
      </w:r>
      <w:r w:rsidRPr="00966FE5">
        <w:rPr>
          <w:rStyle w:val="FootnoteReference"/>
          <w:lang w:val="en-US"/>
        </w:rPr>
        <w:footnoteReference w:id="48"/>
      </w:r>
      <w:r w:rsidRPr="00966FE5">
        <w:rPr>
          <w:lang w:val="en-US"/>
        </w:rPr>
        <w:t xml:space="preserve"> </w:t>
      </w:r>
      <w:r>
        <w:rPr>
          <w:lang w:val="en-US"/>
        </w:rPr>
        <w:t xml:space="preserve">but accidental </w:t>
      </w:r>
      <w:r w:rsidRPr="00966FE5">
        <w:rPr>
          <w:lang w:val="en-US"/>
        </w:rPr>
        <w:t>infections</w:t>
      </w:r>
      <w:r>
        <w:rPr>
          <w:lang w:val="en-US"/>
        </w:rPr>
        <w:t xml:space="preserve"> (</w:t>
      </w:r>
      <w:r w:rsidRPr="00966FE5">
        <w:rPr>
          <w:lang w:val="en-US"/>
        </w:rPr>
        <w:t xml:space="preserve">such </w:t>
      </w:r>
      <w:r w:rsidRPr="00966FE5">
        <w:rPr>
          <w:lang w:val="en-US"/>
        </w:rPr>
        <w:lastRenderedPageBreak/>
        <w:t xml:space="preserve">as with the SARS </w:t>
      </w:r>
      <w:r>
        <w:rPr>
          <w:lang w:val="en-US"/>
        </w:rPr>
        <w:t>virus)</w:t>
      </w:r>
      <w:r w:rsidRPr="00966FE5">
        <w:rPr>
          <w:lang w:val="en-US"/>
        </w:rPr>
        <w:t xml:space="preserve"> have </w:t>
      </w:r>
      <w:r>
        <w:rPr>
          <w:lang w:val="en-US"/>
        </w:rPr>
        <w:t>gone undetected before.</w:t>
      </w:r>
      <w:r w:rsidRPr="00966FE5">
        <w:rPr>
          <w:rStyle w:val="FootnoteReference"/>
          <w:lang w:val="en-US"/>
        </w:rPr>
        <w:footnoteReference w:id="49"/>
      </w:r>
      <w:r>
        <w:rPr>
          <w:lang w:val="en-US"/>
        </w:rPr>
        <w:t xml:space="preserve"> In addition, there is the risk of deliberate, harmful application of intangible technology. Thus another probable consideration for the Dutch Government’s risk assessors was whether scientists other than those working in </w:t>
      </w:r>
      <w:proofErr w:type="spellStart"/>
      <w:r>
        <w:rPr>
          <w:lang w:val="en-US"/>
        </w:rPr>
        <w:t>Fouchier’s</w:t>
      </w:r>
      <w:proofErr w:type="spellEnd"/>
      <w:r>
        <w:rPr>
          <w:lang w:val="en-US"/>
        </w:rPr>
        <w:t xml:space="preserve"> laboratory really could achieve possession of his mutated H5N1 virus simply by following a published procedure for creating it. That is, to what extent (if at all) would publication increase the accessibility of this organism? In 2002, w</w:t>
      </w:r>
      <w:r w:rsidRPr="005157DA">
        <w:rPr>
          <w:lang w:val="en-US"/>
        </w:rPr>
        <w:t xml:space="preserve">hen </w:t>
      </w:r>
      <w:proofErr w:type="spellStart"/>
      <w:r w:rsidRPr="005157DA">
        <w:rPr>
          <w:lang w:val="en-US"/>
        </w:rPr>
        <w:t>Eckard</w:t>
      </w:r>
      <w:proofErr w:type="spellEnd"/>
      <w:r w:rsidRPr="005157DA">
        <w:rPr>
          <w:lang w:val="en-US"/>
        </w:rPr>
        <w:t xml:space="preserve"> </w:t>
      </w:r>
      <w:proofErr w:type="spellStart"/>
      <w:r w:rsidRPr="005157DA">
        <w:rPr>
          <w:lang w:val="en-US"/>
        </w:rPr>
        <w:t>Wimmer’s</w:t>
      </w:r>
      <w:proofErr w:type="spellEnd"/>
      <w:r w:rsidRPr="005157DA">
        <w:rPr>
          <w:lang w:val="en-US"/>
        </w:rPr>
        <w:t xml:space="preserve"> te</w:t>
      </w:r>
      <w:r>
        <w:rPr>
          <w:lang w:val="en-US"/>
        </w:rPr>
        <w:t xml:space="preserve">am in the United States published their </w:t>
      </w:r>
      <w:proofErr w:type="gramStart"/>
      <w:r>
        <w:rPr>
          <w:lang w:val="en-US"/>
        </w:rPr>
        <w:t>polio virus</w:t>
      </w:r>
      <w:proofErr w:type="gramEnd"/>
      <w:r w:rsidRPr="005157DA">
        <w:rPr>
          <w:lang w:val="en-US"/>
        </w:rPr>
        <w:t xml:space="preserve"> synthesis technique, this did not </w:t>
      </w:r>
      <w:r>
        <w:rPr>
          <w:lang w:val="en-US"/>
        </w:rPr>
        <w:t xml:space="preserve">greatly </w:t>
      </w:r>
      <w:r w:rsidRPr="005157DA">
        <w:rPr>
          <w:lang w:val="en-US"/>
        </w:rPr>
        <w:t xml:space="preserve">increase accessibility to </w:t>
      </w:r>
      <w:r w:rsidRPr="00954326">
        <w:rPr>
          <w:lang w:val="en-US"/>
        </w:rPr>
        <w:t>that</w:t>
      </w:r>
      <w:r w:rsidRPr="005157DA">
        <w:rPr>
          <w:lang w:val="en-US"/>
        </w:rPr>
        <w:t xml:space="preserve"> organism. As one of </w:t>
      </w:r>
      <w:proofErr w:type="spellStart"/>
      <w:r w:rsidRPr="005157DA">
        <w:rPr>
          <w:lang w:val="en-US"/>
        </w:rPr>
        <w:t>Wimmer’s</w:t>
      </w:r>
      <w:proofErr w:type="spellEnd"/>
      <w:r w:rsidRPr="005157DA">
        <w:rPr>
          <w:lang w:val="en-US"/>
        </w:rPr>
        <w:t xml:space="preserve"> </w:t>
      </w:r>
      <w:r>
        <w:rPr>
          <w:lang w:val="en-US"/>
        </w:rPr>
        <w:t>colleagues</w:t>
      </w:r>
      <w:r w:rsidRPr="005157DA">
        <w:rPr>
          <w:lang w:val="en-US"/>
        </w:rPr>
        <w:t xml:space="preserve">, </w:t>
      </w:r>
      <w:proofErr w:type="spellStart"/>
      <w:r w:rsidRPr="005157DA">
        <w:t>Aniko</w:t>
      </w:r>
      <w:proofErr w:type="spellEnd"/>
      <w:r w:rsidRPr="005157DA">
        <w:t xml:space="preserve"> Paul,</w:t>
      </w:r>
      <w:r w:rsidRPr="005157DA">
        <w:rPr>
          <w:lang w:val="en-US"/>
        </w:rPr>
        <w:t xml:space="preserve"> </w:t>
      </w:r>
      <w:r>
        <w:rPr>
          <w:lang w:val="en-US"/>
        </w:rPr>
        <w:t>later</w:t>
      </w:r>
      <w:r w:rsidRPr="005157DA">
        <w:rPr>
          <w:lang w:val="en-US"/>
        </w:rPr>
        <w:t xml:space="preserve"> explained: </w:t>
      </w:r>
      <w:r w:rsidRPr="005157DA">
        <w:t>“For terrorists, it would have made no sense to start putting this virus together because they already had an ample supply of poliovirus available. Polio is present in old medical samples that are stored in freezers, and it can still be bought from suppliers.”</w:t>
      </w:r>
      <w:r w:rsidRPr="005157DA">
        <w:rPr>
          <w:rStyle w:val="FootnoteReference"/>
        </w:rPr>
        <w:footnoteReference w:id="50"/>
      </w:r>
      <w:r w:rsidRPr="005157DA">
        <w:t xml:space="preserve"> By contrast, a human-to-human transmissible H5N1 virus </w:t>
      </w:r>
      <w:proofErr w:type="gramStart"/>
      <w:r w:rsidR="007768F6">
        <w:t>was not known</w:t>
      </w:r>
      <w:proofErr w:type="gramEnd"/>
      <w:r w:rsidR="007768F6">
        <w:t xml:space="preserve"> to exist anywhere prior to 2011</w:t>
      </w:r>
      <w:r w:rsidRPr="005157DA">
        <w:rPr>
          <w:lang w:val="en-US"/>
        </w:rPr>
        <w:t xml:space="preserve"> </w:t>
      </w:r>
      <w:r w:rsidR="007768F6">
        <w:rPr>
          <w:lang w:val="en-US"/>
        </w:rPr>
        <w:t xml:space="preserve">when one was created in Rotterdam, </w:t>
      </w:r>
      <w:r>
        <w:t>so</w:t>
      </w:r>
      <w:r w:rsidRPr="005157DA">
        <w:t xml:space="preserve"> information on how to </w:t>
      </w:r>
      <w:r w:rsidR="007768F6">
        <w:t xml:space="preserve">do this appeared to be a critical </w:t>
      </w:r>
      <w:r w:rsidRPr="005157DA">
        <w:t xml:space="preserve">determinant of access. </w:t>
      </w:r>
    </w:p>
    <w:p w:rsidR="00666D13" w:rsidRDefault="00666D13" w:rsidP="0051528B">
      <w:pPr>
        <w:spacing w:line="480" w:lineRule="auto"/>
        <w:jc w:val="both"/>
      </w:pPr>
    </w:p>
    <w:p w:rsidR="00666D13" w:rsidRPr="003C4A61" w:rsidRDefault="00666D13" w:rsidP="0051528B">
      <w:pPr>
        <w:spacing w:line="480" w:lineRule="auto"/>
        <w:jc w:val="both"/>
        <w:rPr>
          <w:bCs/>
          <w:lang w:val="en-US"/>
        </w:rPr>
      </w:pPr>
      <w:r>
        <w:rPr>
          <w:lang w:val="en-US"/>
        </w:rPr>
        <w:t>T</w:t>
      </w:r>
      <w:r w:rsidRPr="005157DA">
        <w:rPr>
          <w:lang w:val="en-US"/>
        </w:rPr>
        <w:t xml:space="preserve">he </w:t>
      </w:r>
      <w:r>
        <w:rPr>
          <w:lang w:val="en-US"/>
        </w:rPr>
        <w:t>view of a minority of NSABB members</w:t>
      </w:r>
      <w:r w:rsidRPr="005157DA">
        <w:rPr>
          <w:lang w:val="en-US"/>
        </w:rPr>
        <w:t xml:space="preserve"> </w:t>
      </w:r>
      <w:r>
        <w:rPr>
          <w:lang w:val="en-US"/>
        </w:rPr>
        <w:t xml:space="preserve">in March 2012 </w:t>
      </w:r>
      <w:r w:rsidRPr="005157DA">
        <w:rPr>
          <w:lang w:val="en-US"/>
        </w:rPr>
        <w:t xml:space="preserve">was that “the revised </w:t>
      </w:r>
      <w:proofErr w:type="spellStart"/>
      <w:r w:rsidRPr="005157DA">
        <w:rPr>
          <w:lang w:val="en-US"/>
        </w:rPr>
        <w:t>Fouchier</w:t>
      </w:r>
      <w:proofErr w:type="spellEnd"/>
      <w:r w:rsidRPr="005157DA">
        <w:rPr>
          <w:lang w:val="en-US"/>
        </w:rPr>
        <w:t xml:space="preserve"> manuscript provides information that would enable the near-term misuse of the research in ways that would endanger public health or national security”.</w:t>
      </w:r>
      <w:r w:rsidRPr="005157DA">
        <w:rPr>
          <w:rStyle w:val="FootnoteReference"/>
        </w:rPr>
        <w:footnoteReference w:id="51"/>
      </w:r>
      <w:r w:rsidRPr="005157DA">
        <w:rPr>
          <w:lang w:val="en-US"/>
        </w:rPr>
        <w:t xml:space="preserve"> </w:t>
      </w:r>
      <w:r>
        <w:rPr>
          <w:lang w:val="en-US"/>
        </w:rPr>
        <w:t xml:space="preserve">As one </w:t>
      </w:r>
      <w:r>
        <w:rPr>
          <w:rStyle w:val="Strong"/>
          <w:b w:val="0"/>
          <w:lang w:val="en-US"/>
        </w:rPr>
        <w:t xml:space="preserve">NSABB member, Michael </w:t>
      </w:r>
      <w:proofErr w:type="spellStart"/>
      <w:r w:rsidRPr="004C7B32">
        <w:rPr>
          <w:rStyle w:val="Strong"/>
          <w:b w:val="0"/>
          <w:lang w:val="en-US"/>
        </w:rPr>
        <w:t>Osterholm</w:t>
      </w:r>
      <w:proofErr w:type="spellEnd"/>
      <w:r>
        <w:rPr>
          <w:rStyle w:val="Strong"/>
          <w:b w:val="0"/>
          <w:lang w:val="en-US"/>
        </w:rPr>
        <w:t>, had earlier put it:</w:t>
      </w:r>
      <w:r w:rsidRPr="004C7B32">
        <w:rPr>
          <w:rStyle w:val="Strong"/>
          <w:b w:val="0"/>
          <w:lang w:val="en-US"/>
        </w:rPr>
        <w:t xml:space="preserve"> </w:t>
      </w:r>
      <w:r>
        <w:rPr>
          <w:rStyle w:val="Strong"/>
          <w:b w:val="0"/>
          <w:lang w:val="en-US"/>
        </w:rPr>
        <w:t>“</w:t>
      </w:r>
      <w:r w:rsidRPr="004C7B32">
        <w:rPr>
          <w:rStyle w:val="Strong"/>
          <w:b w:val="0"/>
          <w:lang w:val="en-US"/>
        </w:rPr>
        <w:t>We don't want to give bad guys a road map on h</w:t>
      </w:r>
      <w:r>
        <w:rPr>
          <w:rStyle w:val="Strong"/>
          <w:b w:val="0"/>
          <w:lang w:val="en-US"/>
        </w:rPr>
        <w:t xml:space="preserve">ow to </w:t>
      </w:r>
      <w:r>
        <w:rPr>
          <w:rStyle w:val="Strong"/>
          <w:b w:val="0"/>
          <w:lang w:val="en-US"/>
        </w:rPr>
        <w:lastRenderedPageBreak/>
        <w:t>make bad bugs really bad.”</w:t>
      </w:r>
      <w:r>
        <w:rPr>
          <w:rStyle w:val="FootnoteReference"/>
          <w:bCs/>
          <w:lang w:val="en-US"/>
        </w:rPr>
        <w:footnoteReference w:id="52"/>
      </w:r>
      <w:r w:rsidRPr="004C7B32">
        <w:rPr>
          <w:rStyle w:val="Strong"/>
          <w:b w:val="0"/>
          <w:lang w:val="en-US"/>
        </w:rPr>
        <w:t xml:space="preserve"> </w:t>
      </w:r>
      <w:proofErr w:type="spellStart"/>
      <w:r>
        <w:rPr>
          <w:rStyle w:val="Strong"/>
          <w:b w:val="0"/>
          <w:lang w:val="en-US"/>
        </w:rPr>
        <w:t>Fouchier</w:t>
      </w:r>
      <w:proofErr w:type="spellEnd"/>
      <w:r>
        <w:rPr>
          <w:rStyle w:val="Strong"/>
          <w:b w:val="0"/>
          <w:lang w:val="en-US"/>
        </w:rPr>
        <w:t xml:space="preserve"> and two of his colleagues have dismissed this possibility, </w:t>
      </w:r>
      <w:proofErr w:type="gramStart"/>
      <w:r>
        <w:rPr>
          <w:rStyle w:val="Strong"/>
          <w:b w:val="0"/>
          <w:lang w:val="en-US"/>
        </w:rPr>
        <w:t>arguing that</w:t>
      </w:r>
      <w:proofErr w:type="gramEnd"/>
      <w:r>
        <w:rPr>
          <w:rStyle w:val="Strong"/>
          <w:b w:val="0"/>
          <w:lang w:val="en-US"/>
        </w:rPr>
        <w:t xml:space="preserve"> </w:t>
      </w:r>
      <w:r>
        <w:rPr>
          <w:lang w:val="en-US"/>
        </w:rPr>
        <w:t>“[i]</w:t>
      </w:r>
      <w:proofErr w:type="spellStart"/>
      <w:r>
        <w:rPr>
          <w:lang w:val="en-US"/>
        </w:rPr>
        <w:t>ndividuals</w:t>
      </w:r>
      <w:proofErr w:type="spellEnd"/>
      <w:r>
        <w:rPr>
          <w:lang w:val="en-US"/>
        </w:rPr>
        <w:t xml:space="preserve"> </w:t>
      </w:r>
      <w:r w:rsidRPr="005F517F">
        <w:rPr>
          <w:lang w:val="en-US"/>
        </w:rPr>
        <w:t>with bad in</w:t>
      </w:r>
      <w:r>
        <w:rPr>
          <w:lang w:val="en-US"/>
        </w:rPr>
        <w:t xml:space="preserve">tentions do not need to read </w:t>
      </w:r>
      <w:r w:rsidRPr="005F517F">
        <w:rPr>
          <w:lang w:val="en-US"/>
        </w:rPr>
        <w:t>the de</w:t>
      </w:r>
      <w:r>
        <w:rPr>
          <w:lang w:val="en-US"/>
        </w:rPr>
        <w:t xml:space="preserve">tails in our manuscript because </w:t>
      </w:r>
      <w:r w:rsidRPr="005F517F">
        <w:rPr>
          <w:lang w:val="en-US"/>
        </w:rPr>
        <w:t>the metho</w:t>
      </w:r>
      <w:r>
        <w:rPr>
          <w:lang w:val="en-US"/>
        </w:rPr>
        <w:t xml:space="preserve">ds for creating similar viruses </w:t>
      </w:r>
      <w:r w:rsidRPr="005F517F">
        <w:rPr>
          <w:lang w:val="en-US"/>
        </w:rPr>
        <w:t>have already been published widely.</w:t>
      </w:r>
      <w:r>
        <w:rPr>
          <w:lang w:val="en-US"/>
        </w:rPr>
        <w:t>”</w:t>
      </w:r>
      <w:r>
        <w:rPr>
          <w:rStyle w:val="FootnoteReference"/>
          <w:lang w:val="en-US"/>
        </w:rPr>
        <w:footnoteReference w:id="53"/>
      </w:r>
      <w:r>
        <w:rPr>
          <w:lang w:val="en-US"/>
        </w:rPr>
        <w:t xml:space="preserve"> </w:t>
      </w:r>
      <w:r>
        <w:rPr>
          <w:rStyle w:val="Strong"/>
          <w:b w:val="0"/>
          <w:lang w:val="en-US"/>
        </w:rPr>
        <w:t>The implication here is that publication of their H5N1 findings generated</w:t>
      </w:r>
      <w:r w:rsidRPr="005157DA">
        <w:rPr>
          <w:rStyle w:val="Strong"/>
          <w:b w:val="0"/>
          <w:lang w:val="en-US"/>
        </w:rPr>
        <w:t xml:space="preserve"> no additional risk.</w:t>
      </w:r>
      <w:r>
        <w:rPr>
          <w:bCs/>
          <w:lang w:val="en-US"/>
        </w:rPr>
        <w:t xml:space="preserve"> </w:t>
      </w:r>
      <w:r>
        <w:rPr>
          <w:rStyle w:val="Strong"/>
          <w:b w:val="0"/>
          <w:lang w:val="en-US"/>
        </w:rPr>
        <w:t xml:space="preserve">However, the problem with the </w:t>
      </w:r>
      <w:proofErr w:type="gramStart"/>
      <w:r>
        <w:rPr>
          <w:rStyle w:val="Strong"/>
          <w:b w:val="0"/>
          <w:lang w:val="en-US"/>
        </w:rPr>
        <w:t>‘it’s</w:t>
      </w:r>
      <w:proofErr w:type="gramEnd"/>
      <w:r>
        <w:rPr>
          <w:rStyle w:val="Strong"/>
          <w:b w:val="0"/>
          <w:lang w:val="en-US"/>
        </w:rPr>
        <w:t xml:space="preserve"> </w:t>
      </w:r>
      <w:r w:rsidRPr="005157DA">
        <w:rPr>
          <w:rStyle w:val="Strong"/>
          <w:b w:val="0"/>
          <w:lang w:val="en-US"/>
        </w:rPr>
        <w:t xml:space="preserve">already out there’ argument is that the publication of a particular piece of writing is not simply an exercise in data dissemination; it also serves the purpose of assembling and </w:t>
      </w:r>
      <w:r>
        <w:rPr>
          <w:rStyle w:val="Strong"/>
          <w:b w:val="0"/>
          <w:lang w:val="en-US"/>
        </w:rPr>
        <w:t>packaging</w:t>
      </w:r>
      <w:r w:rsidRPr="005157DA">
        <w:rPr>
          <w:rStyle w:val="Strong"/>
          <w:b w:val="0"/>
          <w:lang w:val="en-US"/>
        </w:rPr>
        <w:t xml:space="preserve"> diffuse information </w:t>
      </w:r>
      <w:r w:rsidRPr="00DD182F">
        <w:rPr>
          <w:rStyle w:val="Strong"/>
          <w:b w:val="0"/>
          <w:lang w:val="en-US"/>
        </w:rPr>
        <w:t>for</w:t>
      </w:r>
      <w:r w:rsidRPr="005157DA">
        <w:rPr>
          <w:rStyle w:val="Strong"/>
          <w:b w:val="0"/>
          <w:lang w:val="en-US"/>
        </w:rPr>
        <w:t xml:space="preserve"> the reader. </w:t>
      </w:r>
      <w:r w:rsidRPr="005157DA">
        <w:t xml:space="preserve">It can </w:t>
      </w:r>
      <w:r>
        <w:t xml:space="preserve">otherwise </w:t>
      </w:r>
      <w:r w:rsidRPr="005157DA">
        <w:t xml:space="preserve">take </w:t>
      </w:r>
      <w:r>
        <w:t>much</w:t>
      </w:r>
      <w:r w:rsidRPr="005157DA">
        <w:t xml:space="preserve"> time and skill to bring together ideas and information from various sources and </w:t>
      </w:r>
      <w:r>
        <w:t xml:space="preserve">to </w:t>
      </w:r>
      <w:proofErr w:type="gramStart"/>
      <w:r>
        <w:t>craft</w:t>
      </w:r>
      <w:proofErr w:type="gramEnd"/>
      <w:r w:rsidRPr="005157DA">
        <w:t xml:space="preserve"> them into an integrated, clearly-explained message. Thu</w:t>
      </w:r>
      <w:r>
        <w:t xml:space="preserve">s, </w:t>
      </w:r>
      <w:r w:rsidRPr="005157DA">
        <w:t xml:space="preserve">publication of </w:t>
      </w:r>
      <w:proofErr w:type="spellStart"/>
      <w:r w:rsidRPr="005157DA">
        <w:t>Fouchier’s</w:t>
      </w:r>
      <w:proofErr w:type="spellEnd"/>
      <w:r w:rsidRPr="005157DA">
        <w:t xml:space="preserve"> </w:t>
      </w:r>
      <w:r>
        <w:t xml:space="preserve">findings </w:t>
      </w:r>
      <w:r w:rsidRPr="005157DA">
        <w:t xml:space="preserve">might have served </w:t>
      </w:r>
      <w:r w:rsidRPr="005F74D9">
        <w:t>qualitatively</w:t>
      </w:r>
      <w:r w:rsidRPr="005157DA">
        <w:t xml:space="preserve"> to increase accessibility to the necessary mutation technology.</w:t>
      </w:r>
      <w:r>
        <w:rPr>
          <w:rStyle w:val="FootnoteReference"/>
        </w:rPr>
        <w:footnoteReference w:id="54"/>
      </w:r>
      <w:r w:rsidRPr="005157DA">
        <w:t xml:space="preserve"> </w:t>
      </w:r>
      <w:r>
        <w:t>Nevertheless, i</w:t>
      </w:r>
      <w:r w:rsidRPr="005157DA">
        <w:t xml:space="preserve">n respect of any ‘recipe’, there </w:t>
      </w:r>
      <w:r>
        <w:t xml:space="preserve">remains the </w:t>
      </w:r>
      <w:r w:rsidRPr="005157DA">
        <w:t xml:space="preserve">possibility that it </w:t>
      </w:r>
      <w:proofErr w:type="gramStart"/>
      <w:r w:rsidRPr="005157DA">
        <w:t>will not be followed</w:t>
      </w:r>
      <w:proofErr w:type="gramEnd"/>
      <w:r w:rsidRPr="005157DA">
        <w:t xml:space="preserve"> correctly or that a key </w:t>
      </w:r>
      <w:r>
        <w:t>‘</w:t>
      </w:r>
      <w:r w:rsidRPr="005157DA">
        <w:t>ingredient</w:t>
      </w:r>
      <w:r>
        <w:t>’</w:t>
      </w:r>
      <w:r w:rsidRPr="005157DA">
        <w:t xml:space="preserve"> </w:t>
      </w:r>
      <w:r>
        <w:t>will unknowingly be</w:t>
      </w:r>
      <w:r w:rsidRPr="005157DA">
        <w:t xml:space="preserve"> left out. </w:t>
      </w:r>
      <w:r>
        <w:t>Regarding the problem</w:t>
      </w:r>
      <w:r w:rsidRPr="005157DA">
        <w:t xml:space="preserve"> of biological weapons proliferation, </w:t>
      </w:r>
      <w:r w:rsidRPr="005157DA">
        <w:rPr>
          <w:lang w:val="en-US"/>
        </w:rPr>
        <w:t xml:space="preserve">Sonia </w:t>
      </w:r>
      <w:r w:rsidRPr="005157DA">
        <w:rPr>
          <w:szCs w:val="20"/>
          <w:lang w:val="en-US"/>
        </w:rPr>
        <w:t xml:space="preserve">Ben </w:t>
      </w:r>
      <w:proofErr w:type="spellStart"/>
      <w:r w:rsidRPr="005157DA">
        <w:rPr>
          <w:szCs w:val="20"/>
          <w:lang w:val="en-US"/>
        </w:rPr>
        <w:t>Ouagrham-Gormley</w:t>
      </w:r>
      <w:proofErr w:type="spellEnd"/>
      <w:r w:rsidRPr="005157DA">
        <w:rPr>
          <w:lang w:val="en-US"/>
        </w:rPr>
        <w:t xml:space="preserve"> has found that “such intangible factors as organizational makeup and management style greatly affect the use of acquired knowledge”, and that these factors “cannot be easily transferred </w:t>
      </w:r>
      <w:r w:rsidRPr="005157DA">
        <w:rPr>
          <w:lang w:val="en-US"/>
        </w:rPr>
        <w:lastRenderedPageBreak/>
        <w:t>among individuals or from one place to another”.</w:t>
      </w:r>
      <w:r w:rsidRPr="005157DA">
        <w:rPr>
          <w:rStyle w:val="FootnoteReference"/>
        </w:rPr>
        <w:footnoteReference w:id="55"/>
      </w:r>
      <w:r w:rsidRPr="005157DA">
        <w:rPr>
          <w:lang w:val="en-US"/>
        </w:rPr>
        <w:t xml:space="preserve"> </w:t>
      </w:r>
      <w:r>
        <w:rPr>
          <w:lang w:val="en-US"/>
        </w:rPr>
        <w:t xml:space="preserve">If this is true of </w:t>
      </w:r>
      <w:r w:rsidR="007768F6">
        <w:rPr>
          <w:lang w:val="en-US"/>
        </w:rPr>
        <w:t>proliferation</w:t>
      </w:r>
      <w:r>
        <w:rPr>
          <w:lang w:val="en-US"/>
        </w:rPr>
        <w:t xml:space="preserve"> (in the form of publication of methodologies) in the realm of pathogen research more generally, it is cause perhaps to afford less weight to the risk of information being harmfully misused.</w:t>
      </w:r>
    </w:p>
    <w:p w:rsidR="00666D13" w:rsidRDefault="00666D13" w:rsidP="0051528B">
      <w:pPr>
        <w:spacing w:line="480" w:lineRule="auto"/>
        <w:jc w:val="both"/>
        <w:rPr>
          <w:lang w:val="en-US"/>
        </w:rPr>
      </w:pPr>
    </w:p>
    <w:p w:rsidR="00666D13" w:rsidRPr="00F01AAC" w:rsidRDefault="00666D13" w:rsidP="0051528B">
      <w:pPr>
        <w:spacing w:line="480" w:lineRule="auto"/>
        <w:jc w:val="both"/>
        <w:rPr>
          <w:rStyle w:val="Strong"/>
          <w:b w:val="0"/>
          <w:bCs w:val="0"/>
          <w:lang w:val="en-US"/>
        </w:rPr>
      </w:pPr>
      <w:r>
        <w:rPr>
          <w:lang w:val="en-US"/>
        </w:rPr>
        <w:t xml:space="preserve">In any event, at the time the Dutch Government was attempting to weigh the benefits and risks of granting </w:t>
      </w:r>
      <w:proofErr w:type="spellStart"/>
      <w:r>
        <w:rPr>
          <w:lang w:val="en-US"/>
        </w:rPr>
        <w:t>Fouchier</w:t>
      </w:r>
      <w:proofErr w:type="spellEnd"/>
      <w:r>
        <w:rPr>
          <w:lang w:val="en-US"/>
        </w:rPr>
        <w:t xml:space="preserve"> an export permit, the inherent dangerousness of the mutated virus itself (extant in </w:t>
      </w:r>
      <w:proofErr w:type="spellStart"/>
      <w:r>
        <w:rPr>
          <w:lang w:val="en-US"/>
        </w:rPr>
        <w:t>Fouchier’s</w:t>
      </w:r>
      <w:proofErr w:type="spellEnd"/>
      <w:r>
        <w:rPr>
          <w:lang w:val="en-US"/>
        </w:rPr>
        <w:t xml:space="preserve"> laboratory or reproduced elsewhere) remained uncertain. </w:t>
      </w:r>
      <w:r w:rsidRPr="005157DA">
        <w:rPr>
          <w:lang w:val="en-US"/>
        </w:rPr>
        <w:t>On the one hand</w:t>
      </w:r>
      <w:r>
        <w:rPr>
          <w:lang w:val="en-US"/>
        </w:rPr>
        <w:t xml:space="preserve">, it is cause for concern that the </w:t>
      </w:r>
      <w:r w:rsidRPr="005157DA">
        <w:rPr>
          <w:lang w:val="en-US"/>
        </w:rPr>
        <w:t>global average</w:t>
      </w:r>
      <w:r>
        <w:rPr>
          <w:lang w:val="en-US"/>
        </w:rPr>
        <w:t xml:space="preserve"> case-fatality rate for H5N1 is high (around 53 percent)</w:t>
      </w:r>
      <w:r w:rsidRPr="005157DA">
        <w:rPr>
          <w:lang w:val="en-US"/>
        </w:rPr>
        <w:t>.</w:t>
      </w:r>
      <w:r w:rsidRPr="005157DA">
        <w:rPr>
          <w:rStyle w:val="FootnoteReference"/>
        </w:rPr>
        <w:footnoteReference w:id="56"/>
      </w:r>
      <w:r w:rsidRPr="005157DA">
        <w:rPr>
          <w:lang w:val="en-US"/>
        </w:rPr>
        <w:t xml:space="preserve"> On the other hand, </w:t>
      </w:r>
      <w:r>
        <w:rPr>
          <w:lang w:val="en-US"/>
        </w:rPr>
        <w:t>the WHO’s figures reflect only confirmed cases of infection, and the proportion of deaths among all actual cases is probably much less.</w:t>
      </w:r>
      <w:r>
        <w:rPr>
          <w:rStyle w:val="FootnoteReference"/>
        </w:rPr>
        <w:footnoteReference w:id="57"/>
      </w:r>
      <w:r>
        <w:rPr>
          <w:lang w:val="en-US"/>
        </w:rPr>
        <w:t xml:space="preserve"> The government might have noted also that, in </w:t>
      </w:r>
      <w:proofErr w:type="spellStart"/>
      <w:r w:rsidRPr="005157DA">
        <w:rPr>
          <w:lang w:val="en-US"/>
        </w:rPr>
        <w:t>Fouchier’s</w:t>
      </w:r>
      <w:proofErr w:type="spellEnd"/>
      <w:r w:rsidRPr="005157DA">
        <w:rPr>
          <w:lang w:val="en-US"/>
        </w:rPr>
        <w:t xml:space="preserve"> </w:t>
      </w:r>
      <w:r>
        <w:rPr>
          <w:lang w:val="en-US"/>
        </w:rPr>
        <w:t xml:space="preserve">experiment, </w:t>
      </w:r>
      <w:r w:rsidRPr="005157DA">
        <w:rPr>
          <w:lang w:val="en-US"/>
        </w:rPr>
        <w:t>“[n]one of the recipient ferrets died after airborne infection with the mutant A/H5N1 viruses”,</w:t>
      </w:r>
      <w:r w:rsidRPr="005157DA">
        <w:rPr>
          <w:rStyle w:val="FootnoteReference"/>
        </w:rPr>
        <w:footnoteReference w:id="58"/>
      </w:r>
      <w:r w:rsidRPr="005157DA">
        <w:rPr>
          <w:lang w:val="en-US"/>
        </w:rPr>
        <w:t xml:space="preserve"> and </w:t>
      </w:r>
      <w:r>
        <w:rPr>
          <w:lang w:val="en-US"/>
        </w:rPr>
        <w:t xml:space="preserve">that </w:t>
      </w:r>
      <w:r w:rsidRPr="005157DA">
        <w:rPr>
          <w:lang w:val="en-US"/>
        </w:rPr>
        <w:t xml:space="preserve">this is consistent with the </w:t>
      </w:r>
      <w:proofErr w:type="gramStart"/>
      <w:r w:rsidRPr="005157DA">
        <w:rPr>
          <w:lang w:val="en-US"/>
        </w:rPr>
        <w:t>generally-observed</w:t>
      </w:r>
      <w:proofErr w:type="gramEnd"/>
      <w:r w:rsidRPr="005157DA">
        <w:rPr>
          <w:lang w:val="en-US"/>
        </w:rPr>
        <w:t xml:space="preserve"> phenomenon that a virus’s virulence decreases as its transmissibility increases. </w:t>
      </w:r>
      <w:r>
        <w:rPr>
          <w:lang w:val="en-US"/>
        </w:rPr>
        <w:t xml:space="preserve">Moreover, there might have been some doubt about the pandemic potential of </w:t>
      </w:r>
      <w:proofErr w:type="spellStart"/>
      <w:r>
        <w:rPr>
          <w:lang w:val="en-US"/>
        </w:rPr>
        <w:lastRenderedPageBreak/>
        <w:t>Fouchier’s</w:t>
      </w:r>
      <w:proofErr w:type="spellEnd"/>
      <w:r>
        <w:rPr>
          <w:lang w:val="en-US"/>
        </w:rPr>
        <w:t xml:space="preserve"> </w:t>
      </w:r>
      <w:r w:rsidRPr="00E90F3B">
        <w:rPr>
          <w:lang w:val="en-US"/>
        </w:rPr>
        <w:t>virus</w:t>
      </w:r>
      <w:r>
        <w:rPr>
          <w:lang w:val="en-US"/>
        </w:rPr>
        <w:t>, given that virologists have disagreed on whether it would be as contagious and as pathogenic in humans as it is in ferrets.</w:t>
      </w:r>
      <w:r>
        <w:rPr>
          <w:rStyle w:val="FootnoteReference"/>
          <w:lang w:val="en-US"/>
        </w:rPr>
        <w:footnoteReference w:id="59"/>
      </w:r>
      <w:r>
        <w:rPr>
          <w:lang w:val="en-US"/>
        </w:rPr>
        <w:t xml:space="preserve"> </w:t>
      </w:r>
      <w:r>
        <w:rPr>
          <w:rStyle w:val="Strong"/>
          <w:b w:val="0"/>
          <w:lang w:val="en-US"/>
        </w:rPr>
        <w:t xml:space="preserve">If, then, the Dutch Government judged that the mutant virus was probably less dangerous than was first thought, it could have downgraded the risk associated with publishing information on how to create it. For the same reason, though, the government </w:t>
      </w:r>
      <w:r w:rsidR="007768F6">
        <w:rPr>
          <w:rStyle w:val="Strong"/>
          <w:b w:val="0"/>
          <w:lang w:val="en-US"/>
        </w:rPr>
        <w:t>might</w:t>
      </w:r>
      <w:r>
        <w:rPr>
          <w:rStyle w:val="Strong"/>
          <w:b w:val="0"/>
          <w:lang w:val="en-US"/>
        </w:rPr>
        <w:t xml:space="preserve"> also have assessed that there was a lesser degree of public-health benefit to </w:t>
      </w:r>
      <w:proofErr w:type="gramStart"/>
      <w:r>
        <w:rPr>
          <w:rStyle w:val="Strong"/>
          <w:b w:val="0"/>
          <w:lang w:val="en-US"/>
        </w:rPr>
        <w:t>be gained</w:t>
      </w:r>
      <w:proofErr w:type="gramEnd"/>
      <w:r>
        <w:rPr>
          <w:rStyle w:val="Strong"/>
          <w:b w:val="0"/>
          <w:lang w:val="en-US"/>
        </w:rPr>
        <w:t xml:space="preserve"> from allowing publication to proceed, because any pandemic caused by the virus would </w:t>
      </w:r>
      <w:r w:rsidR="007768F6">
        <w:rPr>
          <w:rStyle w:val="Strong"/>
          <w:b w:val="0"/>
          <w:lang w:val="en-US"/>
        </w:rPr>
        <w:t>probably not be a severe one</w:t>
      </w:r>
      <w:r>
        <w:rPr>
          <w:rStyle w:val="Strong"/>
          <w:b w:val="0"/>
          <w:lang w:val="en-US"/>
        </w:rPr>
        <w:t>.</w:t>
      </w:r>
    </w:p>
    <w:p w:rsidR="00666D13" w:rsidRDefault="00666D13" w:rsidP="0051528B">
      <w:pPr>
        <w:spacing w:line="480" w:lineRule="auto"/>
        <w:jc w:val="both"/>
        <w:rPr>
          <w:rStyle w:val="Strong"/>
          <w:b w:val="0"/>
          <w:lang w:val="en-US"/>
        </w:rPr>
      </w:pPr>
    </w:p>
    <w:p w:rsidR="00666D13" w:rsidRDefault="00666D13" w:rsidP="0051528B">
      <w:pPr>
        <w:spacing w:line="480" w:lineRule="auto"/>
        <w:rPr>
          <w:lang w:val="en-US"/>
        </w:rPr>
      </w:pPr>
    </w:p>
    <w:p w:rsidR="00666D13" w:rsidRDefault="00666D13" w:rsidP="0051528B">
      <w:pPr>
        <w:pStyle w:val="Heading2"/>
        <w:spacing w:line="480" w:lineRule="auto"/>
        <w:rPr>
          <w:lang w:val="en-US"/>
        </w:rPr>
      </w:pPr>
      <w:r>
        <w:rPr>
          <w:lang w:val="en-US"/>
        </w:rPr>
        <w:t>C. The problem of risk-benefit uncertainty</w:t>
      </w:r>
    </w:p>
    <w:p w:rsidR="00666D13" w:rsidRDefault="00666D13" w:rsidP="0051528B">
      <w:pPr>
        <w:spacing w:line="480" w:lineRule="auto"/>
        <w:jc w:val="both"/>
        <w:rPr>
          <w:rStyle w:val="Strong"/>
          <w:b w:val="0"/>
          <w:bCs w:val="0"/>
          <w:lang w:val="en-US"/>
        </w:rPr>
      </w:pPr>
    </w:p>
    <w:p w:rsidR="00666D13" w:rsidRDefault="00666D13" w:rsidP="0051528B">
      <w:pPr>
        <w:spacing w:line="480" w:lineRule="auto"/>
        <w:jc w:val="both"/>
        <w:rPr>
          <w:lang w:val="en-US"/>
        </w:rPr>
      </w:pPr>
      <w:r>
        <w:rPr>
          <w:lang w:val="en-US"/>
        </w:rPr>
        <w:t xml:space="preserve">Assuming that the Dutch Government proceeded </w:t>
      </w:r>
      <w:r w:rsidR="007768F6">
        <w:rPr>
          <w:lang w:val="en-US"/>
        </w:rPr>
        <w:t xml:space="preserve">toward a decision </w:t>
      </w:r>
      <w:r>
        <w:rPr>
          <w:lang w:val="en-US"/>
        </w:rPr>
        <w:t xml:space="preserve">in this way—assessing and weighing the benefits and risks </w:t>
      </w:r>
      <w:r w:rsidRPr="005157DA">
        <w:rPr>
          <w:lang w:val="en-US"/>
        </w:rPr>
        <w:t xml:space="preserve">of publishing </w:t>
      </w:r>
      <w:proofErr w:type="spellStart"/>
      <w:r>
        <w:rPr>
          <w:lang w:val="en-US"/>
        </w:rPr>
        <w:t>Fouchier’s</w:t>
      </w:r>
      <w:proofErr w:type="spellEnd"/>
      <w:r>
        <w:rPr>
          <w:lang w:val="en-US"/>
        </w:rPr>
        <w:t xml:space="preserve"> H5N1 </w:t>
      </w:r>
      <w:r w:rsidRPr="005157DA">
        <w:rPr>
          <w:lang w:val="en-US"/>
        </w:rPr>
        <w:t xml:space="preserve">research findings, and </w:t>
      </w:r>
      <w:r>
        <w:rPr>
          <w:lang w:val="en-US"/>
        </w:rPr>
        <w:t>authorizing export on the grounds that</w:t>
      </w:r>
      <w:r w:rsidRPr="005157DA">
        <w:rPr>
          <w:lang w:val="en-US"/>
        </w:rPr>
        <w:t xml:space="preserve"> the benefits outweigh</w:t>
      </w:r>
      <w:r>
        <w:rPr>
          <w:lang w:val="en-US"/>
        </w:rPr>
        <w:t xml:space="preserve"> the risks—the problem remains that this process is not a strong basis for decision-making. Ideally, a government would indeed be able to conduct </w:t>
      </w:r>
      <w:r w:rsidR="007768F6">
        <w:rPr>
          <w:lang w:val="en-US"/>
        </w:rPr>
        <w:t>an</w:t>
      </w:r>
      <w:r>
        <w:rPr>
          <w:lang w:val="en-US"/>
        </w:rPr>
        <w:t xml:space="preserve"> integrated and exhaustive risk-benefit assessment of publication incorporating security, public health and scientific perspectives. However, in the H5N1 case, there were two fundamental problems with attempting </w:t>
      </w:r>
      <w:r w:rsidR="007768F6">
        <w:rPr>
          <w:lang w:val="en-US"/>
        </w:rPr>
        <w:t xml:space="preserve">to do </w:t>
      </w:r>
      <w:r>
        <w:rPr>
          <w:lang w:val="en-US"/>
        </w:rPr>
        <w:t xml:space="preserve">this under conditions of uncertainty. Firstly, there was a lack of empirical, undisputed data upon which a probabilistic assessment of benefits and risks </w:t>
      </w:r>
      <w:proofErr w:type="gramStart"/>
      <w:r>
        <w:rPr>
          <w:lang w:val="en-US"/>
        </w:rPr>
        <w:t>could be based</w:t>
      </w:r>
      <w:proofErr w:type="gramEnd"/>
      <w:r>
        <w:rPr>
          <w:lang w:val="en-US"/>
        </w:rPr>
        <w:t xml:space="preserve">. Too little was known (or knowable) about the various claimed benefits and risks to allow measurement of the likelihood of their </w:t>
      </w:r>
      <w:proofErr w:type="gramStart"/>
      <w:r>
        <w:rPr>
          <w:lang w:val="en-US"/>
        </w:rPr>
        <w:t>coming to pass</w:t>
      </w:r>
      <w:proofErr w:type="gramEnd"/>
      <w:r>
        <w:rPr>
          <w:lang w:val="en-US"/>
        </w:rPr>
        <w:t xml:space="preserve"> and the consequences thereof. Assessing the risk of bioterrorism, for example, is difficult </w:t>
      </w:r>
      <w:r>
        <w:rPr>
          <w:lang w:val="en-US"/>
        </w:rPr>
        <w:lastRenderedPageBreak/>
        <w:t xml:space="preserve">given that </w:t>
      </w:r>
      <w:r w:rsidRPr="008C32BC">
        <w:t>an intelligent adversary can adapt to the presence of successful countermeasures</w:t>
      </w:r>
      <w:r>
        <w:t>.</w:t>
      </w:r>
      <w:r w:rsidRPr="008C32BC">
        <w:rPr>
          <w:rStyle w:val="FootnoteReference"/>
        </w:rPr>
        <w:footnoteReference w:id="60"/>
      </w:r>
      <w:r>
        <w:rPr>
          <w:lang w:val="en-US"/>
        </w:rPr>
        <w:t xml:space="preserve"> Secondly, there was no commensurability among the different values potentially affected or advanced by the publication or censorship of </w:t>
      </w:r>
      <w:proofErr w:type="spellStart"/>
      <w:r>
        <w:rPr>
          <w:lang w:val="en-US"/>
        </w:rPr>
        <w:t>Fouchier’s</w:t>
      </w:r>
      <w:proofErr w:type="spellEnd"/>
      <w:r>
        <w:rPr>
          <w:lang w:val="en-US"/>
        </w:rPr>
        <w:t xml:space="preserve"> findings. It was not possible, for example, to balance </w:t>
      </w:r>
      <w:r w:rsidR="007768F6">
        <w:rPr>
          <w:lang w:val="en-US"/>
        </w:rPr>
        <w:t xml:space="preserve">concerns </w:t>
      </w:r>
      <w:proofErr w:type="gramStart"/>
      <w:r w:rsidR="007768F6">
        <w:rPr>
          <w:lang w:val="en-US"/>
        </w:rPr>
        <w:t xml:space="preserve">about </w:t>
      </w:r>
      <w:r>
        <w:rPr>
          <w:lang w:val="en-US"/>
        </w:rPr>
        <w:t xml:space="preserve">public health </w:t>
      </w:r>
      <w:r w:rsidR="007768F6">
        <w:rPr>
          <w:lang w:val="en-US"/>
        </w:rPr>
        <w:t>benefits</w:t>
      </w:r>
      <w:r>
        <w:rPr>
          <w:lang w:val="en-US"/>
        </w:rPr>
        <w:t xml:space="preserve"> against </w:t>
      </w:r>
      <w:r w:rsidR="007768F6">
        <w:rPr>
          <w:lang w:val="en-US"/>
        </w:rPr>
        <w:t xml:space="preserve">concerns about </w:t>
      </w:r>
      <w:r>
        <w:rPr>
          <w:lang w:val="en-US"/>
        </w:rPr>
        <w:t xml:space="preserve">national security </w:t>
      </w:r>
      <w:r w:rsidR="007768F6">
        <w:rPr>
          <w:lang w:val="en-US"/>
        </w:rPr>
        <w:t>risks</w:t>
      </w:r>
      <w:r>
        <w:rPr>
          <w:lang w:val="en-US"/>
        </w:rPr>
        <w:t xml:space="preserve"> in a precise, quantitative fashion</w:t>
      </w:r>
      <w:proofErr w:type="gramEnd"/>
      <w:r>
        <w:rPr>
          <w:lang w:val="en-US"/>
        </w:rPr>
        <w:t>.</w:t>
      </w:r>
      <w:r>
        <w:rPr>
          <w:rStyle w:val="FootnoteReference"/>
          <w:lang w:val="en-US"/>
        </w:rPr>
        <w:footnoteReference w:id="61"/>
      </w:r>
      <w:r>
        <w:rPr>
          <w:lang w:val="en-US"/>
        </w:rPr>
        <w:t xml:space="preserve"> For these two reasons, judgments by the Dutch Government on the acceptability of risks and the desirability of benefits </w:t>
      </w:r>
      <w:proofErr w:type="gramStart"/>
      <w:r>
        <w:rPr>
          <w:lang w:val="en-US"/>
        </w:rPr>
        <w:t>must have been based</w:t>
      </w:r>
      <w:proofErr w:type="gramEnd"/>
      <w:r>
        <w:rPr>
          <w:lang w:val="en-US"/>
        </w:rPr>
        <w:t xml:space="preserve"> merely upon subjective assessments offered by numerous experts with different backgrounds, values and opinions.</w:t>
      </w:r>
      <w:r>
        <w:rPr>
          <w:rStyle w:val="FootnoteReference"/>
          <w:lang w:val="en-US"/>
        </w:rPr>
        <w:footnoteReference w:id="62"/>
      </w:r>
    </w:p>
    <w:p w:rsidR="00666D13" w:rsidRDefault="00666D13" w:rsidP="0051528B">
      <w:pPr>
        <w:pStyle w:val="PlainText"/>
        <w:spacing w:line="480" w:lineRule="auto"/>
        <w:jc w:val="both"/>
        <w:rPr>
          <w:rFonts w:ascii="Times New Roman" w:hAnsi="Times New Roman" w:cs="Times New Roman"/>
          <w:sz w:val="24"/>
          <w:szCs w:val="24"/>
          <w:lang w:val="en-US"/>
        </w:rPr>
      </w:pPr>
    </w:p>
    <w:p w:rsidR="00666D13" w:rsidRPr="00136E76" w:rsidRDefault="00666D13" w:rsidP="0051528B">
      <w:pPr>
        <w:spacing w:line="480" w:lineRule="auto"/>
        <w:jc w:val="both"/>
        <w:rPr>
          <w:lang w:val="en-US"/>
        </w:rPr>
      </w:pPr>
      <w:r>
        <w:rPr>
          <w:lang w:val="en-US"/>
        </w:rPr>
        <w:t>One alternative approach to making a decision in this case would have been to apply the precautionary principle</w:t>
      </w:r>
      <w:r w:rsidRPr="00BB4396">
        <w:rPr>
          <w:lang w:val="en-US"/>
        </w:rPr>
        <w:t xml:space="preserve">. </w:t>
      </w:r>
      <w:r>
        <w:rPr>
          <w:lang w:val="en-US"/>
        </w:rPr>
        <w:t>O</w:t>
      </w:r>
      <w:r w:rsidRPr="00BB4396">
        <w:rPr>
          <w:lang w:val="en-US"/>
        </w:rPr>
        <w:t xml:space="preserve">riginally </w:t>
      </w:r>
      <w:r>
        <w:rPr>
          <w:lang w:val="en-US"/>
        </w:rPr>
        <w:t>conceived</w:t>
      </w:r>
      <w:r w:rsidRPr="00BB4396">
        <w:rPr>
          <w:lang w:val="en-US"/>
        </w:rPr>
        <w:t xml:space="preserve"> as a way to respond to </w:t>
      </w:r>
      <w:r>
        <w:rPr>
          <w:lang w:val="en-US"/>
        </w:rPr>
        <w:t xml:space="preserve">the risk of irreversible </w:t>
      </w:r>
      <w:r w:rsidRPr="00BB4396">
        <w:rPr>
          <w:lang w:val="en-US"/>
        </w:rPr>
        <w:t xml:space="preserve">environmental </w:t>
      </w:r>
      <w:r>
        <w:rPr>
          <w:lang w:val="en-US"/>
        </w:rPr>
        <w:t xml:space="preserve">damage, </w:t>
      </w:r>
      <w:r w:rsidR="007768F6">
        <w:rPr>
          <w:lang w:val="en-US"/>
        </w:rPr>
        <w:t>this</w:t>
      </w:r>
      <w:r>
        <w:rPr>
          <w:lang w:val="en-US"/>
        </w:rPr>
        <w:t xml:space="preserve"> is </w:t>
      </w:r>
      <w:r w:rsidRPr="00BB4396">
        <w:rPr>
          <w:lang w:val="en-US"/>
        </w:rPr>
        <w:t>a principle for “making practical decisions under uncertainty when no reliable quantitative data is available”.</w:t>
      </w:r>
      <w:r w:rsidRPr="00BB4396">
        <w:rPr>
          <w:rStyle w:val="FootnoteReference"/>
          <w:lang w:val="en-US"/>
        </w:rPr>
        <w:footnoteReference w:id="63"/>
      </w:r>
      <w:r>
        <w:rPr>
          <w:lang w:val="en-US"/>
        </w:rPr>
        <w:t xml:space="preserve"> Because the prospect of such damage is the paramount consideration, other values (such as the financial interests of corporations) tend to </w:t>
      </w:r>
      <w:proofErr w:type="gramStart"/>
      <w:r>
        <w:rPr>
          <w:lang w:val="en-US"/>
        </w:rPr>
        <w:t>be subordinated</w:t>
      </w:r>
      <w:proofErr w:type="gramEnd"/>
      <w:r>
        <w:rPr>
          <w:lang w:val="en-US"/>
        </w:rPr>
        <w:t xml:space="preserve"> when decision-makers invoke the precautionary principle</w:t>
      </w:r>
      <w:r w:rsidRPr="00F5705B">
        <w:rPr>
          <w:lang w:val="en-US"/>
        </w:rPr>
        <w:t>.</w:t>
      </w:r>
      <w:r w:rsidRPr="00F5705B">
        <w:rPr>
          <w:rStyle w:val="FootnoteReference"/>
          <w:lang w:val="en-US"/>
        </w:rPr>
        <w:footnoteReference w:id="64"/>
      </w:r>
      <w:r>
        <w:rPr>
          <w:lang w:val="en-US"/>
        </w:rPr>
        <w:t xml:space="preserve"> There has been some support for adopting this approach also in respect of dual-use dilemmas arising in pathogen research. For example, Michael </w:t>
      </w:r>
      <w:proofErr w:type="spellStart"/>
      <w:r>
        <w:rPr>
          <w:lang w:val="en-US"/>
        </w:rPr>
        <w:t>Imperiale</w:t>
      </w:r>
      <w:proofErr w:type="spellEnd"/>
      <w:r>
        <w:rPr>
          <w:lang w:val="en-US"/>
        </w:rPr>
        <w:t xml:space="preserve"> has argued that, under conditions of </w:t>
      </w:r>
      <w:r w:rsidRPr="00766E62">
        <w:rPr>
          <w:lang w:val="en-US"/>
        </w:rPr>
        <w:t xml:space="preserve">uncertainty, “the burden should be placed upon those who wish to engage in research and </w:t>
      </w:r>
      <w:r w:rsidRPr="00766E62">
        <w:rPr>
          <w:lang w:val="en-US"/>
        </w:rPr>
        <w:lastRenderedPageBreak/>
        <w:t>publish their results to make a convincing argument as to why the risks of disseminating those results are insignificant.”</w:t>
      </w:r>
      <w:r w:rsidRPr="00766E62">
        <w:rPr>
          <w:rStyle w:val="FootnoteReference"/>
          <w:lang w:val="en-US"/>
        </w:rPr>
        <w:footnoteReference w:id="65"/>
      </w:r>
      <w:r w:rsidRPr="00766E62">
        <w:rPr>
          <w:lang w:val="en-US"/>
        </w:rPr>
        <w:t xml:space="preserve"> </w:t>
      </w:r>
      <w:r>
        <w:rPr>
          <w:lang w:val="en-US"/>
        </w:rPr>
        <w:t xml:space="preserve">In the H5N1 case, applying the precautionary principle would probably have disposed the Dutch Government more toward deciding to refuse </w:t>
      </w:r>
      <w:proofErr w:type="spellStart"/>
      <w:r>
        <w:rPr>
          <w:lang w:val="en-US"/>
        </w:rPr>
        <w:t>Fouchier</w:t>
      </w:r>
      <w:proofErr w:type="spellEnd"/>
      <w:r>
        <w:rPr>
          <w:lang w:val="en-US"/>
        </w:rPr>
        <w:t xml:space="preserve"> an export permit. However, it is important to note that the damage risked by publishing his findings is </w:t>
      </w:r>
      <w:proofErr w:type="gramStart"/>
      <w:r>
        <w:rPr>
          <w:lang w:val="en-US"/>
        </w:rPr>
        <w:t>not, in contrast to some forms of environmental damage, irreversible</w:t>
      </w:r>
      <w:proofErr w:type="gramEnd"/>
      <w:r>
        <w:rPr>
          <w:lang w:val="en-US"/>
        </w:rPr>
        <w:t xml:space="preserve">. An influenza pandemic (whether caused naturally, accidently or deliberately) eventually ends, and its effects </w:t>
      </w:r>
      <w:proofErr w:type="gramStart"/>
      <w:r>
        <w:rPr>
          <w:lang w:val="en-US"/>
        </w:rPr>
        <w:t>are able to</w:t>
      </w:r>
      <w:proofErr w:type="gramEnd"/>
      <w:r>
        <w:rPr>
          <w:lang w:val="en-US"/>
        </w:rPr>
        <w:t xml:space="preserve"> be mitigated.</w:t>
      </w:r>
    </w:p>
    <w:p w:rsidR="00666D13" w:rsidRDefault="00666D13" w:rsidP="0051528B">
      <w:pPr>
        <w:spacing w:line="480" w:lineRule="auto"/>
        <w:jc w:val="both"/>
        <w:rPr>
          <w:lang w:val="en-US"/>
        </w:rPr>
      </w:pPr>
    </w:p>
    <w:p w:rsidR="00666D13" w:rsidRPr="00A37689" w:rsidRDefault="00666D13" w:rsidP="0051528B">
      <w:pPr>
        <w:spacing w:line="480" w:lineRule="auto"/>
        <w:jc w:val="both"/>
      </w:pPr>
      <w:r>
        <w:rPr>
          <w:lang w:val="en-US"/>
        </w:rPr>
        <w:t xml:space="preserve">It seems excessively precautious, then, </w:t>
      </w:r>
      <w:proofErr w:type="gramStart"/>
      <w:r>
        <w:rPr>
          <w:lang w:val="en-US"/>
        </w:rPr>
        <w:t>to constantly emphasize</w:t>
      </w:r>
      <w:proofErr w:type="gramEnd"/>
      <w:r>
        <w:rPr>
          <w:lang w:val="en-US"/>
        </w:rPr>
        <w:t xml:space="preserve"> risk-avoidance in the governance of pathogen research and for a government to </w:t>
      </w:r>
      <w:r w:rsidRPr="005157DA">
        <w:rPr>
          <w:lang w:val="en-US"/>
        </w:rPr>
        <w:t xml:space="preserve">withhold authorization </w:t>
      </w:r>
      <w:r>
        <w:rPr>
          <w:lang w:val="en-US"/>
        </w:rPr>
        <w:t>to transfer a particular intangible technology because it</w:t>
      </w:r>
      <w:r w:rsidRPr="005157DA">
        <w:rPr>
          <w:lang w:val="en-US"/>
        </w:rPr>
        <w:t xml:space="preserve"> </w:t>
      </w:r>
      <w:r w:rsidRPr="007768F6">
        <w:rPr>
          <w:lang w:val="en-US"/>
        </w:rPr>
        <w:t>might in some way</w:t>
      </w:r>
      <w:r w:rsidRPr="005157DA">
        <w:rPr>
          <w:lang w:val="en-US"/>
        </w:rPr>
        <w:t xml:space="preserve"> pose a risk. </w:t>
      </w:r>
      <w:r>
        <w:rPr>
          <w:lang w:val="en-US"/>
        </w:rPr>
        <w:t xml:space="preserve">Even in circumstances where benefits and risks are unquantified and the diverse values they affect are incommensurable, the achievement of </w:t>
      </w:r>
      <w:r w:rsidRPr="00AE2BFC">
        <w:rPr>
          <w:i/>
          <w:lang w:val="en-US"/>
        </w:rPr>
        <w:t>some</w:t>
      </w:r>
      <w:r>
        <w:rPr>
          <w:lang w:val="en-US"/>
        </w:rPr>
        <w:t xml:space="preserve"> benefit remains important and indeed is what </w:t>
      </w:r>
      <w:proofErr w:type="gramStart"/>
      <w:r>
        <w:rPr>
          <w:lang w:val="en-US"/>
        </w:rPr>
        <w:t>most influenza virus researchers</w:t>
      </w:r>
      <w:proofErr w:type="gramEnd"/>
      <w:r>
        <w:rPr>
          <w:lang w:val="en-US"/>
        </w:rPr>
        <w:t xml:space="preserve"> probably have in mind when conducting laboratory experimentation. Hence, with regard to </w:t>
      </w:r>
      <w:proofErr w:type="spellStart"/>
      <w:r>
        <w:rPr>
          <w:lang w:val="en-US"/>
        </w:rPr>
        <w:t>Fouchier’s</w:t>
      </w:r>
      <w:proofErr w:type="spellEnd"/>
      <w:r>
        <w:rPr>
          <w:lang w:val="en-US"/>
        </w:rPr>
        <w:t xml:space="preserve"> case and the issue of “information security measures” generally, Johannes </w:t>
      </w:r>
      <w:proofErr w:type="spellStart"/>
      <w:r>
        <w:rPr>
          <w:lang w:val="en-US"/>
        </w:rPr>
        <w:t>Rath</w:t>
      </w:r>
      <w:proofErr w:type="spellEnd"/>
      <w:r>
        <w:rPr>
          <w:lang w:val="en-US"/>
        </w:rPr>
        <w:t xml:space="preserve"> has suggested that applying the proportionality principle is more appropriate for governance purposes.</w:t>
      </w:r>
      <w:r>
        <w:rPr>
          <w:rStyle w:val="FootnoteReference"/>
          <w:lang w:val="en-US"/>
        </w:rPr>
        <w:footnoteReference w:id="66"/>
      </w:r>
      <w:r>
        <w:rPr>
          <w:lang w:val="en-US"/>
        </w:rPr>
        <w:t xml:space="preserve"> This is a principle that requires, firstly, that a particular governance measure is to some extent effective in </w:t>
      </w:r>
      <w:r>
        <w:t xml:space="preserve">protecting society from the </w:t>
      </w:r>
      <w:r>
        <w:lastRenderedPageBreak/>
        <w:t xml:space="preserve">harmful misuse of information. And it </w:t>
      </w:r>
      <w:proofErr w:type="gramStart"/>
      <w:r>
        <w:t>requires also</w:t>
      </w:r>
      <w:proofErr w:type="gramEnd"/>
      <w:r>
        <w:t xml:space="preserve"> that the intended measure is the least intrusive way of achieving that beneficial effect.</w:t>
      </w:r>
      <w:r>
        <w:rPr>
          <w:rStyle w:val="FootnoteReference"/>
          <w:lang w:val="en-US"/>
        </w:rPr>
        <w:footnoteReference w:id="67"/>
      </w:r>
      <w:r>
        <w:t xml:space="preserve"> Unfortunately, however, there is </w:t>
      </w:r>
      <w:r w:rsidR="00F178BF">
        <w:t xml:space="preserve">presently </w:t>
      </w:r>
      <w:r>
        <w:t xml:space="preserve">little scope for </w:t>
      </w:r>
      <w:r w:rsidR="00F178BF">
        <w:t xml:space="preserve">pursuing </w:t>
      </w:r>
      <w:r>
        <w:t xml:space="preserve">a proportional response under Regulation 428/2009. Rather, a national government within the EU </w:t>
      </w:r>
      <w:proofErr w:type="gramStart"/>
      <w:r>
        <w:t>is afforded</w:t>
      </w:r>
      <w:proofErr w:type="gramEnd"/>
      <w:r>
        <w:t xml:space="preserve"> only two choices when it comes to the intended publication of dual-use research findings that are covered by the Regulation: to refuse export authori</w:t>
      </w:r>
      <w:r w:rsidR="00F178BF">
        <w:t>z</w:t>
      </w:r>
      <w:r>
        <w:t xml:space="preserve">ation (censorship) or to allow publication in full to proceed. This is highly unsatisfactory in circumstances where the merits of either choice </w:t>
      </w:r>
      <w:proofErr w:type="gramStart"/>
      <w:r>
        <w:t>are deeply contested</w:t>
      </w:r>
      <w:proofErr w:type="gramEnd"/>
      <w:r>
        <w:t xml:space="preserve">; </w:t>
      </w:r>
      <w:r>
        <w:rPr>
          <w:rStyle w:val="Strong"/>
          <w:b w:val="0"/>
          <w:lang w:val="en-US"/>
        </w:rPr>
        <w:t xml:space="preserve">a government cannot be confident that full publication is not too risky or that censorship is not too heavy-handed. By contrast, having a third option available to deal with difficult cases (when the competing imperatives of non-proliferation and technology-transfer </w:t>
      </w:r>
      <w:proofErr w:type="gramStart"/>
      <w:r>
        <w:rPr>
          <w:rStyle w:val="Strong"/>
          <w:b w:val="0"/>
          <w:lang w:val="en-US"/>
        </w:rPr>
        <w:t>must both be addressed</w:t>
      </w:r>
      <w:proofErr w:type="gramEnd"/>
      <w:r>
        <w:rPr>
          <w:rStyle w:val="Strong"/>
          <w:b w:val="0"/>
          <w:lang w:val="en-US"/>
        </w:rPr>
        <w:t xml:space="preserve">) would present an opportunity to apply the proportionality principle. Accordingly, the next section proposes a governance measure that involves </w:t>
      </w:r>
      <w:r>
        <w:t>restriction short of censorship and communication short of publication.</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p>
    <w:p w:rsidR="00666D13" w:rsidRDefault="00666D13" w:rsidP="0051528B">
      <w:pPr>
        <w:pStyle w:val="Heading1"/>
        <w:spacing w:line="480" w:lineRule="auto"/>
      </w:pPr>
      <w:r>
        <w:t>IV. Permits for targeted export of research findings</w:t>
      </w:r>
    </w:p>
    <w:p w:rsidR="00666D13" w:rsidRDefault="00666D13" w:rsidP="0051528B">
      <w:pPr>
        <w:spacing w:line="480" w:lineRule="auto"/>
        <w:jc w:val="both"/>
        <w:rPr>
          <w:rStyle w:val="Strong"/>
          <w:b w:val="0"/>
          <w:lang w:val="en-US"/>
        </w:rPr>
      </w:pPr>
    </w:p>
    <w:p w:rsidR="00666D13" w:rsidRDefault="00666D13" w:rsidP="0051528B">
      <w:pPr>
        <w:spacing w:line="480" w:lineRule="auto"/>
        <w:jc w:val="both"/>
        <w:rPr>
          <w:lang w:val="en-US"/>
        </w:rPr>
      </w:pPr>
      <w:r>
        <w:t xml:space="preserve">One suggested alternative to the censorship of </w:t>
      </w:r>
      <w:proofErr w:type="spellStart"/>
      <w:r>
        <w:t>Fouchier’s</w:t>
      </w:r>
      <w:proofErr w:type="spellEnd"/>
      <w:r>
        <w:t xml:space="preserve"> H5N1 research findings was to allow the publication of a redacted article. According to David </w:t>
      </w:r>
      <w:proofErr w:type="spellStart"/>
      <w:r>
        <w:t>Resnik</w:t>
      </w:r>
      <w:proofErr w:type="spellEnd"/>
      <w:r>
        <w:t>, this would have been a proportional response to the security challenge posed by these findings</w:t>
      </w:r>
      <w:proofErr w:type="gramStart"/>
      <w:r>
        <w:t>;</w:t>
      </w:r>
      <w:proofErr w:type="gramEnd"/>
      <w:r>
        <w:t xml:space="preserve"> “a compromise between promoting scientific research and preventing harm”.</w:t>
      </w:r>
      <w:r>
        <w:rPr>
          <w:rStyle w:val="FootnoteReference"/>
        </w:rPr>
        <w:footnoteReference w:id="68"/>
      </w:r>
      <w:r>
        <w:t xml:space="preserve"> By omitting information on the precise methods used to mutate an influenza virus into a more transmissible form, “terrorists” </w:t>
      </w:r>
      <w:proofErr w:type="gramStart"/>
      <w:r>
        <w:lastRenderedPageBreak/>
        <w:t>would have been denied</w:t>
      </w:r>
      <w:proofErr w:type="gramEnd"/>
      <w:r>
        <w:t xml:space="preserve"> “a recipe for making a bioweapon” and other scientists would still have been able to learn more about H5N1.</w:t>
      </w:r>
      <w:r>
        <w:rPr>
          <w:rStyle w:val="FootnoteReference"/>
        </w:rPr>
        <w:footnoteReference w:id="69"/>
      </w:r>
      <w:r>
        <w:t xml:space="preserve"> However, a number of objections were or </w:t>
      </w:r>
      <w:proofErr w:type="gramStart"/>
      <w:r>
        <w:t>could be raised</w:t>
      </w:r>
      <w:proofErr w:type="gramEnd"/>
      <w:r>
        <w:t xml:space="preserve"> against opting for redaction. With regard to states’ obligations under the BWC, for example, it might be a bad idea for a government to conceal from other governments the methods used in an experiment that it deems to be of biological weapons concern. Such concealment could give rise to international accusations that that government was developing (in a secret way) dangerous biological agents for a non-peaceful purpose in contravention of Article I of the Convention. And even if redaction of a dual-use technology publication were presented as consistent with the non-proliferation purpose of the BWC (Article III), it could also be perceived as a failure by a government to share with others</w:t>
      </w:r>
      <w:r w:rsidR="00F178BF">
        <w:t xml:space="preserve"> (in accordance with Article X)</w:t>
      </w:r>
      <w:r>
        <w:t xml:space="preserve"> a scientific technique that could be applied for peaceful purposes. Here, it is worth noting that, at a BWC meeting in December 2015, there was general agreement on the value of ensuring that all states have “</w:t>
      </w:r>
      <w:r w:rsidRPr="00DA08E7">
        <w:rPr>
          <w:lang w:val="en-US"/>
        </w:rPr>
        <w:t>access t</w:t>
      </w:r>
      <w:r>
        <w:rPr>
          <w:lang w:val="en-US"/>
        </w:rPr>
        <w:t>o the benefits of biotechnology” including</w:t>
      </w:r>
      <w:r w:rsidRPr="00DA08E7">
        <w:rPr>
          <w:lang w:val="en-US"/>
        </w:rPr>
        <w:t xml:space="preserve"> </w:t>
      </w:r>
      <w:r>
        <w:rPr>
          <w:lang w:val="en-US"/>
        </w:rPr>
        <w:t>“</w:t>
      </w:r>
      <w:r w:rsidRPr="00DA08E7">
        <w:rPr>
          <w:lang w:val="en-US"/>
        </w:rPr>
        <w:t>developments of special relevance to disease surveillance</w:t>
      </w:r>
      <w:r>
        <w:rPr>
          <w:lang w:val="en-US"/>
        </w:rPr>
        <w:t xml:space="preserve"> …</w:t>
      </w:r>
      <w:proofErr w:type="gramStart"/>
      <w:r>
        <w:rPr>
          <w:lang w:val="en-US"/>
        </w:rPr>
        <w:t>”.</w:t>
      </w:r>
      <w:proofErr w:type="gramEnd"/>
      <w:r>
        <w:rPr>
          <w:rStyle w:val="FootnoteReference"/>
          <w:lang w:val="en-US"/>
        </w:rPr>
        <w:footnoteReference w:id="70"/>
      </w:r>
    </w:p>
    <w:p w:rsidR="00666D13" w:rsidRDefault="00666D13" w:rsidP="0051528B">
      <w:pPr>
        <w:spacing w:line="480" w:lineRule="auto"/>
        <w:jc w:val="both"/>
        <w:rPr>
          <w:rStyle w:val="Strong"/>
          <w:b w:val="0"/>
          <w:lang w:val="en-US"/>
        </w:rPr>
      </w:pPr>
    </w:p>
    <w:p w:rsidR="00666D13" w:rsidRDefault="00666D13" w:rsidP="0051528B">
      <w:pPr>
        <w:spacing w:line="480" w:lineRule="auto"/>
        <w:jc w:val="both"/>
        <w:rPr>
          <w:lang w:val="en-US"/>
        </w:rPr>
      </w:pPr>
      <w:r>
        <w:rPr>
          <w:rStyle w:val="Strong"/>
          <w:b w:val="0"/>
          <w:lang w:val="en-US"/>
        </w:rPr>
        <w:t xml:space="preserve">The omission of methodological data would </w:t>
      </w:r>
      <w:r w:rsidR="00F178BF">
        <w:rPr>
          <w:rStyle w:val="Strong"/>
          <w:b w:val="0"/>
          <w:lang w:val="en-US"/>
        </w:rPr>
        <w:t xml:space="preserve">instead </w:t>
      </w:r>
      <w:r>
        <w:rPr>
          <w:rStyle w:val="Strong"/>
          <w:b w:val="0"/>
          <w:lang w:val="en-US"/>
        </w:rPr>
        <w:t xml:space="preserve">inhibit access because </w:t>
      </w:r>
      <w:r w:rsidRPr="005157DA">
        <w:rPr>
          <w:rStyle w:val="Strong"/>
          <w:b w:val="0"/>
          <w:lang w:val="en-US"/>
        </w:rPr>
        <w:t>the replication and testing of experiments</w:t>
      </w:r>
      <w:r>
        <w:rPr>
          <w:rStyle w:val="Strong"/>
          <w:b w:val="0"/>
          <w:lang w:val="en-US"/>
        </w:rPr>
        <w:t xml:space="preserve"> requires this data. As such, a related objection is that redaction presents a barrier to researchers seeking </w:t>
      </w:r>
      <w:r>
        <w:rPr>
          <w:lang w:val="en-US"/>
        </w:rPr>
        <w:t xml:space="preserve">to engage in further research, and that it </w:t>
      </w:r>
      <w:r w:rsidRPr="00FB377D">
        <w:rPr>
          <w:lang w:val="en-US"/>
        </w:rPr>
        <w:t>thereby li</w:t>
      </w:r>
      <w:r>
        <w:rPr>
          <w:lang w:val="en-US"/>
        </w:rPr>
        <w:t>mits</w:t>
      </w:r>
      <w:r w:rsidRPr="00FB377D">
        <w:rPr>
          <w:lang w:val="en-US"/>
        </w:rPr>
        <w:t xml:space="preserve"> the scient</w:t>
      </w:r>
      <w:r>
        <w:rPr>
          <w:lang w:val="en-US"/>
        </w:rPr>
        <w:t xml:space="preserve">ific output essential to combat </w:t>
      </w:r>
      <w:r w:rsidRPr="00FB377D">
        <w:rPr>
          <w:lang w:val="en-US"/>
        </w:rPr>
        <w:t xml:space="preserve">pandemic </w:t>
      </w:r>
      <w:r>
        <w:rPr>
          <w:lang w:val="en-US"/>
        </w:rPr>
        <w:t>risk posed by influenza viruses.</w:t>
      </w:r>
      <w:r>
        <w:rPr>
          <w:rStyle w:val="FootnoteReference"/>
          <w:lang w:val="en-US"/>
        </w:rPr>
        <w:footnoteReference w:id="71"/>
      </w:r>
      <w:r>
        <w:rPr>
          <w:lang w:val="en-US"/>
        </w:rPr>
        <w:t xml:space="preserve"> When NIH </w:t>
      </w:r>
      <w:r>
        <w:rPr>
          <w:lang w:val="en-US"/>
        </w:rPr>
        <w:lastRenderedPageBreak/>
        <w:t xml:space="preserve">director Francis Collins briefed the NSABB </w:t>
      </w:r>
      <w:proofErr w:type="gramStart"/>
      <w:r>
        <w:rPr>
          <w:lang w:val="en-US"/>
        </w:rPr>
        <w:t xml:space="preserve">in March 2012 about the </w:t>
      </w:r>
      <w:r w:rsidRPr="00794C35">
        <w:rPr>
          <w:lang w:val="en-US"/>
        </w:rPr>
        <w:t xml:space="preserve">political </w:t>
      </w:r>
      <w:r>
        <w:rPr>
          <w:lang w:val="en-US"/>
        </w:rPr>
        <w:t>problems with</w:t>
      </w:r>
      <w:r w:rsidRPr="00794C35">
        <w:rPr>
          <w:lang w:val="en-US"/>
        </w:rPr>
        <w:t xml:space="preserve"> redaction</w:t>
      </w:r>
      <w:r>
        <w:rPr>
          <w:lang w:val="en-US"/>
        </w:rPr>
        <w:t xml:space="preserve"> in the H5N1 case,</w:t>
      </w:r>
      <w:proofErr w:type="gramEnd"/>
      <w:r>
        <w:rPr>
          <w:lang w:val="en-US"/>
        </w:rPr>
        <w:t xml:space="preserve"> one of her arguments was that limiting access to methodological data might jeopardize the 2011 Pandemic Influenza Preparedness Framework.</w:t>
      </w:r>
      <w:r>
        <w:rPr>
          <w:rStyle w:val="FootnoteReference"/>
          <w:lang w:val="en-US"/>
        </w:rPr>
        <w:footnoteReference w:id="72"/>
      </w:r>
      <w:r>
        <w:rPr>
          <w:lang w:val="en-US"/>
        </w:rPr>
        <w:t xml:space="preserve"> This</w:t>
      </w:r>
      <w:r w:rsidRPr="00794C35">
        <w:rPr>
          <w:lang w:val="en-US"/>
        </w:rPr>
        <w:t xml:space="preserve"> international ag</w:t>
      </w:r>
      <w:r>
        <w:rPr>
          <w:lang w:val="en-US"/>
        </w:rPr>
        <w:t>reement to share influenza virus</w:t>
      </w:r>
      <w:r w:rsidRPr="00794C35">
        <w:rPr>
          <w:lang w:val="en-US"/>
        </w:rPr>
        <w:t xml:space="preserve"> samples and </w:t>
      </w:r>
      <w:r>
        <w:rPr>
          <w:lang w:val="en-US"/>
        </w:rPr>
        <w:t xml:space="preserve">related </w:t>
      </w:r>
      <w:r w:rsidRPr="00794C35">
        <w:rPr>
          <w:lang w:val="en-US"/>
        </w:rPr>
        <w:t>information</w:t>
      </w:r>
      <w:r w:rsidR="00F178BF">
        <w:rPr>
          <w:lang w:val="en-US"/>
        </w:rPr>
        <w:t xml:space="preserve"> </w:t>
      </w:r>
      <w:r>
        <w:rPr>
          <w:lang w:val="en-US"/>
        </w:rPr>
        <w:t xml:space="preserve">relies critically upon confidence that developing countries (from which H5N1 samples </w:t>
      </w:r>
      <w:proofErr w:type="gramStart"/>
      <w:r>
        <w:rPr>
          <w:lang w:val="en-US"/>
        </w:rPr>
        <w:t>are sourced</w:t>
      </w:r>
      <w:proofErr w:type="gramEnd"/>
      <w:r>
        <w:rPr>
          <w:lang w:val="en-US"/>
        </w:rPr>
        <w:t xml:space="preserve">) will benefit from influenza research carried out in the developed world. If confidence in the agreement </w:t>
      </w:r>
      <w:proofErr w:type="gramStart"/>
      <w:r>
        <w:rPr>
          <w:lang w:val="en-US"/>
        </w:rPr>
        <w:t>were undermined</w:t>
      </w:r>
      <w:proofErr w:type="gramEnd"/>
      <w:r>
        <w:rPr>
          <w:lang w:val="en-US"/>
        </w:rPr>
        <w:t xml:space="preserve"> by a perception that useful (albeit dual-use) technology was being deliberately withheld, the consequence might be a downgrading of international cooperation on disease surveillance and influenza vaccine development to the detriment of all.</w:t>
      </w:r>
      <w:r>
        <w:rPr>
          <w:rStyle w:val="FootnoteReference"/>
          <w:lang w:val="en-US"/>
        </w:rPr>
        <w:footnoteReference w:id="73"/>
      </w:r>
    </w:p>
    <w:p w:rsidR="00666D13" w:rsidRDefault="00666D13" w:rsidP="0051528B">
      <w:pPr>
        <w:spacing w:line="480" w:lineRule="auto"/>
        <w:jc w:val="both"/>
        <w:rPr>
          <w:lang w:val="en-US"/>
        </w:rPr>
      </w:pPr>
    </w:p>
    <w:p w:rsidR="00666D13" w:rsidRPr="008C04E0" w:rsidRDefault="00666D13" w:rsidP="0051528B">
      <w:pPr>
        <w:spacing w:line="480" w:lineRule="auto"/>
        <w:jc w:val="both"/>
        <w:rPr>
          <w:rStyle w:val="Strong"/>
          <w:b w:val="0"/>
          <w:bCs w:val="0"/>
          <w:lang w:val="en-US"/>
        </w:rPr>
      </w:pPr>
      <w:r w:rsidRPr="005157DA">
        <w:rPr>
          <w:rStyle w:val="Strong"/>
          <w:b w:val="0"/>
          <w:lang w:val="en-US"/>
        </w:rPr>
        <w:t xml:space="preserve">Recent experience shows </w:t>
      </w:r>
      <w:proofErr w:type="gramStart"/>
      <w:r w:rsidRPr="005157DA">
        <w:rPr>
          <w:rStyle w:val="Strong"/>
          <w:b w:val="0"/>
          <w:lang w:val="en-US"/>
        </w:rPr>
        <w:t xml:space="preserve">that </w:t>
      </w:r>
      <w:r>
        <w:rPr>
          <w:rStyle w:val="Strong"/>
          <w:b w:val="0"/>
          <w:lang w:val="en-US"/>
        </w:rPr>
        <w:t xml:space="preserve">redaction is also opposed by the editors of scientific </w:t>
      </w:r>
      <w:r w:rsidRPr="005157DA">
        <w:rPr>
          <w:rStyle w:val="Strong"/>
          <w:b w:val="0"/>
          <w:lang w:val="en-US"/>
        </w:rPr>
        <w:t>journal</w:t>
      </w:r>
      <w:r>
        <w:rPr>
          <w:rStyle w:val="Strong"/>
          <w:b w:val="0"/>
          <w:lang w:val="en-US"/>
        </w:rPr>
        <w:t>s</w:t>
      </w:r>
      <w:proofErr w:type="gramEnd"/>
      <w:r>
        <w:rPr>
          <w:rStyle w:val="Strong"/>
          <w:b w:val="0"/>
          <w:lang w:val="en-US"/>
        </w:rPr>
        <w:t xml:space="preserve">. When resisting the idea of </w:t>
      </w:r>
      <w:r w:rsidRPr="005157DA">
        <w:rPr>
          <w:rStyle w:val="Strong"/>
          <w:b w:val="0"/>
          <w:lang w:val="en-US"/>
        </w:rPr>
        <w:t>publishing anything less than a full account of research</w:t>
      </w:r>
      <w:r>
        <w:rPr>
          <w:rStyle w:val="Strong"/>
          <w:b w:val="0"/>
          <w:lang w:val="en-US"/>
        </w:rPr>
        <w:t xml:space="preserve">, </w:t>
      </w:r>
      <w:r w:rsidRPr="005157DA">
        <w:rPr>
          <w:rStyle w:val="Strong"/>
          <w:b w:val="0"/>
          <w:lang w:val="en-US"/>
        </w:rPr>
        <w:t xml:space="preserve">they </w:t>
      </w:r>
      <w:r>
        <w:rPr>
          <w:rStyle w:val="Strong"/>
          <w:b w:val="0"/>
          <w:lang w:val="en-US"/>
        </w:rPr>
        <w:t xml:space="preserve">tend to </w:t>
      </w:r>
      <w:r w:rsidRPr="005157DA">
        <w:rPr>
          <w:rStyle w:val="Strong"/>
          <w:b w:val="0"/>
          <w:lang w:val="en-US"/>
        </w:rPr>
        <w:t>refer to public health imperatives</w:t>
      </w:r>
      <w:r>
        <w:rPr>
          <w:rStyle w:val="Strong"/>
          <w:b w:val="0"/>
          <w:lang w:val="en-US"/>
        </w:rPr>
        <w:t xml:space="preserve">. </w:t>
      </w:r>
      <w:r w:rsidRPr="005157DA">
        <w:rPr>
          <w:rStyle w:val="Strong"/>
          <w:b w:val="0"/>
          <w:lang w:val="en-US"/>
        </w:rPr>
        <w:t xml:space="preserve">For example, </w:t>
      </w:r>
      <w:r w:rsidRPr="00EC3C51">
        <w:rPr>
          <w:rStyle w:val="Strong"/>
          <w:b w:val="0"/>
          <w:i/>
          <w:lang w:val="en-US"/>
        </w:rPr>
        <w:t>Nature</w:t>
      </w:r>
      <w:r>
        <w:rPr>
          <w:rStyle w:val="Strong"/>
          <w:b w:val="0"/>
          <w:lang w:val="en-US"/>
        </w:rPr>
        <w:t xml:space="preserve"> editor Philip Campbell argued</w:t>
      </w:r>
      <w:r w:rsidRPr="005157DA">
        <w:rPr>
          <w:rStyle w:val="Strong"/>
          <w:b w:val="0"/>
          <w:lang w:val="en-US"/>
        </w:rPr>
        <w:t xml:space="preserve"> in </w:t>
      </w:r>
      <w:r>
        <w:rPr>
          <w:rStyle w:val="Strong"/>
          <w:b w:val="0"/>
          <w:lang w:val="en-US"/>
        </w:rPr>
        <w:t xml:space="preserve">December </w:t>
      </w:r>
      <w:r w:rsidRPr="005157DA">
        <w:rPr>
          <w:rStyle w:val="Strong"/>
          <w:b w:val="0"/>
          <w:lang w:val="en-US"/>
        </w:rPr>
        <w:t>2011: “It is essential for public health that the full details of any scientific analysis of flu viruses be available to researchers.”</w:t>
      </w:r>
      <w:r w:rsidRPr="005157DA">
        <w:rPr>
          <w:rStyle w:val="FootnoteReference"/>
        </w:rPr>
        <w:footnoteReference w:id="74"/>
      </w:r>
      <w:r w:rsidRPr="005157DA">
        <w:rPr>
          <w:rStyle w:val="Strong"/>
          <w:b w:val="0"/>
          <w:lang w:val="en-US"/>
        </w:rPr>
        <w:t xml:space="preserve"> He was responding to the NSABB’s </w:t>
      </w:r>
      <w:r w:rsidR="00F178BF">
        <w:rPr>
          <w:rStyle w:val="Strong"/>
          <w:b w:val="0"/>
          <w:lang w:val="en-US"/>
        </w:rPr>
        <w:t>original</w:t>
      </w:r>
      <w:r w:rsidRPr="005157DA">
        <w:rPr>
          <w:rStyle w:val="Strong"/>
          <w:b w:val="0"/>
          <w:lang w:val="en-US"/>
        </w:rPr>
        <w:t xml:space="preserve"> recommendation that </w:t>
      </w:r>
      <w:r>
        <w:rPr>
          <w:rStyle w:val="Strong"/>
          <w:b w:val="0"/>
          <w:lang w:val="en-US"/>
        </w:rPr>
        <w:t>a redacted version</w:t>
      </w:r>
      <w:r w:rsidRPr="005157DA">
        <w:rPr>
          <w:rStyle w:val="Strong"/>
          <w:b w:val="0"/>
          <w:lang w:val="en-US"/>
        </w:rPr>
        <w:t xml:space="preserve"> of </w:t>
      </w:r>
      <w:proofErr w:type="spellStart"/>
      <w:r w:rsidRPr="005157DA">
        <w:rPr>
          <w:rStyle w:val="Strong"/>
          <w:b w:val="0"/>
          <w:lang w:val="en-US"/>
        </w:rPr>
        <w:t>Fouchier’s</w:t>
      </w:r>
      <w:proofErr w:type="spellEnd"/>
      <w:r w:rsidRPr="005157DA">
        <w:rPr>
          <w:rStyle w:val="Strong"/>
          <w:b w:val="0"/>
          <w:lang w:val="en-US"/>
        </w:rPr>
        <w:t xml:space="preserve"> </w:t>
      </w:r>
      <w:r>
        <w:rPr>
          <w:rStyle w:val="Strong"/>
          <w:b w:val="0"/>
          <w:lang w:val="en-US"/>
        </w:rPr>
        <w:t>H5N1 paper</w:t>
      </w:r>
      <w:r w:rsidRPr="005157DA">
        <w:rPr>
          <w:rStyle w:val="Strong"/>
          <w:b w:val="0"/>
          <w:lang w:val="en-US"/>
        </w:rPr>
        <w:t xml:space="preserve"> </w:t>
      </w:r>
      <w:proofErr w:type="gramStart"/>
      <w:r w:rsidRPr="005157DA">
        <w:rPr>
          <w:rStyle w:val="Strong"/>
          <w:b w:val="0"/>
          <w:lang w:val="en-US"/>
        </w:rPr>
        <w:t>be published</w:t>
      </w:r>
      <w:proofErr w:type="gramEnd"/>
      <w:r w:rsidRPr="005157DA">
        <w:rPr>
          <w:rStyle w:val="Strong"/>
          <w:b w:val="0"/>
          <w:lang w:val="en-US"/>
        </w:rPr>
        <w:t xml:space="preserve">, and the response of </w:t>
      </w:r>
      <w:r w:rsidRPr="005157DA">
        <w:rPr>
          <w:rStyle w:val="Strong"/>
          <w:b w:val="0"/>
          <w:i/>
          <w:lang w:val="en-US"/>
        </w:rPr>
        <w:t>Science</w:t>
      </w:r>
      <w:r w:rsidRPr="005157DA">
        <w:rPr>
          <w:rStyle w:val="Strong"/>
          <w:b w:val="0"/>
          <w:lang w:val="en-US"/>
        </w:rPr>
        <w:t xml:space="preserve"> </w:t>
      </w:r>
      <w:r>
        <w:rPr>
          <w:rStyle w:val="Strong"/>
          <w:b w:val="0"/>
          <w:lang w:val="en-US"/>
        </w:rPr>
        <w:t xml:space="preserve">editor </w:t>
      </w:r>
      <w:r w:rsidRPr="005157DA">
        <w:rPr>
          <w:rStyle w:val="Strong"/>
          <w:b w:val="0"/>
          <w:lang w:val="en-US"/>
        </w:rPr>
        <w:t>Bruce Alberts was similar:</w:t>
      </w:r>
    </w:p>
    <w:p w:rsidR="00666D13" w:rsidRPr="005157DA" w:rsidRDefault="00666D13" w:rsidP="0051528B">
      <w:pPr>
        <w:spacing w:line="480" w:lineRule="auto"/>
        <w:jc w:val="both"/>
        <w:rPr>
          <w:rStyle w:val="Strong"/>
          <w:b w:val="0"/>
          <w:bCs w:val="0"/>
          <w:lang w:val="en-US"/>
        </w:rPr>
      </w:pPr>
    </w:p>
    <w:p w:rsidR="00666D13" w:rsidRPr="005157DA" w:rsidRDefault="00666D13" w:rsidP="0051528B">
      <w:pPr>
        <w:spacing w:line="480" w:lineRule="auto"/>
        <w:ind w:left="720"/>
        <w:jc w:val="both"/>
        <w:rPr>
          <w:rStyle w:val="Strong"/>
          <w:b w:val="0"/>
          <w:bCs w:val="0"/>
          <w:lang w:val="en-US"/>
        </w:rPr>
      </w:pPr>
      <w:r w:rsidRPr="005157DA">
        <w:rPr>
          <w:rStyle w:val="Strong"/>
          <w:b w:val="0"/>
          <w:i/>
          <w:sz w:val="22"/>
          <w:szCs w:val="22"/>
          <w:lang w:val="en-US"/>
        </w:rPr>
        <w:t>Science</w:t>
      </w:r>
      <w:r w:rsidRPr="005157DA">
        <w:rPr>
          <w:rStyle w:val="Strong"/>
          <w:b w:val="0"/>
          <w:sz w:val="22"/>
          <w:szCs w:val="22"/>
          <w:lang w:val="en-US"/>
        </w:rPr>
        <w:t xml:space="preserve"> has concerns about withholding potentially important public-health information from responsible influenza researchers. Many scientists within the influenza community have a bona fide need to know the details of this research in order to protect the public, especially if they currently are working wi</w:t>
      </w:r>
      <w:r>
        <w:rPr>
          <w:rStyle w:val="Strong"/>
          <w:b w:val="0"/>
          <w:sz w:val="22"/>
          <w:szCs w:val="22"/>
          <w:lang w:val="en-US"/>
        </w:rPr>
        <w:t>th related strains of the virus</w:t>
      </w:r>
      <w:r w:rsidRPr="005157DA">
        <w:rPr>
          <w:rStyle w:val="Strong"/>
          <w:b w:val="0"/>
          <w:sz w:val="22"/>
          <w:szCs w:val="22"/>
          <w:lang w:val="en-US"/>
        </w:rPr>
        <w:t>.</w:t>
      </w:r>
      <w:r w:rsidRPr="005157DA">
        <w:rPr>
          <w:rStyle w:val="FootnoteReference"/>
        </w:rPr>
        <w:footnoteReference w:id="75"/>
      </w:r>
    </w:p>
    <w:p w:rsidR="00666D13" w:rsidRDefault="00666D13" w:rsidP="0051528B">
      <w:pPr>
        <w:spacing w:line="480" w:lineRule="auto"/>
        <w:jc w:val="both"/>
        <w:rPr>
          <w:rStyle w:val="Strong"/>
          <w:b w:val="0"/>
          <w:bCs w:val="0"/>
          <w:lang w:val="en-US"/>
        </w:rPr>
      </w:pPr>
    </w:p>
    <w:p w:rsidR="00F178BF" w:rsidRDefault="00666D13" w:rsidP="0051528B">
      <w:pPr>
        <w:spacing w:line="480" w:lineRule="auto"/>
        <w:jc w:val="both"/>
        <w:rPr>
          <w:rStyle w:val="Strong"/>
          <w:b w:val="0"/>
          <w:lang w:val="en-US"/>
        </w:rPr>
      </w:pPr>
      <w:r>
        <w:rPr>
          <w:lang w:val="en-US"/>
        </w:rPr>
        <w:t>Alberts later attributed his journal’s “default position” (full publication) to</w:t>
      </w:r>
      <w:r w:rsidRPr="00C61187">
        <w:rPr>
          <w:lang w:val="en-US"/>
        </w:rPr>
        <w:t xml:space="preserve"> </w:t>
      </w:r>
      <w:r>
        <w:rPr>
          <w:lang w:val="en-US"/>
        </w:rPr>
        <w:t>“</w:t>
      </w:r>
      <w:r w:rsidRPr="00C61187">
        <w:rPr>
          <w:lang w:val="en-US"/>
        </w:rPr>
        <w:t>the absence of any mechanism to get the information to those scientists and health officials who need to know and need to protect their populations and to des</w:t>
      </w:r>
      <w:r>
        <w:rPr>
          <w:lang w:val="en-US"/>
        </w:rPr>
        <w:t>ign new treatments and vaccines”.</w:t>
      </w:r>
      <w:r>
        <w:rPr>
          <w:rStyle w:val="FootnoteReference"/>
          <w:lang w:val="en-US"/>
        </w:rPr>
        <w:footnoteReference w:id="76"/>
      </w:r>
      <w:r>
        <w:rPr>
          <w:lang w:val="en-US"/>
        </w:rPr>
        <w:t xml:space="preserve"> </w:t>
      </w:r>
      <w:r w:rsidRPr="005157DA">
        <w:rPr>
          <w:rStyle w:val="Strong"/>
          <w:b w:val="0"/>
          <w:lang w:val="en-US"/>
        </w:rPr>
        <w:t xml:space="preserve">Consistent with these statements, and </w:t>
      </w:r>
      <w:proofErr w:type="gramStart"/>
      <w:r w:rsidRPr="005157DA">
        <w:rPr>
          <w:rStyle w:val="Strong"/>
          <w:b w:val="0"/>
          <w:lang w:val="en-US"/>
        </w:rPr>
        <w:t>on the basis of</w:t>
      </w:r>
      <w:proofErr w:type="gramEnd"/>
      <w:r w:rsidRPr="005157DA">
        <w:rPr>
          <w:rStyle w:val="Strong"/>
          <w:b w:val="0"/>
          <w:lang w:val="en-US"/>
        </w:rPr>
        <w:t xml:space="preserve"> a survey of 127 journal editors in 27 countries, Daniel </w:t>
      </w:r>
      <w:proofErr w:type="spellStart"/>
      <w:r w:rsidRPr="005157DA">
        <w:rPr>
          <w:rStyle w:val="Strong"/>
          <w:b w:val="0"/>
          <w:lang w:val="en-US"/>
        </w:rPr>
        <w:t>Patrone</w:t>
      </w:r>
      <w:proofErr w:type="spellEnd"/>
      <w:r w:rsidRPr="005157DA">
        <w:rPr>
          <w:rStyle w:val="Strong"/>
          <w:b w:val="0"/>
          <w:lang w:val="en-US"/>
        </w:rPr>
        <w:t xml:space="preserve"> and his </w:t>
      </w:r>
      <w:r>
        <w:rPr>
          <w:rStyle w:val="Strong"/>
          <w:b w:val="0"/>
          <w:lang w:val="en-US"/>
        </w:rPr>
        <w:t>colleagues</w:t>
      </w:r>
      <w:r w:rsidRPr="005157DA">
        <w:rPr>
          <w:rStyle w:val="Strong"/>
          <w:b w:val="0"/>
          <w:lang w:val="en-US"/>
        </w:rPr>
        <w:t xml:space="preserve"> </w:t>
      </w:r>
      <w:r>
        <w:rPr>
          <w:rStyle w:val="Strong"/>
          <w:b w:val="0"/>
          <w:lang w:val="en-US"/>
        </w:rPr>
        <w:t xml:space="preserve">have </w:t>
      </w:r>
      <w:r w:rsidRPr="005157DA">
        <w:rPr>
          <w:rStyle w:val="Strong"/>
          <w:b w:val="0"/>
          <w:lang w:val="en-US"/>
        </w:rPr>
        <w:t>predicted: “editors will be reluctant to withhold publication of dual-use research without at least having practical mechanisms for identifying responsible researchers and organizations with legitimate needs for the information and for distributing the information to them.”</w:t>
      </w:r>
      <w:r w:rsidRPr="005157DA">
        <w:rPr>
          <w:rStyle w:val="FootnoteReference"/>
        </w:rPr>
        <w:footnoteReference w:id="77"/>
      </w:r>
      <w:r>
        <w:rPr>
          <w:rStyle w:val="Strong"/>
          <w:b w:val="0"/>
          <w:lang w:val="en-US"/>
        </w:rPr>
        <w:t xml:space="preserve"> </w:t>
      </w:r>
    </w:p>
    <w:p w:rsidR="00F178BF" w:rsidRDefault="00F178BF" w:rsidP="0051528B">
      <w:pPr>
        <w:spacing w:line="480" w:lineRule="auto"/>
        <w:jc w:val="both"/>
        <w:rPr>
          <w:rStyle w:val="Strong"/>
          <w:b w:val="0"/>
          <w:lang w:val="en-US"/>
        </w:rPr>
      </w:pPr>
    </w:p>
    <w:p w:rsidR="00666D13" w:rsidRPr="00F178BF" w:rsidRDefault="00666D13" w:rsidP="0051528B">
      <w:pPr>
        <w:spacing w:line="480" w:lineRule="auto"/>
        <w:jc w:val="both"/>
        <w:rPr>
          <w:lang w:val="en-US"/>
        </w:rPr>
      </w:pPr>
      <w:r>
        <w:rPr>
          <w:rStyle w:val="Strong"/>
          <w:b w:val="0"/>
          <w:lang w:val="en-US"/>
        </w:rPr>
        <w:t>One practical mechanism worth considering, as an alternative to redaction, is the issuing of a permit for the targeted export of research findings that pose a dual-use dilemma. This would involve</w:t>
      </w:r>
      <w:r>
        <w:rPr>
          <w:rStyle w:val="Strong"/>
          <w:b w:val="0"/>
          <w:bCs w:val="0"/>
          <w:lang w:val="en-US"/>
        </w:rPr>
        <w:t xml:space="preserve"> </w:t>
      </w:r>
      <w:r w:rsidRPr="005157DA">
        <w:rPr>
          <w:rStyle w:val="Strong"/>
          <w:b w:val="0"/>
          <w:lang w:val="en-US"/>
        </w:rPr>
        <w:t>limiting the number of recipients rather than</w:t>
      </w:r>
      <w:r>
        <w:rPr>
          <w:rStyle w:val="Strong"/>
          <w:b w:val="0"/>
          <w:lang w:val="en-US"/>
        </w:rPr>
        <w:t xml:space="preserve"> limiting</w:t>
      </w:r>
      <w:r w:rsidRPr="005157DA">
        <w:rPr>
          <w:rStyle w:val="Strong"/>
          <w:b w:val="0"/>
          <w:lang w:val="en-US"/>
        </w:rPr>
        <w:t xml:space="preserve"> the </w:t>
      </w:r>
      <w:r>
        <w:rPr>
          <w:rStyle w:val="Strong"/>
          <w:b w:val="0"/>
          <w:lang w:val="en-US"/>
        </w:rPr>
        <w:t xml:space="preserve">degree to which those findings </w:t>
      </w:r>
      <w:proofErr w:type="gramStart"/>
      <w:r>
        <w:rPr>
          <w:rStyle w:val="Strong"/>
          <w:b w:val="0"/>
          <w:lang w:val="en-US"/>
        </w:rPr>
        <w:t>were described</w:t>
      </w:r>
      <w:proofErr w:type="gramEnd"/>
      <w:r w:rsidRPr="005157DA">
        <w:rPr>
          <w:rStyle w:val="Strong"/>
          <w:b w:val="0"/>
          <w:lang w:val="en-US"/>
        </w:rPr>
        <w:t xml:space="preserve">. </w:t>
      </w:r>
      <w:r>
        <w:rPr>
          <w:rStyle w:val="Strong"/>
          <w:b w:val="0"/>
          <w:lang w:val="en-US"/>
        </w:rPr>
        <w:t xml:space="preserve">Arguably, if </w:t>
      </w:r>
      <w:r w:rsidRPr="005157DA">
        <w:rPr>
          <w:rStyle w:val="Strong"/>
          <w:b w:val="0"/>
          <w:lang w:val="en-US"/>
        </w:rPr>
        <w:t xml:space="preserve">findings </w:t>
      </w:r>
      <w:r>
        <w:rPr>
          <w:rStyle w:val="Strong"/>
          <w:b w:val="0"/>
          <w:lang w:val="en-US"/>
        </w:rPr>
        <w:t xml:space="preserve">like </w:t>
      </w:r>
      <w:proofErr w:type="spellStart"/>
      <w:r>
        <w:rPr>
          <w:rStyle w:val="Strong"/>
          <w:b w:val="0"/>
          <w:lang w:val="en-US"/>
        </w:rPr>
        <w:t>Fouchier’s</w:t>
      </w:r>
      <w:proofErr w:type="spellEnd"/>
      <w:r>
        <w:rPr>
          <w:rStyle w:val="Strong"/>
          <w:b w:val="0"/>
          <w:lang w:val="en-US"/>
        </w:rPr>
        <w:t xml:space="preserve"> </w:t>
      </w:r>
      <w:r w:rsidRPr="005157DA">
        <w:rPr>
          <w:rStyle w:val="Strong"/>
          <w:b w:val="0"/>
          <w:lang w:val="en-US"/>
        </w:rPr>
        <w:t xml:space="preserve">could be disseminated </w:t>
      </w:r>
      <w:r>
        <w:rPr>
          <w:rStyle w:val="Strong"/>
          <w:b w:val="0"/>
          <w:lang w:val="en-US"/>
        </w:rPr>
        <w:t xml:space="preserve">directly </w:t>
      </w:r>
      <w:r w:rsidRPr="005157DA">
        <w:rPr>
          <w:rStyle w:val="Strong"/>
          <w:b w:val="0"/>
          <w:lang w:val="en-US"/>
        </w:rPr>
        <w:t xml:space="preserve">to those </w:t>
      </w:r>
      <w:r w:rsidRPr="005157DA">
        <w:rPr>
          <w:rStyle w:val="Strong"/>
          <w:b w:val="0"/>
          <w:lang w:val="en-US"/>
        </w:rPr>
        <w:lastRenderedPageBreak/>
        <w:t>“scientists within the influenza community [who] have a bona fide need” for them,</w:t>
      </w:r>
      <w:r w:rsidRPr="005157DA">
        <w:rPr>
          <w:rStyle w:val="FootnoteReference"/>
        </w:rPr>
        <w:footnoteReference w:id="78"/>
      </w:r>
      <w:r w:rsidRPr="005157DA">
        <w:rPr>
          <w:rStyle w:val="Strong"/>
          <w:b w:val="0"/>
          <w:lang w:val="en-US"/>
        </w:rPr>
        <w:t xml:space="preserve"> the public health concerns </w:t>
      </w:r>
      <w:r>
        <w:rPr>
          <w:rStyle w:val="Strong"/>
          <w:b w:val="0"/>
          <w:lang w:val="en-US"/>
        </w:rPr>
        <w:t>expressed by</w:t>
      </w:r>
      <w:r w:rsidRPr="005157DA">
        <w:rPr>
          <w:rStyle w:val="Strong"/>
          <w:b w:val="0"/>
          <w:lang w:val="en-US"/>
        </w:rPr>
        <w:t xml:space="preserve"> journal editors would be </w:t>
      </w:r>
      <w:r>
        <w:rPr>
          <w:rStyle w:val="Strong"/>
          <w:b w:val="0"/>
          <w:lang w:val="en-US"/>
        </w:rPr>
        <w:t>assuaged.</w:t>
      </w:r>
      <w:r w:rsidRPr="005157DA">
        <w:rPr>
          <w:rStyle w:val="Strong"/>
          <w:b w:val="0"/>
          <w:lang w:val="en-US"/>
        </w:rPr>
        <w:t xml:space="preserve"> </w:t>
      </w:r>
      <w:r>
        <w:t>As an additional mechanism for governing intangible technology transfers under Regulation 428/2009, an EU system of permits for targeted export (PTEs) might operate as follows:</w:t>
      </w:r>
    </w:p>
    <w:p w:rsidR="00666D13" w:rsidRDefault="00666D13" w:rsidP="0051528B">
      <w:pPr>
        <w:pStyle w:val="PlainText"/>
        <w:spacing w:line="480" w:lineRule="auto"/>
        <w:jc w:val="both"/>
        <w:rPr>
          <w:rFonts w:ascii="Times New Roman" w:hAnsi="Times New Roman" w:cs="Times New Roman"/>
          <w:sz w:val="24"/>
          <w:szCs w:val="24"/>
        </w:rPr>
      </w:pPr>
    </w:p>
    <w:p w:rsidR="00666D13" w:rsidRDefault="00666D13" w:rsidP="0051528B">
      <w:pPr>
        <w:spacing w:line="480" w:lineRule="auto"/>
        <w:jc w:val="both"/>
        <w:rPr>
          <w:lang w:val="en-US"/>
        </w:rPr>
      </w:pPr>
      <w:proofErr w:type="gramStart"/>
      <w:r>
        <w:rPr>
          <w:lang w:val="en-US"/>
        </w:rPr>
        <w:t xml:space="preserve">1. </w:t>
      </w:r>
      <w:r w:rsidRPr="00E6682D">
        <w:rPr>
          <w:lang w:val="en-US"/>
        </w:rPr>
        <w:t>Preliminary permit</w:t>
      </w:r>
      <w:r>
        <w:rPr>
          <w:lang w:val="en-US"/>
        </w:rPr>
        <w:t>: After receiving an application for permission to transmit dual-use research findings electronically to a journal editor located outside the EU, a government issues a preliminary permit (an ‘individual export authorization’ as defined in Article 2 of the Regulation) for the sole purpose of allowing the scientific quality of the research to be scrutinized through the journal’s normal peer-review processes.</w:t>
      </w:r>
      <w:proofErr w:type="gramEnd"/>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Pr>
          <w:lang w:val="en-US"/>
        </w:rPr>
        <w:t xml:space="preserve">2. Scientific quality certification: Following peer-review, an applicant for an export permit submits to the government whatever letter s/he received from the relevant journal editor indicating that the research findings are fit to publish on scientific grounds. </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Pr>
          <w:lang w:val="en-US"/>
        </w:rPr>
        <w:t xml:space="preserve">3. Distribution list: If the research findings </w:t>
      </w:r>
      <w:proofErr w:type="gramStart"/>
      <w:r>
        <w:rPr>
          <w:lang w:val="en-US"/>
        </w:rPr>
        <w:t>are certified</w:t>
      </w:r>
      <w:proofErr w:type="gramEnd"/>
      <w:r>
        <w:rPr>
          <w:lang w:val="en-US"/>
        </w:rPr>
        <w:t xml:space="preserve"> as scientifically sound, but the government determines </w:t>
      </w:r>
      <w:r w:rsidR="008F3430" w:rsidRPr="001A20B5">
        <w:rPr>
          <w:b/>
          <w:lang w:val="en-US"/>
        </w:rPr>
        <w:t>(after consulting relevant experts)</w:t>
      </w:r>
      <w:r w:rsidR="008F3430">
        <w:rPr>
          <w:lang w:val="en-US"/>
        </w:rPr>
        <w:t xml:space="preserve"> </w:t>
      </w:r>
      <w:r>
        <w:rPr>
          <w:lang w:val="en-US"/>
        </w:rPr>
        <w:t xml:space="preserve">that the risks of regular publication are too great, the applicant </w:t>
      </w:r>
      <w:r w:rsidR="008F3430">
        <w:rPr>
          <w:lang w:val="en-US"/>
        </w:rPr>
        <w:t>is</w:t>
      </w:r>
      <w:r>
        <w:rPr>
          <w:lang w:val="en-US"/>
        </w:rPr>
        <w:t xml:space="preserve"> invited to submit a list of individuals located outside the EU (names and addresses) to whom the intangible technology should be exported for </w:t>
      </w:r>
      <w:r w:rsidR="00F178BF">
        <w:rPr>
          <w:lang w:val="en-US"/>
        </w:rPr>
        <w:t xml:space="preserve">the sake of </w:t>
      </w:r>
      <w:r>
        <w:rPr>
          <w:lang w:val="en-US"/>
        </w:rPr>
        <w:t>public health.</w:t>
      </w:r>
    </w:p>
    <w:p w:rsidR="00666D13" w:rsidRDefault="00666D13" w:rsidP="0051528B">
      <w:pPr>
        <w:spacing w:line="480" w:lineRule="auto"/>
        <w:jc w:val="both"/>
        <w:rPr>
          <w:lang w:val="en-US"/>
        </w:rPr>
      </w:pPr>
    </w:p>
    <w:p w:rsidR="00666D13" w:rsidRPr="004D6D66" w:rsidRDefault="00666D13" w:rsidP="0051528B">
      <w:pPr>
        <w:spacing w:line="480" w:lineRule="auto"/>
        <w:jc w:val="both"/>
        <w:rPr>
          <w:rStyle w:val="Strong"/>
          <w:b w:val="0"/>
          <w:bCs w:val="0"/>
          <w:lang w:val="en-US"/>
        </w:rPr>
      </w:pPr>
      <w:r>
        <w:rPr>
          <w:lang w:val="en-US"/>
        </w:rPr>
        <w:lastRenderedPageBreak/>
        <w:t xml:space="preserve">4. Permit for targeted export: The government issues a PTE, covering all individual recipients named on the applicant’s list, enabling intangible technology to </w:t>
      </w:r>
      <w:proofErr w:type="gramStart"/>
      <w:r>
        <w:rPr>
          <w:lang w:val="en-US"/>
        </w:rPr>
        <w:t>be lawfully transferred</w:t>
      </w:r>
      <w:proofErr w:type="gramEnd"/>
      <w:r>
        <w:rPr>
          <w:lang w:val="en-US"/>
        </w:rPr>
        <w:t xml:space="preserve"> accordingly. </w:t>
      </w:r>
      <w:r>
        <w:rPr>
          <w:rStyle w:val="Strong"/>
          <w:b w:val="0"/>
          <w:lang w:val="en-US"/>
        </w:rPr>
        <w:t>Transmitted research f</w:t>
      </w:r>
      <w:r w:rsidRPr="00CC3767">
        <w:rPr>
          <w:rStyle w:val="Strong"/>
          <w:b w:val="0"/>
          <w:lang w:val="en-US"/>
        </w:rPr>
        <w:t xml:space="preserve">indings </w:t>
      </w:r>
      <w:proofErr w:type="gramStart"/>
      <w:r>
        <w:rPr>
          <w:rStyle w:val="Strong"/>
          <w:b w:val="0"/>
          <w:lang w:val="en-US"/>
        </w:rPr>
        <w:t>could also be</w:t>
      </w:r>
      <w:r w:rsidRPr="00CC3767">
        <w:rPr>
          <w:rStyle w:val="Strong"/>
          <w:b w:val="0"/>
          <w:lang w:val="en-US"/>
        </w:rPr>
        <w:t xml:space="preserve"> accompanied</w:t>
      </w:r>
      <w:proofErr w:type="gramEnd"/>
      <w:r w:rsidRPr="00CC3767">
        <w:rPr>
          <w:rStyle w:val="Strong"/>
          <w:b w:val="0"/>
          <w:lang w:val="en-US"/>
        </w:rPr>
        <w:t xml:space="preserve"> by </w:t>
      </w:r>
      <w:r>
        <w:rPr>
          <w:rStyle w:val="Strong"/>
          <w:b w:val="0"/>
          <w:lang w:val="en-US"/>
        </w:rPr>
        <w:t>a copy of the letter issued by a journal’s</w:t>
      </w:r>
      <w:r w:rsidRPr="00CC3767">
        <w:rPr>
          <w:rStyle w:val="Strong"/>
          <w:b w:val="0"/>
          <w:lang w:val="en-US"/>
        </w:rPr>
        <w:t xml:space="preserve"> editor indicating that </w:t>
      </w:r>
      <w:r>
        <w:rPr>
          <w:rStyle w:val="Strong"/>
          <w:b w:val="0"/>
          <w:lang w:val="en-US"/>
        </w:rPr>
        <w:t xml:space="preserve">its </w:t>
      </w:r>
      <w:r w:rsidRPr="00CC3767">
        <w:rPr>
          <w:rStyle w:val="Strong"/>
          <w:b w:val="0"/>
          <w:lang w:val="en-US"/>
        </w:rPr>
        <w:t>reviewers are satisfied with the scie</w:t>
      </w:r>
      <w:r>
        <w:rPr>
          <w:rStyle w:val="Strong"/>
          <w:b w:val="0"/>
          <w:lang w:val="en-US"/>
        </w:rPr>
        <w:t xml:space="preserve">ntific quality of the research. </w:t>
      </w:r>
      <w:r w:rsidRPr="003F2CB7">
        <w:rPr>
          <w:rStyle w:val="Strong"/>
          <w:b w:val="0"/>
          <w:lang w:val="en-US"/>
        </w:rPr>
        <w:t xml:space="preserve">All </w:t>
      </w:r>
      <w:r>
        <w:rPr>
          <w:rStyle w:val="Strong"/>
          <w:b w:val="0"/>
          <w:lang w:val="en-US"/>
        </w:rPr>
        <w:t xml:space="preserve">the </w:t>
      </w:r>
      <w:r w:rsidRPr="003F2CB7">
        <w:rPr>
          <w:rStyle w:val="Strong"/>
          <w:b w:val="0"/>
          <w:lang w:val="en-US"/>
        </w:rPr>
        <w:t xml:space="preserve">direct financial costs of </w:t>
      </w:r>
      <w:r>
        <w:rPr>
          <w:rStyle w:val="Strong"/>
          <w:b w:val="0"/>
          <w:lang w:val="en-US"/>
        </w:rPr>
        <w:t xml:space="preserve">technology </w:t>
      </w:r>
      <w:r w:rsidR="00F178BF">
        <w:rPr>
          <w:rStyle w:val="Strong"/>
          <w:b w:val="0"/>
          <w:lang w:val="en-US"/>
        </w:rPr>
        <w:t>transferal</w:t>
      </w:r>
      <w:r>
        <w:rPr>
          <w:rStyle w:val="Strong"/>
          <w:b w:val="0"/>
          <w:lang w:val="en-US"/>
        </w:rPr>
        <w:t xml:space="preserve"> at this stage are borne</w:t>
      </w:r>
      <w:r w:rsidRPr="003F2CB7">
        <w:rPr>
          <w:rStyle w:val="Strong"/>
          <w:b w:val="0"/>
          <w:lang w:val="en-US"/>
        </w:rPr>
        <w:t xml:space="preserve"> by the </w:t>
      </w:r>
      <w:r w:rsidR="00F178BF">
        <w:rPr>
          <w:rStyle w:val="Strong"/>
          <w:b w:val="0"/>
          <w:lang w:val="en-US"/>
        </w:rPr>
        <w:t xml:space="preserve">authorizing </w:t>
      </w:r>
      <w:r w:rsidRPr="003F2CB7">
        <w:rPr>
          <w:rStyle w:val="Strong"/>
          <w:b w:val="0"/>
          <w:lang w:val="en-US"/>
        </w:rPr>
        <w:t>government</w:t>
      </w:r>
      <w:r>
        <w:rPr>
          <w:rStyle w:val="Strong"/>
          <w:b w:val="0"/>
          <w:lang w:val="en-US"/>
        </w:rPr>
        <w:t>.</w:t>
      </w:r>
    </w:p>
    <w:p w:rsidR="00666D13" w:rsidRDefault="00666D13" w:rsidP="0051528B">
      <w:pPr>
        <w:spacing w:line="480" w:lineRule="auto"/>
        <w:jc w:val="both"/>
        <w:rPr>
          <w:lang w:val="en-US"/>
        </w:rPr>
      </w:pPr>
    </w:p>
    <w:p w:rsidR="00666D13" w:rsidRPr="00910BCE" w:rsidRDefault="00666D13" w:rsidP="0051528B">
      <w:pPr>
        <w:spacing w:line="480" w:lineRule="auto"/>
        <w:jc w:val="both"/>
        <w:rPr>
          <w:rStyle w:val="Strong"/>
          <w:b w:val="0"/>
          <w:bCs w:val="0"/>
          <w:lang w:val="en-US"/>
        </w:rPr>
      </w:pPr>
      <w:r>
        <w:rPr>
          <w:lang w:val="en-US"/>
        </w:rPr>
        <w:t xml:space="preserve">5. BWC disclosure: Immediately after the issuing of a PTE, the government submits the applicant’s research findings to the BWC Implementation Support Unit (within the </w:t>
      </w:r>
      <w:r w:rsidRPr="00CC3767">
        <w:rPr>
          <w:rStyle w:val="Strong"/>
          <w:b w:val="0"/>
          <w:lang w:val="en-US"/>
        </w:rPr>
        <w:t>United Nations Office at Geneva</w:t>
      </w:r>
      <w:r>
        <w:rPr>
          <w:rStyle w:val="Strong"/>
          <w:b w:val="0"/>
          <w:lang w:val="en-US"/>
        </w:rPr>
        <w:t xml:space="preserve">) to enable the transmission of the findings to the diplomatic representatives of all BWC member states. Each member state is at the same time also provided with the list of the individuals authorized </w:t>
      </w:r>
      <w:r w:rsidR="00F178BF">
        <w:rPr>
          <w:rStyle w:val="Strong"/>
          <w:b w:val="0"/>
          <w:lang w:val="en-US"/>
        </w:rPr>
        <w:t>under</w:t>
      </w:r>
      <w:r>
        <w:rPr>
          <w:rStyle w:val="Strong"/>
          <w:b w:val="0"/>
          <w:lang w:val="en-US"/>
        </w:rPr>
        <w:t xml:space="preserve"> the </w:t>
      </w:r>
      <w:r w:rsidR="00F178BF">
        <w:rPr>
          <w:rStyle w:val="Strong"/>
          <w:b w:val="0"/>
          <w:lang w:val="en-US"/>
        </w:rPr>
        <w:t>PTE</w:t>
      </w:r>
      <w:r>
        <w:rPr>
          <w:rStyle w:val="Strong"/>
          <w:b w:val="0"/>
          <w:lang w:val="en-US"/>
        </w:rPr>
        <w:t xml:space="preserve"> to receive this particular dual-use technology.</w:t>
      </w:r>
    </w:p>
    <w:p w:rsidR="00666D13" w:rsidRDefault="00666D13" w:rsidP="0051528B">
      <w:pPr>
        <w:spacing w:line="480" w:lineRule="auto"/>
        <w:jc w:val="both"/>
        <w:rPr>
          <w:rStyle w:val="Strong"/>
          <w:b w:val="0"/>
          <w:lang w:val="en-US"/>
        </w:rPr>
      </w:pPr>
    </w:p>
    <w:p w:rsidR="00666D13" w:rsidRPr="008370F8" w:rsidRDefault="00666D13" w:rsidP="0051528B">
      <w:pPr>
        <w:spacing w:line="480" w:lineRule="auto"/>
        <w:jc w:val="both"/>
        <w:rPr>
          <w:rStyle w:val="Strong"/>
          <w:b w:val="0"/>
          <w:bCs w:val="0"/>
          <w:lang w:val="en-US"/>
        </w:rPr>
      </w:pPr>
      <w:r>
        <w:rPr>
          <w:lang w:val="en-US"/>
        </w:rPr>
        <w:t xml:space="preserve">In a case similar to that involving </w:t>
      </w:r>
      <w:proofErr w:type="spellStart"/>
      <w:r>
        <w:rPr>
          <w:lang w:val="en-US"/>
        </w:rPr>
        <w:t>Fouchier’s</w:t>
      </w:r>
      <w:proofErr w:type="spellEnd"/>
      <w:r>
        <w:rPr>
          <w:lang w:val="en-US"/>
        </w:rPr>
        <w:t xml:space="preserve"> H5N1 findings, the availability of the option to issue a PTE in this way would afford more scope for a government to respond to </w:t>
      </w:r>
      <w:r w:rsidR="00F178BF">
        <w:rPr>
          <w:lang w:val="en-US"/>
        </w:rPr>
        <w:t xml:space="preserve">concerns about </w:t>
      </w:r>
      <w:r>
        <w:rPr>
          <w:lang w:val="en-US"/>
        </w:rPr>
        <w:t xml:space="preserve">security </w:t>
      </w:r>
      <w:r w:rsidR="00F178BF">
        <w:rPr>
          <w:lang w:val="en-US"/>
        </w:rPr>
        <w:t xml:space="preserve">risks </w:t>
      </w:r>
      <w:r>
        <w:rPr>
          <w:lang w:val="en-US"/>
        </w:rPr>
        <w:t xml:space="preserve">and public health </w:t>
      </w:r>
      <w:r w:rsidR="00F178BF">
        <w:rPr>
          <w:lang w:val="en-US"/>
        </w:rPr>
        <w:t>benefits</w:t>
      </w:r>
      <w:r>
        <w:rPr>
          <w:lang w:val="en-US"/>
        </w:rPr>
        <w:t xml:space="preserve"> in accordance with the proportionality principle. Firstly, a PTE is </w:t>
      </w:r>
      <w:r w:rsidR="00644FEA">
        <w:rPr>
          <w:lang w:val="en-US"/>
        </w:rPr>
        <w:t xml:space="preserve">clearly </w:t>
      </w:r>
      <w:r>
        <w:rPr>
          <w:lang w:val="en-US"/>
        </w:rPr>
        <w:t xml:space="preserve">more likely to satisfy the ‘least intrusive means’ test than is an outright refusal of export authorization (censorship). And secondly, regarding the principle’s ‘effectiveness’ test, the PTE option has the advantage of facilitating the dissemination of information to individuals and governments who need to have it while also being effective in limiting the associated risk. </w:t>
      </w:r>
      <w:r>
        <w:rPr>
          <w:rStyle w:val="Strong"/>
          <w:b w:val="0"/>
          <w:lang w:val="en-US"/>
        </w:rPr>
        <w:t xml:space="preserve">At stages </w:t>
      </w:r>
      <w:proofErr w:type="gramStart"/>
      <w:r>
        <w:rPr>
          <w:rStyle w:val="Strong"/>
          <w:b w:val="0"/>
          <w:lang w:val="en-US"/>
        </w:rPr>
        <w:t>1</w:t>
      </w:r>
      <w:proofErr w:type="gramEnd"/>
      <w:r>
        <w:rPr>
          <w:rStyle w:val="Strong"/>
          <w:b w:val="0"/>
          <w:lang w:val="en-US"/>
        </w:rPr>
        <w:t xml:space="preserve">, 4 and 5 of the process outlined above there would still </w:t>
      </w:r>
      <w:bookmarkStart w:id="0" w:name="_GoBack"/>
      <w:bookmarkEnd w:id="0"/>
      <w:r>
        <w:rPr>
          <w:rStyle w:val="Strong"/>
          <w:b w:val="0"/>
          <w:lang w:val="en-US"/>
        </w:rPr>
        <w:t xml:space="preserve">be potential for the authorized recipients of data to transfer it to others. </w:t>
      </w:r>
      <w:r w:rsidR="008F3430" w:rsidRPr="001A20B5">
        <w:rPr>
          <w:rStyle w:val="Strong"/>
          <w:lang w:val="en-US"/>
        </w:rPr>
        <w:t>For example, there might be nothing preventing persons outside the EU from forwarding on the data.</w:t>
      </w:r>
      <w:r w:rsidR="008F3430">
        <w:rPr>
          <w:rStyle w:val="Strong"/>
          <w:b w:val="0"/>
          <w:lang w:val="en-US"/>
        </w:rPr>
        <w:t xml:space="preserve"> </w:t>
      </w:r>
      <w:r>
        <w:rPr>
          <w:rStyle w:val="Strong"/>
          <w:b w:val="0"/>
          <w:lang w:val="en-US"/>
        </w:rPr>
        <w:t xml:space="preserve">Even so, preventing publication in major journals like </w:t>
      </w:r>
      <w:r w:rsidRPr="00036EE9">
        <w:rPr>
          <w:rStyle w:val="Strong"/>
          <w:b w:val="0"/>
          <w:i/>
          <w:lang w:val="en-US"/>
        </w:rPr>
        <w:t>Science</w:t>
      </w:r>
      <w:r>
        <w:rPr>
          <w:rStyle w:val="Strong"/>
          <w:b w:val="0"/>
          <w:lang w:val="en-US"/>
        </w:rPr>
        <w:t xml:space="preserve"> and </w:t>
      </w:r>
      <w:r w:rsidRPr="00036EE9">
        <w:rPr>
          <w:rStyle w:val="Strong"/>
          <w:b w:val="0"/>
          <w:i/>
          <w:lang w:val="en-US"/>
        </w:rPr>
        <w:t>Nature</w:t>
      </w:r>
      <w:r>
        <w:rPr>
          <w:rStyle w:val="Strong"/>
          <w:b w:val="0"/>
          <w:lang w:val="en-US"/>
        </w:rPr>
        <w:t xml:space="preserve">, with their vast </w:t>
      </w:r>
      <w:r>
        <w:rPr>
          <w:rStyle w:val="Strong"/>
          <w:b w:val="0"/>
          <w:lang w:val="en-US"/>
        </w:rPr>
        <w:lastRenderedPageBreak/>
        <w:t xml:space="preserve">readerships, is what </w:t>
      </w:r>
      <w:r w:rsidR="00644FEA">
        <w:rPr>
          <w:rStyle w:val="Strong"/>
          <w:b w:val="0"/>
          <w:lang w:val="en-US"/>
        </w:rPr>
        <w:t>would prevent</w:t>
      </w:r>
      <w:r>
        <w:rPr>
          <w:rStyle w:val="Strong"/>
          <w:b w:val="0"/>
          <w:lang w:val="en-US"/>
        </w:rPr>
        <w:t xml:space="preserve"> the greatest degree of </w:t>
      </w:r>
      <w:proofErr w:type="gramStart"/>
      <w:r>
        <w:rPr>
          <w:rStyle w:val="Strong"/>
          <w:b w:val="0"/>
          <w:lang w:val="en-US"/>
        </w:rPr>
        <w:t>information-sharing</w:t>
      </w:r>
      <w:proofErr w:type="gramEnd"/>
      <w:r>
        <w:rPr>
          <w:rStyle w:val="Strong"/>
          <w:b w:val="0"/>
          <w:lang w:val="en-US"/>
        </w:rPr>
        <w:t xml:space="preserve">. </w:t>
      </w:r>
      <w:r>
        <w:rPr>
          <w:lang w:val="en-US"/>
        </w:rPr>
        <w:t>A PTE</w:t>
      </w:r>
      <w:r w:rsidRPr="00FB377D">
        <w:rPr>
          <w:lang w:val="en-US"/>
        </w:rPr>
        <w:t xml:space="preserve"> would not prevent </w:t>
      </w:r>
      <w:r w:rsidRPr="00711870">
        <w:rPr>
          <w:i/>
          <w:lang w:val="en-US"/>
        </w:rPr>
        <w:t>all</w:t>
      </w:r>
      <w:r w:rsidRPr="00FB377D">
        <w:rPr>
          <w:lang w:val="en-US"/>
        </w:rPr>
        <w:t xml:space="preserve"> dissemination</w:t>
      </w:r>
      <w:r>
        <w:rPr>
          <w:lang w:val="en-US"/>
        </w:rPr>
        <w:t xml:space="preserve"> of a given intangible dual-use technology, but it would prevent at least some dissemination and possibly most of what would have occurred </w:t>
      </w:r>
      <w:proofErr w:type="gramStart"/>
      <w:r>
        <w:rPr>
          <w:lang w:val="en-US"/>
        </w:rPr>
        <w:t xml:space="preserve">as a </w:t>
      </w:r>
      <w:r w:rsidR="00644FEA">
        <w:rPr>
          <w:lang w:val="en-US"/>
        </w:rPr>
        <w:t>consequence</w:t>
      </w:r>
      <w:proofErr w:type="gramEnd"/>
      <w:r>
        <w:rPr>
          <w:lang w:val="en-US"/>
        </w:rPr>
        <w:t xml:space="preserve"> of publication. With every successful replication (done by reference to a written methodology) of </w:t>
      </w:r>
      <w:proofErr w:type="spellStart"/>
      <w:r>
        <w:rPr>
          <w:lang w:val="en-US"/>
        </w:rPr>
        <w:t>Fouchier’s</w:t>
      </w:r>
      <w:proofErr w:type="spellEnd"/>
      <w:r>
        <w:rPr>
          <w:lang w:val="en-US"/>
        </w:rPr>
        <w:t xml:space="preserve"> H5N1 experiment, for example, </w:t>
      </w:r>
      <w:r w:rsidRPr="00FF125E">
        <w:rPr>
          <w:lang w:val="en-US"/>
        </w:rPr>
        <w:t>there is</w:t>
      </w:r>
      <w:r>
        <w:rPr>
          <w:lang w:val="en-US"/>
        </w:rPr>
        <w:t xml:space="preserve"> a chance the mutated virus </w:t>
      </w:r>
      <w:r w:rsidRPr="00FF125E">
        <w:rPr>
          <w:lang w:val="en-US"/>
        </w:rPr>
        <w:t xml:space="preserve">will escape </w:t>
      </w:r>
      <w:r>
        <w:rPr>
          <w:lang w:val="en-US"/>
        </w:rPr>
        <w:t xml:space="preserve">its laboratory confinement and enter the general population. For this reason, as Nicholas Evans has argued, “[i]t is prudent … to limit not </w:t>
      </w:r>
      <w:r w:rsidRPr="00FF125E">
        <w:rPr>
          <w:lang w:val="en-US"/>
        </w:rPr>
        <w:t xml:space="preserve">just who reproduces the studies, </w:t>
      </w:r>
      <w:r>
        <w:rPr>
          <w:lang w:val="en-US"/>
        </w:rPr>
        <w:t xml:space="preserve">but </w:t>
      </w:r>
      <w:r w:rsidRPr="008370F8">
        <w:rPr>
          <w:lang w:val="en-US"/>
        </w:rPr>
        <w:t>how often</w:t>
      </w:r>
      <w:r>
        <w:rPr>
          <w:lang w:val="en-US"/>
        </w:rPr>
        <w:t xml:space="preserve"> these studies are </w:t>
      </w:r>
      <w:r w:rsidRPr="00FF125E">
        <w:rPr>
          <w:lang w:val="en-US"/>
        </w:rPr>
        <w:t>reproduced.</w:t>
      </w:r>
      <w:r>
        <w:rPr>
          <w:lang w:val="en-US"/>
        </w:rPr>
        <w:t>”</w:t>
      </w:r>
      <w:r>
        <w:rPr>
          <w:rStyle w:val="FootnoteReference"/>
          <w:lang w:val="en-US"/>
        </w:rPr>
        <w:footnoteReference w:id="79"/>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Pr>
          <w:lang w:val="en-US"/>
        </w:rPr>
        <w:t xml:space="preserve">In January 2012, virologists Michael </w:t>
      </w:r>
      <w:proofErr w:type="spellStart"/>
      <w:r>
        <w:rPr>
          <w:lang w:val="en-US"/>
        </w:rPr>
        <w:t>Osterholm</w:t>
      </w:r>
      <w:proofErr w:type="spellEnd"/>
      <w:r>
        <w:rPr>
          <w:lang w:val="en-US"/>
        </w:rPr>
        <w:t xml:space="preserve"> and Donald Henderson argued that </w:t>
      </w:r>
      <w:r w:rsidRPr="00177FFE">
        <w:rPr>
          <w:lang w:val="en-US"/>
        </w:rPr>
        <w:t xml:space="preserve">there </w:t>
      </w:r>
      <w:r>
        <w:rPr>
          <w:lang w:val="en-US"/>
        </w:rPr>
        <w:t>was</w:t>
      </w:r>
      <w:r w:rsidRPr="00177FFE">
        <w:rPr>
          <w:lang w:val="en-US"/>
        </w:rPr>
        <w:t xml:space="preserve"> no need to share </w:t>
      </w:r>
      <w:proofErr w:type="spellStart"/>
      <w:r>
        <w:rPr>
          <w:lang w:val="en-US"/>
        </w:rPr>
        <w:t>Fouchier’s</w:t>
      </w:r>
      <w:proofErr w:type="spellEnd"/>
      <w:r>
        <w:rPr>
          <w:lang w:val="en-US"/>
        </w:rPr>
        <w:t xml:space="preserve"> H5N1</w:t>
      </w:r>
      <w:r w:rsidRPr="00177FFE">
        <w:rPr>
          <w:lang w:val="en-US"/>
        </w:rPr>
        <w:t xml:space="preserve"> mutation data “outside of a small select group of established researchers already </w:t>
      </w:r>
      <w:r>
        <w:rPr>
          <w:lang w:val="en-US"/>
        </w:rPr>
        <w:t>working within the WHO [influenza] network.”</w:t>
      </w:r>
      <w:r>
        <w:rPr>
          <w:rStyle w:val="FootnoteReference"/>
          <w:lang w:val="en-US"/>
        </w:rPr>
        <w:footnoteReference w:id="80"/>
      </w:r>
      <w:r>
        <w:rPr>
          <w:lang w:val="en-US"/>
        </w:rPr>
        <w:t xml:space="preserve"> </w:t>
      </w:r>
      <w:proofErr w:type="gramStart"/>
      <w:r>
        <w:rPr>
          <w:rStyle w:val="Strong"/>
          <w:b w:val="0"/>
          <w:lang w:val="en-US"/>
        </w:rPr>
        <w:t>And</w:t>
      </w:r>
      <w:proofErr w:type="gramEnd"/>
      <w:r>
        <w:rPr>
          <w:rStyle w:val="Strong"/>
          <w:b w:val="0"/>
          <w:lang w:val="en-US"/>
        </w:rPr>
        <w:t xml:space="preserve"> </w:t>
      </w:r>
      <w:proofErr w:type="spellStart"/>
      <w:r>
        <w:rPr>
          <w:rStyle w:val="Strong"/>
          <w:b w:val="0"/>
          <w:lang w:val="en-US"/>
        </w:rPr>
        <w:t>Fouchier</w:t>
      </w:r>
      <w:proofErr w:type="spellEnd"/>
      <w:r>
        <w:rPr>
          <w:rStyle w:val="Strong"/>
          <w:b w:val="0"/>
          <w:lang w:val="en-US"/>
        </w:rPr>
        <w:t xml:space="preserve"> himself earlier estimated that he could have shared his findings with </w:t>
      </w:r>
      <w:r w:rsidRPr="005157DA">
        <w:rPr>
          <w:rStyle w:val="Strong"/>
          <w:b w:val="0"/>
          <w:lang w:val="en-US"/>
        </w:rPr>
        <w:t>“</w:t>
      </w:r>
      <w:r>
        <w:rPr>
          <w:rStyle w:val="Strong"/>
          <w:b w:val="0"/>
          <w:lang w:val="en-US"/>
        </w:rPr>
        <w:t>well over</w:t>
      </w:r>
      <w:r w:rsidRPr="005157DA">
        <w:rPr>
          <w:rStyle w:val="Strong"/>
          <w:b w:val="0"/>
          <w:lang w:val="en-US"/>
        </w:rPr>
        <w:t xml:space="preserve"> 100 </w:t>
      </w:r>
      <w:r>
        <w:rPr>
          <w:rStyle w:val="Strong"/>
          <w:b w:val="0"/>
          <w:lang w:val="en-US"/>
        </w:rPr>
        <w:t>organizations</w:t>
      </w:r>
      <w:r w:rsidRPr="005157DA">
        <w:rPr>
          <w:rStyle w:val="Strong"/>
          <w:b w:val="0"/>
          <w:lang w:val="en-US"/>
        </w:rPr>
        <w:t xml:space="preserve"> </w:t>
      </w:r>
      <w:r>
        <w:rPr>
          <w:rStyle w:val="Strong"/>
          <w:b w:val="0"/>
          <w:lang w:val="en-US"/>
        </w:rPr>
        <w:t xml:space="preserve">around the globe, and probably </w:t>
      </w:r>
      <w:r w:rsidRPr="005157DA">
        <w:rPr>
          <w:rStyle w:val="Strong"/>
          <w:b w:val="0"/>
          <w:lang w:val="en-US"/>
        </w:rPr>
        <w:t xml:space="preserve">1,000 </w:t>
      </w:r>
      <w:r>
        <w:rPr>
          <w:rStyle w:val="Strong"/>
          <w:b w:val="0"/>
          <w:lang w:val="en-US"/>
        </w:rPr>
        <w:t>experts”</w:t>
      </w:r>
      <w:r w:rsidRPr="005157DA">
        <w:rPr>
          <w:rStyle w:val="Strong"/>
          <w:b w:val="0"/>
          <w:lang w:val="en-US"/>
        </w:rPr>
        <w:t>.</w:t>
      </w:r>
      <w:r w:rsidRPr="005157DA">
        <w:rPr>
          <w:rStyle w:val="FootnoteReference"/>
        </w:rPr>
        <w:footnoteReference w:id="81"/>
      </w:r>
      <w:r w:rsidRPr="005157DA">
        <w:rPr>
          <w:rStyle w:val="Strong"/>
          <w:b w:val="0"/>
          <w:lang w:val="en-US"/>
        </w:rPr>
        <w:t xml:space="preserve"> </w:t>
      </w:r>
      <w:r>
        <w:rPr>
          <w:rStyle w:val="Strong"/>
          <w:b w:val="0"/>
          <w:lang w:val="en-US"/>
        </w:rPr>
        <w:t>However, this raises the question: w</w:t>
      </w:r>
      <w:r w:rsidRPr="005157DA">
        <w:rPr>
          <w:rStyle w:val="Strong"/>
          <w:b w:val="0"/>
          <w:lang w:val="en-US"/>
        </w:rPr>
        <w:t xml:space="preserve">hy, then, </w:t>
      </w:r>
      <w:r>
        <w:rPr>
          <w:rStyle w:val="Strong"/>
          <w:b w:val="0"/>
          <w:lang w:val="en-US"/>
        </w:rPr>
        <w:t>did</w:t>
      </w:r>
      <w:r w:rsidRPr="005157DA">
        <w:rPr>
          <w:rStyle w:val="Strong"/>
          <w:b w:val="0"/>
          <w:lang w:val="en-US"/>
        </w:rPr>
        <w:t xml:space="preserve"> </w:t>
      </w:r>
      <w:r>
        <w:rPr>
          <w:rStyle w:val="Strong"/>
          <w:b w:val="0"/>
          <w:lang w:val="en-US"/>
        </w:rPr>
        <w:t>that intangible dual-use</w:t>
      </w:r>
      <w:r w:rsidRPr="005157DA">
        <w:rPr>
          <w:rStyle w:val="Strong"/>
          <w:b w:val="0"/>
          <w:lang w:val="en-US"/>
        </w:rPr>
        <w:t xml:space="preserve"> technology </w:t>
      </w:r>
      <w:r>
        <w:rPr>
          <w:rStyle w:val="Strong"/>
          <w:b w:val="0"/>
          <w:lang w:val="en-US"/>
        </w:rPr>
        <w:t>need</w:t>
      </w:r>
      <w:r w:rsidRPr="005157DA">
        <w:rPr>
          <w:rStyle w:val="Strong"/>
          <w:b w:val="0"/>
          <w:lang w:val="en-US"/>
        </w:rPr>
        <w:t xml:space="preserve"> to </w:t>
      </w:r>
      <w:r>
        <w:rPr>
          <w:rStyle w:val="Strong"/>
          <w:b w:val="0"/>
          <w:lang w:val="en-US"/>
        </w:rPr>
        <w:t xml:space="preserve">be accessible also to </w:t>
      </w:r>
      <w:r w:rsidRPr="005157DA">
        <w:rPr>
          <w:rStyle w:val="Strong"/>
          <w:b w:val="0"/>
          <w:lang w:val="en-US"/>
        </w:rPr>
        <w:t xml:space="preserve">the </w:t>
      </w:r>
      <w:r w:rsidRPr="00644FEA">
        <w:rPr>
          <w:rStyle w:val="Strong"/>
          <w:b w:val="0"/>
          <w:i/>
          <w:lang w:val="en-US"/>
        </w:rPr>
        <w:t>hundreds</w:t>
      </w:r>
      <w:r w:rsidRPr="005157DA">
        <w:rPr>
          <w:rStyle w:val="Strong"/>
          <w:b w:val="0"/>
          <w:lang w:val="en-US"/>
        </w:rPr>
        <w:t xml:space="preserve"> of thousands of people </w:t>
      </w:r>
      <w:r>
        <w:rPr>
          <w:rStyle w:val="Strong"/>
          <w:b w:val="0"/>
          <w:lang w:val="en-US"/>
        </w:rPr>
        <w:t xml:space="preserve">worldwide </w:t>
      </w:r>
      <w:r w:rsidRPr="005157DA">
        <w:rPr>
          <w:rStyle w:val="Strong"/>
          <w:b w:val="0"/>
          <w:lang w:val="en-US"/>
        </w:rPr>
        <w:t xml:space="preserve">who read </w:t>
      </w:r>
      <w:r w:rsidRPr="005157DA">
        <w:rPr>
          <w:rStyle w:val="Strong"/>
          <w:b w:val="0"/>
          <w:i/>
          <w:lang w:val="en-US"/>
        </w:rPr>
        <w:t>Science</w:t>
      </w:r>
      <w:r w:rsidRPr="005157DA">
        <w:rPr>
          <w:rStyle w:val="Strong"/>
          <w:b w:val="0"/>
          <w:lang w:val="en-US"/>
        </w:rPr>
        <w:t xml:space="preserve">? </w:t>
      </w:r>
      <w:r>
        <w:rPr>
          <w:rStyle w:val="Strong"/>
          <w:b w:val="0"/>
          <w:lang w:val="en-US"/>
        </w:rPr>
        <w:t xml:space="preserve">Part of the answer might indeed be that the benefit for pandemic preparedness purposes </w:t>
      </w:r>
      <w:proofErr w:type="gramStart"/>
      <w:r>
        <w:rPr>
          <w:rStyle w:val="Strong"/>
          <w:b w:val="0"/>
          <w:lang w:val="en-US"/>
        </w:rPr>
        <w:t>would thereby be maximized</w:t>
      </w:r>
      <w:proofErr w:type="gramEnd"/>
      <w:r>
        <w:rPr>
          <w:rStyle w:val="Strong"/>
          <w:b w:val="0"/>
          <w:lang w:val="en-US"/>
        </w:rPr>
        <w:t xml:space="preserve">. </w:t>
      </w:r>
      <w:proofErr w:type="gramStart"/>
      <w:r>
        <w:rPr>
          <w:rStyle w:val="Strong"/>
          <w:b w:val="0"/>
          <w:lang w:val="en-US"/>
        </w:rPr>
        <w:t>But</w:t>
      </w:r>
      <w:proofErr w:type="gramEnd"/>
      <w:r>
        <w:rPr>
          <w:rStyle w:val="Strong"/>
          <w:b w:val="0"/>
          <w:lang w:val="en-US"/>
        </w:rPr>
        <w:t xml:space="preserve"> it is also worth acknowledging that, for academic scientists especially, a researcher’s professional self-interest is well served by authoring an article that appears in a prestigious journal. This means there </w:t>
      </w:r>
      <w:r>
        <w:rPr>
          <w:rStyle w:val="Strong"/>
          <w:b w:val="0"/>
          <w:lang w:val="en-US"/>
        </w:rPr>
        <w:lastRenderedPageBreak/>
        <w:t xml:space="preserve">might be a strong temptation for a scientist to regard publication as something inherently good for one’s career more (or rather) than as something instrumentally good for public health. </w:t>
      </w:r>
      <w:r>
        <w:rPr>
          <w:lang w:val="en-US"/>
        </w:rPr>
        <w:t xml:space="preserve">Moreover, as there is sometimes professional pressure also to be the </w:t>
      </w:r>
      <w:r w:rsidRPr="00127350">
        <w:rPr>
          <w:i/>
          <w:lang w:val="en-US"/>
        </w:rPr>
        <w:t>first</w:t>
      </w:r>
      <w:r>
        <w:rPr>
          <w:lang w:val="en-US"/>
        </w:rPr>
        <w:t xml:space="preserve"> (among competing researchers) to publish, some scientists might sometimes </w:t>
      </w:r>
      <w:r w:rsidR="00644FEA">
        <w:rPr>
          <w:lang w:val="en-US"/>
        </w:rPr>
        <w:t>feel</w:t>
      </w:r>
      <w:r>
        <w:rPr>
          <w:lang w:val="en-US"/>
        </w:rPr>
        <w:t xml:space="preserve"> disposed more toward haste than caution.</w:t>
      </w:r>
      <w:r>
        <w:rPr>
          <w:rStyle w:val="FootnoteReference"/>
          <w:lang w:val="en-US"/>
        </w:rPr>
        <w:footnoteReference w:id="82"/>
      </w:r>
      <w:r>
        <w:rPr>
          <w:bCs/>
          <w:lang w:val="en-US"/>
        </w:rPr>
        <w:t xml:space="preserve"> </w:t>
      </w:r>
      <w:r w:rsidR="00644FEA">
        <w:rPr>
          <w:lang w:val="en-US"/>
        </w:rPr>
        <w:t>As Brendan Maher has observed: “</w:t>
      </w:r>
      <w:r w:rsidR="00644FEA" w:rsidRPr="00AE48AD">
        <w:rPr>
          <w:lang w:val="en-US"/>
        </w:rPr>
        <w:t>It may be too much to expect scientists to coolly evaluate the risks of their own research against the benefits they gain personally from publication.</w:t>
      </w:r>
      <w:r w:rsidR="00644FEA">
        <w:rPr>
          <w:lang w:val="en-US"/>
        </w:rPr>
        <w:t>”</w:t>
      </w:r>
      <w:r w:rsidR="00644FEA">
        <w:rPr>
          <w:rStyle w:val="FootnoteReference"/>
          <w:lang w:val="en-US"/>
        </w:rPr>
        <w:footnoteReference w:id="83"/>
      </w:r>
      <w:r w:rsidR="00644FEA">
        <w:rPr>
          <w:lang w:val="en-US"/>
        </w:rPr>
        <w:t xml:space="preserve"> </w:t>
      </w:r>
      <w:r>
        <w:rPr>
          <w:rStyle w:val="Strong"/>
          <w:b w:val="0"/>
          <w:lang w:val="en-US"/>
        </w:rPr>
        <w:t xml:space="preserve">For these reasons, it </w:t>
      </w:r>
      <w:r w:rsidR="00644FEA">
        <w:rPr>
          <w:rStyle w:val="Strong"/>
          <w:b w:val="0"/>
          <w:lang w:val="en-US"/>
        </w:rPr>
        <w:t>might sometimes be</w:t>
      </w:r>
      <w:r>
        <w:rPr>
          <w:rStyle w:val="Strong"/>
          <w:b w:val="0"/>
          <w:lang w:val="en-US"/>
        </w:rPr>
        <w:t xml:space="preserve"> healthy from a governance perspective that scientists alone do not decide whether or when their research findings </w:t>
      </w:r>
      <w:proofErr w:type="gramStart"/>
      <w:r>
        <w:rPr>
          <w:rStyle w:val="Strong"/>
          <w:b w:val="0"/>
          <w:lang w:val="en-US"/>
        </w:rPr>
        <w:t>should be submitted</w:t>
      </w:r>
      <w:proofErr w:type="gramEnd"/>
      <w:r>
        <w:rPr>
          <w:rStyle w:val="Strong"/>
          <w:b w:val="0"/>
          <w:lang w:val="en-US"/>
        </w:rPr>
        <w:t xml:space="preserve"> to a journal. </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rPr>
          <w:lang w:val="en-US"/>
        </w:rPr>
        <w:t xml:space="preserve">If research findings </w:t>
      </w:r>
      <w:proofErr w:type="gramStart"/>
      <w:r>
        <w:rPr>
          <w:lang w:val="en-US"/>
        </w:rPr>
        <w:t>were not published but rather disseminated through a PTE-based process,</w:t>
      </w:r>
      <w:proofErr w:type="gramEnd"/>
      <w:r>
        <w:rPr>
          <w:lang w:val="en-US"/>
        </w:rPr>
        <w:t xml:space="preserve"> the career advantage for the </w:t>
      </w:r>
      <w:r w:rsidR="00644FEA">
        <w:rPr>
          <w:lang w:val="en-US"/>
        </w:rPr>
        <w:t xml:space="preserve">individual </w:t>
      </w:r>
      <w:r>
        <w:rPr>
          <w:lang w:val="en-US"/>
        </w:rPr>
        <w:t xml:space="preserve">researchers </w:t>
      </w:r>
      <w:r w:rsidR="00644FEA">
        <w:rPr>
          <w:lang w:val="en-US"/>
        </w:rPr>
        <w:t xml:space="preserve">involved </w:t>
      </w:r>
      <w:r>
        <w:rPr>
          <w:lang w:val="en-US"/>
        </w:rPr>
        <w:t xml:space="preserve">would probably be less. Already, there have been warnings that an inability to publish </w:t>
      </w:r>
      <w:r w:rsidRPr="0042319E">
        <w:rPr>
          <w:lang w:val="en-US"/>
        </w:rPr>
        <w:t>scientifically interesting results</w:t>
      </w:r>
      <w:r>
        <w:rPr>
          <w:lang w:val="en-US"/>
        </w:rPr>
        <w:t xml:space="preserve"> could have a chilling effect on certain kinds of pathogen research, driving ambitious scientists into other fields.</w:t>
      </w:r>
      <w:r>
        <w:rPr>
          <w:rStyle w:val="FootnoteReference"/>
          <w:lang w:val="en-US"/>
        </w:rPr>
        <w:footnoteReference w:id="84"/>
      </w:r>
      <w:r>
        <w:rPr>
          <w:lang w:val="en-US"/>
        </w:rPr>
        <w:t xml:space="preserve"> However, one way to approach this problem </w:t>
      </w:r>
      <w:r w:rsidR="00644FEA">
        <w:rPr>
          <w:lang w:val="en-US"/>
        </w:rPr>
        <w:t>would be</w:t>
      </w:r>
      <w:r>
        <w:rPr>
          <w:lang w:val="en-US"/>
        </w:rPr>
        <w:t xml:space="preserve"> to align more closely the imperatives of individual career-advancement and </w:t>
      </w:r>
      <w:proofErr w:type="gramStart"/>
      <w:r>
        <w:rPr>
          <w:lang w:val="en-US"/>
        </w:rPr>
        <w:t>socially-responsible</w:t>
      </w:r>
      <w:proofErr w:type="gramEnd"/>
      <w:r>
        <w:rPr>
          <w:lang w:val="en-US"/>
        </w:rPr>
        <w:t xml:space="preserve"> scientific practice.</w:t>
      </w:r>
      <w:r>
        <w:rPr>
          <w:rStyle w:val="FootnoteReference"/>
          <w:lang w:val="en-US"/>
        </w:rPr>
        <w:footnoteReference w:id="85"/>
      </w:r>
      <w:r>
        <w:rPr>
          <w:lang w:val="en-US"/>
        </w:rPr>
        <w:t xml:space="preserve"> </w:t>
      </w:r>
      <w:r>
        <w:rPr>
          <w:lang w:val="en-US"/>
        </w:rPr>
        <w:lastRenderedPageBreak/>
        <w:t>Governments could afford more job security to influenza virus researchers in academia, for example, and thereby reduce the pressure to publish early and often. And public sponsors of research, who typically require grant recipients to publish their findings in full, could instead regard targeted dissemination as sufficient in circumstances where the benefits of publication do not appear clearly to outweigh the risks.</w:t>
      </w:r>
    </w:p>
    <w:p w:rsidR="00666D13" w:rsidRPr="00F75BF1" w:rsidRDefault="00666D13" w:rsidP="0051528B">
      <w:pPr>
        <w:spacing w:line="480" w:lineRule="auto"/>
        <w:jc w:val="both"/>
        <w:rPr>
          <w:bCs/>
          <w:lang w:val="en-US"/>
        </w:rPr>
      </w:pPr>
    </w:p>
    <w:p w:rsidR="00666D13" w:rsidRPr="005157DA" w:rsidRDefault="00666D13" w:rsidP="0051528B">
      <w:pPr>
        <w:spacing w:line="480" w:lineRule="auto"/>
        <w:jc w:val="both"/>
        <w:rPr>
          <w:lang w:val="en-US"/>
        </w:rPr>
      </w:pPr>
    </w:p>
    <w:p w:rsidR="00666D13" w:rsidRPr="005157DA" w:rsidRDefault="00666D13" w:rsidP="0051528B">
      <w:pPr>
        <w:pStyle w:val="Heading1"/>
        <w:spacing w:line="480" w:lineRule="auto"/>
      </w:pPr>
      <w:r>
        <w:t>V. Conclusion</w:t>
      </w:r>
    </w:p>
    <w:p w:rsidR="00666D13" w:rsidRDefault="00666D13" w:rsidP="0051528B">
      <w:pPr>
        <w:spacing w:line="480" w:lineRule="auto"/>
        <w:jc w:val="both"/>
        <w:rPr>
          <w:lang w:val="en-US"/>
        </w:rPr>
      </w:pPr>
    </w:p>
    <w:p w:rsidR="00666D13" w:rsidRDefault="00666D13" w:rsidP="0051528B">
      <w:pPr>
        <w:spacing w:line="480" w:lineRule="auto"/>
        <w:jc w:val="both"/>
        <w:rPr>
          <w:lang w:val="en-US"/>
        </w:rPr>
      </w:pPr>
      <w:r>
        <w:t>Research on pathogenic microorganisms</w:t>
      </w:r>
      <w:r w:rsidRPr="00FE74E8">
        <w:t xml:space="preserve"> has the potential to contribute </w:t>
      </w:r>
      <w:r>
        <w:t xml:space="preserve">indirectly </w:t>
      </w:r>
      <w:r w:rsidRPr="00FE74E8">
        <w:t xml:space="preserve">to the saving </w:t>
      </w:r>
      <w:r>
        <w:t>of many lives in the event of an infectious disease outbreak</w:t>
      </w:r>
      <w:r w:rsidRPr="00FE74E8">
        <w:t xml:space="preserve"> </w:t>
      </w:r>
      <w:r>
        <w:t xml:space="preserve">caused naturally, accidently or deliberately. National and international preparedness for an outbreak with global reach—an influenza pandemic—requires </w:t>
      </w:r>
      <w:r w:rsidRPr="005157DA">
        <w:rPr>
          <w:lang w:val="en-US"/>
        </w:rPr>
        <w:t xml:space="preserve">a strong scientific understanding of the </w:t>
      </w:r>
      <w:r>
        <w:rPr>
          <w:lang w:val="en-US"/>
        </w:rPr>
        <w:t xml:space="preserve">changing </w:t>
      </w:r>
      <w:r w:rsidRPr="005157DA">
        <w:rPr>
          <w:lang w:val="en-US"/>
        </w:rPr>
        <w:t>properties and behavior of influenza viruses.</w:t>
      </w:r>
      <w:r>
        <w:rPr>
          <w:lang w:val="en-US"/>
        </w:rPr>
        <w:t xml:space="preserve"> Yet the pursuit of that understanding brings risks as well as benefits. </w:t>
      </w:r>
      <w:r>
        <w:rPr>
          <w:rStyle w:val="Heading1Char"/>
          <w:b w:val="0"/>
          <w:caps w:val="0"/>
          <w:sz w:val="24"/>
          <w:szCs w:val="24"/>
        </w:rPr>
        <w:t>Governments may therefore find it difficult sometimes to satisfy</w:t>
      </w:r>
      <w:r w:rsidRPr="00307BCB">
        <w:rPr>
          <w:rStyle w:val="Heading1Char"/>
          <w:b w:val="0"/>
          <w:caps w:val="0"/>
          <w:sz w:val="24"/>
          <w:szCs w:val="24"/>
        </w:rPr>
        <w:t xml:space="preserve"> the </w:t>
      </w:r>
      <w:r>
        <w:rPr>
          <w:rStyle w:val="Heading1Char"/>
          <w:b w:val="0"/>
          <w:caps w:val="0"/>
          <w:sz w:val="24"/>
          <w:szCs w:val="24"/>
        </w:rPr>
        <w:t xml:space="preserve">competing </w:t>
      </w:r>
      <w:r w:rsidRPr="00307BCB">
        <w:rPr>
          <w:rStyle w:val="Heading1Char"/>
          <w:b w:val="0"/>
          <w:caps w:val="0"/>
          <w:sz w:val="24"/>
          <w:szCs w:val="24"/>
        </w:rPr>
        <w:t xml:space="preserve">governance imperatives of restrictiveness and permissiveness when </w:t>
      </w:r>
      <w:r>
        <w:rPr>
          <w:rStyle w:val="Heading1Char"/>
          <w:b w:val="0"/>
          <w:caps w:val="0"/>
          <w:sz w:val="24"/>
          <w:szCs w:val="24"/>
        </w:rPr>
        <w:t>it comes to the intended sharing of dual-</w:t>
      </w:r>
      <w:r w:rsidRPr="00307BCB">
        <w:rPr>
          <w:rStyle w:val="Heading1Char"/>
          <w:b w:val="0"/>
          <w:caps w:val="0"/>
          <w:sz w:val="24"/>
          <w:szCs w:val="24"/>
        </w:rPr>
        <w:t xml:space="preserve">use biotechnology. </w:t>
      </w:r>
      <w:r>
        <w:rPr>
          <w:lang w:val="en-US"/>
        </w:rPr>
        <w:t xml:space="preserve">Within the EU context, the </w:t>
      </w:r>
      <w:proofErr w:type="spellStart"/>
      <w:r>
        <w:rPr>
          <w:lang w:val="en-US"/>
        </w:rPr>
        <w:t>Fouchier</w:t>
      </w:r>
      <w:proofErr w:type="spellEnd"/>
      <w:r>
        <w:rPr>
          <w:lang w:val="en-US"/>
        </w:rPr>
        <w:t xml:space="preserve"> case in the Netherlands has demonstrated this, and it </w:t>
      </w:r>
      <w:proofErr w:type="gramStart"/>
      <w:r>
        <w:rPr>
          <w:lang w:val="en-US"/>
        </w:rPr>
        <w:t>has also</w:t>
      </w:r>
      <w:proofErr w:type="gramEnd"/>
      <w:r>
        <w:rPr>
          <w:lang w:val="en-US"/>
        </w:rPr>
        <w:t xml:space="preserve"> exposed at least two problems with the existing export-control regime. </w:t>
      </w:r>
    </w:p>
    <w:p w:rsidR="00666D13" w:rsidRDefault="00666D13" w:rsidP="0051528B">
      <w:pPr>
        <w:spacing w:line="480" w:lineRule="auto"/>
        <w:jc w:val="both"/>
        <w:rPr>
          <w:lang w:val="en-US"/>
        </w:rPr>
      </w:pPr>
    </w:p>
    <w:p w:rsidR="009722EC" w:rsidRDefault="00666D13" w:rsidP="0051528B">
      <w:pPr>
        <w:spacing w:line="480" w:lineRule="auto"/>
        <w:jc w:val="both"/>
        <w:rPr>
          <w:lang w:val="en-US"/>
        </w:rPr>
      </w:pPr>
      <w:r>
        <w:rPr>
          <w:lang w:val="en-US"/>
        </w:rPr>
        <w:t xml:space="preserve">The first problem relates to the exempting of intangible dual-use technology from the requirement for official authorization under Regulation 428/2009. Following the Dutch Court of Appeal decision in 2015 to overturn a 2013 District Court decision in the Dutch Government’s favor, it remains unclear whether research into the transmissibility of </w:t>
      </w:r>
      <w:r w:rsidR="00644FEA">
        <w:rPr>
          <w:lang w:val="en-US"/>
        </w:rPr>
        <w:t>influenza viruses qualifies as basic scientific research</w:t>
      </w:r>
      <w:r>
        <w:rPr>
          <w:lang w:val="en-US"/>
        </w:rPr>
        <w:t xml:space="preserve">. </w:t>
      </w:r>
      <w:proofErr w:type="gramStart"/>
      <w:r>
        <w:rPr>
          <w:lang w:val="en-US"/>
        </w:rPr>
        <w:t>Thus</w:t>
      </w:r>
      <w:proofErr w:type="gramEnd"/>
      <w:r>
        <w:rPr>
          <w:lang w:val="en-US"/>
        </w:rPr>
        <w:t xml:space="preserve"> it must be unclear to scientists inside the EU </w:t>
      </w:r>
      <w:r>
        <w:rPr>
          <w:lang w:val="en-US"/>
        </w:rPr>
        <w:lastRenderedPageBreak/>
        <w:t xml:space="preserve">whether the publication of findings from such research requires an export permit. Given that the penalty for unauthorized export of dual-use technology is severe, this is a highly unsatisfactory state of affairs. </w:t>
      </w:r>
      <w:r>
        <w:rPr>
          <w:rStyle w:val="Strong"/>
          <w:b w:val="0"/>
          <w:bCs w:val="0"/>
          <w:lang w:val="en-US"/>
        </w:rPr>
        <w:t>National governments within the</w:t>
      </w:r>
      <w:r w:rsidRPr="00D46D2E">
        <w:rPr>
          <w:rStyle w:val="Strong"/>
          <w:b w:val="0"/>
          <w:bCs w:val="0"/>
          <w:lang w:val="en-US"/>
        </w:rPr>
        <w:t xml:space="preserve"> EU </w:t>
      </w:r>
      <w:r>
        <w:rPr>
          <w:rStyle w:val="Strong"/>
          <w:b w:val="0"/>
          <w:bCs w:val="0"/>
          <w:lang w:val="en-US"/>
        </w:rPr>
        <w:t>should therefore engage in further discussion of the meaning of</w:t>
      </w:r>
      <w:r w:rsidRPr="00D46D2E">
        <w:rPr>
          <w:rStyle w:val="Strong"/>
          <w:b w:val="0"/>
          <w:bCs w:val="0"/>
          <w:lang w:val="en-US"/>
        </w:rPr>
        <w:t xml:space="preserve"> ‘basic res</w:t>
      </w:r>
      <w:r>
        <w:rPr>
          <w:rStyle w:val="Strong"/>
          <w:b w:val="0"/>
          <w:bCs w:val="0"/>
          <w:lang w:val="en-US"/>
        </w:rPr>
        <w:t xml:space="preserve">earch’ and do so with a view to issuing guidance for scientists and government decision-makers. Any such discussion should consider especially the practical difficulty of distinguishing basic from applied research. That is, in the everyday practice of science, there can be continuous interplay between the two categories: </w:t>
      </w:r>
      <w:r w:rsidRPr="00BB5CFA">
        <w:rPr>
          <w:rStyle w:val="Strong"/>
          <w:b w:val="0"/>
          <w:bCs w:val="0"/>
          <w:lang w:val="en-US"/>
        </w:rPr>
        <w:t xml:space="preserve">basic problems </w:t>
      </w:r>
      <w:r>
        <w:rPr>
          <w:rStyle w:val="Strong"/>
          <w:b w:val="0"/>
          <w:bCs w:val="0"/>
          <w:lang w:val="en-US"/>
        </w:rPr>
        <w:t xml:space="preserve">can inspire </w:t>
      </w:r>
      <w:r w:rsidRPr="00BB5CFA">
        <w:rPr>
          <w:rStyle w:val="Strong"/>
          <w:b w:val="0"/>
          <w:bCs w:val="0"/>
          <w:lang w:val="en-US"/>
        </w:rPr>
        <w:t xml:space="preserve">the development of new technologies, </w:t>
      </w:r>
      <w:r>
        <w:rPr>
          <w:rStyle w:val="Strong"/>
          <w:b w:val="0"/>
          <w:bCs w:val="0"/>
          <w:lang w:val="en-US"/>
        </w:rPr>
        <w:t>and the application of these</w:t>
      </w:r>
      <w:r w:rsidRPr="00BB5CFA">
        <w:rPr>
          <w:rStyle w:val="Strong"/>
          <w:b w:val="0"/>
          <w:bCs w:val="0"/>
          <w:lang w:val="en-US"/>
        </w:rPr>
        <w:t xml:space="preserve"> </w:t>
      </w:r>
      <w:r>
        <w:rPr>
          <w:rStyle w:val="Strong"/>
          <w:b w:val="0"/>
          <w:bCs w:val="0"/>
          <w:lang w:val="en-US"/>
        </w:rPr>
        <w:t xml:space="preserve">can in turn open </w:t>
      </w:r>
      <w:r w:rsidRPr="00BB5CFA">
        <w:rPr>
          <w:rStyle w:val="Strong"/>
          <w:b w:val="0"/>
          <w:bCs w:val="0"/>
          <w:lang w:val="en-US"/>
        </w:rPr>
        <w:t xml:space="preserve">new </w:t>
      </w:r>
      <w:r>
        <w:rPr>
          <w:rStyle w:val="Strong"/>
          <w:b w:val="0"/>
          <w:bCs w:val="0"/>
          <w:lang w:val="en-US"/>
        </w:rPr>
        <w:t xml:space="preserve">avenues of </w:t>
      </w:r>
      <w:r w:rsidRPr="00BB5CFA">
        <w:rPr>
          <w:rStyle w:val="Strong"/>
          <w:b w:val="0"/>
          <w:bCs w:val="0"/>
          <w:lang w:val="en-US"/>
        </w:rPr>
        <w:t xml:space="preserve">basic </w:t>
      </w:r>
      <w:r>
        <w:rPr>
          <w:rStyle w:val="Strong"/>
          <w:b w:val="0"/>
          <w:bCs w:val="0"/>
          <w:lang w:val="en-US"/>
        </w:rPr>
        <w:t>research</w:t>
      </w:r>
      <w:r w:rsidRPr="00BB5CFA">
        <w:rPr>
          <w:rStyle w:val="Strong"/>
          <w:b w:val="0"/>
          <w:bCs w:val="0"/>
          <w:lang w:val="en-US"/>
        </w:rPr>
        <w:t>.</w:t>
      </w:r>
      <w:r>
        <w:rPr>
          <w:rStyle w:val="FootnoteReference"/>
          <w:lang w:val="en-US"/>
        </w:rPr>
        <w:footnoteReference w:id="86"/>
      </w:r>
      <w:r>
        <w:rPr>
          <w:rStyle w:val="Strong"/>
          <w:b w:val="0"/>
          <w:bCs w:val="0"/>
          <w:lang w:val="en-US"/>
        </w:rPr>
        <w:t xml:space="preserve"> </w:t>
      </w:r>
      <w:r w:rsidR="0076560A">
        <w:rPr>
          <w:rStyle w:val="Strong"/>
          <w:b w:val="0"/>
          <w:bCs w:val="0"/>
          <w:lang w:val="en-US"/>
        </w:rPr>
        <w:t>For this reason, a scientist might get away with claiming that particular research is ‘applied’ in order to win public funding but ‘basic’ in order to circumvent export-controls.</w:t>
      </w:r>
      <w:r w:rsidR="009134F1">
        <w:rPr>
          <w:rStyle w:val="Strong"/>
          <w:b w:val="0"/>
          <w:bCs w:val="0"/>
          <w:lang w:val="en-US"/>
        </w:rPr>
        <w:t xml:space="preserve"> Such incoherence will need to be </w:t>
      </w:r>
      <w:proofErr w:type="gramStart"/>
      <w:r w:rsidR="009134F1">
        <w:rPr>
          <w:rStyle w:val="Strong"/>
          <w:b w:val="0"/>
          <w:bCs w:val="0"/>
          <w:lang w:val="en-US"/>
        </w:rPr>
        <w:t>anticipated</w:t>
      </w:r>
      <w:proofErr w:type="gramEnd"/>
      <w:r w:rsidR="009134F1">
        <w:rPr>
          <w:rStyle w:val="Strong"/>
          <w:b w:val="0"/>
          <w:bCs w:val="0"/>
          <w:lang w:val="en-US"/>
        </w:rPr>
        <w:t xml:space="preserve"> and </w:t>
      </w:r>
      <w:r w:rsidR="009765D0">
        <w:rPr>
          <w:rStyle w:val="Strong"/>
          <w:b w:val="0"/>
          <w:bCs w:val="0"/>
          <w:lang w:val="en-US"/>
        </w:rPr>
        <w:t>addressed in an improved EU export-control regime.</w:t>
      </w:r>
    </w:p>
    <w:p w:rsidR="009722EC" w:rsidRDefault="009722EC" w:rsidP="0051528B">
      <w:pPr>
        <w:spacing w:line="480" w:lineRule="auto"/>
        <w:jc w:val="both"/>
        <w:rPr>
          <w:rStyle w:val="Heading1Char"/>
          <w:b w:val="0"/>
          <w:caps w:val="0"/>
          <w:sz w:val="24"/>
          <w:szCs w:val="24"/>
        </w:rPr>
      </w:pPr>
    </w:p>
    <w:p w:rsidR="002626F3" w:rsidRPr="00654A75" w:rsidRDefault="0021798D" w:rsidP="0051528B">
      <w:pPr>
        <w:spacing w:line="480" w:lineRule="auto"/>
        <w:jc w:val="both"/>
        <w:rPr>
          <w:rFonts w:eastAsia="SimSun"/>
          <w:lang w:val="en-US"/>
        </w:rPr>
      </w:pPr>
      <w:r>
        <w:rPr>
          <w:rStyle w:val="Heading1Char"/>
          <w:b w:val="0"/>
          <w:caps w:val="0"/>
          <w:sz w:val="24"/>
          <w:szCs w:val="24"/>
        </w:rPr>
        <w:t xml:space="preserve">The second problem discernible from the </w:t>
      </w:r>
      <w:proofErr w:type="spellStart"/>
      <w:r>
        <w:rPr>
          <w:rStyle w:val="Heading1Char"/>
          <w:b w:val="0"/>
          <w:caps w:val="0"/>
          <w:sz w:val="24"/>
          <w:szCs w:val="24"/>
        </w:rPr>
        <w:t>Fouchier</w:t>
      </w:r>
      <w:proofErr w:type="spellEnd"/>
      <w:r>
        <w:rPr>
          <w:rStyle w:val="Heading1Char"/>
          <w:b w:val="0"/>
          <w:caps w:val="0"/>
          <w:sz w:val="24"/>
          <w:szCs w:val="24"/>
        </w:rPr>
        <w:t xml:space="preserve"> case is that</w:t>
      </w:r>
      <w:r w:rsidR="00593C94">
        <w:rPr>
          <w:rStyle w:val="Heading1Char"/>
          <w:b w:val="0"/>
          <w:caps w:val="0"/>
          <w:sz w:val="24"/>
          <w:szCs w:val="24"/>
        </w:rPr>
        <w:t xml:space="preserve"> there are </w:t>
      </w:r>
      <w:r w:rsidR="00654A75">
        <w:rPr>
          <w:rStyle w:val="Heading1Char"/>
          <w:b w:val="0"/>
          <w:caps w:val="0"/>
          <w:sz w:val="24"/>
          <w:szCs w:val="24"/>
        </w:rPr>
        <w:t xml:space="preserve">presently </w:t>
      </w:r>
      <w:r w:rsidR="009765D0">
        <w:rPr>
          <w:rStyle w:val="Heading1Char"/>
          <w:b w:val="0"/>
          <w:caps w:val="0"/>
          <w:sz w:val="24"/>
          <w:szCs w:val="24"/>
        </w:rPr>
        <w:t>too</w:t>
      </w:r>
      <w:r w:rsidR="00593C94">
        <w:rPr>
          <w:rStyle w:val="Heading1Char"/>
          <w:b w:val="0"/>
          <w:caps w:val="0"/>
          <w:sz w:val="24"/>
          <w:szCs w:val="24"/>
        </w:rPr>
        <w:t xml:space="preserve"> few options available u</w:t>
      </w:r>
      <w:r w:rsidR="00B80851">
        <w:rPr>
          <w:rStyle w:val="Heading1Char"/>
          <w:b w:val="0"/>
          <w:caps w:val="0"/>
          <w:sz w:val="24"/>
          <w:szCs w:val="24"/>
        </w:rPr>
        <w:t>nder Re</w:t>
      </w:r>
      <w:r w:rsidR="00593C94">
        <w:rPr>
          <w:rStyle w:val="Heading1Char"/>
          <w:b w:val="0"/>
          <w:caps w:val="0"/>
          <w:sz w:val="24"/>
          <w:szCs w:val="24"/>
        </w:rPr>
        <w:t>gulation 428/2009 for governing the intended communication of research findings that present a dual-use dilemma.</w:t>
      </w:r>
      <w:r w:rsidR="009134F1">
        <w:rPr>
          <w:rStyle w:val="Heading1Char"/>
          <w:b w:val="0"/>
          <w:caps w:val="0"/>
          <w:sz w:val="24"/>
          <w:szCs w:val="24"/>
        </w:rPr>
        <w:t xml:space="preserve"> </w:t>
      </w:r>
      <w:r w:rsidR="00B80851">
        <w:rPr>
          <w:rStyle w:val="Heading1Char"/>
          <w:b w:val="0"/>
          <w:caps w:val="0"/>
          <w:sz w:val="24"/>
          <w:szCs w:val="24"/>
        </w:rPr>
        <w:t xml:space="preserve">Assuming that </w:t>
      </w:r>
      <w:r w:rsidR="009134F1">
        <w:rPr>
          <w:rStyle w:val="Heading1Char"/>
          <w:b w:val="0"/>
          <w:caps w:val="0"/>
          <w:sz w:val="24"/>
          <w:szCs w:val="24"/>
        </w:rPr>
        <w:t>the Regulation</w:t>
      </w:r>
      <w:r w:rsidR="00B80851">
        <w:rPr>
          <w:rStyle w:val="Heading1Char"/>
          <w:b w:val="0"/>
          <w:caps w:val="0"/>
          <w:sz w:val="24"/>
          <w:szCs w:val="24"/>
        </w:rPr>
        <w:t xml:space="preserve"> was applicable</w:t>
      </w:r>
      <w:r w:rsidR="009134F1">
        <w:rPr>
          <w:rStyle w:val="Heading1Char"/>
          <w:b w:val="0"/>
          <w:caps w:val="0"/>
          <w:sz w:val="24"/>
          <w:szCs w:val="24"/>
        </w:rPr>
        <w:t xml:space="preserve"> at all</w:t>
      </w:r>
      <w:r w:rsidR="00654A75">
        <w:rPr>
          <w:rStyle w:val="Heading1Char"/>
          <w:b w:val="0"/>
          <w:caps w:val="0"/>
          <w:sz w:val="24"/>
          <w:szCs w:val="24"/>
        </w:rPr>
        <w:t xml:space="preserve"> in this case</w:t>
      </w:r>
      <w:r w:rsidR="00B80851">
        <w:rPr>
          <w:rStyle w:val="Heading1Char"/>
          <w:b w:val="0"/>
          <w:caps w:val="0"/>
          <w:sz w:val="24"/>
          <w:szCs w:val="24"/>
        </w:rPr>
        <w:t xml:space="preserve">, the </w:t>
      </w:r>
      <w:r w:rsidR="009134F1">
        <w:rPr>
          <w:rStyle w:val="Heading1Char"/>
          <w:b w:val="0"/>
          <w:caps w:val="0"/>
          <w:sz w:val="24"/>
          <w:szCs w:val="24"/>
        </w:rPr>
        <w:t xml:space="preserve">situation </w:t>
      </w:r>
      <w:r w:rsidR="00654A75">
        <w:rPr>
          <w:rStyle w:val="Heading1Char"/>
          <w:b w:val="0"/>
          <w:caps w:val="0"/>
          <w:sz w:val="24"/>
          <w:szCs w:val="24"/>
        </w:rPr>
        <w:t xml:space="preserve">in which </w:t>
      </w:r>
      <w:r w:rsidR="009134F1">
        <w:rPr>
          <w:rStyle w:val="Heading1Char"/>
          <w:b w:val="0"/>
          <w:caps w:val="0"/>
          <w:sz w:val="24"/>
          <w:szCs w:val="24"/>
        </w:rPr>
        <w:t xml:space="preserve">the Dutch Government found itself in </w:t>
      </w:r>
      <w:r w:rsidR="00654A75">
        <w:rPr>
          <w:rStyle w:val="Heading1Char"/>
          <w:b w:val="0"/>
          <w:caps w:val="0"/>
          <w:sz w:val="24"/>
          <w:szCs w:val="24"/>
        </w:rPr>
        <w:t xml:space="preserve">2012 </w:t>
      </w:r>
      <w:r w:rsidR="009134F1">
        <w:rPr>
          <w:rStyle w:val="Heading1Char"/>
          <w:b w:val="0"/>
          <w:caps w:val="0"/>
          <w:sz w:val="24"/>
          <w:szCs w:val="24"/>
        </w:rPr>
        <w:t xml:space="preserve">was that, </w:t>
      </w:r>
      <w:r w:rsidR="00B80851">
        <w:rPr>
          <w:rStyle w:val="Heading1Char"/>
          <w:b w:val="0"/>
          <w:caps w:val="0"/>
          <w:sz w:val="24"/>
          <w:szCs w:val="24"/>
        </w:rPr>
        <w:t xml:space="preserve">despite deep uncertainty about the </w:t>
      </w:r>
      <w:r w:rsidR="009134F1">
        <w:rPr>
          <w:rStyle w:val="Heading1Char"/>
          <w:b w:val="0"/>
          <w:caps w:val="0"/>
          <w:sz w:val="24"/>
          <w:szCs w:val="24"/>
        </w:rPr>
        <w:t xml:space="preserve">balance of </w:t>
      </w:r>
      <w:r w:rsidR="00B80851">
        <w:rPr>
          <w:rStyle w:val="Heading1Char"/>
          <w:b w:val="0"/>
          <w:caps w:val="0"/>
          <w:sz w:val="24"/>
          <w:szCs w:val="24"/>
        </w:rPr>
        <w:t xml:space="preserve">benefits and risks </w:t>
      </w:r>
      <w:r w:rsidR="009134F1">
        <w:rPr>
          <w:rStyle w:val="Heading1Char"/>
          <w:b w:val="0"/>
          <w:caps w:val="0"/>
          <w:sz w:val="24"/>
          <w:szCs w:val="24"/>
        </w:rPr>
        <w:t>associated with</w:t>
      </w:r>
      <w:r w:rsidR="00B80851">
        <w:rPr>
          <w:rStyle w:val="Heading1Char"/>
          <w:b w:val="0"/>
          <w:caps w:val="0"/>
          <w:sz w:val="24"/>
          <w:szCs w:val="24"/>
        </w:rPr>
        <w:t xml:space="preserve"> </w:t>
      </w:r>
      <w:r w:rsidR="009134F1">
        <w:rPr>
          <w:rStyle w:val="Heading1Char"/>
          <w:b w:val="0"/>
          <w:caps w:val="0"/>
          <w:sz w:val="24"/>
          <w:szCs w:val="24"/>
        </w:rPr>
        <w:t>sharing</w:t>
      </w:r>
      <w:r w:rsidR="009765D0">
        <w:rPr>
          <w:rStyle w:val="Heading1Char"/>
          <w:b w:val="0"/>
          <w:caps w:val="0"/>
          <w:sz w:val="24"/>
          <w:szCs w:val="24"/>
        </w:rPr>
        <w:t xml:space="preserve"> information about </w:t>
      </w:r>
      <w:r w:rsidR="00654A75">
        <w:rPr>
          <w:rStyle w:val="Heading1Char"/>
          <w:b w:val="0"/>
          <w:caps w:val="0"/>
          <w:sz w:val="24"/>
          <w:szCs w:val="24"/>
        </w:rPr>
        <w:t>a mutated H5N1</w:t>
      </w:r>
      <w:r w:rsidR="009765D0">
        <w:rPr>
          <w:rStyle w:val="Heading1Char"/>
          <w:b w:val="0"/>
          <w:caps w:val="0"/>
          <w:sz w:val="24"/>
          <w:szCs w:val="24"/>
        </w:rPr>
        <w:t xml:space="preserve"> virus</w:t>
      </w:r>
      <w:r w:rsidR="00B80851">
        <w:rPr>
          <w:rStyle w:val="Heading1Char"/>
          <w:b w:val="0"/>
          <w:caps w:val="0"/>
          <w:sz w:val="24"/>
          <w:szCs w:val="24"/>
        </w:rPr>
        <w:t xml:space="preserve">, </w:t>
      </w:r>
      <w:r w:rsidR="009134F1">
        <w:rPr>
          <w:rStyle w:val="Heading1Char"/>
          <w:b w:val="0"/>
          <w:caps w:val="0"/>
          <w:sz w:val="24"/>
          <w:szCs w:val="24"/>
        </w:rPr>
        <w:t>it could only choose between two extreme alternatives</w:t>
      </w:r>
      <w:r w:rsidR="00B80851">
        <w:rPr>
          <w:rStyle w:val="Heading1Char"/>
          <w:b w:val="0"/>
          <w:caps w:val="0"/>
          <w:sz w:val="24"/>
          <w:szCs w:val="24"/>
        </w:rPr>
        <w:t xml:space="preserve">: censorship or full publication. </w:t>
      </w:r>
      <w:r w:rsidR="00B80851">
        <w:rPr>
          <w:rFonts w:eastAsia="SimSun"/>
          <w:lang w:val="en-US"/>
        </w:rPr>
        <w:t xml:space="preserve">However, </w:t>
      </w:r>
      <w:r w:rsidR="009765D0">
        <w:rPr>
          <w:rFonts w:eastAsia="SimSun"/>
          <w:lang w:val="en-US"/>
        </w:rPr>
        <w:t>this</w:t>
      </w:r>
      <w:r w:rsidR="00B80851" w:rsidRPr="005157DA">
        <w:rPr>
          <w:rFonts w:eastAsia="SimSun"/>
          <w:lang w:val="en-US"/>
        </w:rPr>
        <w:t xml:space="preserve"> need not be the case in the future</w:t>
      </w:r>
      <w:r w:rsidR="009765D0">
        <w:rPr>
          <w:rFonts w:eastAsia="SimSun"/>
          <w:lang w:val="en-US"/>
        </w:rPr>
        <w:t xml:space="preserve">. When </w:t>
      </w:r>
      <w:r w:rsidR="00B80851" w:rsidRPr="005157DA">
        <w:rPr>
          <w:rFonts w:eastAsia="SimSun"/>
          <w:lang w:val="en-US"/>
        </w:rPr>
        <w:t xml:space="preserve">faced with the </w:t>
      </w:r>
      <w:r w:rsidR="009765D0">
        <w:rPr>
          <w:rFonts w:eastAsia="SimSun"/>
          <w:lang w:val="en-US"/>
        </w:rPr>
        <w:t xml:space="preserve">difficult </w:t>
      </w:r>
      <w:r w:rsidR="00B80851" w:rsidRPr="005157DA">
        <w:rPr>
          <w:rFonts w:eastAsia="SimSun"/>
          <w:lang w:val="en-US"/>
        </w:rPr>
        <w:t>challenge of satisfying non-proliferation and technology-transfer imperatives simultaneously</w:t>
      </w:r>
      <w:r w:rsidR="00B80851">
        <w:rPr>
          <w:rFonts w:eastAsia="SimSun"/>
          <w:lang w:val="en-US"/>
        </w:rPr>
        <w:t xml:space="preserve">, a </w:t>
      </w:r>
      <w:r w:rsidR="009765D0">
        <w:rPr>
          <w:rFonts w:eastAsia="SimSun"/>
          <w:lang w:val="en-US"/>
        </w:rPr>
        <w:t>third option</w:t>
      </w:r>
      <w:r w:rsidR="00B80851">
        <w:rPr>
          <w:rFonts w:eastAsia="SimSun"/>
          <w:lang w:val="en-US"/>
        </w:rPr>
        <w:t xml:space="preserve"> </w:t>
      </w:r>
      <w:proofErr w:type="gramStart"/>
      <w:r w:rsidR="009765D0">
        <w:rPr>
          <w:rFonts w:eastAsia="SimSun"/>
          <w:lang w:val="en-US"/>
        </w:rPr>
        <w:t>could</w:t>
      </w:r>
      <w:r w:rsidR="009134F1">
        <w:rPr>
          <w:rFonts w:eastAsia="SimSun"/>
          <w:lang w:val="en-US"/>
        </w:rPr>
        <w:t xml:space="preserve"> </w:t>
      </w:r>
      <w:r w:rsidR="00B80851" w:rsidRPr="005157DA">
        <w:rPr>
          <w:rFonts w:eastAsia="SimSun"/>
          <w:lang w:val="en-US"/>
        </w:rPr>
        <w:t>be tried</w:t>
      </w:r>
      <w:proofErr w:type="gramEnd"/>
      <w:r w:rsidR="00B80851" w:rsidRPr="005157DA">
        <w:rPr>
          <w:rFonts w:eastAsia="SimSun"/>
          <w:lang w:val="en-US"/>
        </w:rPr>
        <w:t xml:space="preserve">: </w:t>
      </w:r>
      <w:r w:rsidR="00B80851">
        <w:rPr>
          <w:rFonts w:eastAsia="SimSun"/>
          <w:lang w:val="en-US"/>
        </w:rPr>
        <w:t>permits for the</w:t>
      </w:r>
      <w:r w:rsidR="00B80851" w:rsidRPr="005157DA">
        <w:rPr>
          <w:rFonts w:eastAsia="SimSun"/>
          <w:lang w:val="en-US"/>
        </w:rPr>
        <w:t xml:space="preserve"> </w:t>
      </w:r>
      <w:r w:rsidR="00B80851">
        <w:rPr>
          <w:rFonts w:eastAsia="SimSun"/>
          <w:lang w:val="en-US"/>
        </w:rPr>
        <w:t>targeted export</w:t>
      </w:r>
      <w:r w:rsidR="00B80851" w:rsidRPr="005157DA">
        <w:rPr>
          <w:rFonts w:eastAsia="SimSun"/>
          <w:lang w:val="en-US"/>
        </w:rPr>
        <w:t xml:space="preserve"> of </w:t>
      </w:r>
      <w:r w:rsidR="00B80851" w:rsidRPr="005157DA">
        <w:rPr>
          <w:rFonts w:eastAsia="SimSun"/>
          <w:lang w:val="en-US"/>
        </w:rPr>
        <w:lastRenderedPageBreak/>
        <w:t xml:space="preserve">research findings. </w:t>
      </w:r>
      <w:r w:rsidR="009765D0">
        <w:t xml:space="preserve">Such an arrangement for </w:t>
      </w:r>
      <w:proofErr w:type="gramStart"/>
      <w:r w:rsidR="009765D0">
        <w:t>information-sharing</w:t>
      </w:r>
      <w:proofErr w:type="gramEnd"/>
      <w:r w:rsidR="009765D0">
        <w:t xml:space="preserve"> would address the </w:t>
      </w:r>
      <w:r w:rsidR="00654A75">
        <w:t xml:space="preserve">dual </w:t>
      </w:r>
      <w:r w:rsidR="009765D0">
        <w:t xml:space="preserve">need to reduce security risks and improve public health, although it would probably be less beneficial than publication to the careers of academic scientists. A further challenge, then, would be to </w:t>
      </w:r>
      <w:r w:rsidR="00654A75">
        <w:t xml:space="preserve">maintain the professional attractiveness of pathogen research. </w:t>
      </w:r>
      <w:r w:rsidR="009765D0">
        <w:rPr>
          <w:lang w:val="en-US"/>
        </w:rPr>
        <w:t xml:space="preserve">Although </w:t>
      </w:r>
      <w:r w:rsidR="00654A75">
        <w:rPr>
          <w:lang w:val="en-US"/>
        </w:rPr>
        <w:t>limiting</w:t>
      </w:r>
      <w:r w:rsidR="009765D0">
        <w:rPr>
          <w:lang w:val="en-US"/>
        </w:rPr>
        <w:t xml:space="preserve"> transfers of intangible </w:t>
      </w:r>
      <w:r w:rsidR="00654A75">
        <w:rPr>
          <w:lang w:val="en-US"/>
        </w:rPr>
        <w:t>bio</w:t>
      </w:r>
      <w:r w:rsidR="009765D0">
        <w:rPr>
          <w:lang w:val="en-US"/>
        </w:rPr>
        <w:t xml:space="preserve">technology </w:t>
      </w:r>
      <w:r w:rsidR="00654A75">
        <w:rPr>
          <w:lang w:val="en-US"/>
        </w:rPr>
        <w:t>might be</w:t>
      </w:r>
      <w:r w:rsidR="009765D0">
        <w:rPr>
          <w:lang w:val="en-US"/>
        </w:rPr>
        <w:t xml:space="preserve"> protective </w:t>
      </w:r>
      <w:r w:rsidR="00654A75">
        <w:rPr>
          <w:lang w:val="en-US"/>
        </w:rPr>
        <w:t xml:space="preserve">of human health </w:t>
      </w:r>
      <w:r w:rsidR="009765D0">
        <w:rPr>
          <w:lang w:val="en-US"/>
        </w:rPr>
        <w:t xml:space="preserve">in </w:t>
      </w:r>
      <w:r w:rsidR="00654A75">
        <w:rPr>
          <w:lang w:val="en-US"/>
        </w:rPr>
        <w:t>the short term</w:t>
      </w:r>
      <w:r w:rsidR="009765D0">
        <w:rPr>
          <w:lang w:val="en-US"/>
        </w:rPr>
        <w:t>, it could be anti-protective ov</w:t>
      </w:r>
      <w:r w:rsidR="00654A75">
        <w:rPr>
          <w:lang w:val="en-US"/>
        </w:rPr>
        <w:t>er time if it adversely affects</w:t>
      </w:r>
      <w:r w:rsidR="009765D0">
        <w:rPr>
          <w:lang w:val="en-US"/>
        </w:rPr>
        <w:t xml:space="preserve"> too many scientists’ ability and willingness to </w:t>
      </w:r>
      <w:r w:rsidR="00F47FBA">
        <w:rPr>
          <w:lang w:val="en-US"/>
        </w:rPr>
        <w:t>discover more about global</w:t>
      </w:r>
      <w:r w:rsidR="00654A75">
        <w:rPr>
          <w:lang w:val="en-US"/>
        </w:rPr>
        <w:t xml:space="preserve"> infectious disease risks.</w:t>
      </w:r>
    </w:p>
    <w:sectPr w:rsidR="002626F3" w:rsidRPr="00654A75" w:rsidSect="00781F39">
      <w:headerReference w:type="default" r:id="rId8"/>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1F" w:rsidRDefault="006D051F" w:rsidP="001B117F">
      <w:r>
        <w:separator/>
      </w:r>
    </w:p>
  </w:endnote>
  <w:endnote w:type="continuationSeparator" w:id="0">
    <w:p w:rsidR="006D051F" w:rsidRDefault="006D051F" w:rsidP="001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1F" w:rsidRDefault="006D051F" w:rsidP="001B117F">
      <w:r>
        <w:separator/>
      </w:r>
    </w:p>
  </w:footnote>
  <w:footnote w:type="continuationSeparator" w:id="0">
    <w:p w:rsidR="006D051F" w:rsidRDefault="006D051F" w:rsidP="001B117F">
      <w:r>
        <w:continuationSeparator/>
      </w:r>
    </w:p>
  </w:footnote>
  <w:footnote w:id="1">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Pr="002626F3">
        <w:t xml:space="preserve">Council Regulation (EC) </w:t>
      </w:r>
      <w:r>
        <w:t>428/2009</w:t>
      </w:r>
      <w:r w:rsidRPr="002626F3">
        <w:t xml:space="preserve"> of </w:t>
      </w:r>
      <w:r>
        <w:t xml:space="preserve">5 May 2009 </w:t>
      </w:r>
      <w:r w:rsidRPr="007F2545">
        <w:t>setting up a Community regime for the control of exports, transfer,</w:t>
      </w:r>
      <w:r>
        <w:t xml:space="preserve"> brokering and transit of dual-</w:t>
      </w:r>
      <w:r w:rsidRPr="007F2545">
        <w:t>use items</w:t>
      </w:r>
      <w:r>
        <w:t xml:space="preserve"> [2009</w:t>
      </w:r>
      <w:r w:rsidRPr="002626F3">
        <w:t xml:space="preserve">] </w:t>
      </w:r>
      <w:r w:rsidRPr="007F2545">
        <w:t>OJ L 134</w:t>
      </w:r>
      <w:r>
        <w:t xml:space="preserve">; </w:t>
      </w:r>
      <w:r w:rsidRPr="00036B93">
        <w:rPr>
          <w:rFonts w:cs="Times New Roman"/>
          <w:szCs w:val="20"/>
        </w:rPr>
        <w:t xml:space="preserve">Martin </w:t>
      </w:r>
      <w:proofErr w:type="spellStart"/>
      <w:r w:rsidRPr="00036B93">
        <w:rPr>
          <w:rFonts w:cs="Times New Roman"/>
          <w:szCs w:val="20"/>
        </w:rPr>
        <w:t>Enserink</w:t>
      </w:r>
      <w:proofErr w:type="spellEnd"/>
      <w:r w:rsidRPr="00036B93">
        <w:rPr>
          <w:rFonts w:cs="Times New Roman"/>
          <w:szCs w:val="20"/>
        </w:rPr>
        <w:t xml:space="preserve">, </w:t>
      </w:r>
      <w:r w:rsidR="005A256F">
        <w:rPr>
          <w:rFonts w:cs="Times New Roman"/>
          <w:szCs w:val="20"/>
        </w:rPr>
        <w:t>‘</w:t>
      </w:r>
      <w:r w:rsidRPr="00036B93">
        <w:rPr>
          <w:rFonts w:cs="Times New Roman"/>
          <w:szCs w:val="20"/>
        </w:rPr>
        <w:t>Will Dutch Allow ‘Export’ of Controversial Flu Study?,</w:t>
      </w:r>
      <w:r w:rsidR="005A256F">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xml:space="preserve"> 336 (20 April 2012): 285.</w:t>
      </w:r>
    </w:p>
  </w:footnote>
  <w:footnote w:id="2">
    <w:p w:rsidR="00666D13" w:rsidRPr="0067431E"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proofErr w:type="gramStart"/>
      <w:r w:rsidRPr="00036B93">
        <w:rPr>
          <w:rFonts w:cs="Times New Roman"/>
          <w:szCs w:val="20"/>
        </w:rPr>
        <w:t xml:space="preserve">Martin </w:t>
      </w:r>
      <w:proofErr w:type="spellStart"/>
      <w:r w:rsidRPr="00036B93">
        <w:rPr>
          <w:rFonts w:cs="Times New Roman"/>
          <w:szCs w:val="20"/>
        </w:rPr>
        <w:t>Enserink</w:t>
      </w:r>
      <w:proofErr w:type="spellEnd"/>
      <w:r w:rsidRPr="00036B93">
        <w:rPr>
          <w:rFonts w:cs="Times New Roman"/>
          <w:szCs w:val="20"/>
        </w:rPr>
        <w:t xml:space="preserve">, </w:t>
      </w:r>
      <w:r w:rsidR="005A256F">
        <w:rPr>
          <w:rFonts w:cs="Times New Roman"/>
          <w:szCs w:val="20"/>
        </w:rPr>
        <w:t>‘</w:t>
      </w:r>
      <w:r w:rsidRPr="00036B93">
        <w:rPr>
          <w:rFonts w:cs="Times New Roman"/>
          <w:szCs w:val="20"/>
        </w:rPr>
        <w:t>Dutch Government OK's Publication of H5N1 Study,</w:t>
      </w:r>
      <w:r w:rsidR="005A256F">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27 April 2012, &lt;http://news.sciencemag.org/2012/04/dutch-government-oks-publication-h5n1-study&gt;</w:t>
      </w:r>
      <w:r>
        <w:rPr>
          <w:rFonts w:cs="Times New Roman"/>
          <w:szCs w:val="20"/>
        </w:rPr>
        <w:t xml:space="preserve">; </w:t>
      </w:r>
      <w:r w:rsidRPr="00036B93">
        <w:rPr>
          <w:rFonts w:cs="Times New Roman"/>
          <w:szCs w:val="20"/>
          <w:lang w:val="en-US"/>
        </w:rPr>
        <w:t xml:space="preserve">Sander </w:t>
      </w:r>
      <w:proofErr w:type="spellStart"/>
      <w:r w:rsidRPr="00036B93">
        <w:rPr>
          <w:rFonts w:cs="Times New Roman"/>
          <w:szCs w:val="20"/>
          <w:lang w:val="en-US"/>
        </w:rPr>
        <w:t>Herfst</w:t>
      </w:r>
      <w:proofErr w:type="spellEnd"/>
      <w:r w:rsidRPr="00036B93">
        <w:rPr>
          <w:rFonts w:cs="Times New Roman"/>
          <w:szCs w:val="20"/>
          <w:lang w:val="en-US"/>
        </w:rPr>
        <w:t xml:space="preserve">, </w:t>
      </w:r>
      <w:proofErr w:type="spellStart"/>
      <w:r w:rsidRPr="00036B93">
        <w:rPr>
          <w:rFonts w:cs="Times New Roman"/>
          <w:szCs w:val="20"/>
          <w:lang w:val="en-US"/>
        </w:rPr>
        <w:t>Eefje</w:t>
      </w:r>
      <w:proofErr w:type="spellEnd"/>
      <w:r w:rsidRPr="00036B93">
        <w:rPr>
          <w:rFonts w:cs="Times New Roman"/>
          <w:szCs w:val="20"/>
          <w:lang w:val="en-US"/>
        </w:rPr>
        <w:t xml:space="preserve"> J. A. </w:t>
      </w:r>
      <w:proofErr w:type="spellStart"/>
      <w:r w:rsidRPr="00036B93">
        <w:rPr>
          <w:rFonts w:cs="Times New Roman"/>
          <w:szCs w:val="20"/>
          <w:lang w:val="en-US"/>
        </w:rPr>
        <w:t>Schrauwen</w:t>
      </w:r>
      <w:proofErr w:type="spellEnd"/>
      <w:r w:rsidRPr="00036B93">
        <w:rPr>
          <w:rFonts w:cs="Times New Roman"/>
          <w:szCs w:val="20"/>
          <w:lang w:val="en-US"/>
        </w:rPr>
        <w:t xml:space="preserve">, Martin </w:t>
      </w:r>
      <w:proofErr w:type="spellStart"/>
      <w:r w:rsidRPr="00036B93">
        <w:rPr>
          <w:rFonts w:cs="Times New Roman"/>
          <w:szCs w:val="20"/>
          <w:lang w:val="en-US"/>
        </w:rPr>
        <w:t>Linster</w:t>
      </w:r>
      <w:proofErr w:type="spellEnd"/>
      <w:r w:rsidRPr="00036B93">
        <w:rPr>
          <w:rFonts w:cs="Times New Roman"/>
          <w:szCs w:val="20"/>
          <w:lang w:val="en-US"/>
        </w:rPr>
        <w:t xml:space="preserve">, </w:t>
      </w:r>
      <w:proofErr w:type="spellStart"/>
      <w:r w:rsidRPr="00036B93">
        <w:rPr>
          <w:rFonts w:cs="Times New Roman"/>
          <w:szCs w:val="20"/>
          <w:lang w:val="en-US"/>
        </w:rPr>
        <w:t>Salin</w:t>
      </w:r>
      <w:proofErr w:type="spellEnd"/>
      <w:r w:rsidRPr="00036B93">
        <w:rPr>
          <w:rFonts w:cs="Times New Roman"/>
          <w:szCs w:val="20"/>
          <w:lang w:val="en-US"/>
        </w:rPr>
        <w:t xml:space="preserve"> </w:t>
      </w:r>
      <w:proofErr w:type="spellStart"/>
      <w:r w:rsidRPr="00036B93">
        <w:rPr>
          <w:rFonts w:cs="Times New Roman"/>
          <w:szCs w:val="20"/>
          <w:lang w:val="en-US"/>
        </w:rPr>
        <w:t>Chutinimitkul</w:t>
      </w:r>
      <w:proofErr w:type="spellEnd"/>
      <w:r w:rsidRPr="00036B93">
        <w:rPr>
          <w:rFonts w:cs="Times New Roman"/>
          <w:szCs w:val="20"/>
          <w:lang w:val="en-US"/>
        </w:rPr>
        <w:t xml:space="preserve">, Emmie de Wit, Vincent J. Munster, Erin M. Sorrell, Theo </w:t>
      </w:r>
      <w:r w:rsidRPr="0067431E">
        <w:rPr>
          <w:rFonts w:cs="Times New Roman"/>
          <w:szCs w:val="20"/>
          <w:lang w:val="en-US"/>
        </w:rPr>
        <w:t xml:space="preserve">M. </w:t>
      </w:r>
      <w:proofErr w:type="spellStart"/>
      <w:r w:rsidRPr="0067431E">
        <w:rPr>
          <w:rFonts w:cs="Times New Roman"/>
          <w:szCs w:val="20"/>
          <w:lang w:val="en-US"/>
        </w:rPr>
        <w:t>Bestebroer</w:t>
      </w:r>
      <w:proofErr w:type="spellEnd"/>
      <w:r w:rsidRPr="0067431E">
        <w:rPr>
          <w:rFonts w:cs="Times New Roman"/>
          <w:szCs w:val="20"/>
          <w:lang w:val="en-US"/>
        </w:rPr>
        <w:t xml:space="preserve">, David F. Burke, Derek J. Smith, </w:t>
      </w:r>
      <w:proofErr w:type="spellStart"/>
      <w:r w:rsidRPr="0067431E">
        <w:rPr>
          <w:rFonts w:cs="Times New Roman"/>
          <w:szCs w:val="20"/>
          <w:lang w:val="en-US"/>
        </w:rPr>
        <w:t>Guus</w:t>
      </w:r>
      <w:proofErr w:type="spellEnd"/>
      <w:r w:rsidRPr="0067431E">
        <w:rPr>
          <w:rFonts w:cs="Times New Roman"/>
          <w:szCs w:val="20"/>
          <w:lang w:val="en-US"/>
        </w:rPr>
        <w:t xml:space="preserve"> F. </w:t>
      </w:r>
      <w:proofErr w:type="spellStart"/>
      <w:r w:rsidRPr="0067431E">
        <w:rPr>
          <w:rFonts w:cs="Times New Roman"/>
          <w:szCs w:val="20"/>
          <w:lang w:val="en-US"/>
        </w:rPr>
        <w:t>Rimmelzwaan</w:t>
      </w:r>
      <w:proofErr w:type="spellEnd"/>
      <w:r w:rsidRPr="0067431E">
        <w:rPr>
          <w:rFonts w:cs="Times New Roman"/>
          <w:szCs w:val="20"/>
          <w:lang w:val="en-US"/>
        </w:rPr>
        <w:t xml:space="preserve">, Albert D. M. E. Osterhaus, and Ron A. M. </w:t>
      </w:r>
      <w:proofErr w:type="spellStart"/>
      <w:r w:rsidRPr="0067431E">
        <w:rPr>
          <w:rFonts w:cs="Times New Roman"/>
          <w:szCs w:val="20"/>
          <w:lang w:val="en-US"/>
        </w:rPr>
        <w:t>Fouchier</w:t>
      </w:r>
      <w:proofErr w:type="spellEnd"/>
      <w:r w:rsidRPr="0067431E">
        <w:rPr>
          <w:rFonts w:cs="Times New Roman"/>
          <w:szCs w:val="20"/>
          <w:lang w:val="en-US"/>
        </w:rPr>
        <w:t xml:space="preserve">, </w:t>
      </w:r>
      <w:r w:rsidR="005A256F">
        <w:rPr>
          <w:rFonts w:cs="Times New Roman"/>
          <w:szCs w:val="20"/>
          <w:lang w:val="en-US"/>
        </w:rPr>
        <w:t>‘</w:t>
      </w:r>
      <w:r w:rsidRPr="0067431E">
        <w:rPr>
          <w:rFonts w:cs="Times New Roman"/>
          <w:szCs w:val="20"/>
          <w:lang w:val="en-US"/>
        </w:rPr>
        <w:t>Airborne Transmission of Influenza A/H5N1 Virus Between Ferrets,</w:t>
      </w:r>
      <w:r w:rsidR="005A256F">
        <w:rPr>
          <w:rFonts w:cs="Times New Roman"/>
          <w:szCs w:val="20"/>
          <w:lang w:val="en-US"/>
        </w:rPr>
        <w:t>’</w:t>
      </w:r>
      <w:r w:rsidRPr="0067431E">
        <w:rPr>
          <w:rFonts w:cs="Times New Roman"/>
          <w:szCs w:val="20"/>
          <w:lang w:val="en-US"/>
        </w:rPr>
        <w:t xml:space="preserve"> </w:t>
      </w:r>
      <w:r w:rsidRPr="0067431E">
        <w:rPr>
          <w:rFonts w:cs="Times New Roman"/>
          <w:i/>
          <w:szCs w:val="20"/>
          <w:lang w:val="en-US"/>
        </w:rPr>
        <w:t>Science</w:t>
      </w:r>
      <w:r w:rsidRPr="0067431E">
        <w:rPr>
          <w:rFonts w:cs="Times New Roman"/>
          <w:szCs w:val="20"/>
          <w:lang w:val="en-US"/>
        </w:rPr>
        <w:t xml:space="preserve"> 336 (22 June 2012): 1534-41.</w:t>
      </w:r>
      <w:proofErr w:type="gramEnd"/>
    </w:p>
  </w:footnote>
  <w:footnote w:id="3">
    <w:p w:rsidR="00666D13" w:rsidRPr="0067431E" w:rsidRDefault="00666D13" w:rsidP="00113983">
      <w:pPr>
        <w:pStyle w:val="FootnoteText"/>
        <w:spacing w:line="480" w:lineRule="auto"/>
        <w:rPr>
          <w:rFonts w:cs="Times New Roman"/>
          <w:szCs w:val="20"/>
          <w:lang w:val="en-US"/>
        </w:rPr>
      </w:pPr>
      <w:r w:rsidRPr="0067431E">
        <w:rPr>
          <w:rStyle w:val="FootnoteReference"/>
          <w:rFonts w:cs="Times New Roman"/>
          <w:szCs w:val="20"/>
          <w:lang w:val="en-US"/>
        </w:rPr>
        <w:footnoteRef/>
      </w:r>
      <w:r w:rsidRPr="0067431E">
        <w:rPr>
          <w:rFonts w:cs="Times New Roman"/>
          <w:szCs w:val="20"/>
          <w:lang w:val="en-US"/>
        </w:rPr>
        <w:t xml:space="preserve"> </w:t>
      </w:r>
      <w:r>
        <w:rPr>
          <w:rFonts w:cs="Times New Roman"/>
          <w:szCs w:val="20"/>
          <w:lang w:val="en-US"/>
        </w:rPr>
        <w:t xml:space="preserve">National Research Council, </w:t>
      </w:r>
      <w:r w:rsidRPr="0067431E">
        <w:rPr>
          <w:rFonts w:cs="Times New Roman"/>
          <w:i/>
          <w:szCs w:val="20"/>
          <w:lang w:val="en-US"/>
        </w:rPr>
        <w:t>Biotechnology Research in an Age of Terrorism</w:t>
      </w:r>
      <w:r w:rsidRPr="0067431E">
        <w:rPr>
          <w:rFonts w:cs="Times New Roman"/>
          <w:szCs w:val="20"/>
          <w:lang w:val="en-US"/>
        </w:rPr>
        <w:t xml:space="preserve"> (Washington, DC: National Academy of Sciences, 2004), </w:t>
      </w:r>
      <w:proofErr w:type="gramStart"/>
      <w:r w:rsidRPr="0067431E">
        <w:rPr>
          <w:rFonts w:cs="Times New Roman"/>
          <w:szCs w:val="20"/>
          <w:lang w:val="en-US"/>
        </w:rPr>
        <w:t>5</w:t>
      </w:r>
      <w:proofErr w:type="gramEnd"/>
      <w:r w:rsidRPr="0067431E">
        <w:rPr>
          <w:rFonts w:cs="Times New Roman"/>
          <w:szCs w:val="20"/>
          <w:lang w:val="en-US"/>
        </w:rPr>
        <w:t>.</w:t>
      </w:r>
    </w:p>
  </w:footnote>
  <w:footnote w:id="4">
    <w:p w:rsidR="00666D13" w:rsidRPr="0067431E" w:rsidRDefault="00666D13" w:rsidP="00113983">
      <w:pPr>
        <w:pStyle w:val="PlainText"/>
        <w:spacing w:line="480" w:lineRule="auto"/>
        <w:rPr>
          <w:rFonts w:ascii="Times New Roman" w:hAnsi="Times New Roman" w:cs="Times New Roman"/>
          <w:sz w:val="20"/>
          <w:szCs w:val="20"/>
          <w:lang w:val="en-US"/>
        </w:rPr>
      </w:pPr>
      <w:r w:rsidRPr="0067431E">
        <w:rPr>
          <w:rStyle w:val="FootnoteReference"/>
          <w:rFonts w:ascii="Times New Roman" w:hAnsi="Times New Roman" w:cs="Times New Roman"/>
          <w:sz w:val="20"/>
          <w:szCs w:val="20"/>
        </w:rPr>
        <w:footnoteRef/>
      </w:r>
      <w:r w:rsidRPr="0067431E">
        <w:rPr>
          <w:rFonts w:ascii="Times New Roman" w:hAnsi="Times New Roman" w:cs="Times New Roman"/>
          <w:sz w:val="20"/>
          <w:szCs w:val="20"/>
        </w:rPr>
        <w:t xml:space="preserve"> </w:t>
      </w:r>
      <w:r w:rsidR="005A256F">
        <w:rPr>
          <w:rFonts w:ascii="Times New Roman" w:hAnsi="Times New Roman" w:cs="Times New Roman"/>
          <w:sz w:val="20"/>
          <w:szCs w:val="20"/>
        </w:rPr>
        <w:t>‘</w:t>
      </w:r>
      <w:r w:rsidRPr="0067431E">
        <w:rPr>
          <w:rFonts w:ascii="Times New Roman" w:hAnsi="Times New Roman" w:cs="Times New Roman"/>
          <w:sz w:val="20"/>
          <w:szCs w:val="20"/>
          <w:lang w:val="en-US"/>
        </w:rPr>
        <w:t>United States Government Policy for Oversight of Life Sciences Dual Use Research of Concern,</w:t>
      </w:r>
      <w:r w:rsidR="005A256F">
        <w:rPr>
          <w:rFonts w:ascii="Times New Roman" w:hAnsi="Times New Roman" w:cs="Times New Roman"/>
          <w:sz w:val="20"/>
          <w:szCs w:val="20"/>
          <w:lang w:val="en-US"/>
        </w:rPr>
        <w:t>’</w:t>
      </w:r>
      <w:r w:rsidRPr="0067431E">
        <w:rPr>
          <w:rFonts w:ascii="Times New Roman" w:hAnsi="Times New Roman" w:cs="Times New Roman"/>
          <w:sz w:val="20"/>
          <w:szCs w:val="20"/>
          <w:lang w:val="en-US"/>
        </w:rPr>
        <w:t xml:space="preserve"> </w:t>
      </w:r>
      <w:r w:rsidRPr="0067431E">
        <w:rPr>
          <w:rFonts w:ascii="Times New Roman" w:hAnsi="Times New Roman" w:cs="Times New Roman"/>
          <w:i/>
          <w:sz w:val="20"/>
          <w:szCs w:val="20"/>
        </w:rPr>
        <w:t>US Department of Health and Human Services</w:t>
      </w:r>
      <w:r w:rsidRPr="0067431E">
        <w:rPr>
          <w:rFonts w:ascii="Times New Roman" w:hAnsi="Times New Roman" w:cs="Times New Roman"/>
          <w:sz w:val="20"/>
          <w:szCs w:val="20"/>
          <w:lang w:val="en-US"/>
        </w:rPr>
        <w:t>, March 2012, &lt;http://www.phe.gov/s3/dualuse/Documents/us-policy-durc-032812.pdf&gt;.</w:t>
      </w:r>
    </w:p>
  </w:footnote>
  <w:footnote w:id="5">
    <w:p w:rsidR="00666D13" w:rsidRPr="00036B93" w:rsidRDefault="00666D13" w:rsidP="00113983">
      <w:pPr>
        <w:pStyle w:val="CommentText"/>
        <w:spacing w:line="480" w:lineRule="auto"/>
        <w:rPr>
          <w:lang w:val="en-US"/>
        </w:rPr>
      </w:pPr>
      <w:r w:rsidRPr="0067431E">
        <w:rPr>
          <w:rStyle w:val="FootnoteReference"/>
        </w:rPr>
        <w:footnoteRef/>
      </w:r>
      <w:r w:rsidRPr="0067431E">
        <w:t xml:space="preserve"> </w:t>
      </w:r>
      <w:r w:rsidR="005A256F">
        <w:rPr>
          <w:lang w:val="en-US"/>
        </w:rPr>
        <w:t>‘</w:t>
      </w:r>
      <w:r w:rsidRPr="0067431E">
        <w:rPr>
          <w:lang w:val="en-US"/>
        </w:rPr>
        <w:t>Convention on the Prohibition of the Development, Production and Stockpiling of Bacteriological (Biological) and Toxin Weapons and on Their Destruction,</w:t>
      </w:r>
      <w:r w:rsidR="005A256F">
        <w:rPr>
          <w:lang w:val="en-US"/>
        </w:rPr>
        <w:t>’</w:t>
      </w:r>
      <w:r w:rsidRPr="0067431E">
        <w:rPr>
          <w:lang w:val="en-US"/>
        </w:rPr>
        <w:t xml:space="preserve"> 10 April 1972, </w:t>
      </w:r>
      <w:r w:rsidRPr="0067431E">
        <w:rPr>
          <w:i/>
          <w:lang w:val="en-US"/>
        </w:rPr>
        <w:t>United Nations Office at Geneva</w:t>
      </w:r>
      <w:r w:rsidRPr="0067431E">
        <w:rPr>
          <w:lang w:val="en-US"/>
        </w:rPr>
        <w:t>, &lt;http://www.unog.ch/80256EDD006B8954</w:t>
      </w:r>
      <w:r w:rsidRPr="00036B93">
        <w:rPr>
          <w:lang w:val="en-US"/>
        </w:rPr>
        <w:t>/%28httpAssets%29/C4048678A93B6934C1257188004848D0/$file/BWC-text-English.pdf&gt;.</w:t>
      </w:r>
    </w:p>
  </w:footnote>
  <w:footnote w:id="6">
    <w:p w:rsidR="00666D13" w:rsidRPr="00037DD4" w:rsidRDefault="00666D13" w:rsidP="00113983">
      <w:pPr>
        <w:pStyle w:val="FootnoteText"/>
        <w:spacing w:line="480" w:lineRule="auto"/>
        <w:rPr>
          <w:lang w:val="en-GB"/>
        </w:rPr>
      </w:pPr>
      <w:r>
        <w:rPr>
          <w:rStyle w:val="FootnoteReference"/>
        </w:rPr>
        <w:footnoteRef/>
      </w:r>
      <w:r>
        <w:t xml:space="preserve"> </w:t>
      </w:r>
      <w:r>
        <w:rPr>
          <w:rFonts w:eastAsia="SimSun"/>
          <w:lang w:val="en-US"/>
        </w:rPr>
        <w:t>United Nations Security Council, Resolution 1540 (2004), &lt;</w:t>
      </w:r>
      <w:r w:rsidRPr="00037DD4">
        <w:t>http://www.un.org/en/sc/1540/</w:t>
      </w:r>
      <w:r>
        <w:rPr>
          <w:rFonts w:eastAsia="SimSun"/>
          <w:lang w:val="en-US"/>
        </w:rPr>
        <w:t xml:space="preserve">&gt;, paragraph </w:t>
      </w:r>
      <w:proofErr w:type="gramStart"/>
      <w:r>
        <w:rPr>
          <w:rFonts w:eastAsia="SimSun"/>
          <w:lang w:val="en-US"/>
        </w:rPr>
        <w:t>3</w:t>
      </w:r>
      <w:proofErr w:type="gramEnd"/>
      <w:r>
        <w:rPr>
          <w:rFonts w:eastAsia="SimSun"/>
          <w:lang w:val="en-US"/>
        </w:rPr>
        <w:t>.</w:t>
      </w:r>
    </w:p>
  </w:footnote>
  <w:footnote w:id="7">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D156CE">
        <w:rPr>
          <w:rFonts w:cs="Times New Roman"/>
          <w:szCs w:val="20"/>
        </w:rPr>
        <w:t>‘</w:t>
      </w:r>
      <w:r w:rsidRPr="00036B93">
        <w:rPr>
          <w:rFonts w:cs="Times New Roman"/>
          <w:szCs w:val="20"/>
        </w:rPr>
        <w:t>Guidelines for Transfers of Sensitive Chemical or Biological Items,</w:t>
      </w:r>
      <w:r w:rsidR="00D156CE">
        <w:rPr>
          <w:rFonts w:cs="Times New Roman"/>
          <w:szCs w:val="20"/>
        </w:rPr>
        <w:t>’</w:t>
      </w:r>
      <w:r w:rsidRPr="00036B93">
        <w:rPr>
          <w:rFonts w:cs="Times New Roman"/>
          <w:szCs w:val="20"/>
        </w:rPr>
        <w:t xml:space="preserve"> </w:t>
      </w:r>
      <w:r w:rsidRPr="00036B93">
        <w:rPr>
          <w:rFonts w:cs="Times New Roman"/>
          <w:i/>
          <w:szCs w:val="20"/>
        </w:rPr>
        <w:t>Australia Group</w:t>
      </w:r>
      <w:r w:rsidRPr="00036B93">
        <w:rPr>
          <w:rFonts w:cs="Times New Roman"/>
          <w:szCs w:val="20"/>
        </w:rPr>
        <w:t>, June 2012, &lt;http://www.australiagroup.net/en/guidelines.html&gt;.</w:t>
      </w:r>
    </w:p>
  </w:footnote>
  <w:footnote w:id="8">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D156CE">
        <w:rPr>
          <w:rFonts w:cs="Times New Roman"/>
          <w:szCs w:val="20"/>
        </w:rPr>
        <w:t>‘</w:t>
      </w:r>
      <w:r w:rsidRPr="00036B93">
        <w:rPr>
          <w:rFonts w:cs="Times New Roman"/>
          <w:szCs w:val="20"/>
        </w:rPr>
        <w:t>Control List of Dual-use Biological Equipment and Related Technology and Software,</w:t>
      </w:r>
      <w:r w:rsidR="00D156CE">
        <w:rPr>
          <w:rFonts w:cs="Times New Roman"/>
          <w:szCs w:val="20"/>
        </w:rPr>
        <w:t>’</w:t>
      </w:r>
      <w:r w:rsidRPr="00036B93">
        <w:rPr>
          <w:rFonts w:cs="Times New Roman"/>
          <w:szCs w:val="20"/>
        </w:rPr>
        <w:t xml:space="preserve"> </w:t>
      </w:r>
      <w:r w:rsidRPr="00036B93">
        <w:rPr>
          <w:rFonts w:cs="Times New Roman"/>
          <w:i/>
          <w:szCs w:val="20"/>
        </w:rPr>
        <w:t>Australia Group</w:t>
      </w:r>
      <w:r w:rsidRPr="00036B93">
        <w:rPr>
          <w:rFonts w:cs="Times New Roman"/>
          <w:szCs w:val="20"/>
        </w:rPr>
        <w:t>, January 2014, &lt;http://www.australiagroup.net/en/dual_biological.html&gt;.</w:t>
      </w:r>
    </w:p>
  </w:footnote>
  <w:footnote w:id="9">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D156CE">
        <w:rPr>
          <w:rFonts w:cs="Times New Roman"/>
          <w:szCs w:val="20"/>
        </w:rPr>
        <w:t>‘</w:t>
      </w:r>
      <w:r w:rsidRPr="00036B93">
        <w:rPr>
          <w:rFonts w:cs="Times New Roman"/>
          <w:szCs w:val="20"/>
        </w:rPr>
        <w:t>New Measures to Fight the Spread of Chemical and Biological Weapons,</w:t>
      </w:r>
      <w:r w:rsidR="00D156CE">
        <w:rPr>
          <w:rFonts w:cs="Times New Roman"/>
          <w:szCs w:val="20"/>
        </w:rPr>
        <w:t>’</w:t>
      </w:r>
      <w:r w:rsidRPr="00036B93">
        <w:rPr>
          <w:rFonts w:cs="Times New Roman"/>
          <w:szCs w:val="20"/>
        </w:rPr>
        <w:t xml:space="preserve"> </w:t>
      </w:r>
      <w:r w:rsidRPr="00036B93">
        <w:rPr>
          <w:rFonts w:cs="Times New Roman"/>
          <w:i/>
          <w:szCs w:val="20"/>
        </w:rPr>
        <w:t>Australia Group</w:t>
      </w:r>
      <w:r w:rsidRPr="00036B93">
        <w:rPr>
          <w:rFonts w:cs="Times New Roman"/>
          <w:szCs w:val="20"/>
        </w:rPr>
        <w:t>, June 2002, &lt;http://www.australiagroup.net/en/agm_june2002.html&gt;.</w:t>
      </w:r>
    </w:p>
  </w:footnote>
  <w:footnote w:id="10">
    <w:p w:rsidR="00666D13" w:rsidRPr="002D57D1" w:rsidRDefault="00666D13" w:rsidP="00113983">
      <w:pPr>
        <w:pStyle w:val="FootnoteText"/>
        <w:spacing w:line="480" w:lineRule="auto"/>
        <w:rPr>
          <w:lang w:val="en-GB"/>
        </w:rPr>
      </w:pPr>
      <w:r>
        <w:rPr>
          <w:rStyle w:val="FootnoteReference"/>
        </w:rPr>
        <w:footnoteRef/>
      </w:r>
      <w:r>
        <w:t xml:space="preserve"> </w:t>
      </w:r>
      <w:r w:rsidRPr="002626F3">
        <w:rPr>
          <w:lang w:val="en-US"/>
        </w:rPr>
        <w:t xml:space="preserve">Council Regulation (EC) </w:t>
      </w:r>
      <w:r>
        <w:rPr>
          <w:lang w:val="en-US"/>
        </w:rPr>
        <w:t>428/2009</w:t>
      </w:r>
      <w:r w:rsidRPr="002626F3">
        <w:rPr>
          <w:lang w:val="en-US"/>
        </w:rPr>
        <w:t xml:space="preserve"> of </w:t>
      </w:r>
      <w:r>
        <w:rPr>
          <w:lang w:val="en-US"/>
        </w:rPr>
        <w:t xml:space="preserve">5 May 2009 </w:t>
      </w:r>
      <w:r w:rsidRPr="007F2545">
        <w:rPr>
          <w:lang w:val="en-US"/>
        </w:rPr>
        <w:t>setting up a Community regime for the control of exports, transfer,</w:t>
      </w:r>
      <w:r>
        <w:rPr>
          <w:lang w:val="en-US"/>
        </w:rPr>
        <w:t xml:space="preserve"> brokering and transit of dual-</w:t>
      </w:r>
      <w:r w:rsidRPr="007F2545">
        <w:rPr>
          <w:lang w:val="en-US"/>
        </w:rPr>
        <w:t>use items</w:t>
      </w:r>
      <w:r>
        <w:rPr>
          <w:lang w:val="en-US"/>
        </w:rPr>
        <w:t xml:space="preserve"> [2009</w:t>
      </w:r>
      <w:r w:rsidRPr="002626F3">
        <w:rPr>
          <w:lang w:val="en-US"/>
        </w:rPr>
        <w:t xml:space="preserve">] </w:t>
      </w:r>
      <w:r w:rsidRPr="007F2545">
        <w:rPr>
          <w:lang w:val="en-US"/>
        </w:rPr>
        <w:t>OJ L 134</w:t>
      </w:r>
      <w:r w:rsidR="00D156CE">
        <w:rPr>
          <w:lang w:val="en-US"/>
        </w:rPr>
        <w:t>.</w:t>
      </w:r>
    </w:p>
  </w:footnote>
  <w:footnote w:id="11">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proofErr w:type="spellStart"/>
      <w:r w:rsidRPr="00036B93">
        <w:rPr>
          <w:rFonts w:cs="Times New Roman"/>
          <w:szCs w:val="20"/>
        </w:rPr>
        <w:t>Jeronimo</w:t>
      </w:r>
      <w:proofErr w:type="spellEnd"/>
      <w:r w:rsidRPr="00036B93">
        <w:rPr>
          <w:rFonts w:cs="Times New Roman"/>
          <w:szCs w:val="20"/>
        </w:rPr>
        <w:t xml:space="preserve"> Cello, </w:t>
      </w:r>
      <w:proofErr w:type="spellStart"/>
      <w:r w:rsidRPr="00036B93">
        <w:rPr>
          <w:rFonts w:cs="Times New Roman"/>
          <w:szCs w:val="20"/>
        </w:rPr>
        <w:t>Aniko</w:t>
      </w:r>
      <w:proofErr w:type="spellEnd"/>
      <w:r w:rsidRPr="00036B93">
        <w:rPr>
          <w:rFonts w:cs="Times New Roman"/>
          <w:szCs w:val="20"/>
        </w:rPr>
        <w:t xml:space="preserve"> V. Paul, and </w:t>
      </w:r>
      <w:proofErr w:type="spellStart"/>
      <w:r w:rsidRPr="00036B93">
        <w:rPr>
          <w:rFonts w:cs="Times New Roman"/>
          <w:szCs w:val="20"/>
        </w:rPr>
        <w:t>Eckard</w:t>
      </w:r>
      <w:proofErr w:type="spellEnd"/>
      <w:r w:rsidRPr="00036B93">
        <w:rPr>
          <w:rFonts w:cs="Times New Roman"/>
          <w:szCs w:val="20"/>
        </w:rPr>
        <w:t xml:space="preserve"> </w:t>
      </w:r>
      <w:proofErr w:type="spellStart"/>
      <w:r w:rsidRPr="00036B93">
        <w:rPr>
          <w:rFonts w:cs="Times New Roman"/>
          <w:szCs w:val="20"/>
        </w:rPr>
        <w:t>Wimmer</w:t>
      </w:r>
      <w:proofErr w:type="spellEnd"/>
      <w:r w:rsidRPr="00036B93">
        <w:rPr>
          <w:rFonts w:cs="Times New Roman"/>
          <w:szCs w:val="20"/>
        </w:rPr>
        <w:t xml:space="preserve">, </w:t>
      </w:r>
      <w:r w:rsidR="00D156CE">
        <w:rPr>
          <w:rFonts w:cs="Times New Roman"/>
          <w:szCs w:val="20"/>
        </w:rPr>
        <w:t>‘</w:t>
      </w:r>
      <w:r w:rsidRPr="00036B93">
        <w:rPr>
          <w:rFonts w:cs="Times New Roman"/>
          <w:szCs w:val="20"/>
        </w:rPr>
        <w:t>Chemical Synthesis of Poliovirus cDNA: Generation of Infectious Virus in the Absence of Natural Template,</w:t>
      </w:r>
      <w:r w:rsidR="00D156CE">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xml:space="preserve"> 297 (9 August 2002): 1016-18.</w:t>
      </w:r>
    </w:p>
  </w:footnote>
  <w:footnote w:id="12">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Jennifer </w:t>
      </w:r>
      <w:proofErr w:type="spellStart"/>
      <w:r w:rsidRPr="00036B93">
        <w:rPr>
          <w:rFonts w:cs="Times New Roman"/>
          <w:szCs w:val="20"/>
        </w:rPr>
        <w:t>Couzin</w:t>
      </w:r>
      <w:proofErr w:type="spellEnd"/>
      <w:r w:rsidRPr="00036B93">
        <w:rPr>
          <w:rFonts w:cs="Times New Roman"/>
          <w:szCs w:val="20"/>
        </w:rPr>
        <w:t xml:space="preserve">, </w:t>
      </w:r>
      <w:r w:rsidR="00D156CE">
        <w:rPr>
          <w:rFonts w:cs="Times New Roman"/>
          <w:szCs w:val="20"/>
        </w:rPr>
        <w:t>‘</w:t>
      </w:r>
      <w:r w:rsidRPr="00036B93">
        <w:rPr>
          <w:rFonts w:cs="Times New Roman"/>
          <w:szCs w:val="20"/>
        </w:rPr>
        <w:t>A Call for Restraint on Biological Data,</w:t>
      </w:r>
      <w:r w:rsidR="00D156CE">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xml:space="preserve"> 297 (2 August 2002): 749-50, at 749.</w:t>
      </w:r>
    </w:p>
  </w:footnote>
  <w:footnote w:id="13">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Donald Kennedy, </w:t>
      </w:r>
      <w:r w:rsidR="00D156CE">
        <w:rPr>
          <w:rFonts w:cs="Times New Roman"/>
          <w:szCs w:val="20"/>
        </w:rPr>
        <w:t>‘</w:t>
      </w:r>
      <w:r w:rsidRPr="00036B93">
        <w:rPr>
          <w:rFonts w:cs="Times New Roman"/>
          <w:szCs w:val="20"/>
        </w:rPr>
        <w:t>A Not-So-Cheap Stunt (Response),</w:t>
      </w:r>
      <w:r w:rsidR="00D156CE">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xml:space="preserve"> 297 (2 August 2002): 769-70, at 770.</w:t>
      </w:r>
    </w:p>
  </w:footnote>
  <w:footnote w:id="14">
    <w:p w:rsidR="00666D13" w:rsidRPr="00DA7CFE" w:rsidRDefault="00666D13" w:rsidP="00113983">
      <w:pPr>
        <w:pStyle w:val="FootnoteText"/>
        <w:spacing w:line="480" w:lineRule="auto"/>
        <w:rPr>
          <w:lang w:val="en-GB"/>
        </w:rPr>
      </w:pPr>
      <w:r>
        <w:rPr>
          <w:rStyle w:val="FootnoteReference"/>
        </w:rPr>
        <w:footnoteRef/>
      </w:r>
      <w:r>
        <w:t xml:space="preserve"> </w:t>
      </w:r>
      <w:r w:rsidRPr="00036B93">
        <w:rPr>
          <w:rFonts w:cs="Times New Roman"/>
          <w:szCs w:val="20"/>
        </w:rPr>
        <w:t xml:space="preserve">Jeffery K. </w:t>
      </w:r>
      <w:proofErr w:type="spellStart"/>
      <w:r w:rsidRPr="00036B93">
        <w:rPr>
          <w:rFonts w:cs="Times New Roman"/>
          <w:szCs w:val="20"/>
        </w:rPr>
        <w:t>Taubenberger</w:t>
      </w:r>
      <w:proofErr w:type="spellEnd"/>
      <w:r w:rsidRPr="00036B93">
        <w:rPr>
          <w:rFonts w:cs="Times New Roman"/>
          <w:szCs w:val="20"/>
        </w:rPr>
        <w:t xml:space="preserve">, Ann H. Reid, Raina M. </w:t>
      </w:r>
      <w:proofErr w:type="spellStart"/>
      <w:r w:rsidRPr="00036B93">
        <w:rPr>
          <w:rFonts w:cs="Times New Roman"/>
          <w:szCs w:val="20"/>
        </w:rPr>
        <w:t>Lourens</w:t>
      </w:r>
      <w:proofErr w:type="spellEnd"/>
      <w:r w:rsidRPr="00036B93">
        <w:rPr>
          <w:rFonts w:cs="Times New Roman"/>
          <w:szCs w:val="20"/>
        </w:rPr>
        <w:t xml:space="preserve">, </w:t>
      </w:r>
      <w:proofErr w:type="spellStart"/>
      <w:r w:rsidRPr="00036B93">
        <w:rPr>
          <w:rFonts w:cs="Times New Roman"/>
          <w:szCs w:val="20"/>
        </w:rPr>
        <w:t>Ruixue</w:t>
      </w:r>
      <w:proofErr w:type="spellEnd"/>
      <w:r w:rsidRPr="00036B93">
        <w:rPr>
          <w:rFonts w:cs="Times New Roman"/>
          <w:szCs w:val="20"/>
        </w:rPr>
        <w:t xml:space="preserve"> Wang, </w:t>
      </w:r>
      <w:proofErr w:type="spellStart"/>
      <w:r w:rsidRPr="00036B93">
        <w:rPr>
          <w:rFonts w:cs="Times New Roman"/>
          <w:szCs w:val="20"/>
        </w:rPr>
        <w:t>Guozhong</w:t>
      </w:r>
      <w:proofErr w:type="spellEnd"/>
      <w:r w:rsidRPr="00036B93">
        <w:rPr>
          <w:rFonts w:cs="Times New Roman"/>
          <w:szCs w:val="20"/>
        </w:rPr>
        <w:t xml:space="preserve"> </w:t>
      </w:r>
      <w:proofErr w:type="spellStart"/>
      <w:r w:rsidRPr="00036B93">
        <w:rPr>
          <w:rFonts w:cs="Times New Roman"/>
          <w:szCs w:val="20"/>
        </w:rPr>
        <w:t>Jin</w:t>
      </w:r>
      <w:proofErr w:type="spellEnd"/>
      <w:r w:rsidRPr="00036B93">
        <w:rPr>
          <w:rFonts w:cs="Times New Roman"/>
          <w:szCs w:val="20"/>
        </w:rPr>
        <w:t xml:space="preserve"> and Thomas G. Fanning, </w:t>
      </w:r>
      <w:r w:rsidR="00D156CE">
        <w:rPr>
          <w:rFonts w:cs="Times New Roman"/>
          <w:szCs w:val="20"/>
        </w:rPr>
        <w:t>‘</w:t>
      </w:r>
      <w:r w:rsidRPr="00036B93">
        <w:rPr>
          <w:rFonts w:cs="Times New Roman"/>
          <w:szCs w:val="20"/>
        </w:rPr>
        <w:t>Characterization of the 1918 Influenza Virus Polymerase Genes,</w:t>
      </w:r>
      <w:r w:rsidR="00D156CE">
        <w:rPr>
          <w:rFonts w:cs="Times New Roman"/>
          <w:szCs w:val="20"/>
        </w:rPr>
        <w:t>’</w:t>
      </w:r>
      <w:r w:rsidRPr="00036B93">
        <w:rPr>
          <w:rFonts w:cs="Times New Roman"/>
          <w:szCs w:val="20"/>
        </w:rPr>
        <w:t xml:space="preserve"> </w:t>
      </w:r>
      <w:r w:rsidRPr="00036B93">
        <w:rPr>
          <w:rFonts w:cs="Times New Roman"/>
          <w:i/>
          <w:szCs w:val="20"/>
        </w:rPr>
        <w:t>Nature</w:t>
      </w:r>
      <w:r w:rsidRPr="00036B93">
        <w:rPr>
          <w:rFonts w:cs="Times New Roman"/>
          <w:szCs w:val="20"/>
        </w:rPr>
        <w:t xml:space="preserve"> 437 (6 October 2005): 889-893</w:t>
      </w:r>
      <w:r>
        <w:rPr>
          <w:rFonts w:cs="Times New Roman"/>
          <w:szCs w:val="20"/>
        </w:rPr>
        <w:t>.</w:t>
      </w:r>
    </w:p>
  </w:footnote>
  <w:footnote w:id="15">
    <w:p w:rsidR="00666D13" w:rsidRPr="00DA7CFE" w:rsidRDefault="00666D13" w:rsidP="00113983">
      <w:pPr>
        <w:pStyle w:val="FootnoteText"/>
        <w:spacing w:line="480" w:lineRule="auto"/>
        <w:rPr>
          <w:lang w:val="en-GB"/>
        </w:rPr>
      </w:pPr>
      <w:r>
        <w:rPr>
          <w:rStyle w:val="FootnoteReference"/>
        </w:rPr>
        <w:footnoteRef/>
      </w:r>
      <w:r>
        <w:t xml:space="preserve"> </w:t>
      </w:r>
      <w:r w:rsidRPr="00036B93">
        <w:rPr>
          <w:rFonts w:cs="Times New Roman"/>
          <w:szCs w:val="20"/>
        </w:rPr>
        <w:t xml:space="preserve">Terrence M. </w:t>
      </w:r>
      <w:proofErr w:type="spellStart"/>
      <w:r w:rsidRPr="00036B93">
        <w:rPr>
          <w:rFonts w:cs="Times New Roman"/>
          <w:szCs w:val="20"/>
        </w:rPr>
        <w:t>Tumpey</w:t>
      </w:r>
      <w:proofErr w:type="spellEnd"/>
      <w:r w:rsidRPr="00036B93">
        <w:rPr>
          <w:rFonts w:cs="Times New Roman"/>
          <w:szCs w:val="20"/>
        </w:rPr>
        <w:t xml:space="preserve">, Christopher F. Basler, Patricia V. Aguilar, Hui Zeng, Alicia Solórzano, David E. Swayne, Nancy J. Cox, Jacqueline M. Katz, Jeffery K. </w:t>
      </w:r>
      <w:proofErr w:type="spellStart"/>
      <w:r w:rsidRPr="00036B93">
        <w:rPr>
          <w:rFonts w:cs="Times New Roman"/>
          <w:szCs w:val="20"/>
        </w:rPr>
        <w:t>Taubenberger</w:t>
      </w:r>
      <w:proofErr w:type="spellEnd"/>
      <w:r w:rsidRPr="00036B93">
        <w:rPr>
          <w:rFonts w:cs="Times New Roman"/>
          <w:szCs w:val="20"/>
        </w:rPr>
        <w:t xml:space="preserve">, Peter </w:t>
      </w:r>
      <w:proofErr w:type="spellStart"/>
      <w:r w:rsidRPr="00036B93">
        <w:rPr>
          <w:rFonts w:cs="Times New Roman"/>
          <w:szCs w:val="20"/>
        </w:rPr>
        <w:t>Palese</w:t>
      </w:r>
      <w:proofErr w:type="spellEnd"/>
      <w:r w:rsidRPr="00036B93">
        <w:rPr>
          <w:rFonts w:cs="Times New Roman"/>
          <w:szCs w:val="20"/>
        </w:rPr>
        <w:t xml:space="preserve">, and Adolfo </w:t>
      </w:r>
      <w:proofErr w:type="spellStart"/>
      <w:r w:rsidRPr="00036B93">
        <w:rPr>
          <w:rFonts w:cs="Times New Roman"/>
          <w:szCs w:val="20"/>
        </w:rPr>
        <w:t>García-Sastre</w:t>
      </w:r>
      <w:proofErr w:type="spellEnd"/>
      <w:r w:rsidRPr="00036B93">
        <w:rPr>
          <w:rFonts w:cs="Times New Roman"/>
          <w:szCs w:val="20"/>
        </w:rPr>
        <w:t xml:space="preserve">, </w:t>
      </w:r>
      <w:r w:rsidR="00D156CE">
        <w:rPr>
          <w:rFonts w:cs="Times New Roman"/>
          <w:szCs w:val="20"/>
        </w:rPr>
        <w:t>‘</w:t>
      </w:r>
      <w:r w:rsidRPr="00036B93">
        <w:rPr>
          <w:rFonts w:cs="Times New Roman"/>
          <w:szCs w:val="20"/>
        </w:rPr>
        <w:t>Characterization of the Reconstructed 1918 Spanish Influenza Pandemic Virus,</w:t>
      </w:r>
      <w:r w:rsidR="00D156CE">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310 (7 October 2005): 77-80.</w:t>
      </w:r>
    </w:p>
  </w:footnote>
  <w:footnote w:id="16">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Ray Kurzweil and Bill Joy, </w:t>
      </w:r>
      <w:r w:rsidR="00D156CE">
        <w:rPr>
          <w:rFonts w:cs="Times New Roman"/>
          <w:szCs w:val="20"/>
        </w:rPr>
        <w:t>‘</w:t>
      </w:r>
      <w:r w:rsidRPr="00036B93">
        <w:rPr>
          <w:rFonts w:cs="Times New Roman"/>
          <w:szCs w:val="20"/>
        </w:rPr>
        <w:t>Recipe for Destruction,</w:t>
      </w:r>
      <w:r w:rsidR="00D156CE">
        <w:rPr>
          <w:rFonts w:cs="Times New Roman"/>
          <w:szCs w:val="20"/>
        </w:rPr>
        <w:t>’</w:t>
      </w:r>
      <w:r w:rsidRPr="00036B93">
        <w:rPr>
          <w:rFonts w:cs="Times New Roman"/>
          <w:szCs w:val="20"/>
        </w:rPr>
        <w:t xml:space="preserve"> </w:t>
      </w:r>
      <w:r w:rsidRPr="00036B93">
        <w:rPr>
          <w:rFonts w:cs="Times New Roman"/>
          <w:i/>
          <w:szCs w:val="20"/>
        </w:rPr>
        <w:t>New York Times</w:t>
      </w:r>
      <w:r w:rsidRPr="00036B93">
        <w:rPr>
          <w:rFonts w:cs="Times New Roman"/>
          <w:szCs w:val="20"/>
        </w:rPr>
        <w:t>, 17 October 2005, &lt;http://www.nytimes.com/2005/10/17/opinion/recipe-for-destruction.html&gt;.</w:t>
      </w:r>
    </w:p>
  </w:footnote>
  <w:footnote w:id="17">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Jocelyn Kaiser, </w:t>
      </w:r>
      <w:r w:rsidR="00D156CE">
        <w:rPr>
          <w:rFonts w:cs="Times New Roman"/>
          <w:szCs w:val="20"/>
        </w:rPr>
        <w:t>‘</w:t>
      </w:r>
      <w:r w:rsidRPr="00036B93">
        <w:rPr>
          <w:rFonts w:cs="Times New Roman"/>
          <w:szCs w:val="20"/>
        </w:rPr>
        <w:t>Resurrected Influenza Virus Yields Secrets of Deadly 1918 Pandemic,</w:t>
      </w:r>
      <w:r w:rsidR="00D156CE">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xml:space="preserve"> 310 (7 October 2005): 28-29, at 29.</w:t>
      </w:r>
    </w:p>
  </w:footnote>
  <w:footnote w:id="18">
    <w:p w:rsidR="00666D13" w:rsidRPr="00AF0045" w:rsidRDefault="00666D13" w:rsidP="00113983">
      <w:pPr>
        <w:pStyle w:val="FootnoteText"/>
        <w:spacing w:line="480" w:lineRule="auto"/>
        <w:rPr>
          <w:lang w:val="en-GB"/>
        </w:rPr>
      </w:pPr>
      <w:r>
        <w:rPr>
          <w:rStyle w:val="FootnoteReference"/>
        </w:rPr>
        <w:footnoteRef/>
      </w:r>
      <w:r w:rsidR="00D156CE">
        <w:rPr>
          <w:lang w:val="en-GB"/>
        </w:rPr>
        <w:t xml:space="preserve"> </w:t>
      </w:r>
      <w:r w:rsidR="00D156CE" w:rsidRPr="00D156CE">
        <w:rPr>
          <w:lang w:val="en-GB"/>
        </w:rPr>
        <w:t>‘</w:t>
      </w:r>
      <w:r w:rsidRPr="00D156CE">
        <w:rPr>
          <w:lang w:val="en-GB"/>
        </w:rPr>
        <w:t xml:space="preserve">Cumulative number of confirmed human cases of avian influenza </w:t>
      </w:r>
      <w:proofErr w:type="gramStart"/>
      <w:r w:rsidRPr="00D156CE">
        <w:rPr>
          <w:lang w:val="en-GB"/>
        </w:rPr>
        <w:t>A(</w:t>
      </w:r>
      <w:proofErr w:type="gramEnd"/>
      <w:r w:rsidRPr="00D156CE">
        <w:rPr>
          <w:lang w:val="en-GB"/>
        </w:rPr>
        <w:t>H5N1) reported to WHO</w:t>
      </w:r>
      <w:r>
        <w:rPr>
          <w:lang w:val="en-GB"/>
        </w:rPr>
        <w:t>,</w:t>
      </w:r>
      <w:r w:rsidR="00D156CE">
        <w:rPr>
          <w:lang w:val="en-GB"/>
        </w:rPr>
        <w:t>’</w:t>
      </w:r>
      <w:r>
        <w:rPr>
          <w:lang w:val="en-GB"/>
        </w:rPr>
        <w:t xml:space="preserve"> </w:t>
      </w:r>
      <w:r w:rsidR="00D156CE" w:rsidRPr="00D156CE">
        <w:rPr>
          <w:i/>
          <w:lang w:val="en-GB"/>
        </w:rPr>
        <w:t>World Health Organization</w:t>
      </w:r>
      <w:r w:rsidR="00D156CE">
        <w:rPr>
          <w:lang w:val="en-GB"/>
        </w:rPr>
        <w:t xml:space="preserve">, </w:t>
      </w:r>
      <w:r>
        <w:rPr>
          <w:lang w:val="en-GB"/>
        </w:rPr>
        <w:t>19 July 2016, &lt;</w:t>
      </w:r>
      <w:r w:rsidRPr="00AF0045">
        <w:rPr>
          <w:lang w:val="en-GB"/>
        </w:rPr>
        <w:t>http://www.who.int/influenza/human_animal_interface/H5N1_cumulative_table_archives/en/</w:t>
      </w:r>
      <w:r>
        <w:rPr>
          <w:lang w:val="en-GB"/>
        </w:rPr>
        <w:t>&gt;.</w:t>
      </w:r>
    </w:p>
  </w:footnote>
  <w:footnote w:id="19">
    <w:p w:rsidR="00666D13" w:rsidRPr="00036B93" w:rsidRDefault="00666D13" w:rsidP="00113983">
      <w:pPr>
        <w:pStyle w:val="FootnoteText"/>
        <w:spacing w:line="480" w:lineRule="auto"/>
        <w:rPr>
          <w:rFonts w:cs="Times New Roman"/>
          <w:szCs w:val="20"/>
          <w:lang w:val="en-GB"/>
        </w:rPr>
      </w:pPr>
      <w:r w:rsidRPr="00036B93">
        <w:rPr>
          <w:rStyle w:val="FootnoteReference"/>
          <w:rFonts w:cs="Times New Roman"/>
          <w:szCs w:val="20"/>
        </w:rPr>
        <w:footnoteRef/>
      </w:r>
      <w:r w:rsidRPr="00036B93">
        <w:rPr>
          <w:rFonts w:cs="Times New Roman"/>
          <w:szCs w:val="20"/>
        </w:rPr>
        <w:t xml:space="preserve"> </w:t>
      </w:r>
      <w:r w:rsidRPr="00036B93">
        <w:rPr>
          <w:rFonts w:cs="Times New Roman"/>
          <w:szCs w:val="20"/>
          <w:lang w:val="en-GB"/>
        </w:rPr>
        <w:t xml:space="preserve">Brendan Maher, ‘The Biosecurity Oversight’, </w:t>
      </w:r>
      <w:r w:rsidRPr="00036B93">
        <w:rPr>
          <w:rFonts w:cs="Times New Roman"/>
          <w:i/>
          <w:szCs w:val="20"/>
          <w:lang w:val="en-GB"/>
        </w:rPr>
        <w:t>Nature</w:t>
      </w:r>
      <w:r w:rsidRPr="00036B93">
        <w:rPr>
          <w:rFonts w:cs="Times New Roman"/>
          <w:szCs w:val="20"/>
          <w:lang w:val="en-GB"/>
        </w:rPr>
        <w:t xml:space="preserve"> 485 (24 May 2012): 431-34, at p. 432.</w:t>
      </w:r>
    </w:p>
  </w:footnote>
  <w:footnote w:id="20">
    <w:p w:rsidR="00666D13" w:rsidRPr="00082E8F" w:rsidRDefault="00666D13" w:rsidP="00113983">
      <w:pPr>
        <w:pStyle w:val="FootnoteText"/>
        <w:spacing w:line="480" w:lineRule="auto"/>
        <w:rPr>
          <w:lang w:val="en-GB"/>
        </w:rPr>
      </w:pPr>
      <w:r>
        <w:rPr>
          <w:rStyle w:val="FootnoteReference"/>
        </w:rPr>
        <w:footnoteRef/>
      </w:r>
      <w:r>
        <w:t xml:space="preserve"> </w:t>
      </w:r>
      <w:r>
        <w:rPr>
          <w:lang w:val="en-GB"/>
        </w:rPr>
        <w:t xml:space="preserve">Michael </w:t>
      </w:r>
      <w:proofErr w:type="spellStart"/>
      <w:r>
        <w:rPr>
          <w:lang w:val="en-GB"/>
        </w:rPr>
        <w:t>Specter</w:t>
      </w:r>
      <w:proofErr w:type="spellEnd"/>
      <w:r>
        <w:rPr>
          <w:lang w:val="en-GB"/>
        </w:rPr>
        <w:t xml:space="preserve">, ‘The Trouble with Scientific Secrets’, </w:t>
      </w:r>
      <w:r w:rsidRPr="00082E8F">
        <w:rPr>
          <w:i/>
          <w:lang w:val="en-GB"/>
        </w:rPr>
        <w:t>The New Yorker</w:t>
      </w:r>
      <w:r>
        <w:rPr>
          <w:lang w:val="en-GB"/>
        </w:rPr>
        <w:t>, 22 December 2011, &lt;</w:t>
      </w:r>
      <w:r w:rsidRPr="00082E8F">
        <w:rPr>
          <w:lang w:val="en-GB"/>
        </w:rPr>
        <w:t>http://www.newyorker.com/news/news-desk/the-trouble-with-scientific-secrets</w:t>
      </w:r>
      <w:r w:rsidR="00D156CE">
        <w:rPr>
          <w:lang w:val="en-GB"/>
        </w:rPr>
        <w:t>&gt;.</w:t>
      </w:r>
    </w:p>
  </w:footnote>
  <w:footnote w:id="21">
    <w:p w:rsidR="00666D13" w:rsidRPr="00EF486B" w:rsidRDefault="00666D13" w:rsidP="00113983">
      <w:pPr>
        <w:pStyle w:val="FootnoteText"/>
        <w:spacing w:line="480" w:lineRule="auto"/>
        <w:rPr>
          <w:lang w:val="en-GB"/>
        </w:rPr>
      </w:pPr>
      <w:r>
        <w:rPr>
          <w:rStyle w:val="FootnoteReference"/>
        </w:rPr>
        <w:footnoteRef/>
      </w:r>
      <w:r>
        <w:t xml:space="preserve"> </w:t>
      </w:r>
      <w:r>
        <w:rPr>
          <w:lang w:val="en-GB"/>
        </w:rPr>
        <w:t xml:space="preserve">Around this time, a similar set of findings on the achievement of H5N1 transmissibility using a different technique was prepared for </w:t>
      </w:r>
      <w:r w:rsidRPr="006E28BE">
        <w:rPr>
          <w:i/>
          <w:lang w:val="en-GB"/>
        </w:rPr>
        <w:t>Nature</w:t>
      </w:r>
      <w:r>
        <w:rPr>
          <w:lang w:val="en-GB"/>
        </w:rPr>
        <w:t xml:space="preserve"> by a team of researchers in the United States led by Yoshihiro </w:t>
      </w:r>
      <w:proofErr w:type="spellStart"/>
      <w:r>
        <w:rPr>
          <w:lang w:val="en-GB"/>
        </w:rPr>
        <w:t>Kawaoka</w:t>
      </w:r>
      <w:proofErr w:type="spellEnd"/>
      <w:r>
        <w:rPr>
          <w:lang w:val="en-GB"/>
        </w:rPr>
        <w:t xml:space="preserve"> of the University of Wisconsin-Madison. The intended publication of these findings is beyond the scope of the present article, because they originated outside the EU. </w:t>
      </w:r>
      <w:proofErr w:type="gramStart"/>
      <w:r>
        <w:rPr>
          <w:lang w:val="en-GB"/>
        </w:rPr>
        <w:t xml:space="preserve">See: </w:t>
      </w:r>
      <w:r w:rsidRPr="00036B93">
        <w:rPr>
          <w:rFonts w:cs="Times New Roman"/>
          <w:szCs w:val="20"/>
          <w:lang w:val="en-US"/>
        </w:rPr>
        <w:t xml:space="preserve">Masaki Imai, Tokiko Watanabe, Masato Hatta, </w:t>
      </w:r>
      <w:proofErr w:type="spellStart"/>
      <w:r w:rsidRPr="00036B93">
        <w:rPr>
          <w:rFonts w:cs="Times New Roman"/>
          <w:szCs w:val="20"/>
          <w:lang w:val="en-US"/>
        </w:rPr>
        <w:t>Subash</w:t>
      </w:r>
      <w:proofErr w:type="spellEnd"/>
      <w:r w:rsidRPr="00036B93">
        <w:rPr>
          <w:rFonts w:cs="Times New Roman"/>
          <w:szCs w:val="20"/>
          <w:lang w:val="en-US"/>
        </w:rPr>
        <w:t xml:space="preserve"> C. Das, Makoto Ozawa, Kyoko Shinya, </w:t>
      </w:r>
      <w:proofErr w:type="spellStart"/>
      <w:r w:rsidRPr="00036B93">
        <w:rPr>
          <w:rFonts w:cs="Times New Roman"/>
          <w:szCs w:val="20"/>
          <w:lang w:val="en-US"/>
        </w:rPr>
        <w:t>Gongxun</w:t>
      </w:r>
      <w:proofErr w:type="spellEnd"/>
      <w:r w:rsidRPr="00036B93">
        <w:rPr>
          <w:rFonts w:cs="Times New Roman"/>
          <w:szCs w:val="20"/>
          <w:lang w:val="en-US"/>
        </w:rPr>
        <w:t xml:space="preserve"> </w:t>
      </w:r>
      <w:proofErr w:type="spellStart"/>
      <w:r w:rsidRPr="00036B93">
        <w:rPr>
          <w:rFonts w:cs="Times New Roman"/>
          <w:szCs w:val="20"/>
          <w:lang w:val="en-US"/>
        </w:rPr>
        <w:t>Zhong</w:t>
      </w:r>
      <w:proofErr w:type="spellEnd"/>
      <w:r w:rsidRPr="00036B93">
        <w:rPr>
          <w:rFonts w:cs="Times New Roman"/>
          <w:szCs w:val="20"/>
          <w:lang w:val="en-US"/>
        </w:rPr>
        <w:t xml:space="preserve">, Anthony Hanson, Hiroaki </w:t>
      </w:r>
      <w:proofErr w:type="spellStart"/>
      <w:r w:rsidRPr="00036B93">
        <w:rPr>
          <w:rFonts w:cs="Times New Roman"/>
          <w:szCs w:val="20"/>
          <w:lang w:val="en-US"/>
        </w:rPr>
        <w:t>Katsura</w:t>
      </w:r>
      <w:proofErr w:type="spellEnd"/>
      <w:r w:rsidRPr="00036B93">
        <w:rPr>
          <w:rFonts w:cs="Times New Roman"/>
          <w:szCs w:val="20"/>
          <w:lang w:val="en-US"/>
        </w:rPr>
        <w:t xml:space="preserve">, Shinji Watanabe, </w:t>
      </w:r>
      <w:proofErr w:type="spellStart"/>
      <w:r w:rsidRPr="00036B93">
        <w:rPr>
          <w:rFonts w:cs="Times New Roman"/>
          <w:szCs w:val="20"/>
          <w:lang w:val="en-US"/>
        </w:rPr>
        <w:t>Chengjun</w:t>
      </w:r>
      <w:proofErr w:type="spellEnd"/>
      <w:r w:rsidRPr="00036B93">
        <w:rPr>
          <w:rFonts w:cs="Times New Roman"/>
          <w:szCs w:val="20"/>
          <w:lang w:val="en-US"/>
        </w:rPr>
        <w:t xml:space="preserve"> Li, </w:t>
      </w:r>
      <w:proofErr w:type="spellStart"/>
      <w:r w:rsidRPr="00036B93">
        <w:rPr>
          <w:rFonts w:cs="Times New Roman"/>
          <w:szCs w:val="20"/>
          <w:lang w:val="en-US"/>
        </w:rPr>
        <w:t>Eiryo</w:t>
      </w:r>
      <w:proofErr w:type="spellEnd"/>
      <w:r w:rsidRPr="00036B93">
        <w:rPr>
          <w:rFonts w:cs="Times New Roman"/>
          <w:szCs w:val="20"/>
          <w:lang w:val="en-US"/>
        </w:rPr>
        <w:t xml:space="preserve"> Kawakami, Shinya Yamada, Maki Kiso, </w:t>
      </w:r>
      <w:proofErr w:type="spellStart"/>
      <w:r w:rsidRPr="00036B93">
        <w:rPr>
          <w:rFonts w:cs="Times New Roman"/>
          <w:szCs w:val="20"/>
          <w:lang w:val="en-US"/>
        </w:rPr>
        <w:t>Yasuo</w:t>
      </w:r>
      <w:proofErr w:type="spellEnd"/>
      <w:r w:rsidRPr="00036B93">
        <w:rPr>
          <w:rFonts w:cs="Times New Roman"/>
          <w:szCs w:val="20"/>
          <w:lang w:val="en-US"/>
        </w:rPr>
        <w:t xml:space="preserve"> Suzuki, Eileen A. Maher, Gabriele Neumann, and Yoshihiro </w:t>
      </w:r>
      <w:proofErr w:type="spellStart"/>
      <w:r w:rsidRPr="00036B93">
        <w:rPr>
          <w:rFonts w:cs="Times New Roman"/>
          <w:szCs w:val="20"/>
          <w:lang w:val="en-US"/>
        </w:rPr>
        <w:t>Kawaoka</w:t>
      </w:r>
      <w:proofErr w:type="spellEnd"/>
      <w:r w:rsidRPr="00036B93">
        <w:rPr>
          <w:rFonts w:cs="Times New Roman"/>
          <w:szCs w:val="20"/>
          <w:lang w:val="en-US"/>
        </w:rPr>
        <w:t xml:space="preserve">, </w:t>
      </w:r>
      <w:r w:rsidR="00D156CE">
        <w:rPr>
          <w:rFonts w:cs="Times New Roman"/>
          <w:szCs w:val="20"/>
          <w:lang w:val="en-US"/>
        </w:rPr>
        <w:t>‘</w:t>
      </w:r>
      <w:r w:rsidRPr="00036B93">
        <w:rPr>
          <w:rFonts w:cs="Times New Roman"/>
          <w:szCs w:val="20"/>
          <w:lang w:val="en-US"/>
        </w:rPr>
        <w:t xml:space="preserve">Experimental Adaptation of an Influenza H5 HA Confers Respiratory Droplet Transmission to a </w:t>
      </w:r>
      <w:proofErr w:type="spellStart"/>
      <w:r w:rsidRPr="00036B93">
        <w:rPr>
          <w:rFonts w:cs="Times New Roman"/>
          <w:szCs w:val="20"/>
          <w:lang w:val="en-US"/>
        </w:rPr>
        <w:t>Reassortant</w:t>
      </w:r>
      <w:proofErr w:type="spellEnd"/>
      <w:r w:rsidRPr="00036B93">
        <w:rPr>
          <w:rFonts w:cs="Times New Roman"/>
          <w:szCs w:val="20"/>
          <w:lang w:val="en-US"/>
        </w:rPr>
        <w:t xml:space="preserve"> H5 HA/H1N1 Virus in Ferrets,</w:t>
      </w:r>
      <w:r w:rsidR="00D156CE">
        <w:rPr>
          <w:rFonts w:cs="Times New Roman"/>
          <w:szCs w:val="20"/>
          <w:lang w:val="en-US"/>
        </w:rPr>
        <w:t>’</w:t>
      </w:r>
      <w:r w:rsidRPr="00036B93">
        <w:rPr>
          <w:rFonts w:cs="Times New Roman"/>
          <w:szCs w:val="20"/>
          <w:lang w:val="en-US"/>
        </w:rPr>
        <w:t xml:space="preserve"> </w:t>
      </w:r>
      <w:r w:rsidRPr="00036B93">
        <w:rPr>
          <w:rFonts w:cs="Times New Roman"/>
          <w:i/>
          <w:szCs w:val="20"/>
          <w:lang w:val="en-US"/>
        </w:rPr>
        <w:t>Nature</w:t>
      </w:r>
      <w:r w:rsidRPr="00036B93">
        <w:rPr>
          <w:rFonts w:cs="Times New Roman"/>
          <w:szCs w:val="20"/>
          <w:lang w:val="en-US"/>
        </w:rPr>
        <w:t xml:space="preserve"> 486 (21 June 2012): 420–28.</w:t>
      </w:r>
      <w:proofErr w:type="gramEnd"/>
    </w:p>
  </w:footnote>
  <w:footnote w:id="22">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Denise Grady and William J. Broad, </w:t>
      </w:r>
      <w:r w:rsidR="00D156CE">
        <w:rPr>
          <w:rFonts w:cs="Times New Roman"/>
          <w:szCs w:val="20"/>
        </w:rPr>
        <w:t>‘</w:t>
      </w:r>
      <w:r w:rsidRPr="00036B93">
        <w:rPr>
          <w:rFonts w:cs="Times New Roman"/>
          <w:szCs w:val="20"/>
        </w:rPr>
        <w:t xml:space="preserve">Journals Asked To Cut Details </w:t>
      </w:r>
      <w:proofErr w:type="gramStart"/>
      <w:r w:rsidRPr="00036B93">
        <w:rPr>
          <w:rFonts w:cs="Times New Roman"/>
          <w:szCs w:val="20"/>
        </w:rPr>
        <w:t>Of</w:t>
      </w:r>
      <w:proofErr w:type="gramEnd"/>
      <w:r w:rsidRPr="00036B93">
        <w:rPr>
          <w:rFonts w:cs="Times New Roman"/>
          <w:szCs w:val="20"/>
        </w:rPr>
        <w:t xml:space="preserve"> Flu Studies,</w:t>
      </w:r>
      <w:r w:rsidR="00D156CE">
        <w:rPr>
          <w:rFonts w:cs="Times New Roman"/>
          <w:szCs w:val="20"/>
        </w:rPr>
        <w:t>’</w:t>
      </w:r>
      <w:r w:rsidRPr="00036B93">
        <w:rPr>
          <w:rFonts w:cs="Times New Roman"/>
          <w:szCs w:val="20"/>
        </w:rPr>
        <w:t xml:space="preserve"> </w:t>
      </w:r>
      <w:r w:rsidRPr="00036B93">
        <w:rPr>
          <w:rFonts w:cs="Times New Roman"/>
          <w:i/>
          <w:szCs w:val="20"/>
        </w:rPr>
        <w:t>New York Times</w:t>
      </w:r>
      <w:r w:rsidRPr="00036B93">
        <w:rPr>
          <w:rFonts w:cs="Times New Roman"/>
          <w:szCs w:val="20"/>
        </w:rPr>
        <w:t>, 21 December 2011, A1.</w:t>
      </w:r>
    </w:p>
  </w:footnote>
  <w:footnote w:id="23">
    <w:p w:rsidR="00666D13" w:rsidRPr="007A3826" w:rsidRDefault="00666D13" w:rsidP="00113983">
      <w:pPr>
        <w:pStyle w:val="FootnoteText"/>
        <w:spacing w:line="480" w:lineRule="auto"/>
        <w:rPr>
          <w:lang w:val="en-GB"/>
        </w:rPr>
      </w:pPr>
      <w:r>
        <w:rPr>
          <w:rStyle w:val="FootnoteReference"/>
        </w:rPr>
        <w:footnoteRef/>
      </w:r>
      <w:r>
        <w:t xml:space="preserve"> </w:t>
      </w:r>
      <w:r w:rsidR="00D156CE">
        <w:rPr>
          <w:rFonts w:cs="Times New Roman"/>
          <w:szCs w:val="20"/>
        </w:rPr>
        <w:t>‘</w:t>
      </w:r>
      <w:r w:rsidRPr="00036B93">
        <w:rPr>
          <w:rFonts w:cs="Times New Roman"/>
          <w:szCs w:val="20"/>
        </w:rPr>
        <w:t>Technical Consultation on H5N1 Research Issues: Consensus Points,</w:t>
      </w:r>
      <w:r w:rsidR="00D156CE">
        <w:rPr>
          <w:rFonts w:cs="Times New Roman"/>
          <w:szCs w:val="20"/>
        </w:rPr>
        <w:t>’</w:t>
      </w:r>
      <w:r w:rsidRPr="00036B93">
        <w:rPr>
          <w:rFonts w:cs="Times New Roman"/>
          <w:szCs w:val="20"/>
        </w:rPr>
        <w:t xml:space="preserve"> </w:t>
      </w:r>
      <w:r w:rsidRPr="00036B93">
        <w:rPr>
          <w:rFonts w:cs="Times New Roman"/>
          <w:i/>
          <w:szCs w:val="20"/>
        </w:rPr>
        <w:t>World Health Organization</w:t>
      </w:r>
      <w:r w:rsidRPr="00036B93">
        <w:rPr>
          <w:rFonts w:cs="Times New Roman"/>
          <w:szCs w:val="20"/>
        </w:rPr>
        <w:t>, February 2012, &lt;http://www.who.int/influenza/human_animal_interface/consensus_points/en/&gt;.</w:t>
      </w:r>
    </w:p>
  </w:footnote>
  <w:footnote w:id="24">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9B7634">
        <w:rPr>
          <w:rFonts w:cs="Times New Roman"/>
          <w:szCs w:val="20"/>
        </w:rPr>
        <w:t>‘</w:t>
      </w:r>
      <w:r w:rsidR="009B7634" w:rsidRPr="00036B93">
        <w:rPr>
          <w:rFonts w:cs="Times New Roman"/>
          <w:szCs w:val="20"/>
        </w:rPr>
        <w:t>National Science Advisory Board for Biosecurity Findings and Recommendations, March 29-30, 2012,</w:t>
      </w:r>
      <w:r w:rsidR="009B7634">
        <w:rPr>
          <w:rFonts w:cs="Times New Roman"/>
          <w:szCs w:val="20"/>
        </w:rPr>
        <w:t>’</w:t>
      </w:r>
      <w:r w:rsidR="009B7634" w:rsidRPr="00036B93">
        <w:rPr>
          <w:rFonts w:cs="Times New Roman"/>
          <w:szCs w:val="20"/>
        </w:rPr>
        <w:t xml:space="preserve"> </w:t>
      </w:r>
      <w:r w:rsidR="009B7634" w:rsidRPr="00036B93">
        <w:rPr>
          <w:rFonts w:cs="Times New Roman"/>
          <w:i/>
          <w:szCs w:val="20"/>
        </w:rPr>
        <w:t>National Institutes of Health</w:t>
      </w:r>
      <w:r w:rsidR="009B7634" w:rsidRPr="00036B93">
        <w:rPr>
          <w:rFonts w:cs="Times New Roman"/>
          <w:szCs w:val="20"/>
        </w:rPr>
        <w:t>, &lt;http://www.nih.gov/about/director/03302012_NSABB_Recommendations.pdf&gt;.</w:t>
      </w:r>
    </w:p>
  </w:footnote>
  <w:footnote w:id="25">
    <w:p w:rsidR="00666D13" w:rsidRPr="00143328" w:rsidRDefault="00666D13" w:rsidP="00113983">
      <w:pPr>
        <w:pStyle w:val="FootnoteText"/>
        <w:spacing w:line="480" w:lineRule="auto"/>
        <w:rPr>
          <w:lang w:val="en-GB"/>
        </w:rPr>
      </w:pPr>
      <w:r>
        <w:rPr>
          <w:rStyle w:val="FootnoteReference"/>
        </w:rPr>
        <w:footnoteRef/>
      </w:r>
      <w:r>
        <w:t xml:space="preserve"> </w:t>
      </w:r>
      <w:r w:rsidRPr="002626F3">
        <w:rPr>
          <w:lang w:val="en-US"/>
        </w:rPr>
        <w:t xml:space="preserve">Council Regulation (EC) </w:t>
      </w:r>
      <w:r>
        <w:rPr>
          <w:lang w:val="en-US"/>
        </w:rPr>
        <w:t>428/2009</w:t>
      </w:r>
      <w:r w:rsidRPr="002626F3">
        <w:rPr>
          <w:lang w:val="en-US"/>
        </w:rPr>
        <w:t xml:space="preserve"> of </w:t>
      </w:r>
      <w:r>
        <w:rPr>
          <w:lang w:val="en-US"/>
        </w:rPr>
        <w:t xml:space="preserve">5 May 2009 </w:t>
      </w:r>
      <w:r w:rsidRPr="007F2545">
        <w:rPr>
          <w:lang w:val="en-US"/>
        </w:rPr>
        <w:t>setting up a Community regime for the control of exports, transfer,</w:t>
      </w:r>
      <w:r>
        <w:rPr>
          <w:lang w:val="en-US"/>
        </w:rPr>
        <w:t xml:space="preserve"> brokering and transit of dual-</w:t>
      </w:r>
      <w:r w:rsidRPr="007F2545">
        <w:rPr>
          <w:lang w:val="en-US"/>
        </w:rPr>
        <w:t>use items</w:t>
      </w:r>
      <w:r>
        <w:rPr>
          <w:lang w:val="en-US"/>
        </w:rPr>
        <w:t xml:space="preserve"> [2009</w:t>
      </w:r>
      <w:r w:rsidRPr="002626F3">
        <w:rPr>
          <w:lang w:val="en-US"/>
        </w:rPr>
        <w:t xml:space="preserve">] </w:t>
      </w:r>
      <w:r w:rsidRPr="007F2545">
        <w:rPr>
          <w:lang w:val="en-US"/>
        </w:rPr>
        <w:t>OJ L 134</w:t>
      </w:r>
      <w:r>
        <w:rPr>
          <w:lang w:val="en-US"/>
        </w:rPr>
        <w:t xml:space="preserve"> (Annex I, item 1C352a.2.b.2.).</w:t>
      </w:r>
    </w:p>
  </w:footnote>
  <w:footnote w:id="26">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Martin </w:t>
      </w:r>
      <w:proofErr w:type="spellStart"/>
      <w:r w:rsidRPr="00036B93">
        <w:rPr>
          <w:rFonts w:cs="Times New Roman"/>
          <w:szCs w:val="20"/>
        </w:rPr>
        <w:t>Enserink</w:t>
      </w:r>
      <w:proofErr w:type="spellEnd"/>
      <w:r w:rsidRPr="00036B93">
        <w:rPr>
          <w:rFonts w:cs="Times New Roman"/>
          <w:szCs w:val="20"/>
        </w:rPr>
        <w:t xml:space="preserve">, </w:t>
      </w:r>
      <w:r w:rsidR="00D156CE">
        <w:rPr>
          <w:rFonts w:cs="Times New Roman"/>
          <w:szCs w:val="20"/>
        </w:rPr>
        <w:t>‘</w:t>
      </w:r>
      <w:r w:rsidRPr="00036B93">
        <w:rPr>
          <w:rFonts w:cs="Times New Roman"/>
          <w:szCs w:val="20"/>
        </w:rPr>
        <w:t>Will Dutch Allow ‘Export’ of Controversial Flu Study</w:t>
      </w:r>
      <w:proofErr w:type="gramStart"/>
      <w:r w:rsidRPr="00036B93">
        <w:rPr>
          <w:rFonts w:cs="Times New Roman"/>
          <w:szCs w:val="20"/>
        </w:rPr>
        <w:t>?,</w:t>
      </w:r>
      <w:proofErr w:type="gramEnd"/>
      <w:r w:rsidR="00D156CE">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xml:space="preserve"> 336 (20 April 2012): 285.</w:t>
      </w:r>
    </w:p>
  </w:footnote>
  <w:footnote w:id="27">
    <w:p w:rsidR="00666D13" w:rsidRPr="00443A10" w:rsidRDefault="00666D13" w:rsidP="00113983">
      <w:pPr>
        <w:pStyle w:val="FootnoteText"/>
        <w:spacing w:line="480" w:lineRule="auto"/>
        <w:rPr>
          <w:lang w:val="en-GB"/>
        </w:rPr>
      </w:pPr>
      <w:r>
        <w:rPr>
          <w:rStyle w:val="FootnoteReference"/>
        </w:rPr>
        <w:footnoteRef/>
      </w:r>
      <w:r>
        <w:t xml:space="preserve"> </w:t>
      </w:r>
      <w:r>
        <w:rPr>
          <w:lang w:val="en-GB"/>
        </w:rPr>
        <w:t>Declan Butler, ‘</w:t>
      </w:r>
      <w:r w:rsidRPr="00443A10">
        <w:rPr>
          <w:lang w:val="en-GB"/>
        </w:rPr>
        <w:t>Mutant-flu researcher plans to publish even without permission</w:t>
      </w:r>
      <w:r>
        <w:rPr>
          <w:lang w:val="en-GB"/>
        </w:rPr>
        <w:t xml:space="preserve">’, </w:t>
      </w:r>
      <w:r w:rsidRPr="00D44577">
        <w:rPr>
          <w:i/>
          <w:lang w:val="en-GB"/>
        </w:rPr>
        <w:t>Nature</w:t>
      </w:r>
      <w:r>
        <w:rPr>
          <w:lang w:val="en-GB"/>
        </w:rPr>
        <w:t>, 17 April 2012, &lt;</w:t>
      </w:r>
      <w:r w:rsidRPr="00D44577">
        <w:rPr>
          <w:lang w:val="en-GB"/>
        </w:rPr>
        <w:t>http://www.nature.com/news/mutant-flu-researcher-plans-to-publish-even-without-permission-1.10469</w:t>
      </w:r>
      <w:r>
        <w:rPr>
          <w:lang w:val="en-GB"/>
        </w:rPr>
        <w:t>&gt;.</w:t>
      </w:r>
    </w:p>
  </w:footnote>
  <w:footnote w:id="28">
    <w:p w:rsidR="00666D13" w:rsidRPr="004C6CED" w:rsidRDefault="00666D13" w:rsidP="00113983">
      <w:pPr>
        <w:pStyle w:val="FootnoteText"/>
        <w:spacing w:line="480" w:lineRule="auto"/>
        <w:rPr>
          <w:lang w:val="en-GB"/>
        </w:rPr>
      </w:pPr>
      <w:r>
        <w:rPr>
          <w:rStyle w:val="FootnoteReference"/>
        </w:rPr>
        <w:footnoteRef/>
      </w:r>
      <w:r>
        <w:t xml:space="preserve"> </w:t>
      </w:r>
      <w:r w:rsidR="00644FEA">
        <w:rPr>
          <w:lang w:val="en-GB"/>
        </w:rPr>
        <w:t>Ibid</w:t>
      </w:r>
      <w:r>
        <w:rPr>
          <w:lang w:val="en-GB"/>
        </w:rPr>
        <w:t>.</w:t>
      </w:r>
    </w:p>
  </w:footnote>
  <w:footnote w:id="29">
    <w:p w:rsidR="00666D13" w:rsidRPr="004C6CED" w:rsidRDefault="00666D13" w:rsidP="00113983">
      <w:pPr>
        <w:pStyle w:val="FootnoteText"/>
        <w:spacing w:line="480" w:lineRule="auto"/>
        <w:rPr>
          <w:lang w:val="en-GB"/>
        </w:rPr>
      </w:pPr>
      <w:r>
        <w:rPr>
          <w:rStyle w:val="FootnoteReference"/>
        </w:rPr>
        <w:footnoteRef/>
      </w:r>
      <w:r>
        <w:t xml:space="preserve"> </w:t>
      </w:r>
      <w:r w:rsidRPr="00036B93">
        <w:rPr>
          <w:rFonts w:cs="Times New Roman"/>
          <w:szCs w:val="20"/>
        </w:rPr>
        <w:t xml:space="preserve">Martin </w:t>
      </w:r>
      <w:proofErr w:type="spellStart"/>
      <w:r w:rsidRPr="00036B93">
        <w:rPr>
          <w:rFonts w:cs="Times New Roman"/>
          <w:szCs w:val="20"/>
        </w:rPr>
        <w:t>Enserink</w:t>
      </w:r>
      <w:proofErr w:type="spellEnd"/>
      <w:r w:rsidRPr="00036B93">
        <w:rPr>
          <w:rFonts w:cs="Times New Roman"/>
          <w:szCs w:val="20"/>
        </w:rPr>
        <w:t xml:space="preserve">, </w:t>
      </w:r>
      <w:r w:rsidR="009B7634">
        <w:rPr>
          <w:rFonts w:cs="Times New Roman"/>
          <w:szCs w:val="20"/>
        </w:rPr>
        <w:t>‘</w:t>
      </w:r>
      <w:r w:rsidRPr="00036B93">
        <w:rPr>
          <w:rFonts w:cs="Times New Roman"/>
          <w:szCs w:val="20"/>
        </w:rPr>
        <w:t>Dutch Government OK's Publication of H5N1 Study,</w:t>
      </w:r>
      <w:r w:rsidR="009B7634">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27 April 2012, &lt;http://news.sciencemag.org/2012/04/dutch-government-oks-publication-h5n1-study&gt;</w:t>
      </w:r>
      <w:r>
        <w:rPr>
          <w:rFonts w:cs="Times New Roman"/>
          <w:szCs w:val="20"/>
        </w:rPr>
        <w:t>.</w:t>
      </w:r>
    </w:p>
  </w:footnote>
  <w:footnote w:id="30">
    <w:p w:rsidR="00666D13" w:rsidRPr="001501DC" w:rsidRDefault="00666D13" w:rsidP="00113983">
      <w:pPr>
        <w:pStyle w:val="FootnoteText"/>
        <w:spacing w:line="480" w:lineRule="auto"/>
      </w:pPr>
      <w:r>
        <w:rPr>
          <w:rStyle w:val="FootnoteReference"/>
        </w:rPr>
        <w:footnoteRef/>
      </w:r>
      <w:r>
        <w:t xml:space="preserve"> Royal Netherlands Academy of Arts and Sciences Biosecurity Committee, </w:t>
      </w:r>
      <w:r w:rsidRPr="001501DC">
        <w:rPr>
          <w:i/>
        </w:rPr>
        <w:t>Improving Biosecurity: Assessment of Dual-Use Research</w:t>
      </w:r>
      <w:r w:rsidRPr="001501DC">
        <w:t>,</w:t>
      </w:r>
      <w:r>
        <w:t xml:space="preserve"> Amsterdam: </w:t>
      </w:r>
      <w:r w:rsidRPr="001501DC">
        <w:t>Royal Netherlands Academy of Arts and Sciences</w:t>
      </w:r>
      <w:r>
        <w:t>, 2013:</w:t>
      </w:r>
      <w:r>
        <w:rPr>
          <w:lang w:val="en-GB"/>
        </w:rPr>
        <w:t xml:space="preserve"> 12.</w:t>
      </w:r>
    </w:p>
  </w:footnote>
  <w:footnote w:id="31">
    <w:p w:rsidR="00666D13" w:rsidRPr="001F056D" w:rsidRDefault="00666D13" w:rsidP="00113983">
      <w:pPr>
        <w:pStyle w:val="FootnoteText"/>
        <w:spacing w:line="480" w:lineRule="auto"/>
        <w:rPr>
          <w:lang w:val="en-GB"/>
        </w:rPr>
      </w:pPr>
      <w:r>
        <w:rPr>
          <w:rStyle w:val="FootnoteReference"/>
        </w:rPr>
        <w:footnoteRef/>
      </w:r>
      <w:r>
        <w:t xml:space="preserve"> </w:t>
      </w:r>
      <w:r w:rsidRPr="002626F3">
        <w:rPr>
          <w:lang w:val="en-US"/>
        </w:rPr>
        <w:t xml:space="preserve">Council Regulation (EC) </w:t>
      </w:r>
      <w:r>
        <w:rPr>
          <w:lang w:val="en-US"/>
        </w:rPr>
        <w:t>428/2009</w:t>
      </w:r>
      <w:r w:rsidRPr="002626F3">
        <w:rPr>
          <w:lang w:val="en-US"/>
        </w:rPr>
        <w:t xml:space="preserve"> of </w:t>
      </w:r>
      <w:r>
        <w:rPr>
          <w:lang w:val="en-US"/>
        </w:rPr>
        <w:t xml:space="preserve">5 May 2009 </w:t>
      </w:r>
      <w:r w:rsidRPr="007F2545">
        <w:rPr>
          <w:lang w:val="en-US"/>
        </w:rPr>
        <w:t>setting up a Community regime for the control of exports, transfer,</w:t>
      </w:r>
      <w:r>
        <w:rPr>
          <w:lang w:val="en-US"/>
        </w:rPr>
        <w:t xml:space="preserve"> brokering and transit of dual-</w:t>
      </w:r>
      <w:r w:rsidRPr="007F2545">
        <w:rPr>
          <w:lang w:val="en-US"/>
        </w:rPr>
        <w:t>use items</w:t>
      </w:r>
      <w:r>
        <w:rPr>
          <w:lang w:val="en-US"/>
        </w:rPr>
        <w:t xml:space="preserve"> [2009</w:t>
      </w:r>
      <w:r w:rsidRPr="002626F3">
        <w:rPr>
          <w:lang w:val="en-US"/>
        </w:rPr>
        <w:t xml:space="preserve">] </w:t>
      </w:r>
      <w:r w:rsidRPr="007F2545">
        <w:rPr>
          <w:lang w:val="en-US"/>
        </w:rPr>
        <w:t>OJ L 134</w:t>
      </w:r>
      <w:r>
        <w:rPr>
          <w:lang w:val="en-US"/>
        </w:rPr>
        <w:t xml:space="preserve"> (Annex I, General Technology Note).</w:t>
      </w:r>
    </w:p>
  </w:footnote>
  <w:footnote w:id="32">
    <w:p w:rsidR="00666D13" w:rsidRPr="00EB60BA" w:rsidRDefault="00666D13" w:rsidP="00113983">
      <w:pPr>
        <w:pStyle w:val="FootnoteText"/>
        <w:spacing w:line="480" w:lineRule="auto"/>
        <w:rPr>
          <w:lang w:val="en-GB"/>
        </w:rPr>
      </w:pPr>
      <w:r>
        <w:rPr>
          <w:rStyle w:val="FootnoteReference"/>
        </w:rPr>
        <w:footnoteRef/>
      </w:r>
      <w:r>
        <w:t xml:space="preserve"> </w:t>
      </w:r>
      <w:r>
        <w:rPr>
          <w:lang w:val="en-GB"/>
        </w:rPr>
        <w:t xml:space="preserve">Martin </w:t>
      </w:r>
      <w:proofErr w:type="spellStart"/>
      <w:r>
        <w:rPr>
          <w:lang w:val="en-GB"/>
        </w:rPr>
        <w:t>Enserink</w:t>
      </w:r>
      <w:proofErr w:type="spellEnd"/>
      <w:r>
        <w:rPr>
          <w:lang w:val="en-GB"/>
        </w:rPr>
        <w:t>, ‘</w:t>
      </w:r>
      <w:r w:rsidRPr="00EB60BA">
        <w:rPr>
          <w:lang w:val="en-GB"/>
        </w:rPr>
        <w:t xml:space="preserve">Flu Researcher Ron </w:t>
      </w:r>
      <w:proofErr w:type="spellStart"/>
      <w:r w:rsidRPr="00EB60BA">
        <w:rPr>
          <w:lang w:val="en-GB"/>
        </w:rPr>
        <w:t>Fouchier</w:t>
      </w:r>
      <w:proofErr w:type="spellEnd"/>
      <w:r w:rsidRPr="00EB60BA">
        <w:rPr>
          <w:lang w:val="en-GB"/>
        </w:rPr>
        <w:t xml:space="preserve"> Loses Legal Fight </w:t>
      </w:r>
      <w:proofErr w:type="gramStart"/>
      <w:r w:rsidRPr="00EB60BA">
        <w:rPr>
          <w:lang w:val="en-GB"/>
        </w:rPr>
        <w:t>Over</w:t>
      </w:r>
      <w:proofErr w:type="gramEnd"/>
      <w:r w:rsidRPr="00EB60BA">
        <w:rPr>
          <w:lang w:val="en-GB"/>
        </w:rPr>
        <w:t xml:space="preserve"> H5N1 Studies</w:t>
      </w:r>
      <w:r>
        <w:rPr>
          <w:lang w:val="en-GB"/>
        </w:rPr>
        <w:t xml:space="preserve">’, </w:t>
      </w:r>
      <w:r w:rsidRPr="00EB60BA">
        <w:rPr>
          <w:i/>
          <w:lang w:val="en-GB"/>
        </w:rPr>
        <w:t>Science</w:t>
      </w:r>
      <w:r>
        <w:rPr>
          <w:lang w:val="en-GB"/>
        </w:rPr>
        <w:t>, 25 September 2013, &lt;</w:t>
      </w:r>
      <w:r w:rsidRPr="00EB60BA">
        <w:rPr>
          <w:lang w:val="en-GB"/>
        </w:rPr>
        <w:t>http://www.sciencemag.org/news/2013/09/flu-researcher-ron-fouchier-loses-legal-fight-over-h5n1-studies</w:t>
      </w:r>
      <w:r>
        <w:rPr>
          <w:lang w:val="en-GB"/>
        </w:rPr>
        <w:t>&gt;.</w:t>
      </w:r>
    </w:p>
  </w:footnote>
  <w:footnote w:id="33">
    <w:p w:rsidR="00666D13" w:rsidRPr="00A53F96" w:rsidRDefault="00666D13" w:rsidP="00113983">
      <w:pPr>
        <w:pStyle w:val="FootnoteText"/>
        <w:spacing w:line="480" w:lineRule="auto"/>
        <w:rPr>
          <w:lang w:val="en-GB"/>
        </w:rPr>
      </w:pPr>
      <w:r>
        <w:rPr>
          <w:rStyle w:val="FootnoteReference"/>
        </w:rPr>
        <w:footnoteRef/>
      </w:r>
      <w:r>
        <w:t xml:space="preserve"> </w:t>
      </w:r>
      <w:r w:rsidR="009B7634">
        <w:t xml:space="preserve">Netherlands: </w:t>
      </w:r>
      <w:proofErr w:type="spellStart"/>
      <w:r w:rsidRPr="00A53F96">
        <w:t>Rechtbank</w:t>
      </w:r>
      <w:proofErr w:type="spellEnd"/>
      <w:r w:rsidRPr="00A53F96">
        <w:t xml:space="preserve"> Noord-Holland</w:t>
      </w:r>
      <w:r>
        <w:t>, 2013, &lt;</w:t>
      </w:r>
      <w:r w:rsidRPr="00A53F96">
        <w:t>http://uitspraken.rechtspraak.nl/inziendocument?id=ECLI:NL:RBNHO:2013:8527</w:t>
      </w:r>
      <w:r>
        <w:t>&gt;.</w:t>
      </w:r>
    </w:p>
  </w:footnote>
  <w:footnote w:id="34">
    <w:p w:rsidR="00666D13" w:rsidRPr="005B66B9" w:rsidRDefault="00666D13" w:rsidP="00113983">
      <w:pPr>
        <w:pStyle w:val="FootnoteText"/>
        <w:spacing w:line="480" w:lineRule="auto"/>
        <w:rPr>
          <w:lang w:val="en-GB"/>
        </w:rPr>
      </w:pPr>
      <w:r>
        <w:rPr>
          <w:rStyle w:val="FootnoteReference"/>
        </w:rPr>
        <w:footnoteRef/>
      </w:r>
      <w:r>
        <w:t xml:space="preserve"> </w:t>
      </w:r>
      <w:r>
        <w:rPr>
          <w:lang w:val="en-GB"/>
        </w:rPr>
        <w:t>Declan Butler, ‘</w:t>
      </w:r>
      <w:r w:rsidRPr="005B66B9">
        <w:rPr>
          <w:lang w:val="en-GB"/>
        </w:rPr>
        <w:t>Court upholds need for export permits for risky flu research</w:t>
      </w:r>
      <w:r>
        <w:rPr>
          <w:lang w:val="en-GB"/>
        </w:rPr>
        <w:t xml:space="preserve">’, </w:t>
      </w:r>
      <w:r w:rsidRPr="005B66B9">
        <w:rPr>
          <w:i/>
          <w:lang w:val="en-GB"/>
        </w:rPr>
        <w:t>Nature</w:t>
      </w:r>
      <w:r>
        <w:rPr>
          <w:lang w:val="en-GB"/>
        </w:rPr>
        <w:t xml:space="preserve"> (online), 26 September 2013, &lt;</w:t>
      </w:r>
      <w:r w:rsidRPr="005B66B9">
        <w:rPr>
          <w:lang w:val="en-GB"/>
        </w:rPr>
        <w:t>http://blogs.nature.com/news/2013/09/court-upholds-need-for-export-permits-for-risky-flu-research.html</w:t>
      </w:r>
      <w:r>
        <w:rPr>
          <w:lang w:val="en-GB"/>
        </w:rPr>
        <w:t>&gt;.</w:t>
      </w:r>
    </w:p>
  </w:footnote>
  <w:footnote w:id="35">
    <w:p w:rsidR="00666D13" w:rsidRPr="00036B93" w:rsidRDefault="00666D13" w:rsidP="00113983">
      <w:pPr>
        <w:pStyle w:val="FootnoteText"/>
        <w:spacing w:line="480" w:lineRule="auto"/>
        <w:rPr>
          <w:rFonts w:cs="Times New Roman"/>
          <w:szCs w:val="20"/>
          <w:lang w:val="en-GB"/>
        </w:rPr>
      </w:pPr>
      <w:r w:rsidRPr="00036B93">
        <w:rPr>
          <w:rStyle w:val="FootnoteReference"/>
          <w:rFonts w:cs="Times New Roman"/>
          <w:szCs w:val="20"/>
        </w:rPr>
        <w:footnoteRef/>
      </w:r>
      <w:r w:rsidRPr="00036B93">
        <w:rPr>
          <w:rFonts w:cs="Times New Roman"/>
          <w:szCs w:val="20"/>
        </w:rPr>
        <w:t xml:space="preserve"> </w:t>
      </w:r>
      <w:r w:rsidR="009B7634" w:rsidRPr="002626F3">
        <w:rPr>
          <w:lang w:val="en-US"/>
        </w:rPr>
        <w:t xml:space="preserve">Council Regulation (EC) </w:t>
      </w:r>
      <w:r w:rsidR="009B7634">
        <w:rPr>
          <w:lang w:val="en-US"/>
        </w:rPr>
        <w:t>428/2009</w:t>
      </w:r>
      <w:r w:rsidR="009B7634" w:rsidRPr="002626F3">
        <w:rPr>
          <w:lang w:val="en-US"/>
        </w:rPr>
        <w:t xml:space="preserve"> of </w:t>
      </w:r>
      <w:r w:rsidR="009B7634">
        <w:rPr>
          <w:lang w:val="en-US"/>
        </w:rPr>
        <w:t xml:space="preserve">5 May 2009 </w:t>
      </w:r>
      <w:r w:rsidR="009B7634" w:rsidRPr="007F2545">
        <w:rPr>
          <w:lang w:val="en-US"/>
        </w:rPr>
        <w:t>setting up a Community regime for the control of exports, transfer,</w:t>
      </w:r>
      <w:r w:rsidR="009B7634">
        <w:rPr>
          <w:lang w:val="en-US"/>
        </w:rPr>
        <w:t xml:space="preserve"> brokering and transit of dual-</w:t>
      </w:r>
      <w:r w:rsidR="009B7634" w:rsidRPr="007F2545">
        <w:rPr>
          <w:lang w:val="en-US"/>
        </w:rPr>
        <w:t>use items</w:t>
      </w:r>
      <w:r w:rsidR="009B7634">
        <w:rPr>
          <w:lang w:val="en-US"/>
        </w:rPr>
        <w:t xml:space="preserve"> [2009</w:t>
      </w:r>
      <w:r w:rsidR="009B7634" w:rsidRPr="002626F3">
        <w:rPr>
          <w:lang w:val="en-US"/>
        </w:rPr>
        <w:t xml:space="preserve">] </w:t>
      </w:r>
      <w:r w:rsidR="009B7634" w:rsidRPr="007F2545">
        <w:rPr>
          <w:lang w:val="en-US"/>
        </w:rPr>
        <w:t>OJ L 134</w:t>
      </w:r>
      <w:r w:rsidR="009B7634">
        <w:rPr>
          <w:lang w:val="en-US"/>
        </w:rPr>
        <w:t xml:space="preserve"> (</w:t>
      </w:r>
      <w:r>
        <w:rPr>
          <w:rFonts w:cs="Times New Roman"/>
          <w:szCs w:val="20"/>
        </w:rPr>
        <w:t>Annex I, p. 28</w:t>
      </w:r>
      <w:r w:rsidR="009B7634">
        <w:rPr>
          <w:rFonts w:cs="Times New Roman"/>
          <w:szCs w:val="20"/>
        </w:rPr>
        <w:t>)</w:t>
      </w:r>
      <w:r>
        <w:rPr>
          <w:rFonts w:cs="Times New Roman"/>
          <w:szCs w:val="20"/>
        </w:rPr>
        <w:t>.</w:t>
      </w:r>
    </w:p>
  </w:footnote>
  <w:footnote w:id="36">
    <w:p w:rsidR="00666D13" w:rsidRPr="00EB60BA" w:rsidRDefault="00666D13" w:rsidP="00113983">
      <w:pPr>
        <w:pStyle w:val="FootnoteText"/>
        <w:spacing w:line="480" w:lineRule="auto"/>
        <w:rPr>
          <w:lang w:val="en-GB"/>
        </w:rPr>
      </w:pPr>
      <w:r>
        <w:rPr>
          <w:rStyle w:val="FootnoteReference"/>
        </w:rPr>
        <w:footnoteRef/>
      </w:r>
      <w:r>
        <w:t xml:space="preserve"> </w:t>
      </w:r>
      <w:r>
        <w:rPr>
          <w:lang w:val="en-GB"/>
        </w:rPr>
        <w:t xml:space="preserve">Martin </w:t>
      </w:r>
      <w:proofErr w:type="spellStart"/>
      <w:r>
        <w:rPr>
          <w:lang w:val="en-GB"/>
        </w:rPr>
        <w:t>Enserink</w:t>
      </w:r>
      <w:proofErr w:type="spellEnd"/>
      <w:r>
        <w:rPr>
          <w:lang w:val="en-GB"/>
        </w:rPr>
        <w:t>, ‘</w:t>
      </w:r>
      <w:r w:rsidRPr="00EB60BA">
        <w:rPr>
          <w:lang w:val="en-GB"/>
        </w:rPr>
        <w:t xml:space="preserve">Flu Researcher Ron </w:t>
      </w:r>
      <w:proofErr w:type="spellStart"/>
      <w:r w:rsidRPr="00EB60BA">
        <w:rPr>
          <w:lang w:val="en-GB"/>
        </w:rPr>
        <w:t>Fouchier</w:t>
      </w:r>
      <w:proofErr w:type="spellEnd"/>
      <w:r w:rsidRPr="00EB60BA">
        <w:rPr>
          <w:lang w:val="en-GB"/>
        </w:rPr>
        <w:t xml:space="preserve"> Loses Legal Fight </w:t>
      </w:r>
      <w:proofErr w:type="gramStart"/>
      <w:r w:rsidRPr="00EB60BA">
        <w:rPr>
          <w:lang w:val="en-GB"/>
        </w:rPr>
        <w:t>Over</w:t>
      </w:r>
      <w:proofErr w:type="gramEnd"/>
      <w:r w:rsidRPr="00EB60BA">
        <w:rPr>
          <w:lang w:val="en-GB"/>
        </w:rPr>
        <w:t xml:space="preserve"> H5N1 Studies</w:t>
      </w:r>
      <w:r>
        <w:rPr>
          <w:lang w:val="en-GB"/>
        </w:rPr>
        <w:t xml:space="preserve">’, </w:t>
      </w:r>
      <w:r w:rsidRPr="00EB60BA">
        <w:rPr>
          <w:i/>
          <w:lang w:val="en-GB"/>
        </w:rPr>
        <w:t>Science</w:t>
      </w:r>
      <w:r>
        <w:rPr>
          <w:lang w:val="en-GB"/>
        </w:rPr>
        <w:t>, 25 September 2013, &lt;</w:t>
      </w:r>
      <w:r w:rsidRPr="00EB60BA">
        <w:rPr>
          <w:lang w:val="en-GB"/>
        </w:rPr>
        <w:t>http://www.sciencemag.org/news/2013/09/flu-researcher-ron-fouchier-loses-legal-fight-over-h5n1-studies</w:t>
      </w:r>
      <w:r>
        <w:rPr>
          <w:lang w:val="en-GB"/>
        </w:rPr>
        <w:t>&gt;.</w:t>
      </w:r>
    </w:p>
  </w:footnote>
  <w:footnote w:id="37">
    <w:p w:rsidR="00666D13" w:rsidRPr="009E7F77" w:rsidRDefault="00666D13" w:rsidP="00113983">
      <w:pPr>
        <w:pStyle w:val="FootnoteText"/>
        <w:spacing w:line="480" w:lineRule="auto"/>
        <w:rPr>
          <w:lang w:val="en-GB"/>
        </w:rPr>
      </w:pPr>
      <w:r>
        <w:rPr>
          <w:rStyle w:val="FootnoteReference"/>
        </w:rPr>
        <w:footnoteRef/>
      </w:r>
      <w:r>
        <w:t xml:space="preserve"> </w:t>
      </w:r>
      <w:r>
        <w:rPr>
          <w:lang w:val="en-GB"/>
        </w:rPr>
        <w:t>Declan Butler, ‘</w:t>
      </w:r>
      <w:r w:rsidRPr="005B66B9">
        <w:rPr>
          <w:lang w:val="en-GB"/>
        </w:rPr>
        <w:t>Court upholds need for export permits for risky flu research</w:t>
      </w:r>
      <w:r>
        <w:rPr>
          <w:lang w:val="en-GB"/>
        </w:rPr>
        <w:t xml:space="preserve">’, </w:t>
      </w:r>
      <w:r w:rsidRPr="005B66B9">
        <w:rPr>
          <w:i/>
          <w:lang w:val="en-GB"/>
        </w:rPr>
        <w:t>Nature</w:t>
      </w:r>
      <w:r>
        <w:rPr>
          <w:lang w:val="en-GB"/>
        </w:rPr>
        <w:t>, 26 September 2013, &lt;</w:t>
      </w:r>
      <w:r w:rsidRPr="005B66B9">
        <w:rPr>
          <w:lang w:val="en-GB"/>
        </w:rPr>
        <w:t>http://blogs.nature.com/news/2013/09/court-upholds-need-for-export-permits-for-risky-flu-research.html</w:t>
      </w:r>
      <w:r>
        <w:rPr>
          <w:lang w:val="en-GB"/>
        </w:rPr>
        <w:t>&gt;.</w:t>
      </w:r>
    </w:p>
  </w:footnote>
  <w:footnote w:id="38">
    <w:p w:rsidR="00666D13" w:rsidRPr="009A0512" w:rsidRDefault="00666D13" w:rsidP="00113983">
      <w:pPr>
        <w:pStyle w:val="FootnoteText"/>
        <w:spacing w:line="480" w:lineRule="auto"/>
        <w:rPr>
          <w:lang w:val="en-GB"/>
        </w:rPr>
      </w:pPr>
      <w:r>
        <w:rPr>
          <w:rStyle w:val="FootnoteReference"/>
        </w:rPr>
        <w:footnoteRef/>
      </w:r>
      <w:r>
        <w:t xml:space="preserve"> </w:t>
      </w:r>
      <w:r w:rsidR="009B7634">
        <w:t xml:space="preserve">Netherlands: </w:t>
      </w:r>
      <w:proofErr w:type="spellStart"/>
      <w:r w:rsidRPr="009A0512">
        <w:t>Gerechtshof</w:t>
      </w:r>
      <w:proofErr w:type="spellEnd"/>
      <w:r w:rsidRPr="009A0512">
        <w:t xml:space="preserve"> Amsterdam</w:t>
      </w:r>
      <w:r>
        <w:t>, 2015, &lt;</w:t>
      </w:r>
      <w:r w:rsidRPr="009A0512">
        <w:t>http://uitspraken.rechtspraak.nl/inziendocument?id=ECLI:NL:GHAMS:2015:2913&amp;keyword=ECLI%3aNL%3aGHAMS%3a2015%3a2913</w:t>
      </w:r>
      <w:r>
        <w:t>&gt;.</w:t>
      </w:r>
    </w:p>
  </w:footnote>
  <w:footnote w:id="39">
    <w:p w:rsidR="00666D13" w:rsidRPr="00F148FC" w:rsidRDefault="00666D13" w:rsidP="00113983">
      <w:pPr>
        <w:spacing w:line="480" w:lineRule="auto"/>
        <w:rPr>
          <w:sz w:val="20"/>
          <w:szCs w:val="20"/>
        </w:rPr>
      </w:pPr>
      <w:r w:rsidRPr="00036B93">
        <w:rPr>
          <w:rStyle w:val="FootnoteReference"/>
          <w:sz w:val="20"/>
          <w:szCs w:val="20"/>
        </w:rPr>
        <w:footnoteRef/>
      </w:r>
      <w:r w:rsidRPr="00036B93">
        <w:rPr>
          <w:sz w:val="20"/>
          <w:szCs w:val="20"/>
        </w:rPr>
        <w:t xml:space="preserve"> Martin </w:t>
      </w:r>
      <w:proofErr w:type="spellStart"/>
      <w:r w:rsidRPr="00036B93">
        <w:rPr>
          <w:sz w:val="20"/>
          <w:szCs w:val="20"/>
        </w:rPr>
        <w:t>Enserink</w:t>
      </w:r>
      <w:proofErr w:type="spellEnd"/>
      <w:r w:rsidRPr="00036B93">
        <w:rPr>
          <w:sz w:val="20"/>
          <w:szCs w:val="20"/>
        </w:rPr>
        <w:t xml:space="preserve">, </w:t>
      </w:r>
      <w:r w:rsidR="009B7634">
        <w:rPr>
          <w:sz w:val="20"/>
          <w:szCs w:val="20"/>
        </w:rPr>
        <w:t>‘</w:t>
      </w:r>
      <w:r w:rsidRPr="00036B93">
        <w:rPr>
          <w:sz w:val="20"/>
          <w:szCs w:val="20"/>
        </w:rPr>
        <w:t xml:space="preserve">Dutch Appeals Court Dodges Decision on Hotly Debated H5N1 Papers’, </w:t>
      </w:r>
      <w:r w:rsidRPr="00036B93">
        <w:rPr>
          <w:i/>
          <w:sz w:val="20"/>
          <w:szCs w:val="20"/>
        </w:rPr>
        <w:t>Science</w:t>
      </w:r>
      <w:r w:rsidRPr="00036B93">
        <w:rPr>
          <w:sz w:val="20"/>
          <w:szCs w:val="20"/>
        </w:rPr>
        <w:t>, 16 July 2015, &lt;http://news.sciencemag.org/europe/2015/07/dutch-appeals-court-dodges-decision-hotly-debated-h5n1-</w:t>
      </w:r>
      <w:r w:rsidRPr="00F148FC">
        <w:rPr>
          <w:sz w:val="20"/>
          <w:szCs w:val="20"/>
        </w:rPr>
        <w:t>papers&gt;.</w:t>
      </w:r>
    </w:p>
  </w:footnote>
  <w:footnote w:id="40">
    <w:p w:rsidR="00666D13" w:rsidRPr="0044406D" w:rsidRDefault="00666D13" w:rsidP="00113983">
      <w:pPr>
        <w:pStyle w:val="FootnoteText"/>
        <w:spacing w:line="480" w:lineRule="auto"/>
        <w:rPr>
          <w:lang w:val="en-GB"/>
        </w:rPr>
      </w:pPr>
      <w:r>
        <w:rPr>
          <w:rStyle w:val="FootnoteReference"/>
        </w:rPr>
        <w:footnoteRef/>
      </w:r>
      <w:r>
        <w:t xml:space="preserve"> </w:t>
      </w:r>
      <w:r w:rsidRPr="002626F3">
        <w:t xml:space="preserve">Council Regulation (EC) </w:t>
      </w:r>
      <w:r>
        <w:t>428/2009</w:t>
      </w:r>
      <w:r w:rsidRPr="002626F3">
        <w:t xml:space="preserve"> of </w:t>
      </w:r>
      <w:r>
        <w:t xml:space="preserve">5 May 2009 </w:t>
      </w:r>
      <w:r w:rsidRPr="007F2545">
        <w:t>setting up a Community regime for the control of exports, transfer,</w:t>
      </w:r>
      <w:r>
        <w:t xml:space="preserve"> brokering and transit of dual-</w:t>
      </w:r>
      <w:r w:rsidRPr="007F2545">
        <w:t>use items</w:t>
      </w:r>
      <w:r>
        <w:t xml:space="preserve"> [2009</w:t>
      </w:r>
      <w:r w:rsidRPr="002626F3">
        <w:t xml:space="preserve">] </w:t>
      </w:r>
      <w:r w:rsidRPr="007F2545">
        <w:t>OJ L 134</w:t>
      </w:r>
      <w:r w:rsidR="009B7634">
        <w:t xml:space="preserve"> (</w:t>
      </w:r>
      <w:r>
        <w:t>Article 12</w:t>
      </w:r>
      <w:r w:rsidR="009B7634">
        <w:t>)</w:t>
      </w:r>
      <w:r>
        <w:t>.</w:t>
      </w:r>
    </w:p>
  </w:footnote>
  <w:footnote w:id="41">
    <w:p w:rsidR="00666D13" w:rsidRPr="004C6CED" w:rsidRDefault="00666D13" w:rsidP="00113983">
      <w:pPr>
        <w:pStyle w:val="FootnoteText"/>
        <w:spacing w:line="480" w:lineRule="auto"/>
        <w:rPr>
          <w:lang w:val="en-GB"/>
        </w:rPr>
      </w:pPr>
      <w:r>
        <w:rPr>
          <w:rStyle w:val="FootnoteReference"/>
        </w:rPr>
        <w:footnoteRef/>
      </w:r>
      <w:r>
        <w:t xml:space="preserve"> </w:t>
      </w:r>
      <w:r w:rsidRPr="00036B93">
        <w:rPr>
          <w:rFonts w:cs="Times New Roman"/>
          <w:szCs w:val="20"/>
        </w:rPr>
        <w:t xml:space="preserve">Martin </w:t>
      </w:r>
      <w:proofErr w:type="spellStart"/>
      <w:r w:rsidRPr="00036B93">
        <w:rPr>
          <w:rFonts w:cs="Times New Roman"/>
          <w:szCs w:val="20"/>
        </w:rPr>
        <w:t>Enserink</w:t>
      </w:r>
      <w:proofErr w:type="spellEnd"/>
      <w:r w:rsidRPr="00036B93">
        <w:rPr>
          <w:rFonts w:cs="Times New Roman"/>
          <w:szCs w:val="20"/>
        </w:rPr>
        <w:t xml:space="preserve">, </w:t>
      </w:r>
      <w:r w:rsidR="009B7634">
        <w:rPr>
          <w:rFonts w:cs="Times New Roman"/>
          <w:szCs w:val="20"/>
        </w:rPr>
        <w:t>‘</w:t>
      </w:r>
      <w:r w:rsidRPr="00036B93">
        <w:rPr>
          <w:rFonts w:cs="Times New Roman"/>
          <w:szCs w:val="20"/>
        </w:rPr>
        <w:t>Dutch Government OK's Publication of H5N1 Study,</w:t>
      </w:r>
      <w:r w:rsidR="009B7634">
        <w:rPr>
          <w:rFonts w:cs="Times New Roman"/>
          <w:szCs w:val="20"/>
        </w:rPr>
        <w:t>’</w:t>
      </w:r>
      <w:r w:rsidRPr="00036B93">
        <w:rPr>
          <w:rFonts w:cs="Times New Roman"/>
          <w:szCs w:val="20"/>
        </w:rPr>
        <w:t xml:space="preserve"> </w:t>
      </w:r>
      <w:r w:rsidRPr="00036B93">
        <w:rPr>
          <w:rFonts w:cs="Times New Roman"/>
          <w:i/>
          <w:szCs w:val="20"/>
        </w:rPr>
        <w:t>Science</w:t>
      </w:r>
      <w:r w:rsidRPr="00036B93">
        <w:rPr>
          <w:rFonts w:cs="Times New Roman"/>
          <w:szCs w:val="20"/>
        </w:rPr>
        <w:t>, 27 April 2012, &lt;http://news.sciencemag.org/2012/04/dutch-government-oks-publication-h5n1-study&gt;</w:t>
      </w:r>
      <w:r>
        <w:rPr>
          <w:rFonts w:cs="Times New Roman"/>
          <w:szCs w:val="20"/>
        </w:rPr>
        <w:t>.</w:t>
      </w:r>
    </w:p>
  </w:footnote>
  <w:footnote w:id="42">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9B7634">
        <w:rPr>
          <w:rFonts w:cs="Times New Roman"/>
          <w:szCs w:val="20"/>
        </w:rPr>
        <w:t>‘</w:t>
      </w:r>
      <w:r w:rsidRPr="00036B93">
        <w:rPr>
          <w:rFonts w:cs="Times New Roman"/>
          <w:szCs w:val="20"/>
        </w:rPr>
        <w:t>National Science Advisory Board for Biosecurity Findings and Recommendations, March 29-30, 2012,</w:t>
      </w:r>
      <w:r w:rsidR="009B7634">
        <w:rPr>
          <w:rFonts w:cs="Times New Roman"/>
          <w:szCs w:val="20"/>
        </w:rPr>
        <w:t>’</w:t>
      </w:r>
      <w:r w:rsidRPr="00036B93">
        <w:rPr>
          <w:rFonts w:cs="Times New Roman"/>
          <w:szCs w:val="20"/>
        </w:rPr>
        <w:t xml:space="preserve"> </w:t>
      </w:r>
      <w:r w:rsidRPr="00036B93">
        <w:rPr>
          <w:rFonts w:cs="Times New Roman"/>
          <w:i/>
          <w:szCs w:val="20"/>
        </w:rPr>
        <w:t>National Institutes of Health</w:t>
      </w:r>
      <w:r w:rsidRPr="00036B93">
        <w:rPr>
          <w:rFonts w:cs="Times New Roman"/>
          <w:szCs w:val="20"/>
        </w:rPr>
        <w:t>, &lt;http://www.nih.gov/about/director/03302012_NSABB_Recommendations.pdf&gt;.</w:t>
      </w:r>
    </w:p>
  </w:footnote>
  <w:footnote w:id="43">
    <w:p w:rsidR="00666D13" w:rsidRPr="00DB5A9F" w:rsidRDefault="00666D13" w:rsidP="00113983">
      <w:pPr>
        <w:pStyle w:val="FootnoteText"/>
        <w:spacing w:line="480" w:lineRule="auto"/>
        <w:rPr>
          <w:lang w:val="en-GB"/>
        </w:rPr>
      </w:pPr>
      <w:r>
        <w:rPr>
          <w:rStyle w:val="FootnoteReference"/>
        </w:rPr>
        <w:footnoteRef/>
      </w:r>
      <w:r>
        <w:t xml:space="preserve"> </w:t>
      </w:r>
      <w:r>
        <w:rPr>
          <w:lang w:val="en-GB"/>
        </w:rPr>
        <w:t>Ab Osterhaus, ‘</w:t>
      </w:r>
      <w:r w:rsidRPr="00DB5A9F">
        <w:rPr>
          <w:lang w:val="en-GB"/>
        </w:rPr>
        <w:t>Why all our bird flu research should be published</w:t>
      </w:r>
      <w:r>
        <w:rPr>
          <w:lang w:val="en-GB"/>
        </w:rPr>
        <w:t xml:space="preserve">’, </w:t>
      </w:r>
      <w:r w:rsidRPr="00367CF4">
        <w:rPr>
          <w:i/>
          <w:lang w:val="en-GB"/>
        </w:rPr>
        <w:t>The Guardian</w:t>
      </w:r>
      <w:r>
        <w:rPr>
          <w:lang w:val="en-GB"/>
        </w:rPr>
        <w:t>, 28 March 2012, &lt;</w:t>
      </w:r>
      <w:r w:rsidRPr="00DB5A9F">
        <w:rPr>
          <w:lang w:val="en-GB"/>
        </w:rPr>
        <w:t>https://www.theguardian.com/commentisfree/2012/mar/28/bird-flu-terrorism-security</w:t>
      </w:r>
      <w:r>
        <w:rPr>
          <w:lang w:val="en-GB"/>
        </w:rPr>
        <w:t xml:space="preserve">&gt;; </w:t>
      </w:r>
      <w:r>
        <w:t xml:space="preserve">Peter </w:t>
      </w:r>
      <w:proofErr w:type="spellStart"/>
      <w:r>
        <w:t>Palese</w:t>
      </w:r>
      <w:proofErr w:type="spellEnd"/>
      <w:r>
        <w:t xml:space="preserve"> and </w:t>
      </w:r>
      <w:proofErr w:type="spellStart"/>
      <w:r>
        <w:t>Taia</w:t>
      </w:r>
      <w:proofErr w:type="spellEnd"/>
      <w:r>
        <w:t xml:space="preserve"> T. Wang, ‘H5N1 influenza viruses: Facts, not fear’, </w:t>
      </w:r>
      <w:r w:rsidRPr="00A11F67">
        <w:rPr>
          <w:i/>
        </w:rPr>
        <w:t>PNAS</w:t>
      </w:r>
      <w:r>
        <w:t xml:space="preserve"> 109, no. 7 (14 February 2012): 2211–</w:t>
      </w:r>
      <w:r w:rsidRPr="00A11F67">
        <w:t>13</w:t>
      </w:r>
      <w:r>
        <w:t>, at 2211.</w:t>
      </w:r>
    </w:p>
  </w:footnote>
  <w:footnote w:id="44">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Andrew Fowler, “Building the Perfect Bug,” </w:t>
      </w:r>
      <w:r w:rsidRPr="00036B93">
        <w:rPr>
          <w:rFonts w:cs="Times New Roman"/>
          <w:i/>
          <w:szCs w:val="20"/>
        </w:rPr>
        <w:t>Foreign Correspondent</w:t>
      </w:r>
      <w:r w:rsidRPr="00036B93">
        <w:rPr>
          <w:rFonts w:cs="Times New Roman"/>
          <w:szCs w:val="20"/>
        </w:rPr>
        <w:t>, ABC Television (Australia), 13 March 2012, &lt;http://www.abc.net.au/foreign/content/2012/s3452543.htm&gt;.</w:t>
      </w:r>
    </w:p>
  </w:footnote>
  <w:footnote w:id="45">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9B7634">
        <w:rPr>
          <w:rFonts w:cs="Times New Roman"/>
          <w:szCs w:val="20"/>
        </w:rPr>
        <w:t>‘</w:t>
      </w:r>
      <w:r w:rsidRPr="00036B93">
        <w:rPr>
          <w:rFonts w:cs="Times New Roman"/>
          <w:szCs w:val="20"/>
        </w:rPr>
        <w:t>National Science Advisory Board for Biosecurity Findings and Recommendations, March 29-30, 2012,</w:t>
      </w:r>
      <w:r w:rsidR="009B7634">
        <w:rPr>
          <w:rFonts w:cs="Times New Roman"/>
          <w:szCs w:val="20"/>
        </w:rPr>
        <w:t>’</w:t>
      </w:r>
      <w:r w:rsidRPr="00036B93">
        <w:rPr>
          <w:rFonts w:cs="Times New Roman"/>
          <w:szCs w:val="20"/>
        </w:rPr>
        <w:t xml:space="preserve"> </w:t>
      </w:r>
      <w:r w:rsidRPr="00036B93">
        <w:rPr>
          <w:rFonts w:cs="Times New Roman"/>
          <w:i/>
          <w:szCs w:val="20"/>
        </w:rPr>
        <w:t>National Institutes of Health</w:t>
      </w:r>
      <w:r w:rsidRPr="00036B93">
        <w:rPr>
          <w:rFonts w:cs="Times New Roman"/>
          <w:szCs w:val="20"/>
        </w:rPr>
        <w:t>, &lt;http://www.nih.gov/about/director/03302012_NSABB_Recommendations.pdf&gt;.</w:t>
      </w:r>
    </w:p>
  </w:footnote>
  <w:footnote w:id="46">
    <w:p w:rsidR="00666D13" w:rsidRPr="0055214A" w:rsidRDefault="00666D13" w:rsidP="00113983">
      <w:pPr>
        <w:pStyle w:val="FootnoteText"/>
        <w:spacing w:line="480" w:lineRule="auto"/>
        <w:rPr>
          <w:rFonts w:cs="Times New Roman"/>
          <w:szCs w:val="20"/>
          <w:lang w:val="en-GB"/>
        </w:rPr>
      </w:pPr>
      <w:r w:rsidRPr="00036B93">
        <w:rPr>
          <w:rStyle w:val="FootnoteReference"/>
          <w:rFonts w:cs="Times New Roman"/>
          <w:szCs w:val="20"/>
        </w:rPr>
        <w:footnoteRef/>
      </w:r>
      <w:r w:rsidRPr="00036B93">
        <w:rPr>
          <w:rFonts w:cs="Times New Roman"/>
          <w:szCs w:val="20"/>
        </w:rPr>
        <w:t xml:space="preserve"> Steve Connor, </w:t>
      </w:r>
      <w:r w:rsidR="009B7634">
        <w:rPr>
          <w:rFonts w:cs="Times New Roman"/>
          <w:szCs w:val="20"/>
        </w:rPr>
        <w:t>‘</w:t>
      </w:r>
      <w:r w:rsidRPr="00036B93">
        <w:rPr>
          <w:rFonts w:cs="Times New Roman"/>
          <w:szCs w:val="20"/>
        </w:rPr>
        <w:t>No Way of Stopping Leak of Deadly New Flu, Says Terror Chief,</w:t>
      </w:r>
      <w:r w:rsidR="009B7634">
        <w:rPr>
          <w:rFonts w:cs="Times New Roman"/>
          <w:szCs w:val="20"/>
        </w:rPr>
        <w:t>’</w:t>
      </w:r>
      <w:r w:rsidRPr="00036B93">
        <w:rPr>
          <w:rFonts w:cs="Times New Roman"/>
          <w:szCs w:val="20"/>
        </w:rPr>
        <w:t xml:space="preserve"> </w:t>
      </w:r>
      <w:r w:rsidRPr="00036B93">
        <w:rPr>
          <w:rFonts w:cs="Times New Roman"/>
          <w:i/>
          <w:szCs w:val="20"/>
        </w:rPr>
        <w:t>The Independent (London)</w:t>
      </w:r>
      <w:r w:rsidRPr="00036B93">
        <w:rPr>
          <w:rFonts w:cs="Times New Roman"/>
          <w:szCs w:val="20"/>
        </w:rPr>
        <w:t>, 8 February 2012, &lt;http://www.independent.co.uk/news/science/no-way-of-stopping-leak-of-deadly-new-flu-says-terror-chief-6660997.html&gt;.</w:t>
      </w:r>
    </w:p>
  </w:footnote>
  <w:footnote w:id="47">
    <w:p w:rsidR="00666D13" w:rsidRPr="00036B93" w:rsidRDefault="00666D13" w:rsidP="00113983">
      <w:pPr>
        <w:pStyle w:val="FootnoteText"/>
        <w:spacing w:line="480" w:lineRule="auto"/>
        <w:rPr>
          <w:rFonts w:cs="Times New Roman"/>
          <w:szCs w:val="20"/>
          <w:lang w:val="en-GB"/>
        </w:rPr>
      </w:pPr>
      <w:r w:rsidRPr="00036B93">
        <w:rPr>
          <w:rStyle w:val="FootnoteReference"/>
          <w:rFonts w:cs="Times New Roman"/>
          <w:szCs w:val="20"/>
        </w:rPr>
        <w:footnoteRef/>
      </w:r>
      <w:r w:rsidRPr="00036B93">
        <w:rPr>
          <w:rFonts w:cs="Times New Roman"/>
          <w:szCs w:val="20"/>
        </w:rPr>
        <w:t xml:space="preserve"> </w:t>
      </w:r>
      <w:r w:rsidR="007768F6" w:rsidRPr="00036B93">
        <w:rPr>
          <w:rFonts w:cs="Times New Roman"/>
          <w:szCs w:val="20"/>
          <w:lang w:val="en-GB"/>
        </w:rPr>
        <w:t xml:space="preserve">Marc </w:t>
      </w:r>
      <w:proofErr w:type="spellStart"/>
      <w:r w:rsidR="007768F6" w:rsidRPr="00036B93">
        <w:rPr>
          <w:rFonts w:cs="Times New Roman"/>
          <w:szCs w:val="20"/>
          <w:lang w:val="en-GB"/>
        </w:rPr>
        <w:t>Lipsitch</w:t>
      </w:r>
      <w:proofErr w:type="spellEnd"/>
      <w:r w:rsidR="007768F6" w:rsidRPr="00036B93">
        <w:rPr>
          <w:rFonts w:cs="Times New Roman"/>
          <w:szCs w:val="20"/>
          <w:lang w:val="en-GB"/>
        </w:rPr>
        <w:t xml:space="preserve"> and Alison P. Galvani, ‘Ethical Alternatives to E</w:t>
      </w:r>
      <w:r w:rsidR="007768F6">
        <w:rPr>
          <w:rFonts w:cs="Times New Roman"/>
          <w:szCs w:val="20"/>
          <w:lang w:val="en-GB"/>
        </w:rPr>
        <w:t xml:space="preserve">xperiments with Novel Potential </w:t>
      </w:r>
      <w:r w:rsidR="007768F6" w:rsidRPr="00036B93">
        <w:rPr>
          <w:rFonts w:cs="Times New Roman"/>
          <w:szCs w:val="20"/>
          <w:lang w:val="en-GB"/>
        </w:rPr>
        <w:t xml:space="preserve">Pandemic Pathogens’, </w:t>
      </w:r>
      <w:proofErr w:type="spellStart"/>
      <w:r w:rsidR="007768F6" w:rsidRPr="00036B93">
        <w:rPr>
          <w:rFonts w:cs="Times New Roman"/>
          <w:i/>
          <w:szCs w:val="20"/>
          <w:lang w:val="en-GB"/>
        </w:rPr>
        <w:t>PLoS</w:t>
      </w:r>
      <w:proofErr w:type="spellEnd"/>
      <w:r w:rsidR="007768F6" w:rsidRPr="00036B93">
        <w:rPr>
          <w:rFonts w:cs="Times New Roman"/>
          <w:i/>
          <w:szCs w:val="20"/>
          <w:lang w:val="en-GB"/>
        </w:rPr>
        <w:t xml:space="preserve"> Medicine</w:t>
      </w:r>
      <w:r w:rsidR="007768F6" w:rsidRPr="00036B93">
        <w:rPr>
          <w:rFonts w:cs="Times New Roman"/>
          <w:szCs w:val="20"/>
          <w:lang w:val="en-GB"/>
        </w:rPr>
        <w:t xml:space="preserve"> 11, no. 5 (</w:t>
      </w:r>
      <w:r w:rsidR="007768F6">
        <w:rPr>
          <w:rFonts w:cs="Times New Roman"/>
          <w:szCs w:val="20"/>
          <w:lang w:val="en-GB"/>
        </w:rPr>
        <w:t xml:space="preserve">20 May </w:t>
      </w:r>
      <w:r w:rsidR="007768F6" w:rsidRPr="00036B93">
        <w:rPr>
          <w:rFonts w:cs="Times New Roman"/>
          <w:szCs w:val="20"/>
          <w:lang w:val="en-GB"/>
        </w:rPr>
        <w:t>2014): e1001646. doi:10.1371/journal.pmed.1001646.</w:t>
      </w:r>
    </w:p>
  </w:footnote>
  <w:footnote w:id="48">
    <w:p w:rsidR="00666D13" w:rsidRPr="00036B93" w:rsidRDefault="00666D13" w:rsidP="00113983">
      <w:pPr>
        <w:pStyle w:val="FootnoteText"/>
        <w:spacing w:line="480" w:lineRule="auto"/>
        <w:rPr>
          <w:rFonts w:cs="Times New Roman"/>
          <w:szCs w:val="20"/>
          <w:lang w:val="en-US"/>
        </w:rPr>
      </w:pPr>
      <w:r w:rsidRPr="00036B93">
        <w:rPr>
          <w:rStyle w:val="FootnoteReference"/>
          <w:rFonts w:cs="Times New Roman"/>
          <w:szCs w:val="20"/>
        </w:rPr>
        <w:footnoteRef/>
      </w:r>
      <w:r w:rsidRPr="00036B93">
        <w:rPr>
          <w:rFonts w:cs="Times New Roman"/>
          <w:szCs w:val="20"/>
        </w:rPr>
        <w:t xml:space="preserve"> Ian Sample, </w:t>
      </w:r>
      <w:r w:rsidR="007768F6">
        <w:rPr>
          <w:rFonts w:cs="Times New Roman"/>
          <w:szCs w:val="20"/>
        </w:rPr>
        <w:t>‘</w:t>
      </w:r>
      <w:r w:rsidRPr="00036B93">
        <w:rPr>
          <w:rFonts w:cs="Times New Roman"/>
          <w:szCs w:val="20"/>
        </w:rPr>
        <w:t>Virus Experiments Risk Unleashing Global Pandemic, Study Warns,</w:t>
      </w:r>
      <w:r w:rsidR="007768F6">
        <w:rPr>
          <w:rFonts w:cs="Times New Roman"/>
          <w:szCs w:val="20"/>
        </w:rPr>
        <w:t>’</w:t>
      </w:r>
      <w:r w:rsidRPr="00036B93">
        <w:rPr>
          <w:rFonts w:cs="Times New Roman"/>
          <w:szCs w:val="20"/>
        </w:rPr>
        <w:t xml:space="preserve"> </w:t>
      </w:r>
      <w:r w:rsidRPr="00036B93">
        <w:rPr>
          <w:rFonts w:cs="Times New Roman"/>
          <w:i/>
          <w:szCs w:val="20"/>
        </w:rPr>
        <w:t>The Guardian (London)</w:t>
      </w:r>
      <w:r w:rsidRPr="00036B93">
        <w:rPr>
          <w:rFonts w:cs="Times New Roman"/>
          <w:szCs w:val="20"/>
        </w:rPr>
        <w:t>, 21 May 2014,</w:t>
      </w:r>
      <w:r w:rsidRPr="00036B93">
        <w:rPr>
          <w:rFonts w:cs="Times New Roman"/>
          <w:szCs w:val="20"/>
          <w:lang w:val="en-US"/>
        </w:rPr>
        <w:t xml:space="preserve"> &lt;http://www.theguardian.com/world/2014/may/20/virus-experiments-risk-global-pandemic&gt;.</w:t>
      </w:r>
    </w:p>
  </w:footnote>
  <w:footnote w:id="49">
    <w:p w:rsidR="00666D13" w:rsidRPr="00036B93" w:rsidRDefault="00666D13" w:rsidP="00113983">
      <w:pPr>
        <w:pStyle w:val="FootnoteText"/>
        <w:spacing w:line="480" w:lineRule="auto"/>
        <w:rPr>
          <w:rFonts w:cs="Times New Roman"/>
          <w:szCs w:val="20"/>
          <w:lang w:val="en-GB"/>
        </w:rPr>
      </w:pPr>
      <w:r w:rsidRPr="00036B93">
        <w:rPr>
          <w:rStyle w:val="FootnoteReference"/>
          <w:rFonts w:cs="Times New Roman"/>
          <w:szCs w:val="20"/>
        </w:rPr>
        <w:footnoteRef/>
      </w:r>
      <w:r w:rsidRPr="00036B93">
        <w:rPr>
          <w:rFonts w:cs="Times New Roman"/>
          <w:szCs w:val="20"/>
        </w:rPr>
        <w:t xml:space="preserve"> David Murphy, </w:t>
      </w:r>
      <w:r w:rsidR="007768F6">
        <w:rPr>
          <w:rFonts w:cs="Times New Roman"/>
          <w:szCs w:val="20"/>
        </w:rPr>
        <w:t>‘</w:t>
      </w:r>
      <w:r w:rsidRPr="00036B93">
        <w:rPr>
          <w:rFonts w:cs="Times New Roman"/>
          <w:szCs w:val="20"/>
        </w:rPr>
        <w:t>Lab Bungle,</w:t>
      </w:r>
      <w:r w:rsidR="007768F6">
        <w:rPr>
          <w:rFonts w:cs="Times New Roman"/>
          <w:szCs w:val="20"/>
        </w:rPr>
        <w:t>’</w:t>
      </w:r>
      <w:r w:rsidRPr="00036B93">
        <w:rPr>
          <w:rFonts w:cs="Times New Roman"/>
          <w:szCs w:val="20"/>
        </w:rPr>
        <w:t xml:space="preserve"> </w:t>
      </w:r>
      <w:r w:rsidRPr="00036B93">
        <w:rPr>
          <w:rFonts w:cs="Times New Roman"/>
          <w:i/>
          <w:szCs w:val="20"/>
        </w:rPr>
        <w:t>Far Eastern Economic Review</w:t>
      </w:r>
      <w:r w:rsidRPr="00036B93">
        <w:rPr>
          <w:rFonts w:cs="Times New Roman"/>
          <w:szCs w:val="20"/>
        </w:rPr>
        <w:t xml:space="preserve"> (6 May 2004), 18; Jim Yardley and Lawrence K. Altman, </w:t>
      </w:r>
      <w:r w:rsidR="007768F6">
        <w:rPr>
          <w:rFonts w:cs="Times New Roman"/>
          <w:szCs w:val="20"/>
        </w:rPr>
        <w:t>‘</w:t>
      </w:r>
      <w:r w:rsidRPr="00036B93">
        <w:rPr>
          <w:rFonts w:cs="Times New Roman"/>
          <w:szCs w:val="20"/>
        </w:rPr>
        <w:t>China is Scrambling to Curb SARS Cases after a Death,</w:t>
      </w:r>
      <w:r w:rsidR="007768F6">
        <w:rPr>
          <w:rFonts w:cs="Times New Roman"/>
          <w:szCs w:val="20"/>
        </w:rPr>
        <w:t>’</w:t>
      </w:r>
      <w:r w:rsidRPr="00036B93">
        <w:rPr>
          <w:rFonts w:cs="Times New Roman"/>
          <w:szCs w:val="20"/>
        </w:rPr>
        <w:t xml:space="preserve"> </w:t>
      </w:r>
      <w:r w:rsidRPr="00036B93">
        <w:rPr>
          <w:rFonts w:cs="Times New Roman"/>
          <w:i/>
          <w:szCs w:val="20"/>
        </w:rPr>
        <w:t>New York Times</w:t>
      </w:r>
      <w:r w:rsidRPr="00036B93">
        <w:rPr>
          <w:rFonts w:cs="Times New Roman"/>
          <w:szCs w:val="20"/>
        </w:rPr>
        <w:t>, 24 April 2004, 4.</w:t>
      </w:r>
    </w:p>
  </w:footnote>
  <w:footnote w:id="50">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Michael J. </w:t>
      </w:r>
      <w:proofErr w:type="spellStart"/>
      <w:r w:rsidRPr="00036B93">
        <w:rPr>
          <w:rFonts w:cs="Times New Roman"/>
          <w:szCs w:val="20"/>
        </w:rPr>
        <w:t>Selgelid</w:t>
      </w:r>
      <w:proofErr w:type="spellEnd"/>
      <w:r w:rsidRPr="00036B93">
        <w:rPr>
          <w:rFonts w:cs="Times New Roman"/>
          <w:szCs w:val="20"/>
        </w:rPr>
        <w:t xml:space="preserve"> and Lorna Weir, </w:t>
      </w:r>
      <w:r w:rsidR="007768F6">
        <w:rPr>
          <w:rFonts w:cs="Times New Roman"/>
          <w:szCs w:val="20"/>
        </w:rPr>
        <w:t>‘</w:t>
      </w:r>
      <w:r w:rsidRPr="00036B93">
        <w:rPr>
          <w:rFonts w:cs="Times New Roman"/>
          <w:szCs w:val="20"/>
        </w:rPr>
        <w:t>Reflections on the Synthetic Production of Poliovirus,</w:t>
      </w:r>
      <w:r w:rsidR="007768F6">
        <w:rPr>
          <w:rFonts w:cs="Times New Roman"/>
          <w:szCs w:val="20"/>
        </w:rPr>
        <w:t>’</w:t>
      </w:r>
      <w:r w:rsidRPr="00036B93">
        <w:rPr>
          <w:rFonts w:cs="Times New Roman"/>
          <w:szCs w:val="20"/>
        </w:rPr>
        <w:t xml:space="preserve"> </w:t>
      </w:r>
      <w:r w:rsidRPr="00036B93">
        <w:rPr>
          <w:rFonts w:cs="Times New Roman"/>
          <w:i/>
          <w:szCs w:val="20"/>
        </w:rPr>
        <w:t>Bulletin of the Atomic Scientists</w:t>
      </w:r>
      <w:r w:rsidRPr="00036B93">
        <w:rPr>
          <w:rFonts w:cs="Times New Roman"/>
          <w:szCs w:val="20"/>
        </w:rPr>
        <w:t xml:space="preserve"> 66, no. 3 (2010): 1-9, at </w:t>
      </w:r>
      <w:proofErr w:type="gramStart"/>
      <w:r w:rsidRPr="00036B93">
        <w:rPr>
          <w:rFonts w:cs="Times New Roman"/>
          <w:szCs w:val="20"/>
        </w:rPr>
        <w:t>6</w:t>
      </w:r>
      <w:proofErr w:type="gramEnd"/>
      <w:r w:rsidRPr="00036B93">
        <w:rPr>
          <w:rFonts w:cs="Times New Roman"/>
          <w:szCs w:val="20"/>
        </w:rPr>
        <w:t>.</w:t>
      </w:r>
    </w:p>
  </w:footnote>
  <w:footnote w:id="51">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7768F6">
        <w:rPr>
          <w:rFonts w:cs="Times New Roman"/>
          <w:szCs w:val="20"/>
        </w:rPr>
        <w:t>‘</w:t>
      </w:r>
      <w:r w:rsidRPr="00036B93">
        <w:rPr>
          <w:rFonts w:cs="Times New Roman"/>
          <w:szCs w:val="20"/>
        </w:rPr>
        <w:t>National Science Advisory Board for Biosecurity Findings and Recommendations, March 29-30, 2012,</w:t>
      </w:r>
      <w:r w:rsidR="007768F6">
        <w:rPr>
          <w:rFonts w:cs="Times New Roman"/>
          <w:szCs w:val="20"/>
        </w:rPr>
        <w:t>’</w:t>
      </w:r>
      <w:r w:rsidRPr="00036B93">
        <w:rPr>
          <w:rFonts w:cs="Times New Roman"/>
          <w:szCs w:val="20"/>
        </w:rPr>
        <w:t xml:space="preserve"> </w:t>
      </w:r>
      <w:r w:rsidRPr="00036B93">
        <w:rPr>
          <w:rFonts w:cs="Times New Roman"/>
          <w:i/>
          <w:szCs w:val="20"/>
        </w:rPr>
        <w:t>National Institutes of Health</w:t>
      </w:r>
      <w:r w:rsidRPr="00036B93">
        <w:rPr>
          <w:rFonts w:cs="Times New Roman"/>
          <w:szCs w:val="20"/>
        </w:rPr>
        <w:t>, &lt;http://www.nih.gov/about/director/03302012_NSABB_Recommendations.pdf&gt;.</w:t>
      </w:r>
    </w:p>
  </w:footnote>
  <w:footnote w:id="52">
    <w:p w:rsidR="00666D13" w:rsidRPr="00AA2A31" w:rsidRDefault="00666D13" w:rsidP="00113983">
      <w:pPr>
        <w:pStyle w:val="FootnoteText"/>
        <w:spacing w:line="480" w:lineRule="auto"/>
        <w:rPr>
          <w:lang w:val="en-GB"/>
        </w:rPr>
      </w:pPr>
      <w:r>
        <w:rPr>
          <w:rStyle w:val="FootnoteReference"/>
        </w:rPr>
        <w:footnoteRef/>
      </w:r>
      <w:r>
        <w:t xml:space="preserve"> </w:t>
      </w:r>
      <w:r>
        <w:rPr>
          <w:lang w:val="en-GB"/>
        </w:rPr>
        <w:t xml:space="preserve">Martin </w:t>
      </w:r>
      <w:proofErr w:type="spellStart"/>
      <w:r>
        <w:rPr>
          <w:lang w:val="en-GB"/>
        </w:rPr>
        <w:t>Enserink</w:t>
      </w:r>
      <w:proofErr w:type="spellEnd"/>
      <w:r>
        <w:rPr>
          <w:lang w:val="en-GB"/>
        </w:rPr>
        <w:t>, ‘</w:t>
      </w:r>
      <w:r w:rsidRPr="00AA2A31">
        <w:rPr>
          <w:lang w:val="en-GB"/>
        </w:rPr>
        <w:t xml:space="preserve">Scientists Brace for Media Storm </w:t>
      </w:r>
      <w:proofErr w:type="gramStart"/>
      <w:r w:rsidRPr="00AA2A31">
        <w:rPr>
          <w:lang w:val="en-GB"/>
        </w:rPr>
        <w:t>Around</w:t>
      </w:r>
      <w:proofErr w:type="gramEnd"/>
      <w:r w:rsidRPr="00AA2A31">
        <w:rPr>
          <w:lang w:val="en-GB"/>
        </w:rPr>
        <w:t xml:space="preserve"> Controversial Flu Studies</w:t>
      </w:r>
      <w:r>
        <w:rPr>
          <w:lang w:val="en-GB"/>
        </w:rPr>
        <w:t xml:space="preserve">’, </w:t>
      </w:r>
      <w:r w:rsidRPr="00AA2A31">
        <w:rPr>
          <w:i/>
          <w:lang w:val="en-GB"/>
        </w:rPr>
        <w:t>Science</w:t>
      </w:r>
      <w:r>
        <w:rPr>
          <w:lang w:val="en-GB"/>
        </w:rPr>
        <w:t>, 23 November 2011, &lt;</w:t>
      </w:r>
      <w:r w:rsidRPr="00AA2A31">
        <w:rPr>
          <w:lang w:val="en-GB"/>
        </w:rPr>
        <w:t>http://www.sciencemag.org/news/2011/11/scientists-brace-media-storm-around-controversial-flu-studies</w:t>
      </w:r>
      <w:r>
        <w:rPr>
          <w:lang w:val="en-GB"/>
        </w:rPr>
        <w:t>&gt;.</w:t>
      </w:r>
    </w:p>
  </w:footnote>
  <w:footnote w:id="53">
    <w:p w:rsidR="00666D13" w:rsidRPr="006D06A7" w:rsidRDefault="00666D13" w:rsidP="00113983">
      <w:pPr>
        <w:pStyle w:val="FootnoteText"/>
        <w:spacing w:line="480" w:lineRule="auto"/>
        <w:rPr>
          <w:lang w:val="en-GB"/>
        </w:rPr>
      </w:pPr>
      <w:r>
        <w:rPr>
          <w:rStyle w:val="FootnoteReference"/>
        </w:rPr>
        <w:footnoteRef/>
      </w:r>
      <w:r>
        <w:t xml:space="preserve"> Sander </w:t>
      </w:r>
      <w:proofErr w:type="spellStart"/>
      <w:r>
        <w:t>Herfst</w:t>
      </w:r>
      <w:proofErr w:type="spellEnd"/>
      <w:r>
        <w:t xml:space="preserve">, Albert D. M. E. Osterhaus, and Ron A. M. </w:t>
      </w:r>
      <w:proofErr w:type="spellStart"/>
      <w:r>
        <w:t>Fouchier</w:t>
      </w:r>
      <w:proofErr w:type="spellEnd"/>
      <w:r>
        <w:t xml:space="preserve">, ‘The Future of Research and Publication on Altered H5N1 Viruses’, </w:t>
      </w:r>
      <w:r w:rsidRPr="00DD51B5">
        <w:rPr>
          <w:i/>
        </w:rPr>
        <w:t>Journal of Infectious Diseases</w:t>
      </w:r>
      <w:r>
        <w:t xml:space="preserve"> 205 (2012): 1628-31, at 1630.</w:t>
      </w:r>
    </w:p>
  </w:footnote>
  <w:footnote w:id="54">
    <w:p w:rsidR="00666D13" w:rsidRPr="008C04D6" w:rsidRDefault="00666D13" w:rsidP="00113983">
      <w:pPr>
        <w:pStyle w:val="FootnoteText"/>
        <w:spacing w:line="480" w:lineRule="auto"/>
        <w:rPr>
          <w:lang w:val="en-GB"/>
        </w:rPr>
      </w:pPr>
      <w:r>
        <w:rPr>
          <w:rStyle w:val="FootnoteReference"/>
        </w:rPr>
        <w:footnoteRef/>
      </w:r>
      <w:r>
        <w:t xml:space="preserve"> </w:t>
      </w:r>
      <w:r>
        <w:rPr>
          <w:lang w:val="en-GB"/>
        </w:rPr>
        <w:t xml:space="preserve">See: </w:t>
      </w:r>
      <w:r w:rsidRPr="00F148FC">
        <w:rPr>
          <w:szCs w:val="20"/>
          <w:lang w:val="en-GB"/>
        </w:rPr>
        <w:t xml:space="preserve">Michael T. </w:t>
      </w:r>
      <w:proofErr w:type="spellStart"/>
      <w:r w:rsidRPr="00F148FC">
        <w:rPr>
          <w:szCs w:val="20"/>
          <w:lang w:val="en-GB"/>
        </w:rPr>
        <w:t>Osterholm</w:t>
      </w:r>
      <w:proofErr w:type="spellEnd"/>
      <w:r w:rsidRPr="00F148FC">
        <w:rPr>
          <w:szCs w:val="20"/>
          <w:lang w:val="en-GB"/>
        </w:rPr>
        <w:t xml:space="preserve"> and David A. </w:t>
      </w:r>
      <w:proofErr w:type="spellStart"/>
      <w:r w:rsidRPr="00F148FC">
        <w:rPr>
          <w:szCs w:val="20"/>
          <w:lang w:val="en-GB"/>
        </w:rPr>
        <w:t>Relman</w:t>
      </w:r>
      <w:proofErr w:type="spellEnd"/>
      <w:r w:rsidRPr="00F148FC">
        <w:rPr>
          <w:szCs w:val="20"/>
          <w:lang w:val="en-GB"/>
        </w:rPr>
        <w:t>, ‘Creating a Mammalian-Transmissible A/H5N1 Influenza Virus: Social Contracts, Prudence</w:t>
      </w:r>
      <w:r>
        <w:rPr>
          <w:lang w:val="en-GB"/>
        </w:rPr>
        <w:t xml:space="preserve">, and </w:t>
      </w:r>
      <w:r w:rsidRPr="00083467">
        <w:rPr>
          <w:lang w:val="en-GB"/>
        </w:rPr>
        <w:t>Alternative Perspectives</w:t>
      </w:r>
      <w:r>
        <w:rPr>
          <w:lang w:val="en-GB"/>
        </w:rPr>
        <w:t xml:space="preserve">’, </w:t>
      </w:r>
      <w:r w:rsidRPr="00083467">
        <w:rPr>
          <w:i/>
          <w:lang w:val="en-GB"/>
        </w:rPr>
        <w:t>Journal of Infectious Diseases</w:t>
      </w:r>
      <w:r>
        <w:rPr>
          <w:lang w:val="en-GB"/>
        </w:rPr>
        <w:t xml:space="preserve"> 205 (2012): 1636-38, at 1637.</w:t>
      </w:r>
    </w:p>
  </w:footnote>
  <w:footnote w:id="55">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Sonia Ben </w:t>
      </w:r>
      <w:proofErr w:type="spellStart"/>
      <w:r w:rsidRPr="00036B93">
        <w:rPr>
          <w:rFonts w:cs="Times New Roman"/>
          <w:szCs w:val="20"/>
        </w:rPr>
        <w:t>Ouagrham-Gormley</w:t>
      </w:r>
      <w:proofErr w:type="spellEnd"/>
      <w:r w:rsidRPr="00036B93">
        <w:rPr>
          <w:rFonts w:cs="Times New Roman"/>
          <w:szCs w:val="20"/>
        </w:rPr>
        <w:t xml:space="preserve">, “Barriers to Bioweapons: Intangible Obstacles to Proliferation,” </w:t>
      </w:r>
      <w:r w:rsidRPr="00036B93">
        <w:rPr>
          <w:rFonts w:cs="Times New Roman"/>
          <w:i/>
          <w:szCs w:val="20"/>
        </w:rPr>
        <w:t>International Security</w:t>
      </w:r>
      <w:r w:rsidRPr="00036B93">
        <w:rPr>
          <w:rFonts w:cs="Times New Roman"/>
          <w:szCs w:val="20"/>
        </w:rPr>
        <w:t xml:space="preserve"> 36, no. 4 (2012): 80-114, at 112-13.</w:t>
      </w:r>
      <w:r>
        <w:rPr>
          <w:rFonts w:cs="Times New Roman"/>
          <w:szCs w:val="20"/>
        </w:rPr>
        <w:t xml:space="preserve"> See </w:t>
      </w:r>
      <w:proofErr w:type="gramStart"/>
      <w:r>
        <w:rPr>
          <w:rFonts w:cs="Times New Roman"/>
          <w:szCs w:val="20"/>
        </w:rPr>
        <w:t>also:</w:t>
      </w:r>
      <w:proofErr w:type="gramEnd"/>
      <w:r>
        <w:rPr>
          <w:rFonts w:cs="Times New Roman"/>
          <w:szCs w:val="20"/>
        </w:rPr>
        <w:t xml:space="preserve"> </w:t>
      </w:r>
      <w:r>
        <w:t xml:space="preserve">James </w:t>
      </w:r>
      <w:proofErr w:type="spellStart"/>
      <w:r>
        <w:t>Revill</w:t>
      </w:r>
      <w:proofErr w:type="spellEnd"/>
      <w:r>
        <w:t xml:space="preserve"> </w:t>
      </w:r>
      <w:r w:rsidRPr="00B45C52">
        <w:t>and Catherine Jefferson</w:t>
      </w:r>
      <w:r>
        <w:t xml:space="preserve">, ‘Tacit knowledge and the biological weapons regime’, </w:t>
      </w:r>
      <w:r w:rsidRPr="00B45C52">
        <w:rPr>
          <w:i/>
        </w:rPr>
        <w:t>Science and Public Policy</w:t>
      </w:r>
      <w:r w:rsidRPr="00B45C52">
        <w:t xml:space="preserve"> 41 (2014)</w:t>
      </w:r>
      <w:r>
        <w:t>:</w:t>
      </w:r>
      <w:r w:rsidRPr="00B45C52">
        <w:t xml:space="preserve"> 597–610</w:t>
      </w:r>
      <w:r>
        <w:t xml:space="preserve">, at </w:t>
      </w:r>
      <w:r w:rsidR="00644FEA">
        <w:rPr>
          <w:lang w:val="en-GB"/>
        </w:rPr>
        <w:t>598.</w:t>
      </w:r>
    </w:p>
  </w:footnote>
  <w:footnote w:id="56">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7768F6">
        <w:rPr>
          <w:rFonts w:cs="Times New Roman"/>
          <w:szCs w:val="20"/>
        </w:rPr>
        <w:t>‘</w:t>
      </w:r>
      <w:r w:rsidRPr="00036B93">
        <w:rPr>
          <w:rFonts w:cs="Times New Roman"/>
          <w:szCs w:val="20"/>
        </w:rPr>
        <w:t xml:space="preserve">Cumulative number of confirmed human cases of avian influenza </w:t>
      </w:r>
      <w:proofErr w:type="gramStart"/>
      <w:r w:rsidRPr="00036B93">
        <w:rPr>
          <w:rFonts w:cs="Times New Roman"/>
          <w:szCs w:val="20"/>
        </w:rPr>
        <w:t>A(</w:t>
      </w:r>
      <w:proofErr w:type="gramEnd"/>
      <w:r w:rsidRPr="00036B93">
        <w:rPr>
          <w:rFonts w:cs="Times New Roman"/>
          <w:szCs w:val="20"/>
        </w:rPr>
        <w:t>H5N1) reported to WHO,</w:t>
      </w:r>
      <w:r w:rsidR="007768F6">
        <w:rPr>
          <w:rFonts w:cs="Times New Roman"/>
          <w:szCs w:val="20"/>
        </w:rPr>
        <w:t>’</w:t>
      </w:r>
      <w:r w:rsidRPr="00036B93">
        <w:rPr>
          <w:rFonts w:cs="Times New Roman"/>
          <w:szCs w:val="20"/>
        </w:rPr>
        <w:t xml:space="preserve"> </w:t>
      </w:r>
      <w:r w:rsidRPr="00036B93">
        <w:rPr>
          <w:rFonts w:cs="Times New Roman"/>
          <w:i/>
          <w:szCs w:val="20"/>
        </w:rPr>
        <w:t>World Health Organization</w:t>
      </w:r>
      <w:r w:rsidRPr="00036B93">
        <w:rPr>
          <w:rFonts w:cs="Times New Roman"/>
          <w:szCs w:val="20"/>
        </w:rPr>
        <w:t xml:space="preserve">, </w:t>
      </w:r>
      <w:r>
        <w:rPr>
          <w:rFonts w:cs="Times New Roman"/>
          <w:szCs w:val="20"/>
        </w:rPr>
        <w:t>19 July 2016</w:t>
      </w:r>
      <w:r w:rsidRPr="00036B93">
        <w:rPr>
          <w:rFonts w:cs="Times New Roman"/>
          <w:szCs w:val="20"/>
        </w:rPr>
        <w:t>, &lt;http://www.who.int/influenza/human_animal_interface/H5N1_cumulative_table_archives/en/&gt;.</w:t>
      </w:r>
    </w:p>
  </w:footnote>
  <w:footnote w:id="57">
    <w:p w:rsidR="00666D13" w:rsidRPr="00844876" w:rsidRDefault="00666D13" w:rsidP="00113983">
      <w:pPr>
        <w:pStyle w:val="FootnoteText"/>
        <w:spacing w:line="480" w:lineRule="auto"/>
      </w:pPr>
      <w:r>
        <w:rPr>
          <w:rStyle w:val="FootnoteReference"/>
        </w:rPr>
        <w:footnoteRef/>
      </w:r>
      <w:r>
        <w:t xml:space="preserve"> Eric S. Toner and </w:t>
      </w:r>
      <w:proofErr w:type="spellStart"/>
      <w:r>
        <w:t>Amesh</w:t>
      </w:r>
      <w:proofErr w:type="spellEnd"/>
      <w:r>
        <w:t xml:space="preserve"> A. Adalja</w:t>
      </w:r>
      <w:r>
        <w:rPr>
          <w:lang w:val="en-GB"/>
        </w:rPr>
        <w:t>t, ‘</w:t>
      </w:r>
      <w:r>
        <w:t>Is H5N1 Really Highly Lethal?</w:t>
      </w:r>
      <w:proofErr w:type="gramStart"/>
      <w:r>
        <w:t>’,</w:t>
      </w:r>
      <w:proofErr w:type="gramEnd"/>
      <w:r>
        <w:t xml:space="preserve"> </w:t>
      </w:r>
      <w:r w:rsidRPr="00C0023F">
        <w:rPr>
          <w:i/>
        </w:rPr>
        <w:t>Biosecurity and Bioterrorism</w:t>
      </w:r>
      <w:r>
        <w:t xml:space="preserve"> 10, no. 2 (2012): 237-40, at</w:t>
      </w:r>
      <w:r>
        <w:rPr>
          <w:lang w:val="en-GB"/>
        </w:rPr>
        <w:t xml:space="preserve"> 238.</w:t>
      </w:r>
    </w:p>
  </w:footnote>
  <w:footnote w:id="58">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5A256F" w:rsidRPr="00036B93">
        <w:rPr>
          <w:rFonts w:cs="Times New Roman"/>
          <w:szCs w:val="20"/>
          <w:lang w:val="en-US"/>
        </w:rPr>
        <w:t xml:space="preserve">Sander </w:t>
      </w:r>
      <w:proofErr w:type="spellStart"/>
      <w:r w:rsidR="005A256F" w:rsidRPr="00036B93">
        <w:rPr>
          <w:rFonts w:cs="Times New Roman"/>
          <w:szCs w:val="20"/>
          <w:lang w:val="en-US"/>
        </w:rPr>
        <w:t>Herfst</w:t>
      </w:r>
      <w:proofErr w:type="spellEnd"/>
      <w:r w:rsidR="005A256F" w:rsidRPr="00036B93">
        <w:rPr>
          <w:rFonts w:cs="Times New Roman"/>
          <w:szCs w:val="20"/>
          <w:lang w:val="en-US"/>
        </w:rPr>
        <w:t xml:space="preserve">, </w:t>
      </w:r>
      <w:proofErr w:type="spellStart"/>
      <w:r w:rsidR="005A256F" w:rsidRPr="00036B93">
        <w:rPr>
          <w:rFonts w:cs="Times New Roman"/>
          <w:szCs w:val="20"/>
          <w:lang w:val="en-US"/>
        </w:rPr>
        <w:t>Eefje</w:t>
      </w:r>
      <w:proofErr w:type="spellEnd"/>
      <w:r w:rsidR="005A256F" w:rsidRPr="00036B93">
        <w:rPr>
          <w:rFonts w:cs="Times New Roman"/>
          <w:szCs w:val="20"/>
          <w:lang w:val="en-US"/>
        </w:rPr>
        <w:t xml:space="preserve"> J. A. </w:t>
      </w:r>
      <w:proofErr w:type="spellStart"/>
      <w:r w:rsidR="005A256F" w:rsidRPr="00036B93">
        <w:rPr>
          <w:rFonts w:cs="Times New Roman"/>
          <w:szCs w:val="20"/>
          <w:lang w:val="en-US"/>
        </w:rPr>
        <w:t>Schrauwen</w:t>
      </w:r>
      <w:proofErr w:type="spellEnd"/>
      <w:r w:rsidR="005A256F" w:rsidRPr="00036B93">
        <w:rPr>
          <w:rFonts w:cs="Times New Roman"/>
          <w:szCs w:val="20"/>
          <w:lang w:val="en-US"/>
        </w:rPr>
        <w:t xml:space="preserve">, Martin </w:t>
      </w:r>
      <w:proofErr w:type="spellStart"/>
      <w:r w:rsidR="005A256F" w:rsidRPr="00036B93">
        <w:rPr>
          <w:rFonts w:cs="Times New Roman"/>
          <w:szCs w:val="20"/>
          <w:lang w:val="en-US"/>
        </w:rPr>
        <w:t>Linster</w:t>
      </w:r>
      <w:proofErr w:type="spellEnd"/>
      <w:r w:rsidR="005A256F" w:rsidRPr="00036B93">
        <w:rPr>
          <w:rFonts w:cs="Times New Roman"/>
          <w:szCs w:val="20"/>
          <w:lang w:val="en-US"/>
        </w:rPr>
        <w:t xml:space="preserve">, </w:t>
      </w:r>
      <w:proofErr w:type="spellStart"/>
      <w:r w:rsidR="005A256F" w:rsidRPr="00036B93">
        <w:rPr>
          <w:rFonts w:cs="Times New Roman"/>
          <w:szCs w:val="20"/>
          <w:lang w:val="en-US"/>
        </w:rPr>
        <w:t>Salin</w:t>
      </w:r>
      <w:proofErr w:type="spellEnd"/>
      <w:r w:rsidR="005A256F" w:rsidRPr="00036B93">
        <w:rPr>
          <w:rFonts w:cs="Times New Roman"/>
          <w:szCs w:val="20"/>
          <w:lang w:val="en-US"/>
        </w:rPr>
        <w:t xml:space="preserve"> </w:t>
      </w:r>
      <w:proofErr w:type="spellStart"/>
      <w:r w:rsidR="005A256F" w:rsidRPr="00036B93">
        <w:rPr>
          <w:rFonts w:cs="Times New Roman"/>
          <w:szCs w:val="20"/>
          <w:lang w:val="en-US"/>
        </w:rPr>
        <w:t>Chutinimitkul</w:t>
      </w:r>
      <w:proofErr w:type="spellEnd"/>
      <w:r w:rsidR="005A256F" w:rsidRPr="00036B93">
        <w:rPr>
          <w:rFonts w:cs="Times New Roman"/>
          <w:szCs w:val="20"/>
          <w:lang w:val="en-US"/>
        </w:rPr>
        <w:t xml:space="preserve">, Emmie de Wit, Vincent J. Munster, Erin M. Sorrell, Theo </w:t>
      </w:r>
      <w:r w:rsidR="005A256F" w:rsidRPr="0067431E">
        <w:rPr>
          <w:rFonts w:cs="Times New Roman"/>
          <w:szCs w:val="20"/>
          <w:lang w:val="en-US"/>
        </w:rPr>
        <w:t xml:space="preserve">M. </w:t>
      </w:r>
      <w:proofErr w:type="spellStart"/>
      <w:r w:rsidR="005A256F" w:rsidRPr="0067431E">
        <w:rPr>
          <w:rFonts w:cs="Times New Roman"/>
          <w:szCs w:val="20"/>
          <w:lang w:val="en-US"/>
        </w:rPr>
        <w:t>Bestebroer</w:t>
      </w:r>
      <w:proofErr w:type="spellEnd"/>
      <w:r w:rsidR="005A256F" w:rsidRPr="0067431E">
        <w:rPr>
          <w:rFonts w:cs="Times New Roman"/>
          <w:szCs w:val="20"/>
          <w:lang w:val="en-US"/>
        </w:rPr>
        <w:t xml:space="preserve">, David F. Burke, Derek J. Smith, </w:t>
      </w:r>
      <w:proofErr w:type="spellStart"/>
      <w:r w:rsidR="005A256F" w:rsidRPr="0067431E">
        <w:rPr>
          <w:rFonts w:cs="Times New Roman"/>
          <w:szCs w:val="20"/>
          <w:lang w:val="en-US"/>
        </w:rPr>
        <w:t>Guus</w:t>
      </w:r>
      <w:proofErr w:type="spellEnd"/>
      <w:r w:rsidR="005A256F" w:rsidRPr="0067431E">
        <w:rPr>
          <w:rFonts w:cs="Times New Roman"/>
          <w:szCs w:val="20"/>
          <w:lang w:val="en-US"/>
        </w:rPr>
        <w:t xml:space="preserve"> F. </w:t>
      </w:r>
      <w:proofErr w:type="spellStart"/>
      <w:r w:rsidR="005A256F" w:rsidRPr="0067431E">
        <w:rPr>
          <w:rFonts w:cs="Times New Roman"/>
          <w:szCs w:val="20"/>
          <w:lang w:val="en-US"/>
        </w:rPr>
        <w:t>Rimmelzwaan</w:t>
      </w:r>
      <w:proofErr w:type="spellEnd"/>
      <w:r w:rsidR="005A256F" w:rsidRPr="0067431E">
        <w:rPr>
          <w:rFonts w:cs="Times New Roman"/>
          <w:szCs w:val="20"/>
          <w:lang w:val="en-US"/>
        </w:rPr>
        <w:t xml:space="preserve">, Albert D. M. E. Osterhaus, and Ron A. M. </w:t>
      </w:r>
      <w:proofErr w:type="spellStart"/>
      <w:r w:rsidR="005A256F" w:rsidRPr="0067431E">
        <w:rPr>
          <w:rFonts w:cs="Times New Roman"/>
          <w:szCs w:val="20"/>
          <w:lang w:val="en-US"/>
        </w:rPr>
        <w:t>Fouchier</w:t>
      </w:r>
      <w:proofErr w:type="spellEnd"/>
      <w:r w:rsidR="005A256F" w:rsidRPr="0067431E">
        <w:rPr>
          <w:rFonts w:cs="Times New Roman"/>
          <w:szCs w:val="20"/>
          <w:lang w:val="en-US"/>
        </w:rPr>
        <w:t xml:space="preserve">, </w:t>
      </w:r>
      <w:r w:rsidR="005A256F">
        <w:rPr>
          <w:rFonts w:cs="Times New Roman"/>
          <w:szCs w:val="20"/>
          <w:lang w:val="en-US"/>
        </w:rPr>
        <w:t>‘</w:t>
      </w:r>
      <w:r w:rsidR="005A256F" w:rsidRPr="0067431E">
        <w:rPr>
          <w:rFonts w:cs="Times New Roman"/>
          <w:szCs w:val="20"/>
          <w:lang w:val="en-US"/>
        </w:rPr>
        <w:t>Airborne Transmission of Influenza A/H5N1 Virus Between Ferrets,</w:t>
      </w:r>
      <w:r w:rsidR="005A256F">
        <w:rPr>
          <w:rFonts w:cs="Times New Roman"/>
          <w:szCs w:val="20"/>
          <w:lang w:val="en-US"/>
        </w:rPr>
        <w:t>’</w:t>
      </w:r>
      <w:r w:rsidR="005A256F" w:rsidRPr="0067431E">
        <w:rPr>
          <w:rFonts w:cs="Times New Roman"/>
          <w:szCs w:val="20"/>
          <w:lang w:val="en-US"/>
        </w:rPr>
        <w:t xml:space="preserve"> </w:t>
      </w:r>
      <w:r w:rsidR="005A256F" w:rsidRPr="0067431E">
        <w:rPr>
          <w:rFonts w:cs="Times New Roman"/>
          <w:i/>
          <w:szCs w:val="20"/>
          <w:lang w:val="en-US"/>
        </w:rPr>
        <w:t>Science</w:t>
      </w:r>
      <w:r w:rsidR="005A256F">
        <w:rPr>
          <w:rFonts w:cs="Times New Roman"/>
          <w:szCs w:val="20"/>
          <w:lang w:val="en-US"/>
        </w:rPr>
        <w:t xml:space="preserve"> 336 (22 June 2012): 1534-41, at</w:t>
      </w:r>
      <w:r w:rsidRPr="00036B93">
        <w:rPr>
          <w:rFonts w:cs="Times New Roman"/>
          <w:szCs w:val="20"/>
        </w:rPr>
        <w:t xml:space="preserve"> 1534.</w:t>
      </w:r>
    </w:p>
  </w:footnote>
  <w:footnote w:id="59">
    <w:p w:rsidR="00666D13" w:rsidRPr="00FB377D" w:rsidRDefault="00666D13" w:rsidP="00113983">
      <w:pPr>
        <w:pStyle w:val="FootnoteText"/>
        <w:spacing w:line="480" w:lineRule="auto"/>
        <w:rPr>
          <w:lang w:val="en-GB"/>
        </w:rPr>
      </w:pPr>
      <w:r>
        <w:rPr>
          <w:rStyle w:val="FootnoteReference"/>
        </w:rPr>
        <w:footnoteRef/>
      </w:r>
      <w:r>
        <w:t xml:space="preserve"> </w:t>
      </w:r>
      <w:r>
        <w:rPr>
          <w:lang w:val="en-GB"/>
        </w:rPr>
        <w:t>Sabrina Engel-</w:t>
      </w:r>
      <w:proofErr w:type="spellStart"/>
      <w:r>
        <w:rPr>
          <w:lang w:val="en-GB"/>
        </w:rPr>
        <w:t>Glatter</w:t>
      </w:r>
      <w:proofErr w:type="spellEnd"/>
      <w:r>
        <w:rPr>
          <w:lang w:val="en-GB"/>
        </w:rPr>
        <w:t xml:space="preserve">, ‘Dual-use research and the H5N1 </w:t>
      </w:r>
      <w:r w:rsidRPr="00E90F3B">
        <w:rPr>
          <w:lang w:val="en-GB"/>
        </w:rPr>
        <w:t>bird flu:</w:t>
      </w:r>
      <w:r>
        <w:rPr>
          <w:lang w:val="en-GB"/>
        </w:rPr>
        <w:t xml:space="preserve"> Is restricting publication the </w:t>
      </w:r>
      <w:r w:rsidRPr="00E90F3B">
        <w:rPr>
          <w:lang w:val="en-GB"/>
        </w:rPr>
        <w:t>solution to biosecurity issues?</w:t>
      </w:r>
      <w:proofErr w:type="gramStart"/>
      <w:r>
        <w:rPr>
          <w:lang w:val="en-GB"/>
        </w:rPr>
        <w:t>’,</w:t>
      </w:r>
      <w:proofErr w:type="gramEnd"/>
      <w:r>
        <w:rPr>
          <w:lang w:val="en-GB"/>
        </w:rPr>
        <w:t xml:space="preserve"> </w:t>
      </w:r>
      <w:r w:rsidRPr="00E90F3B">
        <w:rPr>
          <w:i/>
          <w:lang w:val="en-GB"/>
        </w:rPr>
        <w:t>Science and Public Policy</w:t>
      </w:r>
      <w:r>
        <w:rPr>
          <w:lang w:val="en-GB"/>
        </w:rPr>
        <w:t xml:space="preserve"> 41 (2014): </w:t>
      </w:r>
      <w:r w:rsidRPr="00E90F3B">
        <w:rPr>
          <w:lang w:val="en-GB"/>
        </w:rPr>
        <w:t>370–383</w:t>
      </w:r>
      <w:r>
        <w:rPr>
          <w:lang w:val="en-GB"/>
        </w:rPr>
        <w:t xml:space="preserve">, at 373; </w:t>
      </w:r>
      <w:r w:rsidRPr="00036B93">
        <w:rPr>
          <w:rFonts w:cs="Times New Roman"/>
          <w:szCs w:val="20"/>
          <w:lang w:val="en-GB"/>
        </w:rPr>
        <w:t xml:space="preserve">Editorial, ‘Avian influenza and the dual-use research debate’, </w:t>
      </w:r>
      <w:r w:rsidRPr="00036B93">
        <w:rPr>
          <w:rFonts w:cs="Times New Roman"/>
          <w:i/>
          <w:szCs w:val="20"/>
          <w:lang w:val="en-GB"/>
        </w:rPr>
        <w:t>The Lancet Infectious Diseases</w:t>
      </w:r>
      <w:r w:rsidRPr="00036B93">
        <w:rPr>
          <w:rFonts w:cs="Times New Roman"/>
          <w:szCs w:val="20"/>
          <w:lang w:val="en-GB"/>
        </w:rPr>
        <w:t xml:space="preserve"> 12 (March 2012): 167.</w:t>
      </w:r>
    </w:p>
  </w:footnote>
  <w:footnote w:id="60">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Frank </w:t>
      </w:r>
      <w:proofErr w:type="spellStart"/>
      <w:r w:rsidRPr="00036B93">
        <w:rPr>
          <w:rFonts w:cs="Times New Roman"/>
          <w:szCs w:val="20"/>
        </w:rPr>
        <w:t>Gottron</w:t>
      </w:r>
      <w:proofErr w:type="spellEnd"/>
      <w:r w:rsidRPr="00036B93">
        <w:rPr>
          <w:rFonts w:cs="Times New Roman"/>
          <w:szCs w:val="20"/>
        </w:rPr>
        <w:t xml:space="preserve"> and Dana A. </w:t>
      </w:r>
      <w:proofErr w:type="spellStart"/>
      <w:r w:rsidRPr="00036B93">
        <w:rPr>
          <w:rFonts w:cs="Times New Roman"/>
          <w:szCs w:val="20"/>
        </w:rPr>
        <w:t>Shea</w:t>
      </w:r>
      <w:proofErr w:type="spellEnd"/>
      <w:r w:rsidRPr="00036B93">
        <w:rPr>
          <w:rFonts w:cs="Times New Roman"/>
          <w:szCs w:val="20"/>
        </w:rPr>
        <w:t xml:space="preserve">, </w:t>
      </w:r>
      <w:r w:rsidRPr="00036B93">
        <w:rPr>
          <w:rFonts w:cs="Times New Roman"/>
          <w:i/>
          <w:szCs w:val="20"/>
        </w:rPr>
        <w:t>Federal Efforts to Address the Threat of Bioterrorism: Selected Issues and Options for Congress</w:t>
      </w:r>
      <w:r w:rsidRPr="00036B93">
        <w:rPr>
          <w:rFonts w:cs="Times New Roman"/>
          <w:szCs w:val="20"/>
        </w:rPr>
        <w:t>, Washington DC: Congressional Research Service, 2011: 7.</w:t>
      </w:r>
    </w:p>
  </w:footnote>
  <w:footnote w:id="61">
    <w:p w:rsidR="00666D13" w:rsidRPr="000A2FBD" w:rsidRDefault="00666D13" w:rsidP="00113983">
      <w:pPr>
        <w:pStyle w:val="FootnoteText"/>
        <w:spacing w:line="480" w:lineRule="auto"/>
        <w:rPr>
          <w:lang w:val="en-GB"/>
        </w:rPr>
      </w:pPr>
      <w:r>
        <w:rPr>
          <w:rStyle w:val="FootnoteReference"/>
        </w:rPr>
        <w:footnoteRef/>
      </w:r>
      <w:r>
        <w:t xml:space="preserve"> See: </w:t>
      </w:r>
      <w:r>
        <w:rPr>
          <w:lang w:val="en-GB"/>
        </w:rPr>
        <w:t xml:space="preserve">Johannes </w:t>
      </w:r>
      <w:proofErr w:type="spellStart"/>
      <w:r>
        <w:rPr>
          <w:lang w:val="en-GB"/>
        </w:rPr>
        <w:t>Rath</w:t>
      </w:r>
      <w:proofErr w:type="spellEnd"/>
      <w:r>
        <w:rPr>
          <w:lang w:val="en-GB"/>
        </w:rPr>
        <w:t>, ‘</w:t>
      </w:r>
      <w:r w:rsidRPr="00BC309E">
        <w:rPr>
          <w:lang w:val="en-GB"/>
        </w:rPr>
        <w:t>Rules of engagement</w:t>
      </w:r>
      <w:r>
        <w:rPr>
          <w:lang w:val="en-GB"/>
        </w:rPr>
        <w:t xml:space="preserve">’, </w:t>
      </w:r>
      <w:r w:rsidRPr="00BC309E">
        <w:rPr>
          <w:i/>
          <w:lang w:val="en-GB"/>
        </w:rPr>
        <w:t>EMBO Reports</w:t>
      </w:r>
      <w:r>
        <w:rPr>
          <w:lang w:val="en-GB"/>
        </w:rPr>
        <w:t xml:space="preserve"> 15, no. 11 (2014): 1119-22, at 1120.</w:t>
      </w:r>
    </w:p>
  </w:footnote>
  <w:footnote w:id="62">
    <w:p w:rsidR="00666D13" w:rsidRPr="00960371" w:rsidRDefault="00666D13" w:rsidP="00113983">
      <w:pPr>
        <w:pStyle w:val="FootnoteText"/>
        <w:spacing w:line="480" w:lineRule="auto"/>
        <w:rPr>
          <w:lang w:val="en-GB"/>
        </w:rPr>
      </w:pPr>
      <w:r>
        <w:rPr>
          <w:rStyle w:val="FootnoteReference"/>
        </w:rPr>
        <w:footnoteRef/>
      </w:r>
      <w:r>
        <w:t xml:space="preserve"> See: Nicole M. </w:t>
      </w:r>
      <w:proofErr w:type="spellStart"/>
      <w:r>
        <w:t>Bouvier</w:t>
      </w:r>
      <w:proofErr w:type="spellEnd"/>
      <w:r>
        <w:t>, ‘</w:t>
      </w:r>
      <w:r w:rsidRPr="00960371">
        <w:t>The Science of Security Versus the Security of Science</w:t>
      </w:r>
      <w:r>
        <w:t xml:space="preserve">’, </w:t>
      </w:r>
      <w:r w:rsidRPr="00960371">
        <w:rPr>
          <w:i/>
        </w:rPr>
        <w:t>Journal of Infectious Diseases</w:t>
      </w:r>
      <w:r>
        <w:t xml:space="preserve"> 205 (2012): 1632-35, at </w:t>
      </w:r>
      <w:r>
        <w:rPr>
          <w:lang w:val="en-GB"/>
        </w:rPr>
        <w:t>1633.</w:t>
      </w:r>
    </w:p>
  </w:footnote>
  <w:footnote w:id="63">
    <w:p w:rsidR="00666D13" w:rsidRPr="005F517F" w:rsidRDefault="00666D13" w:rsidP="00113983">
      <w:pPr>
        <w:pStyle w:val="FootnoteText"/>
        <w:spacing w:line="480" w:lineRule="auto"/>
        <w:rPr>
          <w:lang w:val="en-GB"/>
        </w:rPr>
      </w:pPr>
      <w:r>
        <w:rPr>
          <w:rStyle w:val="FootnoteReference"/>
        </w:rPr>
        <w:footnoteRef/>
      </w:r>
      <w:r>
        <w:t xml:space="preserve"> </w:t>
      </w:r>
      <w:r>
        <w:rPr>
          <w:lang w:val="en-GB"/>
        </w:rPr>
        <w:t>Sabrina Engel-</w:t>
      </w:r>
      <w:proofErr w:type="spellStart"/>
      <w:r>
        <w:rPr>
          <w:lang w:val="en-GB"/>
        </w:rPr>
        <w:t>Glatter</w:t>
      </w:r>
      <w:proofErr w:type="spellEnd"/>
      <w:r>
        <w:rPr>
          <w:lang w:val="en-GB"/>
        </w:rPr>
        <w:t xml:space="preserve">, ‘Dual-use research and the H5N1 </w:t>
      </w:r>
      <w:r w:rsidRPr="00E90F3B">
        <w:rPr>
          <w:lang w:val="en-GB"/>
        </w:rPr>
        <w:t>bird flu:</w:t>
      </w:r>
      <w:r>
        <w:rPr>
          <w:lang w:val="en-GB"/>
        </w:rPr>
        <w:t xml:space="preserve"> Is restricting publication the </w:t>
      </w:r>
      <w:r w:rsidRPr="00E90F3B">
        <w:rPr>
          <w:lang w:val="en-GB"/>
        </w:rPr>
        <w:t>solution to biosecurity issues?</w:t>
      </w:r>
      <w:proofErr w:type="gramStart"/>
      <w:r>
        <w:rPr>
          <w:lang w:val="en-GB"/>
        </w:rPr>
        <w:t>’,</w:t>
      </w:r>
      <w:proofErr w:type="gramEnd"/>
      <w:r>
        <w:rPr>
          <w:lang w:val="en-GB"/>
        </w:rPr>
        <w:t xml:space="preserve"> </w:t>
      </w:r>
      <w:r w:rsidRPr="00E90F3B">
        <w:rPr>
          <w:i/>
          <w:lang w:val="en-GB"/>
        </w:rPr>
        <w:t>Science and Public Policy</w:t>
      </w:r>
      <w:r>
        <w:rPr>
          <w:lang w:val="en-GB"/>
        </w:rPr>
        <w:t xml:space="preserve"> 41 (2014): </w:t>
      </w:r>
      <w:r w:rsidRPr="00E90F3B">
        <w:rPr>
          <w:lang w:val="en-GB"/>
        </w:rPr>
        <w:t>370–383</w:t>
      </w:r>
      <w:r>
        <w:rPr>
          <w:lang w:val="en-GB"/>
        </w:rPr>
        <w:t>, at 374.</w:t>
      </w:r>
    </w:p>
  </w:footnote>
  <w:footnote w:id="64">
    <w:p w:rsidR="00666D13" w:rsidRPr="004C673E" w:rsidRDefault="00666D13" w:rsidP="00113983">
      <w:pPr>
        <w:pStyle w:val="FootnoteText"/>
        <w:spacing w:line="480" w:lineRule="auto"/>
        <w:rPr>
          <w:lang w:val="en-GB"/>
        </w:rPr>
      </w:pPr>
      <w:r>
        <w:rPr>
          <w:rStyle w:val="FootnoteReference"/>
        </w:rPr>
        <w:footnoteRef/>
      </w:r>
      <w:r>
        <w:t xml:space="preserve"> See: </w:t>
      </w:r>
      <w:r>
        <w:rPr>
          <w:lang w:val="en-GB"/>
        </w:rPr>
        <w:t xml:space="preserve">Johannes </w:t>
      </w:r>
      <w:proofErr w:type="spellStart"/>
      <w:r>
        <w:rPr>
          <w:lang w:val="en-GB"/>
        </w:rPr>
        <w:t>Rath</w:t>
      </w:r>
      <w:proofErr w:type="spellEnd"/>
      <w:r>
        <w:rPr>
          <w:lang w:val="en-GB"/>
        </w:rPr>
        <w:t>, ‘</w:t>
      </w:r>
      <w:r w:rsidRPr="00BC309E">
        <w:rPr>
          <w:lang w:val="en-GB"/>
        </w:rPr>
        <w:t>Rules of engagement</w:t>
      </w:r>
      <w:r>
        <w:rPr>
          <w:lang w:val="en-GB"/>
        </w:rPr>
        <w:t xml:space="preserve">’, </w:t>
      </w:r>
      <w:r w:rsidRPr="00BC309E">
        <w:rPr>
          <w:i/>
          <w:lang w:val="en-GB"/>
        </w:rPr>
        <w:t>EMBO Reports</w:t>
      </w:r>
      <w:r>
        <w:rPr>
          <w:lang w:val="en-GB"/>
        </w:rPr>
        <w:t xml:space="preserve"> 15, no. 11 (2014): 1119-22, at 1121.</w:t>
      </w:r>
    </w:p>
  </w:footnote>
  <w:footnote w:id="65">
    <w:p w:rsidR="00666D13" w:rsidRPr="004259BD" w:rsidRDefault="00666D13" w:rsidP="00113983">
      <w:pPr>
        <w:pStyle w:val="FootnoteText"/>
        <w:spacing w:line="480" w:lineRule="auto"/>
        <w:rPr>
          <w:lang w:val="en-GB"/>
        </w:rPr>
      </w:pPr>
      <w:r>
        <w:rPr>
          <w:rStyle w:val="FootnoteReference"/>
        </w:rPr>
        <w:footnoteRef/>
      </w:r>
      <w:r>
        <w:t xml:space="preserve"> </w:t>
      </w:r>
      <w:r>
        <w:rPr>
          <w:lang w:val="en-GB"/>
        </w:rPr>
        <w:t xml:space="preserve">Michael J. </w:t>
      </w:r>
      <w:proofErr w:type="spellStart"/>
      <w:r>
        <w:rPr>
          <w:lang w:val="en-GB"/>
        </w:rPr>
        <w:t>Imperiale</w:t>
      </w:r>
      <w:proofErr w:type="spellEnd"/>
      <w:r>
        <w:rPr>
          <w:lang w:val="en-GB"/>
        </w:rPr>
        <w:t>, ‘</w:t>
      </w:r>
      <w:r w:rsidRPr="004259BD">
        <w:rPr>
          <w:lang w:val="en-GB"/>
        </w:rPr>
        <w:t>Dual-use research after the avian influenza controversy</w:t>
      </w:r>
      <w:r>
        <w:rPr>
          <w:lang w:val="en-GB"/>
        </w:rPr>
        <w:t xml:space="preserve">’, </w:t>
      </w:r>
      <w:r w:rsidRPr="004259BD">
        <w:rPr>
          <w:i/>
          <w:lang w:val="en-GB"/>
        </w:rPr>
        <w:t>Bulletin of the Atomic Scientists</w:t>
      </w:r>
      <w:r>
        <w:rPr>
          <w:lang w:val="en-GB"/>
        </w:rPr>
        <w:t>, 11 July 2012, &lt;</w:t>
      </w:r>
      <w:r w:rsidRPr="004259BD">
        <w:rPr>
          <w:lang w:val="en-GB"/>
        </w:rPr>
        <w:t>http://thebulletin.org/dual-use-research-after-avian-influenza-controversy</w:t>
      </w:r>
      <w:r>
        <w:rPr>
          <w:lang w:val="en-GB"/>
        </w:rPr>
        <w:t xml:space="preserve">&gt;. See also: </w:t>
      </w:r>
      <w:r w:rsidRPr="00B33C67">
        <w:rPr>
          <w:lang w:val="en-US"/>
        </w:rPr>
        <w:t xml:space="preserve">Frida </w:t>
      </w:r>
      <w:proofErr w:type="spellStart"/>
      <w:r w:rsidRPr="00B33C67">
        <w:rPr>
          <w:lang w:val="en-US"/>
        </w:rPr>
        <w:t>Kuhlau</w:t>
      </w:r>
      <w:proofErr w:type="spellEnd"/>
      <w:r w:rsidRPr="00B33C67">
        <w:rPr>
          <w:lang w:val="en-US"/>
        </w:rPr>
        <w:t xml:space="preserve">, Anna T. </w:t>
      </w:r>
      <w:proofErr w:type="spellStart"/>
      <w:r w:rsidRPr="00B33C67">
        <w:rPr>
          <w:lang w:val="en-US"/>
        </w:rPr>
        <w:t>Höglund</w:t>
      </w:r>
      <w:proofErr w:type="spellEnd"/>
      <w:r w:rsidRPr="00B33C67">
        <w:rPr>
          <w:lang w:val="en-US"/>
        </w:rPr>
        <w:t xml:space="preserve">, </w:t>
      </w:r>
      <w:proofErr w:type="spellStart"/>
      <w:r w:rsidRPr="00B33C67">
        <w:rPr>
          <w:lang w:val="en-US"/>
        </w:rPr>
        <w:t>Kathinka</w:t>
      </w:r>
      <w:proofErr w:type="spellEnd"/>
      <w:r w:rsidRPr="00B33C67">
        <w:rPr>
          <w:lang w:val="en-US"/>
        </w:rPr>
        <w:t xml:space="preserve"> Evers and Stefan Eriksson</w:t>
      </w:r>
      <w:r>
        <w:rPr>
          <w:lang w:val="en-US"/>
        </w:rPr>
        <w:t>, ‘</w:t>
      </w:r>
      <w:r w:rsidRPr="00B33C67">
        <w:rPr>
          <w:lang w:val="en-US"/>
        </w:rPr>
        <w:t>A Precautionary Principle for Dual Use Research in the Life Sciences</w:t>
      </w:r>
      <w:r>
        <w:rPr>
          <w:lang w:val="en-US"/>
        </w:rPr>
        <w:t xml:space="preserve">’, </w:t>
      </w:r>
      <w:r w:rsidRPr="00B33C67">
        <w:rPr>
          <w:i/>
          <w:lang w:val="en-US"/>
        </w:rPr>
        <w:t>Bioethics</w:t>
      </w:r>
      <w:r>
        <w:rPr>
          <w:lang w:val="en-US"/>
        </w:rPr>
        <w:t xml:space="preserve"> 25, no. 1 (2011): 1-8; </w:t>
      </w:r>
      <w:r>
        <w:t xml:space="preserve">German Ethics Council, </w:t>
      </w:r>
      <w:r w:rsidRPr="00D5723B">
        <w:rPr>
          <w:i/>
        </w:rPr>
        <w:t>Biosecurity – freedom and responsibility of research</w:t>
      </w:r>
      <w:r>
        <w:t>, Berlin: German Ethics Council, 2014, &lt;</w:t>
      </w:r>
      <w:r w:rsidRPr="00D5723B">
        <w:t>http://www.ethikrat.org/files/opinion-biosecurity.pdf</w:t>
      </w:r>
      <w:r>
        <w:t xml:space="preserve">&gt;, </w:t>
      </w:r>
      <w:r>
        <w:rPr>
          <w:lang w:val="en-GB"/>
        </w:rPr>
        <w:t>177.</w:t>
      </w:r>
    </w:p>
  </w:footnote>
  <w:footnote w:id="66">
    <w:p w:rsidR="00666D13" w:rsidRPr="00BC309E" w:rsidRDefault="00666D13" w:rsidP="00113983">
      <w:pPr>
        <w:pStyle w:val="FootnoteText"/>
        <w:spacing w:line="480" w:lineRule="auto"/>
        <w:rPr>
          <w:lang w:val="en-GB"/>
        </w:rPr>
      </w:pPr>
      <w:r>
        <w:rPr>
          <w:rStyle w:val="FootnoteReference"/>
        </w:rPr>
        <w:footnoteRef/>
      </w:r>
      <w:r>
        <w:t xml:space="preserve"> </w:t>
      </w:r>
      <w:r>
        <w:rPr>
          <w:lang w:val="en-GB"/>
        </w:rPr>
        <w:t xml:space="preserve">Johannes </w:t>
      </w:r>
      <w:proofErr w:type="spellStart"/>
      <w:r>
        <w:rPr>
          <w:lang w:val="en-GB"/>
        </w:rPr>
        <w:t>Rath</w:t>
      </w:r>
      <w:proofErr w:type="spellEnd"/>
      <w:r>
        <w:rPr>
          <w:lang w:val="en-GB"/>
        </w:rPr>
        <w:t>, ‘</w:t>
      </w:r>
      <w:r w:rsidRPr="00BC309E">
        <w:rPr>
          <w:lang w:val="en-GB"/>
        </w:rPr>
        <w:t>Rules of engagement</w:t>
      </w:r>
      <w:r>
        <w:rPr>
          <w:lang w:val="en-GB"/>
        </w:rPr>
        <w:t xml:space="preserve">’, </w:t>
      </w:r>
      <w:r w:rsidRPr="00BC309E">
        <w:rPr>
          <w:i/>
          <w:lang w:val="en-GB"/>
        </w:rPr>
        <w:t>EMBO Reports</w:t>
      </w:r>
      <w:r>
        <w:rPr>
          <w:lang w:val="en-GB"/>
        </w:rPr>
        <w:t xml:space="preserve"> 15, no. 11 (2014): 1119-22, at 1122.</w:t>
      </w:r>
    </w:p>
  </w:footnote>
  <w:footnote w:id="67">
    <w:p w:rsidR="00666D13" w:rsidRPr="004C673E" w:rsidRDefault="00666D13" w:rsidP="00113983">
      <w:pPr>
        <w:pStyle w:val="FootnoteText"/>
        <w:spacing w:line="480" w:lineRule="auto"/>
        <w:rPr>
          <w:lang w:val="en-GB"/>
        </w:rPr>
      </w:pPr>
      <w:r>
        <w:rPr>
          <w:rStyle w:val="FootnoteReference"/>
        </w:rPr>
        <w:footnoteRef/>
      </w:r>
      <w:r>
        <w:t xml:space="preserve"> </w:t>
      </w:r>
      <w:proofErr w:type="gramStart"/>
      <w:r w:rsidR="00901798">
        <w:t>Ibid.,</w:t>
      </w:r>
      <w:proofErr w:type="gramEnd"/>
      <w:r>
        <w:rPr>
          <w:lang w:val="en-GB"/>
        </w:rPr>
        <w:t xml:space="preserve"> 1119.</w:t>
      </w:r>
    </w:p>
  </w:footnote>
  <w:footnote w:id="68">
    <w:p w:rsidR="00666D13" w:rsidRPr="00997614" w:rsidRDefault="00666D13" w:rsidP="00113983">
      <w:pPr>
        <w:pStyle w:val="FootnoteText"/>
        <w:spacing w:line="480" w:lineRule="auto"/>
        <w:rPr>
          <w:lang w:val="en-GB"/>
        </w:rPr>
      </w:pPr>
      <w:r>
        <w:rPr>
          <w:rStyle w:val="FootnoteReference"/>
        </w:rPr>
        <w:footnoteRef/>
      </w:r>
      <w:r>
        <w:t xml:space="preserve"> </w:t>
      </w:r>
      <w:r w:rsidRPr="002331A6">
        <w:rPr>
          <w:szCs w:val="20"/>
          <w:lang w:val="en-US"/>
        </w:rPr>
        <w:t>David B.  Resnik</w:t>
      </w:r>
      <w:proofErr w:type="gramStart"/>
      <w:r w:rsidRPr="002331A6">
        <w:rPr>
          <w:szCs w:val="20"/>
          <w:lang w:val="en-US"/>
        </w:rPr>
        <w:t>,‘H5N1</w:t>
      </w:r>
      <w:proofErr w:type="gramEnd"/>
      <w:r w:rsidRPr="002331A6">
        <w:rPr>
          <w:szCs w:val="20"/>
          <w:lang w:val="en-US"/>
        </w:rPr>
        <w:t xml:space="preserve"> avian flu research and the ethics of knowledge’, </w:t>
      </w:r>
      <w:r w:rsidRPr="002331A6">
        <w:rPr>
          <w:i/>
          <w:szCs w:val="20"/>
          <w:lang w:val="en-US"/>
        </w:rPr>
        <w:t>Hastings Center Report</w:t>
      </w:r>
      <w:r w:rsidRPr="002331A6">
        <w:rPr>
          <w:szCs w:val="20"/>
          <w:lang w:val="en-US"/>
        </w:rPr>
        <w:t>, 43, no. 2 (2013): 22–33</w:t>
      </w:r>
      <w:r>
        <w:rPr>
          <w:szCs w:val="20"/>
          <w:lang w:val="en-US"/>
        </w:rPr>
        <w:t>, at 30.</w:t>
      </w:r>
    </w:p>
  </w:footnote>
  <w:footnote w:id="69">
    <w:p w:rsidR="00666D13" w:rsidRPr="00997614" w:rsidRDefault="00666D13" w:rsidP="00113983">
      <w:pPr>
        <w:pStyle w:val="FootnoteText"/>
        <w:spacing w:line="480" w:lineRule="auto"/>
        <w:rPr>
          <w:lang w:val="en-GB"/>
        </w:rPr>
      </w:pPr>
      <w:r>
        <w:rPr>
          <w:rStyle w:val="FootnoteReference"/>
        </w:rPr>
        <w:footnoteRef/>
      </w:r>
      <w:r>
        <w:t xml:space="preserve"> </w:t>
      </w:r>
      <w:r w:rsidR="00901798">
        <w:rPr>
          <w:szCs w:val="20"/>
          <w:lang w:val="en-US"/>
        </w:rPr>
        <w:t>Ibid</w:t>
      </w:r>
      <w:r>
        <w:rPr>
          <w:szCs w:val="20"/>
          <w:lang w:val="en-US"/>
        </w:rPr>
        <w:t>.</w:t>
      </w:r>
    </w:p>
  </w:footnote>
  <w:footnote w:id="70">
    <w:p w:rsidR="00666D13" w:rsidRPr="00DA08E7" w:rsidRDefault="00666D13" w:rsidP="00113983">
      <w:pPr>
        <w:pStyle w:val="FootnoteText"/>
        <w:spacing w:line="480" w:lineRule="auto"/>
        <w:rPr>
          <w:lang w:val="en-GB"/>
        </w:rPr>
      </w:pPr>
      <w:r>
        <w:rPr>
          <w:rStyle w:val="FootnoteReference"/>
        </w:rPr>
        <w:footnoteRef/>
      </w:r>
      <w:r>
        <w:t xml:space="preserve"> </w:t>
      </w:r>
      <w:r w:rsidRPr="00DA08E7">
        <w:rPr>
          <w:lang w:val="en-US"/>
        </w:rPr>
        <w:t>Meeting of the States Parties to the Convention on the Prohibition of the Development, Production and Stockpiling of Bacteriological (Biological) and Toxin Weapons and on Their Destruction</w:t>
      </w:r>
      <w:r>
        <w:rPr>
          <w:lang w:val="en-US"/>
        </w:rPr>
        <w:t xml:space="preserve">, </w:t>
      </w:r>
      <w:r w:rsidRPr="00DA08E7">
        <w:rPr>
          <w:i/>
          <w:lang w:val="en-US"/>
        </w:rPr>
        <w:t>Report of the Meeting of States Parties</w:t>
      </w:r>
      <w:r>
        <w:rPr>
          <w:lang w:val="en-US"/>
        </w:rPr>
        <w:t xml:space="preserve">, </w:t>
      </w:r>
      <w:r w:rsidRPr="00DA08E7">
        <w:rPr>
          <w:lang w:val="en-US"/>
        </w:rPr>
        <w:t>Geneva, 14-18 December 2015</w:t>
      </w:r>
      <w:r>
        <w:rPr>
          <w:lang w:val="en-US"/>
        </w:rPr>
        <w:t xml:space="preserve">. </w:t>
      </w:r>
      <w:r w:rsidRPr="00DA08E7">
        <w:rPr>
          <w:lang w:val="en-US"/>
        </w:rPr>
        <w:t>BWC/MSP/2015/6</w:t>
      </w:r>
      <w:r>
        <w:rPr>
          <w:lang w:val="en-US"/>
        </w:rPr>
        <w:t xml:space="preserve">, </w:t>
      </w:r>
      <w:r w:rsidRPr="00DA08E7">
        <w:rPr>
          <w:lang w:val="en-US"/>
        </w:rPr>
        <w:t>22 February 2016</w:t>
      </w:r>
      <w:r>
        <w:rPr>
          <w:lang w:val="en-US"/>
        </w:rPr>
        <w:t>, p. 5.</w:t>
      </w:r>
    </w:p>
  </w:footnote>
  <w:footnote w:id="71">
    <w:p w:rsidR="00666D13" w:rsidRPr="00E90F3B" w:rsidRDefault="00666D13" w:rsidP="00113983">
      <w:pPr>
        <w:pStyle w:val="FootnoteText"/>
        <w:spacing w:line="480" w:lineRule="auto"/>
        <w:rPr>
          <w:lang w:val="en-GB"/>
        </w:rPr>
      </w:pPr>
      <w:r>
        <w:rPr>
          <w:rStyle w:val="FootnoteReference"/>
        </w:rPr>
        <w:footnoteRef/>
      </w:r>
      <w:r>
        <w:t xml:space="preserve"> </w:t>
      </w:r>
      <w:r>
        <w:rPr>
          <w:lang w:val="en-GB"/>
        </w:rPr>
        <w:t>Sabrina Engel-</w:t>
      </w:r>
      <w:proofErr w:type="spellStart"/>
      <w:r>
        <w:rPr>
          <w:lang w:val="en-GB"/>
        </w:rPr>
        <w:t>Glatter</w:t>
      </w:r>
      <w:proofErr w:type="spellEnd"/>
      <w:r>
        <w:rPr>
          <w:lang w:val="en-GB"/>
        </w:rPr>
        <w:t xml:space="preserve">, ‘Dual-use research and the H5N1 </w:t>
      </w:r>
      <w:r w:rsidRPr="00E90F3B">
        <w:rPr>
          <w:lang w:val="en-GB"/>
        </w:rPr>
        <w:t>bird flu:</w:t>
      </w:r>
      <w:r>
        <w:rPr>
          <w:lang w:val="en-GB"/>
        </w:rPr>
        <w:t xml:space="preserve"> Is restricting publication the </w:t>
      </w:r>
      <w:r w:rsidRPr="00E90F3B">
        <w:rPr>
          <w:lang w:val="en-GB"/>
        </w:rPr>
        <w:t>solution to biosecurity issues?</w:t>
      </w:r>
      <w:proofErr w:type="gramStart"/>
      <w:r>
        <w:rPr>
          <w:lang w:val="en-GB"/>
        </w:rPr>
        <w:t>’,</w:t>
      </w:r>
      <w:proofErr w:type="gramEnd"/>
      <w:r>
        <w:rPr>
          <w:lang w:val="en-GB"/>
        </w:rPr>
        <w:t xml:space="preserve"> </w:t>
      </w:r>
      <w:r w:rsidRPr="00E90F3B">
        <w:rPr>
          <w:i/>
          <w:lang w:val="en-GB"/>
        </w:rPr>
        <w:t>Science and Public Policy</w:t>
      </w:r>
      <w:r>
        <w:rPr>
          <w:lang w:val="en-GB"/>
        </w:rPr>
        <w:t xml:space="preserve"> 41 (2014): </w:t>
      </w:r>
      <w:r w:rsidRPr="00E90F3B">
        <w:rPr>
          <w:lang w:val="en-GB"/>
        </w:rPr>
        <w:t>370–383</w:t>
      </w:r>
      <w:r>
        <w:rPr>
          <w:lang w:val="en-GB"/>
        </w:rPr>
        <w:t>, at 372.</w:t>
      </w:r>
    </w:p>
  </w:footnote>
  <w:footnote w:id="72">
    <w:p w:rsidR="00666D13" w:rsidRPr="00794C35" w:rsidRDefault="00666D13" w:rsidP="00113983">
      <w:pPr>
        <w:pStyle w:val="FootnoteText"/>
        <w:spacing w:line="480" w:lineRule="auto"/>
        <w:rPr>
          <w:lang w:val="en-GB"/>
        </w:rPr>
      </w:pPr>
      <w:r>
        <w:rPr>
          <w:rStyle w:val="FootnoteReference"/>
        </w:rPr>
        <w:footnoteRef/>
      </w:r>
      <w:r>
        <w:t xml:space="preserve"> </w:t>
      </w:r>
      <w:r>
        <w:rPr>
          <w:lang w:val="en-GB"/>
        </w:rPr>
        <w:t xml:space="preserve">Brendan Maher, ‘The Biosecurity Oversight’, </w:t>
      </w:r>
      <w:r w:rsidRPr="00794C35">
        <w:rPr>
          <w:i/>
          <w:lang w:val="en-GB"/>
        </w:rPr>
        <w:t>Nature</w:t>
      </w:r>
      <w:r>
        <w:rPr>
          <w:lang w:val="en-GB"/>
        </w:rPr>
        <w:t xml:space="preserve"> 485</w:t>
      </w:r>
      <w:r w:rsidR="00F178BF">
        <w:rPr>
          <w:lang w:val="en-GB"/>
        </w:rPr>
        <w:t xml:space="preserve"> (24 May 2012): 431-34, at 434.</w:t>
      </w:r>
    </w:p>
  </w:footnote>
  <w:footnote w:id="73">
    <w:p w:rsidR="00666D13" w:rsidRPr="00D35863" w:rsidRDefault="00666D13" w:rsidP="00113983">
      <w:pPr>
        <w:pStyle w:val="FootnoteText"/>
        <w:spacing w:line="480" w:lineRule="auto"/>
        <w:rPr>
          <w:lang w:val="en-GB"/>
        </w:rPr>
      </w:pPr>
      <w:r>
        <w:rPr>
          <w:rStyle w:val="FootnoteReference"/>
        </w:rPr>
        <w:footnoteRef/>
      </w:r>
      <w:r>
        <w:t xml:space="preserve"> See: </w:t>
      </w:r>
      <w:r>
        <w:rPr>
          <w:lang w:val="en-US"/>
        </w:rPr>
        <w:t>‘</w:t>
      </w:r>
      <w:r w:rsidRPr="0020392F">
        <w:rPr>
          <w:lang w:val="en-US"/>
        </w:rPr>
        <w:t>W</w:t>
      </w:r>
      <w:r>
        <w:rPr>
          <w:lang w:val="en-US"/>
        </w:rPr>
        <w:t xml:space="preserve">HO concerned that new H5N1 influenza research </w:t>
      </w:r>
      <w:r w:rsidRPr="0020392F">
        <w:rPr>
          <w:lang w:val="en-US"/>
        </w:rPr>
        <w:t>could u</w:t>
      </w:r>
      <w:r>
        <w:rPr>
          <w:lang w:val="en-US"/>
        </w:rPr>
        <w:t xml:space="preserve">ndermine the 2011 Pandemic Influenza Preparedness </w:t>
      </w:r>
      <w:r w:rsidRPr="0020392F">
        <w:rPr>
          <w:lang w:val="en-US"/>
        </w:rPr>
        <w:t>Framework</w:t>
      </w:r>
      <w:r>
        <w:rPr>
          <w:lang w:val="en-US"/>
        </w:rPr>
        <w:t>’</w:t>
      </w:r>
      <w:r w:rsidRPr="0020392F">
        <w:rPr>
          <w:lang w:val="en-US"/>
        </w:rPr>
        <w:t xml:space="preserve">, </w:t>
      </w:r>
      <w:r w:rsidR="00F178BF" w:rsidRPr="00901798">
        <w:rPr>
          <w:i/>
          <w:lang w:val="en-US"/>
        </w:rPr>
        <w:t>World Health Organization</w:t>
      </w:r>
      <w:r w:rsidR="00F178BF">
        <w:rPr>
          <w:lang w:val="en-US"/>
        </w:rPr>
        <w:t xml:space="preserve">, </w:t>
      </w:r>
      <w:r w:rsidRPr="0020392F">
        <w:rPr>
          <w:lang w:val="en-US"/>
        </w:rPr>
        <w:t>30 December 2</w:t>
      </w:r>
      <w:r>
        <w:rPr>
          <w:lang w:val="en-US"/>
        </w:rPr>
        <w:t>011, &lt;</w:t>
      </w:r>
      <w:r w:rsidRPr="006847B0">
        <w:rPr>
          <w:lang w:val="en-US"/>
        </w:rPr>
        <w:t>www.who.int/mediacentre/news/statements/2011/pip_framework_20111229/en/</w:t>
      </w:r>
      <w:r>
        <w:rPr>
          <w:lang w:val="en-US"/>
        </w:rPr>
        <w:t xml:space="preserve">&gt;; </w:t>
      </w:r>
      <w:r>
        <w:t xml:space="preserve">‘Risk Assessment: </w:t>
      </w:r>
      <w:r w:rsidRPr="00D35863">
        <w:t>Laboratory-created A(H5N1) viruses transmissible between ferrets</w:t>
      </w:r>
      <w:r>
        <w:t xml:space="preserve">’, </w:t>
      </w:r>
      <w:r w:rsidRPr="00D35863">
        <w:rPr>
          <w:i/>
        </w:rPr>
        <w:t>European Centre for Disease Control and Prevention</w:t>
      </w:r>
      <w:r>
        <w:t>, 29 February 2012, &lt;</w:t>
      </w:r>
      <w:r w:rsidRPr="00D35863">
        <w:t>http://ecdc.europa.eu/en/publications/Publications/TER-RA-120229-Laboratory-created-A-H5N1-viruses-transmissible-between-ferrets.pdf</w:t>
      </w:r>
      <w:r>
        <w:t xml:space="preserve">&gt;. </w:t>
      </w:r>
      <w:r>
        <w:rPr>
          <w:lang w:val="en-GB"/>
        </w:rPr>
        <w:t>5.</w:t>
      </w:r>
    </w:p>
  </w:footnote>
  <w:footnote w:id="74">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w:t>
      </w:r>
      <w:r w:rsidR="00F178BF">
        <w:rPr>
          <w:rFonts w:cs="Times New Roman"/>
          <w:szCs w:val="20"/>
        </w:rPr>
        <w:t>‘</w:t>
      </w:r>
      <w:r w:rsidRPr="00036B93">
        <w:rPr>
          <w:rFonts w:cs="Times New Roman"/>
          <w:szCs w:val="20"/>
        </w:rPr>
        <w:t>Bird Flu: Research Row as US Raises Terror Fears,</w:t>
      </w:r>
      <w:r w:rsidR="00F178BF">
        <w:rPr>
          <w:rFonts w:cs="Times New Roman"/>
          <w:szCs w:val="20"/>
        </w:rPr>
        <w:t>’</w:t>
      </w:r>
      <w:r w:rsidRPr="00036B93">
        <w:rPr>
          <w:rFonts w:cs="Times New Roman"/>
          <w:szCs w:val="20"/>
        </w:rPr>
        <w:t xml:space="preserve"> </w:t>
      </w:r>
      <w:r w:rsidRPr="00036B93">
        <w:rPr>
          <w:rFonts w:cs="Times New Roman"/>
          <w:i/>
          <w:szCs w:val="20"/>
        </w:rPr>
        <w:t>BBC News</w:t>
      </w:r>
      <w:r w:rsidRPr="00036B93">
        <w:rPr>
          <w:rFonts w:cs="Times New Roman"/>
          <w:szCs w:val="20"/>
        </w:rPr>
        <w:t>, 21 December 2011, &lt;http://www.bbc.co.uk/news/world-us-canada-16279365&gt;.</w:t>
      </w:r>
    </w:p>
  </w:footnote>
  <w:footnote w:id="75">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Kathy Wren, </w:t>
      </w:r>
      <w:r w:rsidR="00F178BF">
        <w:rPr>
          <w:rFonts w:cs="Times New Roman"/>
          <w:szCs w:val="20"/>
        </w:rPr>
        <w:t>‘</w:t>
      </w:r>
      <w:r w:rsidRPr="00036B93">
        <w:rPr>
          <w:rFonts w:cs="Times New Roman"/>
          <w:szCs w:val="20"/>
        </w:rPr>
        <w:t>Science: Editor-in-Chief Bruce Alberts on Publication of H5N1 Avian Influenza Research,</w:t>
      </w:r>
      <w:r w:rsidR="00F178BF">
        <w:rPr>
          <w:rFonts w:cs="Times New Roman"/>
          <w:szCs w:val="20"/>
        </w:rPr>
        <w:t>’</w:t>
      </w:r>
      <w:r w:rsidRPr="00036B93">
        <w:rPr>
          <w:rFonts w:cs="Times New Roman"/>
          <w:szCs w:val="20"/>
        </w:rPr>
        <w:t xml:space="preserve"> </w:t>
      </w:r>
      <w:r w:rsidRPr="00036B93">
        <w:rPr>
          <w:rFonts w:cs="Times New Roman"/>
          <w:i/>
          <w:szCs w:val="20"/>
        </w:rPr>
        <w:t>American Association for the Advancement of Science</w:t>
      </w:r>
      <w:r w:rsidRPr="00036B93">
        <w:rPr>
          <w:rFonts w:cs="Times New Roman"/>
          <w:szCs w:val="20"/>
        </w:rPr>
        <w:t>, 20 December 2011, &lt;http://www.aaas.org/news/science-editor-chief-bruce-alberts-publication-h5n1-avian-influenza-research&gt;.</w:t>
      </w:r>
    </w:p>
  </w:footnote>
  <w:footnote w:id="76">
    <w:p w:rsidR="00666D13" w:rsidRPr="00BB654B" w:rsidRDefault="00666D13" w:rsidP="00113983">
      <w:pPr>
        <w:pStyle w:val="FootnoteText"/>
        <w:spacing w:line="480" w:lineRule="auto"/>
        <w:rPr>
          <w:lang w:val="en-GB"/>
        </w:rPr>
      </w:pPr>
      <w:r>
        <w:rPr>
          <w:rStyle w:val="FootnoteReference"/>
        </w:rPr>
        <w:footnoteRef/>
      </w:r>
      <w:r>
        <w:t xml:space="preserve"> </w:t>
      </w:r>
      <w:proofErr w:type="spellStart"/>
      <w:r>
        <w:rPr>
          <w:lang w:val="en-GB"/>
        </w:rPr>
        <w:t>Pallab</w:t>
      </w:r>
      <w:proofErr w:type="spellEnd"/>
      <w:r>
        <w:rPr>
          <w:lang w:val="en-GB"/>
        </w:rPr>
        <w:t xml:space="preserve"> Ghosh, ‘</w:t>
      </w:r>
      <w:r w:rsidRPr="00BB654B">
        <w:rPr>
          <w:lang w:val="en-GB"/>
        </w:rPr>
        <w:t>Journal's concern over bird flu research</w:t>
      </w:r>
      <w:r>
        <w:rPr>
          <w:lang w:val="en-GB"/>
        </w:rPr>
        <w:t xml:space="preserve">’, </w:t>
      </w:r>
      <w:r w:rsidRPr="00BB654B">
        <w:rPr>
          <w:i/>
          <w:lang w:val="en-GB"/>
        </w:rPr>
        <w:t>BBC News</w:t>
      </w:r>
      <w:r>
        <w:rPr>
          <w:lang w:val="en-GB"/>
        </w:rPr>
        <w:t>, 17 February 2012, &lt;</w:t>
      </w:r>
      <w:r w:rsidRPr="00BB654B">
        <w:rPr>
          <w:lang w:val="en-GB"/>
        </w:rPr>
        <w:t>http://www.bbc.co.uk/news/17066147</w:t>
      </w:r>
      <w:r>
        <w:rPr>
          <w:lang w:val="en-GB"/>
        </w:rPr>
        <w:t>&gt;.</w:t>
      </w:r>
    </w:p>
  </w:footnote>
  <w:footnote w:id="77">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Daniel </w:t>
      </w:r>
      <w:proofErr w:type="spellStart"/>
      <w:r w:rsidRPr="00036B93">
        <w:rPr>
          <w:rFonts w:cs="Times New Roman"/>
          <w:szCs w:val="20"/>
        </w:rPr>
        <w:t>Patrone</w:t>
      </w:r>
      <w:proofErr w:type="spellEnd"/>
      <w:r w:rsidRPr="00036B93">
        <w:rPr>
          <w:rFonts w:cs="Times New Roman"/>
          <w:szCs w:val="20"/>
        </w:rPr>
        <w:t xml:space="preserve">, David </w:t>
      </w:r>
      <w:proofErr w:type="spellStart"/>
      <w:r w:rsidRPr="00036B93">
        <w:rPr>
          <w:rFonts w:cs="Times New Roman"/>
          <w:szCs w:val="20"/>
        </w:rPr>
        <w:t>Resnik</w:t>
      </w:r>
      <w:proofErr w:type="spellEnd"/>
      <w:r w:rsidRPr="00036B93">
        <w:rPr>
          <w:rFonts w:cs="Times New Roman"/>
          <w:szCs w:val="20"/>
        </w:rPr>
        <w:t xml:space="preserve"> and Lisa Chin, </w:t>
      </w:r>
      <w:r w:rsidR="00F178BF">
        <w:rPr>
          <w:rFonts w:cs="Times New Roman"/>
          <w:szCs w:val="20"/>
        </w:rPr>
        <w:t>‘</w:t>
      </w:r>
      <w:r w:rsidRPr="00036B93">
        <w:rPr>
          <w:rFonts w:cs="Times New Roman"/>
          <w:szCs w:val="20"/>
        </w:rPr>
        <w:t>Biosecurity and the Review and Publication of Dual Use Research of Concern,</w:t>
      </w:r>
      <w:r w:rsidR="00F178BF">
        <w:rPr>
          <w:rFonts w:cs="Times New Roman"/>
          <w:szCs w:val="20"/>
        </w:rPr>
        <w:t>’</w:t>
      </w:r>
      <w:r w:rsidRPr="00036B93">
        <w:rPr>
          <w:rFonts w:cs="Times New Roman"/>
          <w:szCs w:val="20"/>
        </w:rPr>
        <w:t xml:space="preserve"> </w:t>
      </w:r>
      <w:r w:rsidRPr="00036B93">
        <w:rPr>
          <w:rFonts w:cs="Times New Roman"/>
          <w:i/>
          <w:szCs w:val="20"/>
        </w:rPr>
        <w:t>Biosecurity and Bioterrorism</w:t>
      </w:r>
      <w:r w:rsidRPr="00036B93">
        <w:rPr>
          <w:rFonts w:cs="Times New Roman"/>
          <w:szCs w:val="20"/>
        </w:rPr>
        <w:t xml:space="preserve"> 10, no. 3 (2012): 290-98, at 292.</w:t>
      </w:r>
    </w:p>
  </w:footnote>
  <w:footnote w:id="78">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Kathy Wren, </w:t>
      </w:r>
      <w:r w:rsidR="00F178BF">
        <w:rPr>
          <w:rFonts w:cs="Times New Roman"/>
          <w:szCs w:val="20"/>
        </w:rPr>
        <w:t>‘</w:t>
      </w:r>
      <w:r w:rsidRPr="00036B93">
        <w:rPr>
          <w:rFonts w:cs="Times New Roman"/>
          <w:szCs w:val="20"/>
        </w:rPr>
        <w:t>Science: Editor-in-Chief Bruce Alberts on Publication of H5N1 Avian Influenza Research,</w:t>
      </w:r>
      <w:r w:rsidR="00F178BF">
        <w:rPr>
          <w:rFonts w:cs="Times New Roman"/>
          <w:szCs w:val="20"/>
        </w:rPr>
        <w:t>’</w:t>
      </w:r>
      <w:r w:rsidRPr="00036B93">
        <w:rPr>
          <w:rFonts w:cs="Times New Roman"/>
          <w:szCs w:val="20"/>
        </w:rPr>
        <w:t xml:space="preserve"> </w:t>
      </w:r>
      <w:r w:rsidRPr="00036B93">
        <w:rPr>
          <w:rFonts w:cs="Times New Roman"/>
          <w:i/>
          <w:szCs w:val="20"/>
        </w:rPr>
        <w:t>American Association for the Advancement of Science</w:t>
      </w:r>
      <w:r w:rsidRPr="00036B93">
        <w:rPr>
          <w:rFonts w:cs="Times New Roman"/>
          <w:szCs w:val="20"/>
        </w:rPr>
        <w:t>, 20 December 2011, &lt;http://www.aaas.org/news/science-editor-chief-bruce-alberts-publication-h5n1-avian-influenza-research&gt;.</w:t>
      </w:r>
    </w:p>
  </w:footnote>
  <w:footnote w:id="79">
    <w:p w:rsidR="00666D13" w:rsidRPr="00844876" w:rsidRDefault="00666D13" w:rsidP="00113983">
      <w:pPr>
        <w:pStyle w:val="FootnoteText"/>
        <w:spacing w:line="480" w:lineRule="auto"/>
        <w:rPr>
          <w:lang w:val="en-GB"/>
        </w:rPr>
      </w:pPr>
      <w:r>
        <w:rPr>
          <w:rStyle w:val="FootnoteReference"/>
        </w:rPr>
        <w:footnoteRef/>
      </w:r>
      <w:r>
        <w:t xml:space="preserve"> </w:t>
      </w:r>
      <w:r>
        <w:rPr>
          <w:lang w:val="en-GB"/>
        </w:rPr>
        <w:t>Nicholas G. Evans, ‘</w:t>
      </w:r>
      <w:r w:rsidRPr="00582DBC">
        <w:rPr>
          <w:lang w:val="en-GB"/>
        </w:rPr>
        <w:t>Great expectations—</w:t>
      </w:r>
      <w:r>
        <w:rPr>
          <w:lang w:val="en-GB"/>
        </w:rPr>
        <w:t xml:space="preserve">ethics, avian flu and the value </w:t>
      </w:r>
      <w:r w:rsidRPr="00582DBC">
        <w:rPr>
          <w:lang w:val="en-GB"/>
        </w:rPr>
        <w:t xml:space="preserve">of </w:t>
      </w:r>
      <w:proofErr w:type="gramStart"/>
      <w:r w:rsidRPr="00582DBC">
        <w:rPr>
          <w:lang w:val="en-GB"/>
        </w:rPr>
        <w:t>progress</w:t>
      </w:r>
      <w:r>
        <w:rPr>
          <w:lang w:val="en-GB"/>
        </w:rPr>
        <w:t>’</w:t>
      </w:r>
      <w:proofErr w:type="gramEnd"/>
      <w:r>
        <w:rPr>
          <w:lang w:val="en-GB"/>
        </w:rPr>
        <w:t xml:space="preserve">, </w:t>
      </w:r>
      <w:r w:rsidRPr="00085E30">
        <w:rPr>
          <w:i/>
          <w:lang w:val="en-GB"/>
        </w:rPr>
        <w:t>Journal of Medical Ethics</w:t>
      </w:r>
      <w:r>
        <w:rPr>
          <w:lang w:val="en-GB"/>
        </w:rPr>
        <w:t xml:space="preserve"> 39 (2013)</w:t>
      </w:r>
      <w:r w:rsidRPr="00085E30">
        <w:rPr>
          <w:lang w:val="en-GB"/>
        </w:rPr>
        <w:t>:209–213</w:t>
      </w:r>
      <w:r>
        <w:rPr>
          <w:lang w:val="en-GB"/>
        </w:rPr>
        <w:t>, at 211.</w:t>
      </w:r>
    </w:p>
  </w:footnote>
  <w:footnote w:id="80">
    <w:p w:rsidR="00666D13" w:rsidRPr="00966CFE" w:rsidRDefault="00666D13" w:rsidP="00113983">
      <w:pPr>
        <w:spacing w:line="480" w:lineRule="auto"/>
        <w:rPr>
          <w:sz w:val="20"/>
          <w:szCs w:val="20"/>
          <w:lang w:val="en-US"/>
        </w:rPr>
      </w:pPr>
      <w:r w:rsidRPr="00966CFE">
        <w:rPr>
          <w:rStyle w:val="FootnoteReference"/>
          <w:sz w:val="20"/>
          <w:szCs w:val="20"/>
        </w:rPr>
        <w:footnoteRef/>
      </w:r>
      <w:r w:rsidRPr="00966CFE">
        <w:rPr>
          <w:sz w:val="20"/>
          <w:szCs w:val="20"/>
        </w:rPr>
        <w:t xml:space="preserve"> </w:t>
      </w:r>
      <w:r w:rsidRPr="00966CFE">
        <w:rPr>
          <w:sz w:val="20"/>
          <w:szCs w:val="20"/>
          <w:lang w:val="en-US"/>
        </w:rPr>
        <w:t xml:space="preserve">Editorial, ‘Influenza and its complications’, </w:t>
      </w:r>
      <w:r w:rsidRPr="00966CFE">
        <w:rPr>
          <w:i/>
          <w:sz w:val="20"/>
          <w:szCs w:val="20"/>
          <w:lang w:val="en-US"/>
        </w:rPr>
        <w:t>The Economist</w:t>
      </w:r>
      <w:r w:rsidRPr="00966CFE">
        <w:rPr>
          <w:sz w:val="20"/>
          <w:szCs w:val="20"/>
          <w:lang w:val="en-US"/>
        </w:rPr>
        <w:t xml:space="preserve">, 28 </w:t>
      </w:r>
      <w:r>
        <w:rPr>
          <w:sz w:val="20"/>
          <w:szCs w:val="20"/>
          <w:lang w:val="en-US"/>
        </w:rPr>
        <w:t xml:space="preserve">January 2012, </w:t>
      </w:r>
      <w:r w:rsidRPr="00966CFE">
        <w:rPr>
          <w:sz w:val="20"/>
          <w:szCs w:val="20"/>
          <w:lang w:val="en-US"/>
        </w:rPr>
        <w:t xml:space="preserve">&lt;http://www.economist.com/node/21543472&gt;. </w:t>
      </w:r>
    </w:p>
  </w:footnote>
  <w:footnote w:id="81">
    <w:p w:rsidR="00666D13" w:rsidRPr="00036B93" w:rsidRDefault="00666D13" w:rsidP="00113983">
      <w:pPr>
        <w:pStyle w:val="FootnoteText"/>
        <w:spacing w:line="480" w:lineRule="auto"/>
        <w:rPr>
          <w:rFonts w:cs="Times New Roman"/>
          <w:szCs w:val="20"/>
        </w:rPr>
      </w:pPr>
      <w:r w:rsidRPr="00036B93">
        <w:rPr>
          <w:rStyle w:val="FootnoteReference"/>
          <w:rFonts w:cs="Times New Roman"/>
          <w:szCs w:val="20"/>
        </w:rPr>
        <w:footnoteRef/>
      </w:r>
      <w:r w:rsidRPr="00036B93">
        <w:rPr>
          <w:rFonts w:cs="Times New Roman"/>
          <w:szCs w:val="20"/>
        </w:rPr>
        <w:t xml:space="preserve"> Doreen </w:t>
      </w:r>
      <w:proofErr w:type="spellStart"/>
      <w:r w:rsidRPr="00036B93">
        <w:rPr>
          <w:rFonts w:cs="Times New Roman"/>
          <w:szCs w:val="20"/>
        </w:rPr>
        <w:t>Carvajal</w:t>
      </w:r>
      <w:proofErr w:type="spellEnd"/>
      <w:r w:rsidRPr="00036B93">
        <w:rPr>
          <w:rFonts w:cs="Times New Roman"/>
          <w:szCs w:val="20"/>
        </w:rPr>
        <w:t xml:space="preserve">, </w:t>
      </w:r>
      <w:r w:rsidR="00644FEA">
        <w:rPr>
          <w:rFonts w:cs="Times New Roman"/>
          <w:szCs w:val="20"/>
        </w:rPr>
        <w:t>‘</w:t>
      </w:r>
      <w:r w:rsidRPr="00036B93">
        <w:rPr>
          <w:rFonts w:cs="Times New Roman"/>
          <w:szCs w:val="20"/>
        </w:rPr>
        <w:t>Scientist in Bird Flu Study Says He is Not Convinced Censorship is a Safeguard,</w:t>
      </w:r>
      <w:r w:rsidR="00644FEA">
        <w:rPr>
          <w:rFonts w:cs="Times New Roman"/>
          <w:szCs w:val="20"/>
        </w:rPr>
        <w:t>’</w:t>
      </w:r>
      <w:r w:rsidRPr="00036B93">
        <w:rPr>
          <w:rFonts w:cs="Times New Roman"/>
          <w:szCs w:val="20"/>
        </w:rPr>
        <w:t xml:space="preserve"> </w:t>
      </w:r>
      <w:r w:rsidRPr="00036B93">
        <w:rPr>
          <w:rFonts w:cs="Times New Roman"/>
          <w:i/>
          <w:szCs w:val="20"/>
        </w:rPr>
        <w:t>New York Times</w:t>
      </w:r>
      <w:r w:rsidRPr="00036B93">
        <w:rPr>
          <w:rFonts w:cs="Times New Roman"/>
          <w:szCs w:val="20"/>
        </w:rPr>
        <w:t>, 22 December 2011, A28.</w:t>
      </w:r>
    </w:p>
  </w:footnote>
  <w:footnote w:id="82">
    <w:p w:rsidR="00666D13" w:rsidRPr="00960371" w:rsidRDefault="00666D13" w:rsidP="00113983">
      <w:pPr>
        <w:pStyle w:val="FootnoteText"/>
        <w:spacing w:line="480" w:lineRule="auto"/>
        <w:rPr>
          <w:lang w:val="en-GB"/>
        </w:rPr>
      </w:pPr>
      <w:r>
        <w:rPr>
          <w:rStyle w:val="FootnoteReference"/>
        </w:rPr>
        <w:footnoteRef/>
      </w:r>
      <w:r>
        <w:t xml:space="preserve"> See: Nicole M. </w:t>
      </w:r>
      <w:proofErr w:type="spellStart"/>
      <w:r>
        <w:t>Bouvier</w:t>
      </w:r>
      <w:proofErr w:type="spellEnd"/>
      <w:r>
        <w:t>, ‘</w:t>
      </w:r>
      <w:r w:rsidRPr="00960371">
        <w:t>The Science of Security Versus the Security of Science</w:t>
      </w:r>
      <w:r>
        <w:t xml:space="preserve">’, </w:t>
      </w:r>
      <w:r w:rsidRPr="00960371">
        <w:rPr>
          <w:i/>
        </w:rPr>
        <w:t>Journal of Infectious Diseases</w:t>
      </w:r>
      <w:r>
        <w:t xml:space="preserve"> 205 (2012): 1632-35, at </w:t>
      </w:r>
      <w:r>
        <w:rPr>
          <w:lang w:val="en-GB"/>
        </w:rPr>
        <w:t>1634</w:t>
      </w:r>
      <w:proofErr w:type="gramStart"/>
      <w:r>
        <w:rPr>
          <w:lang w:val="en-GB"/>
        </w:rPr>
        <w:t>;</w:t>
      </w:r>
      <w:proofErr w:type="gramEnd"/>
      <w:r>
        <w:rPr>
          <w:lang w:val="en-GB"/>
        </w:rPr>
        <w:t xml:space="preserve"> Martin </w:t>
      </w:r>
      <w:proofErr w:type="spellStart"/>
      <w:r>
        <w:rPr>
          <w:lang w:val="en-GB"/>
        </w:rPr>
        <w:t>Enserink</w:t>
      </w:r>
      <w:proofErr w:type="spellEnd"/>
      <w:r>
        <w:rPr>
          <w:lang w:val="en-GB"/>
        </w:rPr>
        <w:t>, ‘</w:t>
      </w:r>
      <w:r w:rsidRPr="008E6D75">
        <w:rPr>
          <w:lang w:val="en-GB"/>
        </w:rPr>
        <w:t xml:space="preserve">Public at </w:t>
      </w:r>
      <w:r>
        <w:rPr>
          <w:lang w:val="en-GB"/>
        </w:rPr>
        <w:t xml:space="preserve">Last, H5N1 Study Offers Insight </w:t>
      </w:r>
      <w:r w:rsidRPr="008E6D75">
        <w:rPr>
          <w:lang w:val="en-GB"/>
        </w:rPr>
        <w:t>into Virus’s Possible Path to Pandemic</w:t>
      </w:r>
      <w:r>
        <w:rPr>
          <w:lang w:val="en-GB"/>
        </w:rPr>
        <w:t xml:space="preserve">’, </w:t>
      </w:r>
      <w:r w:rsidRPr="008E6D75">
        <w:rPr>
          <w:i/>
          <w:lang w:val="en-GB"/>
        </w:rPr>
        <w:t>Science</w:t>
      </w:r>
      <w:r>
        <w:rPr>
          <w:lang w:val="en-GB"/>
        </w:rPr>
        <w:t xml:space="preserve"> 336 (22 June 2012): 1494-97, at 1495-96.</w:t>
      </w:r>
    </w:p>
  </w:footnote>
  <w:footnote w:id="83">
    <w:p w:rsidR="00644FEA" w:rsidRPr="00794C35" w:rsidRDefault="00644FEA" w:rsidP="00113983">
      <w:pPr>
        <w:pStyle w:val="FootnoteText"/>
        <w:spacing w:line="480" w:lineRule="auto"/>
        <w:rPr>
          <w:lang w:val="en-GB"/>
        </w:rPr>
      </w:pPr>
      <w:r>
        <w:rPr>
          <w:rStyle w:val="FootnoteReference"/>
        </w:rPr>
        <w:footnoteRef/>
      </w:r>
      <w:r>
        <w:t xml:space="preserve"> </w:t>
      </w:r>
      <w:r>
        <w:rPr>
          <w:lang w:val="en-GB"/>
        </w:rPr>
        <w:t xml:space="preserve">Brendan Maher, ‘The Biosecurity Oversight’, </w:t>
      </w:r>
      <w:r w:rsidRPr="00794C35">
        <w:rPr>
          <w:i/>
          <w:lang w:val="en-GB"/>
        </w:rPr>
        <w:t>Nature</w:t>
      </w:r>
      <w:r>
        <w:rPr>
          <w:lang w:val="en-GB"/>
        </w:rPr>
        <w:t xml:space="preserve"> 485 (24 May 2012): 431-34, at 434.</w:t>
      </w:r>
    </w:p>
  </w:footnote>
  <w:footnote w:id="84">
    <w:p w:rsidR="00666D13" w:rsidRPr="0042319E" w:rsidRDefault="00666D13" w:rsidP="00113983">
      <w:pPr>
        <w:pStyle w:val="FootnoteText"/>
        <w:spacing w:line="480" w:lineRule="auto"/>
        <w:rPr>
          <w:lang w:val="en-GB"/>
        </w:rPr>
      </w:pPr>
      <w:r>
        <w:rPr>
          <w:rStyle w:val="FootnoteReference"/>
        </w:rPr>
        <w:footnoteRef/>
      </w:r>
      <w:r>
        <w:t xml:space="preserve"> </w:t>
      </w:r>
      <w:r>
        <w:rPr>
          <w:lang w:val="en-GB"/>
        </w:rPr>
        <w:t xml:space="preserve">Peter </w:t>
      </w:r>
      <w:proofErr w:type="spellStart"/>
      <w:r>
        <w:rPr>
          <w:lang w:val="en-GB"/>
        </w:rPr>
        <w:t>Palese</w:t>
      </w:r>
      <w:proofErr w:type="spellEnd"/>
      <w:r>
        <w:rPr>
          <w:lang w:val="en-GB"/>
        </w:rPr>
        <w:t>, ‘</w:t>
      </w:r>
      <w:r w:rsidRPr="0042319E">
        <w:rPr>
          <w:lang w:val="en-GB"/>
        </w:rPr>
        <w:t>Don’t censor life-saving science</w:t>
      </w:r>
      <w:r>
        <w:rPr>
          <w:lang w:val="en-GB"/>
        </w:rPr>
        <w:t xml:space="preserve">’, </w:t>
      </w:r>
      <w:r w:rsidRPr="0042319E">
        <w:rPr>
          <w:i/>
          <w:lang w:val="en-GB"/>
        </w:rPr>
        <w:t>Nature</w:t>
      </w:r>
      <w:r>
        <w:rPr>
          <w:lang w:val="en-GB"/>
        </w:rPr>
        <w:t xml:space="preserve"> 481 (12 January 2012): 115; Sabrina Engel-</w:t>
      </w:r>
      <w:proofErr w:type="spellStart"/>
      <w:r>
        <w:rPr>
          <w:lang w:val="en-GB"/>
        </w:rPr>
        <w:t>Glatter</w:t>
      </w:r>
      <w:proofErr w:type="spellEnd"/>
      <w:r>
        <w:rPr>
          <w:lang w:val="en-GB"/>
        </w:rPr>
        <w:t xml:space="preserve">, ‘Dual-use research and the H5N1 </w:t>
      </w:r>
      <w:r w:rsidRPr="00E90F3B">
        <w:rPr>
          <w:lang w:val="en-GB"/>
        </w:rPr>
        <w:t>bird flu:</w:t>
      </w:r>
      <w:r>
        <w:rPr>
          <w:lang w:val="en-GB"/>
        </w:rPr>
        <w:t xml:space="preserve"> Is restricting publication the </w:t>
      </w:r>
      <w:r w:rsidRPr="00E90F3B">
        <w:rPr>
          <w:lang w:val="en-GB"/>
        </w:rPr>
        <w:t>solution to biosecurity issues?</w:t>
      </w:r>
      <w:proofErr w:type="gramStart"/>
      <w:r>
        <w:rPr>
          <w:lang w:val="en-GB"/>
        </w:rPr>
        <w:t>’,</w:t>
      </w:r>
      <w:proofErr w:type="gramEnd"/>
      <w:r>
        <w:rPr>
          <w:lang w:val="en-GB"/>
        </w:rPr>
        <w:t xml:space="preserve"> </w:t>
      </w:r>
      <w:r w:rsidRPr="00E90F3B">
        <w:rPr>
          <w:i/>
          <w:lang w:val="en-GB"/>
        </w:rPr>
        <w:t>Science and Public Policy</w:t>
      </w:r>
      <w:r>
        <w:rPr>
          <w:lang w:val="en-GB"/>
        </w:rPr>
        <w:t xml:space="preserve"> 41 (2014): </w:t>
      </w:r>
      <w:r w:rsidRPr="00E90F3B">
        <w:rPr>
          <w:lang w:val="en-GB"/>
        </w:rPr>
        <w:t>370–383</w:t>
      </w:r>
      <w:r>
        <w:rPr>
          <w:lang w:val="en-GB"/>
        </w:rPr>
        <w:t>, at 377.</w:t>
      </w:r>
    </w:p>
  </w:footnote>
  <w:footnote w:id="85">
    <w:p w:rsidR="00666D13" w:rsidRPr="004022D3" w:rsidRDefault="00666D13" w:rsidP="00113983">
      <w:pPr>
        <w:pStyle w:val="FootnoteText"/>
        <w:spacing w:line="480" w:lineRule="auto"/>
        <w:rPr>
          <w:lang w:val="en-GB"/>
        </w:rPr>
      </w:pPr>
      <w:r>
        <w:rPr>
          <w:rStyle w:val="FootnoteReference"/>
        </w:rPr>
        <w:footnoteRef/>
      </w:r>
      <w:r>
        <w:t xml:space="preserve"> See: </w:t>
      </w:r>
      <w:proofErr w:type="spellStart"/>
      <w:r>
        <w:rPr>
          <w:lang w:val="en-GB"/>
        </w:rPr>
        <w:t>Filippa</w:t>
      </w:r>
      <w:proofErr w:type="spellEnd"/>
      <w:r>
        <w:rPr>
          <w:lang w:val="en-GB"/>
        </w:rPr>
        <w:t xml:space="preserve"> </w:t>
      </w:r>
      <w:proofErr w:type="spellStart"/>
      <w:r>
        <w:rPr>
          <w:lang w:val="en-GB"/>
        </w:rPr>
        <w:t>Lentzos</w:t>
      </w:r>
      <w:proofErr w:type="spellEnd"/>
      <w:r>
        <w:rPr>
          <w:lang w:val="en-GB"/>
        </w:rPr>
        <w:t xml:space="preserve"> and Nicholas Evans, ‘</w:t>
      </w:r>
      <w:r w:rsidRPr="004022D3">
        <w:rPr>
          <w:lang w:val="en-GB"/>
        </w:rPr>
        <w:t>Four steps to rebuild trust in biology</w:t>
      </w:r>
      <w:r>
        <w:rPr>
          <w:lang w:val="en-GB"/>
        </w:rPr>
        <w:t xml:space="preserve">’, </w:t>
      </w:r>
      <w:r w:rsidRPr="004022D3">
        <w:rPr>
          <w:i/>
          <w:lang w:val="en-GB"/>
        </w:rPr>
        <w:t>The Guardian</w:t>
      </w:r>
      <w:r>
        <w:rPr>
          <w:lang w:val="en-GB"/>
        </w:rPr>
        <w:t>, 23 May 2016, &lt;</w:t>
      </w:r>
      <w:r w:rsidRPr="004022D3">
        <w:rPr>
          <w:lang w:val="en-GB"/>
        </w:rPr>
        <w:t>https://www.theguardian.com/science/political-science/2016/may/23/four-steps-to-rebuild-trust-in-biology</w:t>
      </w:r>
      <w:r>
        <w:rPr>
          <w:lang w:val="en-GB"/>
        </w:rPr>
        <w:t>&gt;.</w:t>
      </w:r>
    </w:p>
  </w:footnote>
  <w:footnote w:id="86">
    <w:p w:rsidR="00666D13" w:rsidRPr="006E4A70" w:rsidRDefault="00666D13" w:rsidP="00113983">
      <w:pPr>
        <w:pStyle w:val="FootnoteText"/>
        <w:spacing w:line="480" w:lineRule="auto"/>
        <w:rPr>
          <w:lang w:val="en-GB"/>
        </w:rPr>
      </w:pPr>
      <w:r>
        <w:rPr>
          <w:rStyle w:val="FootnoteReference"/>
        </w:rPr>
        <w:footnoteRef/>
      </w:r>
      <w:r>
        <w:t xml:space="preserve"> </w:t>
      </w:r>
      <w:r>
        <w:rPr>
          <w:rStyle w:val="Strong"/>
          <w:b w:val="0"/>
          <w:bCs w:val="0"/>
          <w:lang w:val="en-US"/>
        </w:rPr>
        <w:t>Stephen Quake, ‘</w:t>
      </w:r>
      <w:r w:rsidRPr="00BB5CFA">
        <w:rPr>
          <w:rStyle w:val="Strong"/>
          <w:b w:val="0"/>
          <w:bCs w:val="0"/>
          <w:lang w:val="en-US"/>
        </w:rPr>
        <w:t>The Absurdly Artificial Divide between Pure and Applied Research</w:t>
      </w:r>
      <w:r>
        <w:rPr>
          <w:rStyle w:val="Strong"/>
          <w:b w:val="0"/>
          <w:bCs w:val="0"/>
          <w:lang w:val="en-US"/>
        </w:rPr>
        <w:t xml:space="preserve">’, </w:t>
      </w:r>
      <w:r w:rsidRPr="00847D93">
        <w:rPr>
          <w:rStyle w:val="Strong"/>
          <w:b w:val="0"/>
          <w:bCs w:val="0"/>
          <w:i/>
          <w:lang w:val="en-US"/>
        </w:rPr>
        <w:t>New York Times</w:t>
      </w:r>
      <w:r>
        <w:rPr>
          <w:rStyle w:val="Strong"/>
          <w:b w:val="0"/>
          <w:bCs w:val="0"/>
          <w:lang w:val="en-US"/>
        </w:rPr>
        <w:t>, 17 February 2009, &lt;</w:t>
      </w:r>
      <w:r w:rsidRPr="00847D93">
        <w:rPr>
          <w:rStyle w:val="Strong"/>
          <w:b w:val="0"/>
          <w:bCs w:val="0"/>
          <w:lang w:val="en-US"/>
        </w:rPr>
        <w:t>http://opinionator.blogs.nytimes.com/2009/02/17/the-absurdly-artificial-divide-between-pure-and-applied-research</w:t>
      </w:r>
      <w:r>
        <w:rPr>
          <w:rStyle w:val="Strong"/>
          <w:b w:val="0"/>
          <w:bCs w:val="0"/>
          <w:lang w:val="en-US"/>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94057"/>
      <w:docPartObj>
        <w:docPartGallery w:val="Page Numbers (Top of Page)"/>
        <w:docPartUnique/>
      </w:docPartObj>
    </w:sdtPr>
    <w:sdtEndPr>
      <w:rPr>
        <w:noProof/>
      </w:rPr>
    </w:sdtEndPr>
    <w:sdtContent>
      <w:p w:rsidR="008A3132" w:rsidRDefault="008A3132">
        <w:pPr>
          <w:pStyle w:val="Header"/>
          <w:jc w:val="right"/>
        </w:pPr>
        <w:r>
          <w:fldChar w:fldCharType="begin"/>
        </w:r>
        <w:r>
          <w:instrText xml:space="preserve"> PAGE   \* MERGEFORMAT </w:instrText>
        </w:r>
        <w:r>
          <w:fldChar w:fldCharType="separate"/>
        </w:r>
        <w:r w:rsidR="001A20B5">
          <w:rPr>
            <w:noProof/>
          </w:rPr>
          <w:t>38</w:t>
        </w:r>
        <w:r>
          <w:rPr>
            <w:noProof/>
          </w:rPr>
          <w:fldChar w:fldCharType="end"/>
        </w:r>
      </w:p>
    </w:sdtContent>
  </w:sdt>
  <w:p w:rsidR="008A3132" w:rsidRDefault="008A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ADC"/>
    <w:multiLevelType w:val="hybridMultilevel"/>
    <w:tmpl w:val="56768468"/>
    <w:lvl w:ilvl="0" w:tplc="EB34B0A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2C0D"/>
    <w:multiLevelType w:val="hybridMultilevel"/>
    <w:tmpl w:val="68E0D684"/>
    <w:lvl w:ilvl="0" w:tplc="0C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C3737"/>
    <w:multiLevelType w:val="hybridMultilevel"/>
    <w:tmpl w:val="EDEAC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A2764"/>
    <w:multiLevelType w:val="hybridMultilevel"/>
    <w:tmpl w:val="67C6AD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718C3"/>
    <w:multiLevelType w:val="hybridMultilevel"/>
    <w:tmpl w:val="593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252C"/>
    <w:multiLevelType w:val="hybridMultilevel"/>
    <w:tmpl w:val="936E651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5F35373A"/>
    <w:multiLevelType w:val="hybridMultilevel"/>
    <w:tmpl w:val="6AF6C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17AB4"/>
    <w:multiLevelType w:val="hybridMultilevel"/>
    <w:tmpl w:val="7A9652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D3A85"/>
    <w:multiLevelType w:val="hybridMultilevel"/>
    <w:tmpl w:val="619C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40BE4"/>
    <w:multiLevelType w:val="hybridMultilevel"/>
    <w:tmpl w:val="B478E1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3E1EE3"/>
    <w:multiLevelType w:val="hybridMultilevel"/>
    <w:tmpl w:val="37426E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8E0BBF"/>
    <w:multiLevelType w:val="hybridMultilevel"/>
    <w:tmpl w:val="7E62F4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1"/>
  </w:num>
  <w:num w:numId="2">
    <w:abstractNumId w:val="5"/>
  </w:num>
  <w:num w:numId="3">
    <w:abstractNumId w:val="9"/>
  </w:num>
  <w:num w:numId="4">
    <w:abstractNumId w:val="10"/>
  </w:num>
  <w:num w:numId="5">
    <w:abstractNumId w:val="1"/>
  </w:num>
  <w:num w:numId="6">
    <w:abstractNumId w:val="8"/>
  </w:num>
  <w:num w:numId="7">
    <w:abstractNumId w:val="0"/>
  </w:num>
  <w:num w:numId="8">
    <w:abstractNumId w:val="4"/>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7F"/>
    <w:rsid w:val="000011D6"/>
    <w:rsid w:val="000025D1"/>
    <w:rsid w:val="0001043D"/>
    <w:rsid w:val="00010883"/>
    <w:rsid w:val="000122F6"/>
    <w:rsid w:val="00012D12"/>
    <w:rsid w:val="00016264"/>
    <w:rsid w:val="00020C30"/>
    <w:rsid w:val="0002101F"/>
    <w:rsid w:val="00021ED1"/>
    <w:rsid w:val="00021FDA"/>
    <w:rsid w:val="00025321"/>
    <w:rsid w:val="00027255"/>
    <w:rsid w:val="000272EA"/>
    <w:rsid w:val="00032CFD"/>
    <w:rsid w:val="00034709"/>
    <w:rsid w:val="000348B2"/>
    <w:rsid w:val="00036B93"/>
    <w:rsid w:val="00036EE9"/>
    <w:rsid w:val="00037A2F"/>
    <w:rsid w:val="00037DD4"/>
    <w:rsid w:val="00040BFD"/>
    <w:rsid w:val="00040FBB"/>
    <w:rsid w:val="00041580"/>
    <w:rsid w:val="00044527"/>
    <w:rsid w:val="00044AF5"/>
    <w:rsid w:val="00054967"/>
    <w:rsid w:val="000609E0"/>
    <w:rsid w:val="00061229"/>
    <w:rsid w:val="00065444"/>
    <w:rsid w:val="00065721"/>
    <w:rsid w:val="00070975"/>
    <w:rsid w:val="00071F1C"/>
    <w:rsid w:val="00075415"/>
    <w:rsid w:val="0007557A"/>
    <w:rsid w:val="00075870"/>
    <w:rsid w:val="00076DAA"/>
    <w:rsid w:val="000779FD"/>
    <w:rsid w:val="00080671"/>
    <w:rsid w:val="00082E8F"/>
    <w:rsid w:val="00083467"/>
    <w:rsid w:val="000835AB"/>
    <w:rsid w:val="00085E30"/>
    <w:rsid w:val="0008605E"/>
    <w:rsid w:val="00096447"/>
    <w:rsid w:val="000974F1"/>
    <w:rsid w:val="000A0383"/>
    <w:rsid w:val="000A1A37"/>
    <w:rsid w:val="000A2FBD"/>
    <w:rsid w:val="000B3093"/>
    <w:rsid w:val="000C1363"/>
    <w:rsid w:val="000C2B21"/>
    <w:rsid w:val="000C3394"/>
    <w:rsid w:val="000C45A6"/>
    <w:rsid w:val="000C66BC"/>
    <w:rsid w:val="000D1471"/>
    <w:rsid w:val="000D14DE"/>
    <w:rsid w:val="000D4C28"/>
    <w:rsid w:val="000D543E"/>
    <w:rsid w:val="000D6CE4"/>
    <w:rsid w:val="000D7560"/>
    <w:rsid w:val="000D7A38"/>
    <w:rsid w:val="000E0117"/>
    <w:rsid w:val="000E1EC2"/>
    <w:rsid w:val="000F207E"/>
    <w:rsid w:val="000F3374"/>
    <w:rsid w:val="000F36A6"/>
    <w:rsid w:val="000F563A"/>
    <w:rsid w:val="000F56E3"/>
    <w:rsid w:val="00100202"/>
    <w:rsid w:val="00101007"/>
    <w:rsid w:val="00103A8B"/>
    <w:rsid w:val="00104069"/>
    <w:rsid w:val="00105406"/>
    <w:rsid w:val="00106077"/>
    <w:rsid w:val="00106538"/>
    <w:rsid w:val="00113983"/>
    <w:rsid w:val="001164EF"/>
    <w:rsid w:val="001165C4"/>
    <w:rsid w:val="001169C8"/>
    <w:rsid w:val="00120AF3"/>
    <w:rsid w:val="001211CE"/>
    <w:rsid w:val="001212DF"/>
    <w:rsid w:val="00123AD2"/>
    <w:rsid w:val="00127350"/>
    <w:rsid w:val="00136E76"/>
    <w:rsid w:val="0013732F"/>
    <w:rsid w:val="00140B3D"/>
    <w:rsid w:val="00141A80"/>
    <w:rsid w:val="00143328"/>
    <w:rsid w:val="00143AF7"/>
    <w:rsid w:val="001501DC"/>
    <w:rsid w:val="00150D91"/>
    <w:rsid w:val="00156C2C"/>
    <w:rsid w:val="00157BEB"/>
    <w:rsid w:val="001605EB"/>
    <w:rsid w:val="00161F2F"/>
    <w:rsid w:val="001620FA"/>
    <w:rsid w:val="00163945"/>
    <w:rsid w:val="001643A5"/>
    <w:rsid w:val="001651BA"/>
    <w:rsid w:val="001670BC"/>
    <w:rsid w:val="00167AA8"/>
    <w:rsid w:val="00171FEF"/>
    <w:rsid w:val="00173A89"/>
    <w:rsid w:val="0017416E"/>
    <w:rsid w:val="00174B15"/>
    <w:rsid w:val="00176359"/>
    <w:rsid w:val="00177FFE"/>
    <w:rsid w:val="00192344"/>
    <w:rsid w:val="00195B53"/>
    <w:rsid w:val="001962A1"/>
    <w:rsid w:val="00197C65"/>
    <w:rsid w:val="001A1B2E"/>
    <w:rsid w:val="001A20B5"/>
    <w:rsid w:val="001B10F9"/>
    <w:rsid w:val="001B117F"/>
    <w:rsid w:val="001B2F36"/>
    <w:rsid w:val="001B4809"/>
    <w:rsid w:val="001B6079"/>
    <w:rsid w:val="001B6303"/>
    <w:rsid w:val="001B63A6"/>
    <w:rsid w:val="001B7A3F"/>
    <w:rsid w:val="001C5ED1"/>
    <w:rsid w:val="001C67CA"/>
    <w:rsid w:val="001C735A"/>
    <w:rsid w:val="001C7CC4"/>
    <w:rsid w:val="001D1BBD"/>
    <w:rsid w:val="001D2081"/>
    <w:rsid w:val="001D5D5C"/>
    <w:rsid w:val="001D6C8F"/>
    <w:rsid w:val="001E20ED"/>
    <w:rsid w:val="001E3291"/>
    <w:rsid w:val="001E781D"/>
    <w:rsid w:val="001F056D"/>
    <w:rsid w:val="001F1165"/>
    <w:rsid w:val="001F3F7D"/>
    <w:rsid w:val="001F570D"/>
    <w:rsid w:val="001F5CC3"/>
    <w:rsid w:val="001F5FC3"/>
    <w:rsid w:val="00202669"/>
    <w:rsid w:val="00202DCC"/>
    <w:rsid w:val="0020392F"/>
    <w:rsid w:val="0020433A"/>
    <w:rsid w:val="002076F0"/>
    <w:rsid w:val="0021297B"/>
    <w:rsid w:val="00212A58"/>
    <w:rsid w:val="00215734"/>
    <w:rsid w:val="002174BE"/>
    <w:rsid w:val="0021798D"/>
    <w:rsid w:val="00217DB8"/>
    <w:rsid w:val="0022170A"/>
    <w:rsid w:val="0022202C"/>
    <w:rsid w:val="002223AB"/>
    <w:rsid w:val="00225B94"/>
    <w:rsid w:val="00226B28"/>
    <w:rsid w:val="00227365"/>
    <w:rsid w:val="0022768F"/>
    <w:rsid w:val="002331A6"/>
    <w:rsid w:val="00234C25"/>
    <w:rsid w:val="0024039E"/>
    <w:rsid w:val="0024131F"/>
    <w:rsid w:val="002423AA"/>
    <w:rsid w:val="00242FAD"/>
    <w:rsid w:val="00244DE8"/>
    <w:rsid w:val="0025080B"/>
    <w:rsid w:val="00250CC1"/>
    <w:rsid w:val="00256ED4"/>
    <w:rsid w:val="002605AA"/>
    <w:rsid w:val="00261744"/>
    <w:rsid w:val="002626F3"/>
    <w:rsid w:val="002634FB"/>
    <w:rsid w:val="00263E39"/>
    <w:rsid w:val="00263E63"/>
    <w:rsid w:val="00264704"/>
    <w:rsid w:val="00265CA5"/>
    <w:rsid w:val="002724DD"/>
    <w:rsid w:val="002728BD"/>
    <w:rsid w:val="00273EA1"/>
    <w:rsid w:val="00283E83"/>
    <w:rsid w:val="0028735D"/>
    <w:rsid w:val="00287CD2"/>
    <w:rsid w:val="00290266"/>
    <w:rsid w:val="002912CB"/>
    <w:rsid w:val="002913D2"/>
    <w:rsid w:val="002919A4"/>
    <w:rsid w:val="002923B6"/>
    <w:rsid w:val="0029482E"/>
    <w:rsid w:val="00296038"/>
    <w:rsid w:val="002A1663"/>
    <w:rsid w:val="002A2C5E"/>
    <w:rsid w:val="002A3414"/>
    <w:rsid w:val="002A755D"/>
    <w:rsid w:val="002B07F6"/>
    <w:rsid w:val="002B439E"/>
    <w:rsid w:val="002B5960"/>
    <w:rsid w:val="002B5D4E"/>
    <w:rsid w:val="002B63BF"/>
    <w:rsid w:val="002C5301"/>
    <w:rsid w:val="002C6D52"/>
    <w:rsid w:val="002D1A1C"/>
    <w:rsid w:val="002D2EA9"/>
    <w:rsid w:val="002D5657"/>
    <w:rsid w:val="002D57D1"/>
    <w:rsid w:val="002D65A7"/>
    <w:rsid w:val="002D7E57"/>
    <w:rsid w:val="002E46C6"/>
    <w:rsid w:val="002E672E"/>
    <w:rsid w:val="002E6B0E"/>
    <w:rsid w:val="002E6D44"/>
    <w:rsid w:val="002E6F9F"/>
    <w:rsid w:val="002F01CD"/>
    <w:rsid w:val="002F62EB"/>
    <w:rsid w:val="00302513"/>
    <w:rsid w:val="00307505"/>
    <w:rsid w:val="00307BCB"/>
    <w:rsid w:val="00311612"/>
    <w:rsid w:val="00312718"/>
    <w:rsid w:val="00312FB5"/>
    <w:rsid w:val="003140FA"/>
    <w:rsid w:val="003149D4"/>
    <w:rsid w:val="00314F6D"/>
    <w:rsid w:val="00317C60"/>
    <w:rsid w:val="00322ABF"/>
    <w:rsid w:val="0032310D"/>
    <w:rsid w:val="00323ACF"/>
    <w:rsid w:val="0032465E"/>
    <w:rsid w:val="003269D7"/>
    <w:rsid w:val="0032736A"/>
    <w:rsid w:val="003277A4"/>
    <w:rsid w:val="00330816"/>
    <w:rsid w:val="00342837"/>
    <w:rsid w:val="00342D0E"/>
    <w:rsid w:val="0034483F"/>
    <w:rsid w:val="00347166"/>
    <w:rsid w:val="00356746"/>
    <w:rsid w:val="00361F67"/>
    <w:rsid w:val="003649FE"/>
    <w:rsid w:val="00365F16"/>
    <w:rsid w:val="00367CF4"/>
    <w:rsid w:val="00370159"/>
    <w:rsid w:val="003718EF"/>
    <w:rsid w:val="00372543"/>
    <w:rsid w:val="00373A38"/>
    <w:rsid w:val="00374310"/>
    <w:rsid w:val="0037675E"/>
    <w:rsid w:val="00380F44"/>
    <w:rsid w:val="0038186B"/>
    <w:rsid w:val="00395F3A"/>
    <w:rsid w:val="003A7016"/>
    <w:rsid w:val="003B0E46"/>
    <w:rsid w:val="003B18D1"/>
    <w:rsid w:val="003B3EC3"/>
    <w:rsid w:val="003B588D"/>
    <w:rsid w:val="003B62A2"/>
    <w:rsid w:val="003C4A61"/>
    <w:rsid w:val="003D4A11"/>
    <w:rsid w:val="003E22B2"/>
    <w:rsid w:val="003E3A18"/>
    <w:rsid w:val="003E4E13"/>
    <w:rsid w:val="003F03DC"/>
    <w:rsid w:val="003F0F93"/>
    <w:rsid w:val="003F1A3A"/>
    <w:rsid w:val="003F2CB7"/>
    <w:rsid w:val="003F30D8"/>
    <w:rsid w:val="003F450D"/>
    <w:rsid w:val="003F74C6"/>
    <w:rsid w:val="003F78F4"/>
    <w:rsid w:val="00400D45"/>
    <w:rsid w:val="004022D3"/>
    <w:rsid w:val="00403A9B"/>
    <w:rsid w:val="00404578"/>
    <w:rsid w:val="00405ECD"/>
    <w:rsid w:val="0040772B"/>
    <w:rsid w:val="00411683"/>
    <w:rsid w:val="004134E7"/>
    <w:rsid w:val="00414F82"/>
    <w:rsid w:val="00415E68"/>
    <w:rsid w:val="0042319E"/>
    <w:rsid w:val="00423B43"/>
    <w:rsid w:val="0042501A"/>
    <w:rsid w:val="004259BD"/>
    <w:rsid w:val="00434E07"/>
    <w:rsid w:val="00436763"/>
    <w:rsid w:val="00436F3F"/>
    <w:rsid w:val="00442B6C"/>
    <w:rsid w:val="00443A10"/>
    <w:rsid w:val="0044406D"/>
    <w:rsid w:val="00444162"/>
    <w:rsid w:val="00445C67"/>
    <w:rsid w:val="004473BB"/>
    <w:rsid w:val="00447733"/>
    <w:rsid w:val="004501FC"/>
    <w:rsid w:val="00451409"/>
    <w:rsid w:val="00453C15"/>
    <w:rsid w:val="00462620"/>
    <w:rsid w:val="00465799"/>
    <w:rsid w:val="00465AC3"/>
    <w:rsid w:val="00470460"/>
    <w:rsid w:val="0047534A"/>
    <w:rsid w:val="00475817"/>
    <w:rsid w:val="00477367"/>
    <w:rsid w:val="00480BC5"/>
    <w:rsid w:val="00482860"/>
    <w:rsid w:val="004831A7"/>
    <w:rsid w:val="004833BB"/>
    <w:rsid w:val="00485599"/>
    <w:rsid w:val="0048666E"/>
    <w:rsid w:val="004961C2"/>
    <w:rsid w:val="004A3B17"/>
    <w:rsid w:val="004A4731"/>
    <w:rsid w:val="004A585A"/>
    <w:rsid w:val="004A66BE"/>
    <w:rsid w:val="004B48FC"/>
    <w:rsid w:val="004B5C10"/>
    <w:rsid w:val="004B5F86"/>
    <w:rsid w:val="004B65D3"/>
    <w:rsid w:val="004B6E30"/>
    <w:rsid w:val="004C673E"/>
    <w:rsid w:val="004C69EE"/>
    <w:rsid w:val="004C6BD9"/>
    <w:rsid w:val="004C6CED"/>
    <w:rsid w:val="004C7B32"/>
    <w:rsid w:val="004C7B58"/>
    <w:rsid w:val="004C7C00"/>
    <w:rsid w:val="004D1735"/>
    <w:rsid w:val="004D1B6F"/>
    <w:rsid w:val="004D610F"/>
    <w:rsid w:val="004D6D66"/>
    <w:rsid w:val="004E0AA3"/>
    <w:rsid w:val="004E32CD"/>
    <w:rsid w:val="004E3AB5"/>
    <w:rsid w:val="004E3DC8"/>
    <w:rsid w:val="004E63DB"/>
    <w:rsid w:val="004E7420"/>
    <w:rsid w:val="004E7DC5"/>
    <w:rsid w:val="004F0789"/>
    <w:rsid w:val="004F145D"/>
    <w:rsid w:val="004F1E5C"/>
    <w:rsid w:val="004F345A"/>
    <w:rsid w:val="004F434C"/>
    <w:rsid w:val="00504BAD"/>
    <w:rsid w:val="0050583A"/>
    <w:rsid w:val="0050715E"/>
    <w:rsid w:val="00510A2E"/>
    <w:rsid w:val="0051528B"/>
    <w:rsid w:val="0051547E"/>
    <w:rsid w:val="0051578A"/>
    <w:rsid w:val="005157DA"/>
    <w:rsid w:val="00517B04"/>
    <w:rsid w:val="005322B7"/>
    <w:rsid w:val="00533BDB"/>
    <w:rsid w:val="00535448"/>
    <w:rsid w:val="0053557F"/>
    <w:rsid w:val="00541357"/>
    <w:rsid w:val="00541959"/>
    <w:rsid w:val="0054229A"/>
    <w:rsid w:val="005422E9"/>
    <w:rsid w:val="005438B2"/>
    <w:rsid w:val="00544384"/>
    <w:rsid w:val="00546F4F"/>
    <w:rsid w:val="005506D2"/>
    <w:rsid w:val="00551415"/>
    <w:rsid w:val="0055214A"/>
    <w:rsid w:val="00553095"/>
    <w:rsid w:val="00553E3F"/>
    <w:rsid w:val="00557556"/>
    <w:rsid w:val="00560AFD"/>
    <w:rsid w:val="005717FF"/>
    <w:rsid w:val="00572C00"/>
    <w:rsid w:val="0057320A"/>
    <w:rsid w:val="00574B41"/>
    <w:rsid w:val="005761F1"/>
    <w:rsid w:val="005774FD"/>
    <w:rsid w:val="00581250"/>
    <w:rsid w:val="00582567"/>
    <w:rsid w:val="00582DBC"/>
    <w:rsid w:val="00586317"/>
    <w:rsid w:val="0059083A"/>
    <w:rsid w:val="00591564"/>
    <w:rsid w:val="00592DC9"/>
    <w:rsid w:val="00593C94"/>
    <w:rsid w:val="00593EB4"/>
    <w:rsid w:val="00596B91"/>
    <w:rsid w:val="0059702D"/>
    <w:rsid w:val="005A00F3"/>
    <w:rsid w:val="005A0E99"/>
    <w:rsid w:val="005A256F"/>
    <w:rsid w:val="005A2E5C"/>
    <w:rsid w:val="005A3461"/>
    <w:rsid w:val="005A6169"/>
    <w:rsid w:val="005B3310"/>
    <w:rsid w:val="005B66B9"/>
    <w:rsid w:val="005B7AE4"/>
    <w:rsid w:val="005C3D4D"/>
    <w:rsid w:val="005C3DF0"/>
    <w:rsid w:val="005C7B64"/>
    <w:rsid w:val="005D4B8C"/>
    <w:rsid w:val="005D7383"/>
    <w:rsid w:val="005E1B3B"/>
    <w:rsid w:val="005E5289"/>
    <w:rsid w:val="005F27FB"/>
    <w:rsid w:val="005F37C1"/>
    <w:rsid w:val="005F517F"/>
    <w:rsid w:val="005F74D9"/>
    <w:rsid w:val="005F77A3"/>
    <w:rsid w:val="005F7B67"/>
    <w:rsid w:val="00600762"/>
    <w:rsid w:val="006064AB"/>
    <w:rsid w:val="00607F17"/>
    <w:rsid w:val="00610372"/>
    <w:rsid w:val="006119C2"/>
    <w:rsid w:val="00611BB6"/>
    <w:rsid w:val="00612F0E"/>
    <w:rsid w:val="006147D5"/>
    <w:rsid w:val="00614AF5"/>
    <w:rsid w:val="00615964"/>
    <w:rsid w:val="00620C58"/>
    <w:rsid w:val="006254E5"/>
    <w:rsid w:val="006354F0"/>
    <w:rsid w:val="00635DDF"/>
    <w:rsid w:val="00644FEA"/>
    <w:rsid w:val="00652B05"/>
    <w:rsid w:val="00652B5A"/>
    <w:rsid w:val="00654A75"/>
    <w:rsid w:val="00656D82"/>
    <w:rsid w:val="00657613"/>
    <w:rsid w:val="00660CA3"/>
    <w:rsid w:val="00661110"/>
    <w:rsid w:val="006637A8"/>
    <w:rsid w:val="00663D39"/>
    <w:rsid w:val="006667B0"/>
    <w:rsid w:val="00666D13"/>
    <w:rsid w:val="0067014C"/>
    <w:rsid w:val="0067431E"/>
    <w:rsid w:val="006847B0"/>
    <w:rsid w:val="00692107"/>
    <w:rsid w:val="00694E5C"/>
    <w:rsid w:val="00695411"/>
    <w:rsid w:val="006A1A04"/>
    <w:rsid w:val="006A1F19"/>
    <w:rsid w:val="006A297D"/>
    <w:rsid w:val="006A4927"/>
    <w:rsid w:val="006A5E8E"/>
    <w:rsid w:val="006A5FF1"/>
    <w:rsid w:val="006A69B9"/>
    <w:rsid w:val="006B09F1"/>
    <w:rsid w:val="006B1BA6"/>
    <w:rsid w:val="006B2021"/>
    <w:rsid w:val="006B3AFD"/>
    <w:rsid w:val="006B6132"/>
    <w:rsid w:val="006C2739"/>
    <w:rsid w:val="006C47AB"/>
    <w:rsid w:val="006C5219"/>
    <w:rsid w:val="006D051F"/>
    <w:rsid w:val="006D06A7"/>
    <w:rsid w:val="006D08B2"/>
    <w:rsid w:val="006D1CD7"/>
    <w:rsid w:val="006D5647"/>
    <w:rsid w:val="006D59FC"/>
    <w:rsid w:val="006D662E"/>
    <w:rsid w:val="006E0D11"/>
    <w:rsid w:val="006E28BE"/>
    <w:rsid w:val="006E4394"/>
    <w:rsid w:val="006E4A70"/>
    <w:rsid w:val="006E5260"/>
    <w:rsid w:val="006E5309"/>
    <w:rsid w:val="006E5D76"/>
    <w:rsid w:val="006E690F"/>
    <w:rsid w:val="006F1A8B"/>
    <w:rsid w:val="006F4815"/>
    <w:rsid w:val="006F6DFB"/>
    <w:rsid w:val="00705128"/>
    <w:rsid w:val="00705DC3"/>
    <w:rsid w:val="00707B38"/>
    <w:rsid w:val="00711870"/>
    <w:rsid w:val="00712596"/>
    <w:rsid w:val="00721219"/>
    <w:rsid w:val="00723AC5"/>
    <w:rsid w:val="0072646E"/>
    <w:rsid w:val="00730315"/>
    <w:rsid w:val="00732E0A"/>
    <w:rsid w:val="00734736"/>
    <w:rsid w:val="00735087"/>
    <w:rsid w:val="00737A64"/>
    <w:rsid w:val="00737F2F"/>
    <w:rsid w:val="007430BA"/>
    <w:rsid w:val="00744A6B"/>
    <w:rsid w:val="007460BC"/>
    <w:rsid w:val="007508B6"/>
    <w:rsid w:val="007526E1"/>
    <w:rsid w:val="0075489E"/>
    <w:rsid w:val="00763EEA"/>
    <w:rsid w:val="0076560A"/>
    <w:rsid w:val="007664CA"/>
    <w:rsid w:val="00766E62"/>
    <w:rsid w:val="00767CF3"/>
    <w:rsid w:val="00767F7A"/>
    <w:rsid w:val="007710BA"/>
    <w:rsid w:val="00771F38"/>
    <w:rsid w:val="00772109"/>
    <w:rsid w:val="00772391"/>
    <w:rsid w:val="00772B3C"/>
    <w:rsid w:val="00773FAA"/>
    <w:rsid w:val="007768F6"/>
    <w:rsid w:val="00781F39"/>
    <w:rsid w:val="0078379A"/>
    <w:rsid w:val="00784387"/>
    <w:rsid w:val="00785D05"/>
    <w:rsid w:val="00794C35"/>
    <w:rsid w:val="00794E49"/>
    <w:rsid w:val="007A2816"/>
    <w:rsid w:val="007A2FE5"/>
    <w:rsid w:val="007A3826"/>
    <w:rsid w:val="007A7B49"/>
    <w:rsid w:val="007B2D64"/>
    <w:rsid w:val="007B30FD"/>
    <w:rsid w:val="007B36D6"/>
    <w:rsid w:val="007B498C"/>
    <w:rsid w:val="007B595D"/>
    <w:rsid w:val="007C03FF"/>
    <w:rsid w:val="007C156D"/>
    <w:rsid w:val="007C2D09"/>
    <w:rsid w:val="007C3D76"/>
    <w:rsid w:val="007C4294"/>
    <w:rsid w:val="007C43DE"/>
    <w:rsid w:val="007D3784"/>
    <w:rsid w:val="007D4ACB"/>
    <w:rsid w:val="007D5251"/>
    <w:rsid w:val="007E1976"/>
    <w:rsid w:val="007E1C82"/>
    <w:rsid w:val="007E519B"/>
    <w:rsid w:val="007E686D"/>
    <w:rsid w:val="007F070C"/>
    <w:rsid w:val="007F2545"/>
    <w:rsid w:val="007F4FEA"/>
    <w:rsid w:val="007F5DBB"/>
    <w:rsid w:val="00800EEF"/>
    <w:rsid w:val="00801819"/>
    <w:rsid w:val="0080458F"/>
    <w:rsid w:val="008045BE"/>
    <w:rsid w:val="008073CA"/>
    <w:rsid w:val="0081579A"/>
    <w:rsid w:val="00817552"/>
    <w:rsid w:val="0081765A"/>
    <w:rsid w:val="00820D33"/>
    <w:rsid w:val="008307B1"/>
    <w:rsid w:val="00834839"/>
    <w:rsid w:val="008370F8"/>
    <w:rsid w:val="008413F2"/>
    <w:rsid w:val="00844364"/>
    <w:rsid w:val="00844876"/>
    <w:rsid w:val="00846390"/>
    <w:rsid w:val="0084662A"/>
    <w:rsid w:val="008471B9"/>
    <w:rsid w:val="008474C8"/>
    <w:rsid w:val="00847D93"/>
    <w:rsid w:val="00852A21"/>
    <w:rsid w:val="008619E6"/>
    <w:rsid w:val="00861C8C"/>
    <w:rsid w:val="008635ED"/>
    <w:rsid w:val="0086541D"/>
    <w:rsid w:val="008678EC"/>
    <w:rsid w:val="0087063A"/>
    <w:rsid w:val="00870771"/>
    <w:rsid w:val="008710D4"/>
    <w:rsid w:val="00875B8F"/>
    <w:rsid w:val="0088114F"/>
    <w:rsid w:val="008857FC"/>
    <w:rsid w:val="0088740E"/>
    <w:rsid w:val="008922A0"/>
    <w:rsid w:val="008965F2"/>
    <w:rsid w:val="00896621"/>
    <w:rsid w:val="008976CD"/>
    <w:rsid w:val="008A3132"/>
    <w:rsid w:val="008A7B76"/>
    <w:rsid w:val="008B36C7"/>
    <w:rsid w:val="008C04D6"/>
    <w:rsid w:val="008C04E0"/>
    <w:rsid w:val="008C2071"/>
    <w:rsid w:val="008C4784"/>
    <w:rsid w:val="008C4A38"/>
    <w:rsid w:val="008C6B60"/>
    <w:rsid w:val="008C6F45"/>
    <w:rsid w:val="008D0313"/>
    <w:rsid w:val="008D12CD"/>
    <w:rsid w:val="008D2B33"/>
    <w:rsid w:val="008D58D5"/>
    <w:rsid w:val="008D6B15"/>
    <w:rsid w:val="008E15F8"/>
    <w:rsid w:val="008E2C81"/>
    <w:rsid w:val="008E35A8"/>
    <w:rsid w:val="008E3EF5"/>
    <w:rsid w:val="008E48F7"/>
    <w:rsid w:val="008E56DD"/>
    <w:rsid w:val="008E6D75"/>
    <w:rsid w:val="008F3430"/>
    <w:rsid w:val="00901798"/>
    <w:rsid w:val="00902ECE"/>
    <w:rsid w:val="009038CD"/>
    <w:rsid w:val="00903C68"/>
    <w:rsid w:val="009044FF"/>
    <w:rsid w:val="00905686"/>
    <w:rsid w:val="00906566"/>
    <w:rsid w:val="00910BCE"/>
    <w:rsid w:val="00911A14"/>
    <w:rsid w:val="00911BD6"/>
    <w:rsid w:val="009134F1"/>
    <w:rsid w:val="00914458"/>
    <w:rsid w:val="0092586C"/>
    <w:rsid w:val="00927527"/>
    <w:rsid w:val="009275A1"/>
    <w:rsid w:val="009346D7"/>
    <w:rsid w:val="0093695E"/>
    <w:rsid w:val="00936FE2"/>
    <w:rsid w:val="0094211E"/>
    <w:rsid w:val="009468B9"/>
    <w:rsid w:val="009470B9"/>
    <w:rsid w:val="00951414"/>
    <w:rsid w:val="00951C8D"/>
    <w:rsid w:val="00954326"/>
    <w:rsid w:val="00956476"/>
    <w:rsid w:val="009574C3"/>
    <w:rsid w:val="009576A4"/>
    <w:rsid w:val="00957854"/>
    <w:rsid w:val="00960371"/>
    <w:rsid w:val="00963771"/>
    <w:rsid w:val="00966CFE"/>
    <w:rsid w:val="009722EC"/>
    <w:rsid w:val="009765D0"/>
    <w:rsid w:val="009812CA"/>
    <w:rsid w:val="0098652A"/>
    <w:rsid w:val="00986F64"/>
    <w:rsid w:val="009924D5"/>
    <w:rsid w:val="00992509"/>
    <w:rsid w:val="00994E43"/>
    <w:rsid w:val="00997614"/>
    <w:rsid w:val="009A0512"/>
    <w:rsid w:val="009A0BB5"/>
    <w:rsid w:val="009A3436"/>
    <w:rsid w:val="009A6FD2"/>
    <w:rsid w:val="009B0A8D"/>
    <w:rsid w:val="009B0CA2"/>
    <w:rsid w:val="009B0D13"/>
    <w:rsid w:val="009B6C73"/>
    <w:rsid w:val="009B7634"/>
    <w:rsid w:val="009C0563"/>
    <w:rsid w:val="009C35E2"/>
    <w:rsid w:val="009C533C"/>
    <w:rsid w:val="009D254B"/>
    <w:rsid w:val="009D4BE5"/>
    <w:rsid w:val="009D520F"/>
    <w:rsid w:val="009D76BD"/>
    <w:rsid w:val="009E04EC"/>
    <w:rsid w:val="009E0EDA"/>
    <w:rsid w:val="009E2013"/>
    <w:rsid w:val="009E3A3B"/>
    <w:rsid w:val="009E415C"/>
    <w:rsid w:val="009E6127"/>
    <w:rsid w:val="009E68F1"/>
    <w:rsid w:val="009E76E3"/>
    <w:rsid w:val="009E7F77"/>
    <w:rsid w:val="009F37A3"/>
    <w:rsid w:val="009F744C"/>
    <w:rsid w:val="00A00AF9"/>
    <w:rsid w:val="00A01EAE"/>
    <w:rsid w:val="00A024C9"/>
    <w:rsid w:val="00A02A74"/>
    <w:rsid w:val="00A03767"/>
    <w:rsid w:val="00A03EE7"/>
    <w:rsid w:val="00A04F43"/>
    <w:rsid w:val="00A06235"/>
    <w:rsid w:val="00A0636C"/>
    <w:rsid w:val="00A10914"/>
    <w:rsid w:val="00A11F67"/>
    <w:rsid w:val="00A20CA1"/>
    <w:rsid w:val="00A21AD9"/>
    <w:rsid w:val="00A2686C"/>
    <w:rsid w:val="00A27315"/>
    <w:rsid w:val="00A32181"/>
    <w:rsid w:val="00A33BED"/>
    <w:rsid w:val="00A358F1"/>
    <w:rsid w:val="00A37689"/>
    <w:rsid w:val="00A41050"/>
    <w:rsid w:val="00A41145"/>
    <w:rsid w:val="00A4126C"/>
    <w:rsid w:val="00A45BD3"/>
    <w:rsid w:val="00A461DD"/>
    <w:rsid w:val="00A46A50"/>
    <w:rsid w:val="00A46F9D"/>
    <w:rsid w:val="00A53C50"/>
    <w:rsid w:val="00A53F96"/>
    <w:rsid w:val="00A56357"/>
    <w:rsid w:val="00A5783D"/>
    <w:rsid w:val="00A612D1"/>
    <w:rsid w:val="00A61396"/>
    <w:rsid w:val="00A6148D"/>
    <w:rsid w:val="00A61B9C"/>
    <w:rsid w:val="00A64617"/>
    <w:rsid w:val="00A64C68"/>
    <w:rsid w:val="00A66D00"/>
    <w:rsid w:val="00A70B14"/>
    <w:rsid w:val="00A749F7"/>
    <w:rsid w:val="00A74A74"/>
    <w:rsid w:val="00A82501"/>
    <w:rsid w:val="00A8727E"/>
    <w:rsid w:val="00A93088"/>
    <w:rsid w:val="00A9672C"/>
    <w:rsid w:val="00AA2A31"/>
    <w:rsid w:val="00AA7F0C"/>
    <w:rsid w:val="00AB2448"/>
    <w:rsid w:val="00AB3563"/>
    <w:rsid w:val="00AB67CA"/>
    <w:rsid w:val="00AC0B41"/>
    <w:rsid w:val="00AC21F7"/>
    <w:rsid w:val="00AD306F"/>
    <w:rsid w:val="00AD3765"/>
    <w:rsid w:val="00AD6DBF"/>
    <w:rsid w:val="00AD7CC4"/>
    <w:rsid w:val="00AE123E"/>
    <w:rsid w:val="00AE2BFC"/>
    <w:rsid w:val="00AE482C"/>
    <w:rsid w:val="00AE48AD"/>
    <w:rsid w:val="00AE4A1E"/>
    <w:rsid w:val="00AE5008"/>
    <w:rsid w:val="00AF0045"/>
    <w:rsid w:val="00AF26EF"/>
    <w:rsid w:val="00AF3D8A"/>
    <w:rsid w:val="00AF6CCB"/>
    <w:rsid w:val="00B00CE8"/>
    <w:rsid w:val="00B04958"/>
    <w:rsid w:val="00B12A7F"/>
    <w:rsid w:val="00B148E1"/>
    <w:rsid w:val="00B30AF2"/>
    <w:rsid w:val="00B32675"/>
    <w:rsid w:val="00B32727"/>
    <w:rsid w:val="00B33C67"/>
    <w:rsid w:val="00B378DC"/>
    <w:rsid w:val="00B45C52"/>
    <w:rsid w:val="00B5108C"/>
    <w:rsid w:val="00B534BF"/>
    <w:rsid w:val="00B54121"/>
    <w:rsid w:val="00B56BD8"/>
    <w:rsid w:val="00B61107"/>
    <w:rsid w:val="00B622BA"/>
    <w:rsid w:val="00B62AC0"/>
    <w:rsid w:val="00B7289A"/>
    <w:rsid w:val="00B75111"/>
    <w:rsid w:val="00B80851"/>
    <w:rsid w:val="00B82496"/>
    <w:rsid w:val="00B86B60"/>
    <w:rsid w:val="00B9009E"/>
    <w:rsid w:val="00B92227"/>
    <w:rsid w:val="00B93906"/>
    <w:rsid w:val="00B96245"/>
    <w:rsid w:val="00B96915"/>
    <w:rsid w:val="00BA143B"/>
    <w:rsid w:val="00BA3245"/>
    <w:rsid w:val="00BA5964"/>
    <w:rsid w:val="00BB4396"/>
    <w:rsid w:val="00BB5CFA"/>
    <w:rsid w:val="00BB654B"/>
    <w:rsid w:val="00BC19B0"/>
    <w:rsid w:val="00BC25C7"/>
    <w:rsid w:val="00BC309E"/>
    <w:rsid w:val="00BC3D4D"/>
    <w:rsid w:val="00BC41D2"/>
    <w:rsid w:val="00BC4AAB"/>
    <w:rsid w:val="00BC4B87"/>
    <w:rsid w:val="00BC584B"/>
    <w:rsid w:val="00BC5C64"/>
    <w:rsid w:val="00BC6529"/>
    <w:rsid w:val="00BD2025"/>
    <w:rsid w:val="00BD3662"/>
    <w:rsid w:val="00BD58E3"/>
    <w:rsid w:val="00BE3A79"/>
    <w:rsid w:val="00BE662C"/>
    <w:rsid w:val="00BE6F48"/>
    <w:rsid w:val="00BF0136"/>
    <w:rsid w:val="00BF3D66"/>
    <w:rsid w:val="00BF3E1D"/>
    <w:rsid w:val="00BF3F33"/>
    <w:rsid w:val="00BF4208"/>
    <w:rsid w:val="00BF539F"/>
    <w:rsid w:val="00BF5D76"/>
    <w:rsid w:val="00C00190"/>
    <w:rsid w:val="00C0023F"/>
    <w:rsid w:val="00C00A04"/>
    <w:rsid w:val="00C01DF9"/>
    <w:rsid w:val="00C025D1"/>
    <w:rsid w:val="00C03EB6"/>
    <w:rsid w:val="00C06E23"/>
    <w:rsid w:val="00C07B22"/>
    <w:rsid w:val="00C107D8"/>
    <w:rsid w:val="00C1407F"/>
    <w:rsid w:val="00C14501"/>
    <w:rsid w:val="00C148E9"/>
    <w:rsid w:val="00C20059"/>
    <w:rsid w:val="00C27919"/>
    <w:rsid w:val="00C3343A"/>
    <w:rsid w:val="00C33A13"/>
    <w:rsid w:val="00C36FEF"/>
    <w:rsid w:val="00C373D9"/>
    <w:rsid w:val="00C45277"/>
    <w:rsid w:val="00C45F28"/>
    <w:rsid w:val="00C507ED"/>
    <w:rsid w:val="00C53FE1"/>
    <w:rsid w:val="00C5696A"/>
    <w:rsid w:val="00C61187"/>
    <w:rsid w:val="00C61952"/>
    <w:rsid w:val="00C61B41"/>
    <w:rsid w:val="00C64783"/>
    <w:rsid w:val="00C64A37"/>
    <w:rsid w:val="00C67D77"/>
    <w:rsid w:val="00C67E39"/>
    <w:rsid w:val="00C7103E"/>
    <w:rsid w:val="00C736DD"/>
    <w:rsid w:val="00C76918"/>
    <w:rsid w:val="00C82B78"/>
    <w:rsid w:val="00C82D3B"/>
    <w:rsid w:val="00C85505"/>
    <w:rsid w:val="00C85A44"/>
    <w:rsid w:val="00C85E48"/>
    <w:rsid w:val="00C86E2D"/>
    <w:rsid w:val="00C8727D"/>
    <w:rsid w:val="00C90234"/>
    <w:rsid w:val="00C90D73"/>
    <w:rsid w:val="00C94514"/>
    <w:rsid w:val="00C96A64"/>
    <w:rsid w:val="00CA2D7E"/>
    <w:rsid w:val="00CA4867"/>
    <w:rsid w:val="00CA5686"/>
    <w:rsid w:val="00CA652B"/>
    <w:rsid w:val="00CA6FC6"/>
    <w:rsid w:val="00CB1E5A"/>
    <w:rsid w:val="00CB3B10"/>
    <w:rsid w:val="00CC0B14"/>
    <w:rsid w:val="00CC282C"/>
    <w:rsid w:val="00CC3767"/>
    <w:rsid w:val="00CC748B"/>
    <w:rsid w:val="00CD5DEC"/>
    <w:rsid w:val="00CE2F6E"/>
    <w:rsid w:val="00CE474A"/>
    <w:rsid w:val="00CF489E"/>
    <w:rsid w:val="00CF56DE"/>
    <w:rsid w:val="00CF5F65"/>
    <w:rsid w:val="00D004FC"/>
    <w:rsid w:val="00D00EA6"/>
    <w:rsid w:val="00D04844"/>
    <w:rsid w:val="00D0684C"/>
    <w:rsid w:val="00D156CE"/>
    <w:rsid w:val="00D15F6D"/>
    <w:rsid w:val="00D16EB1"/>
    <w:rsid w:val="00D179FB"/>
    <w:rsid w:val="00D21703"/>
    <w:rsid w:val="00D27384"/>
    <w:rsid w:val="00D276CB"/>
    <w:rsid w:val="00D322E9"/>
    <w:rsid w:val="00D3286C"/>
    <w:rsid w:val="00D34D8A"/>
    <w:rsid w:val="00D35863"/>
    <w:rsid w:val="00D421E7"/>
    <w:rsid w:val="00D44577"/>
    <w:rsid w:val="00D46C78"/>
    <w:rsid w:val="00D46D2E"/>
    <w:rsid w:val="00D52781"/>
    <w:rsid w:val="00D55261"/>
    <w:rsid w:val="00D5723B"/>
    <w:rsid w:val="00D6063F"/>
    <w:rsid w:val="00D60DD5"/>
    <w:rsid w:val="00D65611"/>
    <w:rsid w:val="00D665ED"/>
    <w:rsid w:val="00D7417D"/>
    <w:rsid w:val="00D810F8"/>
    <w:rsid w:val="00D82717"/>
    <w:rsid w:val="00D8285D"/>
    <w:rsid w:val="00D82ABA"/>
    <w:rsid w:val="00D87AE7"/>
    <w:rsid w:val="00D90B06"/>
    <w:rsid w:val="00D96296"/>
    <w:rsid w:val="00D97310"/>
    <w:rsid w:val="00D97717"/>
    <w:rsid w:val="00DA08E7"/>
    <w:rsid w:val="00DA5261"/>
    <w:rsid w:val="00DA580D"/>
    <w:rsid w:val="00DA7CFE"/>
    <w:rsid w:val="00DB193F"/>
    <w:rsid w:val="00DB3E35"/>
    <w:rsid w:val="00DB4165"/>
    <w:rsid w:val="00DB5A9F"/>
    <w:rsid w:val="00DB6781"/>
    <w:rsid w:val="00DC1B39"/>
    <w:rsid w:val="00DC313D"/>
    <w:rsid w:val="00DD0546"/>
    <w:rsid w:val="00DD06FB"/>
    <w:rsid w:val="00DD0881"/>
    <w:rsid w:val="00DD182F"/>
    <w:rsid w:val="00DD3EEE"/>
    <w:rsid w:val="00DD51B5"/>
    <w:rsid w:val="00DE6AA3"/>
    <w:rsid w:val="00DF364C"/>
    <w:rsid w:val="00DF3C25"/>
    <w:rsid w:val="00DF4C87"/>
    <w:rsid w:val="00DF522C"/>
    <w:rsid w:val="00DF7528"/>
    <w:rsid w:val="00E0110C"/>
    <w:rsid w:val="00E101A4"/>
    <w:rsid w:val="00E10661"/>
    <w:rsid w:val="00E10B9A"/>
    <w:rsid w:val="00E1531D"/>
    <w:rsid w:val="00E16B0A"/>
    <w:rsid w:val="00E21910"/>
    <w:rsid w:val="00E23BC6"/>
    <w:rsid w:val="00E25058"/>
    <w:rsid w:val="00E26579"/>
    <w:rsid w:val="00E27110"/>
    <w:rsid w:val="00E32CCA"/>
    <w:rsid w:val="00E34862"/>
    <w:rsid w:val="00E41094"/>
    <w:rsid w:val="00E412ED"/>
    <w:rsid w:val="00E441C1"/>
    <w:rsid w:val="00E46862"/>
    <w:rsid w:val="00E4714B"/>
    <w:rsid w:val="00E50586"/>
    <w:rsid w:val="00E51A2A"/>
    <w:rsid w:val="00E54C11"/>
    <w:rsid w:val="00E5512E"/>
    <w:rsid w:val="00E57803"/>
    <w:rsid w:val="00E57A05"/>
    <w:rsid w:val="00E64EC2"/>
    <w:rsid w:val="00E6556B"/>
    <w:rsid w:val="00E66509"/>
    <w:rsid w:val="00E6682D"/>
    <w:rsid w:val="00E67163"/>
    <w:rsid w:val="00E67689"/>
    <w:rsid w:val="00E7016F"/>
    <w:rsid w:val="00E740B9"/>
    <w:rsid w:val="00E74275"/>
    <w:rsid w:val="00E75C94"/>
    <w:rsid w:val="00E761B7"/>
    <w:rsid w:val="00E770EF"/>
    <w:rsid w:val="00E810E1"/>
    <w:rsid w:val="00E81870"/>
    <w:rsid w:val="00E81B4D"/>
    <w:rsid w:val="00E82FDF"/>
    <w:rsid w:val="00E8352D"/>
    <w:rsid w:val="00E86653"/>
    <w:rsid w:val="00E90F3B"/>
    <w:rsid w:val="00E94E04"/>
    <w:rsid w:val="00E962BE"/>
    <w:rsid w:val="00EA29AE"/>
    <w:rsid w:val="00EA35CF"/>
    <w:rsid w:val="00EA4471"/>
    <w:rsid w:val="00EA4E1C"/>
    <w:rsid w:val="00EA7138"/>
    <w:rsid w:val="00EB60BA"/>
    <w:rsid w:val="00EC3C51"/>
    <w:rsid w:val="00ED106D"/>
    <w:rsid w:val="00ED16A4"/>
    <w:rsid w:val="00ED2281"/>
    <w:rsid w:val="00ED22CF"/>
    <w:rsid w:val="00ED2443"/>
    <w:rsid w:val="00ED6627"/>
    <w:rsid w:val="00ED6E9E"/>
    <w:rsid w:val="00ED718E"/>
    <w:rsid w:val="00ED7485"/>
    <w:rsid w:val="00EE1C93"/>
    <w:rsid w:val="00EE1DCD"/>
    <w:rsid w:val="00EE4006"/>
    <w:rsid w:val="00EE5ABD"/>
    <w:rsid w:val="00EF486B"/>
    <w:rsid w:val="00EF531A"/>
    <w:rsid w:val="00F01AAC"/>
    <w:rsid w:val="00F048D7"/>
    <w:rsid w:val="00F05F45"/>
    <w:rsid w:val="00F06784"/>
    <w:rsid w:val="00F06DFC"/>
    <w:rsid w:val="00F11CF3"/>
    <w:rsid w:val="00F13B88"/>
    <w:rsid w:val="00F148FC"/>
    <w:rsid w:val="00F162A0"/>
    <w:rsid w:val="00F178BF"/>
    <w:rsid w:val="00F1790F"/>
    <w:rsid w:val="00F216DE"/>
    <w:rsid w:val="00F243C4"/>
    <w:rsid w:val="00F27DF7"/>
    <w:rsid w:val="00F307D1"/>
    <w:rsid w:val="00F31673"/>
    <w:rsid w:val="00F31EC8"/>
    <w:rsid w:val="00F3457B"/>
    <w:rsid w:val="00F3475A"/>
    <w:rsid w:val="00F352EF"/>
    <w:rsid w:val="00F35B26"/>
    <w:rsid w:val="00F36194"/>
    <w:rsid w:val="00F3677C"/>
    <w:rsid w:val="00F400F0"/>
    <w:rsid w:val="00F4182A"/>
    <w:rsid w:val="00F45024"/>
    <w:rsid w:val="00F46499"/>
    <w:rsid w:val="00F47FBA"/>
    <w:rsid w:val="00F5705B"/>
    <w:rsid w:val="00F65900"/>
    <w:rsid w:val="00F6653C"/>
    <w:rsid w:val="00F742B9"/>
    <w:rsid w:val="00F75BF1"/>
    <w:rsid w:val="00F77866"/>
    <w:rsid w:val="00F8260E"/>
    <w:rsid w:val="00F8377C"/>
    <w:rsid w:val="00F8454A"/>
    <w:rsid w:val="00F85920"/>
    <w:rsid w:val="00F86982"/>
    <w:rsid w:val="00F92D14"/>
    <w:rsid w:val="00F93437"/>
    <w:rsid w:val="00FA5B25"/>
    <w:rsid w:val="00FA5C24"/>
    <w:rsid w:val="00FA6722"/>
    <w:rsid w:val="00FB0ABB"/>
    <w:rsid w:val="00FB22D7"/>
    <w:rsid w:val="00FB377D"/>
    <w:rsid w:val="00FB381E"/>
    <w:rsid w:val="00FB39CC"/>
    <w:rsid w:val="00FB4A39"/>
    <w:rsid w:val="00FB566C"/>
    <w:rsid w:val="00FB6BA8"/>
    <w:rsid w:val="00FC1668"/>
    <w:rsid w:val="00FC4255"/>
    <w:rsid w:val="00FC7D85"/>
    <w:rsid w:val="00FD7FB4"/>
    <w:rsid w:val="00FE17F5"/>
    <w:rsid w:val="00FE74E8"/>
    <w:rsid w:val="00FF0130"/>
    <w:rsid w:val="00FF125E"/>
    <w:rsid w:val="00FF1DB7"/>
    <w:rsid w:val="00FF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FF3D3-D666-4148-8043-E97DF97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7F"/>
    <w:pPr>
      <w:spacing w:after="0" w:line="240" w:lineRule="auto"/>
    </w:pPr>
    <w:rPr>
      <w:rFonts w:ascii="Times New Roman" w:eastAsiaTheme="minorEastAsia" w:hAnsi="Times New Roman" w:cs="Times New Roman"/>
      <w:sz w:val="24"/>
      <w:szCs w:val="24"/>
      <w:lang w:val="en-AU" w:eastAsia="zh-CN" w:bidi="th-TH"/>
    </w:rPr>
  </w:style>
  <w:style w:type="paragraph" w:styleId="Heading1">
    <w:name w:val="heading 1"/>
    <w:basedOn w:val="Normal"/>
    <w:next w:val="Normal"/>
    <w:link w:val="Heading1Char"/>
    <w:uiPriority w:val="9"/>
    <w:qFormat/>
    <w:rsid w:val="00772391"/>
    <w:pPr>
      <w:jc w:val="center"/>
      <w:outlineLvl w:val="0"/>
    </w:pPr>
    <w:rPr>
      <w:rFonts w:eastAsia="SimSun"/>
      <w:b/>
      <w:caps/>
      <w:sz w:val="28"/>
      <w:szCs w:val="28"/>
      <w:lang w:val="en-US"/>
    </w:rPr>
  </w:style>
  <w:style w:type="paragraph" w:styleId="Heading2">
    <w:name w:val="heading 2"/>
    <w:basedOn w:val="Normal"/>
    <w:next w:val="Normal"/>
    <w:link w:val="Heading2Char"/>
    <w:uiPriority w:val="9"/>
    <w:unhideWhenUsed/>
    <w:qFormat/>
    <w:rsid w:val="00307BCB"/>
    <w:pPr>
      <w:jc w:val="center"/>
      <w:outlineLvl w:val="1"/>
    </w:pPr>
    <w:rPr>
      <w:i/>
    </w:rPr>
  </w:style>
  <w:style w:type="paragraph" w:styleId="Heading3">
    <w:name w:val="heading 3"/>
    <w:basedOn w:val="Normal"/>
    <w:next w:val="Normal"/>
    <w:link w:val="Heading3Char"/>
    <w:uiPriority w:val="9"/>
    <w:unhideWhenUsed/>
    <w:qFormat/>
    <w:rsid w:val="00861C8C"/>
    <w:pPr>
      <w:jc w:val="both"/>
      <w:outlineLvl w:val="2"/>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BCB"/>
    <w:rPr>
      <w:rFonts w:ascii="Times New Roman" w:eastAsiaTheme="minorEastAsia" w:hAnsi="Times New Roman" w:cs="Times New Roman"/>
      <w:i/>
      <w:sz w:val="24"/>
      <w:szCs w:val="24"/>
      <w:lang w:val="en-AU" w:eastAsia="zh-CN" w:bidi="th-TH"/>
    </w:rPr>
  </w:style>
  <w:style w:type="paragraph" w:styleId="EndnoteText">
    <w:name w:val="endnote text"/>
    <w:basedOn w:val="Normal"/>
    <w:link w:val="EndnoteTextChar"/>
    <w:unhideWhenUsed/>
    <w:rsid w:val="001B117F"/>
    <w:rPr>
      <w:rFonts w:cs="Angsana New"/>
      <w:sz w:val="20"/>
      <w:szCs w:val="25"/>
    </w:rPr>
  </w:style>
  <w:style w:type="character" w:customStyle="1" w:styleId="EndnoteTextChar">
    <w:name w:val="Endnote Text Char"/>
    <w:basedOn w:val="DefaultParagraphFont"/>
    <w:link w:val="EndnoteText"/>
    <w:rsid w:val="001B117F"/>
    <w:rPr>
      <w:rFonts w:ascii="Times New Roman" w:eastAsiaTheme="minorEastAsia" w:hAnsi="Times New Roman" w:cs="Angsana New"/>
      <w:sz w:val="20"/>
      <w:szCs w:val="25"/>
      <w:lang w:val="en-AU" w:eastAsia="zh-CN" w:bidi="th-TH"/>
    </w:rPr>
  </w:style>
  <w:style w:type="character" w:styleId="EndnoteReference">
    <w:name w:val="endnote reference"/>
    <w:basedOn w:val="DefaultParagraphFont"/>
    <w:unhideWhenUsed/>
    <w:rsid w:val="001B117F"/>
    <w:rPr>
      <w:vertAlign w:val="superscript"/>
    </w:rPr>
  </w:style>
  <w:style w:type="paragraph" w:styleId="Header">
    <w:name w:val="header"/>
    <w:basedOn w:val="Normal"/>
    <w:link w:val="HeaderChar"/>
    <w:unhideWhenUsed/>
    <w:rsid w:val="001B117F"/>
    <w:pPr>
      <w:tabs>
        <w:tab w:val="center" w:pos="4513"/>
        <w:tab w:val="right" w:pos="9026"/>
      </w:tabs>
    </w:pPr>
    <w:rPr>
      <w:rFonts w:cs="Angsana New"/>
      <w:szCs w:val="30"/>
    </w:rPr>
  </w:style>
  <w:style w:type="character" w:customStyle="1" w:styleId="HeaderChar">
    <w:name w:val="Header Char"/>
    <w:basedOn w:val="DefaultParagraphFont"/>
    <w:link w:val="Header"/>
    <w:rsid w:val="001B117F"/>
    <w:rPr>
      <w:rFonts w:ascii="Times New Roman" w:eastAsiaTheme="minorEastAsia" w:hAnsi="Times New Roman" w:cs="Angsana New"/>
      <w:sz w:val="24"/>
      <w:szCs w:val="30"/>
      <w:lang w:val="en-AU" w:eastAsia="zh-CN" w:bidi="th-TH"/>
    </w:rPr>
  </w:style>
  <w:style w:type="paragraph" w:styleId="Footer">
    <w:name w:val="footer"/>
    <w:basedOn w:val="Normal"/>
    <w:link w:val="FooterChar"/>
    <w:uiPriority w:val="99"/>
    <w:unhideWhenUsed/>
    <w:rsid w:val="001B117F"/>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1B117F"/>
    <w:rPr>
      <w:rFonts w:ascii="Times New Roman" w:eastAsiaTheme="minorEastAsia" w:hAnsi="Times New Roman" w:cs="Angsana New"/>
      <w:sz w:val="24"/>
      <w:szCs w:val="30"/>
      <w:lang w:val="en-AU" w:eastAsia="zh-CN" w:bidi="th-TH"/>
    </w:rPr>
  </w:style>
  <w:style w:type="character" w:customStyle="1" w:styleId="Heading1Char">
    <w:name w:val="Heading 1 Char"/>
    <w:basedOn w:val="DefaultParagraphFont"/>
    <w:link w:val="Heading1"/>
    <w:uiPriority w:val="9"/>
    <w:rsid w:val="00772391"/>
    <w:rPr>
      <w:rFonts w:ascii="Times New Roman" w:eastAsia="SimSun" w:hAnsi="Times New Roman" w:cs="Times New Roman"/>
      <w:b/>
      <w:caps/>
      <w:sz w:val="28"/>
      <w:szCs w:val="28"/>
      <w:lang w:val="en-US" w:eastAsia="zh-CN" w:bidi="th-TH"/>
    </w:rPr>
  </w:style>
  <w:style w:type="character" w:customStyle="1" w:styleId="Heading3Char">
    <w:name w:val="Heading 3 Char"/>
    <w:basedOn w:val="DefaultParagraphFont"/>
    <w:link w:val="Heading3"/>
    <w:uiPriority w:val="9"/>
    <w:rsid w:val="00861C8C"/>
    <w:rPr>
      <w:rFonts w:ascii="Times New Roman" w:eastAsiaTheme="minorEastAsia" w:hAnsi="Times New Roman" w:cs="Times New Roman"/>
      <w:i/>
      <w:sz w:val="24"/>
      <w:szCs w:val="24"/>
      <w:lang w:val="en-US" w:eastAsia="zh-CN" w:bidi="th-TH"/>
    </w:rPr>
  </w:style>
  <w:style w:type="character" w:styleId="Strong">
    <w:name w:val="Strong"/>
    <w:qFormat/>
    <w:rsid w:val="005157DA"/>
    <w:rPr>
      <w:b/>
      <w:bCs/>
    </w:rPr>
  </w:style>
  <w:style w:type="character" w:styleId="Hyperlink">
    <w:name w:val="Hyperlink"/>
    <w:basedOn w:val="DefaultParagraphFont"/>
    <w:uiPriority w:val="99"/>
    <w:unhideWhenUsed/>
    <w:rsid w:val="005157DA"/>
    <w:rPr>
      <w:color w:val="0000FF" w:themeColor="hyperlink"/>
      <w:u w:val="single"/>
    </w:rPr>
  </w:style>
  <w:style w:type="paragraph" w:styleId="PlainText">
    <w:name w:val="Plain Text"/>
    <w:basedOn w:val="Normal"/>
    <w:link w:val="PlainTextChar"/>
    <w:uiPriority w:val="99"/>
    <w:unhideWhenUsed/>
    <w:rsid w:val="005157DA"/>
    <w:rPr>
      <w:rFonts w:ascii="Calibri" w:eastAsiaTheme="minorHAnsi" w:hAnsi="Calibri" w:cstheme="minorBidi"/>
      <w:sz w:val="22"/>
      <w:szCs w:val="21"/>
      <w:lang w:eastAsia="en-US" w:bidi="ar-SA"/>
    </w:rPr>
  </w:style>
  <w:style w:type="character" w:customStyle="1" w:styleId="PlainTextChar">
    <w:name w:val="Plain Text Char"/>
    <w:basedOn w:val="DefaultParagraphFont"/>
    <w:link w:val="PlainText"/>
    <w:uiPriority w:val="99"/>
    <w:rsid w:val="005157DA"/>
    <w:rPr>
      <w:rFonts w:ascii="Calibri" w:hAnsi="Calibri"/>
      <w:szCs w:val="21"/>
      <w:lang w:val="en-AU"/>
    </w:rPr>
  </w:style>
  <w:style w:type="paragraph" w:styleId="CommentText">
    <w:name w:val="annotation text"/>
    <w:basedOn w:val="Normal"/>
    <w:link w:val="CommentTextChar"/>
    <w:semiHidden/>
    <w:rsid w:val="005157DA"/>
    <w:rPr>
      <w:rFonts w:eastAsia="Times New Roman"/>
      <w:sz w:val="20"/>
      <w:szCs w:val="20"/>
      <w:lang w:eastAsia="en-AU" w:bidi="ar-SA"/>
    </w:rPr>
  </w:style>
  <w:style w:type="character" w:customStyle="1" w:styleId="CommentTextChar">
    <w:name w:val="Comment Text Char"/>
    <w:basedOn w:val="DefaultParagraphFont"/>
    <w:link w:val="CommentText"/>
    <w:semiHidden/>
    <w:rsid w:val="005157DA"/>
    <w:rPr>
      <w:rFonts w:ascii="Times New Roman" w:eastAsia="Times New Roman" w:hAnsi="Times New Roman" w:cs="Times New Roman"/>
      <w:sz w:val="20"/>
      <w:szCs w:val="20"/>
      <w:lang w:val="en-AU" w:eastAsia="en-AU"/>
    </w:rPr>
  </w:style>
  <w:style w:type="paragraph" w:styleId="ListParagraph">
    <w:name w:val="List Paragraph"/>
    <w:basedOn w:val="Normal"/>
    <w:uiPriority w:val="34"/>
    <w:qFormat/>
    <w:rsid w:val="005157DA"/>
    <w:pPr>
      <w:ind w:left="720"/>
      <w:contextualSpacing/>
    </w:pPr>
    <w:rPr>
      <w:rFonts w:cs="Angsana New"/>
      <w:szCs w:val="30"/>
    </w:rPr>
  </w:style>
  <w:style w:type="character" w:styleId="FollowedHyperlink">
    <w:name w:val="FollowedHyperlink"/>
    <w:basedOn w:val="DefaultParagraphFont"/>
    <w:uiPriority w:val="99"/>
    <w:semiHidden/>
    <w:unhideWhenUsed/>
    <w:rsid w:val="005157DA"/>
    <w:rPr>
      <w:color w:val="800080" w:themeColor="followedHyperlink"/>
      <w:u w:val="single"/>
    </w:rPr>
  </w:style>
  <w:style w:type="paragraph" w:styleId="NormalWeb">
    <w:name w:val="Normal (Web)"/>
    <w:basedOn w:val="Normal"/>
    <w:uiPriority w:val="99"/>
    <w:semiHidden/>
    <w:unhideWhenUsed/>
    <w:rsid w:val="005157DA"/>
    <w:pPr>
      <w:spacing w:before="100" w:beforeAutospacing="1" w:after="100" w:afterAutospacing="1"/>
    </w:pPr>
    <w:rPr>
      <w:rFonts w:eastAsiaTheme="minorHAnsi"/>
      <w:lang w:val="en-GB" w:eastAsia="en-GB" w:bidi="ar-SA"/>
    </w:rPr>
  </w:style>
  <w:style w:type="character" w:styleId="Emphasis">
    <w:name w:val="Emphasis"/>
    <w:basedOn w:val="DefaultParagraphFont"/>
    <w:uiPriority w:val="20"/>
    <w:qFormat/>
    <w:rsid w:val="005157DA"/>
    <w:rPr>
      <w:i/>
      <w:iCs/>
    </w:rPr>
  </w:style>
  <w:style w:type="paragraph" w:styleId="BalloonText">
    <w:name w:val="Balloon Text"/>
    <w:basedOn w:val="Normal"/>
    <w:link w:val="BalloonTextChar"/>
    <w:uiPriority w:val="99"/>
    <w:semiHidden/>
    <w:unhideWhenUsed/>
    <w:rsid w:val="005157DA"/>
    <w:rPr>
      <w:rFonts w:ascii="Tahoma" w:eastAsiaTheme="minorHAnsi" w:hAnsi="Tahoma" w:cs="Tahoma"/>
      <w:sz w:val="16"/>
      <w:szCs w:val="16"/>
      <w:lang w:val="en-GB" w:eastAsia="en-US" w:bidi="ar-SA"/>
    </w:rPr>
  </w:style>
  <w:style w:type="character" w:customStyle="1" w:styleId="BalloonTextChar">
    <w:name w:val="Balloon Text Char"/>
    <w:basedOn w:val="DefaultParagraphFont"/>
    <w:link w:val="BalloonText"/>
    <w:uiPriority w:val="99"/>
    <w:semiHidden/>
    <w:rsid w:val="005157DA"/>
    <w:rPr>
      <w:rFonts w:ascii="Tahoma" w:hAnsi="Tahoma" w:cs="Tahoma"/>
      <w:sz w:val="16"/>
      <w:szCs w:val="16"/>
    </w:rPr>
  </w:style>
  <w:style w:type="paragraph" w:styleId="FootnoteText">
    <w:name w:val="footnote text"/>
    <w:basedOn w:val="Normal"/>
    <w:link w:val="FootnoteTextChar"/>
    <w:uiPriority w:val="99"/>
    <w:unhideWhenUsed/>
    <w:rsid w:val="00666D13"/>
    <w:rPr>
      <w:rFonts w:cs="Angsana New"/>
      <w:sz w:val="20"/>
      <w:szCs w:val="25"/>
    </w:rPr>
  </w:style>
  <w:style w:type="character" w:customStyle="1" w:styleId="FootnoteTextChar">
    <w:name w:val="Footnote Text Char"/>
    <w:basedOn w:val="DefaultParagraphFont"/>
    <w:link w:val="FootnoteText"/>
    <w:uiPriority w:val="99"/>
    <w:rsid w:val="00666D13"/>
    <w:rPr>
      <w:rFonts w:ascii="Times New Roman" w:eastAsiaTheme="minorEastAsia" w:hAnsi="Times New Roman" w:cs="Angsana New"/>
      <w:sz w:val="20"/>
      <w:szCs w:val="25"/>
      <w:lang w:val="en-AU" w:eastAsia="zh-CN" w:bidi="th-TH"/>
    </w:rPr>
  </w:style>
  <w:style w:type="character" w:styleId="FootnoteReference">
    <w:name w:val="footnote reference"/>
    <w:basedOn w:val="DefaultParagraphFont"/>
    <w:uiPriority w:val="99"/>
    <w:semiHidden/>
    <w:unhideWhenUsed/>
    <w:rsid w:val="00666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9EDA-62FB-4F03-BE15-F7E895B2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39</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Enemark [cje10]</dc:creator>
  <cp:lastModifiedBy>Enemark C.</cp:lastModifiedBy>
  <cp:revision>4</cp:revision>
  <dcterms:created xsi:type="dcterms:W3CDTF">2016-11-30T09:59:00Z</dcterms:created>
  <dcterms:modified xsi:type="dcterms:W3CDTF">2016-11-30T12:28:00Z</dcterms:modified>
</cp:coreProperties>
</file>