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D6" w:rsidRPr="00C57466" w:rsidRDefault="006344D6" w:rsidP="006344D6">
      <w:pPr>
        <w:spacing w:line="480" w:lineRule="auto"/>
        <w:jc w:val="center"/>
        <w:rPr>
          <w:lang w:val="en-GB"/>
        </w:rPr>
      </w:pPr>
      <w:bookmarkStart w:id="0" w:name="_GoBack"/>
      <w:bookmarkEnd w:id="0"/>
      <w:r>
        <w:rPr>
          <w:lang w:val="en-GB"/>
        </w:rPr>
        <w:t xml:space="preserve">Associations </w:t>
      </w:r>
      <w:proofErr w:type="gramStart"/>
      <w:r>
        <w:rPr>
          <w:lang w:val="en-GB"/>
        </w:rPr>
        <w:t>Between</w:t>
      </w:r>
      <w:proofErr w:type="gramEnd"/>
      <w:r>
        <w:rPr>
          <w:lang w:val="en-GB"/>
        </w:rPr>
        <w:t xml:space="preserve"> Perceived Neighbourhood Problems and Quality of Life in Older Adults With and Without Osteoarthritis: R</w:t>
      </w:r>
      <w:r w:rsidRPr="00C57466">
        <w:rPr>
          <w:lang w:val="en-GB"/>
        </w:rPr>
        <w:t>esults from the Hertfordshire Cohort Study</w:t>
      </w:r>
    </w:p>
    <w:p w:rsidR="006344D6" w:rsidRPr="00C57466" w:rsidRDefault="006344D6" w:rsidP="006344D6">
      <w:pPr>
        <w:spacing w:line="480" w:lineRule="auto"/>
        <w:jc w:val="center"/>
        <w:rPr>
          <w:lang w:val="en-GB"/>
        </w:rPr>
      </w:pPr>
    </w:p>
    <w:p w:rsidR="006344D6" w:rsidRPr="00C57466" w:rsidRDefault="006344D6" w:rsidP="006344D6">
      <w:pPr>
        <w:spacing w:line="480" w:lineRule="auto"/>
        <w:jc w:val="center"/>
      </w:pPr>
      <w:r w:rsidRPr="00C57466">
        <w:t xml:space="preserve">Erik J Timmermans, MSc </w:t>
      </w:r>
      <w:r w:rsidRPr="00C57466">
        <w:rPr>
          <w:vertAlign w:val="superscript"/>
        </w:rPr>
        <w:t>1§</w:t>
      </w:r>
      <w:r w:rsidRPr="00C57466">
        <w:t xml:space="preserve">, Suzan van der Pas, PhD </w:t>
      </w:r>
      <w:r w:rsidRPr="00C57466">
        <w:rPr>
          <w:vertAlign w:val="superscript"/>
        </w:rPr>
        <w:t>1</w:t>
      </w:r>
      <w:r w:rsidRPr="00C57466">
        <w:t xml:space="preserve">, Laura A Schaap, PhD </w:t>
      </w:r>
      <w:r w:rsidRPr="00C57466">
        <w:rPr>
          <w:vertAlign w:val="superscript"/>
        </w:rPr>
        <w:t>2</w:t>
      </w:r>
      <w:r w:rsidRPr="00C57466">
        <w:t>,</w:t>
      </w:r>
    </w:p>
    <w:p w:rsidR="006344D6" w:rsidRPr="00C57466" w:rsidRDefault="006344D6" w:rsidP="006344D6">
      <w:pPr>
        <w:spacing w:line="480" w:lineRule="auto"/>
        <w:jc w:val="center"/>
        <w:rPr>
          <w:lang w:val="en-GB"/>
        </w:rPr>
      </w:pPr>
      <w:proofErr w:type="spellStart"/>
      <w:r w:rsidRPr="00C57466">
        <w:rPr>
          <w:lang w:val="en-GB"/>
        </w:rPr>
        <w:t>Prof.</w:t>
      </w:r>
      <w:proofErr w:type="spellEnd"/>
      <w:r w:rsidRPr="00C57466">
        <w:rPr>
          <w:lang w:val="en-GB"/>
        </w:rPr>
        <w:t xml:space="preserve"> Cyrus Cooper, PhD </w:t>
      </w:r>
      <w:r w:rsidRPr="00C57466">
        <w:rPr>
          <w:vertAlign w:val="superscript"/>
          <w:lang w:val="en-GB"/>
        </w:rPr>
        <w:t>3,4</w:t>
      </w:r>
      <w:r w:rsidRPr="00C57466">
        <w:rPr>
          <w:lang w:val="en-GB"/>
        </w:rPr>
        <w:t xml:space="preserve">, </w:t>
      </w:r>
      <w:r w:rsidRPr="00C57466">
        <w:rPr>
          <w:lang w:val="en-US"/>
        </w:rPr>
        <w:t xml:space="preserve">Mark H Edwards, PhD </w:t>
      </w:r>
      <w:r w:rsidRPr="00C57466">
        <w:rPr>
          <w:vertAlign w:val="superscript"/>
          <w:lang w:val="en-US"/>
        </w:rPr>
        <w:t>3</w:t>
      </w:r>
      <w:r w:rsidRPr="00C57466">
        <w:rPr>
          <w:lang w:val="en-US"/>
        </w:rPr>
        <w:t xml:space="preserve">, Prof. </w:t>
      </w:r>
      <w:r w:rsidRPr="00C57466">
        <w:rPr>
          <w:lang w:val="en-GB"/>
        </w:rPr>
        <w:t xml:space="preserve">Catharine R Gale, PhD </w:t>
      </w:r>
      <w:r w:rsidRPr="00C57466">
        <w:rPr>
          <w:vertAlign w:val="superscript"/>
          <w:lang w:val="en-GB"/>
        </w:rPr>
        <w:t>3,5</w:t>
      </w:r>
      <w:r w:rsidRPr="00C57466">
        <w:rPr>
          <w:lang w:val="en-GB"/>
        </w:rPr>
        <w:t xml:space="preserve">, </w:t>
      </w:r>
    </w:p>
    <w:p w:rsidR="006344D6" w:rsidRPr="00C57466" w:rsidRDefault="006344D6" w:rsidP="006344D6">
      <w:pPr>
        <w:spacing w:line="480" w:lineRule="auto"/>
        <w:jc w:val="center"/>
        <w:rPr>
          <w:vertAlign w:val="superscript"/>
          <w:lang w:val="en-GB"/>
        </w:rPr>
      </w:pPr>
      <w:proofErr w:type="spellStart"/>
      <w:r w:rsidRPr="00C57466">
        <w:rPr>
          <w:lang w:val="en-GB"/>
        </w:rPr>
        <w:t>Prof.</w:t>
      </w:r>
      <w:proofErr w:type="spellEnd"/>
      <w:r w:rsidRPr="00C57466">
        <w:rPr>
          <w:lang w:val="en-GB"/>
        </w:rPr>
        <w:t xml:space="preserve"> </w:t>
      </w:r>
      <w:proofErr w:type="spellStart"/>
      <w:r w:rsidRPr="00C57466">
        <w:rPr>
          <w:lang w:val="en-GB"/>
        </w:rPr>
        <w:t>Dorly</w:t>
      </w:r>
      <w:proofErr w:type="spellEnd"/>
      <w:r w:rsidRPr="00C57466">
        <w:rPr>
          <w:lang w:val="en-GB"/>
        </w:rPr>
        <w:t xml:space="preserve"> JH </w:t>
      </w:r>
      <w:proofErr w:type="spellStart"/>
      <w:r w:rsidRPr="00C57466">
        <w:rPr>
          <w:lang w:val="en-GB"/>
        </w:rPr>
        <w:t>Deeg</w:t>
      </w:r>
      <w:proofErr w:type="spellEnd"/>
      <w:r w:rsidRPr="00C57466">
        <w:rPr>
          <w:lang w:val="en-GB"/>
        </w:rPr>
        <w:t xml:space="preserve">, PhD </w:t>
      </w:r>
      <w:r w:rsidRPr="00C57466">
        <w:rPr>
          <w:vertAlign w:val="superscript"/>
          <w:lang w:val="en-GB"/>
        </w:rPr>
        <w:t>1</w:t>
      </w:r>
      <w:r w:rsidRPr="00C57466">
        <w:rPr>
          <w:lang w:val="en-GB"/>
        </w:rPr>
        <w:t xml:space="preserve">, </w:t>
      </w:r>
      <w:proofErr w:type="spellStart"/>
      <w:r w:rsidRPr="00C57466">
        <w:rPr>
          <w:lang w:val="en-GB"/>
        </w:rPr>
        <w:t>Prof.</w:t>
      </w:r>
      <w:proofErr w:type="spellEnd"/>
      <w:r w:rsidRPr="00C57466">
        <w:rPr>
          <w:lang w:val="en-GB"/>
        </w:rPr>
        <w:t xml:space="preserve"> Elaine M Dennison, PhD </w:t>
      </w:r>
      <w:r w:rsidRPr="00C57466">
        <w:rPr>
          <w:vertAlign w:val="superscript"/>
          <w:lang w:val="en-GB"/>
        </w:rPr>
        <w:t>3</w:t>
      </w:r>
      <w:proofErr w:type="gramStart"/>
      <w:r>
        <w:rPr>
          <w:vertAlign w:val="superscript"/>
          <w:lang w:val="en-GB"/>
        </w:rPr>
        <w:t>,6</w:t>
      </w:r>
      <w:proofErr w:type="gramEnd"/>
    </w:p>
    <w:p w:rsidR="006344D6" w:rsidRPr="00C57466" w:rsidRDefault="006344D6" w:rsidP="006344D6">
      <w:pPr>
        <w:spacing w:line="480" w:lineRule="auto"/>
        <w:jc w:val="center"/>
        <w:rPr>
          <w:lang w:val="en-GB"/>
        </w:rPr>
      </w:pPr>
    </w:p>
    <w:p w:rsidR="006344D6" w:rsidRPr="00C57466" w:rsidRDefault="006344D6" w:rsidP="006344D6">
      <w:pPr>
        <w:spacing w:line="480" w:lineRule="auto"/>
        <w:jc w:val="both"/>
        <w:rPr>
          <w:lang w:val="en-GB"/>
        </w:rPr>
      </w:pPr>
      <w:r w:rsidRPr="00C57466">
        <w:rPr>
          <w:vertAlign w:val="superscript"/>
          <w:lang w:val="en-GB"/>
        </w:rPr>
        <w:t>1</w:t>
      </w:r>
      <w:r w:rsidRPr="00C57466">
        <w:rPr>
          <w:lang w:val="en-GB"/>
        </w:rPr>
        <w:t xml:space="preserve"> Department of Epidemiology and Biostatistics, EMGO Institute for Health and Care </w:t>
      </w:r>
    </w:p>
    <w:p w:rsidR="006344D6" w:rsidRPr="00C57466" w:rsidRDefault="006344D6" w:rsidP="006344D6">
      <w:pPr>
        <w:spacing w:line="480" w:lineRule="auto"/>
        <w:jc w:val="both"/>
        <w:rPr>
          <w:lang w:val="en-GB"/>
        </w:rPr>
      </w:pPr>
      <w:r w:rsidRPr="00C57466">
        <w:rPr>
          <w:lang w:val="en-GB"/>
        </w:rPr>
        <w:t xml:space="preserve">  Research, VU University Medical Centre, Amsterdam, </w:t>
      </w:r>
      <w:proofErr w:type="gramStart"/>
      <w:r w:rsidRPr="00C57466">
        <w:rPr>
          <w:lang w:val="en-GB"/>
        </w:rPr>
        <w:t>The</w:t>
      </w:r>
      <w:proofErr w:type="gramEnd"/>
      <w:r w:rsidRPr="00C57466">
        <w:rPr>
          <w:lang w:val="en-GB"/>
        </w:rPr>
        <w:t xml:space="preserve"> Netherlands.</w:t>
      </w:r>
    </w:p>
    <w:p w:rsidR="006344D6" w:rsidRPr="00C57466" w:rsidRDefault="006344D6" w:rsidP="006344D6">
      <w:pPr>
        <w:spacing w:line="480" w:lineRule="auto"/>
        <w:jc w:val="both"/>
        <w:rPr>
          <w:lang w:val="en-GB"/>
        </w:rPr>
      </w:pPr>
      <w:r w:rsidRPr="00C57466">
        <w:rPr>
          <w:vertAlign w:val="superscript"/>
          <w:lang w:val="en-GB"/>
        </w:rPr>
        <w:t xml:space="preserve">2 </w:t>
      </w:r>
      <w:r w:rsidRPr="00C57466">
        <w:rPr>
          <w:lang w:val="en-GB"/>
        </w:rPr>
        <w:t xml:space="preserve">Department of Health Sciences, Faculty of Earth and Life Sciences, VU University </w:t>
      </w:r>
    </w:p>
    <w:p w:rsidR="006344D6" w:rsidRPr="00C57466" w:rsidRDefault="006344D6" w:rsidP="006344D6">
      <w:pPr>
        <w:spacing w:line="480" w:lineRule="auto"/>
        <w:jc w:val="both"/>
        <w:rPr>
          <w:lang w:val="en-GB"/>
        </w:rPr>
      </w:pPr>
      <w:r w:rsidRPr="00C57466">
        <w:rPr>
          <w:lang w:val="en-GB"/>
        </w:rPr>
        <w:t xml:space="preserve">  Amsterdam, Amsterdam, the Netherlands. </w:t>
      </w:r>
    </w:p>
    <w:p w:rsidR="006344D6" w:rsidRPr="00C57466" w:rsidRDefault="006344D6" w:rsidP="006344D6">
      <w:pPr>
        <w:spacing w:line="480" w:lineRule="auto"/>
        <w:jc w:val="both"/>
        <w:rPr>
          <w:lang w:val="en-GB"/>
        </w:rPr>
      </w:pPr>
      <w:r w:rsidRPr="00C57466">
        <w:rPr>
          <w:vertAlign w:val="superscript"/>
          <w:lang w:val="en-GB"/>
        </w:rPr>
        <w:t xml:space="preserve">3 </w:t>
      </w:r>
      <w:r w:rsidRPr="00C57466">
        <w:rPr>
          <w:lang w:val="en-GB"/>
        </w:rPr>
        <w:t xml:space="preserve">MRC Lifecourse Epidemiology Unit, University of Southampton, Southampton General </w:t>
      </w:r>
    </w:p>
    <w:p w:rsidR="006344D6" w:rsidRPr="00C57466" w:rsidRDefault="006344D6" w:rsidP="006344D6">
      <w:pPr>
        <w:spacing w:line="480" w:lineRule="auto"/>
        <w:jc w:val="both"/>
        <w:rPr>
          <w:lang w:val="en-GB"/>
        </w:rPr>
      </w:pPr>
      <w:r w:rsidRPr="00C57466">
        <w:rPr>
          <w:lang w:val="en-GB"/>
        </w:rPr>
        <w:t xml:space="preserve">  </w:t>
      </w:r>
      <w:proofErr w:type="gramStart"/>
      <w:r w:rsidRPr="00C57466">
        <w:rPr>
          <w:lang w:val="en-GB"/>
        </w:rPr>
        <w:t>Hospital; Southampton, United Kingdom.</w:t>
      </w:r>
      <w:proofErr w:type="gramEnd"/>
      <w:r w:rsidRPr="00C57466">
        <w:rPr>
          <w:lang w:val="en-GB"/>
        </w:rPr>
        <w:t xml:space="preserve"> </w:t>
      </w:r>
    </w:p>
    <w:p w:rsidR="006344D6" w:rsidRPr="00C57466" w:rsidRDefault="006344D6" w:rsidP="006344D6">
      <w:pPr>
        <w:spacing w:line="480" w:lineRule="auto"/>
        <w:jc w:val="both"/>
        <w:rPr>
          <w:lang w:val="en-GB"/>
        </w:rPr>
      </w:pPr>
      <w:r w:rsidRPr="00C57466">
        <w:rPr>
          <w:vertAlign w:val="superscript"/>
          <w:lang w:val="en-GB"/>
        </w:rPr>
        <w:t>4</w:t>
      </w:r>
      <w:r w:rsidRPr="00C57466">
        <w:rPr>
          <w:lang w:val="en-GB"/>
        </w:rPr>
        <w:t xml:space="preserve"> NIHR Musculoskeletal Biomedical Research Unit, Nuffield Department of Orthopaedics, </w:t>
      </w:r>
    </w:p>
    <w:p w:rsidR="006344D6" w:rsidRPr="00C57466" w:rsidRDefault="006344D6" w:rsidP="006344D6">
      <w:pPr>
        <w:spacing w:line="480" w:lineRule="auto"/>
        <w:jc w:val="both"/>
        <w:rPr>
          <w:lang w:val="en-GB"/>
        </w:rPr>
      </w:pPr>
      <w:r w:rsidRPr="00C57466">
        <w:rPr>
          <w:lang w:val="en-GB"/>
        </w:rPr>
        <w:t xml:space="preserve">  Rheumatology and Musculoskeletal Sciences, University of Oxford, Oxford, United </w:t>
      </w:r>
    </w:p>
    <w:p w:rsidR="006344D6" w:rsidRPr="00C57466" w:rsidRDefault="006344D6" w:rsidP="006344D6">
      <w:pPr>
        <w:spacing w:line="480" w:lineRule="auto"/>
        <w:jc w:val="both"/>
        <w:rPr>
          <w:lang w:val="en-GB"/>
        </w:rPr>
      </w:pPr>
      <w:r w:rsidRPr="00C57466">
        <w:rPr>
          <w:lang w:val="en-GB"/>
        </w:rPr>
        <w:t xml:space="preserve">  </w:t>
      </w:r>
      <w:proofErr w:type="gramStart"/>
      <w:r w:rsidRPr="00C57466">
        <w:rPr>
          <w:lang w:val="en-GB"/>
        </w:rPr>
        <w:t>Kingdom.</w:t>
      </w:r>
      <w:proofErr w:type="gramEnd"/>
      <w:r w:rsidRPr="00C57466">
        <w:rPr>
          <w:lang w:val="en-GB"/>
        </w:rPr>
        <w:t xml:space="preserve"> </w:t>
      </w:r>
    </w:p>
    <w:p w:rsidR="006344D6" w:rsidRPr="00C57466" w:rsidRDefault="006344D6" w:rsidP="006344D6">
      <w:pPr>
        <w:spacing w:line="480" w:lineRule="auto"/>
        <w:jc w:val="both"/>
        <w:rPr>
          <w:lang w:val="en-GB"/>
        </w:rPr>
      </w:pPr>
      <w:r w:rsidRPr="00C57466">
        <w:rPr>
          <w:vertAlign w:val="superscript"/>
          <w:lang w:val="en-GB"/>
        </w:rPr>
        <w:t xml:space="preserve">5 </w:t>
      </w:r>
      <w:proofErr w:type="gramStart"/>
      <w:r w:rsidRPr="00C57466">
        <w:rPr>
          <w:lang w:val="en-GB"/>
        </w:rPr>
        <w:t>Centre</w:t>
      </w:r>
      <w:proofErr w:type="gramEnd"/>
      <w:r w:rsidRPr="00C57466">
        <w:rPr>
          <w:lang w:val="en-GB"/>
        </w:rPr>
        <w:t xml:space="preserve"> for Cognitive Ageing &amp; Cognitive Epidemiology, Department of Psychology, </w:t>
      </w:r>
    </w:p>
    <w:p w:rsidR="006344D6" w:rsidRDefault="006344D6" w:rsidP="006344D6">
      <w:pPr>
        <w:spacing w:line="480" w:lineRule="auto"/>
        <w:jc w:val="both"/>
        <w:rPr>
          <w:lang w:val="en-GB"/>
        </w:rPr>
      </w:pPr>
      <w:r w:rsidRPr="00C57466">
        <w:rPr>
          <w:lang w:val="en-GB"/>
        </w:rPr>
        <w:t xml:space="preserve">  </w:t>
      </w:r>
      <w:proofErr w:type="gramStart"/>
      <w:r w:rsidRPr="00C57466">
        <w:rPr>
          <w:lang w:val="en-GB"/>
        </w:rPr>
        <w:t>University of Edinburgh, Edinburgh, United Kingdom.</w:t>
      </w:r>
      <w:proofErr w:type="gramEnd"/>
    </w:p>
    <w:p w:rsidR="006344D6" w:rsidRPr="00FF73D2" w:rsidRDefault="006344D6" w:rsidP="006344D6">
      <w:pPr>
        <w:spacing w:line="480" w:lineRule="auto"/>
        <w:jc w:val="both"/>
        <w:rPr>
          <w:lang w:val="en-GB"/>
        </w:rPr>
      </w:pPr>
      <w:proofErr w:type="gramStart"/>
      <w:r>
        <w:rPr>
          <w:vertAlign w:val="superscript"/>
          <w:lang w:val="en-GB"/>
        </w:rPr>
        <w:t xml:space="preserve">6 </w:t>
      </w:r>
      <w:r>
        <w:rPr>
          <w:lang w:val="en-GB"/>
        </w:rPr>
        <w:t>School of Biological Sciences, Victoria University of Wellington, New Zealand.</w:t>
      </w:r>
      <w:proofErr w:type="gramEnd"/>
    </w:p>
    <w:p w:rsidR="006344D6" w:rsidRDefault="006344D6" w:rsidP="006344D6">
      <w:pPr>
        <w:spacing w:after="200" w:line="276" w:lineRule="auto"/>
        <w:rPr>
          <w:vertAlign w:val="superscript"/>
          <w:lang w:val="en-GB"/>
        </w:rPr>
      </w:pPr>
    </w:p>
    <w:p w:rsidR="006344D6" w:rsidRDefault="006344D6" w:rsidP="006344D6">
      <w:pPr>
        <w:spacing w:line="480" w:lineRule="auto"/>
        <w:jc w:val="both"/>
        <w:rPr>
          <w:lang w:val="en-GB"/>
        </w:rPr>
      </w:pPr>
      <w:r w:rsidRPr="00C57466">
        <w:rPr>
          <w:vertAlign w:val="superscript"/>
          <w:lang w:val="en-GB"/>
        </w:rPr>
        <w:t>§</w:t>
      </w:r>
      <w:r>
        <w:rPr>
          <w:lang w:val="en-GB"/>
        </w:rPr>
        <w:t xml:space="preserve"> Corresponding A</w:t>
      </w:r>
      <w:r w:rsidRPr="00C57466">
        <w:rPr>
          <w:lang w:val="en-GB"/>
        </w:rPr>
        <w:t>uthor: Erik J Timmermans, MSc</w:t>
      </w:r>
    </w:p>
    <w:p w:rsidR="006344D6" w:rsidRPr="00C57466" w:rsidRDefault="006344D6" w:rsidP="006344D6">
      <w:pPr>
        <w:spacing w:line="480" w:lineRule="auto"/>
        <w:jc w:val="both"/>
        <w:rPr>
          <w:lang w:val="en-GB"/>
        </w:rPr>
      </w:pPr>
      <w:r w:rsidRPr="00C57466">
        <w:rPr>
          <w:lang w:val="en-GB"/>
        </w:rPr>
        <w:t xml:space="preserve">Department of Epidemiology and Biostatistics, EMGO Institute for Health and Care Research, VU University Medical Centre, De </w:t>
      </w:r>
      <w:proofErr w:type="spellStart"/>
      <w:r w:rsidRPr="00C57466">
        <w:rPr>
          <w:lang w:val="en-GB"/>
        </w:rPr>
        <w:t>Boelelaan</w:t>
      </w:r>
      <w:proofErr w:type="spellEnd"/>
      <w:r w:rsidRPr="00C57466">
        <w:rPr>
          <w:lang w:val="en-GB"/>
        </w:rPr>
        <w:t xml:space="preserve"> 1089A, 1081 HV Amsterdam, the Netherlands, Tel: +31 20 </w:t>
      </w:r>
      <w:r w:rsidRPr="00C57466">
        <w:rPr>
          <w:lang w:val="en-US"/>
        </w:rPr>
        <w:t>4448187</w:t>
      </w:r>
      <w:r w:rsidRPr="00C57466">
        <w:rPr>
          <w:lang w:val="en-GB"/>
        </w:rPr>
        <w:t>, E-mail: ej.timmermans@vumc.nl</w:t>
      </w:r>
    </w:p>
    <w:p w:rsidR="006344D6" w:rsidRPr="00C57466" w:rsidRDefault="006344D6" w:rsidP="006344D6">
      <w:pPr>
        <w:spacing w:line="480" w:lineRule="auto"/>
        <w:jc w:val="both"/>
        <w:rPr>
          <w:lang w:val="en-GB"/>
        </w:rPr>
      </w:pPr>
      <w:r w:rsidRPr="00C57466">
        <w:rPr>
          <w:b/>
          <w:lang w:val="en-GB"/>
        </w:rPr>
        <w:lastRenderedPageBreak/>
        <w:t>Running head</w:t>
      </w:r>
      <w:r w:rsidRPr="00C57466">
        <w:rPr>
          <w:lang w:val="en-GB"/>
        </w:rPr>
        <w:t xml:space="preserve"> </w:t>
      </w:r>
    </w:p>
    <w:p w:rsidR="006344D6" w:rsidRPr="00890A6D" w:rsidRDefault="006344D6" w:rsidP="006344D6">
      <w:pPr>
        <w:spacing w:line="480" w:lineRule="auto"/>
        <w:jc w:val="both"/>
        <w:rPr>
          <w:lang w:val="en-GB"/>
        </w:rPr>
      </w:pPr>
      <w:r>
        <w:rPr>
          <w:lang w:val="en-GB"/>
        </w:rPr>
        <w:t>Neighbourhood Problems and Quality of L</w:t>
      </w:r>
      <w:r w:rsidRPr="00C57466">
        <w:rPr>
          <w:lang w:val="en-GB"/>
        </w:rPr>
        <w:t>ife</w:t>
      </w:r>
    </w:p>
    <w:p w:rsidR="006344D6" w:rsidRPr="00033D3A" w:rsidRDefault="006344D6" w:rsidP="006344D6">
      <w:pPr>
        <w:spacing w:line="480" w:lineRule="auto"/>
        <w:rPr>
          <w:lang w:val="en-GB"/>
        </w:rPr>
      </w:pPr>
    </w:p>
    <w:p w:rsidR="006344D6" w:rsidRPr="00877EE3" w:rsidRDefault="006344D6" w:rsidP="006344D6">
      <w:pPr>
        <w:spacing w:line="480" w:lineRule="auto"/>
        <w:rPr>
          <w:b/>
          <w:lang w:val="en-GB"/>
        </w:rPr>
      </w:pPr>
      <w:r w:rsidRPr="00877EE3">
        <w:rPr>
          <w:b/>
          <w:lang w:val="en-GB"/>
        </w:rPr>
        <w:t xml:space="preserve">Word count </w:t>
      </w:r>
    </w:p>
    <w:p w:rsidR="006344D6" w:rsidRPr="00033D3A" w:rsidRDefault="006344D6" w:rsidP="006344D6">
      <w:pPr>
        <w:spacing w:line="480" w:lineRule="auto"/>
        <w:rPr>
          <w:lang w:val="en-GB"/>
        </w:rPr>
      </w:pPr>
      <w:r>
        <w:rPr>
          <w:lang w:val="en-GB"/>
        </w:rPr>
        <w:t>4048</w:t>
      </w:r>
      <w:r w:rsidRPr="00523710">
        <w:rPr>
          <w:lang w:val="en-GB"/>
        </w:rPr>
        <w:t xml:space="preserve"> (not including abstract, references, tables and figure legends)</w:t>
      </w:r>
    </w:p>
    <w:p w:rsidR="006344D6" w:rsidRPr="00033D3A" w:rsidRDefault="006344D6" w:rsidP="006344D6">
      <w:pPr>
        <w:spacing w:line="480" w:lineRule="auto"/>
        <w:rPr>
          <w:lang w:val="en-GB"/>
        </w:rPr>
      </w:pPr>
    </w:p>
    <w:p w:rsidR="006344D6" w:rsidRDefault="006344D6" w:rsidP="006344D6">
      <w:pPr>
        <w:spacing w:line="480" w:lineRule="auto"/>
        <w:jc w:val="both"/>
        <w:rPr>
          <w:b/>
          <w:color w:val="000000" w:themeColor="text1"/>
          <w:lang w:val="en-US"/>
        </w:rPr>
      </w:pPr>
      <w:r>
        <w:rPr>
          <w:b/>
          <w:color w:val="000000" w:themeColor="text1"/>
          <w:lang w:val="en-US"/>
        </w:rPr>
        <w:t>Acknowledgements</w:t>
      </w:r>
    </w:p>
    <w:p w:rsidR="006344D6" w:rsidRDefault="006344D6" w:rsidP="006344D6">
      <w:pPr>
        <w:spacing w:line="480" w:lineRule="auto"/>
        <w:jc w:val="both"/>
        <w:rPr>
          <w:color w:val="000000"/>
          <w:shd w:val="clear" w:color="auto" w:fill="FFFFFF"/>
          <w:lang w:val="en-GB"/>
        </w:rPr>
      </w:pPr>
      <w:r w:rsidRPr="00C57466">
        <w:rPr>
          <w:lang w:val="en-GB"/>
        </w:rPr>
        <w:t>The Hertfordshire Cohort Study is funded by the Medical Research Council of Great Britain, Arthritis Research UK, the British Heart Foundation and the International Osteoporosis Foundation.</w:t>
      </w:r>
    </w:p>
    <w:p w:rsidR="006344D6" w:rsidRPr="00033D3A" w:rsidRDefault="006344D6" w:rsidP="006344D6">
      <w:pPr>
        <w:autoSpaceDE w:val="0"/>
        <w:autoSpaceDN w:val="0"/>
        <w:adjustRightInd w:val="0"/>
        <w:spacing w:line="480" w:lineRule="auto"/>
        <w:jc w:val="both"/>
        <w:rPr>
          <w:b/>
          <w:lang w:val="en-GB"/>
        </w:rPr>
      </w:pPr>
    </w:p>
    <w:p w:rsidR="006344D6" w:rsidRPr="00033D3A" w:rsidRDefault="006344D6" w:rsidP="006344D6">
      <w:pPr>
        <w:autoSpaceDE w:val="0"/>
        <w:autoSpaceDN w:val="0"/>
        <w:adjustRightInd w:val="0"/>
        <w:spacing w:line="480" w:lineRule="auto"/>
        <w:jc w:val="both"/>
        <w:rPr>
          <w:b/>
          <w:lang w:val="en-GB"/>
        </w:rPr>
      </w:pPr>
      <w:r w:rsidRPr="00033D3A">
        <w:rPr>
          <w:b/>
          <w:lang w:val="en-GB"/>
        </w:rPr>
        <w:t xml:space="preserve">Conflict of interest statement </w:t>
      </w:r>
    </w:p>
    <w:p w:rsidR="006344D6" w:rsidRPr="00C2273B" w:rsidRDefault="006344D6" w:rsidP="006344D6">
      <w:pPr>
        <w:rPr>
          <w:lang w:val="en-US"/>
        </w:rPr>
      </w:pPr>
      <w:r w:rsidRPr="00033D3A">
        <w:rPr>
          <w:lang w:val="en-GB"/>
        </w:rPr>
        <w:t>The authors declare that they have no competing interests.</w:t>
      </w:r>
    </w:p>
    <w:p w:rsidR="006344D6" w:rsidRDefault="006344D6">
      <w:pPr>
        <w:spacing w:after="200" w:line="276" w:lineRule="auto"/>
        <w:rPr>
          <w:b/>
          <w:lang w:val="en-GB"/>
        </w:rPr>
      </w:pPr>
      <w:r>
        <w:rPr>
          <w:b/>
          <w:lang w:val="en-GB"/>
        </w:rPr>
        <w:br w:type="page"/>
      </w:r>
    </w:p>
    <w:p w:rsidR="003950FB" w:rsidRPr="00763EAB" w:rsidRDefault="00727D71" w:rsidP="004476B1">
      <w:pPr>
        <w:autoSpaceDE w:val="0"/>
        <w:autoSpaceDN w:val="0"/>
        <w:adjustRightInd w:val="0"/>
        <w:spacing w:line="480" w:lineRule="auto"/>
        <w:jc w:val="both"/>
        <w:rPr>
          <w:b/>
          <w:lang w:val="en-GB"/>
        </w:rPr>
      </w:pPr>
      <w:r w:rsidRPr="00763EAB">
        <w:rPr>
          <w:b/>
          <w:lang w:val="en-GB"/>
        </w:rPr>
        <w:lastRenderedPageBreak/>
        <w:t>Abstract</w:t>
      </w:r>
    </w:p>
    <w:p w:rsidR="00B52D39" w:rsidRPr="00763EAB" w:rsidRDefault="00727D71" w:rsidP="004476B1">
      <w:pPr>
        <w:autoSpaceDE w:val="0"/>
        <w:autoSpaceDN w:val="0"/>
        <w:adjustRightInd w:val="0"/>
        <w:spacing w:line="480" w:lineRule="auto"/>
        <w:jc w:val="both"/>
        <w:rPr>
          <w:lang w:val="en-US"/>
        </w:rPr>
      </w:pPr>
      <w:r w:rsidRPr="00763EAB">
        <w:rPr>
          <w:lang w:val="en-GB"/>
        </w:rPr>
        <w:t xml:space="preserve">This study examined </w:t>
      </w:r>
      <w:r w:rsidR="00B52D39" w:rsidRPr="00763EAB">
        <w:rPr>
          <w:lang w:val="en-GB"/>
        </w:rPr>
        <w:t xml:space="preserve">whether </w:t>
      </w:r>
      <w:r w:rsidRPr="00763EAB">
        <w:rPr>
          <w:lang w:val="en-GB"/>
        </w:rPr>
        <w:t>the association of quality of life (</w:t>
      </w:r>
      <w:proofErr w:type="spellStart"/>
      <w:r w:rsidRPr="00763EAB">
        <w:rPr>
          <w:lang w:val="en-GB"/>
        </w:rPr>
        <w:t>QoL</w:t>
      </w:r>
      <w:proofErr w:type="spellEnd"/>
      <w:r w:rsidRPr="00763EAB">
        <w:rPr>
          <w:lang w:val="en-GB"/>
        </w:rPr>
        <w:t xml:space="preserve">) with perceived neighbourhood problems </w:t>
      </w:r>
      <w:r w:rsidR="00B52D39" w:rsidRPr="00763EAB">
        <w:rPr>
          <w:lang w:val="en-GB"/>
        </w:rPr>
        <w:t xml:space="preserve">is stronger in older adults with osteoarthritis (OA) than in those without OA. </w:t>
      </w:r>
      <w:r w:rsidRPr="00763EAB">
        <w:rPr>
          <w:lang w:val="en-GB"/>
        </w:rPr>
        <w:t xml:space="preserve">Of all 294 participants, 23.8% had OA. </w:t>
      </w:r>
      <w:r w:rsidRPr="00763EAB">
        <w:rPr>
          <w:lang w:val="en-US"/>
        </w:rPr>
        <w:t xml:space="preserve">More perceived </w:t>
      </w:r>
      <w:proofErr w:type="spellStart"/>
      <w:r w:rsidRPr="00763EAB">
        <w:rPr>
          <w:lang w:val="en-US"/>
        </w:rPr>
        <w:t>neighbourhood</w:t>
      </w:r>
      <w:proofErr w:type="spellEnd"/>
      <w:r w:rsidRPr="00763EAB">
        <w:rPr>
          <w:lang w:val="en-US"/>
        </w:rPr>
        <w:t xml:space="preserve"> problems were associated with a stronger decrease in </w:t>
      </w:r>
      <w:proofErr w:type="spellStart"/>
      <w:r w:rsidRPr="00763EAB">
        <w:rPr>
          <w:lang w:val="en-US"/>
        </w:rPr>
        <w:t>QoL</w:t>
      </w:r>
      <w:proofErr w:type="spellEnd"/>
      <w:r w:rsidRPr="00763EAB">
        <w:rPr>
          <w:lang w:val="en-US"/>
        </w:rPr>
        <w:t xml:space="preserve"> over time in participants with OA </w:t>
      </w:r>
      <w:r w:rsidR="00141D77" w:rsidRPr="00763EAB">
        <w:rPr>
          <w:lang w:val="en-US"/>
        </w:rPr>
        <w:t xml:space="preserve">(B=-0.018; p=0.02) </w:t>
      </w:r>
      <w:r w:rsidRPr="00763EAB">
        <w:rPr>
          <w:lang w:val="en-US"/>
        </w:rPr>
        <w:t>than in those without OA</w:t>
      </w:r>
      <w:r w:rsidR="00141D77" w:rsidRPr="00763EAB">
        <w:rPr>
          <w:lang w:val="en-US"/>
        </w:rPr>
        <w:t xml:space="preserve"> (B=-0.004; p=0.39)</w:t>
      </w:r>
      <w:r w:rsidRPr="00763EAB">
        <w:rPr>
          <w:lang w:val="en-US"/>
        </w:rPr>
        <w:t xml:space="preserve">. </w:t>
      </w:r>
      <w:r w:rsidR="00B52D39" w:rsidRPr="00763EAB">
        <w:rPr>
          <w:lang w:val="en-US"/>
        </w:rPr>
        <w:t xml:space="preserve">Physical activity did not mediate this relationship. Older adults with OA may be less able to deal with </w:t>
      </w:r>
      <w:r w:rsidR="00275036" w:rsidRPr="00763EAB">
        <w:rPr>
          <w:lang w:val="en-US"/>
        </w:rPr>
        <w:t>more challenging environments.</w:t>
      </w:r>
    </w:p>
    <w:p w:rsidR="00A70315" w:rsidRPr="00763EAB" w:rsidRDefault="00A70315" w:rsidP="00253A2F">
      <w:pPr>
        <w:autoSpaceDE w:val="0"/>
        <w:autoSpaceDN w:val="0"/>
        <w:adjustRightInd w:val="0"/>
        <w:spacing w:line="480" w:lineRule="auto"/>
        <w:jc w:val="both"/>
        <w:rPr>
          <w:b/>
          <w:lang w:val="en-GB"/>
        </w:rPr>
      </w:pPr>
    </w:p>
    <w:p w:rsidR="004C4C64" w:rsidRPr="00763EAB" w:rsidRDefault="00BE6770" w:rsidP="00253A2F">
      <w:pPr>
        <w:autoSpaceDE w:val="0"/>
        <w:autoSpaceDN w:val="0"/>
        <w:adjustRightInd w:val="0"/>
        <w:spacing w:line="480" w:lineRule="auto"/>
        <w:jc w:val="both"/>
        <w:rPr>
          <w:b/>
          <w:lang w:val="en-US"/>
        </w:rPr>
      </w:pPr>
      <w:r w:rsidRPr="00763EAB">
        <w:rPr>
          <w:b/>
          <w:lang w:val="en-US"/>
        </w:rPr>
        <w:t>Key words</w:t>
      </w:r>
      <w:r w:rsidR="004C4C64" w:rsidRPr="00763EAB">
        <w:rPr>
          <w:b/>
          <w:lang w:val="en-US"/>
        </w:rPr>
        <w:t xml:space="preserve">: </w:t>
      </w:r>
    </w:p>
    <w:p w:rsidR="00BE6770" w:rsidRPr="00763EAB" w:rsidRDefault="00BE6770" w:rsidP="00253A2F">
      <w:pPr>
        <w:autoSpaceDE w:val="0"/>
        <w:autoSpaceDN w:val="0"/>
        <w:adjustRightInd w:val="0"/>
        <w:spacing w:line="480" w:lineRule="auto"/>
        <w:jc w:val="both"/>
        <w:rPr>
          <w:lang w:val="en-GB"/>
        </w:rPr>
      </w:pPr>
      <w:r w:rsidRPr="00763EAB">
        <w:rPr>
          <w:lang w:val="en-GB"/>
        </w:rPr>
        <w:t>Neighbourhood problems</w:t>
      </w:r>
      <w:r w:rsidR="00CA76A6" w:rsidRPr="00763EAB">
        <w:rPr>
          <w:lang w:val="en-GB"/>
        </w:rPr>
        <w:t xml:space="preserve">; </w:t>
      </w:r>
      <w:proofErr w:type="gramStart"/>
      <w:r w:rsidR="00CA76A6" w:rsidRPr="00763EAB">
        <w:rPr>
          <w:lang w:val="en-GB"/>
        </w:rPr>
        <w:t>Older</w:t>
      </w:r>
      <w:proofErr w:type="gramEnd"/>
      <w:r w:rsidR="00CA76A6" w:rsidRPr="00763EAB">
        <w:rPr>
          <w:lang w:val="en-GB"/>
        </w:rPr>
        <w:t xml:space="preserve"> population; Osteoarthritis;</w:t>
      </w:r>
      <w:r w:rsidRPr="00763EAB">
        <w:rPr>
          <w:lang w:val="en-GB"/>
        </w:rPr>
        <w:t xml:space="preserve"> Phy</w:t>
      </w:r>
      <w:r w:rsidR="00CA76A6" w:rsidRPr="00763EAB">
        <w:rPr>
          <w:lang w:val="en-GB"/>
        </w:rPr>
        <w:t>sical activity;</w:t>
      </w:r>
      <w:r w:rsidR="00275036" w:rsidRPr="00763EAB">
        <w:rPr>
          <w:lang w:val="en-GB"/>
        </w:rPr>
        <w:t xml:space="preserve"> Quality of life</w:t>
      </w:r>
    </w:p>
    <w:p w:rsidR="00C53773" w:rsidRPr="00763EAB" w:rsidRDefault="00C53773" w:rsidP="00253A2F">
      <w:pPr>
        <w:autoSpaceDE w:val="0"/>
        <w:autoSpaceDN w:val="0"/>
        <w:adjustRightInd w:val="0"/>
        <w:spacing w:line="480" w:lineRule="auto"/>
        <w:jc w:val="both"/>
        <w:rPr>
          <w:lang w:val="en-GB"/>
        </w:rPr>
        <w:sectPr w:rsidR="00C53773" w:rsidRPr="00763EAB" w:rsidSect="00032ED9">
          <w:headerReference w:type="default" r:id="rId9"/>
          <w:footerReference w:type="default" r:id="rId10"/>
          <w:pgSz w:w="11906" w:h="16838"/>
          <w:pgMar w:top="1390" w:right="1418" w:bottom="1985" w:left="1418" w:header="709" w:footer="709" w:gutter="0"/>
          <w:cols w:space="708"/>
          <w:docGrid w:linePitch="360"/>
        </w:sectPr>
      </w:pPr>
    </w:p>
    <w:p w:rsidR="00275036" w:rsidRPr="00763EAB" w:rsidRDefault="00275036" w:rsidP="00C20A4E">
      <w:pPr>
        <w:spacing w:line="480" w:lineRule="auto"/>
        <w:jc w:val="both"/>
        <w:rPr>
          <w:b/>
          <w:lang w:val="en-GB"/>
        </w:rPr>
      </w:pPr>
      <w:r w:rsidRPr="00763EAB">
        <w:rPr>
          <w:b/>
          <w:lang w:val="en-GB"/>
        </w:rPr>
        <w:lastRenderedPageBreak/>
        <w:t>Introduction</w:t>
      </w:r>
    </w:p>
    <w:p w:rsidR="00C20A4E" w:rsidRPr="00763EAB" w:rsidRDefault="00C20A4E" w:rsidP="00C20A4E">
      <w:pPr>
        <w:spacing w:line="480" w:lineRule="auto"/>
        <w:jc w:val="both"/>
        <w:rPr>
          <w:lang w:val="en-US"/>
        </w:rPr>
      </w:pPr>
      <w:r w:rsidRPr="00763EAB">
        <w:rPr>
          <w:lang w:val="en-US"/>
        </w:rPr>
        <w:t xml:space="preserve">The importance of the </w:t>
      </w:r>
      <w:proofErr w:type="spellStart"/>
      <w:r w:rsidRPr="00763EAB">
        <w:rPr>
          <w:lang w:val="en-US"/>
        </w:rPr>
        <w:t>neighbourhood</w:t>
      </w:r>
      <w:proofErr w:type="spellEnd"/>
      <w:r w:rsidRPr="00763EAB">
        <w:rPr>
          <w:lang w:val="en-US"/>
        </w:rPr>
        <w:t xml:space="preserve"> environment for quality of life</w:t>
      </w:r>
      <w:r w:rsidR="00EA2217" w:rsidRPr="00763EAB">
        <w:rPr>
          <w:lang w:val="en-US"/>
        </w:rPr>
        <w:t xml:space="preserve"> (</w:t>
      </w:r>
      <w:proofErr w:type="spellStart"/>
      <w:r w:rsidR="00EA2217" w:rsidRPr="00763EAB">
        <w:rPr>
          <w:lang w:val="en-US"/>
        </w:rPr>
        <w:t>QoL</w:t>
      </w:r>
      <w:proofErr w:type="spellEnd"/>
      <w:r w:rsidR="00EA2217" w:rsidRPr="00763EAB">
        <w:rPr>
          <w:lang w:val="en-US"/>
        </w:rPr>
        <w:t>) has been recognized (</w:t>
      </w:r>
      <w:proofErr w:type="spellStart"/>
      <w:r w:rsidR="00EA2217" w:rsidRPr="00763EAB">
        <w:rPr>
          <w:lang w:val="en-US"/>
        </w:rPr>
        <w:t>Iwarsson</w:t>
      </w:r>
      <w:proofErr w:type="spellEnd"/>
      <w:r w:rsidR="001C0BC8" w:rsidRPr="00763EAB">
        <w:rPr>
          <w:lang w:val="en-US"/>
        </w:rPr>
        <w:t xml:space="preserve"> et al., 2007; Lawton, 1986; Lawton and </w:t>
      </w:r>
      <w:proofErr w:type="spellStart"/>
      <w:r w:rsidR="001C0BC8" w:rsidRPr="00763EAB">
        <w:rPr>
          <w:lang w:val="en-US"/>
        </w:rPr>
        <w:t>Nahemow</w:t>
      </w:r>
      <w:proofErr w:type="spellEnd"/>
      <w:r w:rsidR="001C0BC8" w:rsidRPr="00763EAB">
        <w:rPr>
          <w:lang w:val="en-US"/>
        </w:rPr>
        <w:t xml:space="preserve">, 1973; </w:t>
      </w:r>
      <w:proofErr w:type="spellStart"/>
      <w:r w:rsidR="001C0BC8" w:rsidRPr="00763EAB">
        <w:rPr>
          <w:lang w:val="en-US"/>
        </w:rPr>
        <w:t>Rantakokko</w:t>
      </w:r>
      <w:proofErr w:type="spellEnd"/>
      <w:r w:rsidR="001C0BC8" w:rsidRPr="00763EAB">
        <w:rPr>
          <w:lang w:val="en-US"/>
        </w:rPr>
        <w:t xml:space="preserve"> et al., 2010)</w:t>
      </w:r>
      <w:r w:rsidRPr="00763EAB">
        <w:rPr>
          <w:lang w:val="en-US"/>
        </w:rPr>
        <w:t xml:space="preserve">, but the association between specific features of the </w:t>
      </w:r>
      <w:proofErr w:type="spellStart"/>
      <w:r w:rsidRPr="00763EAB">
        <w:rPr>
          <w:lang w:val="en-US"/>
        </w:rPr>
        <w:t>neighbourhood</w:t>
      </w:r>
      <w:proofErr w:type="spellEnd"/>
      <w:r w:rsidRPr="00763EAB">
        <w:rPr>
          <w:lang w:val="en-US"/>
        </w:rPr>
        <w:t xml:space="preserve"> environment and </w:t>
      </w:r>
      <w:proofErr w:type="spellStart"/>
      <w:r w:rsidRPr="00763EAB">
        <w:rPr>
          <w:lang w:val="en-US"/>
        </w:rPr>
        <w:t>QoL</w:t>
      </w:r>
      <w:proofErr w:type="spellEnd"/>
      <w:r w:rsidRPr="00763EAB">
        <w:rPr>
          <w:lang w:val="en-US"/>
        </w:rPr>
        <w:t xml:space="preserve"> in older community-dwelling adults has not been studied extensively. In particular, research on the relationship between </w:t>
      </w:r>
      <w:proofErr w:type="spellStart"/>
      <w:r w:rsidRPr="00763EAB">
        <w:rPr>
          <w:lang w:val="en-US"/>
        </w:rPr>
        <w:t>QoL</w:t>
      </w:r>
      <w:proofErr w:type="spellEnd"/>
      <w:r w:rsidRPr="00763EAB">
        <w:rPr>
          <w:lang w:val="en-US"/>
        </w:rPr>
        <w:t xml:space="preserve"> and environmental barriers in older adults</w:t>
      </w:r>
      <w:r w:rsidR="001C0BC8" w:rsidRPr="00763EAB">
        <w:rPr>
          <w:lang w:val="en-US"/>
        </w:rPr>
        <w:t xml:space="preserve"> with disabilities is limited (</w:t>
      </w:r>
      <w:proofErr w:type="spellStart"/>
      <w:r w:rsidR="001C0BC8" w:rsidRPr="00763EAB">
        <w:rPr>
          <w:lang w:val="en-US"/>
        </w:rPr>
        <w:t>Levasseur</w:t>
      </w:r>
      <w:proofErr w:type="spellEnd"/>
      <w:r w:rsidR="001C0BC8" w:rsidRPr="00763EAB">
        <w:rPr>
          <w:lang w:val="en-US"/>
        </w:rPr>
        <w:t xml:space="preserve"> et al., 2015)</w:t>
      </w:r>
      <w:r w:rsidRPr="00763EAB">
        <w:rPr>
          <w:lang w:val="en-US"/>
        </w:rPr>
        <w:t>. Osteoarthritis (OA) is associated with significant pain and disability in older a</w:t>
      </w:r>
      <w:r w:rsidR="001C0BC8" w:rsidRPr="00763EAB">
        <w:rPr>
          <w:lang w:val="en-US"/>
        </w:rPr>
        <w:t xml:space="preserve">dults (Brooks, 2012; </w:t>
      </w:r>
      <w:proofErr w:type="spellStart"/>
      <w:r w:rsidR="001C0BC8" w:rsidRPr="00763EAB">
        <w:rPr>
          <w:lang w:val="en-US"/>
        </w:rPr>
        <w:t>Jinks</w:t>
      </w:r>
      <w:proofErr w:type="spellEnd"/>
      <w:r w:rsidR="001C0BC8" w:rsidRPr="00763EAB">
        <w:rPr>
          <w:lang w:val="en-US"/>
        </w:rPr>
        <w:t xml:space="preserve"> et al., 2002; Peat et al., 2001)</w:t>
      </w:r>
      <w:r w:rsidRPr="00763EAB">
        <w:rPr>
          <w:lang w:val="en-US"/>
        </w:rPr>
        <w:t xml:space="preserve">. Pain and disability caused by </w:t>
      </w:r>
      <w:r w:rsidR="008E6264" w:rsidRPr="00763EAB">
        <w:rPr>
          <w:lang w:val="en-US"/>
        </w:rPr>
        <w:t xml:space="preserve">OA </w:t>
      </w:r>
      <w:r w:rsidR="00DC5DC0" w:rsidRPr="00763EAB">
        <w:rPr>
          <w:lang w:val="en-US"/>
        </w:rPr>
        <w:t xml:space="preserve">have a negative impact on physical </w:t>
      </w:r>
      <w:r w:rsidRPr="00763EAB">
        <w:rPr>
          <w:lang w:val="en-US"/>
        </w:rPr>
        <w:t xml:space="preserve">activity, </w:t>
      </w:r>
      <w:r w:rsidR="00DC5DC0" w:rsidRPr="00763EAB">
        <w:rPr>
          <w:lang w:val="en-US"/>
        </w:rPr>
        <w:t xml:space="preserve">the </w:t>
      </w:r>
      <w:r w:rsidRPr="00763EAB">
        <w:rPr>
          <w:lang w:val="en-US"/>
        </w:rPr>
        <w:t xml:space="preserve">use </w:t>
      </w:r>
      <w:r w:rsidR="00DC5DC0" w:rsidRPr="00763EAB">
        <w:rPr>
          <w:lang w:val="en-US"/>
        </w:rPr>
        <w:t xml:space="preserve">of </w:t>
      </w:r>
      <w:proofErr w:type="spellStart"/>
      <w:r w:rsidR="00DC5DC0" w:rsidRPr="00763EAB">
        <w:rPr>
          <w:lang w:val="en-US"/>
        </w:rPr>
        <w:t>neighbourhood</w:t>
      </w:r>
      <w:proofErr w:type="spellEnd"/>
      <w:r w:rsidR="00DC5DC0" w:rsidRPr="00763EAB">
        <w:rPr>
          <w:lang w:val="en-US"/>
        </w:rPr>
        <w:t xml:space="preserve"> resources</w:t>
      </w:r>
      <w:r w:rsidRPr="00763EAB">
        <w:rPr>
          <w:lang w:val="en-US"/>
        </w:rPr>
        <w:t xml:space="preserve">, </w:t>
      </w:r>
      <w:r w:rsidR="00DC5DC0" w:rsidRPr="00763EAB">
        <w:rPr>
          <w:lang w:val="en-US"/>
        </w:rPr>
        <w:t>and</w:t>
      </w:r>
      <w:r w:rsidRPr="00763EAB">
        <w:rPr>
          <w:lang w:val="en-US"/>
        </w:rPr>
        <w:t xml:space="preserve"> </w:t>
      </w:r>
      <w:proofErr w:type="spellStart"/>
      <w:r w:rsidRPr="00763EAB">
        <w:rPr>
          <w:lang w:val="en-US"/>
        </w:rPr>
        <w:t>QoL</w:t>
      </w:r>
      <w:proofErr w:type="spellEnd"/>
      <w:r w:rsidR="001C0BC8" w:rsidRPr="00763EAB">
        <w:rPr>
          <w:lang w:val="en-US"/>
        </w:rPr>
        <w:t xml:space="preserve"> (De Groot et al., 2008; Van der Pas et al., 2016; </w:t>
      </w:r>
      <w:proofErr w:type="spellStart"/>
      <w:r w:rsidR="001C0BC8" w:rsidRPr="00763EAB">
        <w:rPr>
          <w:lang w:val="en-US"/>
        </w:rPr>
        <w:t>Salaffi</w:t>
      </w:r>
      <w:proofErr w:type="spellEnd"/>
      <w:r w:rsidR="001C0BC8" w:rsidRPr="00763EAB">
        <w:rPr>
          <w:lang w:val="en-US"/>
        </w:rPr>
        <w:t xml:space="preserve"> et al., 2005)</w:t>
      </w:r>
      <w:r w:rsidRPr="00763EAB">
        <w:rPr>
          <w:lang w:val="en-US"/>
        </w:rPr>
        <w:t xml:space="preserve">. </w:t>
      </w:r>
      <w:r w:rsidRPr="00763EAB">
        <w:rPr>
          <w:rFonts w:eastAsiaTheme="minorHAnsi"/>
          <w:lang w:val="en-US" w:eastAsia="en-US"/>
        </w:rPr>
        <w:t xml:space="preserve">Knowledge on the relationships between perceived </w:t>
      </w:r>
      <w:proofErr w:type="spellStart"/>
      <w:r w:rsidRPr="00763EAB">
        <w:rPr>
          <w:rFonts w:eastAsiaTheme="minorHAnsi"/>
          <w:lang w:val="en-US" w:eastAsia="en-US"/>
        </w:rPr>
        <w:t>neighbourhood</w:t>
      </w:r>
      <w:proofErr w:type="spellEnd"/>
      <w:r w:rsidRPr="00763EAB">
        <w:rPr>
          <w:rFonts w:eastAsiaTheme="minorHAnsi"/>
          <w:lang w:val="en-US" w:eastAsia="en-US"/>
        </w:rPr>
        <w:t xml:space="preserve"> problems, physical activity (PA) and </w:t>
      </w:r>
      <w:proofErr w:type="spellStart"/>
      <w:r w:rsidRPr="00763EAB">
        <w:rPr>
          <w:rFonts w:eastAsiaTheme="minorHAnsi"/>
          <w:lang w:val="en-US" w:eastAsia="en-US"/>
        </w:rPr>
        <w:t>QoL</w:t>
      </w:r>
      <w:proofErr w:type="spellEnd"/>
      <w:r w:rsidRPr="00763EAB">
        <w:rPr>
          <w:rFonts w:eastAsiaTheme="minorHAnsi"/>
          <w:lang w:val="en-US" w:eastAsia="en-US"/>
        </w:rPr>
        <w:t xml:space="preserve"> in older adults with and without OA is needed when planning environments that promote PA and well-being in healthy and functionally-impaired older persons.</w:t>
      </w:r>
    </w:p>
    <w:p w:rsidR="00C20A4E" w:rsidRPr="00763EAB" w:rsidRDefault="00C20A4E" w:rsidP="00C20A4E">
      <w:pPr>
        <w:spacing w:line="480" w:lineRule="auto"/>
        <w:ind w:firstLine="708"/>
        <w:jc w:val="both"/>
        <w:rPr>
          <w:lang w:val="en-GB"/>
        </w:rPr>
      </w:pPr>
      <w:r w:rsidRPr="00763EAB">
        <w:rPr>
          <w:lang w:val="en-US"/>
        </w:rPr>
        <w:t>It has been suggested that the less competent the individual, the greater the impact of environmental factors on that individual and that a fit between personal competencies and environmental dema</w:t>
      </w:r>
      <w:r w:rsidR="001C0BC8" w:rsidRPr="00763EAB">
        <w:rPr>
          <w:lang w:val="en-US"/>
        </w:rPr>
        <w:t xml:space="preserve">nds leads to better well-being (Lawton, 1986; Lawton and </w:t>
      </w:r>
      <w:proofErr w:type="spellStart"/>
      <w:r w:rsidR="001C0BC8" w:rsidRPr="00763EAB">
        <w:rPr>
          <w:lang w:val="en-US"/>
        </w:rPr>
        <w:t>Nahemow</w:t>
      </w:r>
      <w:proofErr w:type="spellEnd"/>
      <w:r w:rsidR="001C0BC8" w:rsidRPr="00763EAB">
        <w:rPr>
          <w:lang w:val="en-US"/>
        </w:rPr>
        <w:t>, 1973)</w:t>
      </w:r>
      <w:r w:rsidRPr="00763EAB">
        <w:rPr>
          <w:lang w:val="en-US"/>
        </w:rPr>
        <w:t xml:space="preserve">. Older adults with OA might be less competent compared to older persons without the condition and may experience more difficulties in overcoming perceived problems/barriers towards outdoor PA, which may result in poor </w:t>
      </w:r>
      <w:proofErr w:type="spellStart"/>
      <w:r w:rsidRPr="00763EAB">
        <w:rPr>
          <w:lang w:val="en-US"/>
        </w:rPr>
        <w:t>QoL</w:t>
      </w:r>
      <w:proofErr w:type="spellEnd"/>
      <w:r w:rsidR="001F45F8" w:rsidRPr="00763EAB">
        <w:rPr>
          <w:lang w:val="en-GB"/>
        </w:rPr>
        <w:t xml:space="preserve"> (Forsyth et al., 2009; </w:t>
      </w:r>
      <w:proofErr w:type="spellStart"/>
      <w:r w:rsidR="001F45F8" w:rsidRPr="00763EAB">
        <w:rPr>
          <w:lang w:val="en-GB"/>
        </w:rPr>
        <w:t>Iwarsson</w:t>
      </w:r>
      <w:proofErr w:type="spellEnd"/>
      <w:r w:rsidR="001F45F8" w:rsidRPr="00763EAB">
        <w:rPr>
          <w:lang w:val="en-GB"/>
        </w:rPr>
        <w:t xml:space="preserve">, 2005; Shumway-Cook et al., 2003). </w:t>
      </w:r>
      <w:r w:rsidRPr="00763EAB">
        <w:rPr>
          <w:lang w:val="en-GB"/>
        </w:rPr>
        <w:t xml:space="preserve">Little is known about the association between specific neighbourhood problems and </w:t>
      </w:r>
      <w:proofErr w:type="spellStart"/>
      <w:r w:rsidRPr="00763EAB">
        <w:rPr>
          <w:lang w:val="en-GB"/>
        </w:rPr>
        <w:t>QoL</w:t>
      </w:r>
      <w:proofErr w:type="spellEnd"/>
      <w:r w:rsidRPr="00763EAB">
        <w:rPr>
          <w:lang w:val="en-GB"/>
        </w:rPr>
        <w:t xml:space="preserve"> in ol</w:t>
      </w:r>
      <w:r w:rsidR="001C0BC8" w:rsidRPr="00763EAB">
        <w:rPr>
          <w:lang w:val="en-GB"/>
        </w:rPr>
        <w:t>der community-dwelling persons (</w:t>
      </w:r>
      <w:proofErr w:type="spellStart"/>
      <w:r w:rsidR="001C0BC8" w:rsidRPr="00763EAB">
        <w:rPr>
          <w:lang w:val="en-GB"/>
        </w:rPr>
        <w:t>Rantakokko</w:t>
      </w:r>
      <w:proofErr w:type="spellEnd"/>
      <w:r w:rsidR="001C0BC8" w:rsidRPr="00763EAB">
        <w:rPr>
          <w:lang w:val="en-GB"/>
        </w:rPr>
        <w:t xml:space="preserve"> et al., 2010)</w:t>
      </w:r>
      <w:r w:rsidRPr="00763EAB">
        <w:rPr>
          <w:lang w:val="en-GB"/>
        </w:rPr>
        <w:t xml:space="preserve">. A study by Puts et </w:t>
      </w:r>
      <w:r w:rsidR="001C0BC8" w:rsidRPr="00763EAB">
        <w:rPr>
          <w:lang w:val="en-GB"/>
        </w:rPr>
        <w:t>al.</w:t>
      </w:r>
      <w:r w:rsidRPr="00763EAB">
        <w:rPr>
          <w:lang w:val="en-GB"/>
        </w:rPr>
        <w:t xml:space="preserve"> showed that older frail and non-frail community-dwelling persons report that perceived neighbourhood problems, such as noise and crime, lead to a lower </w:t>
      </w:r>
      <w:proofErr w:type="spellStart"/>
      <w:r w:rsidRPr="00763EAB">
        <w:rPr>
          <w:lang w:val="en-GB"/>
        </w:rPr>
        <w:t>QoL</w:t>
      </w:r>
      <w:proofErr w:type="spellEnd"/>
      <w:r w:rsidRPr="00763EAB">
        <w:rPr>
          <w:lang w:val="en-GB"/>
        </w:rPr>
        <w:t>. Furthermore, it w</w:t>
      </w:r>
      <w:r w:rsidR="00BE3841" w:rsidRPr="00763EAB">
        <w:rPr>
          <w:lang w:val="en-GB"/>
        </w:rPr>
        <w:t xml:space="preserve">as found that the health of </w:t>
      </w:r>
      <w:r w:rsidRPr="00763EAB">
        <w:rPr>
          <w:lang w:val="en-GB"/>
        </w:rPr>
        <w:t xml:space="preserve">frail older persons limited the amount </w:t>
      </w:r>
      <w:r w:rsidRPr="00763EAB">
        <w:rPr>
          <w:lang w:val="en-GB"/>
        </w:rPr>
        <w:lastRenderedPageBreak/>
        <w:t xml:space="preserve">and scope of activities that they performed, resulting in a lower </w:t>
      </w:r>
      <w:proofErr w:type="spellStart"/>
      <w:r w:rsidRPr="00763EAB">
        <w:rPr>
          <w:lang w:val="en-GB"/>
        </w:rPr>
        <w:t>QoL</w:t>
      </w:r>
      <w:proofErr w:type="spellEnd"/>
      <w:r w:rsidR="001C0BC8" w:rsidRPr="00763EAB">
        <w:rPr>
          <w:lang w:val="en-GB"/>
        </w:rPr>
        <w:t xml:space="preserve"> (Puts et al., 2007). A study by </w:t>
      </w:r>
      <w:proofErr w:type="spellStart"/>
      <w:r w:rsidR="001C0BC8" w:rsidRPr="00763EAB">
        <w:rPr>
          <w:lang w:val="en-GB"/>
        </w:rPr>
        <w:t>Levasseur</w:t>
      </w:r>
      <w:proofErr w:type="spellEnd"/>
      <w:r w:rsidR="001C0BC8" w:rsidRPr="00763EAB">
        <w:rPr>
          <w:lang w:val="en-GB"/>
        </w:rPr>
        <w:t xml:space="preserve"> et al.</w:t>
      </w:r>
      <w:r w:rsidRPr="00763EAB">
        <w:rPr>
          <w:lang w:val="en-GB"/>
        </w:rPr>
        <w:t xml:space="preserve"> showed that fewer barriers in the physical outdoor environment predicted good </w:t>
      </w:r>
      <w:proofErr w:type="spellStart"/>
      <w:r w:rsidRPr="00763EAB">
        <w:rPr>
          <w:lang w:val="en-GB"/>
        </w:rPr>
        <w:t>QoL</w:t>
      </w:r>
      <w:proofErr w:type="spellEnd"/>
      <w:r w:rsidR="00EF00C6" w:rsidRPr="00763EAB">
        <w:rPr>
          <w:lang w:val="en-GB"/>
        </w:rPr>
        <w:t xml:space="preserve"> in older adults with physical disabilities</w:t>
      </w:r>
      <w:r w:rsidR="001C0BC8" w:rsidRPr="00763EAB">
        <w:rPr>
          <w:lang w:val="en-GB"/>
        </w:rPr>
        <w:t xml:space="preserve"> (</w:t>
      </w:r>
      <w:proofErr w:type="spellStart"/>
      <w:r w:rsidR="001C0BC8" w:rsidRPr="00763EAB">
        <w:rPr>
          <w:lang w:val="en-GB"/>
        </w:rPr>
        <w:t>Levasseur</w:t>
      </w:r>
      <w:proofErr w:type="spellEnd"/>
      <w:r w:rsidR="001C0BC8" w:rsidRPr="00763EAB">
        <w:rPr>
          <w:lang w:val="en-GB"/>
        </w:rPr>
        <w:t xml:space="preserve"> et al., 2008)</w:t>
      </w:r>
      <w:r w:rsidRPr="00763EAB">
        <w:rPr>
          <w:lang w:val="en-GB"/>
        </w:rPr>
        <w:t xml:space="preserve">. </w:t>
      </w:r>
      <w:proofErr w:type="spellStart"/>
      <w:r w:rsidRPr="00763EAB">
        <w:rPr>
          <w:lang w:val="en-GB"/>
        </w:rPr>
        <w:t>Rantakokko</w:t>
      </w:r>
      <w:proofErr w:type="spellEnd"/>
      <w:r w:rsidRPr="00763EAB">
        <w:rPr>
          <w:lang w:val="en-GB"/>
        </w:rPr>
        <w:t xml:space="preserve"> et al. showed that perceived barriers in the outdoor environment, such as traffic and poor street conditions, reduce </w:t>
      </w:r>
      <w:proofErr w:type="spellStart"/>
      <w:r w:rsidRPr="00763EAB">
        <w:rPr>
          <w:lang w:val="en-GB"/>
        </w:rPr>
        <w:t>QoL</w:t>
      </w:r>
      <w:proofErr w:type="spellEnd"/>
      <w:r w:rsidRPr="00763EAB">
        <w:rPr>
          <w:lang w:val="en-GB"/>
        </w:rPr>
        <w:t xml:space="preserve"> in older community-dwelling people. It was found that older persons who had more chronic conditions and slower walking speed reported more barriers in their outdoor environment and had lower </w:t>
      </w:r>
      <w:proofErr w:type="spellStart"/>
      <w:r w:rsidRPr="00763EAB">
        <w:rPr>
          <w:lang w:val="en-GB"/>
        </w:rPr>
        <w:t>QoL</w:t>
      </w:r>
      <w:proofErr w:type="spellEnd"/>
      <w:r w:rsidRPr="00763EAB">
        <w:rPr>
          <w:lang w:val="en-GB"/>
        </w:rPr>
        <w:t xml:space="preserve"> than those who were healthier. Furthermore, </w:t>
      </w:r>
      <w:proofErr w:type="spellStart"/>
      <w:r w:rsidRPr="00763EAB">
        <w:rPr>
          <w:lang w:val="en-GB"/>
        </w:rPr>
        <w:t>Rantakokko</w:t>
      </w:r>
      <w:proofErr w:type="spellEnd"/>
      <w:r w:rsidRPr="00763EAB">
        <w:rPr>
          <w:lang w:val="en-GB"/>
        </w:rPr>
        <w:t xml:space="preserve"> et al. showed that fear of moving outdoors and unmet PA </w:t>
      </w:r>
      <w:proofErr w:type="gramStart"/>
      <w:r w:rsidRPr="00763EAB">
        <w:rPr>
          <w:lang w:val="en-GB"/>
        </w:rPr>
        <w:t>needs,</w:t>
      </w:r>
      <w:proofErr w:type="gramEnd"/>
      <w:r w:rsidRPr="00763EAB">
        <w:rPr>
          <w:lang w:val="en-GB"/>
        </w:rPr>
        <w:t xml:space="preserve"> </w:t>
      </w:r>
      <w:r w:rsidR="00BE3841" w:rsidRPr="00763EAB">
        <w:rPr>
          <w:lang w:val="en-GB"/>
        </w:rPr>
        <w:t xml:space="preserve">considered to be </w:t>
      </w:r>
      <w:r w:rsidRPr="00763EAB">
        <w:rPr>
          <w:lang w:val="en-GB"/>
        </w:rPr>
        <w:t xml:space="preserve">the feeling that one’s level of PA is inadequate, mediate the association between perceived environmental barriers and </w:t>
      </w:r>
      <w:proofErr w:type="spellStart"/>
      <w:r w:rsidRPr="00763EAB">
        <w:rPr>
          <w:lang w:val="en-GB"/>
        </w:rPr>
        <w:t>QoL</w:t>
      </w:r>
      <w:proofErr w:type="spellEnd"/>
      <w:r w:rsidRPr="00763EAB">
        <w:rPr>
          <w:lang w:val="en-GB"/>
        </w:rPr>
        <w:t xml:space="preserve"> in older adults</w:t>
      </w:r>
      <w:r w:rsidR="001C0BC8" w:rsidRPr="00763EAB">
        <w:rPr>
          <w:lang w:val="en-GB"/>
        </w:rPr>
        <w:t xml:space="preserve"> (</w:t>
      </w:r>
      <w:proofErr w:type="spellStart"/>
      <w:r w:rsidR="001C0BC8" w:rsidRPr="00763EAB">
        <w:rPr>
          <w:lang w:val="en-GB"/>
        </w:rPr>
        <w:t>Rantakokko</w:t>
      </w:r>
      <w:proofErr w:type="spellEnd"/>
      <w:r w:rsidR="001C0BC8" w:rsidRPr="00763EAB">
        <w:rPr>
          <w:lang w:val="en-GB"/>
        </w:rPr>
        <w:t xml:space="preserve"> et al., 2010)</w:t>
      </w:r>
      <w:r w:rsidRPr="00763EAB">
        <w:rPr>
          <w:lang w:val="en-GB"/>
        </w:rPr>
        <w:t xml:space="preserve">. So far, the impact of environmental barriers on PA and </w:t>
      </w:r>
      <w:proofErr w:type="spellStart"/>
      <w:r w:rsidRPr="00763EAB">
        <w:rPr>
          <w:lang w:val="en-GB"/>
        </w:rPr>
        <w:t>QoL</w:t>
      </w:r>
      <w:proofErr w:type="spellEnd"/>
      <w:r w:rsidRPr="00763EAB">
        <w:rPr>
          <w:lang w:val="en-GB"/>
        </w:rPr>
        <w:t xml:space="preserve"> has never been</w:t>
      </w:r>
      <w:r w:rsidR="008E6264" w:rsidRPr="00763EAB">
        <w:rPr>
          <w:lang w:val="en-GB"/>
        </w:rPr>
        <w:t xml:space="preserve"> studied in older adults with </w:t>
      </w:r>
      <w:r w:rsidRPr="00763EAB">
        <w:rPr>
          <w:lang w:val="en-GB"/>
        </w:rPr>
        <w:t>OA. To promote PA and im</w:t>
      </w:r>
      <w:r w:rsidR="008E6264" w:rsidRPr="00763EAB">
        <w:rPr>
          <w:lang w:val="en-GB"/>
        </w:rPr>
        <w:t xml:space="preserve">prove </w:t>
      </w:r>
      <w:proofErr w:type="spellStart"/>
      <w:r w:rsidR="008E6264" w:rsidRPr="00763EAB">
        <w:rPr>
          <w:lang w:val="en-GB"/>
        </w:rPr>
        <w:t>QoL</w:t>
      </w:r>
      <w:proofErr w:type="spellEnd"/>
      <w:r w:rsidR="008E6264" w:rsidRPr="00763EAB">
        <w:rPr>
          <w:lang w:val="en-GB"/>
        </w:rPr>
        <w:t xml:space="preserve"> of individuals with </w:t>
      </w:r>
      <w:r w:rsidRPr="00763EAB">
        <w:rPr>
          <w:lang w:val="en-GB"/>
        </w:rPr>
        <w:t xml:space="preserve">OA, more knowledge is needed on the relationships between perceived neighbourhood problems, outdoor PA and </w:t>
      </w:r>
      <w:proofErr w:type="spellStart"/>
      <w:r w:rsidRPr="00763EAB">
        <w:rPr>
          <w:lang w:val="en-GB"/>
        </w:rPr>
        <w:t>QoL</w:t>
      </w:r>
      <w:proofErr w:type="spellEnd"/>
      <w:r w:rsidRPr="00763EAB">
        <w:rPr>
          <w:lang w:val="en-GB"/>
        </w:rPr>
        <w:t xml:space="preserve"> in this </w:t>
      </w:r>
      <w:r w:rsidR="00EF00C6" w:rsidRPr="00763EAB">
        <w:rPr>
          <w:lang w:val="en-GB"/>
        </w:rPr>
        <w:t xml:space="preserve">specific </w:t>
      </w:r>
      <w:r w:rsidRPr="00763EAB">
        <w:rPr>
          <w:lang w:val="en-GB"/>
        </w:rPr>
        <w:t xml:space="preserve">population. </w:t>
      </w:r>
    </w:p>
    <w:p w:rsidR="001C0BC8" w:rsidRPr="00763EAB" w:rsidRDefault="00C20A4E" w:rsidP="00EE0835">
      <w:pPr>
        <w:pStyle w:val="NoSpacing"/>
        <w:spacing w:line="480" w:lineRule="auto"/>
        <w:ind w:firstLine="708"/>
        <w:jc w:val="both"/>
        <w:rPr>
          <w:lang w:val="en-GB"/>
        </w:rPr>
      </w:pPr>
      <w:r w:rsidRPr="00763EAB">
        <w:rPr>
          <w:lang w:val="en-GB"/>
        </w:rPr>
        <w:t xml:space="preserve">This population-based study examines the association between </w:t>
      </w:r>
      <w:proofErr w:type="spellStart"/>
      <w:r w:rsidRPr="00763EAB">
        <w:rPr>
          <w:lang w:val="en-GB"/>
        </w:rPr>
        <w:t>QoL</w:t>
      </w:r>
      <w:proofErr w:type="spellEnd"/>
      <w:r w:rsidRPr="00763EAB">
        <w:rPr>
          <w:lang w:val="en-GB"/>
        </w:rPr>
        <w:t xml:space="preserve"> and perceived neighbourhood problems in older adults and assesses whether this relationship is stronger in those with OA. In addition, this study examines whether the association between perceived neighbourhood problems and QoL is mediated by actual outdoor PA. It is hypothesized that more perceived neighbourhood problems are cross-</w:t>
      </w:r>
      <w:proofErr w:type="spellStart"/>
      <w:r w:rsidRPr="00763EAB">
        <w:rPr>
          <w:lang w:val="en-GB"/>
        </w:rPr>
        <w:t>sectionally</w:t>
      </w:r>
      <w:proofErr w:type="spellEnd"/>
      <w:r w:rsidRPr="00763EAB">
        <w:rPr>
          <w:lang w:val="en-GB"/>
        </w:rPr>
        <w:t xml:space="preserve"> associated with poor </w:t>
      </w:r>
      <w:proofErr w:type="spellStart"/>
      <w:r w:rsidRPr="00763EAB">
        <w:rPr>
          <w:lang w:val="en-GB"/>
        </w:rPr>
        <w:t>QoL</w:t>
      </w:r>
      <w:proofErr w:type="spellEnd"/>
      <w:r w:rsidRPr="00763EAB">
        <w:rPr>
          <w:lang w:val="en-GB"/>
        </w:rPr>
        <w:t xml:space="preserve"> and are related to a decrease in </w:t>
      </w:r>
      <w:proofErr w:type="spellStart"/>
      <w:r w:rsidRPr="00763EAB">
        <w:rPr>
          <w:lang w:val="en-GB"/>
        </w:rPr>
        <w:t>QoL</w:t>
      </w:r>
      <w:proofErr w:type="spellEnd"/>
      <w:r w:rsidRPr="00763EAB">
        <w:rPr>
          <w:lang w:val="en-GB"/>
        </w:rPr>
        <w:t xml:space="preserve"> over time. It is expected that these relationships are stronger in older adults with OA than in those without the condition. Furthermore, it is hypothesized that PA plays a mediating role in the relationship between perceived neighbourhood problems and </w:t>
      </w:r>
      <w:proofErr w:type="spellStart"/>
      <w:r w:rsidRPr="00763EAB">
        <w:rPr>
          <w:lang w:val="en-GB"/>
        </w:rPr>
        <w:t>QoL</w:t>
      </w:r>
      <w:proofErr w:type="spellEnd"/>
      <w:r w:rsidRPr="00763EAB">
        <w:rPr>
          <w:lang w:val="en-GB"/>
        </w:rPr>
        <w:t xml:space="preserve">. It is expected that more perceived neighbourhood problems reduce outdoor PA in older adults, which in turn reduces </w:t>
      </w:r>
      <w:proofErr w:type="spellStart"/>
      <w:r w:rsidRPr="00763EAB">
        <w:rPr>
          <w:lang w:val="en-GB"/>
        </w:rPr>
        <w:t>QoL</w:t>
      </w:r>
      <w:proofErr w:type="spellEnd"/>
      <w:r w:rsidRPr="00763EAB">
        <w:rPr>
          <w:lang w:val="en-GB"/>
        </w:rPr>
        <w:t>.</w:t>
      </w:r>
    </w:p>
    <w:p w:rsidR="00C20A4E" w:rsidRPr="00763EAB" w:rsidRDefault="00C20A4E" w:rsidP="00EE0835">
      <w:pPr>
        <w:pStyle w:val="NoSpacing"/>
        <w:spacing w:line="480" w:lineRule="auto"/>
        <w:ind w:firstLine="708"/>
        <w:jc w:val="both"/>
        <w:rPr>
          <w:lang w:val="en-GB"/>
        </w:rPr>
      </w:pPr>
      <w:r w:rsidRPr="00763EAB">
        <w:rPr>
          <w:lang w:val="en-GB"/>
        </w:rPr>
        <w:br w:type="page"/>
      </w:r>
    </w:p>
    <w:p w:rsidR="00516922" w:rsidRPr="00763EAB" w:rsidRDefault="00516922" w:rsidP="00C20A4E">
      <w:pPr>
        <w:pStyle w:val="NoSpacing"/>
        <w:spacing w:line="480" w:lineRule="auto"/>
        <w:jc w:val="both"/>
        <w:rPr>
          <w:lang w:val="en-US"/>
        </w:rPr>
      </w:pPr>
      <w:r w:rsidRPr="00763EAB">
        <w:rPr>
          <w:b/>
          <w:lang w:val="en-GB"/>
        </w:rPr>
        <w:lastRenderedPageBreak/>
        <w:t>M</w:t>
      </w:r>
      <w:r w:rsidR="003B00F5" w:rsidRPr="00763EAB">
        <w:rPr>
          <w:b/>
          <w:lang w:val="en-GB"/>
        </w:rPr>
        <w:t>ethods</w:t>
      </w:r>
    </w:p>
    <w:p w:rsidR="00516922" w:rsidRPr="00763EAB" w:rsidRDefault="00516922" w:rsidP="00516922">
      <w:pPr>
        <w:spacing w:line="480" w:lineRule="auto"/>
        <w:rPr>
          <w:i/>
          <w:lang w:val="en-GB"/>
        </w:rPr>
      </w:pPr>
      <w:r w:rsidRPr="00763EAB">
        <w:rPr>
          <w:i/>
          <w:lang w:val="en-GB"/>
        </w:rPr>
        <w:t>Design and study sample</w:t>
      </w:r>
    </w:p>
    <w:p w:rsidR="00626060" w:rsidRPr="00763EAB" w:rsidRDefault="00BB173B" w:rsidP="002D39B5">
      <w:pPr>
        <w:pStyle w:val="NoSpacing"/>
        <w:spacing w:line="480" w:lineRule="auto"/>
        <w:jc w:val="both"/>
        <w:rPr>
          <w:lang w:val="en-GB"/>
        </w:rPr>
      </w:pPr>
      <w:r w:rsidRPr="00763EAB">
        <w:rPr>
          <w:lang w:val="en-GB"/>
        </w:rPr>
        <w:t>The study sample comprised men and women who participated in the United Kingdom (UK) component of the European Projec</w:t>
      </w:r>
      <w:r w:rsidR="00B50EFE" w:rsidRPr="00763EAB">
        <w:rPr>
          <w:lang w:val="en-GB"/>
        </w:rPr>
        <w:t xml:space="preserve">t on </w:t>
      </w:r>
      <w:proofErr w:type="spellStart"/>
      <w:r w:rsidR="00B50EFE" w:rsidRPr="00763EAB">
        <w:rPr>
          <w:lang w:val="en-GB"/>
        </w:rPr>
        <w:t>OSteoArthritis</w:t>
      </w:r>
      <w:proofErr w:type="spellEnd"/>
      <w:r w:rsidR="00B50EFE" w:rsidRPr="00763EAB">
        <w:rPr>
          <w:lang w:val="en-GB"/>
        </w:rPr>
        <w:t xml:space="preserve"> (EPOSA) and</w:t>
      </w:r>
      <w:r w:rsidRPr="00763EAB">
        <w:rPr>
          <w:lang w:val="en-GB"/>
        </w:rPr>
        <w:t xml:space="preserve"> who originally participated in the Hertfordshire Cohort Study (HCS). The HCS and the EPOSA study have been described in detail previously </w:t>
      </w:r>
      <w:r w:rsidR="001C0BC8" w:rsidRPr="00763EAB">
        <w:rPr>
          <w:lang w:val="en-GB"/>
        </w:rPr>
        <w:t>(Syddall et al., 2005; Van der Pas et al., 2013)</w:t>
      </w:r>
      <w:r w:rsidRPr="00763EAB">
        <w:rPr>
          <w:lang w:val="en-GB"/>
        </w:rPr>
        <w:t xml:space="preserve">. In summary, the HCS is a large, prospective, population-based study of the </w:t>
      </w:r>
      <w:r w:rsidR="0065649C" w:rsidRPr="00763EAB">
        <w:rPr>
          <w:lang w:val="en-GB"/>
        </w:rPr>
        <w:t>life course</w:t>
      </w:r>
      <w:r w:rsidRPr="00763EAB">
        <w:rPr>
          <w:lang w:val="en-GB"/>
        </w:rPr>
        <w:t xml:space="preserve"> origins of adult disease among men and women born in Hertfordshire </w:t>
      </w:r>
      <w:proofErr w:type="gramStart"/>
      <w:r w:rsidRPr="00763EAB">
        <w:rPr>
          <w:lang w:val="en-GB"/>
        </w:rPr>
        <w:t>between 1931-1939</w:t>
      </w:r>
      <w:proofErr w:type="gramEnd"/>
      <w:r w:rsidRPr="00763EAB">
        <w:rPr>
          <w:lang w:val="en-GB"/>
        </w:rPr>
        <w:t xml:space="preserve"> and still living </w:t>
      </w:r>
      <w:r w:rsidR="0065649C" w:rsidRPr="00763EAB">
        <w:rPr>
          <w:lang w:val="en-GB"/>
        </w:rPr>
        <w:t xml:space="preserve">in the county between 1998-2004. </w:t>
      </w:r>
      <w:r w:rsidR="00F52B5E" w:rsidRPr="00763EAB">
        <w:rPr>
          <w:lang w:val="en-GB"/>
        </w:rPr>
        <w:t xml:space="preserve">In 2010, a total of 592 surviving participants from the HCS were invited by letter to participate in the EPOSA study. The EPOSA study focuses on the personal and societal burden of OA and its determinants in older persons in six European countries. In total, 444 (75.0%) persons </w:t>
      </w:r>
      <w:r w:rsidR="001E62F4" w:rsidRPr="00763EAB">
        <w:rPr>
          <w:lang w:val="en-GB"/>
        </w:rPr>
        <w:t xml:space="preserve">from HCS </w:t>
      </w:r>
      <w:r w:rsidR="00F52B5E" w:rsidRPr="00763EAB">
        <w:rPr>
          <w:lang w:val="en-GB"/>
        </w:rPr>
        <w:t xml:space="preserve">agreed to participate in the EPOSA baseline study. Of these participants, 410 (92.3%) persons agreed to participate in the EPOSA follow-up study in 2011. Reasons for non-response </w:t>
      </w:r>
      <w:r w:rsidR="00D8753B" w:rsidRPr="00763EAB">
        <w:rPr>
          <w:lang w:val="en-GB"/>
        </w:rPr>
        <w:t xml:space="preserve">at follow-up </w:t>
      </w:r>
      <w:r w:rsidR="00F52B5E" w:rsidRPr="00763EAB">
        <w:rPr>
          <w:lang w:val="en-GB"/>
        </w:rPr>
        <w:t xml:space="preserve">were death (n=8), refusal (n=7), ineligible (n=9), and not contacted (n=4). For six persons, the reason for non-response </w:t>
      </w:r>
      <w:r w:rsidR="00D8753B" w:rsidRPr="00763EAB">
        <w:rPr>
          <w:lang w:val="en-GB"/>
        </w:rPr>
        <w:t xml:space="preserve">at follow-up </w:t>
      </w:r>
      <w:r w:rsidR="00F52B5E" w:rsidRPr="00763EAB">
        <w:rPr>
          <w:lang w:val="en-GB"/>
        </w:rPr>
        <w:t>was unknown.</w:t>
      </w:r>
      <w:r w:rsidR="003A757B" w:rsidRPr="00763EAB">
        <w:rPr>
          <w:lang w:val="en-GB"/>
        </w:rPr>
        <w:t xml:space="preserve"> </w:t>
      </w:r>
      <w:r w:rsidR="00626060" w:rsidRPr="00763EAB">
        <w:rPr>
          <w:lang w:val="en-GB"/>
        </w:rPr>
        <w:t xml:space="preserve">The data on perceived neighbourhood problems was collected in 2008 using a postal survey. </w:t>
      </w:r>
      <w:r w:rsidR="006027F3" w:rsidRPr="00763EAB">
        <w:rPr>
          <w:lang w:val="en-GB"/>
        </w:rPr>
        <w:t>Based on previous research</w:t>
      </w:r>
      <w:r w:rsidR="00D63076" w:rsidRPr="00763EAB">
        <w:rPr>
          <w:lang w:val="en-GB"/>
        </w:rPr>
        <w:t xml:space="preserve"> (Hertfordshire County Council, 2016)</w:t>
      </w:r>
      <w:r w:rsidR="00626060" w:rsidRPr="00763EAB">
        <w:rPr>
          <w:lang w:val="en-GB"/>
        </w:rPr>
        <w:t xml:space="preserve">, it is assumed that perceptions of neighbourhood problems remained stable between the postal survey and the EPOSA measurements. The participants who moved between the postal survey and the </w:t>
      </w:r>
      <w:r w:rsidR="00B178DA" w:rsidRPr="00763EAB">
        <w:rPr>
          <w:lang w:val="en-GB"/>
        </w:rPr>
        <w:t xml:space="preserve">follow-up </w:t>
      </w:r>
      <w:r w:rsidR="00626060" w:rsidRPr="00763EAB">
        <w:rPr>
          <w:lang w:val="en-GB"/>
        </w:rPr>
        <w:t>EPOSA measurement were excluded from the data analyses. Moreover, the participants who had no data available on perceived neighbourhood problems and</w:t>
      </w:r>
      <w:r w:rsidR="00B468F6" w:rsidRPr="00763EAB">
        <w:rPr>
          <w:lang w:val="en-GB"/>
        </w:rPr>
        <w:t>/or</w:t>
      </w:r>
      <w:r w:rsidR="00626060" w:rsidRPr="00763EAB">
        <w:rPr>
          <w:lang w:val="en-GB"/>
        </w:rPr>
        <w:t xml:space="preserve"> the presence of OA were omitted. The analyses for this study are based on 294 older persons having data available at baseline on the presence of OA, perceived neighbourhood problems, </w:t>
      </w:r>
      <w:proofErr w:type="spellStart"/>
      <w:r w:rsidR="00626060" w:rsidRPr="00763EAB">
        <w:rPr>
          <w:lang w:val="en-GB"/>
        </w:rPr>
        <w:t>QoL</w:t>
      </w:r>
      <w:proofErr w:type="spellEnd"/>
      <w:r w:rsidR="00626060" w:rsidRPr="00763EAB">
        <w:rPr>
          <w:lang w:val="en-GB"/>
        </w:rPr>
        <w:t xml:space="preserve">, </w:t>
      </w:r>
      <w:r w:rsidR="00F976B5" w:rsidRPr="00763EAB">
        <w:rPr>
          <w:lang w:val="en-GB"/>
        </w:rPr>
        <w:t xml:space="preserve">and </w:t>
      </w:r>
      <w:r w:rsidR="00626060" w:rsidRPr="00763EAB">
        <w:rPr>
          <w:lang w:val="en-GB"/>
        </w:rPr>
        <w:t>PA. The study was approved by the Hertfordshire Research Ethics Committee.</w:t>
      </w:r>
    </w:p>
    <w:p w:rsidR="00720859" w:rsidRPr="00763EAB" w:rsidRDefault="00720859" w:rsidP="00C20A4E">
      <w:pPr>
        <w:autoSpaceDE w:val="0"/>
        <w:autoSpaceDN w:val="0"/>
        <w:adjustRightInd w:val="0"/>
        <w:spacing w:line="480" w:lineRule="auto"/>
        <w:jc w:val="both"/>
        <w:rPr>
          <w:i/>
          <w:lang w:val="en-GB"/>
        </w:rPr>
      </w:pPr>
      <w:r w:rsidRPr="00763EAB">
        <w:rPr>
          <w:i/>
          <w:lang w:val="en-GB"/>
        </w:rPr>
        <w:lastRenderedPageBreak/>
        <w:t>Quality of life</w:t>
      </w:r>
    </w:p>
    <w:p w:rsidR="00671220" w:rsidRPr="00763EAB" w:rsidRDefault="003F621D" w:rsidP="008E1EFA">
      <w:pPr>
        <w:pStyle w:val="NoSpacing"/>
        <w:spacing w:line="480" w:lineRule="auto"/>
        <w:jc w:val="both"/>
        <w:rPr>
          <w:lang w:val="en-GB"/>
        </w:rPr>
      </w:pPr>
      <w:r w:rsidRPr="00763EAB">
        <w:rPr>
          <w:lang w:val="en-GB"/>
        </w:rPr>
        <w:t xml:space="preserve">At baseline </w:t>
      </w:r>
      <w:r w:rsidR="00030BE8" w:rsidRPr="00763EAB">
        <w:rPr>
          <w:lang w:val="en-GB"/>
        </w:rPr>
        <w:t xml:space="preserve">(2010) </w:t>
      </w:r>
      <w:r w:rsidRPr="00763EAB">
        <w:rPr>
          <w:lang w:val="en-GB"/>
        </w:rPr>
        <w:t>and follow-up</w:t>
      </w:r>
      <w:r w:rsidR="00030BE8" w:rsidRPr="00763EAB">
        <w:rPr>
          <w:lang w:val="en-GB"/>
        </w:rPr>
        <w:t xml:space="preserve"> (2011)</w:t>
      </w:r>
      <w:r w:rsidRPr="00763EAB">
        <w:rPr>
          <w:lang w:val="en-GB"/>
        </w:rPr>
        <w:t xml:space="preserve">, </w:t>
      </w:r>
      <w:proofErr w:type="spellStart"/>
      <w:r w:rsidR="00AD0029" w:rsidRPr="00763EAB">
        <w:rPr>
          <w:lang w:val="en-GB"/>
        </w:rPr>
        <w:t>QoL</w:t>
      </w:r>
      <w:proofErr w:type="spellEnd"/>
      <w:r w:rsidR="00AD0029" w:rsidRPr="00763EAB">
        <w:rPr>
          <w:lang w:val="en-GB"/>
        </w:rPr>
        <w:t xml:space="preserve"> </w:t>
      </w:r>
      <w:r w:rsidR="00025087" w:rsidRPr="00763EAB">
        <w:rPr>
          <w:lang w:val="en-GB"/>
        </w:rPr>
        <w:t xml:space="preserve">was measured using the EQ-5D. The EQ-5D is a generic instrument and it consists of 5 </w:t>
      </w:r>
      <w:r w:rsidR="00A10E61" w:rsidRPr="00763EAB">
        <w:rPr>
          <w:lang w:val="en-GB"/>
        </w:rPr>
        <w:t xml:space="preserve">questions </w:t>
      </w:r>
      <w:r w:rsidR="001F45F8" w:rsidRPr="00763EAB">
        <w:rPr>
          <w:lang w:val="en-GB"/>
        </w:rPr>
        <w:t>(Brooks et al., 2003)</w:t>
      </w:r>
      <w:r w:rsidR="00DE7A9A" w:rsidRPr="00763EAB">
        <w:rPr>
          <w:lang w:val="en-GB"/>
        </w:rPr>
        <w:t xml:space="preserve">. </w:t>
      </w:r>
      <w:r w:rsidR="00025087" w:rsidRPr="00763EAB">
        <w:rPr>
          <w:lang w:val="en-GB"/>
        </w:rPr>
        <w:t>The 5 items are related to the following domains: 1) Mobility</w:t>
      </w:r>
      <w:r w:rsidR="00326E76" w:rsidRPr="00763EAB">
        <w:rPr>
          <w:lang w:val="en-GB"/>
        </w:rPr>
        <w:t xml:space="preserve">, 2) Self-care, 3) Usual activities, 4) Pain/discomfort, and 5) anxiety/depression. The answer categories differ between the 5 items, </w:t>
      </w:r>
      <w:r w:rsidR="001633E4" w:rsidRPr="00763EAB">
        <w:rPr>
          <w:lang w:val="en-GB"/>
        </w:rPr>
        <w:t>but can roughly be divided into:</w:t>
      </w:r>
      <w:r w:rsidR="00326E76" w:rsidRPr="00763EAB">
        <w:rPr>
          <w:lang w:val="en-GB"/>
        </w:rPr>
        <w:t xml:space="preserve"> no problems</w:t>
      </w:r>
      <w:r w:rsidR="001633E4" w:rsidRPr="00763EAB">
        <w:rPr>
          <w:lang w:val="en-GB"/>
        </w:rPr>
        <w:t xml:space="preserve"> (score 1)</w:t>
      </w:r>
      <w:r w:rsidR="00326E76" w:rsidRPr="00763EAB">
        <w:rPr>
          <w:lang w:val="en-GB"/>
        </w:rPr>
        <w:t>, some problems</w:t>
      </w:r>
      <w:r w:rsidR="001633E4" w:rsidRPr="00763EAB">
        <w:rPr>
          <w:lang w:val="en-GB"/>
        </w:rPr>
        <w:t xml:space="preserve"> (score 2)</w:t>
      </w:r>
      <w:r w:rsidR="00326E76" w:rsidRPr="00763EAB">
        <w:rPr>
          <w:lang w:val="en-GB"/>
        </w:rPr>
        <w:t xml:space="preserve"> and extreme problems</w:t>
      </w:r>
      <w:r w:rsidR="001633E4" w:rsidRPr="00763EAB">
        <w:rPr>
          <w:lang w:val="en-GB"/>
        </w:rPr>
        <w:t xml:space="preserve"> (score 3)</w:t>
      </w:r>
      <w:r w:rsidR="00326E76" w:rsidRPr="00763EAB">
        <w:rPr>
          <w:lang w:val="en-GB"/>
        </w:rPr>
        <w:t>.</w:t>
      </w:r>
      <w:r w:rsidR="007A70B5" w:rsidRPr="00763EAB">
        <w:rPr>
          <w:lang w:val="en-GB"/>
        </w:rPr>
        <w:t xml:space="preserve"> </w:t>
      </w:r>
      <w:r w:rsidR="00EA1B31" w:rsidRPr="00763EAB">
        <w:rPr>
          <w:lang w:val="en-GB"/>
        </w:rPr>
        <w:t>The 5 domains can be converted into a single index score, which summarizes the health state of a participant.</w:t>
      </w:r>
      <w:r w:rsidR="008E1EFA" w:rsidRPr="00763EAB">
        <w:rPr>
          <w:lang w:val="en-GB"/>
        </w:rPr>
        <w:t xml:space="preserve"> </w:t>
      </w:r>
      <w:r w:rsidR="00EA1B31" w:rsidRPr="00763EAB">
        <w:rPr>
          <w:lang w:val="en-GB"/>
        </w:rPr>
        <w:t>The time trade-off method was used to derive valuations for</w:t>
      </w:r>
      <w:r w:rsidR="008E1EFA" w:rsidRPr="00763EAB">
        <w:rPr>
          <w:lang w:val="en-GB"/>
        </w:rPr>
        <w:t xml:space="preserve"> </w:t>
      </w:r>
      <w:r w:rsidR="00EA1B31" w:rsidRPr="00763EAB">
        <w:rPr>
          <w:lang w:val="en-GB"/>
        </w:rPr>
        <w:t>health states, which were subsequently modelled to predict</w:t>
      </w:r>
      <w:r w:rsidR="001F45F8" w:rsidRPr="00763EAB">
        <w:rPr>
          <w:lang w:val="en-GB"/>
        </w:rPr>
        <w:t xml:space="preserve"> the remaining index scores (Dolan, 1997)</w:t>
      </w:r>
      <w:r w:rsidR="008E1EFA" w:rsidRPr="00763EAB">
        <w:rPr>
          <w:lang w:val="en-GB"/>
        </w:rPr>
        <w:t xml:space="preserve">. An index score of 0 represents death, and an index score of 1 represents perfect health. </w:t>
      </w:r>
    </w:p>
    <w:p w:rsidR="00A63F22" w:rsidRPr="00763EAB" w:rsidRDefault="001244BE" w:rsidP="00DB3174">
      <w:pPr>
        <w:pStyle w:val="PlainText"/>
        <w:spacing w:line="480" w:lineRule="auto"/>
        <w:ind w:firstLine="708"/>
        <w:jc w:val="both"/>
        <w:rPr>
          <w:rFonts w:ascii="Times New Roman" w:hAnsi="Times New Roman" w:cs="Times New Roman"/>
          <w:sz w:val="24"/>
          <w:szCs w:val="24"/>
          <w:lang w:val="en-GB"/>
        </w:rPr>
      </w:pPr>
      <w:r w:rsidRPr="00763EAB">
        <w:rPr>
          <w:rFonts w:ascii="Times New Roman" w:hAnsi="Times New Roman" w:cs="Times New Roman"/>
          <w:sz w:val="24"/>
          <w:szCs w:val="24"/>
          <w:lang w:val="en-GB"/>
        </w:rPr>
        <w:t>Chan</w:t>
      </w:r>
      <w:r w:rsidR="00A63F22" w:rsidRPr="00763EAB">
        <w:rPr>
          <w:rFonts w:ascii="Times New Roman" w:hAnsi="Times New Roman" w:cs="Times New Roman"/>
          <w:sz w:val="24"/>
          <w:szCs w:val="24"/>
          <w:lang w:val="en-GB"/>
        </w:rPr>
        <w:t>ge</w:t>
      </w:r>
      <w:r w:rsidRPr="00763EAB">
        <w:rPr>
          <w:rFonts w:ascii="Times New Roman" w:hAnsi="Times New Roman" w:cs="Times New Roman"/>
          <w:sz w:val="24"/>
          <w:szCs w:val="24"/>
          <w:lang w:val="en-GB"/>
        </w:rPr>
        <w:t xml:space="preserve"> in </w:t>
      </w:r>
      <w:proofErr w:type="spellStart"/>
      <w:r w:rsidRPr="00763EAB">
        <w:rPr>
          <w:rFonts w:ascii="Times New Roman" w:hAnsi="Times New Roman" w:cs="Times New Roman"/>
          <w:sz w:val="24"/>
          <w:szCs w:val="24"/>
          <w:lang w:val="en-GB"/>
        </w:rPr>
        <w:t>QoL</w:t>
      </w:r>
      <w:proofErr w:type="spellEnd"/>
      <w:r w:rsidR="00A63F22" w:rsidRPr="00763EAB">
        <w:rPr>
          <w:rFonts w:ascii="Times New Roman" w:hAnsi="Times New Roman" w:cs="Times New Roman"/>
          <w:sz w:val="24"/>
          <w:szCs w:val="24"/>
          <w:lang w:val="en-GB"/>
        </w:rPr>
        <w:t xml:space="preserve"> over time</w:t>
      </w:r>
      <w:r w:rsidRPr="00763EAB">
        <w:rPr>
          <w:rFonts w:ascii="Times New Roman" w:hAnsi="Times New Roman" w:cs="Times New Roman"/>
          <w:sz w:val="24"/>
          <w:szCs w:val="24"/>
          <w:lang w:val="en-GB"/>
        </w:rPr>
        <w:t xml:space="preserve"> was measured by using two methods.</w:t>
      </w:r>
      <w:r w:rsidR="00A63F22" w:rsidRPr="00763EAB">
        <w:rPr>
          <w:rFonts w:ascii="Times New Roman" w:hAnsi="Times New Roman" w:cs="Times New Roman"/>
          <w:sz w:val="24"/>
          <w:szCs w:val="24"/>
          <w:lang w:val="en-GB"/>
        </w:rPr>
        <w:t xml:space="preserve"> The first measure of change in </w:t>
      </w:r>
      <w:proofErr w:type="spellStart"/>
      <w:r w:rsidR="00A63F22" w:rsidRPr="00763EAB">
        <w:rPr>
          <w:rFonts w:ascii="Times New Roman" w:hAnsi="Times New Roman" w:cs="Times New Roman"/>
          <w:sz w:val="24"/>
          <w:szCs w:val="24"/>
          <w:lang w:val="en-GB"/>
        </w:rPr>
        <w:t>QoL</w:t>
      </w:r>
      <w:proofErr w:type="spellEnd"/>
      <w:r w:rsidR="00A63F22" w:rsidRPr="00763EAB">
        <w:rPr>
          <w:rFonts w:ascii="Times New Roman" w:hAnsi="Times New Roman" w:cs="Times New Roman"/>
          <w:sz w:val="24"/>
          <w:szCs w:val="24"/>
          <w:lang w:val="en-GB"/>
        </w:rPr>
        <w:t xml:space="preserve"> over time</w:t>
      </w:r>
      <w:r w:rsidR="00063EFA" w:rsidRPr="00763EAB">
        <w:rPr>
          <w:rFonts w:ascii="Times New Roman" w:hAnsi="Times New Roman" w:cs="Times New Roman"/>
          <w:sz w:val="24"/>
          <w:szCs w:val="24"/>
          <w:lang w:val="en-GB"/>
        </w:rPr>
        <w:t xml:space="preserve"> includes a continuous measure. This measure</w:t>
      </w:r>
      <w:r w:rsidR="00A63F22" w:rsidRPr="00763EAB">
        <w:rPr>
          <w:rFonts w:ascii="Times New Roman" w:hAnsi="Times New Roman" w:cs="Times New Roman"/>
          <w:sz w:val="24"/>
          <w:szCs w:val="24"/>
          <w:lang w:val="en-GB"/>
        </w:rPr>
        <w:t xml:space="preserve"> was calculated by subtracting </w:t>
      </w:r>
      <w:r w:rsidR="00AD0029" w:rsidRPr="00763EAB">
        <w:rPr>
          <w:rFonts w:ascii="Times New Roman" w:hAnsi="Times New Roman" w:cs="Times New Roman"/>
          <w:sz w:val="24"/>
          <w:szCs w:val="24"/>
          <w:lang w:val="en-GB"/>
        </w:rPr>
        <w:t>the index score at follow-up from</w:t>
      </w:r>
      <w:r w:rsidR="001F45F8" w:rsidRPr="00763EAB">
        <w:rPr>
          <w:rFonts w:ascii="Times New Roman" w:hAnsi="Times New Roman" w:cs="Times New Roman"/>
          <w:sz w:val="24"/>
          <w:szCs w:val="24"/>
          <w:lang w:val="en-GB"/>
        </w:rPr>
        <w:t xml:space="preserve"> the index score at baseline (</w:t>
      </w:r>
      <w:proofErr w:type="spellStart"/>
      <w:r w:rsidR="001F45F8" w:rsidRPr="00763EAB">
        <w:rPr>
          <w:rFonts w:ascii="Times New Roman" w:hAnsi="Times New Roman" w:cs="Times New Roman"/>
          <w:sz w:val="24"/>
          <w:szCs w:val="24"/>
          <w:lang w:val="en-GB"/>
        </w:rPr>
        <w:t>Grandy</w:t>
      </w:r>
      <w:proofErr w:type="spellEnd"/>
      <w:r w:rsidR="001F45F8" w:rsidRPr="00763EAB">
        <w:rPr>
          <w:rFonts w:ascii="Times New Roman" w:hAnsi="Times New Roman" w:cs="Times New Roman"/>
          <w:sz w:val="24"/>
          <w:szCs w:val="24"/>
          <w:lang w:val="en-GB"/>
        </w:rPr>
        <w:t xml:space="preserve"> and Fox, 2012)</w:t>
      </w:r>
      <w:r w:rsidR="00AD0029" w:rsidRPr="00763EAB">
        <w:rPr>
          <w:rFonts w:ascii="Times New Roman" w:hAnsi="Times New Roman" w:cs="Times New Roman"/>
          <w:sz w:val="24"/>
          <w:szCs w:val="24"/>
          <w:lang w:val="en-GB"/>
        </w:rPr>
        <w:t xml:space="preserve">. </w:t>
      </w:r>
    </w:p>
    <w:p w:rsidR="007740BF" w:rsidRPr="00763EAB" w:rsidRDefault="00A63F22" w:rsidP="007740BF">
      <w:pPr>
        <w:pStyle w:val="PlainText"/>
        <w:spacing w:line="480" w:lineRule="auto"/>
        <w:jc w:val="both"/>
        <w:rPr>
          <w:rFonts w:ascii="Times New Roman" w:hAnsi="Times New Roman" w:cs="Times New Roman"/>
          <w:sz w:val="24"/>
          <w:szCs w:val="24"/>
          <w:lang w:val="en-US"/>
        </w:rPr>
      </w:pPr>
      <w:r w:rsidRPr="00763EAB">
        <w:rPr>
          <w:rFonts w:ascii="Times New Roman" w:hAnsi="Times New Roman" w:cs="Times New Roman"/>
          <w:sz w:val="24"/>
          <w:szCs w:val="24"/>
          <w:lang w:val="en-GB"/>
        </w:rPr>
        <w:tab/>
        <w:t xml:space="preserve">The second measure of change in </w:t>
      </w:r>
      <w:proofErr w:type="spellStart"/>
      <w:r w:rsidRPr="00763EAB">
        <w:rPr>
          <w:rFonts w:ascii="Times New Roman" w:hAnsi="Times New Roman" w:cs="Times New Roman"/>
          <w:sz w:val="24"/>
          <w:szCs w:val="24"/>
          <w:lang w:val="en-GB"/>
        </w:rPr>
        <w:t>QoL</w:t>
      </w:r>
      <w:proofErr w:type="spellEnd"/>
      <w:r w:rsidRPr="00763EAB">
        <w:rPr>
          <w:rFonts w:ascii="Times New Roman" w:hAnsi="Times New Roman" w:cs="Times New Roman"/>
          <w:sz w:val="24"/>
          <w:szCs w:val="24"/>
          <w:lang w:val="en-GB"/>
        </w:rPr>
        <w:t xml:space="preserve"> over time </w:t>
      </w:r>
      <w:r w:rsidR="00063EFA" w:rsidRPr="00763EAB">
        <w:rPr>
          <w:rFonts w:ascii="Times New Roman" w:hAnsi="Times New Roman" w:cs="Times New Roman"/>
          <w:sz w:val="24"/>
          <w:szCs w:val="24"/>
          <w:lang w:val="en-GB"/>
        </w:rPr>
        <w:t xml:space="preserve">includes a dichotomous measure and </w:t>
      </w:r>
      <w:r w:rsidRPr="00763EAB">
        <w:rPr>
          <w:rFonts w:ascii="Times New Roman" w:hAnsi="Times New Roman" w:cs="Times New Roman"/>
          <w:sz w:val="24"/>
          <w:szCs w:val="24"/>
          <w:lang w:val="en-GB"/>
        </w:rPr>
        <w:t xml:space="preserve">was </w:t>
      </w:r>
      <w:r w:rsidR="00063EFA" w:rsidRPr="00763EAB">
        <w:rPr>
          <w:rFonts w:ascii="Times New Roman" w:hAnsi="Times New Roman" w:cs="Times New Roman"/>
          <w:sz w:val="24"/>
          <w:szCs w:val="24"/>
          <w:lang w:val="en-GB"/>
        </w:rPr>
        <w:t xml:space="preserve">calculated by </w:t>
      </w:r>
      <w:r w:rsidRPr="00763EAB">
        <w:rPr>
          <w:rFonts w:ascii="Times New Roman" w:hAnsi="Times New Roman" w:cs="Times New Roman"/>
          <w:sz w:val="24"/>
          <w:szCs w:val="24"/>
          <w:lang w:val="en-GB"/>
        </w:rPr>
        <w:t>using the Edwards-</w:t>
      </w:r>
      <w:proofErr w:type="spellStart"/>
      <w:r w:rsidRPr="00763EAB">
        <w:rPr>
          <w:rFonts w:ascii="Times New Roman" w:hAnsi="Times New Roman" w:cs="Times New Roman"/>
          <w:sz w:val="24"/>
          <w:szCs w:val="24"/>
          <w:lang w:val="en-GB"/>
        </w:rPr>
        <w:t>Nunnally</w:t>
      </w:r>
      <w:proofErr w:type="spellEnd"/>
      <w:r w:rsidRPr="00763EAB">
        <w:rPr>
          <w:rFonts w:ascii="Times New Roman" w:hAnsi="Times New Roman" w:cs="Times New Roman"/>
          <w:sz w:val="24"/>
          <w:szCs w:val="24"/>
          <w:lang w:val="en-GB"/>
        </w:rPr>
        <w:t xml:space="preserve"> index. </w:t>
      </w:r>
      <w:r w:rsidR="00AD0029" w:rsidRPr="00763EAB">
        <w:rPr>
          <w:rFonts w:ascii="Times New Roman" w:hAnsi="Times New Roman" w:cs="Times New Roman"/>
          <w:sz w:val="24"/>
          <w:szCs w:val="24"/>
          <w:lang w:val="en-US"/>
        </w:rPr>
        <w:t>The Edwards-</w:t>
      </w:r>
      <w:proofErr w:type="spellStart"/>
      <w:r w:rsidR="00AD0029" w:rsidRPr="00763EAB">
        <w:rPr>
          <w:rFonts w:ascii="Times New Roman" w:hAnsi="Times New Roman" w:cs="Times New Roman"/>
          <w:sz w:val="24"/>
          <w:szCs w:val="24"/>
          <w:lang w:val="en-US"/>
        </w:rPr>
        <w:t>Nunnally</w:t>
      </w:r>
      <w:proofErr w:type="spellEnd"/>
      <w:r w:rsidR="00AD0029" w:rsidRPr="00763EAB">
        <w:rPr>
          <w:rFonts w:ascii="Times New Roman" w:hAnsi="Times New Roman" w:cs="Times New Roman"/>
          <w:sz w:val="24"/>
          <w:szCs w:val="24"/>
          <w:lang w:val="en-US"/>
        </w:rPr>
        <w:t xml:space="preserve"> index calculates individual significant change based on the reliability of the measurement instrument, the confidence interval (CI), and the </w:t>
      </w:r>
      <w:proofErr w:type="gramStart"/>
      <w:r w:rsidR="00AD0029" w:rsidRPr="00763EAB">
        <w:rPr>
          <w:rFonts w:ascii="Times New Roman" w:hAnsi="Times New Roman" w:cs="Times New Roman"/>
          <w:sz w:val="24"/>
          <w:szCs w:val="24"/>
          <w:lang w:val="en-US"/>
        </w:rPr>
        <w:t>popula</w:t>
      </w:r>
      <w:r w:rsidR="001F45F8" w:rsidRPr="00763EAB">
        <w:rPr>
          <w:rFonts w:ascii="Times New Roman" w:hAnsi="Times New Roman" w:cs="Times New Roman"/>
          <w:sz w:val="24"/>
          <w:szCs w:val="24"/>
          <w:lang w:val="en-US"/>
        </w:rPr>
        <w:t>tion mean</w:t>
      </w:r>
      <w:proofErr w:type="gramEnd"/>
      <w:r w:rsidR="001F45F8" w:rsidRPr="00763EAB">
        <w:rPr>
          <w:rFonts w:ascii="Times New Roman" w:hAnsi="Times New Roman" w:cs="Times New Roman"/>
          <w:sz w:val="24"/>
          <w:szCs w:val="24"/>
          <w:lang w:val="en-US"/>
        </w:rPr>
        <w:t xml:space="preserve"> (Speer and </w:t>
      </w:r>
      <w:proofErr w:type="spellStart"/>
      <w:r w:rsidR="001F45F8" w:rsidRPr="00763EAB">
        <w:rPr>
          <w:rFonts w:ascii="Times New Roman" w:hAnsi="Times New Roman" w:cs="Times New Roman"/>
          <w:sz w:val="24"/>
          <w:szCs w:val="24"/>
          <w:lang w:val="en-US"/>
        </w:rPr>
        <w:t>Greenbaum</w:t>
      </w:r>
      <w:proofErr w:type="spellEnd"/>
      <w:r w:rsidR="001F45F8" w:rsidRPr="00763EAB">
        <w:rPr>
          <w:rFonts w:ascii="Times New Roman" w:hAnsi="Times New Roman" w:cs="Times New Roman"/>
          <w:sz w:val="24"/>
          <w:szCs w:val="24"/>
          <w:lang w:val="en-US"/>
        </w:rPr>
        <w:t>, 1995)</w:t>
      </w:r>
      <w:r w:rsidR="00AD0029" w:rsidRPr="00763EAB">
        <w:rPr>
          <w:rFonts w:ascii="Times New Roman" w:hAnsi="Times New Roman" w:cs="Times New Roman"/>
          <w:sz w:val="24"/>
          <w:szCs w:val="24"/>
          <w:lang w:val="en-US"/>
        </w:rPr>
        <w:t xml:space="preserve">. This index has been developed to determine pre/posttest recovery. It classifies change as improved or deteriorated using the confidence interval. If the posttest lies outside of this CI, it is considered to be significantly different from the pretest score. The pre/posttest change is adjusted for regression to the mean. In this study, a 95% CI was used for </w:t>
      </w:r>
      <w:proofErr w:type="spellStart"/>
      <w:r w:rsidR="00AD0029" w:rsidRPr="00763EAB">
        <w:rPr>
          <w:rFonts w:ascii="Times New Roman" w:hAnsi="Times New Roman" w:cs="Times New Roman"/>
          <w:sz w:val="24"/>
          <w:szCs w:val="24"/>
          <w:lang w:val="en-US"/>
        </w:rPr>
        <w:t>QoL</w:t>
      </w:r>
      <w:proofErr w:type="spellEnd"/>
      <w:r w:rsidR="00AD0029" w:rsidRPr="00763EAB">
        <w:rPr>
          <w:rFonts w:ascii="Times New Roman" w:hAnsi="Times New Roman" w:cs="Times New Roman"/>
          <w:sz w:val="24"/>
          <w:szCs w:val="24"/>
          <w:lang w:val="en-US"/>
        </w:rPr>
        <w:t xml:space="preserve">. The scores were dichotomized into </w:t>
      </w:r>
      <w:r w:rsidR="007D02FD" w:rsidRPr="00763EAB">
        <w:rPr>
          <w:rFonts w:ascii="Times New Roman" w:hAnsi="Times New Roman" w:cs="Times New Roman"/>
          <w:sz w:val="24"/>
          <w:szCs w:val="24"/>
          <w:lang w:val="en-US"/>
        </w:rPr>
        <w:t>no decline (0) and decline (1</w:t>
      </w:r>
      <w:r w:rsidR="00AD0029" w:rsidRPr="00763EAB">
        <w:rPr>
          <w:rFonts w:ascii="Times New Roman" w:hAnsi="Times New Roman" w:cs="Times New Roman"/>
          <w:sz w:val="24"/>
          <w:szCs w:val="24"/>
          <w:lang w:val="en-US"/>
        </w:rPr>
        <w:t>).</w:t>
      </w:r>
      <w:r w:rsidR="007740BF" w:rsidRPr="00763EAB">
        <w:rPr>
          <w:rFonts w:ascii="Times New Roman" w:hAnsi="Times New Roman" w:cs="Times New Roman"/>
          <w:sz w:val="24"/>
          <w:szCs w:val="24"/>
          <w:lang w:val="en-US"/>
        </w:rPr>
        <w:t xml:space="preserve"> </w:t>
      </w:r>
    </w:p>
    <w:p w:rsidR="001F45F8" w:rsidRPr="00763EAB" w:rsidRDefault="001F45F8" w:rsidP="007740BF">
      <w:pPr>
        <w:pStyle w:val="PlainText"/>
        <w:spacing w:line="480" w:lineRule="auto"/>
        <w:jc w:val="both"/>
        <w:rPr>
          <w:lang w:val="en-US"/>
        </w:rPr>
      </w:pPr>
    </w:p>
    <w:p w:rsidR="009925DE" w:rsidRPr="00763EAB" w:rsidRDefault="009925DE" w:rsidP="00720859">
      <w:pPr>
        <w:pStyle w:val="NoSpacing"/>
        <w:spacing w:line="480" w:lineRule="auto"/>
        <w:rPr>
          <w:i/>
          <w:lang w:val="en-GB"/>
        </w:rPr>
      </w:pPr>
      <w:r w:rsidRPr="00763EAB">
        <w:rPr>
          <w:i/>
          <w:lang w:val="en-GB"/>
        </w:rPr>
        <w:lastRenderedPageBreak/>
        <w:t>Perceived neighbourhood problems</w:t>
      </w:r>
    </w:p>
    <w:p w:rsidR="009925DE" w:rsidRPr="00763EAB" w:rsidRDefault="009925DE" w:rsidP="009925DE">
      <w:pPr>
        <w:spacing w:line="480" w:lineRule="auto"/>
        <w:jc w:val="both"/>
        <w:rPr>
          <w:lang w:val="en-US"/>
        </w:rPr>
      </w:pPr>
      <w:r w:rsidRPr="00763EAB">
        <w:rPr>
          <w:lang w:val="en-US"/>
        </w:rPr>
        <w:t xml:space="preserve">In the postal survey (2008), perceptions of </w:t>
      </w:r>
      <w:proofErr w:type="spellStart"/>
      <w:r w:rsidRPr="00763EAB">
        <w:rPr>
          <w:lang w:val="en-US"/>
        </w:rPr>
        <w:t>neighbourhood</w:t>
      </w:r>
      <w:proofErr w:type="spellEnd"/>
      <w:r w:rsidRPr="00763EAB">
        <w:rPr>
          <w:lang w:val="en-US"/>
        </w:rPr>
        <w:t xml:space="preserve"> problems were assessed by asking participants to consider a list of eight problems that people often have with the area where they live and indicate whether each one was not a problem (score 1), a small problem (score 2) or a big problem (score 3) for them. These and similar items have been widely used in UK government social surveys, such as </w:t>
      </w:r>
      <w:r w:rsidR="001F45F8" w:rsidRPr="00763EAB">
        <w:rPr>
          <w:lang w:val="en-US"/>
        </w:rPr>
        <w:t>the General Household Survey (Ali et al., 2009)</w:t>
      </w:r>
      <w:r w:rsidRPr="00763EAB">
        <w:rPr>
          <w:lang w:val="en-US"/>
        </w:rPr>
        <w:t xml:space="preserve">. The eight problems were: (1) vandalism, (2) litter and rubbish, (3) smells and fumes, (4) assaults and muggings, (5) burglaries, (6) disturbance by children or youngsters, (7) traffic, and (8) noise. An overall score was calculated by summing the scores for each item. </w:t>
      </w:r>
      <w:r w:rsidRPr="00763EAB">
        <w:rPr>
          <w:lang w:val="en-GB"/>
        </w:rPr>
        <w:t xml:space="preserve">The </w:t>
      </w:r>
      <w:proofErr w:type="spellStart"/>
      <w:r w:rsidR="00824C0B" w:rsidRPr="00763EAB">
        <w:rPr>
          <w:lang w:val="en-GB"/>
        </w:rPr>
        <w:t>sum</w:t>
      </w:r>
      <w:r w:rsidRPr="00763EAB">
        <w:rPr>
          <w:lang w:val="en-GB"/>
        </w:rPr>
        <w:t>index</w:t>
      </w:r>
      <w:proofErr w:type="spellEnd"/>
      <w:r w:rsidRPr="00763EAB">
        <w:rPr>
          <w:lang w:val="en-GB"/>
        </w:rPr>
        <w:t xml:space="preserve"> ranged from 8 to 24, with higher scores indicati</w:t>
      </w:r>
      <w:r w:rsidR="00303365" w:rsidRPr="00763EAB">
        <w:rPr>
          <w:lang w:val="en-GB"/>
        </w:rPr>
        <w:t>ng more neighbourhood problems.</w:t>
      </w:r>
      <w:r w:rsidR="002278BB" w:rsidRPr="00763EAB">
        <w:rPr>
          <w:lang w:val="en-GB"/>
        </w:rPr>
        <w:t xml:space="preserve"> Furthermore, the 8 </w:t>
      </w:r>
      <w:r w:rsidR="00157F3D" w:rsidRPr="00763EAB">
        <w:rPr>
          <w:lang w:val="en-GB"/>
        </w:rPr>
        <w:t>individual</w:t>
      </w:r>
      <w:r w:rsidR="002278BB" w:rsidRPr="00763EAB">
        <w:rPr>
          <w:lang w:val="en-GB"/>
        </w:rPr>
        <w:t xml:space="preserve"> neighbourhood problem items were dichotomized into no problem (0) and small/big problem (1).</w:t>
      </w:r>
    </w:p>
    <w:p w:rsidR="00920EF1" w:rsidRPr="00763EAB" w:rsidRDefault="00920EF1" w:rsidP="004E3327">
      <w:pPr>
        <w:spacing w:line="480" w:lineRule="auto"/>
        <w:jc w:val="both"/>
        <w:rPr>
          <w:i/>
          <w:lang w:val="en-GB"/>
        </w:rPr>
      </w:pPr>
    </w:p>
    <w:p w:rsidR="004E3327" w:rsidRPr="00763EAB" w:rsidRDefault="004E3327" w:rsidP="004E3327">
      <w:pPr>
        <w:spacing w:line="480" w:lineRule="auto"/>
        <w:jc w:val="both"/>
        <w:rPr>
          <w:i/>
          <w:lang w:val="en-GB"/>
        </w:rPr>
      </w:pPr>
      <w:r w:rsidRPr="00763EAB">
        <w:rPr>
          <w:i/>
          <w:lang w:val="en-GB"/>
        </w:rPr>
        <w:t>Potential effect modifier</w:t>
      </w:r>
    </w:p>
    <w:p w:rsidR="004E3327" w:rsidRPr="00763EAB" w:rsidRDefault="004E3327" w:rsidP="004E3327">
      <w:pPr>
        <w:spacing w:line="480" w:lineRule="auto"/>
        <w:jc w:val="both"/>
        <w:rPr>
          <w:lang w:val="en-US"/>
        </w:rPr>
      </w:pPr>
      <w:r w:rsidRPr="00763EAB">
        <w:rPr>
          <w:lang w:val="en-US"/>
        </w:rPr>
        <w:t>A potential effect modifier was clinical OA. In the EPOSA study (2010), the American College of Rheumatology (ACR) classificatio</w:t>
      </w:r>
      <w:r w:rsidR="001F45F8" w:rsidRPr="00763EAB">
        <w:rPr>
          <w:lang w:val="en-US"/>
        </w:rPr>
        <w:t>n criteria (Altman, 1991)</w:t>
      </w:r>
      <w:r w:rsidRPr="00763EAB">
        <w:rPr>
          <w:lang w:val="en-US"/>
        </w:rPr>
        <w:t xml:space="preserve"> were used to diagnose OA in knee, hand and hip in older people. An algorithm was specified for non-specific OA (OA versus no-OA). An extensive description of the diagnosis of OA in knee, hand a</w:t>
      </w:r>
      <w:r w:rsidR="001F45F8" w:rsidRPr="00763EAB">
        <w:rPr>
          <w:lang w:val="en-US"/>
        </w:rPr>
        <w:t>nd hip is described elsewhere (Van der Pas et al., 2013)</w:t>
      </w:r>
      <w:r w:rsidRPr="00763EAB">
        <w:rPr>
          <w:lang w:val="en-US"/>
        </w:rPr>
        <w:t>.</w:t>
      </w:r>
    </w:p>
    <w:p w:rsidR="00781025" w:rsidRPr="00763EAB" w:rsidRDefault="00781025">
      <w:pPr>
        <w:spacing w:after="200" w:line="276" w:lineRule="auto"/>
        <w:rPr>
          <w:i/>
          <w:lang w:val="en-GB"/>
        </w:rPr>
      </w:pPr>
    </w:p>
    <w:p w:rsidR="009B46BB" w:rsidRPr="00763EAB" w:rsidRDefault="009B46BB">
      <w:pPr>
        <w:spacing w:after="200" w:line="276" w:lineRule="auto"/>
        <w:rPr>
          <w:i/>
          <w:lang w:val="en-GB"/>
        </w:rPr>
      </w:pPr>
      <w:r w:rsidRPr="00763EAB">
        <w:rPr>
          <w:i/>
          <w:lang w:val="en-GB"/>
        </w:rPr>
        <w:br w:type="page"/>
      </w:r>
    </w:p>
    <w:p w:rsidR="00264B11" w:rsidRPr="00763EAB" w:rsidRDefault="00AC550E">
      <w:pPr>
        <w:spacing w:after="200" w:line="276" w:lineRule="auto"/>
        <w:rPr>
          <w:i/>
          <w:lang w:val="en-GB"/>
        </w:rPr>
      </w:pPr>
      <w:r w:rsidRPr="00763EAB">
        <w:rPr>
          <w:i/>
          <w:lang w:val="en-GB"/>
        </w:rPr>
        <w:lastRenderedPageBreak/>
        <w:t>Potential mediator</w:t>
      </w:r>
    </w:p>
    <w:p w:rsidR="00753E18" w:rsidRPr="00763EAB" w:rsidRDefault="00753E18" w:rsidP="00753E18">
      <w:pPr>
        <w:spacing w:line="480" w:lineRule="auto"/>
        <w:jc w:val="both"/>
        <w:rPr>
          <w:lang w:val="en-GB"/>
        </w:rPr>
      </w:pPr>
      <w:r w:rsidRPr="00763EAB">
        <w:rPr>
          <w:lang w:val="en-GB"/>
        </w:rPr>
        <w:t xml:space="preserve">A potential mediator was outdoor PA. Physical activity was measured using the LASA Physical </w:t>
      </w:r>
      <w:r w:rsidR="0036600F" w:rsidRPr="00763EAB">
        <w:rPr>
          <w:lang w:val="en-GB"/>
        </w:rPr>
        <w:t xml:space="preserve">Activity Questionnaire (LAPAQ) </w:t>
      </w:r>
      <w:r w:rsidR="001F45F8" w:rsidRPr="00763EAB">
        <w:rPr>
          <w:lang w:val="en-GB"/>
        </w:rPr>
        <w:t>(</w:t>
      </w:r>
      <w:proofErr w:type="spellStart"/>
      <w:r w:rsidR="001F45F8" w:rsidRPr="00763EAB">
        <w:rPr>
          <w:lang w:val="en-GB"/>
        </w:rPr>
        <w:t>Stel</w:t>
      </w:r>
      <w:proofErr w:type="spellEnd"/>
      <w:r w:rsidR="001F45F8" w:rsidRPr="00763EAB">
        <w:rPr>
          <w:lang w:val="en-GB"/>
        </w:rPr>
        <w:t xml:space="preserve"> et al., 2004)</w:t>
      </w:r>
      <w:r w:rsidRPr="00763EAB">
        <w:rPr>
          <w:lang w:val="en-GB"/>
        </w:rPr>
        <w:t>. The LAPAQ covers frequency and duration of different activities during the previous two weeks. Activities covered in the LAPAQ include walking outside, cycling, gardening, light and heavy household work and a maximum of two sports. In order to calculate average daily outdoor PA in minutes, the frequency and duration of walking, cycling and gardening were multiplied and divided by 14 days. Sport activities were not included in this outdoor PA measure, because certain sports could be performed indoors as well as outdoors.</w:t>
      </w:r>
      <w:r w:rsidR="00EF624B" w:rsidRPr="00763EAB">
        <w:rPr>
          <w:lang w:val="en-GB"/>
        </w:rPr>
        <w:t xml:space="preserve"> </w:t>
      </w:r>
    </w:p>
    <w:p w:rsidR="00DB33CB" w:rsidRPr="00763EAB" w:rsidRDefault="00DB33CB" w:rsidP="00A728F5">
      <w:pPr>
        <w:spacing w:line="480" w:lineRule="auto"/>
        <w:jc w:val="both"/>
        <w:rPr>
          <w:lang w:val="en-GB"/>
        </w:rPr>
      </w:pPr>
    </w:p>
    <w:p w:rsidR="00A728F5" w:rsidRPr="00763EAB" w:rsidRDefault="00DC51F0" w:rsidP="00A728F5">
      <w:pPr>
        <w:spacing w:line="480" w:lineRule="auto"/>
        <w:jc w:val="both"/>
        <w:rPr>
          <w:i/>
          <w:lang w:val="en-GB"/>
        </w:rPr>
      </w:pPr>
      <w:r w:rsidRPr="00763EAB">
        <w:rPr>
          <w:i/>
          <w:lang w:val="en-GB"/>
        </w:rPr>
        <w:t>P</w:t>
      </w:r>
      <w:r w:rsidR="00A728F5" w:rsidRPr="00763EAB">
        <w:rPr>
          <w:i/>
          <w:lang w:val="en-GB"/>
        </w:rPr>
        <w:t>otential confounders</w:t>
      </w:r>
    </w:p>
    <w:p w:rsidR="009212F5" w:rsidRPr="00763EAB" w:rsidRDefault="00BE3841" w:rsidP="009212F5">
      <w:pPr>
        <w:spacing w:line="480" w:lineRule="auto"/>
        <w:jc w:val="both"/>
        <w:rPr>
          <w:lang w:val="en-GB"/>
        </w:rPr>
      </w:pPr>
      <w:r w:rsidRPr="00763EAB">
        <w:rPr>
          <w:lang w:val="en-GB"/>
        </w:rPr>
        <w:t>We considered the following potential confounders</w:t>
      </w:r>
      <w:r w:rsidR="00A8033B" w:rsidRPr="00763EAB">
        <w:rPr>
          <w:lang w:val="en-GB"/>
        </w:rPr>
        <w:t>:</w:t>
      </w:r>
      <w:r w:rsidR="009212F5" w:rsidRPr="00763EAB">
        <w:rPr>
          <w:lang w:val="en-GB"/>
        </w:rPr>
        <w:t xml:space="preserve"> age, sex</w:t>
      </w:r>
      <w:r w:rsidR="00A8033B" w:rsidRPr="00763EAB">
        <w:rPr>
          <w:lang w:val="en-GB"/>
        </w:rPr>
        <w:t xml:space="preserve"> (0=men, 1=women)</w:t>
      </w:r>
      <w:r w:rsidR="009212F5" w:rsidRPr="00763EAB">
        <w:rPr>
          <w:lang w:val="en-GB"/>
        </w:rPr>
        <w:t>, partner status</w:t>
      </w:r>
      <w:r w:rsidR="00A8033B" w:rsidRPr="00763EAB">
        <w:rPr>
          <w:lang w:val="en-GB"/>
        </w:rPr>
        <w:t xml:space="preserve"> (0=no partner, 1=partner)</w:t>
      </w:r>
      <w:r w:rsidR="009212F5" w:rsidRPr="00763EAB">
        <w:rPr>
          <w:lang w:val="en-GB"/>
        </w:rPr>
        <w:t>, educational level</w:t>
      </w:r>
      <w:r w:rsidR="00A8033B" w:rsidRPr="00763EAB">
        <w:rPr>
          <w:lang w:val="en-GB"/>
        </w:rPr>
        <w:t xml:space="preserve"> (0&lt;secondary education, 1≥secondary education)</w:t>
      </w:r>
      <w:r w:rsidR="009212F5" w:rsidRPr="00763EAB">
        <w:rPr>
          <w:lang w:val="en-GB"/>
        </w:rPr>
        <w:t>, an</w:t>
      </w:r>
      <w:r w:rsidR="00265462" w:rsidRPr="00763EAB">
        <w:rPr>
          <w:lang w:val="en-GB"/>
        </w:rPr>
        <w:t xml:space="preserve">xiety, depression, </w:t>
      </w:r>
      <w:r w:rsidR="00952032" w:rsidRPr="00763EAB">
        <w:rPr>
          <w:lang w:val="en-GB"/>
        </w:rPr>
        <w:t xml:space="preserve">general cognitive functioning, </w:t>
      </w:r>
      <w:r w:rsidR="00265462" w:rsidRPr="00763EAB">
        <w:rPr>
          <w:lang w:val="en-GB"/>
        </w:rPr>
        <w:t>and comorbidity.</w:t>
      </w:r>
    </w:p>
    <w:p w:rsidR="00952032" w:rsidRPr="00763EAB" w:rsidRDefault="009212F5" w:rsidP="009212F5">
      <w:pPr>
        <w:spacing w:line="480" w:lineRule="auto"/>
        <w:ind w:firstLine="708"/>
        <w:jc w:val="both"/>
        <w:rPr>
          <w:rStyle w:val="paragraph24752463"/>
          <w:lang w:val="en-US"/>
        </w:rPr>
      </w:pPr>
      <w:r w:rsidRPr="00763EAB">
        <w:rPr>
          <w:rStyle w:val="paragraph24752463"/>
          <w:lang w:val="en-US"/>
        </w:rPr>
        <w:t>Anxiety and depressive symptoms were examined by the Hospital Anxi</w:t>
      </w:r>
      <w:r w:rsidR="001F45F8" w:rsidRPr="00763EAB">
        <w:rPr>
          <w:rStyle w:val="paragraph24752463"/>
          <w:lang w:val="en-US"/>
        </w:rPr>
        <w:t>ety Depression Scales (HADS) (</w:t>
      </w:r>
      <w:proofErr w:type="spellStart"/>
      <w:r w:rsidR="001F45F8" w:rsidRPr="00763EAB">
        <w:rPr>
          <w:rStyle w:val="paragraph24752463"/>
          <w:lang w:val="en-US"/>
        </w:rPr>
        <w:t>Zigmond</w:t>
      </w:r>
      <w:proofErr w:type="spellEnd"/>
      <w:r w:rsidR="001F45F8" w:rsidRPr="00763EAB">
        <w:rPr>
          <w:rStyle w:val="paragraph24752463"/>
          <w:lang w:val="en-US"/>
        </w:rPr>
        <w:t xml:space="preserve"> and </w:t>
      </w:r>
      <w:proofErr w:type="spellStart"/>
      <w:r w:rsidR="001F45F8" w:rsidRPr="00763EAB">
        <w:rPr>
          <w:rStyle w:val="paragraph24752463"/>
          <w:lang w:val="en-US"/>
        </w:rPr>
        <w:t>Snaith</w:t>
      </w:r>
      <w:proofErr w:type="spellEnd"/>
      <w:r w:rsidR="001F45F8" w:rsidRPr="00763EAB">
        <w:rPr>
          <w:rStyle w:val="paragraph24752463"/>
          <w:lang w:val="en-US"/>
        </w:rPr>
        <w:t>, 1983)</w:t>
      </w:r>
      <w:r w:rsidRPr="00763EAB">
        <w:rPr>
          <w:rStyle w:val="paragraph24752463"/>
          <w:lang w:val="en-US"/>
        </w:rPr>
        <w:t xml:space="preserve">. </w:t>
      </w:r>
      <w:r w:rsidR="003F0C2D" w:rsidRPr="00763EAB">
        <w:rPr>
          <w:rStyle w:val="paragraph24752463"/>
          <w:lang w:val="en-US"/>
        </w:rPr>
        <w:t xml:space="preserve">The </w:t>
      </w:r>
      <w:r w:rsidRPr="00763EAB">
        <w:rPr>
          <w:rStyle w:val="paragraph24752463"/>
          <w:lang w:val="en-US"/>
        </w:rPr>
        <w:t>HADS is a self-report questionnaire comprising 14 four-point Likert scaled items, 7 for anxiety (HADS-A) and 7 for depression (HADS-D). Both scales have a range from 0 to 21. HADS-A and HADS-D were used as categorical variables with cut-off level of 8 or more for presence of anxiety and depression.</w:t>
      </w:r>
    </w:p>
    <w:p w:rsidR="00EB1718" w:rsidRPr="00763EAB" w:rsidRDefault="00952032" w:rsidP="009212F5">
      <w:pPr>
        <w:spacing w:line="480" w:lineRule="auto"/>
        <w:ind w:firstLine="708"/>
        <w:jc w:val="both"/>
        <w:rPr>
          <w:rStyle w:val="paragraph24752463"/>
          <w:lang w:val="en-US"/>
        </w:rPr>
      </w:pPr>
      <w:r w:rsidRPr="00763EAB">
        <w:rPr>
          <w:rStyle w:val="paragraph24752463"/>
          <w:lang w:val="en-US"/>
        </w:rPr>
        <w:t>General cognitive functioning was measured by using the Mini-Mental State Examination (MMSE)</w:t>
      </w:r>
      <w:r w:rsidR="002017BA" w:rsidRPr="00763EAB">
        <w:rPr>
          <w:rStyle w:val="paragraph24752463"/>
          <w:lang w:val="en-US"/>
        </w:rPr>
        <w:t xml:space="preserve"> (</w:t>
      </w:r>
      <w:proofErr w:type="spellStart"/>
      <w:r w:rsidR="002017BA" w:rsidRPr="00763EAB">
        <w:rPr>
          <w:rStyle w:val="paragraph24752463"/>
          <w:lang w:val="en-US"/>
        </w:rPr>
        <w:t>Folstein</w:t>
      </w:r>
      <w:proofErr w:type="spellEnd"/>
      <w:r w:rsidR="002017BA" w:rsidRPr="00763EAB">
        <w:rPr>
          <w:rStyle w:val="paragraph24752463"/>
          <w:lang w:val="en-US"/>
        </w:rPr>
        <w:t xml:space="preserve"> et al., 1975; Tombaugh and McIntyre, 1992)</w:t>
      </w:r>
      <w:r w:rsidRPr="00763EAB">
        <w:rPr>
          <w:rStyle w:val="paragraph24752463"/>
          <w:lang w:val="en-US"/>
        </w:rPr>
        <w:t>. The MMSE</w:t>
      </w:r>
      <w:r w:rsidR="002017BA" w:rsidRPr="00763EAB">
        <w:rPr>
          <w:rStyle w:val="paragraph24752463"/>
          <w:lang w:val="en-US"/>
        </w:rPr>
        <w:t xml:space="preserve"> is </w:t>
      </w:r>
      <w:r w:rsidR="004C5A18" w:rsidRPr="00763EAB">
        <w:rPr>
          <w:rStyle w:val="paragraph24752463"/>
          <w:lang w:val="en-US"/>
        </w:rPr>
        <w:t xml:space="preserve">a </w:t>
      </w:r>
      <w:r w:rsidR="002017BA" w:rsidRPr="00763EAB">
        <w:rPr>
          <w:rStyle w:val="paragraph24752463"/>
          <w:lang w:val="en-US"/>
        </w:rPr>
        <w:t xml:space="preserve">23-item global cognitive function test, which includes questions on orientation in time and place, attention, language, memory and visual construction. The test was designed as a screening instrument for cognitive impairment and dementia. Scores range from 0 to 30, with a higher score indicating better performance. The MMSE-scores were dichotomized (0= </w:t>
      </w:r>
      <w:r w:rsidR="00597074" w:rsidRPr="00763EAB">
        <w:rPr>
          <w:rStyle w:val="paragraph24752463"/>
          <w:lang w:val="en-US"/>
        </w:rPr>
        <w:t xml:space="preserve">no </w:t>
      </w:r>
      <w:r w:rsidR="002017BA" w:rsidRPr="00763EAB">
        <w:rPr>
          <w:rStyle w:val="paragraph24752463"/>
          <w:lang w:val="en-US"/>
        </w:rPr>
        <w:lastRenderedPageBreak/>
        <w:t>c</w:t>
      </w:r>
      <w:r w:rsidR="00597074" w:rsidRPr="00763EAB">
        <w:rPr>
          <w:rStyle w:val="paragraph24752463"/>
          <w:lang w:val="en-US"/>
        </w:rPr>
        <w:t>ognitive impairment (MMSE-score≥</w:t>
      </w:r>
      <w:r w:rsidR="002017BA" w:rsidRPr="00763EAB">
        <w:rPr>
          <w:rStyle w:val="paragraph24752463"/>
          <w:lang w:val="en-US"/>
        </w:rPr>
        <w:t>23), 1=</w:t>
      </w:r>
      <w:r w:rsidR="00597074" w:rsidRPr="00763EAB">
        <w:rPr>
          <w:rStyle w:val="paragraph24752463"/>
          <w:lang w:val="en-US"/>
        </w:rPr>
        <w:t xml:space="preserve"> cognitive impairment (MMSE-score&lt;23))</w:t>
      </w:r>
      <w:r w:rsidR="008B7876" w:rsidRPr="00763EAB">
        <w:rPr>
          <w:rStyle w:val="paragraph24752463"/>
          <w:lang w:val="en-US"/>
        </w:rPr>
        <w:t xml:space="preserve"> (Tombaugh and McIntyre, 1992)</w:t>
      </w:r>
      <w:r w:rsidR="00597074" w:rsidRPr="00763EAB">
        <w:rPr>
          <w:rStyle w:val="paragraph24752463"/>
          <w:lang w:val="en-US"/>
        </w:rPr>
        <w:t>.</w:t>
      </w:r>
    </w:p>
    <w:p w:rsidR="00584D6F" w:rsidRPr="00763EAB" w:rsidRDefault="009212F5" w:rsidP="00584D6F">
      <w:pPr>
        <w:spacing w:line="480" w:lineRule="auto"/>
        <w:ind w:firstLine="708"/>
        <w:jc w:val="both"/>
        <w:rPr>
          <w:lang w:val="en-US"/>
        </w:rPr>
      </w:pPr>
      <w:r w:rsidRPr="00763EAB">
        <w:rPr>
          <w:lang w:val="en-US"/>
        </w:rPr>
        <w:t xml:space="preserve">Comorbidity was measured through self-reported presence of the following chronic diseases or symptoms that lasted for at least three months or diseases for which the participant had been treated or monitored by a physician: chronic non-specific lung disease, cardiovascular diseases, peripheral artery diseases, stroke, diabetes, cancer, and osteoporosis. The number of chronic diseases other than OA was categorized </w:t>
      </w:r>
      <w:r w:rsidR="009A5A58" w:rsidRPr="00763EAB">
        <w:rPr>
          <w:lang w:val="en-US"/>
        </w:rPr>
        <w:t xml:space="preserve">and dummy-coded </w:t>
      </w:r>
      <w:r w:rsidRPr="00763EAB">
        <w:rPr>
          <w:lang w:val="en-US"/>
        </w:rPr>
        <w:t>into 0</w:t>
      </w:r>
      <w:r w:rsidR="009A5A58" w:rsidRPr="00763EAB">
        <w:rPr>
          <w:lang w:val="en-US"/>
        </w:rPr>
        <w:t xml:space="preserve"> chronic diseases (0=no, 1=yes)</w:t>
      </w:r>
      <w:r w:rsidRPr="00763EAB">
        <w:rPr>
          <w:lang w:val="en-US"/>
        </w:rPr>
        <w:t>, 1</w:t>
      </w:r>
      <w:r w:rsidR="009A5A58" w:rsidRPr="00763EAB">
        <w:rPr>
          <w:lang w:val="en-US"/>
        </w:rPr>
        <w:t xml:space="preserve"> chronic disease (0=no, 1=yes)</w:t>
      </w:r>
      <w:r w:rsidRPr="00763EAB">
        <w:rPr>
          <w:lang w:val="en-US"/>
        </w:rPr>
        <w:t xml:space="preserve">, </w:t>
      </w:r>
      <w:r w:rsidR="009A5A58" w:rsidRPr="00763EAB">
        <w:rPr>
          <w:lang w:val="en-US"/>
        </w:rPr>
        <w:t xml:space="preserve">and </w:t>
      </w:r>
      <w:r w:rsidRPr="00763EAB">
        <w:rPr>
          <w:lang w:val="en-US"/>
        </w:rPr>
        <w:t>2 or more chronic diseases</w:t>
      </w:r>
      <w:r w:rsidR="009A5A58" w:rsidRPr="00763EAB">
        <w:rPr>
          <w:lang w:val="en-US"/>
        </w:rPr>
        <w:t xml:space="preserve"> (0=no, 1=yes)</w:t>
      </w:r>
      <w:r w:rsidRPr="00763EAB">
        <w:rPr>
          <w:lang w:val="en-US"/>
        </w:rPr>
        <w:t>.</w:t>
      </w:r>
      <w:r w:rsidR="00641E9E" w:rsidRPr="00763EAB">
        <w:rPr>
          <w:lang w:val="en-US"/>
        </w:rPr>
        <w:t xml:space="preserve"> The first category (0 chronic diseases) was used as reference category.</w:t>
      </w:r>
      <w:r w:rsidR="00584D6F" w:rsidRPr="00763EAB">
        <w:rPr>
          <w:lang w:val="en-US"/>
        </w:rPr>
        <w:t xml:space="preserve"> This approach </w:t>
      </w:r>
      <w:r w:rsidR="0086477D" w:rsidRPr="00763EAB">
        <w:rPr>
          <w:lang w:val="en-US"/>
        </w:rPr>
        <w:t xml:space="preserve">provides a balanced distribution across the categories and </w:t>
      </w:r>
      <w:r w:rsidR="00584D6F" w:rsidRPr="00763EAB">
        <w:rPr>
          <w:lang w:val="en-US"/>
        </w:rPr>
        <w:t>corresponds to earlier studies (Van Schoor et al., 2016</w:t>
      </w:r>
      <w:r w:rsidR="009432D0" w:rsidRPr="00763EAB">
        <w:rPr>
          <w:lang w:val="en-US"/>
        </w:rPr>
        <w:t>; Visser et al., 2014</w:t>
      </w:r>
      <w:r w:rsidR="00584D6F" w:rsidRPr="00763EAB">
        <w:rPr>
          <w:lang w:val="en-US"/>
        </w:rPr>
        <w:t>).</w:t>
      </w:r>
    </w:p>
    <w:p w:rsidR="009432D0" w:rsidRPr="00763EAB" w:rsidRDefault="009432D0" w:rsidP="007740BF">
      <w:pPr>
        <w:pStyle w:val="NoSpacing"/>
        <w:spacing w:line="480" w:lineRule="auto"/>
        <w:jc w:val="both"/>
        <w:rPr>
          <w:i/>
          <w:lang w:val="en-US"/>
        </w:rPr>
      </w:pPr>
    </w:p>
    <w:p w:rsidR="00D42FAD" w:rsidRPr="00763EAB" w:rsidRDefault="00D42FAD" w:rsidP="007740BF">
      <w:pPr>
        <w:pStyle w:val="NoSpacing"/>
        <w:spacing w:line="480" w:lineRule="auto"/>
        <w:jc w:val="both"/>
        <w:rPr>
          <w:i/>
          <w:lang w:val="en-GB"/>
        </w:rPr>
      </w:pPr>
      <w:r w:rsidRPr="00763EAB">
        <w:rPr>
          <w:i/>
          <w:lang w:val="en-GB"/>
        </w:rPr>
        <w:t>Statistical analyses</w:t>
      </w:r>
    </w:p>
    <w:p w:rsidR="004B704B" w:rsidRPr="00763EAB" w:rsidRDefault="004B704B" w:rsidP="004B704B">
      <w:pPr>
        <w:spacing w:line="480" w:lineRule="auto"/>
        <w:jc w:val="both"/>
        <w:rPr>
          <w:lang w:val="en-GB"/>
        </w:rPr>
      </w:pPr>
      <w:r w:rsidRPr="00763EAB">
        <w:rPr>
          <w:lang w:val="en-GB"/>
        </w:rPr>
        <w:t xml:space="preserve">Differences in means were tested using Independent Sample T-Tests for normally distributed variables. Differences in medians were tested using Mann Whitney U Tests for skewed continuous variables and differences in </w:t>
      </w:r>
      <w:r w:rsidR="003678C6" w:rsidRPr="00763EAB">
        <w:rPr>
          <w:lang w:val="en-GB"/>
        </w:rPr>
        <w:t xml:space="preserve">percentages </w:t>
      </w:r>
      <w:r w:rsidRPr="00763EAB">
        <w:rPr>
          <w:lang w:val="en-GB"/>
        </w:rPr>
        <w:t xml:space="preserve">were tested using </w:t>
      </w:r>
      <w:r w:rsidR="00671220" w:rsidRPr="00763EAB">
        <w:rPr>
          <w:lang w:val="en-GB"/>
        </w:rPr>
        <w:t xml:space="preserve">Pearson </w:t>
      </w:r>
      <w:r w:rsidRPr="00763EAB">
        <w:rPr>
          <w:lang w:val="en-GB"/>
        </w:rPr>
        <w:t xml:space="preserve">Chi-square tests for </w:t>
      </w:r>
      <w:r w:rsidR="003678C6" w:rsidRPr="00763EAB">
        <w:rPr>
          <w:lang w:val="en-GB"/>
        </w:rPr>
        <w:t>categorical variables.</w:t>
      </w:r>
    </w:p>
    <w:p w:rsidR="00063EFA" w:rsidRPr="00763EAB" w:rsidRDefault="00671220" w:rsidP="00063EFA">
      <w:pPr>
        <w:spacing w:line="480" w:lineRule="auto"/>
        <w:ind w:firstLine="708"/>
        <w:jc w:val="both"/>
        <w:rPr>
          <w:lang w:val="en-GB"/>
        </w:rPr>
      </w:pPr>
      <w:r w:rsidRPr="00763EAB">
        <w:rPr>
          <w:lang w:val="en-GB"/>
        </w:rPr>
        <w:t xml:space="preserve">Multiple </w:t>
      </w:r>
      <w:r w:rsidR="00034DEA" w:rsidRPr="00763EAB">
        <w:rPr>
          <w:lang w:val="en-GB"/>
        </w:rPr>
        <w:t xml:space="preserve">linear </w:t>
      </w:r>
      <w:r w:rsidRPr="00763EAB">
        <w:rPr>
          <w:lang w:val="en-GB"/>
        </w:rPr>
        <w:t xml:space="preserve">regression analyses were used to examine the cross-sectional association between </w:t>
      </w:r>
      <w:proofErr w:type="spellStart"/>
      <w:r w:rsidR="00466F3B" w:rsidRPr="00763EAB">
        <w:rPr>
          <w:lang w:val="en-GB"/>
        </w:rPr>
        <w:t>QoL</w:t>
      </w:r>
      <w:proofErr w:type="spellEnd"/>
      <w:r w:rsidR="00466F3B" w:rsidRPr="00763EAB">
        <w:rPr>
          <w:lang w:val="en-GB"/>
        </w:rPr>
        <w:t xml:space="preserve"> and </w:t>
      </w:r>
      <w:r w:rsidR="00CC5D93" w:rsidRPr="00763EAB">
        <w:rPr>
          <w:lang w:val="en-GB"/>
        </w:rPr>
        <w:t xml:space="preserve">perceived </w:t>
      </w:r>
      <w:r w:rsidRPr="00763EAB">
        <w:rPr>
          <w:lang w:val="en-GB"/>
        </w:rPr>
        <w:t>neighbourhood prob</w:t>
      </w:r>
      <w:r w:rsidR="00F3749E" w:rsidRPr="00763EAB">
        <w:rPr>
          <w:lang w:val="en-GB"/>
        </w:rPr>
        <w:t>lems</w:t>
      </w:r>
      <w:r w:rsidR="000F79C5" w:rsidRPr="00763EAB">
        <w:rPr>
          <w:lang w:val="en-GB"/>
        </w:rPr>
        <w:t xml:space="preserve"> (sum index and </w:t>
      </w:r>
      <w:r w:rsidR="00157F3D" w:rsidRPr="00763EAB">
        <w:rPr>
          <w:lang w:val="en-GB"/>
        </w:rPr>
        <w:t xml:space="preserve">individual </w:t>
      </w:r>
      <w:r w:rsidR="000F79C5" w:rsidRPr="00763EAB">
        <w:rPr>
          <w:lang w:val="en-GB"/>
        </w:rPr>
        <w:t>items)</w:t>
      </w:r>
      <w:r w:rsidR="00466F3B" w:rsidRPr="00763EAB">
        <w:rPr>
          <w:lang w:val="en-GB"/>
        </w:rPr>
        <w:t xml:space="preserve"> </w:t>
      </w:r>
      <w:r w:rsidR="00F3749E" w:rsidRPr="00763EAB">
        <w:rPr>
          <w:lang w:val="en-GB"/>
        </w:rPr>
        <w:t>at baseline</w:t>
      </w:r>
      <w:r w:rsidR="00063EFA" w:rsidRPr="00763EAB">
        <w:rPr>
          <w:lang w:val="en-GB"/>
        </w:rPr>
        <w:t xml:space="preserve"> and </w:t>
      </w:r>
      <w:r w:rsidR="00585FA1" w:rsidRPr="00763EAB">
        <w:rPr>
          <w:lang w:val="en-GB"/>
        </w:rPr>
        <w:t xml:space="preserve">at </w:t>
      </w:r>
      <w:r w:rsidR="00063EFA" w:rsidRPr="00763EAB">
        <w:rPr>
          <w:lang w:val="en-GB"/>
        </w:rPr>
        <w:t>follow-up</w:t>
      </w:r>
      <w:r w:rsidR="00F3749E" w:rsidRPr="00763EAB">
        <w:rPr>
          <w:lang w:val="en-GB"/>
        </w:rPr>
        <w:t xml:space="preserve">, and the association between </w:t>
      </w:r>
      <w:r w:rsidR="00466F3B" w:rsidRPr="00763EAB">
        <w:rPr>
          <w:lang w:val="en-GB"/>
        </w:rPr>
        <w:t xml:space="preserve">change in </w:t>
      </w:r>
      <w:proofErr w:type="spellStart"/>
      <w:r w:rsidR="00466F3B" w:rsidRPr="00763EAB">
        <w:rPr>
          <w:lang w:val="en-GB"/>
        </w:rPr>
        <w:t>QoL</w:t>
      </w:r>
      <w:proofErr w:type="spellEnd"/>
      <w:r w:rsidR="00466F3B" w:rsidRPr="00763EAB">
        <w:rPr>
          <w:lang w:val="en-GB"/>
        </w:rPr>
        <w:t xml:space="preserve"> over time</w:t>
      </w:r>
      <w:r w:rsidR="00063EFA" w:rsidRPr="00763EAB">
        <w:rPr>
          <w:lang w:val="en-GB"/>
        </w:rPr>
        <w:t xml:space="preserve"> (continuous measure)</w:t>
      </w:r>
      <w:r w:rsidR="00466F3B" w:rsidRPr="00763EAB">
        <w:rPr>
          <w:lang w:val="en-GB"/>
        </w:rPr>
        <w:t xml:space="preserve"> and </w:t>
      </w:r>
      <w:r w:rsidR="00CC5D93" w:rsidRPr="00763EAB">
        <w:rPr>
          <w:lang w:val="en-GB"/>
        </w:rPr>
        <w:t xml:space="preserve">perceived </w:t>
      </w:r>
      <w:r w:rsidR="00F3749E" w:rsidRPr="00763EAB">
        <w:rPr>
          <w:lang w:val="en-GB"/>
        </w:rPr>
        <w:t>neighbourhood problems</w:t>
      </w:r>
      <w:r w:rsidR="000F79C5" w:rsidRPr="00763EAB">
        <w:rPr>
          <w:lang w:val="en-GB"/>
        </w:rPr>
        <w:t xml:space="preserve"> (sum index and </w:t>
      </w:r>
      <w:r w:rsidR="00157F3D" w:rsidRPr="00763EAB">
        <w:rPr>
          <w:lang w:val="en-GB"/>
        </w:rPr>
        <w:t xml:space="preserve">individual </w:t>
      </w:r>
      <w:r w:rsidR="000F79C5" w:rsidRPr="00763EAB">
        <w:rPr>
          <w:lang w:val="en-GB"/>
        </w:rPr>
        <w:t>items)</w:t>
      </w:r>
      <w:r w:rsidR="00F3749E" w:rsidRPr="00763EAB">
        <w:rPr>
          <w:lang w:val="en-GB"/>
        </w:rPr>
        <w:t>.</w:t>
      </w:r>
      <w:r w:rsidR="00063EFA" w:rsidRPr="00763EAB">
        <w:rPr>
          <w:lang w:val="en-GB"/>
        </w:rPr>
        <w:t xml:space="preserve"> Logistic regression analys</w:t>
      </w:r>
      <w:r w:rsidR="009F16C0" w:rsidRPr="00763EAB">
        <w:rPr>
          <w:lang w:val="en-GB"/>
        </w:rPr>
        <w:t>e</w:t>
      </w:r>
      <w:r w:rsidR="00063EFA" w:rsidRPr="00763EAB">
        <w:rPr>
          <w:lang w:val="en-GB"/>
        </w:rPr>
        <w:t>s w</w:t>
      </w:r>
      <w:r w:rsidR="009F16C0" w:rsidRPr="00763EAB">
        <w:rPr>
          <w:lang w:val="en-GB"/>
        </w:rPr>
        <w:t>ere</w:t>
      </w:r>
      <w:r w:rsidR="00063EFA" w:rsidRPr="00763EAB">
        <w:rPr>
          <w:lang w:val="en-GB"/>
        </w:rPr>
        <w:t xml:space="preserve"> used to examine</w:t>
      </w:r>
      <w:r w:rsidR="00F3749E" w:rsidRPr="00763EAB">
        <w:rPr>
          <w:lang w:val="en-GB"/>
        </w:rPr>
        <w:t xml:space="preserve"> </w:t>
      </w:r>
      <w:r w:rsidR="00063EFA" w:rsidRPr="00763EAB">
        <w:rPr>
          <w:lang w:val="en-GB"/>
        </w:rPr>
        <w:t xml:space="preserve">the association of change in </w:t>
      </w:r>
      <w:proofErr w:type="spellStart"/>
      <w:r w:rsidR="00063EFA" w:rsidRPr="00763EAB">
        <w:rPr>
          <w:lang w:val="en-GB"/>
        </w:rPr>
        <w:t>QoL</w:t>
      </w:r>
      <w:proofErr w:type="spellEnd"/>
      <w:r w:rsidR="00063EFA" w:rsidRPr="00763EAB">
        <w:rPr>
          <w:lang w:val="en-GB"/>
        </w:rPr>
        <w:t xml:space="preserve"> over time (dichotomous measure) and perceived neighbourhood problems</w:t>
      </w:r>
      <w:r w:rsidR="000F79C5" w:rsidRPr="00763EAB">
        <w:rPr>
          <w:lang w:val="en-GB"/>
        </w:rPr>
        <w:t xml:space="preserve"> (sum index and </w:t>
      </w:r>
      <w:r w:rsidR="00157F3D" w:rsidRPr="00763EAB">
        <w:rPr>
          <w:lang w:val="en-GB"/>
        </w:rPr>
        <w:t xml:space="preserve">individual </w:t>
      </w:r>
      <w:r w:rsidR="000F79C5" w:rsidRPr="00763EAB">
        <w:rPr>
          <w:lang w:val="en-GB"/>
        </w:rPr>
        <w:t>items)</w:t>
      </w:r>
      <w:r w:rsidR="00063EFA" w:rsidRPr="00763EAB">
        <w:rPr>
          <w:lang w:val="en-GB"/>
        </w:rPr>
        <w:t xml:space="preserve">. </w:t>
      </w:r>
    </w:p>
    <w:p w:rsidR="00CC5D93" w:rsidRPr="00763EAB" w:rsidRDefault="00FD3A90" w:rsidP="00063EFA">
      <w:pPr>
        <w:spacing w:line="480" w:lineRule="auto"/>
        <w:ind w:firstLine="708"/>
        <w:jc w:val="both"/>
        <w:rPr>
          <w:lang w:val="en-GB"/>
        </w:rPr>
      </w:pPr>
      <w:r w:rsidRPr="00763EAB">
        <w:rPr>
          <w:lang w:val="en-GB"/>
        </w:rPr>
        <w:lastRenderedPageBreak/>
        <w:t xml:space="preserve">Osteoarthritis </w:t>
      </w:r>
      <w:r w:rsidR="00F3749E" w:rsidRPr="00763EAB">
        <w:rPr>
          <w:lang w:val="en-GB"/>
        </w:rPr>
        <w:t xml:space="preserve">was assessed for potential effect modification by examining the interaction effect between OA and </w:t>
      </w:r>
      <w:r w:rsidR="00CC5D93" w:rsidRPr="00763EAB">
        <w:rPr>
          <w:lang w:val="en-GB"/>
        </w:rPr>
        <w:t xml:space="preserve">perceived </w:t>
      </w:r>
      <w:r w:rsidR="00F3749E" w:rsidRPr="00763EAB">
        <w:rPr>
          <w:lang w:val="en-GB"/>
        </w:rPr>
        <w:t xml:space="preserve">neighbourhood </w:t>
      </w:r>
      <w:r w:rsidR="00305A8C" w:rsidRPr="00763EAB">
        <w:rPr>
          <w:lang w:val="en-GB"/>
        </w:rPr>
        <w:t xml:space="preserve">problems </w:t>
      </w:r>
      <w:r w:rsidR="00CC5D93" w:rsidRPr="00763EAB">
        <w:rPr>
          <w:lang w:val="en-GB"/>
        </w:rPr>
        <w:t xml:space="preserve">on </w:t>
      </w:r>
      <w:proofErr w:type="spellStart"/>
      <w:r w:rsidR="00CC5D93" w:rsidRPr="00763EAB">
        <w:rPr>
          <w:lang w:val="en-GB"/>
        </w:rPr>
        <w:t>QoL</w:t>
      </w:r>
      <w:proofErr w:type="spellEnd"/>
      <w:r w:rsidR="00CC5D93" w:rsidRPr="00763EAB">
        <w:rPr>
          <w:lang w:val="en-GB"/>
        </w:rPr>
        <w:t xml:space="preserve"> </w:t>
      </w:r>
      <w:r w:rsidR="00305A8C" w:rsidRPr="00763EAB">
        <w:rPr>
          <w:lang w:val="en-GB"/>
        </w:rPr>
        <w:t>in fully adjusted models. In case of a significant</w:t>
      </w:r>
      <w:r w:rsidR="00AD0029" w:rsidRPr="00763EAB">
        <w:rPr>
          <w:lang w:val="en-GB"/>
        </w:rPr>
        <w:t xml:space="preserve"> interaction ef</w:t>
      </w:r>
      <w:r w:rsidR="001F45F8" w:rsidRPr="00763EAB">
        <w:rPr>
          <w:lang w:val="en-GB"/>
        </w:rPr>
        <w:t>fect (p&lt;0.10) (Aiken and West, 1991)</w:t>
      </w:r>
      <w:r w:rsidR="00305A8C" w:rsidRPr="00763EAB">
        <w:rPr>
          <w:lang w:val="en-GB"/>
        </w:rPr>
        <w:t xml:space="preserve">, group-specific associations between </w:t>
      </w:r>
      <w:proofErr w:type="spellStart"/>
      <w:r w:rsidR="00305A8C" w:rsidRPr="00763EAB">
        <w:rPr>
          <w:lang w:val="en-GB"/>
        </w:rPr>
        <w:t>QoL</w:t>
      </w:r>
      <w:proofErr w:type="spellEnd"/>
      <w:r w:rsidR="00305A8C" w:rsidRPr="00763EAB">
        <w:rPr>
          <w:lang w:val="en-GB"/>
        </w:rPr>
        <w:t xml:space="preserve"> and </w:t>
      </w:r>
      <w:r w:rsidR="00CC5D93" w:rsidRPr="00763EAB">
        <w:rPr>
          <w:lang w:val="en-GB"/>
        </w:rPr>
        <w:t xml:space="preserve">perceived </w:t>
      </w:r>
      <w:r w:rsidR="00305A8C" w:rsidRPr="00763EAB">
        <w:rPr>
          <w:lang w:val="en-GB"/>
        </w:rPr>
        <w:t>neighbourhood problems were presented.</w:t>
      </w:r>
      <w:r w:rsidR="00466F3B" w:rsidRPr="00763EAB">
        <w:rPr>
          <w:lang w:val="en-GB"/>
        </w:rPr>
        <w:t xml:space="preserve"> In case the interaction effect was not significant, a pooled analysis (also adjusted for OA) was performed. </w:t>
      </w:r>
      <w:r w:rsidR="0036600F" w:rsidRPr="00763EAB">
        <w:rPr>
          <w:lang w:val="en-GB"/>
        </w:rPr>
        <w:t>The association</w:t>
      </w:r>
      <w:r w:rsidR="00CC5D93" w:rsidRPr="00763EAB">
        <w:rPr>
          <w:lang w:val="en-GB"/>
        </w:rPr>
        <w:t xml:space="preserve"> of (change in) </w:t>
      </w:r>
      <w:proofErr w:type="spellStart"/>
      <w:r w:rsidR="00CC5D93" w:rsidRPr="00763EAB">
        <w:rPr>
          <w:lang w:val="en-GB"/>
        </w:rPr>
        <w:t>QoL</w:t>
      </w:r>
      <w:proofErr w:type="spellEnd"/>
      <w:r w:rsidR="00466F3B" w:rsidRPr="00763EAB">
        <w:rPr>
          <w:lang w:val="en-GB"/>
        </w:rPr>
        <w:t xml:space="preserve"> </w:t>
      </w:r>
      <w:r w:rsidR="00CC5D93" w:rsidRPr="00763EAB">
        <w:rPr>
          <w:lang w:val="en-GB"/>
        </w:rPr>
        <w:t xml:space="preserve">with perceived neighbourhood problems </w:t>
      </w:r>
      <w:r w:rsidR="00466F3B" w:rsidRPr="00763EAB">
        <w:rPr>
          <w:lang w:val="en-GB"/>
        </w:rPr>
        <w:t xml:space="preserve">were examined in </w:t>
      </w:r>
      <w:r w:rsidR="0036600F" w:rsidRPr="00763EAB">
        <w:rPr>
          <w:lang w:val="en-GB"/>
        </w:rPr>
        <w:t xml:space="preserve">fully adjusted models. </w:t>
      </w:r>
      <w:r w:rsidR="00CC5D93" w:rsidRPr="00763EAB">
        <w:rPr>
          <w:lang w:val="en-GB"/>
        </w:rPr>
        <w:t>In all models, the p-value was set to 0.05. The above analyses were performed in IBM SPSS Statistics (version 20.0).</w:t>
      </w:r>
    </w:p>
    <w:p w:rsidR="00F35517" w:rsidRPr="00763EAB" w:rsidRDefault="00CC5D93" w:rsidP="007740BF">
      <w:pPr>
        <w:spacing w:after="200" w:line="480" w:lineRule="auto"/>
        <w:jc w:val="both"/>
        <w:rPr>
          <w:lang w:val="en-GB"/>
        </w:rPr>
      </w:pPr>
      <w:r w:rsidRPr="00763EAB">
        <w:rPr>
          <w:b/>
          <w:lang w:val="en-GB"/>
        </w:rPr>
        <w:tab/>
      </w:r>
      <w:r w:rsidRPr="00763EAB">
        <w:rPr>
          <w:lang w:val="en-GB"/>
        </w:rPr>
        <w:t xml:space="preserve">It was tested whether the </w:t>
      </w:r>
      <w:r w:rsidR="00FC24EA" w:rsidRPr="00763EAB">
        <w:rPr>
          <w:lang w:val="en-GB"/>
        </w:rPr>
        <w:t>cross-sectional association</w:t>
      </w:r>
      <w:r w:rsidRPr="00763EAB">
        <w:rPr>
          <w:lang w:val="en-GB"/>
        </w:rPr>
        <w:t xml:space="preserve"> between </w:t>
      </w:r>
      <w:proofErr w:type="spellStart"/>
      <w:r w:rsidRPr="00763EAB">
        <w:rPr>
          <w:lang w:val="en-GB"/>
        </w:rPr>
        <w:t>QoL</w:t>
      </w:r>
      <w:proofErr w:type="spellEnd"/>
      <w:r w:rsidRPr="00763EAB">
        <w:rPr>
          <w:lang w:val="en-GB"/>
        </w:rPr>
        <w:t xml:space="preserve"> and perceived neighbourho</w:t>
      </w:r>
      <w:r w:rsidR="00F35517" w:rsidRPr="00763EAB">
        <w:rPr>
          <w:lang w:val="en-GB"/>
        </w:rPr>
        <w:t xml:space="preserve">od problems was mediated by PA, by applying the conditions </w:t>
      </w:r>
      <w:r w:rsidR="001F45F8" w:rsidRPr="00763EAB">
        <w:rPr>
          <w:lang w:val="en-GB"/>
        </w:rPr>
        <w:t>described by Baron and Kenny (Baron and Kenny, 1986)</w:t>
      </w:r>
      <w:r w:rsidR="00FC24EA" w:rsidRPr="00763EAB">
        <w:rPr>
          <w:lang w:val="en-GB"/>
        </w:rPr>
        <w:t xml:space="preserve">. </w:t>
      </w:r>
      <w:r w:rsidR="00FC24EA" w:rsidRPr="00763EAB">
        <w:rPr>
          <w:rFonts w:eastAsia="Arial Unicode MS"/>
          <w:lang w:val="en-US"/>
        </w:rPr>
        <w:t xml:space="preserve">According to them, a variable can be considered to be a mediator when: (a) the predictor is significantly associated with the hypothesized mediator, (b) the predictor is significantly associated with the dependent variable, (c) the mediator is significantly associated with the dependent variable, and (d) the impact of the predictor on the dependent variable is less after controlling for the mediator. These conditions were tested with linear regression </w:t>
      </w:r>
      <w:r w:rsidR="008B27C8" w:rsidRPr="00763EAB">
        <w:rPr>
          <w:rFonts w:eastAsia="Arial Unicode MS"/>
          <w:lang w:val="en-US"/>
        </w:rPr>
        <w:t>analyses.</w:t>
      </w:r>
      <w:r w:rsidR="00F35517" w:rsidRPr="00763EAB">
        <w:rPr>
          <w:lang w:val="en-GB"/>
        </w:rPr>
        <w:br w:type="page"/>
      </w:r>
    </w:p>
    <w:p w:rsidR="003A342C" w:rsidRPr="00763EAB" w:rsidRDefault="003A342C" w:rsidP="003A342C">
      <w:pPr>
        <w:spacing w:line="480" w:lineRule="auto"/>
        <w:rPr>
          <w:lang w:val="en-GB"/>
        </w:rPr>
      </w:pPr>
      <w:r w:rsidRPr="00763EAB">
        <w:rPr>
          <w:b/>
          <w:lang w:val="en-GB"/>
        </w:rPr>
        <w:lastRenderedPageBreak/>
        <w:t>R</w:t>
      </w:r>
      <w:r w:rsidR="003B00F5" w:rsidRPr="00763EAB">
        <w:rPr>
          <w:b/>
          <w:lang w:val="en-GB"/>
        </w:rPr>
        <w:t>esults</w:t>
      </w:r>
    </w:p>
    <w:p w:rsidR="003B00F5" w:rsidRPr="00763EAB" w:rsidRDefault="003A342C" w:rsidP="003A342C">
      <w:pPr>
        <w:spacing w:line="480" w:lineRule="auto"/>
        <w:jc w:val="both"/>
        <w:rPr>
          <w:lang w:val="en-GB"/>
        </w:rPr>
      </w:pPr>
      <w:r w:rsidRPr="00763EAB">
        <w:rPr>
          <w:lang w:val="en-GB"/>
        </w:rPr>
        <w:t xml:space="preserve">The mean age of all </w:t>
      </w:r>
      <w:r w:rsidR="008358A4" w:rsidRPr="00763EAB">
        <w:rPr>
          <w:lang w:val="en-GB"/>
        </w:rPr>
        <w:t>29</w:t>
      </w:r>
      <w:r w:rsidR="000C0C9D" w:rsidRPr="00763EAB">
        <w:rPr>
          <w:lang w:val="en-GB"/>
        </w:rPr>
        <w:t>4</w:t>
      </w:r>
      <w:r w:rsidRPr="00763EAB">
        <w:rPr>
          <w:lang w:val="en-GB"/>
        </w:rPr>
        <w:t xml:space="preserve"> participants </w:t>
      </w:r>
      <w:r w:rsidR="000C0C9D" w:rsidRPr="00763EAB">
        <w:rPr>
          <w:lang w:val="en-GB"/>
        </w:rPr>
        <w:t xml:space="preserve">at baseline </w:t>
      </w:r>
      <w:r w:rsidRPr="00763EAB">
        <w:rPr>
          <w:lang w:val="en-GB"/>
        </w:rPr>
        <w:t xml:space="preserve">was </w:t>
      </w:r>
      <w:r w:rsidR="00DF2F98" w:rsidRPr="00763EAB">
        <w:rPr>
          <w:lang w:val="en-GB"/>
        </w:rPr>
        <w:t>75</w:t>
      </w:r>
      <w:r w:rsidR="00034DEA" w:rsidRPr="00763EAB">
        <w:rPr>
          <w:lang w:val="en-GB"/>
        </w:rPr>
        <w:t>.3</w:t>
      </w:r>
      <w:r w:rsidRPr="00763EAB">
        <w:rPr>
          <w:lang w:val="en-GB"/>
        </w:rPr>
        <w:t xml:space="preserve"> (SD=</w:t>
      </w:r>
      <w:r w:rsidR="00DF2F98" w:rsidRPr="00763EAB">
        <w:rPr>
          <w:lang w:val="en-GB"/>
        </w:rPr>
        <w:t>2.5</w:t>
      </w:r>
      <w:r w:rsidRPr="00763EAB">
        <w:rPr>
          <w:lang w:val="en-GB"/>
        </w:rPr>
        <w:t xml:space="preserve">) years </w:t>
      </w:r>
      <w:r w:rsidR="000C0C9D" w:rsidRPr="00763EAB">
        <w:rPr>
          <w:lang w:val="en-GB"/>
        </w:rPr>
        <w:t xml:space="preserve">at </w:t>
      </w:r>
      <w:r w:rsidRPr="00763EAB">
        <w:rPr>
          <w:lang w:val="en-GB"/>
        </w:rPr>
        <w:t xml:space="preserve">with an age-range of 71-80 years. Of all participants, </w:t>
      </w:r>
      <w:r w:rsidR="00034DEA" w:rsidRPr="00763EAB">
        <w:rPr>
          <w:lang w:val="en-GB"/>
        </w:rPr>
        <w:t>150 (51.0</w:t>
      </w:r>
      <w:r w:rsidRPr="00763EAB">
        <w:rPr>
          <w:lang w:val="en-GB"/>
        </w:rPr>
        <w:t>%) were female.</w:t>
      </w:r>
      <w:r w:rsidR="004B7A8D" w:rsidRPr="00763EAB">
        <w:rPr>
          <w:lang w:val="en-GB"/>
        </w:rPr>
        <w:t xml:space="preserve"> </w:t>
      </w:r>
      <w:r w:rsidR="00034DEA" w:rsidRPr="00763EAB">
        <w:rPr>
          <w:lang w:val="en-GB"/>
        </w:rPr>
        <w:t xml:space="preserve">Seventy </w:t>
      </w:r>
      <w:r w:rsidR="004B7A8D" w:rsidRPr="00763EAB">
        <w:rPr>
          <w:lang w:val="en-GB"/>
        </w:rPr>
        <w:t>(2</w:t>
      </w:r>
      <w:r w:rsidR="00034DEA" w:rsidRPr="00763EAB">
        <w:rPr>
          <w:lang w:val="en-GB"/>
        </w:rPr>
        <w:t>3.8</w:t>
      </w:r>
      <w:r w:rsidRPr="00763EAB">
        <w:rPr>
          <w:lang w:val="en-GB"/>
        </w:rPr>
        <w:t xml:space="preserve">%) persons fulfilled the ACR classification criteria for knee, hand, and/or hip OA. The </w:t>
      </w:r>
      <w:r w:rsidR="000C0C9D" w:rsidRPr="00763EAB">
        <w:rPr>
          <w:lang w:val="en-GB"/>
        </w:rPr>
        <w:t xml:space="preserve">baseline </w:t>
      </w:r>
      <w:r w:rsidRPr="00763EAB">
        <w:rPr>
          <w:lang w:val="en-GB"/>
        </w:rPr>
        <w:t>characteristics of the participants with and with</w:t>
      </w:r>
      <w:r w:rsidR="00344880" w:rsidRPr="00763EAB">
        <w:rPr>
          <w:lang w:val="en-GB"/>
        </w:rPr>
        <w:t>out OA are presented in Table 1.</w:t>
      </w:r>
    </w:p>
    <w:p w:rsidR="003B00F5" w:rsidRPr="00763EAB" w:rsidRDefault="003B00F5" w:rsidP="003A342C">
      <w:pPr>
        <w:spacing w:line="480" w:lineRule="auto"/>
        <w:jc w:val="both"/>
        <w:rPr>
          <w:lang w:val="en-GB"/>
        </w:rPr>
        <w:sectPr w:rsidR="003B00F5" w:rsidRPr="00763EAB" w:rsidSect="00275036">
          <w:pgSz w:w="11906" w:h="16838"/>
          <w:pgMar w:top="1417" w:right="1418" w:bottom="1417" w:left="1418" w:header="709" w:footer="709" w:gutter="0"/>
          <w:cols w:space="708"/>
          <w:docGrid w:linePitch="360"/>
        </w:sectPr>
      </w:pPr>
    </w:p>
    <w:tbl>
      <w:tblPr>
        <w:tblStyle w:val="TableGrid"/>
        <w:tblpPr w:leftFromText="141" w:rightFromText="141" w:vertAnchor="text" w:horzAnchor="margin" w:tblpXSpec="center" w:tblpY="569"/>
        <w:tblW w:w="1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759"/>
        <w:gridCol w:w="2034"/>
        <w:gridCol w:w="1389"/>
        <w:gridCol w:w="2055"/>
        <w:gridCol w:w="1300"/>
        <w:gridCol w:w="2031"/>
        <w:gridCol w:w="1384"/>
      </w:tblGrid>
      <w:tr w:rsidR="00763EAB" w:rsidRPr="00763EAB" w:rsidTr="003B00F5">
        <w:trPr>
          <w:trHeight w:val="552"/>
        </w:trPr>
        <w:tc>
          <w:tcPr>
            <w:tcW w:w="5778" w:type="dxa"/>
            <w:tcBorders>
              <w:top w:val="single" w:sz="4" w:space="0" w:color="auto"/>
              <w:bottom w:val="single" w:sz="4" w:space="0" w:color="auto"/>
            </w:tcBorders>
          </w:tcPr>
          <w:p w:rsidR="003B00F5" w:rsidRPr="00763EAB" w:rsidRDefault="003B00F5" w:rsidP="00597074">
            <w:pPr>
              <w:spacing w:line="360" w:lineRule="auto"/>
              <w:jc w:val="center"/>
              <w:rPr>
                <w:lang w:val="en-GB"/>
              </w:rPr>
            </w:pPr>
          </w:p>
        </w:tc>
        <w:tc>
          <w:tcPr>
            <w:tcW w:w="2793" w:type="dxa"/>
            <w:gridSpan w:val="2"/>
            <w:tcBorders>
              <w:top w:val="single" w:sz="4" w:space="0" w:color="auto"/>
              <w:bottom w:val="single" w:sz="4" w:space="0" w:color="auto"/>
            </w:tcBorders>
          </w:tcPr>
          <w:p w:rsidR="003B00F5" w:rsidRPr="00763EAB" w:rsidRDefault="003B00F5" w:rsidP="00597074">
            <w:pPr>
              <w:spacing w:line="360" w:lineRule="auto"/>
              <w:jc w:val="center"/>
              <w:rPr>
                <w:b/>
                <w:lang w:val="en-GB"/>
              </w:rPr>
            </w:pPr>
            <w:r w:rsidRPr="00763EAB">
              <w:rPr>
                <w:b/>
                <w:lang w:val="en-GB"/>
              </w:rPr>
              <w:t xml:space="preserve">All participants </w:t>
            </w:r>
          </w:p>
          <w:p w:rsidR="003B00F5" w:rsidRPr="00763EAB" w:rsidRDefault="003B00F5" w:rsidP="00597074">
            <w:pPr>
              <w:spacing w:line="360" w:lineRule="auto"/>
              <w:jc w:val="center"/>
              <w:rPr>
                <w:b/>
                <w:lang w:val="en-GB"/>
              </w:rPr>
            </w:pPr>
            <w:r w:rsidRPr="00763EAB">
              <w:rPr>
                <w:b/>
                <w:lang w:val="en-GB"/>
              </w:rPr>
              <w:t>(n=294)</w:t>
            </w:r>
          </w:p>
        </w:tc>
        <w:tc>
          <w:tcPr>
            <w:tcW w:w="3444" w:type="dxa"/>
            <w:gridSpan w:val="2"/>
            <w:tcBorders>
              <w:top w:val="single" w:sz="4" w:space="0" w:color="auto"/>
              <w:bottom w:val="single" w:sz="4" w:space="0" w:color="auto"/>
            </w:tcBorders>
          </w:tcPr>
          <w:p w:rsidR="003B00F5" w:rsidRPr="00763EAB" w:rsidRDefault="003B00F5" w:rsidP="00597074">
            <w:pPr>
              <w:spacing w:line="360" w:lineRule="auto"/>
              <w:jc w:val="center"/>
              <w:rPr>
                <w:b/>
                <w:lang w:val="en-GB"/>
              </w:rPr>
            </w:pPr>
            <w:r w:rsidRPr="00763EAB">
              <w:rPr>
                <w:b/>
                <w:lang w:val="en-GB"/>
              </w:rPr>
              <w:t xml:space="preserve">Participants with OA </w:t>
            </w:r>
          </w:p>
          <w:p w:rsidR="003B00F5" w:rsidRPr="00763EAB" w:rsidRDefault="003B00F5" w:rsidP="00597074">
            <w:pPr>
              <w:spacing w:line="360" w:lineRule="auto"/>
              <w:jc w:val="center"/>
              <w:rPr>
                <w:b/>
                <w:lang w:val="en-GB"/>
              </w:rPr>
            </w:pPr>
            <w:r w:rsidRPr="00763EAB">
              <w:rPr>
                <w:b/>
                <w:lang w:val="en-GB"/>
              </w:rPr>
              <w:t>(n=70)</w:t>
            </w:r>
          </w:p>
        </w:tc>
        <w:tc>
          <w:tcPr>
            <w:tcW w:w="3331" w:type="dxa"/>
            <w:gridSpan w:val="2"/>
            <w:tcBorders>
              <w:top w:val="single" w:sz="4" w:space="0" w:color="auto"/>
              <w:bottom w:val="single" w:sz="4" w:space="0" w:color="auto"/>
            </w:tcBorders>
          </w:tcPr>
          <w:p w:rsidR="003B00F5" w:rsidRPr="00763EAB" w:rsidRDefault="003B00F5" w:rsidP="00597074">
            <w:pPr>
              <w:spacing w:line="360" w:lineRule="auto"/>
              <w:jc w:val="center"/>
              <w:rPr>
                <w:b/>
                <w:lang w:val="en-GB"/>
              </w:rPr>
            </w:pPr>
            <w:r w:rsidRPr="00763EAB">
              <w:rPr>
                <w:b/>
                <w:lang w:val="en-GB"/>
              </w:rPr>
              <w:t xml:space="preserve">Participants without OA </w:t>
            </w:r>
          </w:p>
          <w:p w:rsidR="003B00F5" w:rsidRPr="00763EAB" w:rsidRDefault="003B00F5" w:rsidP="00597074">
            <w:pPr>
              <w:spacing w:line="360" w:lineRule="auto"/>
              <w:jc w:val="center"/>
              <w:rPr>
                <w:b/>
                <w:lang w:val="en-GB"/>
              </w:rPr>
            </w:pPr>
            <w:r w:rsidRPr="00763EAB">
              <w:rPr>
                <w:b/>
                <w:lang w:val="en-GB"/>
              </w:rPr>
              <w:t>(n=224)</w:t>
            </w:r>
          </w:p>
        </w:tc>
        <w:tc>
          <w:tcPr>
            <w:tcW w:w="1384" w:type="dxa"/>
            <w:tcBorders>
              <w:top w:val="single" w:sz="4" w:space="0" w:color="auto"/>
              <w:bottom w:val="single" w:sz="4" w:space="0" w:color="auto"/>
            </w:tcBorders>
          </w:tcPr>
          <w:p w:rsidR="003B00F5" w:rsidRPr="00763EAB" w:rsidRDefault="003B00F5" w:rsidP="00597074">
            <w:pPr>
              <w:spacing w:line="360" w:lineRule="auto"/>
              <w:jc w:val="center"/>
              <w:rPr>
                <w:b/>
                <w:vertAlign w:val="superscript"/>
                <w:lang w:val="en-GB"/>
              </w:rPr>
            </w:pPr>
            <w:r w:rsidRPr="00763EAB">
              <w:rPr>
                <w:b/>
                <w:lang w:val="en-GB"/>
              </w:rPr>
              <w:t xml:space="preserve">p-value </w:t>
            </w:r>
            <w:r w:rsidR="008073D4" w:rsidRPr="00763EAB">
              <w:rPr>
                <w:b/>
                <w:vertAlign w:val="superscript"/>
                <w:lang w:val="en-GB"/>
              </w:rPr>
              <w:t>b</w:t>
            </w:r>
          </w:p>
        </w:tc>
      </w:tr>
      <w:tr w:rsidR="00763EAB" w:rsidRPr="00763EAB" w:rsidTr="003B00F5">
        <w:trPr>
          <w:trHeight w:val="552"/>
        </w:trPr>
        <w:tc>
          <w:tcPr>
            <w:tcW w:w="5778" w:type="dxa"/>
            <w:tcBorders>
              <w:top w:val="single" w:sz="4" w:space="0" w:color="auto"/>
              <w:bottom w:val="single" w:sz="4" w:space="0" w:color="auto"/>
            </w:tcBorders>
          </w:tcPr>
          <w:p w:rsidR="003B00F5" w:rsidRPr="00763EAB" w:rsidRDefault="003B00F5" w:rsidP="00597074">
            <w:pPr>
              <w:spacing w:line="360" w:lineRule="auto"/>
              <w:jc w:val="center"/>
              <w:rPr>
                <w:lang w:val="en-GB"/>
              </w:rPr>
            </w:pPr>
          </w:p>
        </w:tc>
        <w:tc>
          <w:tcPr>
            <w:tcW w:w="759" w:type="dxa"/>
            <w:tcBorders>
              <w:top w:val="single" w:sz="4" w:space="0" w:color="auto"/>
              <w:bottom w:val="single" w:sz="4" w:space="0" w:color="auto"/>
            </w:tcBorders>
          </w:tcPr>
          <w:p w:rsidR="003B00F5" w:rsidRPr="00763EAB" w:rsidRDefault="003B00F5" w:rsidP="00597074">
            <w:pPr>
              <w:spacing w:line="360" w:lineRule="auto"/>
              <w:jc w:val="center"/>
              <w:rPr>
                <w:lang w:val="en-GB"/>
              </w:rPr>
            </w:pPr>
            <w:r w:rsidRPr="00763EAB">
              <w:rPr>
                <w:lang w:val="en-GB"/>
              </w:rPr>
              <w:t>n</w:t>
            </w:r>
          </w:p>
        </w:tc>
        <w:tc>
          <w:tcPr>
            <w:tcW w:w="2034" w:type="dxa"/>
            <w:tcBorders>
              <w:top w:val="single" w:sz="4" w:space="0" w:color="auto"/>
              <w:bottom w:val="single" w:sz="4" w:space="0" w:color="auto"/>
            </w:tcBorders>
          </w:tcPr>
          <w:p w:rsidR="003B00F5" w:rsidRPr="00763EAB" w:rsidRDefault="003B00F5" w:rsidP="00597074">
            <w:pPr>
              <w:spacing w:line="360" w:lineRule="auto"/>
              <w:jc w:val="center"/>
              <w:rPr>
                <w:lang w:val="en-GB"/>
              </w:rPr>
            </w:pPr>
          </w:p>
        </w:tc>
        <w:tc>
          <w:tcPr>
            <w:tcW w:w="1389" w:type="dxa"/>
            <w:tcBorders>
              <w:top w:val="single" w:sz="4" w:space="0" w:color="auto"/>
              <w:bottom w:val="single" w:sz="4" w:space="0" w:color="auto"/>
            </w:tcBorders>
          </w:tcPr>
          <w:p w:rsidR="003B00F5" w:rsidRPr="00763EAB" w:rsidRDefault="003B00F5" w:rsidP="00597074">
            <w:pPr>
              <w:spacing w:line="360" w:lineRule="auto"/>
              <w:jc w:val="center"/>
              <w:rPr>
                <w:lang w:val="en-GB"/>
              </w:rPr>
            </w:pPr>
            <w:r w:rsidRPr="00763EAB">
              <w:rPr>
                <w:lang w:val="en-GB"/>
              </w:rPr>
              <w:t>n</w:t>
            </w:r>
          </w:p>
        </w:tc>
        <w:tc>
          <w:tcPr>
            <w:tcW w:w="2055" w:type="dxa"/>
            <w:tcBorders>
              <w:top w:val="single" w:sz="4" w:space="0" w:color="auto"/>
              <w:bottom w:val="single" w:sz="4" w:space="0" w:color="auto"/>
            </w:tcBorders>
          </w:tcPr>
          <w:p w:rsidR="003B00F5" w:rsidRPr="00763EAB" w:rsidRDefault="003B00F5" w:rsidP="00597074">
            <w:pPr>
              <w:spacing w:line="360" w:lineRule="auto"/>
              <w:jc w:val="center"/>
              <w:rPr>
                <w:lang w:val="en-GB"/>
              </w:rPr>
            </w:pPr>
          </w:p>
        </w:tc>
        <w:tc>
          <w:tcPr>
            <w:tcW w:w="1300" w:type="dxa"/>
            <w:tcBorders>
              <w:top w:val="single" w:sz="4" w:space="0" w:color="auto"/>
              <w:bottom w:val="single" w:sz="4" w:space="0" w:color="auto"/>
            </w:tcBorders>
          </w:tcPr>
          <w:p w:rsidR="003B00F5" w:rsidRPr="00763EAB" w:rsidRDefault="003B00F5" w:rsidP="00597074">
            <w:pPr>
              <w:spacing w:line="360" w:lineRule="auto"/>
              <w:jc w:val="center"/>
              <w:rPr>
                <w:lang w:val="en-GB"/>
              </w:rPr>
            </w:pPr>
            <w:r w:rsidRPr="00763EAB">
              <w:rPr>
                <w:lang w:val="en-GB"/>
              </w:rPr>
              <w:t>n</w:t>
            </w:r>
          </w:p>
        </w:tc>
        <w:tc>
          <w:tcPr>
            <w:tcW w:w="2031" w:type="dxa"/>
            <w:tcBorders>
              <w:top w:val="single" w:sz="4" w:space="0" w:color="auto"/>
              <w:bottom w:val="single" w:sz="4" w:space="0" w:color="auto"/>
            </w:tcBorders>
          </w:tcPr>
          <w:p w:rsidR="003B00F5" w:rsidRPr="00763EAB" w:rsidRDefault="003B00F5" w:rsidP="00597074">
            <w:pPr>
              <w:spacing w:line="360" w:lineRule="auto"/>
              <w:jc w:val="center"/>
              <w:rPr>
                <w:lang w:val="en-GB"/>
              </w:rPr>
            </w:pPr>
          </w:p>
        </w:tc>
        <w:tc>
          <w:tcPr>
            <w:tcW w:w="1384" w:type="dxa"/>
            <w:tcBorders>
              <w:top w:val="single" w:sz="4" w:space="0" w:color="auto"/>
              <w:bottom w:val="single" w:sz="4" w:space="0" w:color="auto"/>
            </w:tcBorders>
          </w:tcPr>
          <w:p w:rsidR="003B00F5" w:rsidRPr="00763EAB" w:rsidRDefault="003B00F5" w:rsidP="00597074">
            <w:pPr>
              <w:spacing w:line="360" w:lineRule="auto"/>
              <w:jc w:val="center"/>
              <w:rPr>
                <w:lang w:val="en-GB"/>
              </w:rPr>
            </w:pPr>
          </w:p>
        </w:tc>
      </w:tr>
      <w:tr w:rsidR="00763EAB" w:rsidRPr="00763EAB" w:rsidTr="00597074">
        <w:trPr>
          <w:trHeight w:val="424"/>
        </w:trPr>
        <w:tc>
          <w:tcPr>
            <w:tcW w:w="5778" w:type="dxa"/>
            <w:tcBorders>
              <w:top w:val="single" w:sz="4" w:space="0" w:color="auto"/>
            </w:tcBorders>
          </w:tcPr>
          <w:p w:rsidR="003B00F5" w:rsidRPr="00763EAB" w:rsidRDefault="003B00F5" w:rsidP="00597074">
            <w:pPr>
              <w:spacing w:line="360" w:lineRule="auto"/>
              <w:jc w:val="both"/>
              <w:rPr>
                <w:b/>
                <w:lang w:val="en-GB"/>
              </w:rPr>
            </w:pPr>
            <w:r w:rsidRPr="00763EAB">
              <w:rPr>
                <w:b/>
                <w:lang w:val="en-GB"/>
              </w:rPr>
              <w:t>Characteristics</w:t>
            </w:r>
          </w:p>
        </w:tc>
        <w:tc>
          <w:tcPr>
            <w:tcW w:w="759" w:type="dxa"/>
            <w:tcBorders>
              <w:top w:val="single" w:sz="4" w:space="0" w:color="auto"/>
            </w:tcBorders>
          </w:tcPr>
          <w:p w:rsidR="003B00F5" w:rsidRPr="00763EAB" w:rsidRDefault="003B00F5" w:rsidP="00597074">
            <w:pPr>
              <w:spacing w:line="360" w:lineRule="auto"/>
              <w:jc w:val="center"/>
              <w:rPr>
                <w:lang w:val="en-GB"/>
              </w:rPr>
            </w:pPr>
          </w:p>
        </w:tc>
        <w:tc>
          <w:tcPr>
            <w:tcW w:w="2034" w:type="dxa"/>
            <w:tcBorders>
              <w:top w:val="single" w:sz="4" w:space="0" w:color="auto"/>
            </w:tcBorders>
          </w:tcPr>
          <w:p w:rsidR="003B00F5" w:rsidRPr="00763EAB" w:rsidRDefault="003B00F5" w:rsidP="00597074">
            <w:pPr>
              <w:spacing w:line="360" w:lineRule="auto"/>
              <w:jc w:val="center"/>
              <w:rPr>
                <w:lang w:val="en-GB"/>
              </w:rPr>
            </w:pPr>
          </w:p>
        </w:tc>
        <w:tc>
          <w:tcPr>
            <w:tcW w:w="1389" w:type="dxa"/>
            <w:tcBorders>
              <w:top w:val="single" w:sz="4" w:space="0" w:color="auto"/>
            </w:tcBorders>
          </w:tcPr>
          <w:p w:rsidR="003B00F5" w:rsidRPr="00763EAB" w:rsidRDefault="003B00F5" w:rsidP="00597074">
            <w:pPr>
              <w:spacing w:line="360" w:lineRule="auto"/>
              <w:jc w:val="center"/>
              <w:rPr>
                <w:lang w:val="en-GB"/>
              </w:rPr>
            </w:pPr>
          </w:p>
        </w:tc>
        <w:tc>
          <w:tcPr>
            <w:tcW w:w="2055" w:type="dxa"/>
            <w:tcBorders>
              <w:top w:val="single" w:sz="4" w:space="0" w:color="auto"/>
            </w:tcBorders>
          </w:tcPr>
          <w:p w:rsidR="003B00F5" w:rsidRPr="00763EAB" w:rsidRDefault="003B00F5" w:rsidP="00597074">
            <w:pPr>
              <w:spacing w:line="360" w:lineRule="auto"/>
              <w:jc w:val="center"/>
              <w:rPr>
                <w:lang w:val="en-GB"/>
              </w:rPr>
            </w:pPr>
          </w:p>
        </w:tc>
        <w:tc>
          <w:tcPr>
            <w:tcW w:w="1300" w:type="dxa"/>
            <w:tcBorders>
              <w:top w:val="single" w:sz="4" w:space="0" w:color="auto"/>
            </w:tcBorders>
          </w:tcPr>
          <w:p w:rsidR="003B00F5" w:rsidRPr="00763EAB" w:rsidRDefault="003B00F5" w:rsidP="00597074">
            <w:pPr>
              <w:spacing w:line="360" w:lineRule="auto"/>
              <w:jc w:val="center"/>
              <w:rPr>
                <w:lang w:val="en-GB"/>
              </w:rPr>
            </w:pPr>
          </w:p>
        </w:tc>
        <w:tc>
          <w:tcPr>
            <w:tcW w:w="2031" w:type="dxa"/>
            <w:tcBorders>
              <w:top w:val="single" w:sz="4" w:space="0" w:color="auto"/>
            </w:tcBorders>
          </w:tcPr>
          <w:p w:rsidR="003B00F5" w:rsidRPr="00763EAB" w:rsidRDefault="003B00F5" w:rsidP="00597074">
            <w:pPr>
              <w:spacing w:line="360" w:lineRule="auto"/>
              <w:jc w:val="center"/>
              <w:rPr>
                <w:lang w:val="en-GB"/>
              </w:rPr>
            </w:pPr>
          </w:p>
        </w:tc>
        <w:tc>
          <w:tcPr>
            <w:tcW w:w="1384" w:type="dxa"/>
            <w:tcBorders>
              <w:top w:val="single" w:sz="4" w:space="0" w:color="auto"/>
            </w:tcBorders>
          </w:tcPr>
          <w:p w:rsidR="003B00F5" w:rsidRPr="00763EAB" w:rsidRDefault="003B00F5" w:rsidP="00597074">
            <w:pPr>
              <w:spacing w:line="360" w:lineRule="auto"/>
              <w:jc w:val="center"/>
              <w:rPr>
                <w:lang w:val="en-GB"/>
              </w:rPr>
            </w:pPr>
          </w:p>
        </w:tc>
      </w:tr>
      <w:tr w:rsidR="00763EAB" w:rsidRPr="00763EAB" w:rsidTr="00597074">
        <w:trPr>
          <w:trHeight w:val="299"/>
        </w:trPr>
        <w:tc>
          <w:tcPr>
            <w:tcW w:w="5778" w:type="dxa"/>
          </w:tcPr>
          <w:p w:rsidR="003B00F5" w:rsidRPr="00763EAB" w:rsidRDefault="003B00F5" w:rsidP="00597074">
            <w:pPr>
              <w:spacing w:line="360" w:lineRule="auto"/>
              <w:jc w:val="both"/>
              <w:rPr>
                <w:lang w:val="en-GB"/>
              </w:rPr>
            </w:pPr>
            <w:r w:rsidRPr="00763EAB">
              <w:rPr>
                <w:lang w:val="en-GB"/>
              </w:rPr>
              <w:t>Age in years (Mean (SD))</w:t>
            </w:r>
          </w:p>
        </w:tc>
        <w:tc>
          <w:tcPr>
            <w:tcW w:w="759" w:type="dxa"/>
          </w:tcPr>
          <w:p w:rsidR="003B00F5" w:rsidRPr="00763EAB" w:rsidRDefault="003B00F5" w:rsidP="00597074">
            <w:pPr>
              <w:spacing w:line="360" w:lineRule="auto"/>
              <w:jc w:val="center"/>
              <w:rPr>
                <w:lang w:val="en-GB"/>
              </w:rPr>
            </w:pPr>
            <w:r w:rsidRPr="00763EAB">
              <w:rPr>
                <w:lang w:val="en-GB"/>
              </w:rPr>
              <w:t>294</w:t>
            </w:r>
          </w:p>
        </w:tc>
        <w:tc>
          <w:tcPr>
            <w:tcW w:w="2034" w:type="dxa"/>
          </w:tcPr>
          <w:p w:rsidR="003B00F5" w:rsidRPr="00763EAB" w:rsidRDefault="003B00F5" w:rsidP="00597074">
            <w:pPr>
              <w:spacing w:line="360" w:lineRule="auto"/>
              <w:jc w:val="center"/>
              <w:rPr>
                <w:lang w:val="en-GB"/>
              </w:rPr>
            </w:pPr>
            <w:r w:rsidRPr="00763EAB">
              <w:rPr>
                <w:lang w:val="en-GB"/>
              </w:rPr>
              <w:t>75.3 (2.5)</w:t>
            </w:r>
          </w:p>
        </w:tc>
        <w:tc>
          <w:tcPr>
            <w:tcW w:w="1389" w:type="dxa"/>
          </w:tcPr>
          <w:p w:rsidR="003B00F5" w:rsidRPr="00763EAB" w:rsidRDefault="003B00F5" w:rsidP="00597074">
            <w:pPr>
              <w:spacing w:line="360" w:lineRule="auto"/>
              <w:jc w:val="center"/>
              <w:rPr>
                <w:lang w:val="en-GB"/>
              </w:rPr>
            </w:pPr>
            <w:r w:rsidRPr="00763EAB">
              <w:rPr>
                <w:lang w:val="en-GB"/>
              </w:rPr>
              <w:t>70</w:t>
            </w:r>
          </w:p>
        </w:tc>
        <w:tc>
          <w:tcPr>
            <w:tcW w:w="2055" w:type="dxa"/>
          </w:tcPr>
          <w:p w:rsidR="003B00F5" w:rsidRPr="00763EAB" w:rsidRDefault="003B00F5" w:rsidP="00597074">
            <w:pPr>
              <w:spacing w:line="360" w:lineRule="auto"/>
              <w:jc w:val="center"/>
              <w:rPr>
                <w:lang w:val="en-GB"/>
              </w:rPr>
            </w:pPr>
            <w:r w:rsidRPr="00763EAB">
              <w:rPr>
                <w:lang w:val="en-GB"/>
              </w:rPr>
              <w:t>74.5 (2.5)</w:t>
            </w:r>
          </w:p>
        </w:tc>
        <w:tc>
          <w:tcPr>
            <w:tcW w:w="1300" w:type="dxa"/>
          </w:tcPr>
          <w:p w:rsidR="003B00F5" w:rsidRPr="00763EAB" w:rsidRDefault="003B00F5" w:rsidP="00597074">
            <w:pPr>
              <w:spacing w:line="360" w:lineRule="auto"/>
              <w:jc w:val="center"/>
              <w:rPr>
                <w:lang w:val="en-GB"/>
              </w:rPr>
            </w:pPr>
            <w:r w:rsidRPr="00763EAB">
              <w:rPr>
                <w:lang w:val="en-GB"/>
              </w:rPr>
              <w:t>224</w:t>
            </w:r>
          </w:p>
        </w:tc>
        <w:tc>
          <w:tcPr>
            <w:tcW w:w="2031" w:type="dxa"/>
          </w:tcPr>
          <w:p w:rsidR="003B00F5" w:rsidRPr="00763EAB" w:rsidRDefault="003B00F5" w:rsidP="00597074">
            <w:pPr>
              <w:spacing w:line="360" w:lineRule="auto"/>
              <w:jc w:val="center"/>
              <w:rPr>
                <w:lang w:val="en-GB"/>
              </w:rPr>
            </w:pPr>
            <w:r w:rsidRPr="00763EAB">
              <w:rPr>
                <w:lang w:val="en-GB"/>
              </w:rPr>
              <w:t>75.5 (2.4)</w:t>
            </w:r>
          </w:p>
        </w:tc>
        <w:tc>
          <w:tcPr>
            <w:tcW w:w="1384" w:type="dxa"/>
          </w:tcPr>
          <w:p w:rsidR="003B00F5" w:rsidRPr="00763EAB" w:rsidRDefault="003B00F5" w:rsidP="00597074">
            <w:pPr>
              <w:tabs>
                <w:tab w:val="left" w:pos="315"/>
                <w:tab w:val="center" w:pos="584"/>
              </w:tabs>
              <w:spacing w:line="360" w:lineRule="auto"/>
              <w:jc w:val="center"/>
              <w:rPr>
                <w:lang w:val="en-GB"/>
              </w:rPr>
            </w:pPr>
            <w:r w:rsidRPr="00763EAB">
              <w:rPr>
                <w:lang w:val="en-GB"/>
              </w:rPr>
              <w:t>0.01</w:t>
            </w:r>
          </w:p>
        </w:tc>
      </w:tr>
      <w:tr w:rsidR="00763EAB" w:rsidRPr="00763EAB" w:rsidTr="00597074">
        <w:trPr>
          <w:trHeight w:val="304"/>
        </w:trPr>
        <w:tc>
          <w:tcPr>
            <w:tcW w:w="5778" w:type="dxa"/>
          </w:tcPr>
          <w:p w:rsidR="003B00F5" w:rsidRPr="00763EAB" w:rsidRDefault="003B00F5" w:rsidP="00597074">
            <w:pPr>
              <w:spacing w:line="360" w:lineRule="auto"/>
              <w:jc w:val="both"/>
              <w:rPr>
                <w:lang w:val="en-GB"/>
              </w:rPr>
            </w:pPr>
            <w:r w:rsidRPr="00763EAB">
              <w:rPr>
                <w:lang w:val="en-GB"/>
              </w:rPr>
              <w:t>Sex (female) (n (%))</w:t>
            </w:r>
          </w:p>
        </w:tc>
        <w:tc>
          <w:tcPr>
            <w:tcW w:w="759" w:type="dxa"/>
          </w:tcPr>
          <w:p w:rsidR="003B00F5" w:rsidRPr="00763EAB" w:rsidRDefault="003B00F5" w:rsidP="00597074">
            <w:pPr>
              <w:spacing w:line="360" w:lineRule="auto"/>
              <w:jc w:val="center"/>
              <w:rPr>
                <w:lang w:val="en-GB"/>
              </w:rPr>
            </w:pPr>
            <w:r w:rsidRPr="00763EAB">
              <w:rPr>
                <w:lang w:val="en-GB"/>
              </w:rPr>
              <w:t>294</w:t>
            </w:r>
          </w:p>
        </w:tc>
        <w:tc>
          <w:tcPr>
            <w:tcW w:w="2034" w:type="dxa"/>
          </w:tcPr>
          <w:p w:rsidR="003B00F5" w:rsidRPr="00763EAB" w:rsidRDefault="003B00F5" w:rsidP="00597074">
            <w:pPr>
              <w:spacing w:line="360" w:lineRule="auto"/>
              <w:jc w:val="center"/>
              <w:rPr>
                <w:lang w:val="en-GB"/>
              </w:rPr>
            </w:pPr>
            <w:r w:rsidRPr="00763EAB">
              <w:rPr>
                <w:lang w:val="en-GB"/>
              </w:rPr>
              <w:t>150 (51.0)</w:t>
            </w:r>
          </w:p>
        </w:tc>
        <w:tc>
          <w:tcPr>
            <w:tcW w:w="1389" w:type="dxa"/>
          </w:tcPr>
          <w:p w:rsidR="003B00F5" w:rsidRPr="00763EAB" w:rsidRDefault="003B00F5" w:rsidP="00597074">
            <w:pPr>
              <w:spacing w:line="360" w:lineRule="auto"/>
              <w:jc w:val="center"/>
              <w:rPr>
                <w:lang w:val="en-GB"/>
              </w:rPr>
            </w:pPr>
            <w:r w:rsidRPr="00763EAB">
              <w:rPr>
                <w:lang w:val="en-GB"/>
              </w:rPr>
              <w:t>70</w:t>
            </w:r>
          </w:p>
        </w:tc>
        <w:tc>
          <w:tcPr>
            <w:tcW w:w="2055" w:type="dxa"/>
          </w:tcPr>
          <w:p w:rsidR="003B00F5" w:rsidRPr="00763EAB" w:rsidRDefault="003B00F5" w:rsidP="00597074">
            <w:pPr>
              <w:spacing w:line="360" w:lineRule="auto"/>
              <w:jc w:val="center"/>
              <w:rPr>
                <w:lang w:val="en-GB"/>
              </w:rPr>
            </w:pPr>
            <w:r w:rsidRPr="00763EAB">
              <w:rPr>
                <w:lang w:val="en-GB"/>
              </w:rPr>
              <w:t>36 (51.4)</w:t>
            </w:r>
          </w:p>
        </w:tc>
        <w:tc>
          <w:tcPr>
            <w:tcW w:w="1300" w:type="dxa"/>
          </w:tcPr>
          <w:p w:rsidR="003B00F5" w:rsidRPr="00763EAB" w:rsidRDefault="003B00F5" w:rsidP="00597074">
            <w:pPr>
              <w:spacing w:line="360" w:lineRule="auto"/>
              <w:jc w:val="center"/>
              <w:rPr>
                <w:lang w:val="en-GB"/>
              </w:rPr>
            </w:pPr>
            <w:r w:rsidRPr="00763EAB">
              <w:rPr>
                <w:lang w:val="en-GB"/>
              </w:rPr>
              <w:t>224</w:t>
            </w:r>
          </w:p>
        </w:tc>
        <w:tc>
          <w:tcPr>
            <w:tcW w:w="2031" w:type="dxa"/>
          </w:tcPr>
          <w:p w:rsidR="003B00F5" w:rsidRPr="00763EAB" w:rsidRDefault="003B00F5" w:rsidP="00597074">
            <w:pPr>
              <w:spacing w:line="360" w:lineRule="auto"/>
              <w:jc w:val="center"/>
              <w:rPr>
                <w:lang w:val="en-GB"/>
              </w:rPr>
            </w:pPr>
            <w:r w:rsidRPr="00763EAB">
              <w:rPr>
                <w:lang w:val="en-GB"/>
              </w:rPr>
              <w:t>114 (50.9)</w:t>
            </w:r>
          </w:p>
        </w:tc>
        <w:tc>
          <w:tcPr>
            <w:tcW w:w="1384" w:type="dxa"/>
          </w:tcPr>
          <w:p w:rsidR="003B00F5" w:rsidRPr="00763EAB" w:rsidRDefault="003B00F5" w:rsidP="00597074">
            <w:pPr>
              <w:spacing w:line="360" w:lineRule="auto"/>
              <w:jc w:val="center"/>
              <w:rPr>
                <w:lang w:val="en-GB"/>
              </w:rPr>
            </w:pPr>
            <w:r w:rsidRPr="00763EAB">
              <w:rPr>
                <w:lang w:val="en-GB"/>
              </w:rPr>
              <w:t>0.94</w:t>
            </w:r>
          </w:p>
        </w:tc>
      </w:tr>
      <w:tr w:rsidR="00763EAB" w:rsidRPr="00763EAB" w:rsidTr="00597074">
        <w:trPr>
          <w:trHeight w:val="296"/>
        </w:trPr>
        <w:tc>
          <w:tcPr>
            <w:tcW w:w="5778" w:type="dxa"/>
            <w:shd w:val="clear" w:color="auto" w:fill="auto"/>
          </w:tcPr>
          <w:p w:rsidR="003B00F5" w:rsidRPr="00763EAB" w:rsidRDefault="003B00F5" w:rsidP="00597074">
            <w:pPr>
              <w:spacing w:line="360" w:lineRule="auto"/>
              <w:jc w:val="both"/>
              <w:rPr>
                <w:lang w:val="en-GB"/>
              </w:rPr>
            </w:pPr>
            <w:r w:rsidRPr="00763EAB">
              <w:rPr>
                <w:lang w:val="en-GB"/>
              </w:rPr>
              <w:t>Partner status (yes) (n (%))</w:t>
            </w:r>
          </w:p>
        </w:tc>
        <w:tc>
          <w:tcPr>
            <w:tcW w:w="759" w:type="dxa"/>
            <w:shd w:val="clear" w:color="auto" w:fill="auto"/>
          </w:tcPr>
          <w:p w:rsidR="003B00F5" w:rsidRPr="00763EAB" w:rsidRDefault="003B00F5" w:rsidP="00597074">
            <w:pPr>
              <w:spacing w:line="360" w:lineRule="auto"/>
              <w:jc w:val="center"/>
              <w:rPr>
                <w:lang w:val="en-GB"/>
              </w:rPr>
            </w:pPr>
            <w:r w:rsidRPr="00763EAB">
              <w:rPr>
                <w:lang w:val="en-GB"/>
              </w:rPr>
              <w:t>294</w:t>
            </w:r>
          </w:p>
        </w:tc>
        <w:tc>
          <w:tcPr>
            <w:tcW w:w="2034" w:type="dxa"/>
            <w:shd w:val="clear" w:color="auto" w:fill="auto"/>
          </w:tcPr>
          <w:p w:rsidR="003B00F5" w:rsidRPr="00763EAB" w:rsidRDefault="003B00F5" w:rsidP="00597074">
            <w:pPr>
              <w:spacing w:line="360" w:lineRule="auto"/>
              <w:jc w:val="center"/>
              <w:rPr>
                <w:lang w:val="en-GB"/>
              </w:rPr>
            </w:pPr>
            <w:r w:rsidRPr="00763EAB">
              <w:rPr>
                <w:lang w:val="en-GB"/>
              </w:rPr>
              <w:t>208 (70.7)</w:t>
            </w:r>
          </w:p>
        </w:tc>
        <w:tc>
          <w:tcPr>
            <w:tcW w:w="1389" w:type="dxa"/>
            <w:shd w:val="clear" w:color="auto" w:fill="auto"/>
          </w:tcPr>
          <w:p w:rsidR="003B00F5" w:rsidRPr="00763EAB" w:rsidRDefault="003B00F5" w:rsidP="00597074">
            <w:pPr>
              <w:spacing w:line="360" w:lineRule="auto"/>
              <w:jc w:val="center"/>
              <w:rPr>
                <w:lang w:val="en-GB"/>
              </w:rPr>
            </w:pPr>
            <w:r w:rsidRPr="00763EAB">
              <w:rPr>
                <w:lang w:val="en-GB"/>
              </w:rPr>
              <w:t>70</w:t>
            </w:r>
          </w:p>
        </w:tc>
        <w:tc>
          <w:tcPr>
            <w:tcW w:w="2055" w:type="dxa"/>
            <w:shd w:val="clear" w:color="auto" w:fill="auto"/>
          </w:tcPr>
          <w:p w:rsidR="003B00F5" w:rsidRPr="00763EAB" w:rsidRDefault="003B00F5" w:rsidP="00597074">
            <w:pPr>
              <w:spacing w:line="360" w:lineRule="auto"/>
              <w:jc w:val="center"/>
              <w:rPr>
                <w:lang w:val="en-GB"/>
              </w:rPr>
            </w:pPr>
            <w:r w:rsidRPr="00763EAB">
              <w:rPr>
                <w:lang w:val="en-GB"/>
              </w:rPr>
              <w:t>60 (85.7)</w:t>
            </w:r>
          </w:p>
        </w:tc>
        <w:tc>
          <w:tcPr>
            <w:tcW w:w="1300" w:type="dxa"/>
            <w:shd w:val="clear" w:color="auto" w:fill="auto"/>
          </w:tcPr>
          <w:p w:rsidR="003B00F5" w:rsidRPr="00763EAB" w:rsidRDefault="003B00F5" w:rsidP="00597074">
            <w:pPr>
              <w:spacing w:line="360" w:lineRule="auto"/>
              <w:jc w:val="center"/>
              <w:rPr>
                <w:lang w:val="en-GB"/>
              </w:rPr>
            </w:pPr>
            <w:r w:rsidRPr="00763EAB">
              <w:rPr>
                <w:lang w:val="en-GB"/>
              </w:rPr>
              <w:t>224</w:t>
            </w:r>
          </w:p>
        </w:tc>
        <w:tc>
          <w:tcPr>
            <w:tcW w:w="2031" w:type="dxa"/>
            <w:shd w:val="clear" w:color="auto" w:fill="auto"/>
          </w:tcPr>
          <w:p w:rsidR="003B00F5" w:rsidRPr="00763EAB" w:rsidRDefault="003B00F5" w:rsidP="00597074">
            <w:pPr>
              <w:spacing w:line="360" w:lineRule="auto"/>
              <w:jc w:val="center"/>
              <w:rPr>
                <w:lang w:val="en-GB"/>
              </w:rPr>
            </w:pPr>
            <w:r w:rsidRPr="00763EAB">
              <w:rPr>
                <w:lang w:val="en-GB"/>
              </w:rPr>
              <w:t>148 (66.1)</w:t>
            </w:r>
          </w:p>
        </w:tc>
        <w:tc>
          <w:tcPr>
            <w:tcW w:w="1384" w:type="dxa"/>
            <w:shd w:val="clear" w:color="auto" w:fill="auto"/>
          </w:tcPr>
          <w:p w:rsidR="003B00F5" w:rsidRPr="00763EAB" w:rsidRDefault="003B00F5" w:rsidP="00597074">
            <w:pPr>
              <w:spacing w:line="360" w:lineRule="auto"/>
              <w:jc w:val="center"/>
              <w:rPr>
                <w:lang w:val="en-GB"/>
              </w:rPr>
            </w:pPr>
            <w:r w:rsidRPr="00763EAB">
              <w:rPr>
                <w:lang w:val="en-GB"/>
              </w:rPr>
              <w:t>&lt;0.01</w:t>
            </w:r>
          </w:p>
        </w:tc>
      </w:tr>
      <w:tr w:rsidR="00763EAB" w:rsidRPr="00763EAB" w:rsidTr="00597074">
        <w:trPr>
          <w:trHeight w:val="316"/>
        </w:trPr>
        <w:tc>
          <w:tcPr>
            <w:tcW w:w="5778" w:type="dxa"/>
            <w:shd w:val="clear" w:color="auto" w:fill="auto"/>
          </w:tcPr>
          <w:p w:rsidR="003B00F5" w:rsidRPr="00763EAB" w:rsidRDefault="003B00F5" w:rsidP="00597074">
            <w:pPr>
              <w:spacing w:line="360" w:lineRule="auto"/>
              <w:jc w:val="both"/>
              <w:rPr>
                <w:lang w:val="en-GB"/>
              </w:rPr>
            </w:pPr>
            <w:r w:rsidRPr="00763EAB">
              <w:rPr>
                <w:lang w:val="en-GB"/>
              </w:rPr>
              <w:t>Education (≥ secondary education) (n (%))</w:t>
            </w:r>
          </w:p>
        </w:tc>
        <w:tc>
          <w:tcPr>
            <w:tcW w:w="759" w:type="dxa"/>
            <w:shd w:val="clear" w:color="auto" w:fill="auto"/>
          </w:tcPr>
          <w:p w:rsidR="003B00F5" w:rsidRPr="00763EAB" w:rsidRDefault="003B00F5" w:rsidP="00597074">
            <w:pPr>
              <w:spacing w:line="360" w:lineRule="auto"/>
              <w:jc w:val="center"/>
              <w:rPr>
                <w:lang w:val="en-GB"/>
              </w:rPr>
            </w:pPr>
            <w:r w:rsidRPr="00763EAB">
              <w:rPr>
                <w:lang w:val="en-GB"/>
              </w:rPr>
              <w:t>294</w:t>
            </w:r>
          </w:p>
        </w:tc>
        <w:tc>
          <w:tcPr>
            <w:tcW w:w="2034" w:type="dxa"/>
            <w:shd w:val="clear" w:color="auto" w:fill="auto"/>
          </w:tcPr>
          <w:p w:rsidR="003B00F5" w:rsidRPr="00763EAB" w:rsidRDefault="003B00F5" w:rsidP="00597074">
            <w:pPr>
              <w:spacing w:line="360" w:lineRule="auto"/>
              <w:jc w:val="center"/>
              <w:rPr>
                <w:lang w:val="en-GB"/>
              </w:rPr>
            </w:pPr>
            <w:r w:rsidRPr="00763EAB">
              <w:rPr>
                <w:lang w:val="en-GB"/>
              </w:rPr>
              <w:t>237 (80.6)</w:t>
            </w:r>
          </w:p>
        </w:tc>
        <w:tc>
          <w:tcPr>
            <w:tcW w:w="1389" w:type="dxa"/>
            <w:shd w:val="clear" w:color="auto" w:fill="auto"/>
          </w:tcPr>
          <w:p w:rsidR="003B00F5" w:rsidRPr="00763EAB" w:rsidRDefault="003B00F5" w:rsidP="00597074">
            <w:pPr>
              <w:spacing w:line="360" w:lineRule="auto"/>
              <w:jc w:val="center"/>
              <w:rPr>
                <w:lang w:val="en-GB"/>
              </w:rPr>
            </w:pPr>
            <w:r w:rsidRPr="00763EAB">
              <w:rPr>
                <w:lang w:val="en-GB"/>
              </w:rPr>
              <w:t>70</w:t>
            </w:r>
          </w:p>
        </w:tc>
        <w:tc>
          <w:tcPr>
            <w:tcW w:w="2055" w:type="dxa"/>
            <w:shd w:val="clear" w:color="auto" w:fill="auto"/>
          </w:tcPr>
          <w:p w:rsidR="003B00F5" w:rsidRPr="00763EAB" w:rsidRDefault="003B00F5" w:rsidP="00597074">
            <w:pPr>
              <w:spacing w:line="360" w:lineRule="auto"/>
              <w:jc w:val="center"/>
              <w:rPr>
                <w:lang w:val="en-GB"/>
              </w:rPr>
            </w:pPr>
            <w:r w:rsidRPr="00763EAB">
              <w:rPr>
                <w:lang w:val="en-GB"/>
              </w:rPr>
              <w:t>57 (81.4)</w:t>
            </w:r>
          </w:p>
        </w:tc>
        <w:tc>
          <w:tcPr>
            <w:tcW w:w="1300" w:type="dxa"/>
            <w:shd w:val="clear" w:color="auto" w:fill="auto"/>
          </w:tcPr>
          <w:p w:rsidR="003B00F5" w:rsidRPr="00763EAB" w:rsidRDefault="003B00F5" w:rsidP="00597074">
            <w:pPr>
              <w:spacing w:line="360" w:lineRule="auto"/>
              <w:jc w:val="center"/>
              <w:rPr>
                <w:lang w:val="en-GB"/>
              </w:rPr>
            </w:pPr>
            <w:r w:rsidRPr="00763EAB">
              <w:rPr>
                <w:lang w:val="en-GB"/>
              </w:rPr>
              <w:t>224</w:t>
            </w:r>
          </w:p>
        </w:tc>
        <w:tc>
          <w:tcPr>
            <w:tcW w:w="2031" w:type="dxa"/>
            <w:shd w:val="clear" w:color="auto" w:fill="auto"/>
          </w:tcPr>
          <w:p w:rsidR="003B00F5" w:rsidRPr="00763EAB" w:rsidRDefault="003B00F5" w:rsidP="00597074">
            <w:pPr>
              <w:spacing w:line="360" w:lineRule="auto"/>
              <w:jc w:val="center"/>
              <w:rPr>
                <w:lang w:val="en-GB"/>
              </w:rPr>
            </w:pPr>
            <w:r w:rsidRPr="00763EAB">
              <w:rPr>
                <w:lang w:val="en-GB"/>
              </w:rPr>
              <w:t>180 (80.4)</w:t>
            </w:r>
          </w:p>
        </w:tc>
        <w:tc>
          <w:tcPr>
            <w:tcW w:w="1384" w:type="dxa"/>
            <w:shd w:val="clear" w:color="auto" w:fill="auto"/>
          </w:tcPr>
          <w:p w:rsidR="003B00F5" w:rsidRPr="00763EAB" w:rsidRDefault="003B00F5" w:rsidP="00597074">
            <w:pPr>
              <w:spacing w:line="360" w:lineRule="auto"/>
              <w:jc w:val="center"/>
              <w:rPr>
                <w:lang w:val="en-GB"/>
              </w:rPr>
            </w:pPr>
            <w:r w:rsidRPr="00763EAB">
              <w:rPr>
                <w:lang w:val="en-GB"/>
              </w:rPr>
              <w:t>0.84</w:t>
            </w:r>
          </w:p>
        </w:tc>
      </w:tr>
      <w:tr w:rsidR="00763EAB" w:rsidRPr="00763EAB" w:rsidTr="00597074">
        <w:trPr>
          <w:trHeight w:val="336"/>
        </w:trPr>
        <w:tc>
          <w:tcPr>
            <w:tcW w:w="5778" w:type="dxa"/>
            <w:shd w:val="clear" w:color="auto" w:fill="auto"/>
          </w:tcPr>
          <w:p w:rsidR="003B00F5" w:rsidRPr="00763EAB" w:rsidRDefault="003B00F5" w:rsidP="00597074">
            <w:pPr>
              <w:spacing w:line="360" w:lineRule="auto"/>
              <w:jc w:val="both"/>
              <w:rPr>
                <w:highlight w:val="yellow"/>
                <w:lang w:val="en-GB"/>
              </w:rPr>
            </w:pPr>
            <w:r w:rsidRPr="00763EAB">
              <w:rPr>
                <w:lang w:val="en-GB"/>
              </w:rPr>
              <w:t>Number of chronic diseases (n (%))</w:t>
            </w:r>
          </w:p>
        </w:tc>
        <w:tc>
          <w:tcPr>
            <w:tcW w:w="759" w:type="dxa"/>
          </w:tcPr>
          <w:p w:rsidR="003B00F5" w:rsidRPr="00763EAB" w:rsidRDefault="003B00F5" w:rsidP="00597074">
            <w:pPr>
              <w:spacing w:line="360" w:lineRule="auto"/>
              <w:jc w:val="center"/>
              <w:rPr>
                <w:lang w:val="en-GB"/>
              </w:rPr>
            </w:pPr>
            <w:r w:rsidRPr="00763EAB">
              <w:rPr>
                <w:lang w:val="en-GB"/>
              </w:rPr>
              <w:t>294</w:t>
            </w:r>
          </w:p>
        </w:tc>
        <w:tc>
          <w:tcPr>
            <w:tcW w:w="2034" w:type="dxa"/>
          </w:tcPr>
          <w:p w:rsidR="003B00F5" w:rsidRPr="00763EAB" w:rsidRDefault="003B00F5" w:rsidP="00597074">
            <w:pPr>
              <w:spacing w:line="360" w:lineRule="auto"/>
              <w:jc w:val="center"/>
              <w:rPr>
                <w:lang w:val="en-GB"/>
              </w:rPr>
            </w:pPr>
          </w:p>
        </w:tc>
        <w:tc>
          <w:tcPr>
            <w:tcW w:w="1389" w:type="dxa"/>
          </w:tcPr>
          <w:p w:rsidR="003B00F5" w:rsidRPr="00763EAB" w:rsidRDefault="003B00F5" w:rsidP="00597074">
            <w:pPr>
              <w:spacing w:line="360" w:lineRule="auto"/>
              <w:jc w:val="center"/>
              <w:rPr>
                <w:lang w:val="en-GB"/>
              </w:rPr>
            </w:pPr>
            <w:r w:rsidRPr="00763EAB">
              <w:rPr>
                <w:lang w:val="en-GB"/>
              </w:rPr>
              <w:t>70</w:t>
            </w:r>
          </w:p>
        </w:tc>
        <w:tc>
          <w:tcPr>
            <w:tcW w:w="2055" w:type="dxa"/>
          </w:tcPr>
          <w:p w:rsidR="003B00F5" w:rsidRPr="00763EAB" w:rsidRDefault="003B00F5" w:rsidP="00597074">
            <w:pPr>
              <w:spacing w:line="360" w:lineRule="auto"/>
              <w:jc w:val="center"/>
              <w:rPr>
                <w:lang w:val="en-GB"/>
              </w:rPr>
            </w:pPr>
          </w:p>
        </w:tc>
        <w:tc>
          <w:tcPr>
            <w:tcW w:w="1300" w:type="dxa"/>
          </w:tcPr>
          <w:p w:rsidR="003B00F5" w:rsidRPr="00763EAB" w:rsidRDefault="003B00F5" w:rsidP="00597074">
            <w:pPr>
              <w:spacing w:line="360" w:lineRule="auto"/>
              <w:jc w:val="center"/>
              <w:rPr>
                <w:lang w:val="en-GB"/>
              </w:rPr>
            </w:pPr>
            <w:r w:rsidRPr="00763EAB">
              <w:rPr>
                <w:lang w:val="en-GB"/>
              </w:rPr>
              <w:t>224</w:t>
            </w:r>
          </w:p>
        </w:tc>
        <w:tc>
          <w:tcPr>
            <w:tcW w:w="2031" w:type="dxa"/>
          </w:tcPr>
          <w:p w:rsidR="003B00F5" w:rsidRPr="00763EAB" w:rsidRDefault="003B00F5" w:rsidP="00597074">
            <w:pPr>
              <w:spacing w:line="360" w:lineRule="auto"/>
              <w:jc w:val="center"/>
              <w:rPr>
                <w:lang w:val="en-GB"/>
              </w:rPr>
            </w:pPr>
          </w:p>
        </w:tc>
        <w:tc>
          <w:tcPr>
            <w:tcW w:w="1384" w:type="dxa"/>
          </w:tcPr>
          <w:p w:rsidR="003B00F5" w:rsidRPr="00763EAB" w:rsidRDefault="003B00F5" w:rsidP="00597074">
            <w:pPr>
              <w:spacing w:line="360" w:lineRule="auto"/>
              <w:jc w:val="center"/>
              <w:rPr>
                <w:lang w:val="en-GB"/>
              </w:rPr>
            </w:pPr>
            <w:r w:rsidRPr="00763EAB">
              <w:rPr>
                <w:lang w:val="en-GB"/>
              </w:rPr>
              <w:t>0.20</w:t>
            </w:r>
          </w:p>
        </w:tc>
      </w:tr>
      <w:tr w:rsidR="00763EAB" w:rsidRPr="00763EAB" w:rsidTr="00597074">
        <w:trPr>
          <w:trHeight w:val="342"/>
        </w:trPr>
        <w:tc>
          <w:tcPr>
            <w:tcW w:w="5778" w:type="dxa"/>
          </w:tcPr>
          <w:p w:rsidR="003B00F5" w:rsidRPr="00763EAB" w:rsidRDefault="003B00F5" w:rsidP="00597074">
            <w:pPr>
              <w:spacing w:line="360" w:lineRule="auto"/>
              <w:jc w:val="both"/>
              <w:rPr>
                <w:highlight w:val="yellow"/>
                <w:lang w:val="en-GB"/>
              </w:rPr>
            </w:pPr>
            <w:r w:rsidRPr="00763EAB">
              <w:rPr>
                <w:lang w:val="en-GB"/>
              </w:rPr>
              <w:t xml:space="preserve">      0</w:t>
            </w:r>
          </w:p>
        </w:tc>
        <w:tc>
          <w:tcPr>
            <w:tcW w:w="759" w:type="dxa"/>
          </w:tcPr>
          <w:p w:rsidR="003B00F5" w:rsidRPr="00763EAB" w:rsidRDefault="003B00F5" w:rsidP="00597074">
            <w:pPr>
              <w:spacing w:line="360" w:lineRule="auto"/>
              <w:jc w:val="center"/>
              <w:rPr>
                <w:lang w:val="en-GB"/>
              </w:rPr>
            </w:pPr>
          </w:p>
        </w:tc>
        <w:tc>
          <w:tcPr>
            <w:tcW w:w="2034" w:type="dxa"/>
          </w:tcPr>
          <w:p w:rsidR="003B00F5" w:rsidRPr="00763EAB" w:rsidRDefault="003B00F5" w:rsidP="00597074">
            <w:pPr>
              <w:spacing w:line="360" w:lineRule="auto"/>
              <w:jc w:val="center"/>
              <w:rPr>
                <w:lang w:val="en-GB"/>
              </w:rPr>
            </w:pPr>
            <w:r w:rsidRPr="00763EAB">
              <w:rPr>
                <w:lang w:val="en-GB"/>
              </w:rPr>
              <w:t>128 (43.6)</w:t>
            </w:r>
          </w:p>
        </w:tc>
        <w:tc>
          <w:tcPr>
            <w:tcW w:w="1389" w:type="dxa"/>
          </w:tcPr>
          <w:p w:rsidR="003B00F5" w:rsidRPr="00763EAB" w:rsidRDefault="003B00F5" w:rsidP="00597074">
            <w:pPr>
              <w:spacing w:line="360" w:lineRule="auto"/>
              <w:jc w:val="center"/>
              <w:rPr>
                <w:lang w:val="en-GB"/>
              </w:rPr>
            </w:pPr>
          </w:p>
        </w:tc>
        <w:tc>
          <w:tcPr>
            <w:tcW w:w="2055" w:type="dxa"/>
          </w:tcPr>
          <w:p w:rsidR="003B00F5" w:rsidRPr="00763EAB" w:rsidRDefault="003B00F5" w:rsidP="00597074">
            <w:pPr>
              <w:spacing w:line="360" w:lineRule="auto"/>
              <w:jc w:val="center"/>
              <w:rPr>
                <w:lang w:val="en-GB"/>
              </w:rPr>
            </w:pPr>
            <w:r w:rsidRPr="00763EAB">
              <w:rPr>
                <w:lang w:val="en-GB"/>
              </w:rPr>
              <w:t>36 (51.4)</w:t>
            </w:r>
          </w:p>
        </w:tc>
        <w:tc>
          <w:tcPr>
            <w:tcW w:w="1300" w:type="dxa"/>
          </w:tcPr>
          <w:p w:rsidR="003B00F5" w:rsidRPr="00763EAB" w:rsidRDefault="003B00F5" w:rsidP="00597074">
            <w:pPr>
              <w:spacing w:line="360" w:lineRule="auto"/>
              <w:jc w:val="center"/>
              <w:rPr>
                <w:lang w:val="en-GB"/>
              </w:rPr>
            </w:pPr>
          </w:p>
        </w:tc>
        <w:tc>
          <w:tcPr>
            <w:tcW w:w="2031" w:type="dxa"/>
          </w:tcPr>
          <w:p w:rsidR="003B00F5" w:rsidRPr="00763EAB" w:rsidRDefault="003B00F5" w:rsidP="00597074">
            <w:pPr>
              <w:spacing w:line="360" w:lineRule="auto"/>
              <w:jc w:val="center"/>
              <w:rPr>
                <w:lang w:val="en-GB"/>
              </w:rPr>
            </w:pPr>
            <w:r w:rsidRPr="00763EAB">
              <w:rPr>
                <w:lang w:val="en-GB"/>
              </w:rPr>
              <w:t>92 (41.1)</w:t>
            </w:r>
          </w:p>
        </w:tc>
        <w:tc>
          <w:tcPr>
            <w:tcW w:w="1384" w:type="dxa"/>
          </w:tcPr>
          <w:p w:rsidR="003B00F5" w:rsidRPr="00763EAB" w:rsidRDefault="003B00F5" w:rsidP="00597074">
            <w:pPr>
              <w:spacing w:line="360" w:lineRule="auto"/>
              <w:jc w:val="center"/>
              <w:rPr>
                <w:lang w:val="en-GB"/>
              </w:rPr>
            </w:pPr>
          </w:p>
        </w:tc>
      </w:tr>
      <w:tr w:rsidR="00763EAB" w:rsidRPr="00763EAB" w:rsidTr="00597074">
        <w:trPr>
          <w:trHeight w:val="362"/>
        </w:trPr>
        <w:tc>
          <w:tcPr>
            <w:tcW w:w="5778" w:type="dxa"/>
          </w:tcPr>
          <w:p w:rsidR="003B00F5" w:rsidRPr="00763EAB" w:rsidRDefault="003B00F5" w:rsidP="00597074">
            <w:pPr>
              <w:spacing w:line="360" w:lineRule="auto"/>
              <w:jc w:val="both"/>
              <w:rPr>
                <w:lang w:val="en-GB"/>
              </w:rPr>
            </w:pPr>
            <w:r w:rsidRPr="00763EAB">
              <w:rPr>
                <w:lang w:val="en-GB"/>
              </w:rPr>
              <w:t xml:space="preserve">      1</w:t>
            </w:r>
          </w:p>
        </w:tc>
        <w:tc>
          <w:tcPr>
            <w:tcW w:w="759" w:type="dxa"/>
          </w:tcPr>
          <w:p w:rsidR="003B00F5" w:rsidRPr="00763EAB" w:rsidRDefault="003B00F5" w:rsidP="00597074">
            <w:pPr>
              <w:spacing w:line="360" w:lineRule="auto"/>
              <w:jc w:val="center"/>
              <w:rPr>
                <w:lang w:val="en-GB"/>
              </w:rPr>
            </w:pPr>
          </w:p>
        </w:tc>
        <w:tc>
          <w:tcPr>
            <w:tcW w:w="2034" w:type="dxa"/>
          </w:tcPr>
          <w:p w:rsidR="003B00F5" w:rsidRPr="00763EAB" w:rsidRDefault="003B00F5" w:rsidP="00597074">
            <w:pPr>
              <w:spacing w:line="360" w:lineRule="auto"/>
              <w:jc w:val="center"/>
              <w:rPr>
                <w:lang w:val="en-GB"/>
              </w:rPr>
            </w:pPr>
            <w:r w:rsidRPr="00763EAB">
              <w:rPr>
                <w:lang w:val="en-GB"/>
              </w:rPr>
              <w:t>110 (37.4)</w:t>
            </w:r>
          </w:p>
        </w:tc>
        <w:tc>
          <w:tcPr>
            <w:tcW w:w="1389" w:type="dxa"/>
          </w:tcPr>
          <w:p w:rsidR="003B00F5" w:rsidRPr="00763EAB" w:rsidRDefault="003B00F5" w:rsidP="00597074">
            <w:pPr>
              <w:spacing w:line="360" w:lineRule="auto"/>
              <w:jc w:val="center"/>
              <w:rPr>
                <w:lang w:val="en-GB"/>
              </w:rPr>
            </w:pPr>
          </w:p>
        </w:tc>
        <w:tc>
          <w:tcPr>
            <w:tcW w:w="2055" w:type="dxa"/>
          </w:tcPr>
          <w:p w:rsidR="003B00F5" w:rsidRPr="00763EAB" w:rsidRDefault="003B00F5" w:rsidP="00597074">
            <w:pPr>
              <w:spacing w:line="360" w:lineRule="auto"/>
              <w:jc w:val="center"/>
              <w:rPr>
                <w:lang w:val="en-GB"/>
              </w:rPr>
            </w:pPr>
            <w:r w:rsidRPr="00763EAB">
              <w:rPr>
                <w:lang w:val="en-GB"/>
              </w:rPr>
              <w:t>25 (35.7)</w:t>
            </w:r>
          </w:p>
        </w:tc>
        <w:tc>
          <w:tcPr>
            <w:tcW w:w="1300" w:type="dxa"/>
          </w:tcPr>
          <w:p w:rsidR="003B00F5" w:rsidRPr="00763EAB" w:rsidRDefault="003B00F5" w:rsidP="00597074">
            <w:pPr>
              <w:spacing w:line="360" w:lineRule="auto"/>
              <w:jc w:val="center"/>
              <w:rPr>
                <w:lang w:val="en-GB"/>
              </w:rPr>
            </w:pPr>
          </w:p>
        </w:tc>
        <w:tc>
          <w:tcPr>
            <w:tcW w:w="2031" w:type="dxa"/>
          </w:tcPr>
          <w:p w:rsidR="003B00F5" w:rsidRPr="00763EAB" w:rsidRDefault="003B00F5" w:rsidP="00597074">
            <w:pPr>
              <w:spacing w:line="360" w:lineRule="auto"/>
              <w:jc w:val="center"/>
              <w:rPr>
                <w:lang w:val="en-GB"/>
              </w:rPr>
            </w:pPr>
            <w:r w:rsidRPr="00763EAB">
              <w:rPr>
                <w:lang w:val="en-GB"/>
              </w:rPr>
              <w:t>85 (37.9)</w:t>
            </w:r>
          </w:p>
        </w:tc>
        <w:tc>
          <w:tcPr>
            <w:tcW w:w="1384" w:type="dxa"/>
          </w:tcPr>
          <w:p w:rsidR="003B00F5" w:rsidRPr="00763EAB" w:rsidRDefault="003B00F5" w:rsidP="00597074">
            <w:pPr>
              <w:spacing w:line="360" w:lineRule="auto"/>
              <w:jc w:val="center"/>
              <w:rPr>
                <w:lang w:val="en-GB"/>
              </w:rPr>
            </w:pPr>
          </w:p>
        </w:tc>
      </w:tr>
      <w:tr w:rsidR="00763EAB" w:rsidRPr="00763EAB" w:rsidTr="00EA3AA5">
        <w:trPr>
          <w:trHeight w:val="226"/>
        </w:trPr>
        <w:tc>
          <w:tcPr>
            <w:tcW w:w="5778" w:type="dxa"/>
          </w:tcPr>
          <w:p w:rsidR="003B00F5" w:rsidRPr="00763EAB" w:rsidRDefault="003B00F5" w:rsidP="00597074">
            <w:pPr>
              <w:spacing w:line="360" w:lineRule="auto"/>
              <w:jc w:val="both"/>
              <w:rPr>
                <w:lang w:val="en-GB"/>
              </w:rPr>
            </w:pPr>
            <w:r w:rsidRPr="00763EAB">
              <w:rPr>
                <w:lang w:val="en-GB"/>
              </w:rPr>
              <w:t xml:space="preserve">      ≥2</w:t>
            </w:r>
          </w:p>
        </w:tc>
        <w:tc>
          <w:tcPr>
            <w:tcW w:w="759" w:type="dxa"/>
          </w:tcPr>
          <w:p w:rsidR="003B00F5" w:rsidRPr="00763EAB" w:rsidRDefault="003B00F5" w:rsidP="00597074">
            <w:pPr>
              <w:spacing w:line="360" w:lineRule="auto"/>
              <w:jc w:val="center"/>
              <w:rPr>
                <w:lang w:val="en-GB"/>
              </w:rPr>
            </w:pPr>
          </w:p>
        </w:tc>
        <w:tc>
          <w:tcPr>
            <w:tcW w:w="2034" w:type="dxa"/>
          </w:tcPr>
          <w:p w:rsidR="003B00F5" w:rsidRPr="00763EAB" w:rsidRDefault="003B00F5" w:rsidP="00597074">
            <w:pPr>
              <w:spacing w:line="360" w:lineRule="auto"/>
              <w:jc w:val="center"/>
              <w:rPr>
                <w:lang w:val="en-GB"/>
              </w:rPr>
            </w:pPr>
            <w:r w:rsidRPr="00763EAB">
              <w:rPr>
                <w:lang w:val="en-GB"/>
              </w:rPr>
              <w:t>56 (19.0)</w:t>
            </w:r>
          </w:p>
        </w:tc>
        <w:tc>
          <w:tcPr>
            <w:tcW w:w="1389" w:type="dxa"/>
          </w:tcPr>
          <w:p w:rsidR="003B00F5" w:rsidRPr="00763EAB" w:rsidRDefault="003B00F5" w:rsidP="00597074">
            <w:pPr>
              <w:spacing w:line="360" w:lineRule="auto"/>
              <w:jc w:val="center"/>
              <w:rPr>
                <w:lang w:val="en-GB"/>
              </w:rPr>
            </w:pPr>
          </w:p>
        </w:tc>
        <w:tc>
          <w:tcPr>
            <w:tcW w:w="2055" w:type="dxa"/>
          </w:tcPr>
          <w:p w:rsidR="003B00F5" w:rsidRPr="00763EAB" w:rsidRDefault="003B00F5" w:rsidP="00597074">
            <w:pPr>
              <w:spacing w:line="360" w:lineRule="auto"/>
              <w:jc w:val="center"/>
              <w:rPr>
                <w:lang w:val="en-GB"/>
              </w:rPr>
            </w:pPr>
            <w:r w:rsidRPr="00763EAB">
              <w:rPr>
                <w:lang w:val="en-GB"/>
              </w:rPr>
              <w:t>9 (12.9)</w:t>
            </w:r>
          </w:p>
        </w:tc>
        <w:tc>
          <w:tcPr>
            <w:tcW w:w="1300" w:type="dxa"/>
          </w:tcPr>
          <w:p w:rsidR="003B00F5" w:rsidRPr="00763EAB" w:rsidRDefault="003B00F5" w:rsidP="00597074">
            <w:pPr>
              <w:spacing w:line="360" w:lineRule="auto"/>
              <w:jc w:val="center"/>
              <w:rPr>
                <w:lang w:val="en-GB"/>
              </w:rPr>
            </w:pPr>
          </w:p>
        </w:tc>
        <w:tc>
          <w:tcPr>
            <w:tcW w:w="2031" w:type="dxa"/>
          </w:tcPr>
          <w:p w:rsidR="003B00F5" w:rsidRPr="00763EAB" w:rsidRDefault="003B00F5" w:rsidP="00597074">
            <w:pPr>
              <w:spacing w:line="360" w:lineRule="auto"/>
              <w:jc w:val="center"/>
              <w:rPr>
                <w:lang w:val="en-GB"/>
              </w:rPr>
            </w:pPr>
            <w:r w:rsidRPr="00763EAB">
              <w:rPr>
                <w:lang w:val="en-GB"/>
              </w:rPr>
              <w:t>47 (21.0)</w:t>
            </w:r>
          </w:p>
        </w:tc>
        <w:tc>
          <w:tcPr>
            <w:tcW w:w="1384" w:type="dxa"/>
          </w:tcPr>
          <w:p w:rsidR="003B00F5" w:rsidRPr="00763EAB" w:rsidRDefault="003B00F5" w:rsidP="00597074">
            <w:pPr>
              <w:spacing w:line="360" w:lineRule="auto"/>
              <w:jc w:val="center"/>
              <w:rPr>
                <w:lang w:val="en-GB"/>
              </w:rPr>
            </w:pPr>
          </w:p>
        </w:tc>
      </w:tr>
      <w:tr w:rsidR="00763EAB" w:rsidRPr="00763EAB" w:rsidTr="00597074">
        <w:trPr>
          <w:trHeight w:val="388"/>
        </w:trPr>
        <w:tc>
          <w:tcPr>
            <w:tcW w:w="5778" w:type="dxa"/>
          </w:tcPr>
          <w:p w:rsidR="003B00F5" w:rsidRPr="00763EAB" w:rsidRDefault="003B00F5" w:rsidP="00597074">
            <w:pPr>
              <w:spacing w:line="360" w:lineRule="auto"/>
              <w:jc w:val="both"/>
              <w:rPr>
                <w:lang w:val="en-GB"/>
              </w:rPr>
            </w:pPr>
            <w:r w:rsidRPr="00763EAB">
              <w:rPr>
                <w:lang w:val="en-GB"/>
              </w:rPr>
              <w:t>Anxiety (HADS-A≥8) (n (%))</w:t>
            </w:r>
          </w:p>
        </w:tc>
        <w:tc>
          <w:tcPr>
            <w:tcW w:w="759" w:type="dxa"/>
          </w:tcPr>
          <w:p w:rsidR="003B00F5" w:rsidRPr="00763EAB" w:rsidRDefault="003B00F5" w:rsidP="00597074">
            <w:pPr>
              <w:spacing w:line="360" w:lineRule="auto"/>
              <w:jc w:val="center"/>
              <w:rPr>
                <w:lang w:val="en-GB"/>
              </w:rPr>
            </w:pPr>
            <w:r w:rsidRPr="00763EAB">
              <w:rPr>
                <w:lang w:val="en-GB"/>
              </w:rPr>
              <w:t>294</w:t>
            </w:r>
          </w:p>
        </w:tc>
        <w:tc>
          <w:tcPr>
            <w:tcW w:w="2034" w:type="dxa"/>
          </w:tcPr>
          <w:p w:rsidR="003B00F5" w:rsidRPr="00763EAB" w:rsidRDefault="003B00F5" w:rsidP="00597074">
            <w:pPr>
              <w:spacing w:line="360" w:lineRule="auto"/>
              <w:jc w:val="center"/>
              <w:rPr>
                <w:lang w:val="en-GB"/>
              </w:rPr>
            </w:pPr>
            <w:r w:rsidRPr="00763EAB">
              <w:rPr>
                <w:lang w:val="en-GB"/>
              </w:rPr>
              <w:t>47 (16.0)</w:t>
            </w:r>
          </w:p>
        </w:tc>
        <w:tc>
          <w:tcPr>
            <w:tcW w:w="1389" w:type="dxa"/>
          </w:tcPr>
          <w:p w:rsidR="003B00F5" w:rsidRPr="00763EAB" w:rsidRDefault="003B00F5" w:rsidP="00597074">
            <w:pPr>
              <w:spacing w:line="360" w:lineRule="auto"/>
              <w:jc w:val="center"/>
              <w:rPr>
                <w:lang w:val="en-GB"/>
              </w:rPr>
            </w:pPr>
            <w:r w:rsidRPr="00763EAB">
              <w:rPr>
                <w:lang w:val="en-GB"/>
              </w:rPr>
              <w:t>70</w:t>
            </w:r>
          </w:p>
        </w:tc>
        <w:tc>
          <w:tcPr>
            <w:tcW w:w="2055" w:type="dxa"/>
          </w:tcPr>
          <w:p w:rsidR="003B00F5" w:rsidRPr="00763EAB" w:rsidRDefault="003B00F5" w:rsidP="00597074">
            <w:pPr>
              <w:spacing w:line="360" w:lineRule="auto"/>
              <w:jc w:val="center"/>
              <w:rPr>
                <w:lang w:val="en-GB"/>
              </w:rPr>
            </w:pPr>
            <w:r w:rsidRPr="00763EAB">
              <w:rPr>
                <w:lang w:val="en-GB"/>
              </w:rPr>
              <w:t>19 (32.2)</w:t>
            </w:r>
          </w:p>
        </w:tc>
        <w:tc>
          <w:tcPr>
            <w:tcW w:w="1300" w:type="dxa"/>
          </w:tcPr>
          <w:p w:rsidR="003B00F5" w:rsidRPr="00763EAB" w:rsidRDefault="003B00F5" w:rsidP="00597074">
            <w:pPr>
              <w:spacing w:line="360" w:lineRule="auto"/>
              <w:jc w:val="center"/>
              <w:rPr>
                <w:lang w:val="en-GB"/>
              </w:rPr>
            </w:pPr>
            <w:r w:rsidRPr="00763EAB">
              <w:rPr>
                <w:lang w:val="en-GB"/>
              </w:rPr>
              <w:t>224</w:t>
            </w:r>
          </w:p>
        </w:tc>
        <w:tc>
          <w:tcPr>
            <w:tcW w:w="2031" w:type="dxa"/>
          </w:tcPr>
          <w:p w:rsidR="003B00F5" w:rsidRPr="00763EAB" w:rsidRDefault="003B00F5" w:rsidP="00597074">
            <w:pPr>
              <w:spacing w:line="360" w:lineRule="auto"/>
              <w:jc w:val="center"/>
              <w:rPr>
                <w:lang w:val="en-GB"/>
              </w:rPr>
            </w:pPr>
            <w:r w:rsidRPr="00763EAB">
              <w:rPr>
                <w:lang w:val="en-GB"/>
              </w:rPr>
              <w:t>24 (11.2)</w:t>
            </w:r>
          </w:p>
        </w:tc>
        <w:tc>
          <w:tcPr>
            <w:tcW w:w="1384" w:type="dxa"/>
          </w:tcPr>
          <w:p w:rsidR="003B00F5" w:rsidRPr="00763EAB" w:rsidRDefault="003B00F5" w:rsidP="00597074">
            <w:pPr>
              <w:spacing w:line="360" w:lineRule="auto"/>
              <w:jc w:val="center"/>
              <w:rPr>
                <w:lang w:val="en-GB"/>
              </w:rPr>
            </w:pPr>
            <w:r w:rsidRPr="00763EAB">
              <w:rPr>
                <w:lang w:val="en-GB"/>
              </w:rPr>
              <w:t>&lt;0.001</w:t>
            </w:r>
          </w:p>
        </w:tc>
      </w:tr>
      <w:tr w:rsidR="00763EAB" w:rsidRPr="00763EAB" w:rsidTr="00597074">
        <w:trPr>
          <w:trHeight w:val="380"/>
        </w:trPr>
        <w:tc>
          <w:tcPr>
            <w:tcW w:w="5778" w:type="dxa"/>
          </w:tcPr>
          <w:p w:rsidR="003B00F5" w:rsidRPr="00763EAB" w:rsidRDefault="003B00F5" w:rsidP="00597074">
            <w:pPr>
              <w:spacing w:line="360" w:lineRule="auto"/>
              <w:jc w:val="both"/>
              <w:rPr>
                <w:highlight w:val="yellow"/>
                <w:lang w:val="en-GB"/>
              </w:rPr>
            </w:pPr>
            <w:r w:rsidRPr="00763EAB">
              <w:rPr>
                <w:lang w:val="en-GB"/>
              </w:rPr>
              <w:t>Depression (HADS-D≥8) (n (%))</w:t>
            </w:r>
          </w:p>
        </w:tc>
        <w:tc>
          <w:tcPr>
            <w:tcW w:w="759" w:type="dxa"/>
          </w:tcPr>
          <w:p w:rsidR="003B00F5" w:rsidRPr="00763EAB" w:rsidRDefault="003B00F5" w:rsidP="00597074">
            <w:pPr>
              <w:spacing w:line="360" w:lineRule="auto"/>
              <w:jc w:val="center"/>
              <w:rPr>
                <w:lang w:val="en-GB"/>
              </w:rPr>
            </w:pPr>
            <w:r w:rsidRPr="00763EAB">
              <w:rPr>
                <w:lang w:val="en-GB"/>
              </w:rPr>
              <w:t>290</w:t>
            </w:r>
          </w:p>
        </w:tc>
        <w:tc>
          <w:tcPr>
            <w:tcW w:w="2034" w:type="dxa"/>
          </w:tcPr>
          <w:p w:rsidR="003B00F5" w:rsidRPr="00763EAB" w:rsidRDefault="003B00F5" w:rsidP="00597074">
            <w:pPr>
              <w:spacing w:line="360" w:lineRule="auto"/>
              <w:jc w:val="center"/>
              <w:rPr>
                <w:lang w:val="en-GB"/>
              </w:rPr>
            </w:pPr>
            <w:r w:rsidRPr="00763EAB">
              <w:rPr>
                <w:lang w:val="en-GB"/>
              </w:rPr>
              <w:t>33 (11.4)</w:t>
            </w:r>
          </w:p>
        </w:tc>
        <w:tc>
          <w:tcPr>
            <w:tcW w:w="1389" w:type="dxa"/>
          </w:tcPr>
          <w:p w:rsidR="003B00F5" w:rsidRPr="00763EAB" w:rsidRDefault="003B00F5" w:rsidP="00597074">
            <w:pPr>
              <w:spacing w:line="360" w:lineRule="auto"/>
              <w:jc w:val="center"/>
              <w:rPr>
                <w:lang w:val="en-GB"/>
              </w:rPr>
            </w:pPr>
            <w:r w:rsidRPr="00763EAB">
              <w:rPr>
                <w:lang w:val="en-GB"/>
              </w:rPr>
              <w:t>68</w:t>
            </w:r>
          </w:p>
        </w:tc>
        <w:tc>
          <w:tcPr>
            <w:tcW w:w="2055" w:type="dxa"/>
          </w:tcPr>
          <w:p w:rsidR="003B00F5" w:rsidRPr="00763EAB" w:rsidRDefault="003B00F5" w:rsidP="00597074">
            <w:pPr>
              <w:spacing w:line="360" w:lineRule="auto"/>
              <w:jc w:val="center"/>
              <w:rPr>
                <w:lang w:val="en-GB"/>
              </w:rPr>
            </w:pPr>
            <w:r w:rsidRPr="00763EAB">
              <w:rPr>
                <w:lang w:val="en-GB"/>
              </w:rPr>
              <w:t>16 (23.5)</w:t>
            </w:r>
          </w:p>
        </w:tc>
        <w:tc>
          <w:tcPr>
            <w:tcW w:w="1300" w:type="dxa"/>
          </w:tcPr>
          <w:p w:rsidR="003B00F5" w:rsidRPr="00763EAB" w:rsidRDefault="003B00F5" w:rsidP="00597074">
            <w:pPr>
              <w:spacing w:line="360" w:lineRule="auto"/>
              <w:jc w:val="center"/>
              <w:rPr>
                <w:lang w:val="en-GB"/>
              </w:rPr>
            </w:pPr>
            <w:r w:rsidRPr="00763EAB">
              <w:rPr>
                <w:lang w:val="en-GB"/>
              </w:rPr>
              <w:t>222</w:t>
            </w:r>
          </w:p>
        </w:tc>
        <w:tc>
          <w:tcPr>
            <w:tcW w:w="2031" w:type="dxa"/>
          </w:tcPr>
          <w:p w:rsidR="003B00F5" w:rsidRPr="00763EAB" w:rsidRDefault="003B00F5" w:rsidP="00597074">
            <w:pPr>
              <w:spacing w:line="360" w:lineRule="auto"/>
              <w:jc w:val="center"/>
              <w:rPr>
                <w:lang w:val="en-GB"/>
              </w:rPr>
            </w:pPr>
            <w:r w:rsidRPr="00763EAB">
              <w:rPr>
                <w:lang w:val="en-GB"/>
              </w:rPr>
              <w:t>17 (7.7)</w:t>
            </w:r>
          </w:p>
        </w:tc>
        <w:tc>
          <w:tcPr>
            <w:tcW w:w="1384" w:type="dxa"/>
          </w:tcPr>
          <w:p w:rsidR="003B00F5" w:rsidRPr="00763EAB" w:rsidRDefault="003B00F5" w:rsidP="00597074">
            <w:pPr>
              <w:spacing w:line="360" w:lineRule="auto"/>
              <w:jc w:val="center"/>
              <w:rPr>
                <w:lang w:val="en-GB"/>
              </w:rPr>
            </w:pPr>
            <w:r w:rsidRPr="00763EAB">
              <w:rPr>
                <w:lang w:val="en-GB"/>
              </w:rPr>
              <w:t>&lt;0.01</w:t>
            </w:r>
          </w:p>
        </w:tc>
      </w:tr>
      <w:tr w:rsidR="00763EAB" w:rsidRPr="00763EAB" w:rsidTr="00597074">
        <w:trPr>
          <w:trHeight w:val="400"/>
        </w:trPr>
        <w:tc>
          <w:tcPr>
            <w:tcW w:w="5778" w:type="dxa"/>
          </w:tcPr>
          <w:p w:rsidR="00597074" w:rsidRPr="00763EAB" w:rsidRDefault="002A5255" w:rsidP="00597074">
            <w:pPr>
              <w:spacing w:line="360" w:lineRule="auto"/>
              <w:jc w:val="both"/>
              <w:rPr>
                <w:lang w:val="en-GB"/>
              </w:rPr>
            </w:pPr>
            <w:r w:rsidRPr="00763EAB">
              <w:rPr>
                <w:lang w:val="en-GB"/>
              </w:rPr>
              <w:t>General c</w:t>
            </w:r>
            <w:r w:rsidR="00597074" w:rsidRPr="00763EAB">
              <w:rPr>
                <w:lang w:val="en-GB"/>
              </w:rPr>
              <w:t>ognitive functioning (MMSE&lt;23) (n (%))</w:t>
            </w:r>
          </w:p>
        </w:tc>
        <w:tc>
          <w:tcPr>
            <w:tcW w:w="759" w:type="dxa"/>
          </w:tcPr>
          <w:p w:rsidR="00597074" w:rsidRPr="00763EAB" w:rsidRDefault="00597074" w:rsidP="00597074">
            <w:pPr>
              <w:spacing w:line="360" w:lineRule="auto"/>
              <w:jc w:val="center"/>
              <w:rPr>
                <w:lang w:val="en-GB"/>
              </w:rPr>
            </w:pPr>
            <w:r w:rsidRPr="00763EAB">
              <w:rPr>
                <w:lang w:val="en-GB"/>
              </w:rPr>
              <w:t>294</w:t>
            </w:r>
          </w:p>
        </w:tc>
        <w:tc>
          <w:tcPr>
            <w:tcW w:w="2034" w:type="dxa"/>
          </w:tcPr>
          <w:p w:rsidR="00597074" w:rsidRPr="00763EAB" w:rsidRDefault="00032E81" w:rsidP="00597074">
            <w:pPr>
              <w:spacing w:line="360" w:lineRule="auto"/>
              <w:jc w:val="center"/>
              <w:rPr>
                <w:lang w:val="en-GB"/>
              </w:rPr>
            </w:pPr>
            <w:r w:rsidRPr="00763EAB">
              <w:rPr>
                <w:lang w:val="en-GB"/>
              </w:rPr>
              <w:t>13 (4.4)</w:t>
            </w:r>
          </w:p>
        </w:tc>
        <w:tc>
          <w:tcPr>
            <w:tcW w:w="1389" w:type="dxa"/>
          </w:tcPr>
          <w:p w:rsidR="00597074" w:rsidRPr="00763EAB" w:rsidRDefault="007D1373" w:rsidP="00597074">
            <w:pPr>
              <w:spacing w:line="360" w:lineRule="auto"/>
              <w:jc w:val="center"/>
              <w:rPr>
                <w:lang w:val="en-GB"/>
              </w:rPr>
            </w:pPr>
            <w:r w:rsidRPr="00763EAB">
              <w:rPr>
                <w:lang w:val="en-GB"/>
              </w:rPr>
              <w:t>70</w:t>
            </w:r>
          </w:p>
        </w:tc>
        <w:tc>
          <w:tcPr>
            <w:tcW w:w="2055" w:type="dxa"/>
          </w:tcPr>
          <w:p w:rsidR="00597074" w:rsidRPr="00763EAB" w:rsidRDefault="007D1373" w:rsidP="00597074">
            <w:pPr>
              <w:spacing w:line="360" w:lineRule="auto"/>
              <w:jc w:val="center"/>
              <w:rPr>
                <w:lang w:val="en-GB"/>
              </w:rPr>
            </w:pPr>
            <w:r w:rsidRPr="00763EAB">
              <w:rPr>
                <w:lang w:val="en-GB"/>
              </w:rPr>
              <w:t>3 (4.3)</w:t>
            </w:r>
          </w:p>
        </w:tc>
        <w:tc>
          <w:tcPr>
            <w:tcW w:w="1300" w:type="dxa"/>
          </w:tcPr>
          <w:p w:rsidR="00597074" w:rsidRPr="00763EAB" w:rsidRDefault="007D1373" w:rsidP="00597074">
            <w:pPr>
              <w:spacing w:line="360" w:lineRule="auto"/>
              <w:jc w:val="center"/>
              <w:rPr>
                <w:lang w:val="en-GB"/>
              </w:rPr>
            </w:pPr>
            <w:r w:rsidRPr="00763EAB">
              <w:rPr>
                <w:lang w:val="en-GB"/>
              </w:rPr>
              <w:t>224</w:t>
            </w:r>
          </w:p>
        </w:tc>
        <w:tc>
          <w:tcPr>
            <w:tcW w:w="2031" w:type="dxa"/>
          </w:tcPr>
          <w:p w:rsidR="00597074" w:rsidRPr="00763EAB" w:rsidRDefault="007D1373" w:rsidP="00597074">
            <w:pPr>
              <w:spacing w:line="360" w:lineRule="auto"/>
              <w:jc w:val="center"/>
              <w:rPr>
                <w:lang w:val="en-GB"/>
              </w:rPr>
            </w:pPr>
            <w:r w:rsidRPr="00763EAB">
              <w:rPr>
                <w:lang w:val="en-GB"/>
              </w:rPr>
              <w:t>10 (4.5)</w:t>
            </w:r>
          </w:p>
        </w:tc>
        <w:tc>
          <w:tcPr>
            <w:tcW w:w="1384" w:type="dxa"/>
          </w:tcPr>
          <w:p w:rsidR="00597074" w:rsidRPr="00763EAB" w:rsidRDefault="007D1373" w:rsidP="00597074">
            <w:pPr>
              <w:spacing w:line="360" w:lineRule="auto"/>
              <w:jc w:val="center"/>
              <w:rPr>
                <w:lang w:val="en-GB"/>
              </w:rPr>
            </w:pPr>
            <w:r w:rsidRPr="00763EAB">
              <w:rPr>
                <w:lang w:val="en-GB"/>
              </w:rPr>
              <w:t>0.95</w:t>
            </w:r>
          </w:p>
        </w:tc>
      </w:tr>
      <w:tr w:rsidR="00763EAB" w:rsidRPr="00763EAB" w:rsidTr="00597074">
        <w:trPr>
          <w:trHeight w:val="406"/>
        </w:trPr>
        <w:tc>
          <w:tcPr>
            <w:tcW w:w="5778" w:type="dxa"/>
            <w:tcBorders>
              <w:bottom w:val="single" w:sz="4" w:space="0" w:color="auto"/>
            </w:tcBorders>
          </w:tcPr>
          <w:p w:rsidR="003B00F5" w:rsidRPr="00763EAB" w:rsidRDefault="003B00F5" w:rsidP="006418BF">
            <w:pPr>
              <w:spacing w:line="360" w:lineRule="auto"/>
              <w:jc w:val="both"/>
              <w:rPr>
                <w:lang w:val="en-GB"/>
              </w:rPr>
            </w:pPr>
            <w:r w:rsidRPr="00763EAB">
              <w:rPr>
                <w:lang w:val="en-GB"/>
              </w:rPr>
              <w:t>Outdoor physical activity (</w:t>
            </w:r>
            <w:r w:rsidR="006418BF" w:rsidRPr="00763EAB">
              <w:rPr>
                <w:lang w:val="en-GB"/>
              </w:rPr>
              <w:t>M</w:t>
            </w:r>
            <w:r w:rsidRPr="00763EAB">
              <w:rPr>
                <w:lang w:val="en-GB"/>
              </w:rPr>
              <w:t>edian (IQR)</w:t>
            </w:r>
          </w:p>
        </w:tc>
        <w:tc>
          <w:tcPr>
            <w:tcW w:w="759" w:type="dxa"/>
            <w:tcBorders>
              <w:bottom w:val="single" w:sz="4" w:space="0" w:color="auto"/>
            </w:tcBorders>
          </w:tcPr>
          <w:p w:rsidR="003B00F5" w:rsidRPr="00763EAB" w:rsidRDefault="003B00F5" w:rsidP="00597074">
            <w:pPr>
              <w:spacing w:line="360" w:lineRule="auto"/>
              <w:jc w:val="center"/>
              <w:rPr>
                <w:lang w:val="en-GB"/>
              </w:rPr>
            </w:pPr>
            <w:r w:rsidRPr="00763EAB">
              <w:rPr>
                <w:lang w:val="en-GB"/>
              </w:rPr>
              <w:t>294</w:t>
            </w:r>
          </w:p>
        </w:tc>
        <w:tc>
          <w:tcPr>
            <w:tcW w:w="2034" w:type="dxa"/>
            <w:tcBorders>
              <w:bottom w:val="single" w:sz="4" w:space="0" w:color="auto"/>
            </w:tcBorders>
          </w:tcPr>
          <w:p w:rsidR="003B00F5" w:rsidRPr="00763EAB" w:rsidRDefault="003B00F5" w:rsidP="00597074">
            <w:pPr>
              <w:spacing w:line="360" w:lineRule="auto"/>
              <w:jc w:val="center"/>
              <w:rPr>
                <w:lang w:val="en-GB"/>
              </w:rPr>
            </w:pPr>
            <w:r w:rsidRPr="00763EAB">
              <w:rPr>
                <w:lang w:val="en-GB"/>
              </w:rPr>
              <w:t>68.6 (34.3-141.4)</w:t>
            </w:r>
          </w:p>
        </w:tc>
        <w:tc>
          <w:tcPr>
            <w:tcW w:w="1389" w:type="dxa"/>
            <w:tcBorders>
              <w:bottom w:val="single" w:sz="4" w:space="0" w:color="auto"/>
            </w:tcBorders>
          </w:tcPr>
          <w:p w:rsidR="003B00F5" w:rsidRPr="00763EAB" w:rsidRDefault="003B00F5" w:rsidP="00597074">
            <w:pPr>
              <w:spacing w:line="360" w:lineRule="auto"/>
              <w:jc w:val="center"/>
              <w:rPr>
                <w:lang w:val="en-GB"/>
              </w:rPr>
            </w:pPr>
            <w:r w:rsidRPr="00763EAB">
              <w:rPr>
                <w:lang w:val="en-GB"/>
              </w:rPr>
              <w:t>70</w:t>
            </w:r>
          </w:p>
        </w:tc>
        <w:tc>
          <w:tcPr>
            <w:tcW w:w="2055" w:type="dxa"/>
            <w:tcBorders>
              <w:bottom w:val="single" w:sz="4" w:space="0" w:color="auto"/>
            </w:tcBorders>
          </w:tcPr>
          <w:p w:rsidR="003B00F5" w:rsidRPr="00763EAB" w:rsidRDefault="003B00F5" w:rsidP="00597074">
            <w:pPr>
              <w:spacing w:line="360" w:lineRule="auto"/>
              <w:jc w:val="center"/>
              <w:rPr>
                <w:lang w:val="en-GB"/>
              </w:rPr>
            </w:pPr>
            <w:r w:rsidRPr="00763EAB">
              <w:rPr>
                <w:lang w:val="en-GB"/>
              </w:rPr>
              <w:t>64.6 (32.1-127.0)</w:t>
            </w:r>
          </w:p>
        </w:tc>
        <w:tc>
          <w:tcPr>
            <w:tcW w:w="1300" w:type="dxa"/>
            <w:tcBorders>
              <w:bottom w:val="single" w:sz="4" w:space="0" w:color="auto"/>
            </w:tcBorders>
          </w:tcPr>
          <w:p w:rsidR="003B00F5" w:rsidRPr="00763EAB" w:rsidRDefault="003B00F5" w:rsidP="00597074">
            <w:pPr>
              <w:spacing w:line="360" w:lineRule="auto"/>
              <w:jc w:val="center"/>
              <w:rPr>
                <w:lang w:val="en-GB"/>
              </w:rPr>
            </w:pPr>
            <w:r w:rsidRPr="00763EAB">
              <w:rPr>
                <w:lang w:val="en-GB"/>
              </w:rPr>
              <w:t>224</w:t>
            </w:r>
          </w:p>
        </w:tc>
        <w:tc>
          <w:tcPr>
            <w:tcW w:w="2031" w:type="dxa"/>
            <w:tcBorders>
              <w:bottom w:val="single" w:sz="4" w:space="0" w:color="auto"/>
            </w:tcBorders>
          </w:tcPr>
          <w:p w:rsidR="003B00F5" w:rsidRPr="00763EAB" w:rsidRDefault="003B00F5" w:rsidP="00597074">
            <w:pPr>
              <w:spacing w:line="360" w:lineRule="auto"/>
              <w:jc w:val="center"/>
              <w:rPr>
                <w:lang w:val="en-GB"/>
              </w:rPr>
            </w:pPr>
            <w:r w:rsidRPr="00763EAB">
              <w:rPr>
                <w:lang w:val="en-GB"/>
              </w:rPr>
              <w:t>73.9 (35.2-148.6)</w:t>
            </w:r>
          </w:p>
        </w:tc>
        <w:tc>
          <w:tcPr>
            <w:tcW w:w="1384" w:type="dxa"/>
            <w:tcBorders>
              <w:bottom w:val="single" w:sz="4" w:space="0" w:color="auto"/>
            </w:tcBorders>
          </w:tcPr>
          <w:p w:rsidR="003B00F5" w:rsidRPr="00763EAB" w:rsidRDefault="003B00F5" w:rsidP="00597074">
            <w:pPr>
              <w:spacing w:line="360" w:lineRule="auto"/>
              <w:jc w:val="center"/>
              <w:rPr>
                <w:lang w:val="en-GB"/>
              </w:rPr>
            </w:pPr>
            <w:r w:rsidRPr="00763EAB">
              <w:rPr>
                <w:lang w:val="en-GB"/>
              </w:rPr>
              <w:t>0.24</w:t>
            </w:r>
          </w:p>
        </w:tc>
      </w:tr>
    </w:tbl>
    <w:p w:rsidR="007D1373" w:rsidRPr="00763EAB" w:rsidRDefault="007D1373" w:rsidP="007D1373">
      <w:pPr>
        <w:spacing w:line="480" w:lineRule="auto"/>
        <w:jc w:val="both"/>
        <w:rPr>
          <w:b/>
          <w:vertAlign w:val="superscript"/>
          <w:lang w:val="en-GB"/>
        </w:rPr>
      </w:pPr>
      <w:r w:rsidRPr="00763EAB">
        <w:rPr>
          <w:b/>
          <w:lang w:val="en-GB"/>
        </w:rPr>
        <w:t xml:space="preserve">Table 1: Characteristics of the study sample at baseline stratified for osteoarthritis. </w:t>
      </w:r>
      <w:proofErr w:type="gramStart"/>
      <w:r w:rsidRPr="00763EAB">
        <w:rPr>
          <w:b/>
          <w:vertAlign w:val="superscript"/>
          <w:lang w:val="en-GB"/>
        </w:rPr>
        <w:t>a</w:t>
      </w:r>
      <w:proofErr w:type="gramEnd"/>
    </w:p>
    <w:p w:rsidR="00673789" w:rsidRPr="00763EAB" w:rsidRDefault="00673789" w:rsidP="00032ED9">
      <w:pPr>
        <w:pStyle w:val="NoSpacing"/>
        <w:spacing w:line="480" w:lineRule="auto"/>
        <w:jc w:val="both"/>
        <w:rPr>
          <w:sz w:val="12"/>
          <w:szCs w:val="12"/>
          <w:vertAlign w:val="superscript"/>
          <w:lang w:val="en-GB"/>
        </w:rPr>
      </w:pPr>
    </w:p>
    <w:p w:rsidR="006418BF" w:rsidRPr="00763EAB" w:rsidRDefault="006418BF">
      <w:pPr>
        <w:spacing w:after="200" w:line="276" w:lineRule="auto"/>
        <w:rPr>
          <w:vertAlign w:val="superscript"/>
          <w:lang w:val="en-GB"/>
        </w:rPr>
      </w:pPr>
      <w:r w:rsidRPr="00763EAB">
        <w:rPr>
          <w:vertAlign w:val="superscript"/>
          <w:lang w:val="en-GB"/>
        </w:rPr>
        <w:br w:type="page"/>
      </w:r>
    </w:p>
    <w:p w:rsidR="00032ED9" w:rsidRPr="00763EAB" w:rsidRDefault="00032ED9" w:rsidP="00032ED9">
      <w:pPr>
        <w:pStyle w:val="NoSpacing"/>
        <w:spacing w:line="480" w:lineRule="auto"/>
        <w:jc w:val="both"/>
        <w:rPr>
          <w:sz w:val="16"/>
          <w:szCs w:val="16"/>
          <w:lang w:val="en-GB"/>
        </w:rPr>
      </w:pPr>
      <w:proofErr w:type="spellStart"/>
      <w:proofErr w:type="gramStart"/>
      <w:r w:rsidRPr="00763EAB">
        <w:rPr>
          <w:sz w:val="16"/>
          <w:szCs w:val="16"/>
          <w:vertAlign w:val="superscript"/>
          <w:lang w:val="en-GB"/>
        </w:rPr>
        <w:lastRenderedPageBreak/>
        <w:t>a</w:t>
      </w:r>
      <w:proofErr w:type="spellEnd"/>
      <w:proofErr w:type="gramEnd"/>
      <w:r w:rsidRPr="00763EAB">
        <w:rPr>
          <w:sz w:val="16"/>
          <w:szCs w:val="16"/>
          <w:vertAlign w:val="superscript"/>
          <w:lang w:val="en-GB"/>
        </w:rPr>
        <w:t xml:space="preserve"> </w:t>
      </w:r>
      <w:r w:rsidRPr="00763EAB">
        <w:rPr>
          <w:sz w:val="16"/>
          <w:szCs w:val="16"/>
          <w:lang w:val="en-GB"/>
        </w:rPr>
        <w:t>Abbreviations: HADS-A= Hospital Anxiety Depression Scales – Anxiety; HADS-D= Hospital Anxiety Depression Scales – Depression; IQR= Interquartile range; MMSE= Mini-Mental State Examination; n= Number; OA= Osteoarthritis; SD= Standard deviation.</w:t>
      </w:r>
    </w:p>
    <w:p w:rsidR="008073D4" w:rsidRPr="00763EAB" w:rsidRDefault="006418BF" w:rsidP="008073D4">
      <w:pPr>
        <w:spacing w:line="480" w:lineRule="auto"/>
        <w:jc w:val="both"/>
        <w:rPr>
          <w:sz w:val="16"/>
          <w:szCs w:val="16"/>
          <w:lang w:val="en-GB"/>
        </w:rPr>
      </w:pPr>
      <w:proofErr w:type="gramStart"/>
      <w:r w:rsidRPr="00763EAB">
        <w:rPr>
          <w:sz w:val="16"/>
          <w:szCs w:val="16"/>
          <w:vertAlign w:val="superscript"/>
          <w:lang w:val="en-GB"/>
        </w:rPr>
        <w:t>b</w:t>
      </w:r>
      <w:proofErr w:type="gramEnd"/>
      <w:r w:rsidRPr="00763EAB">
        <w:rPr>
          <w:sz w:val="16"/>
          <w:szCs w:val="16"/>
          <w:vertAlign w:val="superscript"/>
          <w:lang w:val="en-GB"/>
        </w:rPr>
        <w:t xml:space="preserve"> </w:t>
      </w:r>
      <w:r w:rsidR="008073D4" w:rsidRPr="00763EAB">
        <w:rPr>
          <w:sz w:val="16"/>
          <w:szCs w:val="16"/>
          <w:lang w:val="en-GB"/>
        </w:rPr>
        <w:t xml:space="preserve">p-value of observed differences between groups with and without OA. </w:t>
      </w:r>
      <w:r w:rsidRPr="00763EAB">
        <w:rPr>
          <w:sz w:val="16"/>
          <w:szCs w:val="16"/>
          <w:lang w:val="en-GB"/>
        </w:rPr>
        <w:t>Differences in means were tested using Independent Sample T-Tests for normally distributed variables. Differences in medians were tested using Mann Whitney U Tests for skewed continuous variables and differences in</w:t>
      </w:r>
      <w:r w:rsidR="003678C6" w:rsidRPr="00763EAB">
        <w:rPr>
          <w:sz w:val="16"/>
          <w:szCs w:val="16"/>
          <w:lang w:val="en-GB"/>
        </w:rPr>
        <w:t xml:space="preserve"> percentages</w:t>
      </w:r>
      <w:r w:rsidRPr="00763EAB">
        <w:rPr>
          <w:sz w:val="16"/>
          <w:szCs w:val="16"/>
          <w:lang w:val="en-GB"/>
        </w:rPr>
        <w:t xml:space="preserve"> were tested using Pearson Chi-square tests for</w:t>
      </w:r>
      <w:r w:rsidR="003678C6" w:rsidRPr="00763EAB">
        <w:rPr>
          <w:sz w:val="16"/>
          <w:szCs w:val="16"/>
          <w:lang w:val="en-GB"/>
        </w:rPr>
        <w:t xml:space="preserve"> categorical variables.</w:t>
      </w:r>
    </w:p>
    <w:p w:rsidR="00FD6940" w:rsidRPr="00763EAB" w:rsidRDefault="00FD6940" w:rsidP="008073D4">
      <w:pPr>
        <w:spacing w:line="480" w:lineRule="auto"/>
        <w:jc w:val="both"/>
        <w:rPr>
          <w:lang w:val="en-GB"/>
        </w:rPr>
        <w:sectPr w:rsidR="00FD6940" w:rsidRPr="00763EAB" w:rsidSect="003B00F5">
          <w:pgSz w:w="16838" w:h="11906" w:orient="landscape"/>
          <w:pgMar w:top="1418" w:right="1417" w:bottom="1418" w:left="1417" w:header="709" w:footer="709" w:gutter="0"/>
          <w:cols w:space="708"/>
          <w:docGrid w:linePitch="360"/>
        </w:sectPr>
      </w:pPr>
    </w:p>
    <w:p w:rsidR="003A342C" w:rsidRPr="00763EAB" w:rsidRDefault="00780D22" w:rsidP="003A342C">
      <w:pPr>
        <w:pStyle w:val="ListParagraph"/>
        <w:spacing w:line="480" w:lineRule="auto"/>
        <w:ind w:left="0"/>
        <w:jc w:val="both"/>
        <w:rPr>
          <w:i/>
          <w:lang w:val="en-US"/>
        </w:rPr>
      </w:pPr>
      <w:r w:rsidRPr="00763EAB">
        <w:rPr>
          <w:i/>
          <w:lang w:val="en-US"/>
        </w:rPr>
        <w:lastRenderedPageBreak/>
        <w:t>Q</w:t>
      </w:r>
      <w:r w:rsidR="003A342C" w:rsidRPr="00763EAB">
        <w:rPr>
          <w:i/>
          <w:lang w:val="en-US"/>
        </w:rPr>
        <w:t>uality of life</w:t>
      </w:r>
    </w:p>
    <w:p w:rsidR="00872E0E" w:rsidRPr="00763EAB" w:rsidRDefault="00905F68" w:rsidP="009A1E6A">
      <w:pPr>
        <w:pStyle w:val="NoSpacing"/>
        <w:spacing w:line="480" w:lineRule="auto"/>
        <w:jc w:val="both"/>
        <w:rPr>
          <w:lang w:val="en-GB"/>
        </w:rPr>
      </w:pPr>
      <w:r w:rsidRPr="00763EAB">
        <w:rPr>
          <w:lang w:val="en-US"/>
        </w:rPr>
        <w:t>In</w:t>
      </w:r>
      <w:r w:rsidR="00E46DFC" w:rsidRPr="00763EAB">
        <w:rPr>
          <w:lang w:val="en-US"/>
        </w:rPr>
        <w:t xml:space="preserve"> the full sample, the </w:t>
      </w:r>
      <w:proofErr w:type="spellStart"/>
      <w:r w:rsidR="00E46DFC" w:rsidRPr="00763EAB">
        <w:rPr>
          <w:lang w:val="en-US"/>
        </w:rPr>
        <w:t>QoL</w:t>
      </w:r>
      <w:proofErr w:type="spellEnd"/>
      <w:r w:rsidR="00E46DFC" w:rsidRPr="00763EAB">
        <w:rPr>
          <w:lang w:val="en-US"/>
        </w:rPr>
        <w:t xml:space="preserve"> index </w:t>
      </w:r>
      <w:r w:rsidRPr="00763EAB">
        <w:rPr>
          <w:lang w:val="en-US"/>
        </w:rPr>
        <w:t xml:space="preserve">score </w:t>
      </w:r>
      <w:r w:rsidR="000848B0" w:rsidRPr="00763EAB">
        <w:rPr>
          <w:lang w:val="en-US"/>
        </w:rPr>
        <w:t xml:space="preserve">was </w:t>
      </w:r>
      <w:r w:rsidR="00FE3030" w:rsidRPr="00763EAB">
        <w:rPr>
          <w:lang w:val="en-US"/>
        </w:rPr>
        <w:t>0.80</w:t>
      </w:r>
      <w:r w:rsidR="006B385F" w:rsidRPr="00763EAB">
        <w:rPr>
          <w:lang w:val="en-US"/>
        </w:rPr>
        <w:t xml:space="preserve"> (IQR=0.73-1.</w:t>
      </w:r>
      <w:r w:rsidR="000F28DA" w:rsidRPr="00763EAB">
        <w:rPr>
          <w:lang w:val="en-US"/>
        </w:rPr>
        <w:t>0</w:t>
      </w:r>
      <w:r w:rsidR="006B385F" w:rsidRPr="00763EAB">
        <w:rPr>
          <w:lang w:val="en-US"/>
        </w:rPr>
        <w:t>0) and</w:t>
      </w:r>
      <w:r w:rsidRPr="00763EAB">
        <w:rPr>
          <w:lang w:val="en-US"/>
        </w:rPr>
        <w:t xml:space="preserve"> 0.85 (IQR=0.73-1.</w:t>
      </w:r>
      <w:r w:rsidR="000F28DA" w:rsidRPr="00763EAB">
        <w:rPr>
          <w:lang w:val="en-US"/>
        </w:rPr>
        <w:t>0</w:t>
      </w:r>
      <w:r w:rsidRPr="00763EAB">
        <w:rPr>
          <w:lang w:val="en-US"/>
        </w:rPr>
        <w:t xml:space="preserve">0) at baseline and </w:t>
      </w:r>
      <w:r w:rsidR="00585FA1" w:rsidRPr="00763EAB">
        <w:rPr>
          <w:lang w:val="en-US"/>
        </w:rPr>
        <w:t xml:space="preserve">at </w:t>
      </w:r>
      <w:r w:rsidRPr="00763EAB">
        <w:rPr>
          <w:lang w:val="en-US"/>
        </w:rPr>
        <w:t>follow-up respectively</w:t>
      </w:r>
      <w:r w:rsidR="006B385F" w:rsidRPr="00763EAB">
        <w:rPr>
          <w:lang w:val="en-US"/>
        </w:rPr>
        <w:t>. At baseline</w:t>
      </w:r>
      <w:r w:rsidR="00923AB0" w:rsidRPr="00763EAB">
        <w:rPr>
          <w:lang w:val="en-US"/>
        </w:rPr>
        <w:t>,</w:t>
      </w:r>
      <w:r w:rsidR="006B385F" w:rsidRPr="00763EAB">
        <w:rPr>
          <w:lang w:val="en-US"/>
        </w:rPr>
        <w:t xml:space="preserve"> participants with and without OA did not differ significantly in </w:t>
      </w:r>
      <w:r w:rsidR="00E46DFC" w:rsidRPr="00763EAB">
        <w:rPr>
          <w:lang w:val="en-US"/>
        </w:rPr>
        <w:t xml:space="preserve">terms of the </w:t>
      </w:r>
      <w:proofErr w:type="spellStart"/>
      <w:r w:rsidR="006B385F" w:rsidRPr="00763EAB">
        <w:rPr>
          <w:lang w:val="en-US"/>
        </w:rPr>
        <w:t>QoL</w:t>
      </w:r>
      <w:proofErr w:type="spellEnd"/>
      <w:r w:rsidR="00E46DFC" w:rsidRPr="00763EAB">
        <w:rPr>
          <w:lang w:val="en-US"/>
        </w:rPr>
        <w:t xml:space="preserve"> index score</w:t>
      </w:r>
      <w:r w:rsidR="00344880" w:rsidRPr="00763EAB">
        <w:rPr>
          <w:lang w:val="en-US"/>
        </w:rPr>
        <w:t xml:space="preserve"> (Table 2</w:t>
      </w:r>
      <w:r w:rsidR="006B385F" w:rsidRPr="00763EAB">
        <w:rPr>
          <w:lang w:val="en-US"/>
        </w:rPr>
        <w:t>).</w:t>
      </w:r>
      <w:r w:rsidR="00E46DFC" w:rsidRPr="00763EAB">
        <w:rPr>
          <w:lang w:val="en-US"/>
        </w:rPr>
        <w:t xml:space="preserve"> </w:t>
      </w:r>
      <w:r w:rsidR="00923AB0" w:rsidRPr="00763EAB">
        <w:rPr>
          <w:lang w:val="en-US"/>
        </w:rPr>
        <w:t>At follow-up, participants with and with</w:t>
      </w:r>
      <w:r w:rsidR="00330C29" w:rsidRPr="00763EAB">
        <w:rPr>
          <w:lang w:val="en-US"/>
        </w:rPr>
        <w:t>out the condition</w:t>
      </w:r>
      <w:r w:rsidR="00923AB0" w:rsidRPr="00763EAB">
        <w:rPr>
          <w:lang w:val="en-US"/>
        </w:rPr>
        <w:t xml:space="preserve"> did </w:t>
      </w:r>
      <w:r w:rsidR="00330C29" w:rsidRPr="00763EAB">
        <w:rPr>
          <w:lang w:val="en-US"/>
        </w:rPr>
        <w:t xml:space="preserve">also </w:t>
      </w:r>
      <w:r w:rsidR="00923AB0" w:rsidRPr="00763EAB">
        <w:rPr>
          <w:lang w:val="en-US"/>
        </w:rPr>
        <w:t xml:space="preserve">not differ significantly in </w:t>
      </w:r>
      <w:proofErr w:type="spellStart"/>
      <w:r w:rsidR="00923AB0" w:rsidRPr="00763EAB">
        <w:rPr>
          <w:lang w:val="en-US"/>
        </w:rPr>
        <w:t>QoL</w:t>
      </w:r>
      <w:proofErr w:type="spellEnd"/>
      <w:r w:rsidR="00923AB0" w:rsidRPr="00763EAB">
        <w:rPr>
          <w:lang w:val="en-US"/>
        </w:rPr>
        <w:t xml:space="preserve"> (data not shown).</w:t>
      </w:r>
      <w:r w:rsidR="006071EF" w:rsidRPr="00763EAB">
        <w:rPr>
          <w:lang w:val="en-US"/>
        </w:rPr>
        <w:t xml:space="preserve"> Data on </w:t>
      </w:r>
      <w:proofErr w:type="spellStart"/>
      <w:r w:rsidR="006071EF" w:rsidRPr="00763EAB">
        <w:rPr>
          <w:lang w:val="en-US"/>
        </w:rPr>
        <w:t>QoL</w:t>
      </w:r>
      <w:proofErr w:type="spellEnd"/>
      <w:r w:rsidR="006071EF" w:rsidRPr="00763EAB">
        <w:rPr>
          <w:lang w:val="en-US"/>
        </w:rPr>
        <w:t xml:space="preserve"> at baseline as well as follow-up were available for 276 participants. In this group, </w:t>
      </w:r>
      <w:r w:rsidR="00330C29" w:rsidRPr="00763EAB">
        <w:rPr>
          <w:lang w:val="en-US"/>
        </w:rPr>
        <w:t xml:space="preserve">the change in </w:t>
      </w:r>
      <w:proofErr w:type="spellStart"/>
      <w:r w:rsidR="00330C29" w:rsidRPr="00763EAB">
        <w:rPr>
          <w:lang w:val="en-US"/>
        </w:rPr>
        <w:t>QoL</w:t>
      </w:r>
      <w:proofErr w:type="spellEnd"/>
      <w:r w:rsidR="00330C29" w:rsidRPr="00763EAB">
        <w:rPr>
          <w:lang w:val="en-US"/>
        </w:rPr>
        <w:t xml:space="preserve"> between baseline and follow-up, on average, was 0.02 (SD=0.16).</w:t>
      </w:r>
      <w:r w:rsidR="006071EF" w:rsidRPr="00763EAB">
        <w:rPr>
          <w:lang w:val="en-US"/>
        </w:rPr>
        <w:t xml:space="preserve"> </w:t>
      </w:r>
      <w:r w:rsidR="00330C29" w:rsidRPr="00763EAB">
        <w:rPr>
          <w:lang w:val="en-US"/>
        </w:rPr>
        <w:t xml:space="preserve">The change in </w:t>
      </w:r>
      <w:proofErr w:type="spellStart"/>
      <w:r w:rsidR="00330C29" w:rsidRPr="00763EAB">
        <w:rPr>
          <w:lang w:val="en-US"/>
        </w:rPr>
        <w:t>QoL</w:t>
      </w:r>
      <w:proofErr w:type="spellEnd"/>
      <w:r w:rsidR="00330C29" w:rsidRPr="00763EAB">
        <w:rPr>
          <w:lang w:val="en-US"/>
        </w:rPr>
        <w:t xml:space="preserve"> over time did not significantly differ between participants with and without OA </w:t>
      </w:r>
      <w:r w:rsidR="00330C29" w:rsidRPr="00763EAB">
        <w:rPr>
          <w:lang w:val="en-GB"/>
        </w:rPr>
        <w:t>(OA: Mean=0.02</w:t>
      </w:r>
      <w:r w:rsidR="000F28DA" w:rsidRPr="00763EAB">
        <w:rPr>
          <w:lang w:val="en-GB"/>
        </w:rPr>
        <w:t>,</w:t>
      </w:r>
      <w:r w:rsidR="00330C29" w:rsidRPr="00763EAB">
        <w:rPr>
          <w:lang w:val="en-GB"/>
        </w:rPr>
        <w:t xml:space="preserve"> SD=0.15 versus non-OA: Mean=0.02, SD=0.16; p=0.76).</w:t>
      </w:r>
      <w:r w:rsidR="00021587" w:rsidRPr="00763EAB">
        <w:rPr>
          <w:lang w:val="en-GB"/>
        </w:rPr>
        <w:t xml:space="preserve"> </w:t>
      </w:r>
    </w:p>
    <w:p w:rsidR="00D05D2A" w:rsidRPr="00763EAB" w:rsidRDefault="006071EF" w:rsidP="00872E0E">
      <w:pPr>
        <w:pStyle w:val="NoSpacing"/>
        <w:spacing w:line="480" w:lineRule="auto"/>
        <w:ind w:firstLine="708"/>
        <w:jc w:val="both"/>
        <w:rPr>
          <w:lang w:val="en-GB"/>
        </w:rPr>
      </w:pPr>
      <w:r w:rsidRPr="00763EAB">
        <w:rPr>
          <w:lang w:val="en-GB"/>
        </w:rPr>
        <w:t>Analyses regarding the Edwards-</w:t>
      </w:r>
      <w:proofErr w:type="spellStart"/>
      <w:r w:rsidRPr="00763EAB">
        <w:rPr>
          <w:lang w:val="en-GB"/>
        </w:rPr>
        <w:t>Nunnally</w:t>
      </w:r>
      <w:proofErr w:type="spellEnd"/>
      <w:r w:rsidRPr="00763EAB">
        <w:rPr>
          <w:lang w:val="en-GB"/>
        </w:rPr>
        <w:t xml:space="preserve"> Index showed that the majority of participants (77.5%) did not significantly change in terms of </w:t>
      </w:r>
      <w:proofErr w:type="spellStart"/>
      <w:r w:rsidRPr="00763EAB">
        <w:rPr>
          <w:lang w:val="en-GB"/>
        </w:rPr>
        <w:t>QoL</w:t>
      </w:r>
      <w:proofErr w:type="spellEnd"/>
      <w:r w:rsidR="009A1E6A" w:rsidRPr="00763EAB">
        <w:rPr>
          <w:lang w:val="en-GB"/>
        </w:rPr>
        <w:t xml:space="preserve"> between baseline and follow-up</w:t>
      </w:r>
      <w:r w:rsidRPr="00763EAB">
        <w:rPr>
          <w:lang w:val="en-GB"/>
        </w:rPr>
        <w:t xml:space="preserve">. </w:t>
      </w:r>
      <w:r w:rsidR="00B9295B" w:rsidRPr="00763EAB">
        <w:rPr>
          <w:lang w:val="en-GB"/>
        </w:rPr>
        <w:t>Quality of l</w:t>
      </w:r>
      <w:r w:rsidR="00D05D2A" w:rsidRPr="00763EAB">
        <w:rPr>
          <w:lang w:val="en-GB"/>
        </w:rPr>
        <w:t>ife did significantly decline and improve over time in 19 (6.9%) and 43 (15.6%) participants respectively.</w:t>
      </w:r>
      <w:r w:rsidR="00872E0E" w:rsidRPr="00763EAB">
        <w:rPr>
          <w:lang w:val="en-GB"/>
        </w:rPr>
        <w:t xml:space="preserve"> The proportion of persons with a decline in </w:t>
      </w:r>
      <w:proofErr w:type="spellStart"/>
      <w:r w:rsidR="00872E0E" w:rsidRPr="00763EAB">
        <w:rPr>
          <w:lang w:val="en-GB"/>
        </w:rPr>
        <w:t>QoL</w:t>
      </w:r>
      <w:proofErr w:type="spellEnd"/>
      <w:r w:rsidR="00872E0E" w:rsidRPr="00763EAB">
        <w:rPr>
          <w:lang w:val="en-GB"/>
        </w:rPr>
        <w:t xml:space="preserve"> between baseline and follow-up did not differ between the OA-group (8.3%) and the non-OA group (6.5%) (p=0.62).</w:t>
      </w:r>
    </w:p>
    <w:p w:rsidR="003B00F5" w:rsidRPr="00763EAB" w:rsidRDefault="003B00F5" w:rsidP="00E92B4A">
      <w:pPr>
        <w:pStyle w:val="NoSpacing"/>
        <w:spacing w:line="480" w:lineRule="auto"/>
        <w:jc w:val="both"/>
        <w:rPr>
          <w:lang w:val="en-US"/>
        </w:rPr>
        <w:sectPr w:rsidR="003B00F5" w:rsidRPr="00763EAB" w:rsidSect="00275036">
          <w:pgSz w:w="11906" w:h="16838"/>
          <w:pgMar w:top="1417" w:right="1418" w:bottom="1417" w:left="1418" w:header="709" w:footer="709" w:gutter="0"/>
          <w:cols w:space="708"/>
          <w:docGrid w:linePitch="360"/>
        </w:sectPr>
      </w:pPr>
    </w:p>
    <w:p w:rsidR="003B00F5" w:rsidRPr="00763EAB" w:rsidRDefault="003B00F5" w:rsidP="007D1373">
      <w:pPr>
        <w:spacing w:line="360" w:lineRule="auto"/>
        <w:jc w:val="both"/>
        <w:rPr>
          <w:b/>
          <w:vertAlign w:val="superscript"/>
          <w:lang w:val="en-GB"/>
        </w:rPr>
      </w:pPr>
      <w:proofErr w:type="gramStart"/>
      <w:r w:rsidRPr="00763EAB">
        <w:rPr>
          <w:b/>
          <w:lang w:val="en-GB"/>
        </w:rPr>
        <w:lastRenderedPageBreak/>
        <w:t>Table 2: Quality of life in older adults with and without osteoarthritis at baseline.</w:t>
      </w:r>
      <w:proofErr w:type="gramEnd"/>
      <w:r w:rsidRPr="00763EAB">
        <w:rPr>
          <w:b/>
          <w:lang w:val="en-GB"/>
        </w:rPr>
        <w:t xml:space="preserve"> </w:t>
      </w:r>
      <w:proofErr w:type="gramStart"/>
      <w:r w:rsidRPr="00763EAB">
        <w:rPr>
          <w:b/>
          <w:vertAlign w:val="superscript"/>
          <w:lang w:val="en-GB"/>
        </w:rPr>
        <w:t>a</w:t>
      </w:r>
      <w:proofErr w:type="gramEnd"/>
    </w:p>
    <w:tbl>
      <w:tblPr>
        <w:tblStyle w:val="TableGrid"/>
        <w:tblpPr w:leftFromText="141" w:rightFromText="141" w:vertAnchor="text" w:horzAnchor="margin" w:tblpY="192"/>
        <w:tblW w:w="50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2"/>
        <w:gridCol w:w="2014"/>
        <w:gridCol w:w="3019"/>
        <w:gridCol w:w="2948"/>
        <w:gridCol w:w="1160"/>
      </w:tblGrid>
      <w:tr w:rsidR="00763EAB" w:rsidRPr="00763EAB" w:rsidTr="00C47554">
        <w:trPr>
          <w:trHeight w:val="552"/>
        </w:trPr>
        <w:tc>
          <w:tcPr>
            <w:tcW w:w="1800" w:type="pct"/>
            <w:tcBorders>
              <w:top w:val="single" w:sz="4" w:space="0" w:color="auto"/>
              <w:bottom w:val="single" w:sz="4" w:space="0" w:color="auto"/>
            </w:tcBorders>
          </w:tcPr>
          <w:p w:rsidR="003B00F5" w:rsidRPr="00763EAB" w:rsidRDefault="003B00F5" w:rsidP="007D1373">
            <w:pPr>
              <w:spacing w:line="360" w:lineRule="auto"/>
              <w:jc w:val="both"/>
              <w:rPr>
                <w:lang w:val="en-GB"/>
              </w:rPr>
            </w:pPr>
          </w:p>
        </w:tc>
        <w:tc>
          <w:tcPr>
            <w:tcW w:w="705" w:type="pct"/>
            <w:tcBorders>
              <w:top w:val="single" w:sz="4" w:space="0" w:color="auto"/>
              <w:bottom w:val="single" w:sz="4" w:space="0" w:color="auto"/>
            </w:tcBorders>
          </w:tcPr>
          <w:p w:rsidR="003B00F5" w:rsidRPr="00763EAB" w:rsidRDefault="003B00F5" w:rsidP="007D1373">
            <w:pPr>
              <w:spacing w:line="360" w:lineRule="auto"/>
              <w:jc w:val="center"/>
              <w:rPr>
                <w:b/>
                <w:lang w:val="en-GB"/>
              </w:rPr>
            </w:pPr>
            <w:r w:rsidRPr="00763EAB">
              <w:rPr>
                <w:b/>
                <w:lang w:val="en-GB"/>
              </w:rPr>
              <w:t xml:space="preserve">All participants </w:t>
            </w:r>
          </w:p>
          <w:p w:rsidR="003B00F5" w:rsidRPr="00763EAB" w:rsidRDefault="003B00F5" w:rsidP="007D1373">
            <w:pPr>
              <w:spacing w:line="360" w:lineRule="auto"/>
              <w:jc w:val="center"/>
              <w:rPr>
                <w:b/>
                <w:lang w:val="en-GB"/>
              </w:rPr>
            </w:pPr>
            <w:r w:rsidRPr="00763EAB">
              <w:rPr>
                <w:b/>
                <w:lang w:val="en-GB"/>
              </w:rPr>
              <w:t>(n=294)</w:t>
            </w:r>
          </w:p>
        </w:tc>
        <w:tc>
          <w:tcPr>
            <w:tcW w:w="1057" w:type="pct"/>
            <w:tcBorders>
              <w:top w:val="single" w:sz="4" w:space="0" w:color="auto"/>
              <w:bottom w:val="single" w:sz="4" w:space="0" w:color="auto"/>
            </w:tcBorders>
          </w:tcPr>
          <w:p w:rsidR="003B00F5" w:rsidRPr="00763EAB" w:rsidRDefault="003B00F5" w:rsidP="007D1373">
            <w:pPr>
              <w:spacing w:line="360" w:lineRule="auto"/>
              <w:jc w:val="center"/>
              <w:rPr>
                <w:b/>
                <w:lang w:val="en-GB"/>
              </w:rPr>
            </w:pPr>
            <w:r w:rsidRPr="00763EAB">
              <w:rPr>
                <w:b/>
                <w:lang w:val="en-GB"/>
              </w:rPr>
              <w:t>Participants with OA (n=70)</w:t>
            </w:r>
          </w:p>
        </w:tc>
        <w:tc>
          <w:tcPr>
            <w:tcW w:w="1032" w:type="pct"/>
            <w:tcBorders>
              <w:top w:val="single" w:sz="4" w:space="0" w:color="auto"/>
              <w:bottom w:val="single" w:sz="4" w:space="0" w:color="auto"/>
            </w:tcBorders>
          </w:tcPr>
          <w:p w:rsidR="003B00F5" w:rsidRPr="00763EAB" w:rsidRDefault="003B00F5" w:rsidP="007D1373">
            <w:pPr>
              <w:spacing w:line="360" w:lineRule="auto"/>
              <w:jc w:val="center"/>
              <w:rPr>
                <w:b/>
                <w:lang w:val="en-GB"/>
              </w:rPr>
            </w:pPr>
            <w:r w:rsidRPr="00763EAB">
              <w:rPr>
                <w:b/>
                <w:lang w:val="en-GB"/>
              </w:rPr>
              <w:t>Participants without OA (n=224)</w:t>
            </w:r>
          </w:p>
        </w:tc>
        <w:tc>
          <w:tcPr>
            <w:tcW w:w="406" w:type="pct"/>
            <w:tcBorders>
              <w:top w:val="single" w:sz="4" w:space="0" w:color="auto"/>
              <w:bottom w:val="single" w:sz="4" w:space="0" w:color="auto"/>
            </w:tcBorders>
          </w:tcPr>
          <w:p w:rsidR="003B00F5" w:rsidRPr="00763EAB" w:rsidRDefault="003B00F5" w:rsidP="007D1373">
            <w:pPr>
              <w:spacing w:line="360" w:lineRule="auto"/>
              <w:jc w:val="center"/>
              <w:rPr>
                <w:b/>
                <w:vertAlign w:val="superscript"/>
                <w:lang w:val="en-GB"/>
              </w:rPr>
            </w:pPr>
            <w:r w:rsidRPr="00763EAB">
              <w:rPr>
                <w:b/>
                <w:lang w:val="en-GB"/>
              </w:rPr>
              <w:t xml:space="preserve">p-value </w:t>
            </w:r>
            <w:r w:rsidRPr="00763EAB">
              <w:rPr>
                <w:b/>
                <w:vertAlign w:val="superscript"/>
                <w:lang w:val="en-GB"/>
              </w:rPr>
              <w:t>b</w:t>
            </w:r>
          </w:p>
        </w:tc>
      </w:tr>
      <w:tr w:rsidR="00763EAB" w:rsidRPr="00763EAB" w:rsidTr="007D1373">
        <w:trPr>
          <w:trHeight w:val="420"/>
        </w:trPr>
        <w:tc>
          <w:tcPr>
            <w:tcW w:w="1800" w:type="pct"/>
            <w:tcBorders>
              <w:top w:val="single" w:sz="4" w:space="0" w:color="auto"/>
            </w:tcBorders>
          </w:tcPr>
          <w:p w:rsidR="003B00F5" w:rsidRPr="00763EAB" w:rsidRDefault="003B00F5" w:rsidP="007D1373">
            <w:pPr>
              <w:spacing w:line="360" w:lineRule="auto"/>
              <w:jc w:val="both"/>
              <w:rPr>
                <w:lang w:val="en-GB"/>
              </w:rPr>
            </w:pPr>
            <w:proofErr w:type="spellStart"/>
            <w:r w:rsidRPr="00763EAB">
              <w:rPr>
                <w:lang w:val="en-GB"/>
              </w:rPr>
              <w:t>QoL</w:t>
            </w:r>
            <w:proofErr w:type="spellEnd"/>
            <w:r w:rsidRPr="00763EAB">
              <w:rPr>
                <w:lang w:val="en-GB"/>
              </w:rPr>
              <w:t xml:space="preserve"> index score (0-1) (Median (IQR))</w:t>
            </w:r>
          </w:p>
        </w:tc>
        <w:tc>
          <w:tcPr>
            <w:tcW w:w="705" w:type="pct"/>
            <w:tcBorders>
              <w:top w:val="single" w:sz="4" w:space="0" w:color="auto"/>
            </w:tcBorders>
          </w:tcPr>
          <w:p w:rsidR="003B00F5" w:rsidRPr="00763EAB" w:rsidRDefault="003B00F5" w:rsidP="007D1373">
            <w:pPr>
              <w:spacing w:line="360" w:lineRule="auto"/>
              <w:jc w:val="center"/>
              <w:rPr>
                <w:lang w:val="en-GB"/>
              </w:rPr>
            </w:pPr>
            <w:r w:rsidRPr="00763EAB">
              <w:rPr>
                <w:lang w:val="en-GB"/>
              </w:rPr>
              <w:t>0.80 (0.73-1.00)</w:t>
            </w:r>
          </w:p>
        </w:tc>
        <w:tc>
          <w:tcPr>
            <w:tcW w:w="1057" w:type="pct"/>
            <w:tcBorders>
              <w:top w:val="single" w:sz="4" w:space="0" w:color="auto"/>
            </w:tcBorders>
          </w:tcPr>
          <w:p w:rsidR="003B00F5" w:rsidRPr="00763EAB" w:rsidRDefault="003B00F5" w:rsidP="007D1373">
            <w:pPr>
              <w:spacing w:line="360" w:lineRule="auto"/>
              <w:jc w:val="center"/>
              <w:rPr>
                <w:lang w:val="en-GB"/>
              </w:rPr>
            </w:pPr>
            <w:r w:rsidRPr="00763EAB">
              <w:rPr>
                <w:lang w:val="en-GB"/>
              </w:rPr>
              <w:t>0.80 (0.73-1.00)</w:t>
            </w:r>
          </w:p>
        </w:tc>
        <w:tc>
          <w:tcPr>
            <w:tcW w:w="1032" w:type="pct"/>
            <w:tcBorders>
              <w:top w:val="single" w:sz="4" w:space="0" w:color="auto"/>
            </w:tcBorders>
          </w:tcPr>
          <w:p w:rsidR="003B00F5" w:rsidRPr="00763EAB" w:rsidRDefault="003B00F5" w:rsidP="007D1373">
            <w:pPr>
              <w:spacing w:line="360" w:lineRule="auto"/>
              <w:jc w:val="center"/>
              <w:rPr>
                <w:lang w:val="en-GB"/>
              </w:rPr>
            </w:pPr>
            <w:r w:rsidRPr="00763EAB">
              <w:rPr>
                <w:lang w:val="en-GB"/>
              </w:rPr>
              <w:t>0.80 (0.73-1.00)</w:t>
            </w:r>
          </w:p>
        </w:tc>
        <w:tc>
          <w:tcPr>
            <w:tcW w:w="406" w:type="pct"/>
            <w:tcBorders>
              <w:top w:val="single" w:sz="4" w:space="0" w:color="auto"/>
            </w:tcBorders>
          </w:tcPr>
          <w:p w:rsidR="003B00F5" w:rsidRPr="00763EAB" w:rsidRDefault="003B00F5" w:rsidP="007D1373">
            <w:pPr>
              <w:tabs>
                <w:tab w:val="left" w:pos="315"/>
                <w:tab w:val="center" w:pos="584"/>
              </w:tabs>
              <w:spacing w:line="360" w:lineRule="auto"/>
              <w:jc w:val="center"/>
              <w:rPr>
                <w:lang w:val="en-GB"/>
              </w:rPr>
            </w:pPr>
            <w:r w:rsidRPr="00763EAB">
              <w:rPr>
                <w:lang w:val="en-GB"/>
              </w:rPr>
              <w:t>0.63</w:t>
            </w:r>
          </w:p>
        </w:tc>
      </w:tr>
      <w:tr w:rsidR="00763EAB" w:rsidRPr="00763EAB" w:rsidTr="00673789">
        <w:trPr>
          <w:trHeight w:val="1429"/>
        </w:trPr>
        <w:tc>
          <w:tcPr>
            <w:tcW w:w="1800" w:type="pct"/>
          </w:tcPr>
          <w:p w:rsidR="003B00F5" w:rsidRPr="00763EAB" w:rsidRDefault="007D1373" w:rsidP="007D1373">
            <w:pPr>
              <w:spacing w:line="360" w:lineRule="auto"/>
              <w:rPr>
                <w:lang w:val="en-GB"/>
              </w:rPr>
            </w:pPr>
            <w:r w:rsidRPr="00763EAB">
              <w:rPr>
                <w:lang w:val="en-GB"/>
              </w:rPr>
              <w:t xml:space="preserve">   </w:t>
            </w:r>
            <w:r w:rsidR="003B00F5" w:rsidRPr="00763EAB">
              <w:rPr>
                <w:lang w:val="en-GB"/>
              </w:rPr>
              <w:t>Mobility (n (%))</w:t>
            </w:r>
          </w:p>
          <w:p w:rsidR="003B00F5" w:rsidRPr="00763EAB" w:rsidRDefault="007D1373" w:rsidP="007D1373">
            <w:pPr>
              <w:spacing w:line="360" w:lineRule="auto"/>
              <w:rPr>
                <w:lang w:val="en-GB"/>
              </w:rPr>
            </w:pPr>
            <w:r w:rsidRPr="00763EAB">
              <w:rPr>
                <w:lang w:val="en-GB"/>
              </w:rPr>
              <w:t xml:space="preserve">        </w:t>
            </w:r>
            <w:r w:rsidR="003B00F5" w:rsidRPr="00763EAB">
              <w:rPr>
                <w:lang w:val="en-GB"/>
              </w:rPr>
              <w:t>No problem</w:t>
            </w:r>
          </w:p>
          <w:p w:rsidR="003B00F5" w:rsidRPr="00763EAB" w:rsidRDefault="007D1373" w:rsidP="007D1373">
            <w:pPr>
              <w:spacing w:line="360" w:lineRule="auto"/>
              <w:rPr>
                <w:lang w:val="en-GB"/>
              </w:rPr>
            </w:pPr>
            <w:r w:rsidRPr="00763EAB">
              <w:rPr>
                <w:lang w:val="en-GB"/>
              </w:rPr>
              <w:t xml:space="preserve">        </w:t>
            </w:r>
            <w:r w:rsidR="003B00F5" w:rsidRPr="00763EAB">
              <w:rPr>
                <w:lang w:val="en-GB"/>
              </w:rPr>
              <w:t>Some problem</w:t>
            </w:r>
          </w:p>
          <w:p w:rsidR="003B00F5" w:rsidRPr="00763EAB" w:rsidRDefault="007D1373" w:rsidP="007D1373">
            <w:pPr>
              <w:spacing w:line="360" w:lineRule="auto"/>
              <w:rPr>
                <w:lang w:val="en-GB"/>
              </w:rPr>
            </w:pPr>
            <w:r w:rsidRPr="00763EAB">
              <w:rPr>
                <w:lang w:val="en-GB"/>
              </w:rPr>
              <w:t xml:space="preserve">        </w:t>
            </w:r>
            <w:r w:rsidR="003B00F5" w:rsidRPr="00763EAB">
              <w:rPr>
                <w:lang w:val="en-GB"/>
              </w:rPr>
              <w:t>Confined to bed</w:t>
            </w:r>
          </w:p>
        </w:tc>
        <w:tc>
          <w:tcPr>
            <w:tcW w:w="705" w:type="pct"/>
          </w:tcPr>
          <w:p w:rsidR="003B00F5" w:rsidRPr="00763EAB" w:rsidRDefault="003B00F5" w:rsidP="007D1373">
            <w:pPr>
              <w:spacing w:line="360" w:lineRule="auto"/>
              <w:jc w:val="center"/>
              <w:rPr>
                <w:lang w:val="en-GB"/>
              </w:rPr>
            </w:pPr>
          </w:p>
          <w:p w:rsidR="003B00F5" w:rsidRPr="00763EAB" w:rsidRDefault="003B00F5" w:rsidP="007D1373">
            <w:pPr>
              <w:spacing w:line="360" w:lineRule="auto"/>
              <w:jc w:val="center"/>
              <w:rPr>
                <w:lang w:val="en-GB"/>
              </w:rPr>
            </w:pPr>
            <w:r w:rsidRPr="00763EAB">
              <w:rPr>
                <w:lang w:val="en-GB"/>
              </w:rPr>
              <w:t>216 (73.5)</w:t>
            </w:r>
          </w:p>
          <w:p w:rsidR="003B00F5" w:rsidRPr="00763EAB" w:rsidRDefault="003B00F5" w:rsidP="007D1373">
            <w:pPr>
              <w:spacing w:line="360" w:lineRule="auto"/>
              <w:jc w:val="center"/>
              <w:rPr>
                <w:lang w:val="en-GB"/>
              </w:rPr>
            </w:pPr>
            <w:r w:rsidRPr="00763EAB">
              <w:rPr>
                <w:lang w:val="en-GB"/>
              </w:rPr>
              <w:t>78 (26.5)</w:t>
            </w:r>
          </w:p>
          <w:p w:rsidR="003B00F5" w:rsidRPr="00763EAB" w:rsidRDefault="003B00F5" w:rsidP="007D1373">
            <w:pPr>
              <w:spacing w:line="360" w:lineRule="auto"/>
              <w:jc w:val="center"/>
              <w:rPr>
                <w:lang w:val="en-GB"/>
              </w:rPr>
            </w:pPr>
            <w:r w:rsidRPr="00763EAB">
              <w:rPr>
                <w:lang w:val="en-GB"/>
              </w:rPr>
              <w:t>0 (0.0)</w:t>
            </w:r>
          </w:p>
        </w:tc>
        <w:tc>
          <w:tcPr>
            <w:tcW w:w="1057" w:type="pct"/>
          </w:tcPr>
          <w:p w:rsidR="003B00F5" w:rsidRPr="00763EAB" w:rsidRDefault="003B00F5" w:rsidP="007D1373">
            <w:pPr>
              <w:spacing w:line="360" w:lineRule="auto"/>
              <w:jc w:val="center"/>
              <w:rPr>
                <w:lang w:val="en-GB"/>
              </w:rPr>
            </w:pPr>
          </w:p>
          <w:p w:rsidR="003B00F5" w:rsidRPr="00763EAB" w:rsidRDefault="003B00F5" w:rsidP="007D1373">
            <w:pPr>
              <w:spacing w:line="360" w:lineRule="auto"/>
              <w:jc w:val="center"/>
              <w:rPr>
                <w:lang w:val="en-GB"/>
              </w:rPr>
            </w:pPr>
            <w:r w:rsidRPr="00763EAB">
              <w:rPr>
                <w:lang w:val="en-GB"/>
              </w:rPr>
              <w:t>55 (78.6)</w:t>
            </w:r>
          </w:p>
          <w:p w:rsidR="003B00F5" w:rsidRPr="00763EAB" w:rsidRDefault="003B00F5" w:rsidP="007D1373">
            <w:pPr>
              <w:spacing w:line="360" w:lineRule="auto"/>
              <w:jc w:val="center"/>
              <w:rPr>
                <w:lang w:val="en-GB"/>
              </w:rPr>
            </w:pPr>
            <w:r w:rsidRPr="00763EAB">
              <w:rPr>
                <w:lang w:val="en-GB"/>
              </w:rPr>
              <w:t>15 (21.4)</w:t>
            </w:r>
          </w:p>
          <w:p w:rsidR="003B00F5" w:rsidRPr="00763EAB" w:rsidRDefault="003B00F5" w:rsidP="007D1373">
            <w:pPr>
              <w:spacing w:line="360" w:lineRule="auto"/>
              <w:jc w:val="center"/>
              <w:rPr>
                <w:lang w:val="en-GB"/>
              </w:rPr>
            </w:pPr>
            <w:r w:rsidRPr="00763EAB">
              <w:rPr>
                <w:lang w:val="en-GB"/>
              </w:rPr>
              <w:t>0 (0.0)</w:t>
            </w:r>
          </w:p>
        </w:tc>
        <w:tc>
          <w:tcPr>
            <w:tcW w:w="1032" w:type="pct"/>
          </w:tcPr>
          <w:p w:rsidR="003B00F5" w:rsidRPr="00763EAB" w:rsidRDefault="003B00F5" w:rsidP="007D1373">
            <w:pPr>
              <w:spacing w:line="360" w:lineRule="auto"/>
              <w:jc w:val="center"/>
              <w:rPr>
                <w:lang w:val="en-GB"/>
              </w:rPr>
            </w:pPr>
          </w:p>
          <w:p w:rsidR="003B00F5" w:rsidRPr="00763EAB" w:rsidRDefault="003B00F5" w:rsidP="007D1373">
            <w:pPr>
              <w:spacing w:line="360" w:lineRule="auto"/>
              <w:jc w:val="center"/>
              <w:rPr>
                <w:lang w:val="en-GB"/>
              </w:rPr>
            </w:pPr>
            <w:r w:rsidRPr="00763EAB">
              <w:rPr>
                <w:lang w:val="en-GB"/>
              </w:rPr>
              <w:t>161 (71.9)</w:t>
            </w:r>
          </w:p>
          <w:p w:rsidR="003B00F5" w:rsidRPr="00763EAB" w:rsidRDefault="003B00F5" w:rsidP="007D1373">
            <w:pPr>
              <w:spacing w:line="360" w:lineRule="auto"/>
              <w:jc w:val="center"/>
              <w:rPr>
                <w:lang w:val="en-GB"/>
              </w:rPr>
            </w:pPr>
            <w:r w:rsidRPr="00763EAB">
              <w:rPr>
                <w:lang w:val="en-GB"/>
              </w:rPr>
              <w:t>63 (28.1)</w:t>
            </w:r>
          </w:p>
          <w:p w:rsidR="003B00F5" w:rsidRPr="00763EAB" w:rsidRDefault="003B00F5" w:rsidP="007D1373">
            <w:pPr>
              <w:spacing w:line="360" w:lineRule="auto"/>
              <w:jc w:val="center"/>
              <w:rPr>
                <w:lang w:val="en-GB"/>
              </w:rPr>
            </w:pPr>
            <w:r w:rsidRPr="00763EAB">
              <w:rPr>
                <w:lang w:val="en-GB"/>
              </w:rPr>
              <w:t>0 (0.0)</w:t>
            </w:r>
          </w:p>
        </w:tc>
        <w:tc>
          <w:tcPr>
            <w:tcW w:w="406" w:type="pct"/>
          </w:tcPr>
          <w:p w:rsidR="003B00F5" w:rsidRPr="00763EAB" w:rsidRDefault="003B00F5" w:rsidP="007D1373">
            <w:pPr>
              <w:spacing w:line="360" w:lineRule="auto"/>
              <w:jc w:val="center"/>
              <w:rPr>
                <w:lang w:val="en-GB"/>
              </w:rPr>
            </w:pPr>
            <w:r w:rsidRPr="00763EAB">
              <w:rPr>
                <w:lang w:val="en-GB"/>
              </w:rPr>
              <w:t>0.27</w:t>
            </w:r>
          </w:p>
        </w:tc>
      </w:tr>
      <w:tr w:rsidR="00763EAB" w:rsidRPr="00763EAB" w:rsidTr="00C47554">
        <w:trPr>
          <w:trHeight w:val="552"/>
        </w:trPr>
        <w:tc>
          <w:tcPr>
            <w:tcW w:w="1800" w:type="pct"/>
            <w:shd w:val="clear" w:color="auto" w:fill="auto"/>
          </w:tcPr>
          <w:p w:rsidR="003B00F5" w:rsidRPr="00763EAB" w:rsidRDefault="007D1373" w:rsidP="007D1373">
            <w:pPr>
              <w:spacing w:line="360" w:lineRule="auto"/>
              <w:rPr>
                <w:lang w:val="en-GB"/>
              </w:rPr>
            </w:pPr>
            <w:r w:rsidRPr="00763EAB">
              <w:rPr>
                <w:lang w:val="en-GB"/>
              </w:rPr>
              <w:t xml:space="preserve">   </w:t>
            </w:r>
            <w:r w:rsidR="003B00F5" w:rsidRPr="00763EAB">
              <w:rPr>
                <w:lang w:val="en-GB"/>
              </w:rPr>
              <w:t>Self-care (n (%))</w:t>
            </w:r>
          </w:p>
          <w:p w:rsidR="003B00F5" w:rsidRPr="00763EAB" w:rsidRDefault="007D1373" w:rsidP="007D1373">
            <w:pPr>
              <w:spacing w:line="360" w:lineRule="auto"/>
              <w:rPr>
                <w:lang w:val="en-GB"/>
              </w:rPr>
            </w:pPr>
            <w:r w:rsidRPr="00763EAB">
              <w:rPr>
                <w:lang w:val="en-GB"/>
              </w:rPr>
              <w:t xml:space="preserve">        </w:t>
            </w:r>
            <w:r w:rsidR="003B00F5" w:rsidRPr="00763EAB">
              <w:rPr>
                <w:lang w:val="en-GB"/>
              </w:rPr>
              <w:t>No problem</w:t>
            </w:r>
          </w:p>
          <w:p w:rsidR="003B00F5" w:rsidRPr="00763EAB" w:rsidRDefault="007D1373" w:rsidP="007D1373">
            <w:pPr>
              <w:spacing w:line="360" w:lineRule="auto"/>
              <w:rPr>
                <w:lang w:val="en-GB"/>
              </w:rPr>
            </w:pPr>
            <w:r w:rsidRPr="00763EAB">
              <w:rPr>
                <w:lang w:val="en-GB"/>
              </w:rPr>
              <w:t xml:space="preserve">        </w:t>
            </w:r>
            <w:r w:rsidR="003B00F5" w:rsidRPr="00763EAB">
              <w:rPr>
                <w:lang w:val="en-GB"/>
              </w:rPr>
              <w:t>Some problem</w:t>
            </w:r>
          </w:p>
          <w:p w:rsidR="003B00F5" w:rsidRPr="00763EAB" w:rsidRDefault="007D1373" w:rsidP="007D1373">
            <w:pPr>
              <w:spacing w:line="360" w:lineRule="auto"/>
              <w:rPr>
                <w:lang w:val="en-GB"/>
              </w:rPr>
            </w:pPr>
            <w:r w:rsidRPr="00763EAB">
              <w:rPr>
                <w:lang w:val="en-GB"/>
              </w:rPr>
              <w:t xml:space="preserve">        </w:t>
            </w:r>
            <w:r w:rsidR="003B00F5" w:rsidRPr="00763EAB">
              <w:rPr>
                <w:lang w:val="en-GB"/>
              </w:rPr>
              <w:t>Unable to perform</w:t>
            </w:r>
          </w:p>
        </w:tc>
        <w:tc>
          <w:tcPr>
            <w:tcW w:w="705" w:type="pct"/>
            <w:shd w:val="clear" w:color="auto" w:fill="auto"/>
          </w:tcPr>
          <w:p w:rsidR="003B00F5" w:rsidRPr="00763EAB" w:rsidRDefault="003B00F5" w:rsidP="007D1373">
            <w:pPr>
              <w:spacing w:line="360" w:lineRule="auto"/>
              <w:jc w:val="center"/>
              <w:rPr>
                <w:lang w:val="en-GB"/>
              </w:rPr>
            </w:pPr>
          </w:p>
          <w:p w:rsidR="003B00F5" w:rsidRPr="00763EAB" w:rsidRDefault="003B00F5" w:rsidP="007D1373">
            <w:pPr>
              <w:spacing w:line="360" w:lineRule="auto"/>
              <w:jc w:val="center"/>
              <w:rPr>
                <w:lang w:val="en-GB"/>
              </w:rPr>
            </w:pPr>
            <w:r w:rsidRPr="00763EAB">
              <w:rPr>
                <w:lang w:val="en-GB"/>
              </w:rPr>
              <w:t>272 (92.5)</w:t>
            </w:r>
          </w:p>
          <w:p w:rsidR="003B00F5" w:rsidRPr="00763EAB" w:rsidRDefault="003B00F5" w:rsidP="007D1373">
            <w:pPr>
              <w:spacing w:line="360" w:lineRule="auto"/>
              <w:jc w:val="center"/>
              <w:rPr>
                <w:lang w:val="en-GB"/>
              </w:rPr>
            </w:pPr>
            <w:r w:rsidRPr="00763EAB">
              <w:rPr>
                <w:lang w:val="en-GB"/>
              </w:rPr>
              <w:t>22 (7.5)</w:t>
            </w:r>
          </w:p>
          <w:p w:rsidR="003B00F5" w:rsidRPr="00763EAB" w:rsidRDefault="003B00F5" w:rsidP="007D1373">
            <w:pPr>
              <w:spacing w:line="360" w:lineRule="auto"/>
              <w:jc w:val="center"/>
              <w:rPr>
                <w:lang w:val="en-GB"/>
              </w:rPr>
            </w:pPr>
            <w:r w:rsidRPr="00763EAB">
              <w:rPr>
                <w:lang w:val="en-GB"/>
              </w:rPr>
              <w:t>0 (0.0)</w:t>
            </w:r>
          </w:p>
        </w:tc>
        <w:tc>
          <w:tcPr>
            <w:tcW w:w="1057" w:type="pct"/>
            <w:shd w:val="clear" w:color="auto" w:fill="auto"/>
          </w:tcPr>
          <w:p w:rsidR="003B00F5" w:rsidRPr="00763EAB" w:rsidRDefault="003B00F5" w:rsidP="007D1373">
            <w:pPr>
              <w:spacing w:line="360" w:lineRule="auto"/>
              <w:jc w:val="center"/>
              <w:rPr>
                <w:lang w:val="en-GB"/>
              </w:rPr>
            </w:pPr>
          </w:p>
          <w:p w:rsidR="003B00F5" w:rsidRPr="00763EAB" w:rsidRDefault="003B00F5" w:rsidP="007D1373">
            <w:pPr>
              <w:spacing w:line="360" w:lineRule="auto"/>
              <w:jc w:val="center"/>
              <w:rPr>
                <w:lang w:val="en-GB"/>
              </w:rPr>
            </w:pPr>
            <w:r w:rsidRPr="00763EAB">
              <w:rPr>
                <w:lang w:val="en-GB"/>
              </w:rPr>
              <w:t>65 (92.9)</w:t>
            </w:r>
          </w:p>
          <w:p w:rsidR="003B00F5" w:rsidRPr="00763EAB" w:rsidRDefault="003B00F5" w:rsidP="007D1373">
            <w:pPr>
              <w:spacing w:line="360" w:lineRule="auto"/>
              <w:jc w:val="center"/>
              <w:rPr>
                <w:lang w:val="en-GB"/>
              </w:rPr>
            </w:pPr>
            <w:r w:rsidRPr="00763EAB">
              <w:rPr>
                <w:lang w:val="en-GB"/>
              </w:rPr>
              <w:t>5 (7.1)</w:t>
            </w:r>
          </w:p>
          <w:p w:rsidR="003B00F5" w:rsidRPr="00763EAB" w:rsidRDefault="003B00F5" w:rsidP="007D1373">
            <w:pPr>
              <w:spacing w:line="360" w:lineRule="auto"/>
              <w:jc w:val="center"/>
              <w:rPr>
                <w:lang w:val="en-GB"/>
              </w:rPr>
            </w:pPr>
            <w:r w:rsidRPr="00763EAB">
              <w:rPr>
                <w:lang w:val="en-GB"/>
              </w:rPr>
              <w:t>0 (0.0)</w:t>
            </w:r>
          </w:p>
        </w:tc>
        <w:tc>
          <w:tcPr>
            <w:tcW w:w="1032" w:type="pct"/>
            <w:shd w:val="clear" w:color="auto" w:fill="auto"/>
          </w:tcPr>
          <w:p w:rsidR="003B00F5" w:rsidRPr="00763EAB" w:rsidRDefault="003B00F5" w:rsidP="007D1373">
            <w:pPr>
              <w:spacing w:line="360" w:lineRule="auto"/>
              <w:jc w:val="center"/>
              <w:rPr>
                <w:lang w:val="en-GB"/>
              </w:rPr>
            </w:pPr>
          </w:p>
          <w:p w:rsidR="003B00F5" w:rsidRPr="00763EAB" w:rsidRDefault="003B00F5" w:rsidP="007D1373">
            <w:pPr>
              <w:spacing w:line="360" w:lineRule="auto"/>
              <w:jc w:val="center"/>
              <w:rPr>
                <w:lang w:val="en-GB"/>
              </w:rPr>
            </w:pPr>
            <w:r w:rsidRPr="00763EAB">
              <w:rPr>
                <w:lang w:val="en-GB"/>
              </w:rPr>
              <w:t>207 (92.4)</w:t>
            </w:r>
          </w:p>
          <w:p w:rsidR="003B00F5" w:rsidRPr="00763EAB" w:rsidRDefault="003B00F5" w:rsidP="007D1373">
            <w:pPr>
              <w:spacing w:line="360" w:lineRule="auto"/>
              <w:jc w:val="center"/>
              <w:rPr>
                <w:lang w:val="en-GB"/>
              </w:rPr>
            </w:pPr>
            <w:r w:rsidRPr="00763EAB">
              <w:rPr>
                <w:lang w:val="en-GB"/>
              </w:rPr>
              <w:t>17 (7.6)</w:t>
            </w:r>
          </w:p>
          <w:p w:rsidR="003B00F5" w:rsidRPr="00763EAB" w:rsidRDefault="003B00F5" w:rsidP="007D1373">
            <w:pPr>
              <w:spacing w:line="360" w:lineRule="auto"/>
              <w:jc w:val="center"/>
              <w:rPr>
                <w:lang w:val="en-GB"/>
              </w:rPr>
            </w:pPr>
            <w:r w:rsidRPr="00763EAB">
              <w:rPr>
                <w:lang w:val="en-GB"/>
              </w:rPr>
              <w:t>0 (0.0)</w:t>
            </w:r>
          </w:p>
        </w:tc>
        <w:tc>
          <w:tcPr>
            <w:tcW w:w="406" w:type="pct"/>
            <w:shd w:val="clear" w:color="auto" w:fill="auto"/>
          </w:tcPr>
          <w:p w:rsidR="003B00F5" w:rsidRPr="00763EAB" w:rsidRDefault="003B00F5" w:rsidP="007D1373">
            <w:pPr>
              <w:spacing w:line="360" w:lineRule="auto"/>
              <w:jc w:val="center"/>
              <w:rPr>
                <w:lang w:val="en-GB"/>
              </w:rPr>
            </w:pPr>
            <w:r w:rsidRPr="00763EAB">
              <w:rPr>
                <w:lang w:val="en-GB"/>
              </w:rPr>
              <w:t>0.90</w:t>
            </w:r>
          </w:p>
        </w:tc>
      </w:tr>
      <w:tr w:rsidR="00763EAB" w:rsidRPr="00763EAB" w:rsidTr="007D1373">
        <w:trPr>
          <w:trHeight w:val="552"/>
        </w:trPr>
        <w:tc>
          <w:tcPr>
            <w:tcW w:w="1800" w:type="pct"/>
            <w:shd w:val="clear" w:color="auto" w:fill="auto"/>
          </w:tcPr>
          <w:p w:rsidR="003B00F5" w:rsidRPr="00763EAB" w:rsidRDefault="007D1373" w:rsidP="007D1373">
            <w:pPr>
              <w:spacing w:line="360" w:lineRule="auto"/>
              <w:rPr>
                <w:lang w:val="en-GB"/>
              </w:rPr>
            </w:pPr>
            <w:r w:rsidRPr="00763EAB">
              <w:rPr>
                <w:lang w:val="en-GB"/>
              </w:rPr>
              <w:t xml:space="preserve">   </w:t>
            </w:r>
            <w:r w:rsidR="003B00F5" w:rsidRPr="00763EAB">
              <w:rPr>
                <w:lang w:val="en-GB"/>
              </w:rPr>
              <w:t>Usual activities (n (%))</w:t>
            </w:r>
          </w:p>
          <w:p w:rsidR="003B00F5" w:rsidRPr="00763EAB" w:rsidRDefault="007D1373" w:rsidP="007D1373">
            <w:pPr>
              <w:spacing w:line="360" w:lineRule="auto"/>
              <w:rPr>
                <w:lang w:val="en-GB"/>
              </w:rPr>
            </w:pPr>
            <w:r w:rsidRPr="00763EAB">
              <w:rPr>
                <w:lang w:val="en-GB"/>
              </w:rPr>
              <w:t xml:space="preserve">        </w:t>
            </w:r>
            <w:r w:rsidR="003B00F5" w:rsidRPr="00763EAB">
              <w:rPr>
                <w:lang w:val="en-GB"/>
              </w:rPr>
              <w:t>No problem</w:t>
            </w:r>
          </w:p>
          <w:p w:rsidR="003B00F5" w:rsidRPr="00763EAB" w:rsidRDefault="007D1373" w:rsidP="007D1373">
            <w:pPr>
              <w:spacing w:line="360" w:lineRule="auto"/>
              <w:rPr>
                <w:lang w:val="en-GB"/>
              </w:rPr>
            </w:pPr>
            <w:r w:rsidRPr="00763EAB">
              <w:rPr>
                <w:lang w:val="en-GB"/>
              </w:rPr>
              <w:t xml:space="preserve">        </w:t>
            </w:r>
            <w:r w:rsidR="003B00F5" w:rsidRPr="00763EAB">
              <w:rPr>
                <w:lang w:val="en-GB"/>
              </w:rPr>
              <w:t>Some problem</w:t>
            </w:r>
          </w:p>
          <w:p w:rsidR="003B00F5" w:rsidRPr="00763EAB" w:rsidRDefault="007D1373" w:rsidP="007D1373">
            <w:pPr>
              <w:spacing w:line="360" w:lineRule="auto"/>
              <w:rPr>
                <w:lang w:val="en-GB"/>
              </w:rPr>
            </w:pPr>
            <w:r w:rsidRPr="00763EAB">
              <w:rPr>
                <w:lang w:val="en-GB"/>
              </w:rPr>
              <w:t xml:space="preserve">        </w:t>
            </w:r>
            <w:r w:rsidR="003B00F5" w:rsidRPr="00763EAB">
              <w:rPr>
                <w:lang w:val="en-GB"/>
              </w:rPr>
              <w:t>Unable to perform</w:t>
            </w:r>
          </w:p>
        </w:tc>
        <w:tc>
          <w:tcPr>
            <w:tcW w:w="705" w:type="pct"/>
            <w:shd w:val="clear" w:color="auto" w:fill="auto"/>
          </w:tcPr>
          <w:p w:rsidR="003B00F5" w:rsidRPr="00763EAB" w:rsidRDefault="003B00F5" w:rsidP="007D1373">
            <w:pPr>
              <w:spacing w:line="360" w:lineRule="auto"/>
              <w:jc w:val="center"/>
              <w:rPr>
                <w:lang w:val="en-GB"/>
              </w:rPr>
            </w:pPr>
          </w:p>
          <w:p w:rsidR="003B00F5" w:rsidRPr="00763EAB" w:rsidRDefault="003B00F5" w:rsidP="007D1373">
            <w:pPr>
              <w:spacing w:line="360" w:lineRule="auto"/>
              <w:jc w:val="center"/>
              <w:rPr>
                <w:lang w:val="en-GB"/>
              </w:rPr>
            </w:pPr>
            <w:r w:rsidRPr="00763EAB">
              <w:rPr>
                <w:lang w:val="en-GB"/>
              </w:rPr>
              <w:t>228 (77.6)</w:t>
            </w:r>
          </w:p>
          <w:p w:rsidR="003B00F5" w:rsidRPr="00763EAB" w:rsidRDefault="003B00F5" w:rsidP="007D1373">
            <w:pPr>
              <w:spacing w:line="360" w:lineRule="auto"/>
              <w:jc w:val="center"/>
              <w:rPr>
                <w:lang w:val="en-GB"/>
              </w:rPr>
            </w:pPr>
            <w:r w:rsidRPr="00763EAB">
              <w:rPr>
                <w:lang w:val="en-GB"/>
              </w:rPr>
              <w:t>64 (21.8)</w:t>
            </w:r>
          </w:p>
          <w:p w:rsidR="003B00F5" w:rsidRPr="00763EAB" w:rsidRDefault="003B00F5" w:rsidP="007D1373">
            <w:pPr>
              <w:spacing w:line="360" w:lineRule="auto"/>
              <w:jc w:val="center"/>
              <w:rPr>
                <w:lang w:val="en-GB"/>
              </w:rPr>
            </w:pPr>
            <w:r w:rsidRPr="00763EAB">
              <w:rPr>
                <w:lang w:val="en-GB"/>
              </w:rPr>
              <w:t>2 (0.7)</w:t>
            </w:r>
          </w:p>
        </w:tc>
        <w:tc>
          <w:tcPr>
            <w:tcW w:w="1057" w:type="pct"/>
            <w:shd w:val="clear" w:color="auto" w:fill="auto"/>
          </w:tcPr>
          <w:p w:rsidR="003B00F5" w:rsidRPr="00763EAB" w:rsidRDefault="003B00F5" w:rsidP="007D1373">
            <w:pPr>
              <w:spacing w:line="360" w:lineRule="auto"/>
              <w:jc w:val="center"/>
              <w:rPr>
                <w:lang w:val="en-GB"/>
              </w:rPr>
            </w:pPr>
          </w:p>
          <w:p w:rsidR="003B00F5" w:rsidRPr="00763EAB" w:rsidRDefault="003B00F5" w:rsidP="007D1373">
            <w:pPr>
              <w:spacing w:line="360" w:lineRule="auto"/>
              <w:jc w:val="center"/>
              <w:rPr>
                <w:lang w:val="en-GB"/>
              </w:rPr>
            </w:pPr>
            <w:r w:rsidRPr="00763EAB">
              <w:rPr>
                <w:lang w:val="en-GB"/>
              </w:rPr>
              <w:t>57 (81.4)</w:t>
            </w:r>
          </w:p>
          <w:p w:rsidR="003B00F5" w:rsidRPr="00763EAB" w:rsidRDefault="003B00F5" w:rsidP="007D1373">
            <w:pPr>
              <w:spacing w:line="360" w:lineRule="auto"/>
              <w:jc w:val="center"/>
              <w:rPr>
                <w:lang w:val="en-GB"/>
              </w:rPr>
            </w:pPr>
            <w:r w:rsidRPr="00763EAB">
              <w:rPr>
                <w:lang w:val="en-GB"/>
              </w:rPr>
              <w:t>12 (17.1)</w:t>
            </w:r>
          </w:p>
          <w:p w:rsidR="003B00F5" w:rsidRPr="00763EAB" w:rsidRDefault="003B00F5" w:rsidP="007D1373">
            <w:pPr>
              <w:spacing w:line="360" w:lineRule="auto"/>
              <w:jc w:val="center"/>
              <w:rPr>
                <w:lang w:val="en-GB"/>
              </w:rPr>
            </w:pPr>
            <w:r w:rsidRPr="00763EAB">
              <w:rPr>
                <w:lang w:val="en-GB"/>
              </w:rPr>
              <w:t>1 (1.4)</w:t>
            </w:r>
          </w:p>
        </w:tc>
        <w:tc>
          <w:tcPr>
            <w:tcW w:w="1032" w:type="pct"/>
            <w:shd w:val="clear" w:color="auto" w:fill="auto"/>
          </w:tcPr>
          <w:p w:rsidR="003B00F5" w:rsidRPr="00763EAB" w:rsidRDefault="003B00F5" w:rsidP="007D1373">
            <w:pPr>
              <w:spacing w:line="360" w:lineRule="auto"/>
              <w:jc w:val="center"/>
              <w:rPr>
                <w:lang w:val="en-GB"/>
              </w:rPr>
            </w:pPr>
          </w:p>
          <w:p w:rsidR="003B00F5" w:rsidRPr="00763EAB" w:rsidRDefault="003B00F5" w:rsidP="007D1373">
            <w:pPr>
              <w:spacing w:line="360" w:lineRule="auto"/>
              <w:jc w:val="center"/>
              <w:rPr>
                <w:lang w:val="en-GB"/>
              </w:rPr>
            </w:pPr>
            <w:r w:rsidRPr="00763EAB">
              <w:rPr>
                <w:lang w:val="en-GB"/>
              </w:rPr>
              <w:t>171 (76.3)</w:t>
            </w:r>
          </w:p>
          <w:p w:rsidR="003B00F5" w:rsidRPr="00763EAB" w:rsidRDefault="003B00F5" w:rsidP="007D1373">
            <w:pPr>
              <w:spacing w:line="360" w:lineRule="auto"/>
              <w:jc w:val="center"/>
              <w:rPr>
                <w:lang w:val="en-GB"/>
              </w:rPr>
            </w:pPr>
            <w:r w:rsidRPr="00763EAB">
              <w:rPr>
                <w:lang w:val="en-GB"/>
              </w:rPr>
              <w:t>52 (23.2)</w:t>
            </w:r>
          </w:p>
          <w:p w:rsidR="003B00F5" w:rsidRPr="00763EAB" w:rsidRDefault="003B00F5" w:rsidP="007D1373">
            <w:pPr>
              <w:spacing w:line="360" w:lineRule="auto"/>
              <w:jc w:val="center"/>
              <w:rPr>
                <w:lang w:val="en-GB"/>
              </w:rPr>
            </w:pPr>
            <w:r w:rsidRPr="00763EAB">
              <w:rPr>
                <w:lang w:val="en-GB"/>
              </w:rPr>
              <w:t>1 (0.4)</w:t>
            </w:r>
          </w:p>
        </w:tc>
        <w:tc>
          <w:tcPr>
            <w:tcW w:w="406" w:type="pct"/>
            <w:shd w:val="clear" w:color="auto" w:fill="auto"/>
          </w:tcPr>
          <w:p w:rsidR="003B00F5" w:rsidRPr="00763EAB" w:rsidRDefault="003B00F5" w:rsidP="007D1373">
            <w:pPr>
              <w:spacing w:line="360" w:lineRule="auto"/>
              <w:jc w:val="center"/>
              <w:rPr>
                <w:lang w:val="en-GB"/>
              </w:rPr>
            </w:pPr>
            <w:r w:rsidRPr="00763EAB">
              <w:rPr>
                <w:lang w:val="en-GB"/>
              </w:rPr>
              <w:t>0.40</w:t>
            </w:r>
          </w:p>
        </w:tc>
      </w:tr>
      <w:tr w:rsidR="00763EAB" w:rsidRPr="00763EAB" w:rsidTr="00C47554">
        <w:trPr>
          <w:trHeight w:val="552"/>
        </w:trPr>
        <w:tc>
          <w:tcPr>
            <w:tcW w:w="1800" w:type="pct"/>
            <w:tcBorders>
              <w:bottom w:val="single" w:sz="4" w:space="0" w:color="auto"/>
            </w:tcBorders>
            <w:shd w:val="clear" w:color="auto" w:fill="auto"/>
          </w:tcPr>
          <w:p w:rsidR="007D1373" w:rsidRPr="00763EAB" w:rsidRDefault="007D1373" w:rsidP="007D1373">
            <w:pPr>
              <w:spacing w:line="360" w:lineRule="auto"/>
              <w:rPr>
                <w:lang w:val="en-GB"/>
              </w:rPr>
            </w:pPr>
            <w:r w:rsidRPr="00763EAB">
              <w:rPr>
                <w:lang w:val="en-GB"/>
              </w:rPr>
              <w:t xml:space="preserve">   Pain/discomfort (n (%))</w:t>
            </w:r>
          </w:p>
          <w:p w:rsidR="007D1373" w:rsidRPr="00763EAB" w:rsidRDefault="007D1373" w:rsidP="007D1373">
            <w:pPr>
              <w:spacing w:line="360" w:lineRule="auto"/>
              <w:rPr>
                <w:lang w:val="en-GB"/>
              </w:rPr>
            </w:pPr>
            <w:r w:rsidRPr="00763EAB">
              <w:rPr>
                <w:lang w:val="en-GB"/>
              </w:rPr>
              <w:t xml:space="preserve">        No</w:t>
            </w:r>
          </w:p>
          <w:p w:rsidR="007D1373" w:rsidRPr="00763EAB" w:rsidRDefault="007D1373" w:rsidP="007D1373">
            <w:pPr>
              <w:spacing w:line="360" w:lineRule="auto"/>
              <w:rPr>
                <w:lang w:val="en-GB"/>
              </w:rPr>
            </w:pPr>
            <w:r w:rsidRPr="00763EAB">
              <w:rPr>
                <w:lang w:val="en-GB"/>
              </w:rPr>
              <w:t xml:space="preserve">        Moderate</w:t>
            </w:r>
          </w:p>
          <w:p w:rsidR="007D1373" w:rsidRPr="00763EAB" w:rsidRDefault="007D1373" w:rsidP="007D1373">
            <w:pPr>
              <w:spacing w:line="360" w:lineRule="auto"/>
              <w:rPr>
                <w:lang w:val="en-GB"/>
              </w:rPr>
            </w:pPr>
            <w:r w:rsidRPr="00763EAB">
              <w:rPr>
                <w:lang w:val="en-GB"/>
              </w:rPr>
              <w:t xml:space="preserve">        Extreme</w:t>
            </w:r>
          </w:p>
        </w:tc>
        <w:tc>
          <w:tcPr>
            <w:tcW w:w="705" w:type="pct"/>
            <w:tcBorders>
              <w:bottom w:val="single" w:sz="4" w:space="0" w:color="auto"/>
            </w:tcBorders>
            <w:shd w:val="clear" w:color="auto" w:fill="auto"/>
          </w:tcPr>
          <w:p w:rsidR="007D1373" w:rsidRPr="00763EAB" w:rsidRDefault="007D1373" w:rsidP="007D1373">
            <w:pPr>
              <w:spacing w:line="360" w:lineRule="auto"/>
              <w:jc w:val="center"/>
              <w:rPr>
                <w:lang w:val="en-GB"/>
              </w:rPr>
            </w:pPr>
          </w:p>
          <w:p w:rsidR="007D1373" w:rsidRPr="00763EAB" w:rsidRDefault="007D1373" w:rsidP="007D1373">
            <w:pPr>
              <w:spacing w:line="360" w:lineRule="auto"/>
              <w:jc w:val="center"/>
              <w:rPr>
                <w:lang w:val="en-GB"/>
              </w:rPr>
            </w:pPr>
            <w:r w:rsidRPr="00763EAB">
              <w:rPr>
                <w:lang w:val="en-GB"/>
              </w:rPr>
              <w:t>128 (43.5)</w:t>
            </w:r>
          </w:p>
          <w:p w:rsidR="007D1373" w:rsidRPr="00763EAB" w:rsidRDefault="007D1373" w:rsidP="007D1373">
            <w:pPr>
              <w:spacing w:line="360" w:lineRule="auto"/>
              <w:jc w:val="center"/>
              <w:rPr>
                <w:lang w:val="en-GB"/>
              </w:rPr>
            </w:pPr>
            <w:r w:rsidRPr="00763EAB">
              <w:rPr>
                <w:lang w:val="en-GB"/>
              </w:rPr>
              <w:t>163 (55.4)</w:t>
            </w:r>
          </w:p>
          <w:p w:rsidR="007D1373" w:rsidRPr="00763EAB" w:rsidRDefault="007D1373" w:rsidP="007D1373">
            <w:pPr>
              <w:spacing w:line="360" w:lineRule="auto"/>
              <w:jc w:val="center"/>
              <w:rPr>
                <w:lang w:val="en-GB"/>
              </w:rPr>
            </w:pPr>
            <w:r w:rsidRPr="00763EAB">
              <w:rPr>
                <w:lang w:val="en-GB"/>
              </w:rPr>
              <w:t>3 (1.0)</w:t>
            </w:r>
          </w:p>
        </w:tc>
        <w:tc>
          <w:tcPr>
            <w:tcW w:w="1057" w:type="pct"/>
            <w:tcBorders>
              <w:bottom w:val="single" w:sz="4" w:space="0" w:color="auto"/>
            </w:tcBorders>
            <w:shd w:val="clear" w:color="auto" w:fill="auto"/>
          </w:tcPr>
          <w:p w:rsidR="007D1373" w:rsidRPr="00763EAB" w:rsidRDefault="007D1373" w:rsidP="007D1373">
            <w:pPr>
              <w:spacing w:line="360" w:lineRule="auto"/>
              <w:jc w:val="center"/>
              <w:rPr>
                <w:lang w:val="en-GB"/>
              </w:rPr>
            </w:pPr>
          </w:p>
          <w:p w:rsidR="007D1373" w:rsidRPr="00763EAB" w:rsidRDefault="007D1373" w:rsidP="007D1373">
            <w:pPr>
              <w:spacing w:line="360" w:lineRule="auto"/>
              <w:jc w:val="center"/>
              <w:rPr>
                <w:lang w:val="en-GB"/>
              </w:rPr>
            </w:pPr>
            <w:r w:rsidRPr="00763EAB">
              <w:rPr>
                <w:lang w:val="en-GB"/>
              </w:rPr>
              <w:t>32 (45.7)</w:t>
            </w:r>
          </w:p>
          <w:p w:rsidR="007D1373" w:rsidRPr="00763EAB" w:rsidRDefault="007D1373" w:rsidP="007D1373">
            <w:pPr>
              <w:spacing w:line="360" w:lineRule="auto"/>
              <w:jc w:val="center"/>
              <w:rPr>
                <w:lang w:val="en-GB"/>
              </w:rPr>
            </w:pPr>
            <w:r w:rsidRPr="00763EAB">
              <w:rPr>
                <w:lang w:val="en-GB"/>
              </w:rPr>
              <w:t>37 (52.9)</w:t>
            </w:r>
          </w:p>
          <w:p w:rsidR="007D1373" w:rsidRPr="00763EAB" w:rsidRDefault="007D1373" w:rsidP="007D1373">
            <w:pPr>
              <w:spacing w:line="360" w:lineRule="auto"/>
              <w:jc w:val="center"/>
              <w:rPr>
                <w:lang w:val="en-GB"/>
              </w:rPr>
            </w:pPr>
            <w:r w:rsidRPr="00763EAB">
              <w:rPr>
                <w:lang w:val="en-GB"/>
              </w:rPr>
              <w:t>1 (1.4)</w:t>
            </w:r>
          </w:p>
        </w:tc>
        <w:tc>
          <w:tcPr>
            <w:tcW w:w="1032" w:type="pct"/>
            <w:tcBorders>
              <w:bottom w:val="single" w:sz="4" w:space="0" w:color="auto"/>
            </w:tcBorders>
            <w:shd w:val="clear" w:color="auto" w:fill="auto"/>
          </w:tcPr>
          <w:p w:rsidR="007D1373" w:rsidRPr="00763EAB" w:rsidRDefault="007D1373" w:rsidP="007D1373">
            <w:pPr>
              <w:spacing w:line="360" w:lineRule="auto"/>
              <w:jc w:val="center"/>
              <w:rPr>
                <w:lang w:val="en-GB"/>
              </w:rPr>
            </w:pPr>
          </w:p>
          <w:p w:rsidR="007D1373" w:rsidRPr="00763EAB" w:rsidRDefault="007D1373" w:rsidP="007D1373">
            <w:pPr>
              <w:spacing w:line="360" w:lineRule="auto"/>
              <w:jc w:val="center"/>
              <w:rPr>
                <w:lang w:val="en-GB"/>
              </w:rPr>
            </w:pPr>
            <w:r w:rsidRPr="00763EAB">
              <w:rPr>
                <w:lang w:val="en-GB"/>
              </w:rPr>
              <w:t>96 (42.9)</w:t>
            </w:r>
          </w:p>
          <w:p w:rsidR="007D1373" w:rsidRPr="00763EAB" w:rsidRDefault="007D1373" w:rsidP="007D1373">
            <w:pPr>
              <w:spacing w:line="360" w:lineRule="auto"/>
              <w:jc w:val="center"/>
              <w:rPr>
                <w:lang w:val="en-GB"/>
              </w:rPr>
            </w:pPr>
            <w:r w:rsidRPr="00763EAB">
              <w:rPr>
                <w:lang w:val="en-GB"/>
              </w:rPr>
              <w:t>126 (56.3)</w:t>
            </w:r>
          </w:p>
          <w:p w:rsidR="007D1373" w:rsidRPr="00763EAB" w:rsidRDefault="007D1373" w:rsidP="007D1373">
            <w:pPr>
              <w:spacing w:line="360" w:lineRule="auto"/>
              <w:jc w:val="center"/>
              <w:rPr>
                <w:lang w:val="en-GB"/>
              </w:rPr>
            </w:pPr>
            <w:r w:rsidRPr="00763EAB">
              <w:rPr>
                <w:lang w:val="en-GB"/>
              </w:rPr>
              <w:t>2 (0.9)</w:t>
            </w:r>
          </w:p>
        </w:tc>
        <w:tc>
          <w:tcPr>
            <w:tcW w:w="406" w:type="pct"/>
            <w:tcBorders>
              <w:bottom w:val="single" w:sz="4" w:space="0" w:color="auto"/>
            </w:tcBorders>
            <w:shd w:val="clear" w:color="auto" w:fill="auto"/>
          </w:tcPr>
          <w:p w:rsidR="007D1373" w:rsidRPr="00763EAB" w:rsidRDefault="007D1373" w:rsidP="007D1373">
            <w:pPr>
              <w:spacing w:line="360" w:lineRule="auto"/>
              <w:jc w:val="center"/>
              <w:rPr>
                <w:lang w:val="en-GB"/>
              </w:rPr>
            </w:pPr>
            <w:r w:rsidRPr="00763EAB">
              <w:rPr>
                <w:lang w:val="en-GB"/>
              </w:rPr>
              <w:t>0.84</w:t>
            </w:r>
          </w:p>
        </w:tc>
      </w:tr>
    </w:tbl>
    <w:p w:rsidR="007D1373" w:rsidRPr="00763EAB" w:rsidRDefault="007D1373" w:rsidP="003B00F5">
      <w:pPr>
        <w:rPr>
          <w:b/>
          <w:lang w:val="en-GB"/>
        </w:rPr>
      </w:pPr>
    </w:p>
    <w:p w:rsidR="007D1373" w:rsidRPr="00763EAB" w:rsidRDefault="007D1373">
      <w:pPr>
        <w:spacing w:after="200" w:line="276" w:lineRule="auto"/>
        <w:rPr>
          <w:b/>
          <w:lang w:val="en-GB"/>
        </w:rPr>
      </w:pPr>
    </w:p>
    <w:p w:rsidR="003B00F5" w:rsidRPr="00763EAB" w:rsidRDefault="003B00F5" w:rsidP="003B00F5">
      <w:pPr>
        <w:rPr>
          <w:b/>
          <w:vertAlign w:val="superscript"/>
          <w:lang w:val="en-GB"/>
        </w:rPr>
      </w:pPr>
      <w:r w:rsidRPr="00763EAB">
        <w:rPr>
          <w:b/>
          <w:lang w:val="en-GB"/>
        </w:rPr>
        <w:lastRenderedPageBreak/>
        <w:t>Table 2 (</w:t>
      </w:r>
      <w:r w:rsidRPr="00763EAB">
        <w:rPr>
          <w:b/>
          <w:i/>
          <w:lang w:val="en-GB"/>
        </w:rPr>
        <w:t>Continued</w:t>
      </w:r>
      <w:r w:rsidRPr="00763EAB">
        <w:rPr>
          <w:b/>
          <w:lang w:val="en-GB"/>
        </w:rPr>
        <w:t xml:space="preserve">): Quality of life in older adults with and without osteoarthritis at </w:t>
      </w:r>
      <w:proofErr w:type="spellStart"/>
      <w:r w:rsidRPr="00763EAB">
        <w:rPr>
          <w:b/>
          <w:lang w:val="en-GB"/>
        </w:rPr>
        <w:t>baseline.</w:t>
      </w:r>
      <w:r w:rsidRPr="00763EAB">
        <w:rPr>
          <w:b/>
          <w:vertAlign w:val="superscript"/>
          <w:lang w:val="en-GB"/>
        </w:rPr>
        <w:t>a</w:t>
      </w:r>
      <w:proofErr w:type="spellEnd"/>
    </w:p>
    <w:p w:rsidR="003B00F5" w:rsidRPr="00763EAB" w:rsidRDefault="003B00F5" w:rsidP="003B00F5">
      <w:pPr>
        <w:spacing w:after="200" w:line="276" w:lineRule="auto"/>
        <w:rPr>
          <w:lang w:val="en-GB"/>
        </w:rPr>
      </w:pPr>
    </w:p>
    <w:tbl>
      <w:tblPr>
        <w:tblStyle w:val="TableGrid"/>
        <w:tblpPr w:leftFromText="141" w:rightFromText="141" w:vertAnchor="text" w:horzAnchor="margin" w:tblpY="-59"/>
        <w:tblW w:w="50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2"/>
        <w:gridCol w:w="2014"/>
        <w:gridCol w:w="3019"/>
        <w:gridCol w:w="2948"/>
        <w:gridCol w:w="1160"/>
      </w:tblGrid>
      <w:tr w:rsidR="00763EAB" w:rsidRPr="00763EAB" w:rsidTr="00C47554">
        <w:trPr>
          <w:trHeight w:val="552"/>
        </w:trPr>
        <w:tc>
          <w:tcPr>
            <w:tcW w:w="1800" w:type="pct"/>
            <w:tcBorders>
              <w:top w:val="single" w:sz="4" w:space="0" w:color="auto"/>
              <w:bottom w:val="single" w:sz="4" w:space="0" w:color="auto"/>
            </w:tcBorders>
          </w:tcPr>
          <w:p w:rsidR="003B00F5" w:rsidRPr="00763EAB" w:rsidRDefault="003B00F5" w:rsidP="007D1373">
            <w:pPr>
              <w:spacing w:line="360" w:lineRule="auto"/>
              <w:jc w:val="both"/>
              <w:rPr>
                <w:lang w:val="en-GB"/>
              </w:rPr>
            </w:pPr>
          </w:p>
        </w:tc>
        <w:tc>
          <w:tcPr>
            <w:tcW w:w="705" w:type="pct"/>
            <w:tcBorders>
              <w:top w:val="single" w:sz="4" w:space="0" w:color="auto"/>
              <w:bottom w:val="single" w:sz="4" w:space="0" w:color="auto"/>
            </w:tcBorders>
          </w:tcPr>
          <w:p w:rsidR="003B00F5" w:rsidRPr="00763EAB" w:rsidRDefault="003B00F5" w:rsidP="007D1373">
            <w:pPr>
              <w:spacing w:line="360" w:lineRule="auto"/>
              <w:jc w:val="center"/>
              <w:rPr>
                <w:b/>
                <w:lang w:val="en-GB"/>
              </w:rPr>
            </w:pPr>
            <w:r w:rsidRPr="00763EAB">
              <w:rPr>
                <w:b/>
                <w:lang w:val="en-GB"/>
              </w:rPr>
              <w:t xml:space="preserve">All participants </w:t>
            </w:r>
          </w:p>
          <w:p w:rsidR="003B00F5" w:rsidRPr="00763EAB" w:rsidRDefault="003B00F5" w:rsidP="007D1373">
            <w:pPr>
              <w:spacing w:line="360" w:lineRule="auto"/>
              <w:jc w:val="center"/>
              <w:rPr>
                <w:b/>
                <w:lang w:val="en-GB"/>
              </w:rPr>
            </w:pPr>
            <w:r w:rsidRPr="00763EAB">
              <w:rPr>
                <w:b/>
                <w:lang w:val="en-GB"/>
              </w:rPr>
              <w:t>(n=294)</w:t>
            </w:r>
          </w:p>
        </w:tc>
        <w:tc>
          <w:tcPr>
            <w:tcW w:w="1057" w:type="pct"/>
            <w:tcBorders>
              <w:top w:val="single" w:sz="4" w:space="0" w:color="auto"/>
              <w:bottom w:val="single" w:sz="4" w:space="0" w:color="auto"/>
            </w:tcBorders>
          </w:tcPr>
          <w:p w:rsidR="003B00F5" w:rsidRPr="00763EAB" w:rsidRDefault="003B00F5" w:rsidP="007D1373">
            <w:pPr>
              <w:spacing w:line="360" w:lineRule="auto"/>
              <w:jc w:val="center"/>
              <w:rPr>
                <w:b/>
                <w:lang w:val="en-GB"/>
              </w:rPr>
            </w:pPr>
            <w:r w:rsidRPr="00763EAB">
              <w:rPr>
                <w:b/>
                <w:lang w:val="en-GB"/>
              </w:rPr>
              <w:t>Participants with OA (n=70)</w:t>
            </w:r>
          </w:p>
        </w:tc>
        <w:tc>
          <w:tcPr>
            <w:tcW w:w="1032" w:type="pct"/>
            <w:tcBorders>
              <w:top w:val="single" w:sz="4" w:space="0" w:color="auto"/>
              <w:bottom w:val="single" w:sz="4" w:space="0" w:color="auto"/>
            </w:tcBorders>
          </w:tcPr>
          <w:p w:rsidR="003B00F5" w:rsidRPr="00763EAB" w:rsidRDefault="003B00F5" w:rsidP="007D1373">
            <w:pPr>
              <w:spacing w:line="360" w:lineRule="auto"/>
              <w:jc w:val="center"/>
              <w:rPr>
                <w:b/>
                <w:lang w:val="en-GB"/>
              </w:rPr>
            </w:pPr>
            <w:r w:rsidRPr="00763EAB">
              <w:rPr>
                <w:b/>
                <w:lang w:val="en-GB"/>
              </w:rPr>
              <w:t>Participants without OA (n=224)</w:t>
            </w:r>
          </w:p>
        </w:tc>
        <w:tc>
          <w:tcPr>
            <w:tcW w:w="406" w:type="pct"/>
            <w:tcBorders>
              <w:top w:val="single" w:sz="4" w:space="0" w:color="auto"/>
              <w:bottom w:val="single" w:sz="4" w:space="0" w:color="auto"/>
            </w:tcBorders>
          </w:tcPr>
          <w:p w:rsidR="003B00F5" w:rsidRPr="00763EAB" w:rsidRDefault="003B00F5" w:rsidP="007D1373">
            <w:pPr>
              <w:spacing w:line="360" w:lineRule="auto"/>
              <w:jc w:val="center"/>
              <w:rPr>
                <w:b/>
                <w:vertAlign w:val="superscript"/>
                <w:lang w:val="en-GB"/>
              </w:rPr>
            </w:pPr>
            <w:r w:rsidRPr="00763EAB">
              <w:rPr>
                <w:b/>
                <w:lang w:val="en-GB"/>
              </w:rPr>
              <w:t xml:space="preserve">p-value </w:t>
            </w:r>
            <w:r w:rsidRPr="00763EAB">
              <w:rPr>
                <w:b/>
                <w:vertAlign w:val="superscript"/>
                <w:lang w:val="en-GB"/>
              </w:rPr>
              <w:t>b</w:t>
            </w:r>
          </w:p>
        </w:tc>
      </w:tr>
      <w:tr w:rsidR="00763EAB" w:rsidRPr="00763EAB" w:rsidTr="00C47554">
        <w:trPr>
          <w:trHeight w:val="552"/>
        </w:trPr>
        <w:tc>
          <w:tcPr>
            <w:tcW w:w="1800" w:type="pct"/>
            <w:tcBorders>
              <w:bottom w:val="single" w:sz="4" w:space="0" w:color="auto"/>
            </w:tcBorders>
          </w:tcPr>
          <w:p w:rsidR="003B00F5" w:rsidRPr="00763EAB" w:rsidRDefault="007D1373" w:rsidP="007D1373">
            <w:pPr>
              <w:spacing w:line="360" w:lineRule="auto"/>
              <w:jc w:val="both"/>
              <w:rPr>
                <w:lang w:val="en-GB"/>
              </w:rPr>
            </w:pPr>
            <w:r w:rsidRPr="00763EAB">
              <w:rPr>
                <w:lang w:val="en-GB"/>
              </w:rPr>
              <w:t xml:space="preserve">   </w:t>
            </w:r>
            <w:r w:rsidR="003B00F5" w:rsidRPr="00763EAB">
              <w:rPr>
                <w:lang w:val="en-GB"/>
              </w:rPr>
              <w:t xml:space="preserve">Anxiety/depression (n (%))         </w:t>
            </w:r>
          </w:p>
          <w:p w:rsidR="007D1373" w:rsidRPr="00763EAB" w:rsidRDefault="007D1373" w:rsidP="007D1373">
            <w:pPr>
              <w:spacing w:line="360" w:lineRule="auto"/>
              <w:jc w:val="both"/>
              <w:rPr>
                <w:lang w:val="en-GB"/>
              </w:rPr>
            </w:pPr>
            <w:r w:rsidRPr="00763EAB">
              <w:rPr>
                <w:lang w:val="en-GB"/>
              </w:rPr>
              <w:t xml:space="preserve">        </w:t>
            </w:r>
            <w:r w:rsidR="003B00F5" w:rsidRPr="00763EAB">
              <w:rPr>
                <w:lang w:val="en-GB"/>
              </w:rPr>
              <w:t xml:space="preserve">No </w:t>
            </w:r>
          </w:p>
          <w:p w:rsidR="007D1373" w:rsidRPr="00763EAB" w:rsidRDefault="007D1373" w:rsidP="007D1373">
            <w:pPr>
              <w:spacing w:line="360" w:lineRule="auto"/>
              <w:jc w:val="both"/>
              <w:rPr>
                <w:lang w:val="en-GB"/>
              </w:rPr>
            </w:pPr>
            <w:r w:rsidRPr="00763EAB">
              <w:rPr>
                <w:lang w:val="en-GB"/>
              </w:rPr>
              <w:t xml:space="preserve">        </w:t>
            </w:r>
            <w:r w:rsidR="003B00F5" w:rsidRPr="00763EAB">
              <w:rPr>
                <w:lang w:val="en-GB"/>
              </w:rPr>
              <w:t>Moderate</w:t>
            </w:r>
          </w:p>
          <w:p w:rsidR="003B00F5" w:rsidRPr="00763EAB" w:rsidRDefault="007D1373" w:rsidP="007D1373">
            <w:pPr>
              <w:spacing w:line="360" w:lineRule="auto"/>
              <w:jc w:val="both"/>
              <w:rPr>
                <w:lang w:val="en-GB"/>
              </w:rPr>
            </w:pPr>
            <w:r w:rsidRPr="00763EAB">
              <w:rPr>
                <w:lang w:val="en-GB"/>
              </w:rPr>
              <w:t xml:space="preserve">        </w:t>
            </w:r>
            <w:r w:rsidR="003B00F5" w:rsidRPr="00763EAB">
              <w:rPr>
                <w:lang w:val="en-GB"/>
              </w:rPr>
              <w:t xml:space="preserve">Extreme </w:t>
            </w:r>
          </w:p>
        </w:tc>
        <w:tc>
          <w:tcPr>
            <w:tcW w:w="705" w:type="pct"/>
            <w:tcBorders>
              <w:bottom w:val="single" w:sz="4" w:space="0" w:color="auto"/>
            </w:tcBorders>
          </w:tcPr>
          <w:p w:rsidR="003B00F5" w:rsidRPr="00763EAB" w:rsidRDefault="003B00F5" w:rsidP="007D1373">
            <w:pPr>
              <w:spacing w:line="360" w:lineRule="auto"/>
              <w:jc w:val="center"/>
              <w:rPr>
                <w:lang w:val="en-GB"/>
              </w:rPr>
            </w:pPr>
          </w:p>
          <w:p w:rsidR="003B00F5" w:rsidRPr="00763EAB" w:rsidRDefault="003B00F5" w:rsidP="007D1373">
            <w:pPr>
              <w:spacing w:line="360" w:lineRule="auto"/>
              <w:jc w:val="center"/>
              <w:rPr>
                <w:lang w:val="en-GB"/>
              </w:rPr>
            </w:pPr>
            <w:r w:rsidRPr="00763EAB">
              <w:rPr>
                <w:lang w:val="en-GB"/>
              </w:rPr>
              <w:t>219 (74.5)</w:t>
            </w:r>
          </w:p>
          <w:p w:rsidR="003B00F5" w:rsidRPr="00763EAB" w:rsidRDefault="003B00F5" w:rsidP="007D1373">
            <w:pPr>
              <w:spacing w:line="360" w:lineRule="auto"/>
              <w:jc w:val="center"/>
              <w:rPr>
                <w:lang w:val="en-GB"/>
              </w:rPr>
            </w:pPr>
            <w:r w:rsidRPr="00763EAB">
              <w:rPr>
                <w:lang w:val="en-GB"/>
              </w:rPr>
              <w:t>75 (25.5)</w:t>
            </w:r>
          </w:p>
          <w:p w:rsidR="003B00F5" w:rsidRPr="00763EAB" w:rsidRDefault="003B00F5" w:rsidP="007D1373">
            <w:pPr>
              <w:spacing w:line="360" w:lineRule="auto"/>
              <w:jc w:val="center"/>
              <w:rPr>
                <w:lang w:val="en-GB"/>
              </w:rPr>
            </w:pPr>
            <w:r w:rsidRPr="00763EAB">
              <w:rPr>
                <w:lang w:val="en-GB"/>
              </w:rPr>
              <w:t>0 (0.0)</w:t>
            </w:r>
          </w:p>
        </w:tc>
        <w:tc>
          <w:tcPr>
            <w:tcW w:w="1057" w:type="pct"/>
            <w:tcBorders>
              <w:bottom w:val="single" w:sz="4" w:space="0" w:color="auto"/>
            </w:tcBorders>
          </w:tcPr>
          <w:p w:rsidR="003B00F5" w:rsidRPr="00763EAB" w:rsidRDefault="003B00F5" w:rsidP="007D1373">
            <w:pPr>
              <w:spacing w:line="360" w:lineRule="auto"/>
              <w:jc w:val="center"/>
              <w:rPr>
                <w:lang w:val="en-GB"/>
              </w:rPr>
            </w:pPr>
          </w:p>
          <w:p w:rsidR="003B00F5" w:rsidRPr="00763EAB" w:rsidRDefault="003B00F5" w:rsidP="007D1373">
            <w:pPr>
              <w:spacing w:line="360" w:lineRule="auto"/>
              <w:jc w:val="center"/>
              <w:rPr>
                <w:lang w:val="en-GB"/>
              </w:rPr>
            </w:pPr>
            <w:r w:rsidRPr="00763EAB">
              <w:rPr>
                <w:lang w:val="en-GB"/>
              </w:rPr>
              <w:t>55 (78.6)</w:t>
            </w:r>
          </w:p>
          <w:p w:rsidR="003B00F5" w:rsidRPr="00763EAB" w:rsidRDefault="003B00F5" w:rsidP="007D1373">
            <w:pPr>
              <w:spacing w:line="360" w:lineRule="auto"/>
              <w:jc w:val="center"/>
              <w:rPr>
                <w:lang w:val="en-GB"/>
              </w:rPr>
            </w:pPr>
            <w:r w:rsidRPr="00763EAB">
              <w:rPr>
                <w:lang w:val="en-GB"/>
              </w:rPr>
              <w:t>15 (21.4)</w:t>
            </w:r>
          </w:p>
          <w:p w:rsidR="003B00F5" w:rsidRPr="00763EAB" w:rsidRDefault="003B00F5" w:rsidP="007D1373">
            <w:pPr>
              <w:spacing w:line="360" w:lineRule="auto"/>
              <w:jc w:val="center"/>
              <w:rPr>
                <w:lang w:val="en-GB"/>
              </w:rPr>
            </w:pPr>
            <w:r w:rsidRPr="00763EAB">
              <w:rPr>
                <w:lang w:val="en-GB"/>
              </w:rPr>
              <w:t>0 (0.0)</w:t>
            </w:r>
          </w:p>
        </w:tc>
        <w:tc>
          <w:tcPr>
            <w:tcW w:w="1032" w:type="pct"/>
            <w:tcBorders>
              <w:bottom w:val="single" w:sz="4" w:space="0" w:color="auto"/>
            </w:tcBorders>
          </w:tcPr>
          <w:p w:rsidR="003B00F5" w:rsidRPr="00763EAB" w:rsidRDefault="003B00F5" w:rsidP="007D1373">
            <w:pPr>
              <w:spacing w:line="360" w:lineRule="auto"/>
              <w:jc w:val="center"/>
              <w:rPr>
                <w:lang w:val="en-GB"/>
              </w:rPr>
            </w:pPr>
          </w:p>
          <w:p w:rsidR="003B00F5" w:rsidRPr="00763EAB" w:rsidRDefault="003B00F5" w:rsidP="007D1373">
            <w:pPr>
              <w:spacing w:line="360" w:lineRule="auto"/>
              <w:jc w:val="center"/>
              <w:rPr>
                <w:lang w:val="en-GB"/>
              </w:rPr>
            </w:pPr>
            <w:r w:rsidRPr="00763EAB">
              <w:rPr>
                <w:lang w:val="en-GB"/>
              </w:rPr>
              <w:t>164 (73.2)</w:t>
            </w:r>
          </w:p>
          <w:p w:rsidR="003B00F5" w:rsidRPr="00763EAB" w:rsidRDefault="003B00F5" w:rsidP="007D1373">
            <w:pPr>
              <w:spacing w:line="360" w:lineRule="auto"/>
              <w:jc w:val="center"/>
              <w:rPr>
                <w:lang w:val="en-GB"/>
              </w:rPr>
            </w:pPr>
            <w:r w:rsidRPr="00763EAB">
              <w:rPr>
                <w:lang w:val="en-GB"/>
              </w:rPr>
              <w:t>60 (26.8)</w:t>
            </w:r>
          </w:p>
          <w:p w:rsidR="003B00F5" w:rsidRPr="00763EAB" w:rsidRDefault="003B00F5" w:rsidP="007D1373">
            <w:pPr>
              <w:spacing w:line="360" w:lineRule="auto"/>
              <w:jc w:val="center"/>
              <w:rPr>
                <w:lang w:val="en-GB"/>
              </w:rPr>
            </w:pPr>
            <w:r w:rsidRPr="00763EAB">
              <w:rPr>
                <w:lang w:val="en-GB"/>
              </w:rPr>
              <w:t>0 (0.0)</w:t>
            </w:r>
          </w:p>
        </w:tc>
        <w:tc>
          <w:tcPr>
            <w:tcW w:w="406" w:type="pct"/>
            <w:tcBorders>
              <w:bottom w:val="single" w:sz="4" w:space="0" w:color="auto"/>
            </w:tcBorders>
          </w:tcPr>
          <w:p w:rsidR="003B00F5" w:rsidRPr="00763EAB" w:rsidRDefault="003B00F5" w:rsidP="007D1373">
            <w:pPr>
              <w:spacing w:line="360" w:lineRule="auto"/>
              <w:jc w:val="center"/>
              <w:rPr>
                <w:lang w:val="en-GB"/>
              </w:rPr>
            </w:pPr>
            <w:r w:rsidRPr="00763EAB">
              <w:rPr>
                <w:lang w:val="en-GB"/>
              </w:rPr>
              <w:t>0.37</w:t>
            </w:r>
          </w:p>
        </w:tc>
      </w:tr>
    </w:tbl>
    <w:p w:rsidR="003B00F5" w:rsidRPr="00763EAB" w:rsidRDefault="003B00F5" w:rsidP="003B00F5">
      <w:pPr>
        <w:spacing w:after="200" w:line="276" w:lineRule="auto"/>
        <w:rPr>
          <w:sz w:val="16"/>
          <w:szCs w:val="16"/>
          <w:lang w:val="en-US"/>
        </w:rPr>
      </w:pPr>
      <w:proofErr w:type="spellStart"/>
      <w:proofErr w:type="gramStart"/>
      <w:r w:rsidRPr="00763EAB">
        <w:rPr>
          <w:sz w:val="16"/>
          <w:szCs w:val="16"/>
          <w:vertAlign w:val="superscript"/>
          <w:lang w:val="en-US"/>
        </w:rPr>
        <w:t>a</w:t>
      </w:r>
      <w:proofErr w:type="spellEnd"/>
      <w:proofErr w:type="gramEnd"/>
      <w:r w:rsidRPr="00763EAB">
        <w:rPr>
          <w:sz w:val="16"/>
          <w:szCs w:val="16"/>
          <w:lang w:val="en-US"/>
        </w:rPr>
        <w:t xml:space="preserve"> Abbreviations: IQR= Interquartile range; n=Number; OA= Osteoarthritis; </w:t>
      </w:r>
      <w:proofErr w:type="spellStart"/>
      <w:r w:rsidRPr="00763EAB">
        <w:rPr>
          <w:sz w:val="16"/>
          <w:szCs w:val="16"/>
          <w:lang w:val="en-US"/>
        </w:rPr>
        <w:t>QoL</w:t>
      </w:r>
      <w:proofErr w:type="spellEnd"/>
      <w:r w:rsidRPr="00763EAB">
        <w:rPr>
          <w:sz w:val="16"/>
          <w:szCs w:val="16"/>
          <w:lang w:val="en-US"/>
        </w:rPr>
        <w:t>= Quality of life.</w:t>
      </w:r>
    </w:p>
    <w:p w:rsidR="008073D4" w:rsidRPr="00763EAB" w:rsidRDefault="003B00F5" w:rsidP="008073D4">
      <w:pPr>
        <w:spacing w:line="480" w:lineRule="auto"/>
        <w:jc w:val="both"/>
        <w:rPr>
          <w:sz w:val="16"/>
          <w:szCs w:val="16"/>
          <w:lang w:val="en-GB"/>
        </w:rPr>
      </w:pPr>
      <w:proofErr w:type="gramStart"/>
      <w:r w:rsidRPr="00763EAB">
        <w:rPr>
          <w:sz w:val="16"/>
          <w:szCs w:val="16"/>
          <w:vertAlign w:val="superscript"/>
          <w:lang w:val="en-GB"/>
        </w:rPr>
        <w:t>b</w:t>
      </w:r>
      <w:proofErr w:type="gramEnd"/>
      <w:r w:rsidRPr="00763EAB">
        <w:rPr>
          <w:sz w:val="16"/>
          <w:szCs w:val="16"/>
          <w:vertAlign w:val="superscript"/>
          <w:lang w:val="en-GB"/>
        </w:rPr>
        <w:t xml:space="preserve"> </w:t>
      </w:r>
      <w:r w:rsidRPr="00763EAB">
        <w:rPr>
          <w:sz w:val="16"/>
          <w:szCs w:val="16"/>
          <w:lang w:val="en-GB"/>
        </w:rPr>
        <w:t xml:space="preserve">p-value of observed differences between groups with and without OA. </w:t>
      </w:r>
      <w:r w:rsidR="008C5F88" w:rsidRPr="00763EAB">
        <w:rPr>
          <w:sz w:val="16"/>
          <w:szCs w:val="16"/>
          <w:lang w:val="en-GB"/>
        </w:rPr>
        <w:t xml:space="preserve">For these analyses, </w:t>
      </w:r>
      <w:r w:rsidR="008073D4" w:rsidRPr="00763EAB">
        <w:rPr>
          <w:sz w:val="16"/>
          <w:szCs w:val="16"/>
          <w:lang w:val="en-GB"/>
        </w:rPr>
        <w:t>Pearson Chi-square tests</w:t>
      </w:r>
      <w:r w:rsidR="008C5F88" w:rsidRPr="00763EAB">
        <w:rPr>
          <w:sz w:val="16"/>
          <w:szCs w:val="16"/>
          <w:lang w:val="en-GB"/>
        </w:rPr>
        <w:t xml:space="preserve"> were used.</w:t>
      </w:r>
    </w:p>
    <w:p w:rsidR="003B00F5" w:rsidRPr="00763EAB" w:rsidRDefault="003B00F5" w:rsidP="003B00F5">
      <w:pPr>
        <w:spacing w:after="200" w:line="480" w:lineRule="auto"/>
        <w:rPr>
          <w:lang w:val="en-GB"/>
        </w:rPr>
      </w:pPr>
    </w:p>
    <w:p w:rsidR="003B00F5" w:rsidRPr="00763EAB" w:rsidRDefault="003B00F5" w:rsidP="00E92B4A">
      <w:pPr>
        <w:pStyle w:val="NoSpacing"/>
        <w:spacing w:line="480" w:lineRule="auto"/>
        <w:jc w:val="both"/>
        <w:rPr>
          <w:lang w:val="en-GB"/>
        </w:rPr>
        <w:sectPr w:rsidR="003B00F5" w:rsidRPr="00763EAB" w:rsidSect="003B00F5">
          <w:pgSz w:w="16838" w:h="11906" w:orient="landscape"/>
          <w:pgMar w:top="1418" w:right="1417" w:bottom="1418" w:left="1417" w:header="709" w:footer="709" w:gutter="0"/>
          <w:cols w:space="708"/>
          <w:docGrid w:linePitch="360"/>
        </w:sectPr>
      </w:pPr>
    </w:p>
    <w:p w:rsidR="003A342C" w:rsidRPr="00763EAB" w:rsidRDefault="003A342C" w:rsidP="003A342C">
      <w:pPr>
        <w:pStyle w:val="ListParagraph"/>
        <w:spacing w:line="480" w:lineRule="auto"/>
        <w:ind w:left="0"/>
        <w:jc w:val="both"/>
        <w:rPr>
          <w:i/>
          <w:lang w:val="en-US"/>
        </w:rPr>
      </w:pPr>
      <w:r w:rsidRPr="00763EAB">
        <w:rPr>
          <w:i/>
          <w:lang w:val="en-US"/>
        </w:rPr>
        <w:lastRenderedPageBreak/>
        <w:t xml:space="preserve">Perceived </w:t>
      </w:r>
      <w:proofErr w:type="spellStart"/>
      <w:r w:rsidRPr="00763EAB">
        <w:rPr>
          <w:i/>
          <w:lang w:val="en-US"/>
        </w:rPr>
        <w:t>neighbourhood</w:t>
      </w:r>
      <w:proofErr w:type="spellEnd"/>
      <w:r w:rsidRPr="00763EAB">
        <w:rPr>
          <w:i/>
          <w:lang w:val="en-US"/>
        </w:rPr>
        <w:t xml:space="preserve"> problems</w:t>
      </w:r>
    </w:p>
    <w:p w:rsidR="00136274" w:rsidRPr="00763EAB" w:rsidRDefault="00D34120" w:rsidP="00E92B4A">
      <w:pPr>
        <w:pStyle w:val="NoSpacing"/>
        <w:spacing w:line="480" w:lineRule="auto"/>
        <w:jc w:val="both"/>
        <w:rPr>
          <w:lang w:val="en-GB"/>
        </w:rPr>
      </w:pPr>
      <w:r w:rsidRPr="00763EAB">
        <w:rPr>
          <w:lang w:val="en-US"/>
        </w:rPr>
        <w:t>On average</w:t>
      </w:r>
      <w:r w:rsidR="008227D1" w:rsidRPr="00763EAB">
        <w:rPr>
          <w:lang w:val="en-US"/>
        </w:rPr>
        <w:t xml:space="preserve">, the perceived </w:t>
      </w:r>
      <w:proofErr w:type="spellStart"/>
      <w:r w:rsidR="008227D1" w:rsidRPr="00763EAB">
        <w:rPr>
          <w:lang w:val="en-US"/>
        </w:rPr>
        <w:t>neighbourhood</w:t>
      </w:r>
      <w:proofErr w:type="spellEnd"/>
      <w:r w:rsidR="008227D1" w:rsidRPr="00763EAB">
        <w:rPr>
          <w:lang w:val="en-US"/>
        </w:rPr>
        <w:t xml:space="preserve"> problem index </w:t>
      </w:r>
      <w:r w:rsidR="00905F68" w:rsidRPr="00763EAB">
        <w:rPr>
          <w:lang w:val="en-US"/>
        </w:rPr>
        <w:t xml:space="preserve">score </w:t>
      </w:r>
      <w:r w:rsidR="008227D1" w:rsidRPr="00763EAB">
        <w:rPr>
          <w:lang w:val="en-US"/>
        </w:rPr>
        <w:t xml:space="preserve">was </w:t>
      </w:r>
      <w:r w:rsidRPr="00763EAB">
        <w:rPr>
          <w:lang w:val="en-US"/>
        </w:rPr>
        <w:t>11.1 (SD=2.6) in the full sample. Participants with OA did no</w:t>
      </w:r>
      <w:r w:rsidR="00136274" w:rsidRPr="00763EAB">
        <w:rPr>
          <w:lang w:val="en-US"/>
        </w:rPr>
        <w:t>t</w:t>
      </w:r>
      <w:r w:rsidRPr="00763EAB">
        <w:rPr>
          <w:lang w:val="en-US"/>
        </w:rPr>
        <w:t xml:space="preserve"> perceive significantly more </w:t>
      </w:r>
      <w:proofErr w:type="spellStart"/>
      <w:r w:rsidRPr="00763EAB">
        <w:rPr>
          <w:lang w:val="en-US"/>
        </w:rPr>
        <w:t>neighbourhood</w:t>
      </w:r>
      <w:proofErr w:type="spellEnd"/>
      <w:r w:rsidRPr="00763EAB">
        <w:rPr>
          <w:lang w:val="en-US"/>
        </w:rPr>
        <w:t xml:space="preserve"> problems compared t</w:t>
      </w:r>
      <w:r w:rsidR="00136274" w:rsidRPr="00763EAB">
        <w:rPr>
          <w:lang w:val="en-US"/>
        </w:rPr>
        <w:t>o their counterparts without OA</w:t>
      </w:r>
      <w:r w:rsidRPr="00763EAB">
        <w:rPr>
          <w:lang w:val="en-GB"/>
        </w:rPr>
        <w:t xml:space="preserve"> (OA: Mean=11.1</w:t>
      </w:r>
      <w:r w:rsidR="00FE3030" w:rsidRPr="00763EAB">
        <w:rPr>
          <w:lang w:val="en-GB"/>
        </w:rPr>
        <w:t xml:space="preserve"> SD=2.6 versus non-OA: Mean=11.1</w:t>
      </w:r>
      <w:r w:rsidRPr="00763EAB">
        <w:rPr>
          <w:lang w:val="en-GB"/>
        </w:rPr>
        <w:t>, SD=2.7; p=0.9</w:t>
      </w:r>
      <w:r w:rsidR="00FE3030" w:rsidRPr="00763EAB">
        <w:rPr>
          <w:lang w:val="en-GB"/>
        </w:rPr>
        <w:t>7</w:t>
      </w:r>
      <w:r w:rsidRPr="00763EAB">
        <w:rPr>
          <w:lang w:val="en-GB"/>
        </w:rPr>
        <w:t>).</w:t>
      </w:r>
      <w:r w:rsidR="00136274" w:rsidRPr="00763EAB">
        <w:rPr>
          <w:lang w:val="en-GB"/>
        </w:rPr>
        <w:t xml:space="preserve"> Participants with OA did not report a specific neighbourhood problem more than participants without OA (data not shown).</w:t>
      </w:r>
    </w:p>
    <w:p w:rsidR="00D05D2A" w:rsidRPr="00763EAB" w:rsidRDefault="00D05D2A" w:rsidP="003A342C">
      <w:pPr>
        <w:pStyle w:val="ListParagraph"/>
        <w:spacing w:line="480" w:lineRule="auto"/>
        <w:ind w:left="0"/>
        <w:jc w:val="both"/>
        <w:rPr>
          <w:lang w:val="en-GB"/>
        </w:rPr>
      </w:pPr>
    </w:p>
    <w:p w:rsidR="003A342C" w:rsidRPr="00763EAB" w:rsidRDefault="00E92B4A" w:rsidP="003A342C">
      <w:pPr>
        <w:pStyle w:val="ListParagraph"/>
        <w:spacing w:line="480" w:lineRule="auto"/>
        <w:ind w:left="0"/>
        <w:jc w:val="both"/>
        <w:rPr>
          <w:i/>
          <w:lang w:val="en-GB"/>
        </w:rPr>
      </w:pPr>
      <w:r w:rsidRPr="00763EAB">
        <w:rPr>
          <w:i/>
          <w:lang w:val="en-GB"/>
        </w:rPr>
        <w:t>Q</w:t>
      </w:r>
      <w:r w:rsidR="003A342C" w:rsidRPr="00763EAB">
        <w:rPr>
          <w:i/>
          <w:lang w:val="en-GB"/>
        </w:rPr>
        <w:t>uality of life and perceived neighbourhood problems</w:t>
      </w:r>
    </w:p>
    <w:p w:rsidR="00817FBD" w:rsidRPr="00763EAB" w:rsidRDefault="00630CEB" w:rsidP="002E3AA2">
      <w:pPr>
        <w:pStyle w:val="ListParagraph"/>
        <w:spacing w:line="480" w:lineRule="auto"/>
        <w:ind w:left="0"/>
        <w:jc w:val="both"/>
        <w:rPr>
          <w:i/>
          <w:lang w:val="en-US"/>
        </w:rPr>
      </w:pPr>
      <w:r w:rsidRPr="00763EAB">
        <w:rPr>
          <w:lang w:val="en-GB"/>
        </w:rPr>
        <w:t>T</w:t>
      </w:r>
      <w:r w:rsidR="00E8278D" w:rsidRPr="00763EAB">
        <w:rPr>
          <w:lang w:val="en-GB"/>
        </w:rPr>
        <w:t xml:space="preserve">he cross-sectional associations of </w:t>
      </w:r>
      <w:proofErr w:type="spellStart"/>
      <w:r w:rsidR="00E8278D" w:rsidRPr="00763EAB">
        <w:rPr>
          <w:lang w:val="en-GB"/>
        </w:rPr>
        <w:t>QoL</w:t>
      </w:r>
      <w:proofErr w:type="spellEnd"/>
      <w:r w:rsidR="00E8278D" w:rsidRPr="00763EAB">
        <w:rPr>
          <w:lang w:val="en-GB"/>
        </w:rPr>
        <w:t xml:space="preserve"> with perceived neighbourhood problems at baseline and </w:t>
      </w:r>
      <w:r w:rsidR="00585FA1" w:rsidRPr="00763EAB">
        <w:rPr>
          <w:lang w:val="en-GB"/>
        </w:rPr>
        <w:t xml:space="preserve">at </w:t>
      </w:r>
      <w:r w:rsidR="00E8278D" w:rsidRPr="00763EAB">
        <w:rPr>
          <w:lang w:val="en-GB"/>
        </w:rPr>
        <w:t>follow-up were not statistically significant in the full sample</w:t>
      </w:r>
      <w:r w:rsidR="00B961FA" w:rsidRPr="00763EAB">
        <w:rPr>
          <w:lang w:val="en-GB"/>
        </w:rPr>
        <w:t xml:space="preserve"> (</w:t>
      </w:r>
      <w:proofErr w:type="spellStart"/>
      <w:r w:rsidR="00B961FA" w:rsidRPr="00763EAB">
        <w:rPr>
          <w:lang w:val="en-GB"/>
        </w:rPr>
        <w:t>B</w:t>
      </w:r>
      <w:r w:rsidR="00B961FA" w:rsidRPr="00763EAB">
        <w:rPr>
          <w:vertAlign w:val="subscript"/>
          <w:lang w:val="en-GB"/>
        </w:rPr>
        <w:t>baseline</w:t>
      </w:r>
      <w:proofErr w:type="spellEnd"/>
      <w:r w:rsidR="00633BE1" w:rsidRPr="00763EAB">
        <w:rPr>
          <w:lang w:val="en-GB"/>
        </w:rPr>
        <w:t>=-0.003; p=0.37</w:t>
      </w:r>
      <w:r w:rsidR="00B961FA" w:rsidRPr="00763EAB">
        <w:rPr>
          <w:lang w:val="en-GB"/>
        </w:rPr>
        <w:t xml:space="preserve"> and </w:t>
      </w:r>
      <w:proofErr w:type="spellStart"/>
      <w:r w:rsidR="00B961FA" w:rsidRPr="00763EAB">
        <w:rPr>
          <w:lang w:val="en-GB"/>
        </w:rPr>
        <w:t>B</w:t>
      </w:r>
      <w:r w:rsidR="00B961FA" w:rsidRPr="00763EAB">
        <w:rPr>
          <w:vertAlign w:val="subscript"/>
          <w:lang w:val="en-GB"/>
        </w:rPr>
        <w:t>follow</w:t>
      </w:r>
      <w:proofErr w:type="spellEnd"/>
      <w:r w:rsidR="00B961FA" w:rsidRPr="00763EAB">
        <w:rPr>
          <w:vertAlign w:val="subscript"/>
          <w:lang w:val="en-GB"/>
        </w:rPr>
        <w:t>-up</w:t>
      </w:r>
      <w:r w:rsidR="00633BE1" w:rsidRPr="00763EAB">
        <w:rPr>
          <w:lang w:val="en-GB"/>
        </w:rPr>
        <w:t>=-0.004; p=0.3</w:t>
      </w:r>
      <w:r w:rsidR="001A670C" w:rsidRPr="00763EAB">
        <w:rPr>
          <w:lang w:val="en-GB"/>
        </w:rPr>
        <w:t>5</w:t>
      </w:r>
      <w:r w:rsidR="00B961FA" w:rsidRPr="00763EAB">
        <w:rPr>
          <w:lang w:val="en-GB"/>
        </w:rPr>
        <w:t>)</w:t>
      </w:r>
      <w:r w:rsidR="001F6316" w:rsidRPr="00763EAB">
        <w:rPr>
          <w:lang w:val="en-GB"/>
        </w:rPr>
        <w:t xml:space="preserve"> and did not differ between older adults with and without OA</w:t>
      </w:r>
      <w:r w:rsidR="00B961FA" w:rsidRPr="00763EAB">
        <w:rPr>
          <w:lang w:val="en-GB"/>
        </w:rPr>
        <w:t>.</w:t>
      </w:r>
      <w:r w:rsidR="001F6316" w:rsidRPr="00763EAB">
        <w:rPr>
          <w:lang w:val="en-GB"/>
        </w:rPr>
        <w:t xml:space="preserve"> </w:t>
      </w:r>
    </w:p>
    <w:p w:rsidR="00FE0534" w:rsidRPr="00763EAB" w:rsidRDefault="000643F9" w:rsidP="00B1472A">
      <w:pPr>
        <w:pStyle w:val="ListParagraph"/>
        <w:spacing w:line="480" w:lineRule="auto"/>
        <w:ind w:left="0" w:firstLine="708"/>
        <w:jc w:val="both"/>
        <w:rPr>
          <w:lang w:val="en-GB"/>
        </w:rPr>
      </w:pPr>
      <w:r w:rsidRPr="00763EAB">
        <w:rPr>
          <w:lang w:val="en-GB"/>
        </w:rPr>
        <w:t xml:space="preserve">In the full sample, </w:t>
      </w:r>
      <w:proofErr w:type="spellStart"/>
      <w:r w:rsidRPr="00763EAB">
        <w:rPr>
          <w:lang w:val="en-GB"/>
        </w:rPr>
        <w:t>QoL</w:t>
      </w:r>
      <w:proofErr w:type="spellEnd"/>
      <w:r w:rsidR="008F2D3E" w:rsidRPr="00763EAB">
        <w:rPr>
          <w:lang w:val="en-GB"/>
        </w:rPr>
        <w:t xml:space="preserve"> </w:t>
      </w:r>
      <w:r w:rsidRPr="00763EAB">
        <w:rPr>
          <w:lang w:val="en-GB"/>
        </w:rPr>
        <w:t xml:space="preserve">was not significantly associated </w:t>
      </w:r>
      <w:r w:rsidR="008F2D3E" w:rsidRPr="00763EAB">
        <w:rPr>
          <w:lang w:val="en-GB"/>
        </w:rPr>
        <w:t xml:space="preserve">with </w:t>
      </w:r>
      <w:r w:rsidRPr="00763EAB">
        <w:rPr>
          <w:lang w:val="en-GB"/>
        </w:rPr>
        <w:t xml:space="preserve">one specific </w:t>
      </w:r>
      <w:r w:rsidR="008F2D3E" w:rsidRPr="00763EAB">
        <w:rPr>
          <w:lang w:val="en-GB"/>
        </w:rPr>
        <w:t xml:space="preserve">perceived </w:t>
      </w:r>
      <w:r w:rsidRPr="00763EAB">
        <w:rPr>
          <w:lang w:val="en-GB"/>
        </w:rPr>
        <w:t xml:space="preserve">neighbourhood problem. The perception of </w:t>
      </w:r>
      <w:r w:rsidR="008F2D3E" w:rsidRPr="00763EAB">
        <w:rPr>
          <w:lang w:val="en-GB"/>
        </w:rPr>
        <w:t xml:space="preserve">assaults and </w:t>
      </w:r>
      <w:r w:rsidR="00BA5815" w:rsidRPr="00763EAB">
        <w:rPr>
          <w:lang w:val="en-GB"/>
        </w:rPr>
        <w:t>muggings and traffic</w:t>
      </w:r>
      <w:r w:rsidR="008F2D3E" w:rsidRPr="00763EAB">
        <w:rPr>
          <w:lang w:val="en-GB"/>
        </w:rPr>
        <w:t xml:space="preserve"> </w:t>
      </w:r>
      <w:r w:rsidRPr="00763EAB">
        <w:rPr>
          <w:lang w:val="en-GB"/>
        </w:rPr>
        <w:t>as neighbourhood problem</w:t>
      </w:r>
      <w:r w:rsidR="00FE0534" w:rsidRPr="00763EAB">
        <w:rPr>
          <w:lang w:val="en-GB"/>
        </w:rPr>
        <w:t>s</w:t>
      </w:r>
      <w:r w:rsidRPr="00763EAB">
        <w:rPr>
          <w:lang w:val="en-GB"/>
        </w:rPr>
        <w:t xml:space="preserve"> was significantly </w:t>
      </w:r>
      <w:r w:rsidR="008F2D3E" w:rsidRPr="00763EAB">
        <w:rPr>
          <w:lang w:val="en-GB"/>
        </w:rPr>
        <w:t xml:space="preserve">associated with </w:t>
      </w:r>
      <w:r w:rsidRPr="00763EAB">
        <w:rPr>
          <w:lang w:val="en-GB"/>
        </w:rPr>
        <w:t xml:space="preserve">lower </w:t>
      </w:r>
      <w:proofErr w:type="spellStart"/>
      <w:r w:rsidRPr="00763EAB">
        <w:rPr>
          <w:lang w:val="en-GB"/>
        </w:rPr>
        <w:t>QoL</w:t>
      </w:r>
      <w:proofErr w:type="spellEnd"/>
      <w:r w:rsidRPr="00763EAB">
        <w:rPr>
          <w:lang w:val="en-GB"/>
        </w:rPr>
        <w:t xml:space="preserve"> at baseline in older adults with OA (</w:t>
      </w:r>
      <w:proofErr w:type="spellStart"/>
      <w:r w:rsidR="00FE0534" w:rsidRPr="00763EAB">
        <w:rPr>
          <w:lang w:val="en-GB"/>
        </w:rPr>
        <w:t>B</w:t>
      </w:r>
      <w:r w:rsidR="00FE0534" w:rsidRPr="00763EAB">
        <w:rPr>
          <w:vertAlign w:val="subscript"/>
          <w:lang w:val="en-GB"/>
        </w:rPr>
        <w:t>assaults</w:t>
      </w:r>
      <w:proofErr w:type="spellEnd"/>
      <w:r w:rsidR="00FE0534" w:rsidRPr="00763EAB">
        <w:rPr>
          <w:vertAlign w:val="subscript"/>
          <w:lang w:val="en-GB"/>
        </w:rPr>
        <w:t>/muggings</w:t>
      </w:r>
      <w:r w:rsidR="00FE0534" w:rsidRPr="00763EAB">
        <w:rPr>
          <w:lang w:val="en-GB"/>
        </w:rPr>
        <w:t xml:space="preserve">=-0.153; p=0.03 and </w:t>
      </w:r>
      <w:proofErr w:type="spellStart"/>
      <w:r w:rsidRPr="00763EAB">
        <w:rPr>
          <w:lang w:val="en-GB"/>
        </w:rPr>
        <w:t>B</w:t>
      </w:r>
      <w:r w:rsidR="00FE0534" w:rsidRPr="00763EAB">
        <w:rPr>
          <w:vertAlign w:val="subscript"/>
          <w:lang w:val="en-GB"/>
        </w:rPr>
        <w:t>traffic</w:t>
      </w:r>
      <w:proofErr w:type="spellEnd"/>
      <w:r w:rsidRPr="00763EAB">
        <w:rPr>
          <w:lang w:val="en-GB"/>
        </w:rPr>
        <w:t>=-0.09</w:t>
      </w:r>
      <w:r w:rsidR="00FE0534" w:rsidRPr="00763EAB">
        <w:rPr>
          <w:lang w:val="en-GB"/>
        </w:rPr>
        <w:t>1</w:t>
      </w:r>
      <w:r w:rsidRPr="00763EAB">
        <w:rPr>
          <w:lang w:val="en-GB"/>
        </w:rPr>
        <w:t>; p&lt;0.05)</w:t>
      </w:r>
      <w:r w:rsidR="00FE0534" w:rsidRPr="00763EAB">
        <w:rPr>
          <w:lang w:val="en-GB"/>
        </w:rPr>
        <w:t>. In older adults without OA, these associations were less strong and were not statistically significant (</w:t>
      </w:r>
      <w:proofErr w:type="spellStart"/>
      <w:r w:rsidR="00FE0534" w:rsidRPr="00763EAB">
        <w:rPr>
          <w:lang w:val="en-GB"/>
        </w:rPr>
        <w:t>B</w:t>
      </w:r>
      <w:r w:rsidR="00FE0534" w:rsidRPr="00763EAB">
        <w:rPr>
          <w:vertAlign w:val="subscript"/>
          <w:lang w:val="en-GB"/>
        </w:rPr>
        <w:t>assaults</w:t>
      </w:r>
      <w:proofErr w:type="spellEnd"/>
      <w:r w:rsidR="00FE0534" w:rsidRPr="00763EAB">
        <w:rPr>
          <w:vertAlign w:val="subscript"/>
          <w:lang w:val="en-GB"/>
        </w:rPr>
        <w:t>/muggings</w:t>
      </w:r>
      <w:r w:rsidR="00FE0534" w:rsidRPr="00763EAB">
        <w:rPr>
          <w:lang w:val="en-GB"/>
        </w:rPr>
        <w:t xml:space="preserve">=-0.021; p=0.44 and </w:t>
      </w:r>
      <w:proofErr w:type="spellStart"/>
      <w:r w:rsidR="00FE0534" w:rsidRPr="00763EAB">
        <w:rPr>
          <w:lang w:val="en-GB"/>
        </w:rPr>
        <w:t>B</w:t>
      </w:r>
      <w:r w:rsidR="00FE0534" w:rsidRPr="00763EAB">
        <w:rPr>
          <w:vertAlign w:val="subscript"/>
          <w:lang w:val="en-GB"/>
        </w:rPr>
        <w:t>traffic</w:t>
      </w:r>
      <w:proofErr w:type="spellEnd"/>
      <w:r w:rsidR="00FE0534" w:rsidRPr="00763EAB">
        <w:rPr>
          <w:lang w:val="en-GB"/>
        </w:rPr>
        <w:t>=0.003; p=0.91).</w:t>
      </w:r>
    </w:p>
    <w:p w:rsidR="00CE5623" w:rsidRPr="00763EAB" w:rsidRDefault="00B03084" w:rsidP="004225FE">
      <w:pPr>
        <w:spacing w:line="480" w:lineRule="auto"/>
        <w:jc w:val="both"/>
        <w:rPr>
          <w:lang w:val="en-US"/>
        </w:rPr>
      </w:pPr>
      <w:r w:rsidRPr="00763EAB">
        <w:rPr>
          <w:lang w:val="en-US"/>
        </w:rPr>
        <w:tab/>
        <w:t xml:space="preserve">A trend for a negative association between change in </w:t>
      </w:r>
      <w:proofErr w:type="spellStart"/>
      <w:r w:rsidRPr="00763EAB">
        <w:rPr>
          <w:lang w:val="en-US"/>
        </w:rPr>
        <w:t>QoL</w:t>
      </w:r>
      <w:proofErr w:type="spellEnd"/>
      <w:r w:rsidRPr="00763EAB">
        <w:rPr>
          <w:lang w:val="en-US"/>
        </w:rPr>
        <w:t xml:space="preserve"> over time (continuous measure) and perceived </w:t>
      </w:r>
      <w:proofErr w:type="spellStart"/>
      <w:r w:rsidRPr="00763EAB">
        <w:rPr>
          <w:lang w:val="en-US"/>
        </w:rPr>
        <w:t>neighbourhood</w:t>
      </w:r>
      <w:proofErr w:type="spellEnd"/>
      <w:r w:rsidRPr="00763EAB">
        <w:rPr>
          <w:lang w:val="en-US"/>
        </w:rPr>
        <w:t xml:space="preserve"> problems was f</w:t>
      </w:r>
      <w:r w:rsidR="001A670C" w:rsidRPr="00763EAB">
        <w:rPr>
          <w:lang w:val="en-US"/>
        </w:rPr>
        <w:t>ound in the full sample (B=-0.01; p=0.08</w:t>
      </w:r>
      <w:r w:rsidRPr="00763EAB">
        <w:rPr>
          <w:lang w:val="en-US"/>
        </w:rPr>
        <w:t xml:space="preserve">). </w:t>
      </w:r>
      <w:r w:rsidR="007B3C31" w:rsidRPr="00763EAB">
        <w:rPr>
          <w:lang w:val="en-US"/>
        </w:rPr>
        <w:t xml:space="preserve">A significant OA by perceived </w:t>
      </w:r>
      <w:proofErr w:type="spellStart"/>
      <w:r w:rsidR="007B3C31" w:rsidRPr="00763EAB">
        <w:rPr>
          <w:lang w:val="en-US"/>
        </w:rPr>
        <w:t>neighbourhood</w:t>
      </w:r>
      <w:proofErr w:type="spellEnd"/>
      <w:r w:rsidR="007B3C31" w:rsidRPr="00763EAB">
        <w:rPr>
          <w:lang w:val="en-US"/>
        </w:rPr>
        <w:t xml:space="preserve"> problem interaction effect on the change in </w:t>
      </w:r>
      <w:proofErr w:type="spellStart"/>
      <w:r w:rsidR="007B3C31" w:rsidRPr="00763EAB">
        <w:rPr>
          <w:lang w:val="en-US"/>
        </w:rPr>
        <w:t>Qo</w:t>
      </w:r>
      <w:r w:rsidRPr="00763EAB">
        <w:rPr>
          <w:lang w:val="en-US"/>
        </w:rPr>
        <w:t>L</w:t>
      </w:r>
      <w:proofErr w:type="spellEnd"/>
      <w:r w:rsidRPr="00763EAB">
        <w:rPr>
          <w:lang w:val="en-US"/>
        </w:rPr>
        <w:t xml:space="preserve"> over time was observed (p=0.0</w:t>
      </w:r>
      <w:r w:rsidR="001A670C" w:rsidRPr="00763EAB">
        <w:rPr>
          <w:lang w:val="en-US"/>
        </w:rPr>
        <w:t>9</w:t>
      </w:r>
      <w:r w:rsidR="007B3C31" w:rsidRPr="00763EAB">
        <w:rPr>
          <w:lang w:val="en-US"/>
        </w:rPr>
        <w:t xml:space="preserve">). </w:t>
      </w:r>
      <w:r w:rsidR="00973FCD" w:rsidRPr="00763EAB">
        <w:rPr>
          <w:lang w:val="en-US"/>
        </w:rPr>
        <w:t xml:space="preserve">The perception of more </w:t>
      </w:r>
      <w:proofErr w:type="spellStart"/>
      <w:r w:rsidR="00973FCD" w:rsidRPr="00763EAB">
        <w:rPr>
          <w:lang w:val="en-US"/>
        </w:rPr>
        <w:t>neighbourhood</w:t>
      </w:r>
      <w:proofErr w:type="spellEnd"/>
      <w:r w:rsidR="00973FCD" w:rsidRPr="00763EAB">
        <w:rPr>
          <w:lang w:val="en-US"/>
        </w:rPr>
        <w:t xml:space="preserve"> problems was</w:t>
      </w:r>
      <w:r w:rsidR="007B3C31" w:rsidRPr="00763EAB">
        <w:rPr>
          <w:lang w:val="en-US"/>
        </w:rPr>
        <w:t xml:space="preserve"> associated with a stronger decrease in </w:t>
      </w:r>
      <w:proofErr w:type="spellStart"/>
      <w:r w:rsidR="007B3C31" w:rsidRPr="00763EAB">
        <w:rPr>
          <w:lang w:val="en-US"/>
        </w:rPr>
        <w:t>QoL</w:t>
      </w:r>
      <w:proofErr w:type="spellEnd"/>
      <w:r w:rsidR="007B3C31" w:rsidRPr="00763EAB">
        <w:rPr>
          <w:lang w:val="en-US"/>
        </w:rPr>
        <w:t xml:space="preserve"> over time i</w:t>
      </w:r>
      <w:r w:rsidRPr="00763EAB">
        <w:rPr>
          <w:lang w:val="en-US"/>
        </w:rPr>
        <w:t>n participants with OA (B=-0.01</w:t>
      </w:r>
      <w:r w:rsidR="001A670C" w:rsidRPr="00763EAB">
        <w:rPr>
          <w:lang w:val="en-US"/>
        </w:rPr>
        <w:t>8; p=0.02</w:t>
      </w:r>
      <w:r w:rsidR="007B3C31" w:rsidRPr="00763EAB">
        <w:rPr>
          <w:lang w:val="en-US"/>
        </w:rPr>
        <w:t>) than in those without t</w:t>
      </w:r>
      <w:r w:rsidRPr="00763EAB">
        <w:rPr>
          <w:lang w:val="en-US"/>
        </w:rPr>
        <w:t>he condition (B=-0.004; p=0.39</w:t>
      </w:r>
      <w:r w:rsidR="00C97DF2" w:rsidRPr="00763EAB">
        <w:rPr>
          <w:lang w:val="en-US"/>
        </w:rPr>
        <w:t xml:space="preserve">) (Figure </w:t>
      </w:r>
      <w:r w:rsidR="00644568" w:rsidRPr="00763EAB">
        <w:rPr>
          <w:lang w:val="en-US"/>
        </w:rPr>
        <w:t>1</w:t>
      </w:r>
      <w:r w:rsidR="00C97DF2" w:rsidRPr="00763EAB">
        <w:rPr>
          <w:lang w:val="en-US"/>
        </w:rPr>
        <w:t>).</w:t>
      </w:r>
      <w:r w:rsidR="00D42BB9" w:rsidRPr="00763EAB">
        <w:rPr>
          <w:lang w:val="en-US"/>
        </w:rPr>
        <w:t xml:space="preserve"> </w:t>
      </w:r>
    </w:p>
    <w:p w:rsidR="00CE5623" w:rsidRPr="00763EAB" w:rsidRDefault="00CE5623" w:rsidP="00763EAB">
      <w:pPr>
        <w:spacing w:line="480" w:lineRule="auto"/>
        <w:jc w:val="both"/>
        <w:rPr>
          <w:lang w:val="en-US"/>
        </w:rPr>
      </w:pPr>
    </w:p>
    <w:p w:rsidR="00763EAB" w:rsidRPr="00763EAB" w:rsidRDefault="00763EAB" w:rsidP="00763EAB">
      <w:pPr>
        <w:spacing w:line="480" w:lineRule="auto"/>
        <w:jc w:val="both"/>
        <w:rPr>
          <w:lang w:val="en-US"/>
        </w:rPr>
      </w:pPr>
    </w:p>
    <w:p w:rsidR="00763EAB" w:rsidRPr="00763EAB" w:rsidRDefault="00763EAB" w:rsidP="00763EAB">
      <w:pPr>
        <w:spacing w:line="480" w:lineRule="auto"/>
        <w:jc w:val="both"/>
        <w:rPr>
          <w:lang w:val="en-US"/>
        </w:rPr>
      </w:pPr>
      <w:r w:rsidRPr="00763EAB">
        <w:rPr>
          <w:noProof/>
          <w:lang w:val="en-GB" w:eastAsia="en-GB"/>
        </w:rPr>
        <w:lastRenderedPageBreak/>
        <w:drawing>
          <wp:inline distT="0" distB="0" distL="0" distR="0" wp14:anchorId="08202A82" wp14:editId="550B6670">
            <wp:extent cx="5759450" cy="5013086"/>
            <wp:effectExtent l="0" t="0" r="0" b="0"/>
            <wp:docPr id="1" name="Afbeelding 1" descr="E:\161028 VUMC\161028 EPOSA\Documenten Erik\Studie 6\Submissions\Health &amp; Place\Revision 1\Timmermans et al_Health &amp; Place_Figure 1 (JHAP-D-16-00455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61028 VUMC\161028 EPOSA\Documenten Erik\Studie 6\Submissions\Health &amp; Place\Revision 1\Timmermans et al_Health &amp; Place_Figure 1 (JHAP-D-16-00455R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013086"/>
                    </a:xfrm>
                    <a:prstGeom prst="rect">
                      <a:avLst/>
                    </a:prstGeom>
                    <a:noFill/>
                    <a:ln>
                      <a:noFill/>
                    </a:ln>
                  </pic:spPr>
                </pic:pic>
              </a:graphicData>
            </a:graphic>
          </wp:inline>
        </w:drawing>
      </w:r>
    </w:p>
    <w:p w:rsidR="00763EAB" w:rsidRPr="00763EAB" w:rsidRDefault="00763EAB" w:rsidP="00763EAB">
      <w:pPr>
        <w:spacing w:line="480" w:lineRule="auto"/>
        <w:ind w:right="-30"/>
        <w:rPr>
          <w:b/>
          <w:lang w:val="en-US"/>
        </w:rPr>
      </w:pPr>
      <w:r w:rsidRPr="00763EAB">
        <w:rPr>
          <w:b/>
          <w:lang w:val="en-US"/>
        </w:rPr>
        <w:t xml:space="preserve">Figure 1: The association of change in quality of life over time (continuous measure) with perceived </w:t>
      </w:r>
      <w:proofErr w:type="spellStart"/>
      <w:r w:rsidRPr="00763EAB">
        <w:rPr>
          <w:b/>
          <w:lang w:val="en-US"/>
        </w:rPr>
        <w:t>neighbourhood</w:t>
      </w:r>
      <w:proofErr w:type="spellEnd"/>
      <w:r w:rsidRPr="00763EAB">
        <w:rPr>
          <w:b/>
          <w:lang w:val="en-US"/>
        </w:rPr>
        <w:t xml:space="preserve"> problems stratified for osteoarthritis.</w:t>
      </w:r>
      <w:r w:rsidRPr="00763EAB">
        <w:rPr>
          <w:b/>
          <w:vertAlign w:val="superscript"/>
          <w:lang w:val="en-US"/>
        </w:rPr>
        <w:t xml:space="preserve"> </w:t>
      </w:r>
      <w:proofErr w:type="gramStart"/>
      <w:r w:rsidRPr="00763EAB">
        <w:rPr>
          <w:b/>
          <w:vertAlign w:val="superscript"/>
          <w:lang w:val="en-US"/>
        </w:rPr>
        <w:t>a-c</w:t>
      </w:r>
      <w:proofErr w:type="gramEnd"/>
    </w:p>
    <w:p w:rsidR="00763EAB" w:rsidRPr="00763EAB" w:rsidRDefault="00763EAB" w:rsidP="00763EAB">
      <w:pPr>
        <w:spacing w:line="480" w:lineRule="auto"/>
        <w:ind w:right="-30"/>
        <w:rPr>
          <w:lang w:val="en-US"/>
        </w:rPr>
      </w:pPr>
    </w:p>
    <w:p w:rsidR="00763EAB" w:rsidRPr="00763EAB" w:rsidRDefault="00763EAB" w:rsidP="00763EAB">
      <w:pPr>
        <w:spacing w:line="480" w:lineRule="auto"/>
        <w:ind w:right="-30"/>
        <w:jc w:val="both"/>
        <w:rPr>
          <w:sz w:val="16"/>
          <w:szCs w:val="16"/>
          <w:lang w:val="en-US"/>
        </w:rPr>
      </w:pPr>
      <w:proofErr w:type="spellStart"/>
      <w:proofErr w:type="gramStart"/>
      <w:r w:rsidRPr="00763EAB">
        <w:rPr>
          <w:sz w:val="16"/>
          <w:szCs w:val="16"/>
          <w:vertAlign w:val="superscript"/>
          <w:lang w:val="en-US"/>
        </w:rPr>
        <w:t>a</w:t>
      </w:r>
      <w:proofErr w:type="spellEnd"/>
      <w:proofErr w:type="gramEnd"/>
      <w:r w:rsidRPr="00763EAB">
        <w:rPr>
          <w:sz w:val="16"/>
          <w:szCs w:val="16"/>
          <w:vertAlign w:val="superscript"/>
          <w:lang w:val="en-US"/>
        </w:rPr>
        <w:t xml:space="preserve"> </w:t>
      </w:r>
      <w:r w:rsidRPr="00763EAB">
        <w:rPr>
          <w:sz w:val="16"/>
          <w:szCs w:val="16"/>
          <w:lang w:val="en-US"/>
        </w:rPr>
        <w:t>Abbreviations: n= Number; OA= Osteoarthritis; p= p-value.</w:t>
      </w:r>
    </w:p>
    <w:p w:rsidR="00763EAB" w:rsidRPr="00763EAB" w:rsidRDefault="00763EAB" w:rsidP="00763EAB">
      <w:pPr>
        <w:spacing w:line="480" w:lineRule="auto"/>
        <w:ind w:right="-30"/>
        <w:jc w:val="both"/>
        <w:rPr>
          <w:sz w:val="16"/>
          <w:szCs w:val="16"/>
          <w:lang w:val="en-US"/>
        </w:rPr>
      </w:pPr>
      <w:r w:rsidRPr="00763EAB">
        <w:rPr>
          <w:sz w:val="16"/>
          <w:szCs w:val="16"/>
          <w:vertAlign w:val="subscript"/>
          <w:lang w:val="en-US"/>
        </w:rPr>
        <w:t xml:space="preserve">b </w:t>
      </w:r>
      <w:r w:rsidRPr="00763EAB">
        <w:rPr>
          <w:sz w:val="16"/>
          <w:szCs w:val="16"/>
          <w:lang w:val="en-US"/>
        </w:rPr>
        <w:t xml:space="preserve">This figure shows the results of two multiple linear regression analyses in which the association of change in quality of life over time (continuous measure) with perceived </w:t>
      </w:r>
      <w:proofErr w:type="spellStart"/>
      <w:r w:rsidRPr="00763EAB">
        <w:rPr>
          <w:sz w:val="16"/>
          <w:szCs w:val="16"/>
          <w:lang w:val="en-US"/>
        </w:rPr>
        <w:t>neighbourhood</w:t>
      </w:r>
      <w:proofErr w:type="spellEnd"/>
      <w:r w:rsidRPr="00763EAB">
        <w:rPr>
          <w:sz w:val="16"/>
          <w:szCs w:val="16"/>
          <w:lang w:val="en-US"/>
        </w:rPr>
        <w:t xml:space="preserve"> problems was assessed in older adults with and without osteoarthritis. The unstandardized regression coefficient of perceived </w:t>
      </w:r>
      <w:proofErr w:type="spellStart"/>
      <w:r w:rsidRPr="00763EAB">
        <w:rPr>
          <w:sz w:val="16"/>
          <w:szCs w:val="16"/>
          <w:lang w:val="en-US"/>
        </w:rPr>
        <w:t>neighbourhood</w:t>
      </w:r>
      <w:proofErr w:type="spellEnd"/>
      <w:r w:rsidRPr="00763EAB">
        <w:rPr>
          <w:sz w:val="16"/>
          <w:szCs w:val="16"/>
          <w:lang w:val="en-US"/>
        </w:rPr>
        <w:t xml:space="preserve"> problems is presented. </w:t>
      </w:r>
      <w:r w:rsidRPr="00763EAB">
        <w:rPr>
          <w:sz w:val="16"/>
          <w:szCs w:val="16"/>
          <w:lang w:val="en-GB"/>
        </w:rPr>
        <w:t xml:space="preserve">Error bars represent 95%-confidence intervals. </w:t>
      </w:r>
    </w:p>
    <w:p w:rsidR="00763EAB" w:rsidRPr="00763EAB" w:rsidRDefault="00763EAB" w:rsidP="00763EAB">
      <w:pPr>
        <w:spacing w:line="480" w:lineRule="auto"/>
        <w:jc w:val="both"/>
        <w:rPr>
          <w:sz w:val="16"/>
          <w:szCs w:val="16"/>
          <w:lang w:val="en-GB"/>
        </w:rPr>
      </w:pPr>
      <w:proofErr w:type="gramStart"/>
      <w:r w:rsidRPr="00763EAB">
        <w:rPr>
          <w:sz w:val="16"/>
          <w:szCs w:val="16"/>
          <w:vertAlign w:val="superscript"/>
          <w:lang w:val="en-US"/>
        </w:rPr>
        <w:t>c</w:t>
      </w:r>
      <w:proofErr w:type="gramEnd"/>
      <w:r w:rsidRPr="00763EAB">
        <w:rPr>
          <w:sz w:val="16"/>
          <w:szCs w:val="16"/>
          <w:vertAlign w:val="superscript"/>
          <w:lang w:val="en-GB"/>
        </w:rPr>
        <w:t xml:space="preserve"> </w:t>
      </w:r>
      <w:r w:rsidRPr="00763EAB">
        <w:rPr>
          <w:sz w:val="16"/>
          <w:szCs w:val="16"/>
          <w:lang w:val="en-GB"/>
        </w:rPr>
        <w:t xml:space="preserve">The associations are adjusted for age, sex (reference category: men), </w:t>
      </w:r>
      <w:r w:rsidRPr="00763EAB">
        <w:rPr>
          <w:sz w:val="16"/>
          <w:szCs w:val="16"/>
          <w:lang w:val="en-US"/>
        </w:rPr>
        <w:t xml:space="preserve">partner status (reference category: no partner), educational level (reference category: not better educated than secondary education), </w:t>
      </w:r>
      <w:r w:rsidRPr="00763EAB">
        <w:rPr>
          <w:sz w:val="16"/>
          <w:szCs w:val="16"/>
          <w:lang w:val="en-GB"/>
        </w:rPr>
        <w:t xml:space="preserve">number of chronic diseases </w:t>
      </w:r>
      <w:r w:rsidRPr="00763EAB">
        <w:rPr>
          <w:sz w:val="16"/>
          <w:szCs w:val="16"/>
          <w:lang w:val="en-US"/>
        </w:rPr>
        <w:t>(reference category: no chronic diseases other than osteoarthritis)</w:t>
      </w:r>
      <w:r w:rsidRPr="00763EAB">
        <w:rPr>
          <w:sz w:val="16"/>
          <w:szCs w:val="16"/>
          <w:lang w:val="en-GB"/>
        </w:rPr>
        <w:t>, anxiety (reference category: not anxious), depression (reference category: not depressed), and general cognitive functioning (reference category: no cognitive impairment).</w:t>
      </w:r>
    </w:p>
    <w:p w:rsidR="00817FBD" w:rsidRPr="00763EAB" w:rsidRDefault="00817FBD" w:rsidP="00CE5623">
      <w:pPr>
        <w:spacing w:line="480" w:lineRule="auto"/>
        <w:ind w:firstLine="708"/>
        <w:jc w:val="both"/>
        <w:rPr>
          <w:lang w:val="en-GB"/>
        </w:rPr>
      </w:pPr>
    </w:p>
    <w:p w:rsidR="00330C29" w:rsidRPr="00763EAB" w:rsidRDefault="00B1472A" w:rsidP="00CE5623">
      <w:pPr>
        <w:spacing w:line="480" w:lineRule="auto"/>
        <w:ind w:firstLine="708"/>
        <w:jc w:val="both"/>
        <w:rPr>
          <w:lang w:val="en-US"/>
        </w:rPr>
      </w:pPr>
      <w:r w:rsidRPr="00763EAB">
        <w:rPr>
          <w:lang w:val="en-US"/>
        </w:rPr>
        <w:lastRenderedPageBreak/>
        <w:t xml:space="preserve">In the full sample, none of the specific perceived </w:t>
      </w:r>
      <w:proofErr w:type="spellStart"/>
      <w:r w:rsidRPr="00763EAB">
        <w:rPr>
          <w:lang w:val="en-US"/>
        </w:rPr>
        <w:t>neighbourhood</w:t>
      </w:r>
      <w:proofErr w:type="spellEnd"/>
      <w:r w:rsidRPr="00763EAB">
        <w:rPr>
          <w:lang w:val="en-US"/>
        </w:rPr>
        <w:t xml:space="preserve"> problems was significantly associated with c</w:t>
      </w:r>
      <w:r w:rsidR="00CE5623" w:rsidRPr="00763EAB">
        <w:rPr>
          <w:lang w:val="en-US"/>
        </w:rPr>
        <w:t xml:space="preserve">hange in </w:t>
      </w:r>
      <w:proofErr w:type="spellStart"/>
      <w:r w:rsidR="00CE5623" w:rsidRPr="00763EAB">
        <w:rPr>
          <w:lang w:val="en-US"/>
        </w:rPr>
        <w:t>QoL</w:t>
      </w:r>
      <w:proofErr w:type="spellEnd"/>
      <w:r w:rsidR="00CE5623" w:rsidRPr="00763EAB">
        <w:rPr>
          <w:lang w:val="en-US"/>
        </w:rPr>
        <w:t xml:space="preserve"> over time (continuou</w:t>
      </w:r>
      <w:r w:rsidRPr="00763EAB">
        <w:rPr>
          <w:lang w:val="en-US"/>
        </w:rPr>
        <w:t xml:space="preserve">s measure). The perception of traffic as a </w:t>
      </w:r>
      <w:proofErr w:type="spellStart"/>
      <w:r w:rsidRPr="00763EAB">
        <w:rPr>
          <w:lang w:val="en-US"/>
        </w:rPr>
        <w:t>neighbourhood</w:t>
      </w:r>
      <w:proofErr w:type="spellEnd"/>
      <w:r w:rsidRPr="00763EAB">
        <w:rPr>
          <w:lang w:val="en-US"/>
        </w:rPr>
        <w:t xml:space="preserve"> problem was significantly associated with a decrease in </w:t>
      </w:r>
      <w:proofErr w:type="spellStart"/>
      <w:r w:rsidRPr="00763EAB">
        <w:rPr>
          <w:lang w:val="en-US"/>
        </w:rPr>
        <w:t>QoL</w:t>
      </w:r>
      <w:proofErr w:type="spellEnd"/>
      <w:r w:rsidRPr="00763EAB">
        <w:rPr>
          <w:lang w:val="en-US"/>
        </w:rPr>
        <w:t xml:space="preserve"> over time in participants with OA (B=-0.087; p=0.03). This relationship was positive and not statistically significant in older adults without the condition (B=</w:t>
      </w:r>
      <w:r w:rsidR="00CE5623" w:rsidRPr="00763EAB">
        <w:rPr>
          <w:lang w:val="en-US"/>
        </w:rPr>
        <w:t>0.008; p=0.73).</w:t>
      </w:r>
    </w:p>
    <w:p w:rsidR="00DF5FB1" w:rsidRPr="00763EAB" w:rsidRDefault="007D02FD" w:rsidP="00CE5623">
      <w:pPr>
        <w:spacing w:line="480" w:lineRule="auto"/>
        <w:ind w:firstLine="708"/>
        <w:jc w:val="both"/>
        <w:rPr>
          <w:lang w:val="en-US"/>
        </w:rPr>
      </w:pPr>
      <w:r w:rsidRPr="00763EAB">
        <w:rPr>
          <w:lang w:val="en-US"/>
        </w:rPr>
        <w:t xml:space="preserve">Logistic regression analyses showed that </w:t>
      </w:r>
      <w:r w:rsidR="008867DB" w:rsidRPr="00763EAB">
        <w:rPr>
          <w:lang w:val="en-US"/>
        </w:rPr>
        <w:t xml:space="preserve">participants </w:t>
      </w:r>
      <w:r w:rsidR="0040359A" w:rsidRPr="00763EAB">
        <w:rPr>
          <w:lang w:val="en-US"/>
        </w:rPr>
        <w:t xml:space="preserve">who perceive more </w:t>
      </w:r>
      <w:proofErr w:type="spellStart"/>
      <w:r w:rsidR="0040359A" w:rsidRPr="00763EAB">
        <w:rPr>
          <w:lang w:val="en-US"/>
        </w:rPr>
        <w:t>neighbourhood</w:t>
      </w:r>
      <w:proofErr w:type="spellEnd"/>
      <w:r w:rsidR="0040359A" w:rsidRPr="00763EAB">
        <w:rPr>
          <w:lang w:val="en-US"/>
        </w:rPr>
        <w:t xml:space="preserve"> problems are more likely to have a </w:t>
      </w:r>
      <w:r w:rsidR="001D249A" w:rsidRPr="00763EAB">
        <w:rPr>
          <w:lang w:val="en-US"/>
        </w:rPr>
        <w:t xml:space="preserve">significant </w:t>
      </w:r>
      <w:r w:rsidR="0040359A" w:rsidRPr="00763EAB">
        <w:rPr>
          <w:lang w:val="en-US"/>
        </w:rPr>
        <w:t xml:space="preserve">decline in </w:t>
      </w:r>
      <w:proofErr w:type="spellStart"/>
      <w:r w:rsidR="0040359A" w:rsidRPr="00763EAB">
        <w:rPr>
          <w:lang w:val="en-US"/>
        </w:rPr>
        <w:t>QoL</w:t>
      </w:r>
      <w:proofErr w:type="spellEnd"/>
      <w:r w:rsidR="0040359A" w:rsidRPr="00763EAB">
        <w:rPr>
          <w:lang w:val="en-US"/>
        </w:rPr>
        <w:t xml:space="preserve"> between baseline and follow-up</w:t>
      </w:r>
      <w:r w:rsidR="00050B1F" w:rsidRPr="00763EAB">
        <w:rPr>
          <w:lang w:val="en-US"/>
        </w:rPr>
        <w:t>, as indicated by the Edward-</w:t>
      </w:r>
      <w:proofErr w:type="spellStart"/>
      <w:r w:rsidR="00050B1F" w:rsidRPr="00763EAB">
        <w:rPr>
          <w:lang w:val="en-US"/>
        </w:rPr>
        <w:t>Nunnally</w:t>
      </w:r>
      <w:proofErr w:type="spellEnd"/>
      <w:r w:rsidR="00050B1F" w:rsidRPr="00763EAB">
        <w:rPr>
          <w:lang w:val="en-US"/>
        </w:rPr>
        <w:t xml:space="preserve"> Index,</w:t>
      </w:r>
      <w:r w:rsidR="0040359A" w:rsidRPr="00763EAB">
        <w:rPr>
          <w:lang w:val="en-US"/>
        </w:rPr>
        <w:t xml:space="preserve"> than those who perceive less</w:t>
      </w:r>
      <w:r w:rsidR="00844066" w:rsidRPr="00763EAB">
        <w:rPr>
          <w:lang w:val="en-US"/>
        </w:rPr>
        <w:t xml:space="preserve"> </w:t>
      </w:r>
      <w:proofErr w:type="spellStart"/>
      <w:r w:rsidR="00844066" w:rsidRPr="00763EAB">
        <w:rPr>
          <w:lang w:val="en-US"/>
        </w:rPr>
        <w:t>neighbourhood</w:t>
      </w:r>
      <w:proofErr w:type="spellEnd"/>
      <w:r w:rsidR="00844066" w:rsidRPr="00763EAB">
        <w:rPr>
          <w:lang w:val="en-US"/>
        </w:rPr>
        <w:t xml:space="preserve"> problems (OR=1.2</w:t>
      </w:r>
      <w:r w:rsidR="00B03084" w:rsidRPr="00763EAB">
        <w:rPr>
          <w:lang w:val="en-US"/>
        </w:rPr>
        <w:t>9</w:t>
      </w:r>
      <w:r w:rsidR="00AC13F9" w:rsidRPr="00763EAB">
        <w:rPr>
          <w:lang w:val="en-US"/>
        </w:rPr>
        <w:t>, 95% CI=1.10-1.52</w:t>
      </w:r>
      <w:r w:rsidR="0040359A" w:rsidRPr="00763EAB">
        <w:rPr>
          <w:lang w:val="en-US"/>
        </w:rPr>
        <w:t>).</w:t>
      </w:r>
      <w:r w:rsidR="00AA4030" w:rsidRPr="00763EAB">
        <w:rPr>
          <w:lang w:val="en-US"/>
        </w:rPr>
        <w:t xml:space="preserve"> </w:t>
      </w:r>
      <w:r w:rsidR="00DF5FB1" w:rsidRPr="00763EAB">
        <w:rPr>
          <w:lang w:val="en-US"/>
        </w:rPr>
        <w:t xml:space="preserve">There was a trend for an </w:t>
      </w:r>
      <w:r w:rsidR="007302AE" w:rsidRPr="00763EAB">
        <w:rPr>
          <w:lang w:val="en-US"/>
        </w:rPr>
        <w:t xml:space="preserve">association between </w:t>
      </w:r>
      <w:r w:rsidR="00DF5FB1" w:rsidRPr="00763EAB">
        <w:rPr>
          <w:lang w:val="en-US"/>
        </w:rPr>
        <w:t xml:space="preserve">change in </w:t>
      </w:r>
      <w:proofErr w:type="spellStart"/>
      <w:r w:rsidR="007302AE" w:rsidRPr="00763EAB">
        <w:rPr>
          <w:lang w:val="en-US"/>
        </w:rPr>
        <w:t>QoL</w:t>
      </w:r>
      <w:proofErr w:type="spellEnd"/>
      <w:r w:rsidR="007302AE" w:rsidRPr="00763EAB">
        <w:rPr>
          <w:lang w:val="en-US"/>
        </w:rPr>
        <w:t xml:space="preserve"> over time (dichotomous measure) and perceived </w:t>
      </w:r>
      <w:proofErr w:type="spellStart"/>
      <w:r w:rsidR="007302AE" w:rsidRPr="00763EAB">
        <w:rPr>
          <w:lang w:val="en-US"/>
        </w:rPr>
        <w:t>neighbourhood</w:t>
      </w:r>
      <w:proofErr w:type="spellEnd"/>
      <w:r w:rsidR="007302AE" w:rsidRPr="00763EAB">
        <w:rPr>
          <w:lang w:val="en-US"/>
        </w:rPr>
        <w:t xml:space="preserve"> problems in old</w:t>
      </w:r>
      <w:r w:rsidR="00AC13F9" w:rsidRPr="00763EAB">
        <w:rPr>
          <w:lang w:val="en-US"/>
        </w:rPr>
        <w:t xml:space="preserve">er adults with OA (OR=2.84; 95% </w:t>
      </w:r>
      <w:r w:rsidR="007302AE" w:rsidRPr="00763EAB">
        <w:rPr>
          <w:lang w:val="en-US"/>
        </w:rPr>
        <w:t>CI=0.88-9.20)</w:t>
      </w:r>
      <w:r w:rsidR="00E878F4" w:rsidRPr="00763EAB">
        <w:rPr>
          <w:lang w:val="en-US"/>
        </w:rPr>
        <w:t xml:space="preserve">. This association was less strong and not statistically significant in older </w:t>
      </w:r>
      <w:r w:rsidR="00AC13F9" w:rsidRPr="00763EAB">
        <w:rPr>
          <w:lang w:val="en-US"/>
        </w:rPr>
        <w:t xml:space="preserve">adults without OA (OR=1.17, 95% </w:t>
      </w:r>
      <w:r w:rsidR="00E878F4" w:rsidRPr="00763EAB">
        <w:rPr>
          <w:lang w:val="en-US"/>
        </w:rPr>
        <w:t>CI=0.97-1.4</w:t>
      </w:r>
      <w:r w:rsidR="00AC13F9" w:rsidRPr="00763EAB">
        <w:rPr>
          <w:lang w:val="en-US"/>
        </w:rPr>
        <w:t>2</w:t>
      </w:r>
      <w:r w:rsidR="00E878F4" w:rsidRPr="00763EAB">
        <w:rPr>
          <w:lang w:val="en-US"/>
        </w:rPr>
        <w:t>)</w:t>
      </w:r>
      <w:r w:rsidR="00DF5FB1" w:rsidRPr="00763EAB">
        <w:rPr>
          <w:lang w:val="en-US"/>
        </w:rPr>
        <w:t xml:space="preserve"> </w:t>
      </w:r>
      <w:r w:rsidR="00E878F4" w:rsidRPr="00763EAB">
        <w:rPr>
          <w:lang w:val="en-US"/>
        </w:rPr>
        <w:t xml:space="preserve">(Figure </w:t>
      </w:r>
      <w:r w:rsidR="00644568" w:rsidRPr="00763EAB">
        <w:rPr>
          <w:lang w:val="en-US"/>
        </w:rPr>
        <w:t>2</w:t>
      </w:r>
      <w:r w:rsidR="00E878F4" w:rsidRPr="00763EAB">
        <w:rPr>
          <w:lang w:val="en-US"/>
        </w:rPr>
        <w:t>).</w:t>
      </w:r>
      <w:r w:rsidR="00DF5FB1" w:rsidRPr="00763EAB">
        <w:rPr>
          <w:lang w:val="en-US"/>
        </w:rPr>
        <w:t xml:space="preserve"> Compared to participants without OA, participants with OA were more likely to have a significant decline in </w:t>
      </w:r>
      <w:proofErr w:type="spellStart"/>
      <w:r w:rsidR="00DF5FB1" w:rsidRPr="00763EAB">
        <w:rPr>
          <w:lang w:val="en-US"/>
        </w:rPr>
        <w:t>QoL</w:t>
      </w:r>
      <w:proofErr w:type="spellEnd"/>
      <w:r w:rsidR="00DF5FB1" w:rsidRPr="00763EAB">
        <w:rPr>
          <w:lang w:val="en-US"/>
        </w:rPr>
        <w:t xml:space="preserve"> over time, when they perceive more </w:t>
      </w:r>
      <w:proofErr w:type="spellStart"/>
      <w:r w:rsidR="00DF5FB1" w:rsidRPr="00763EAB">
        <w:rPr>
          <w:lang w:val="en-US"/>
        </w:rPr>
        <w:t>neighourhood</w:t>
      </w:r>
      <w:proofErr w:type="spellEnd"/>
      <w:r w:rsidR="00DF5FB1" w:rsidRPr="00763EAB">
        <w:rPr>
          <w:lang w:val="en-US"/>
        </w:rPr>
        <w:t xml:space="preserve"> problems.</w:t>
      </w:r>
    </w:p>
    <w:p w:rsidR="007302AE" w:rsidRPr="00763EAB" w:rsidRDefault="007302AE" w:rsidP="009F16C0">
      <w:pPr>
        <w:pStyle w:val="ListParagraph"/>
        <w:spacing w:line="480" w:lineRule="auto"/>
        <w:ind w:left="0" w:firstLine="708"/>
        <w:jc w:val="both"/>
        <w:rPr>
          <w:lang w:val="en-US"/>
        </w:rPr>
      </w:pPr>
    </w:p>
    <w:p w:rsidR="00763EAB" w:rsidRPr="00763EAB" w:rsidRDefault="00763EAB">
      <w:pPr>
        <w:spacing w:after="200" w:line="276" w:lineRule="auto"/>
        <w:rPr>
          <w:rFonts w:eastAsiaTheme="minorHAnsi"/>
          <w:lang w:val="en-US" w:eastAsia="en-US"/>
        </w:rPr>
      </w:pPr>
      <w:r w:rsidRPr="00763EAB">
        <w:rPr>
          <w:rFonts w:eastAsiaTheme="minorHAnsi"/>
          <w:lang w:val="en-US" w:eastAsia="en-US"/>
        </w:rPr>
        <w:br w:type="page"/>
      </w:r>
    </w:p>
    <w:p w:rsidR="00763EAB" w:rsidRPr="00763EAB" w:rsidRDefault="00763EAB" w:rsidP="00763EAB">
      <w:pPr>
        <w:spacing w:line="480" w:lineRule="auto"/>
        <w:ind w:right="-30"/>
        <w:rPr>
          <w:b/>
          <w:lang w:val="en-US"/>
        </w:rPr>
      </w:pPr>
      <w:r w:rsidRPr="00763EAB">
        <w:rPr>
          <w:b/>
          <w:noProof/>
          <w:lang w:val="en-GB" w:eastAsia="en-GB"/>
        </w:rPr>
        <w:lastRenderedPageBreak/>
        <w:drawing>
          <wp:inline distT="0" distB="0" distL="0" distR="0" wp14:anchorId="3165ACC8" wp14:editId="24A2432F">
            <wp:extent cx="5723890" cy="5307965"/>
            <wp:effectExtent l="0" t="0" r="0" b="6985"/>
            <wp:docPr id="2" name="Afbeelding 2" descr="E:\161028 VUMC\161028 EPOSA\Documenten Erik\Studie 6\Submissions\Health &amp; Place\Revision 1\Timmermans et al_Health &amp; Place_Figure 2 (JHAP-D-16-00455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61028 VUMC\161028 EPOSA\Documenten Erik\Studie 6\Submissions\Health &amp; Place\Revision 1\Timmermans et al_Health &amp; Place_Figure 2 (JHAP-D-16-00455R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890" cy="5307965"/>
                    </a:xfrm>
                    <a:prstGeom prst="rect">
                      <a:avLst/>
                    </a:prstGeom>
                    <a:noFill/>
                    <a:ln>
                      <a:noFill/>
                    </a:ln>
                  </pic:spPr>
                </pic:pic>
              </a:graphicData>
            </a:graphic>
          </wp:inline>
        </w:drawing>
      </w:r>
    </w:p>
    <w:p w:rsidR="00763EAB" w:rsidRPr="00763EAB" w:rsidRDefault="00763EAB" w:rsidP="00763EAB">
      <w:pPr>
        <w:spacing w:line="480" w:lineRule="auto"/>
        <w:ind w:right="-30"/>
        <w:rPr>
          <w:b/>
          <w:lang w:val="en-US"/>
        </w:rPr>
      </w:pPr>
    </w:p>
    <w:p w:rsidR="00763EAB" w:rsidRPr="00763EAB" w:rsidRDefault="00763EAB" w:rsidP="00763EAB">
      <w:pPr>
        <w:spacing w:line="480" w:lineRule="auto"/>
        <w:ind w:right="-30"/>
        <w:rPr>
          <w:b/>
          <w:lang w:val="en-US"/>
        </w:rPr>
      </w:pPr>
      <w:r w:rsidRPr="00763EAB">
        <w:rPr>
          <w:b/>
          <w:lang w:val="en-US"/>
        </w:rPr>
        <w:t xml:space="preserve">Figure 2: The association of change in quality of life over time (dichotomous measure) with perceived </w:t>
      </w:r>
      <w:proofErr w:type="spellStart"/>
      <w:r w:rsidRPr="00763EAB">
        <w:rPr>
          <w:b/>
          <w:lang w:val="en-US"/>
        </w:rPr>
        <w:t>neighbourhood</w:t>
      </w:r>
      <w:proofErr w:type="spellEnd"/>
      <w:r w:rsidRPr="00763EAB">
        <w:rPr>
          <w:b/>
          <w:lang w:val="en-US"/>
        </w:rPr>
        <w:t xml:space="preserve"> problems stratified for osteoarthritis.</w:t>
      </w:r>
      <w:r w:rsidRPr="00763EAB">
        <w:rPr>
          <w:b/>
          <w:vertAlign w:val="superscript"/>
          <w:lang w:val="en-US"/>
        </w:rPr>
        <w:t xml:space="preserve"> </w:t>
      </w:r>
      <w:proofErr w:type="gramStart"/>
      <w:r w:rsidRPr="00763EAB">
        <w:rPr>
          <w:b/>
          <w:vertAlign w:val="superscript"/>
          <w:lang w:val="en-US"/>
        </w:rPr>
        <w:t>a-c</w:t>
      </w:r>
      <w:proofErr w:type="gramEnd"/>
    </w:p>
    <w:p w:rsidR="00763EAB" w:rsidRPr="00763EAB" w:rsidRDefault="00763EAB" w:rsidP="00763EAB">
      <w:pPr>
        <w:spacing w:line="480" w:lineRule="auto"/>
        <w:ind w:right="-30"/>
        <w:rPr>
          <w:vertAlign w:val="superscript"/>
          <w:lang w:val="en-US"/>
        </w:rPr>
      </w:pPr>
    </w:p>
    <w:p w:rsidR="00763EAB" w:rsidRPr="00763EAB" w:rsidRDefault="00763EAB" w:rsidP="00763EAB">
      <w:pPr>
        <w:spacing w:line="480" w:lineRule="auto"/>
        <w:ind w:right="-30"/>
        <w:jc w:val="both"/>
        <w:rPr>
          <w:sz w:val="16"/>
          <w:szCs w:val="16"/>
          <w:lang w:val="en-US"/>
        </w:rPr>
      </w:pPr>
      <w:proofErr w:type="spellStart"/>
      <w:proofErr w:type="gramStart"/>
      <w:r w:rsidRPr="00763EAB">
        <w:rPr>
          <w:sz w:val="16"/>
          <w:szCs w:val="16"/>
          <w:vertAlign w:val="superscript"/>
          <w:lang w:val="en-US"/>
        </w:rPr>
        <w:t>a</w:t>
      </w:r>
      <w:proofErr w:type="spellEnd"/>
      <w:proofErr w:type="gramEnd"/>
      <w:r w:rsidRPr="00763EAB">
        <w:rPr>
          <w:sz w:val="16"/>
          <w:szCs w:val="16"/>
          <w:vertAlign w:val="superscript"/>
          <w:lang w:val="en-US"/>
        </w:rPr>
        <w:t xml:space="preserve"> </w:t>
      </w:r>
      <w:r w:rsidRPr="00763EAB">
        <w:rPr>
          <w:sz w:val="16"/>
          <w:szCs w:val="16"/>
          <w:lang w:val="en-US"/>
        </w:rPr>
        <w:t>Abbreviations: n= Number; OA= Osteoarthritis; p= p-value.</w:t>
      </w:r>
    </w:p>
    <w:p w:rsidR="00763EAB" w:rsidRPr="00763EAB" w:rsidRDefault="00763EAB" w:rsidP="00763EAB">
      <w:pPr>
        <w:spacing w:line="480" w:lineRule="auto"/>
        <w:ind w:right="-30"/>
        <w:jc w:val="both"/>
        <w:rPr>
          <w:sz w:val="16"/>
          <w:szCs w:val="16"/>
          <w:lang w:val="en-US"/>
        </w:rPr>
      </w:pPr>
      <w:proofErr w:type="gramStart"/>
      <w:r w:rsidRPr="00763EAB">
        <w:rPr>
          <w:sz w:val="16"/>
          <w:szCs w:val="16"/>
          <w:vertAlign w:val="superscript"/>
          <w:lang w:val="en-US"/>
        </w:rPr>
        <w:t>b</w:t>
      </w:r>
      <w:proofErr w:type="gramEnd"/>
      <w:r w:rsidRPr="00763EAB">
        <w:rPr>
          <w:sz w:val="16"/>
          <w:szCs w:val="16"/>
          <w:vertAlign w:val="subscript"/>
          <w:lang w:val="en-US"/>
        </w:rPr>
        <w:t xml:space="preserve"> </w:t>
      </w:r>
      <w:r w:rsidRPr="00763EAB">
        <w:rPr>
          <w:sz w:val="16"/>
          <w:szCs w:val="16"/>
          <w:lang w:val="en-US"/>
        </w:rPr>
        <w:t xml:space="preserve">This figure shows the results of two logistic regression analyses in which the association of change in quality of life over time (dichotomous measure) with perceived </w:t>
      </w:r>
      <w:proofErr w:type="spellStart"/>
      <w:r w:rsidRPr="00763EAB">
        <w:rPr>
          <w:sz w:val="16"/>
          <w:szCs w:val="16"/>
          <w:lang w:val="en-US"/>
        </w:rPr>
        <w:t>neighbourhood</w:t>
      </w:r>
      <w:proofErr w:type="spellEnd"/>
      <w:r w:rsidRPr="00763EAB">
        <w:rPr>
          <w:sz w:val="16"/>
          <w:szCs w:val="16"/>
          <w:lang w:val="en-US"/>
        </w:rPr>
        <w:t xml:space="preserve"> problems was assessed in older adults with and without osteoarthritis. The odds ratio of perceived </w:t>
      </w:r>
      <w:proofErr w:type="spellStart"/>
      <w:r w:rsidRPr="00763EAB">
        <w:rPr>
          <w:sz w:val="16"/>
          <w:szCs w:val="16"/>
          <w:lang w:val="en-US"/>
        </w:rPr>
        <w:t>neighbourhood</w:t>
      </w:r>
      <w:proofErr w:type="spellEnd"/>
      <w:r w:rsidRPr="00763EAB">
        <w:rPr>
          <w:sz w:val="16"/>
          <w:szCs w:val="16"/>
          <w:lang w:val="en-US"/>
        </w:rPr>
        <w:t xml:space="preserve"> problems is presented. </w:t>
      </w:r>
      <w:r w:rsidRPr="00763EAB">
        <w:rPr>
          <w:sz w:val="16"/>
          <w:szCs w:val="16"/>
          <w:lang w:val="en-GB"/>
        </w:rPr>
        <w:t xml:space="preserve">Error bars represent 95%-confidence intervals. </w:t>
      </w:r>
    </w:p>
    <w:p w:rsidR="00763EAB" w:rsidRPr="00763EAB" w:rsidRDefault="00763EAB" w:rsidP="00763EAB">
      <w:pPr>
        <w:spacing w:line="480" w:lineRule="auto"/>
        <w:jc w:val="both"/>
        <w:rPr>
          <w:sz w:val="16"/>
          <w:szCs w:val="16"/>
          <w:lang w:val="en-GB"/>
        </w:rPr>
      </w:pPr>
      <w:proofErr w:type="gramStart"/>
      <w:r w:rsidRPr="00763EAB">
        <w:rPr>
          <w:sz w:val="16"/>
          <w:szCs w:val="16"/>
          <w:vertAlign w:val="superscript"/>
          <w:lang w:val="en-US"/>
        </w:rPr>
        <w:t>c</w:t>
      </w:r>
      <w:proofErr w:type="gramEnd"/>
      <w:r w:rsidRPr="00763EAB">
        <w:rPr>
          <w:sz w:val="16"/>
          <w:szCs w:val="16"/>
          <w:vertAlign w:val="superscript"/>
          <w:lang w:val="en-GB"/>
        </w:rPr>
        <w:t xml:space="preserve"> </w:t>
      </w:r>
      <w:r w:rsidRPr="00763EAB">
        <w:rPr>
          <w:sz w:val="16"/>
          <w:szCs w:val="16"/>
          <w:lang w:val="en-GB"/>
        </w:rPr>
        <w:t xml:space="preserve">The associations are adjusted for age, sex (reference category: men), </w:t>
      </w:r>
      <w:r w:rsidRPr="00763EAB">
        <w:rPr>
          <w:sz w:val="16"/>
          <w:szCs w:val="16"/>
          <w:lang w:val="en-US"/>
        </w:rPr>
        <w:t xml:space="preserve">partner status (reference category: no partner), educational level (reference category: not better educated than secondary education), </w:t>
      </w:r>
      <w:r w:rsidRPr="00763EAB">
        <w:rPr>
          <w:sz w:val="16"/>
          <w:szCs w:val="16"/>
          <w:lang w:val="en-GB"/>
        </w:rPr>
        <w:t xml:space="preserve">number of chronic diseases </w:t>
      </w:r>
      <w:r w:rsidRPr="00763EAB">
        <w:rPr>
          <w:sz w:val="16"/>
          <w:szCs w:val="16"/>
          <w:lang w:val="en-US"/>
        </w:rPr>
        <w:t>(reference category: no chronic diseases other than osteoarthritis)</w:t>
      </w:r>
      <w:r w:rsidRPr="00763EAB">
        <w:rPr>
          <w:sz w:val="16"/>
          <w:szCs w:val="16"/>
          <w:lang w:val="en-GB"/>
        </w:rPr>
        <w:t>, anxiety (reference category: not anxious), depression (reference category: not depressed), and general cognitive functioning (reference category: no cognitive impairment).</w:t>
      </w:r>
    </w:p>
    <w:p w:rsidR="00CE5623" w:rsidRPr="00763EAB" w:rsidRDefault="005C2695" w:rsidP="005C2695">
      <w:pPr>
        <w:autoSpaceDE w:val="0"/>
        <w:autoSpaceDN w:val="0"/>
        <w:adjustRightInd w:val="0"/>
        <w:spacing w:line="480" w:lineRule="auto"/>
        <w:ind w:firstLine="708"/>
        <w:jc w:val="both"/>
        <w:rPr>
          <w:rFonts w:eastAsiaTheme="minorHAnsi"/>
          <w:lang w:val="en-US" w:eastAsia="en-US"/>
        </w:rPr>
      </w:pPr>
      <w:r w:rsidRPr="00763EAB">
        <w:rPr>
          <w:rFonts w:eastAsiaTheme="minorHAnsi"/>
          <w:lang w:val="en-US" w:eastAsia="en-US"/>
        </w:rPr>
        <w:lastRenderedPageBreak/>
        <w:t xml:space="preserve">Participants who perceived smells and fumes (OR=3.42, 95% CI=1.03-11.41), disturbance by children or youngsters (OR=3.70; 95% CI=1.19-11.46), and noise (OR=3.52, 95% CI=1.19-10.42) were more likely to have a significant decline in </w:t>
      </w:r>
      <w:proofErr w:type="spellStart"/>
      <w:r w:rsidRPr="00763EAB">
        <w:rPr>
          <w:rFonts w:eastAsiaTheme="minorHAnsi"/>
          <w:lang w:val="en-US" w:eastAsia="en-US"/>
        </w:rPr>
        <w:t>QoL</w:t>
      </w:r>
      <w:proofErr w:type="spellEnd"/>
      <w:r w:rsidRPr="00763EAB">
        <w:rPr>
          <w:rFonts w:eastAsiaTheme="minorHAnsi"/>
          <w:lang w:val="en-US" w:eastAsia="en-US"/>
        </w:rPr>
        <w:t xml:space="preserve"> between baseline and follow-up. The associations of change in </w:t>
      </w:r>
      <w:proofErr w:type="spellStart"/>
      <w:r w:rsidRPr="00763EAB">
        <w:rPr>
          <w:rFonts w:eastAsiaTheme="minorHAnsi"/>
          <w:lang w:val="en-US" w:eastAsia="en-US"/>
        </w:rPr>
        <w:t>QoL</w:t>
      </w:r>
      <w:proofErr w:type="spellEnd"/>
      <w:r w:rsidRPr="00763EAB">
        <w:rPr>
          <w:rFonts w:eastAsiaTheme="minorHAnsi"/>
          <w:lang w:val="en-US" w:eastAsia="en-US"/>
        </w:rPr>
        <w:t xml:space="preserve"> over time (dichotomous measure) and specific perceived </w:t>
      </w:r>
      <w:proofErr w:type="spellStart"/>
      <w:r w:rsidRPr="00763EAB">
        <w:rPr>
          <w:rFonts w:eastAsiaTheme="minorHAnsi"/>
          <w:lang w:val="en-US" w:eastAsia="en-US"/>
        </w:rPr>
        <w:t>neighbourhood</w:t>
      </w:r>
      <w:proofErr w:type="spellEnd"/>
      <w:r w:rsidRPr="00763EAB">
        <w:rPr>
          <w:rFonts w:eastAsiaTheme="minorHAnsi"/>
          <w:lang w:val="en-US" w:eastAsia="en-US"/>
        </w:rPr>
        <w:t xml:space="preserve"> problems did not differ between participants with and without OA.</w:t>
      </w:r>
    </w:p>
    <w:p w:rsidR="005C2695" w:rsidRPr="00763EAB" w:rsidRDefault="005C2695" w:rsidP="005C2695">
      <w:pPr>
        <w:autoSpaceDE w:val="0"/>
        <w:autoSpaceDN w:val="0"/>
        <w:adjustRightInd w:val="0"/>
        <w:spacing w:line="480" w:lineRule="auto"/>
        <w:ind w:firstLine="708"/>
        <w:jc w:val="both"/>
        <w:rPr>
          <w:i/>
          <w:lang w:val="en-US"/>
        </w:rPr>
      </w:pPr>
    </w:p>
    <w:p w:rsidR="00050B1F" w:rsidRPr="00763EAB" w:rsidRDefault="008B27C8" w:rsidP="00050B1F">
      <w:pPr>
        <w:spacing w:line="480" w:lineRule="auto"/>
        <w:jc w:val="both"/>
        <w:rPr>
          <w:i/>
          <w:lang w:val="en-US"/>
        </w:rPr>
      </w:pPr>
      <w:r w:rsidRPr="00763EAB">
        <w:rPr>
          <w:i/>
          <w:lang w:val="en-US"/>
        </w:rPr>
        <w:t>Mediating role of outdoor physical activity</w:t>
      </w:r>
    </w:p>
    <w:p w:rsidR="004A623C" w:rsidRPr="00763EAB" w:rsidRDefault="0042242A" w:rsidP="007740BF">
      <w:pPr>
        <w:spacing w:line="480" w:lineRule="auto"/>
        <w:jc w:val="both"/>
        <w:rPr>
          <w:lang w:val="en-US"/>
        </w:rPr>
      </w:pPr>
      <w:r w:rsidRPr="00763EAB">
        <w:rPr>
          <w:lang w:val="en-US"/>
        </w:rPr>
        <w:t xml:space="preserve">Analyses did not show a mediation effect of outdoor PA in the relationship between </w:t>
      </w:r>
      <w:proofErr w:type="spellStart"/>
      <w:r w:rsidRPr="00763EAB">
        <w:rPr>
          <w:lang w:val="en-US"/>
        </w:rPr>
        <w:t>QoL</w:t>
      </w:r>
      <w:proofErr w:type="spellEnd"/>
      <w:r w:rsidRPr="00763EAB">
        <w:rPr>
          <w:lang w:val="en-US"/>
        </w:rPr>
        <w:t xml:space="preserve"> and perceived </w:t>
      </w:r>
      <w:proofErr w:type="spellStart"/>
      <w:r w:rsidRPr="00763EAB">
        <w:rPr>
          <w:lang w:val="en-US"/>
        </w:rPr>
        <w:t>neighbourhood</w:t>
      </w:r>
      <w:proofErr w:type="spellEnd"/>
      <w:r w:rsidRPr="00763EAB">
        <w:rPr>
          <w:lang w:val="en-US"/>
        </w:rPr>
        <w:t xml:space="preserve"> problems in the full sample at baseline and </w:t>
      </w:r>
      <w:r w:rsidR="00585FA1" w:rsidRPr="00763EAB">
        <w:rPr>
          <w:lang w:val="en-US"/>
        </w:rPr>
        <w:t xml:space="preserve">at </w:t>
      </w:r>
      <w:r w:rsidRPr="00763EAB">
        <w:rPr>
          <w:lang w:val="en-US"/>
        </w:rPr>
        <w:t>follow-up. O</w:t>
      </w:r>
      <w:r w:rsidR="006276F5" w:rsidRPr="00763EAB">
        <w:rPr>
          <w:lang w:val="en-US"/>
        </w:rPr>
        <w:t>nly cond</w:t>
      </w:r>
      <w:r w:rsidR="00EE0835" w:rsidRPr="00763EAB">
        <w:rPr>
          <w:lang w:val="en-US"/>
        </w:rPr>
        <w:t>ition (c) of Baron and Kenny [30</w:t>
      </w:r>
      <w:r w:rsidR="006276F5" w:rsidRPr="00763EAB">
        <w:rPr>
          <w:lang w:val="en-US"/>
        </w:rPr>
        <w:t>] was fulfilled (see “Statistical analyses”) at baseline</w:t>
      </w:r>
      <w:r w:rsidR="0071759D" w:rsidRPr="00763EAB">
        <w:rPr>
          <w:lang w:val="en-US"/>
        </w:rPr>
        <w:t xml:space="preserve"> as well as follow-up</w:t>
      </w:r>
      <w:r w:rsidR="006276F5" w:rsidRPr="00763EAB">
        <w:rPr>
          <w:lang w:val="en-US"/>
        </w:rPr>
        <w:t xml:space="preserve">. </w:t>
      </w:r>
      <w:r w:rsidR="000E5725" w:rsidRPr="00763EAB">
        <w:rPr>
          <w:lang w:val="en-US"/>
        </w:rPr>
        <w:t>A</w:t>
      </w:r>
      <w:r w:rsidR="007C6F32" w:rsidRPr="00763EAB">
        <w:rPr>
          <w:lang w:val="en-US"/>
        </w:rPr>
        <w:t xml:space="preserve">nalyses also showed that outdoor PA did not mediate the association of </w:t>
      </w:r>
      <w:proofErr w:type="spellStart"/>
      <w:r w:rsidR="007C6F32" w:rsidRPr="00763EAB">
        <w:rPr>
          <w:lang w:val="en-US"/>
        </w:rPr>
        <w:t>QoL</w:t>
      </w:r>
      <w:proofErr w:type="spellEnd"/>
      <w:r w:rsidR="007C6F32" w:rsidRPr="00763EAB">
        <w:rPr>
          <w:lang w:val="en-US"/>
        </w:rPr>
        <w:t xml:space="preserve"> with perceived </w:t>
      </w:r>
      <w:proofErr w:type="spellStart"/>
      <w:r w:rsidR="007C6F32" w:rsidRPr="00763EAB">
        <w:rPr>
          <w:lang w:val="en-US"/>
        </w:rPr>
        <w:t>neighbourhood</w:t>
      </w:r>
      <w:proofErr w:type="spellEnd"/>
      <w:r w:rsidR="007C6F32" w:rsidRPr="00763EAB">
        <w:rPr>
          <w:lang w:val="en-US"/>
        </w:rPr>
        <w:t xml:space="preserve"> problems</w:t>
      </w:r>
      <w:r w:rsidR="000E5725" w:rsidRPr="00763EAB">
        <w:rPr>
          <w:lang w:val="en-US"/>
        </w:rPr>
        <w:t xml:space="preserve"> in both the OA-group as well as the non-OA group.</w:t>
      </w:r>
      <w:r w:rsidR="004A623C" w:rsidRPr="00763EAB">
        <w:rPr>
          <w:b/>
          <w:lang w:val="en-US"/>
        </w:rPr>
        <w:br w:type="page"/>
      </w:r>
    </w:p>
    <w:p w:rsidR="00EE66BA" w:rsidRPr="00763EAB" w:rsidRDefault="00EE66BA" w:rsidP="00E40AC8">
      <w:pPr>
        <w:pStyle w:val="NoSpacing"/>
        <w:spacing w:line="480" w:lineRule="auto"/>
        <w:jc w:val="both"/>
        <w:rPr>
          <w:b/>
          <w:lang w:val="en-US"/>
        </w:rPr>
      </w:pPr>
      <w:r w:rsidRPr="00763EAB">
        <w:rPr>
          <w:b/>
          <w:lang w:val="en-US"/>
        </w:rPr>
        <w:lastRenderedPageBreak/>
        <w:t>D</w:t>
      </w:r>
      <w:r w:rsidR="003B00F5" w:rsidRPr="00763EAB">
        <w:rPr>
          <w:b/>
          <w:lang w:val="en-US"/>
        </w:rPr>
        <w:t>iscussion</w:t>
      </w:r>
    </w:p>
    <w:p w:rsidR="008E141E" w:rsidRPr="00763EAB" w:rsidRDefault="00122DFB" w:rsidP="00E40AC8">
      <w:pPr>
        <w:pStyle w:val="NoSpacing"/>
        <w:spacing w:line="480" w:lineRule="auto"/>
        <w:jc w:val="both"/>
        <w:rPr>
          <w:lang w:val="en-US"/>
        </w:rPr>
      </w:pPr>
      <w:r w:rsidRPr="00763EAB">
        <w:rPr>
          <w:lang w:val="en-US"/>
        </w:rPr>
        <w:t xml:space="preserve">This study examined the association of </w:t>
      </w:r>
      <w:proofErr w:type="spellStart"/>
      <w:r w:rsidRPr="00763EAB">
        <w:rPr>
          <w:lang w:val="en-US"/>
        </w:rPr>
        <w:t>QoL</w:t>
      </w:r>
      <w:proofErr w:type="spellEnd"/>
      <w:r w:rsidRPr="00763EAB">
        <w:rPr>
          <w:lang w:val="en-US"/>
        </w:rPr>
        <w:t xml:space="preserve"> with perceived </w:t>
      </w:r>
      <w:proofErr w:type="spellStart"/>
      <w:r w:rsidRPr="00763EAB">
        <w:rPr>
          <w:lang w:val="en-US"/>
        </w:rPr>
        <w:t>neighbourhood</w:t>
      </w:r>
      <w:proofErr w:type="spellEnd"/>
      <w:r w:rsidRPr="00763EAB">
        <w:rPr>
          <w:lang w:val="en-US"/>
        </w:rPr>
        <w:t xml:space="preserve"> problems in older adults with and without OA, and assessed whether this relationship was stronger in those with OA.</w:t>
      </w:r>
      <w:r w:rsidR="008E141E" w:rsidRPr="00763EAB">
        <w:rPr>
          <w:lang w:val="en-US"/>
        </w:rPr>
        <w:t xml:space="preserve"> </w:t>
      </w:r>
      <w:r w:rsidR="00D33567" w:rsidRPr="00763EAB">
        <w:rPr>
          <w:lang w:val="en-US"/>
        </w:rPr>
        <w:t xml:space="preserve">The results showed that the cross-sectional association of </w:t>
      </w:r>
      <w:proofErr w:type="spellStart"/>
      <w:r w:rsidR="00D33567" w:rsidRPr="00763EAB">
        <w:rPr>
          <w:lang w:val="en-US"/>
        </w:rPr>
        <w:t>QoL</w:t>
      </w:r>
      <w:proofErr w:type="spellEnd"/>
      <w:r w:rsidR="00D33567" w:rsidRPr="00763EAB">
        <w:rPr>
          <w:lang w:val="en-US"/>
        </w:rPr>
        <w:t xml:space="preserve"> with perceived </w:t>
      </w:r>
      <w:proofErr w:type="spellStart"/>
      <w:r w:rsidR="00D33567" w:rsidRPr="00763EAB">
        <w:rPr>
          <w:lang w:val="en-US"/>
        </w:rPr>
        <w:t>neighbourhood</w:t>
      </w:r>
      <w:proofErr w:type="spellEnd"/>
      <w:r w:rsidR="00D33567" w:rsidRPr="00763EAB">
        <w:rPr>
          <w:lang w:val="en-US"/>
        </w:rPr>
        <w:t xml:space="preserve"> problems did not differ between older adults with and without OA. </w:t>
      </w:r>
      <w:r w:rsidRPr="00763EAB">
        <w:rPr>
          <w:lang w:val="en-US"/>
        </w:rPr>
        <w:t xml:space="preserve">The </w:t>
      </w:r>
      <w:r w:rsidR="00D33567" w:rsidRPr="00763EAB">
        <w:rPr>
          <w:lang w:val="en-US"/>
        </w:rPr>
        <w:t xml:space="preserve">findings </w:t>
      </w:r>
      <w:r w:rsidRPr="00763EAB">
        <w:rPr>
          <w:lang w:val="en-US"/>
        </w:rPr>
        <w:t xml:space="preserve">showed that the perception of more perceived </w:t>
      </w:r>
      <w:proofErr w:type="spellStart"/>
      <w:r w:rsidRPr="00763EAB">
        <w:rPr>
          <w:lang w:val="en-US"/>
        </w:rPr>
        <w:t>neighbourhood</w:t>
      </w:r>
      <w:proofErr w:type="spellEnd"/>
      <w:r w:rsidRPr="00763EAB">
        <w:rPr>
          <w:lang w:val="en-US"/>
        </w:rPr>
        <w:t xml:space="preserve"> problems was associated with a stronger decrease in </w:t>
      </w:r>
      <w:proofErr w:type="spellStart"/>
      <w:r w:rsidRPr="00763EAB">
        <w:rPr>
          <w:lang w:val="en-US"/>
        </w:rPr>
        <w:t>QoL</w:t>
      </w:r>
      <w:proofErr w:type="spellEnd"/>
      <w:r w:rsidRPr="00763EAB">
        <w:rPr>
          <w:lang w:val="en-US"/>
        </w:rPr>
        <w:t xml:space="preserve"> over time in older adults with OA than </w:t>
      </w:r>
      <w:r w:rsidR="00024DC9" w:rsidRPr="00763EAB">
        <w:rPr>
          <w:lang w:val="en-US"/>
        </w:rPr>
        <w:t>in those without</w:t>
      </w:r>
      <w:r w:rsidR="003D73BE" w:rsidRPr="00763EAB">
        <w:rPr>
          <w:lang w:val="en-US"/>
        </w:rPr>
        <w:t xml:space="preserve"> the condition</w:t>
      </w:r>
      <w:r w:rsidR="00024DC9" w:rsidRPr="00763EAB">
        <w:rPr>
          <w:lang w:val="en-US"/>
        </w:rPr>
        <w:t xml:space="preserve">. </w:t>
      </w:r>
    </w:p>
    <w:p w:rsidR="006E0DF2" w:rsidRPr="00763EAB" w:rsidRDefault="00841B25" w:rsidP="009D5C88">
      <w:pPr>
        <w:pStyle w:val="NoSpacing"/>
        <w:spacing w:line="480" w:lineRule="auto"/>
        <w:jc w:val="both"/>
        <w:rPr>
          <w:lang w:val="en-GB"/>
        </w:rPr>
      </w:pPr>
      <w:r w:rsidRPr="00763EAB">
        <w:rPr>
          <w:b/>
          <w:lang w:val="en-US"/>
        </w:rPr>
        <w:tab/>
      </w:r>
      <w:r w:rsidR="004750B0" w:rsidRPr="00763EAB">
        <w:rPr>
          <w:lang w:val="en-US"/>
        </w:rPr>
        <w:t xml:space="preserve">The </w:t>
      </w:r>
      <w:r w:rsidRPr="00763EAB">
        <w:rPr>
          <w:lang w:val="en-US"/>
        </w:rPr>
        <w:t>current study provide</w:t>
      </w:r>
      <w:r w:rsidR="00E21E87" w:rsidRPr="00763EAB">
        <w:rPr>
          <w:lang w:val="en-US"/>
        </w:rPr>
        <w:t>s</w:t>
      </w:r>
      <w:r w:rsidRPr="00763EAB">
        <w:rPr>
          <w:lang w:val="en-US"/>
        </w:rPr>
        <w:t xml:space="preserve"> </w:t>
      </w:r>
      <w:r w:rsidR="00D33567" w:rsidRPr="00763EAB">
        <w:rPr>
          <w:lang w:val="en-US"/>
        </w:rPr>
        <w:t xml:space="preserve">some </w:t>
      </w:r>
      <w:r w:rsidRPr="00763EAB">
        <w:rPr>
          <w:lang w:val="en-US"/>
        </w:rPr>
        <w:t>support</w:t>
      </w:r>
      <w:r w:rsidR="00F44F54" w:rsidRPr="00763EAB">
        <w:rPr>
          <w:lang w:val="en-US"/>
        </w:rPr>
        <w:t>ive evidence</w:t>
      </w:r>
      <w:r w:rsidRPr="00763EAB">
        <w:rPr>
          <w:lang w:val="en-US"/>
        </w:rPr>
        <w:t xml:space="preserve"> for the environmental docility hypothesis, which states that the less competent the individual, the greater the impact of environmenta</w:t>
      </w:r>
      <w:r w:rsidR="004A623C" w:rsidRPr="00763EAB">
        <w:rPr>
          <w:lang w:val="en-US"/>
        </w:rPr>
        <w:t>l facto</w:t>
      </w:r>
      <w:r w:rsidR="001F45F8" w:rsidRPr="00763EAB">
        <w:rPr>
          <w:lang w:val="en-US"/>
        </w:rPr>
        <w:t xml:space="preserve">rs on that individual (Lawton, 1986; Lawton and </w:t>
      </w:r>
      <w:proofErr w:type="spellStart"/>
      <w:r w:rsidR="001F45F8" w:rsidRPr="00763EAB">
        <w:rPr>
          <w:lang w:val="en-US"/>
        </w:rPr>
        <w:t>Nahemow</w:t>
      </w:r>
      <w:proofErr w:type="spellEnd"/>
      <w:r w:rsidR="001F45F8" w:rsidRPr="00763EAB">
        <w:rPr>
          <w:lang w:val="en-US"/>
        </w:rPr>
        <w:t>, 1973)</w:t>
      </w:r>
      <w:r w:rsidRPr="00763EAB">
        <w:rPr>
          <w:lang w:val="en-US"/>
        </w:rPr>
        <w:t xml:space="preserve">. </w:t>
      </w:r>
      <w:r w:rsidR="006E0DF2" w:rsidRPr="00763EAB">
        <w:rPr>
          <w:lang w:val="en-US"/>
        </w:rPr>
        <w:t>Due to the experienc</w:t>
      </w:r>
      <w:r w:rsidR="00BE3841" w:rsidRPr="00763EAB">
        <w:rPr>
          <w:lang w:val="en-US"/>
        </w:rPr>
        <w:t xml:space="preserve">e of more pain, disability and </w:t>
      </w:r>
      <w:r w:rsidR="006E0DF2" w:rsidRPr="00763EAB">
        <w:rPr>
          <w:lang w:val="en-US"/>
        </w:rPr>
        <w:t>functional limitation</w:t>
      </w:r>
      <w:r w:rsidR="007A038A" w:rsidRPr="00763EAB">
        <w:rPr>
          <w:lang w:val="en-US"/>
        </w:rPr>
        <w:t>s</w:t>
      </w:r>
      <w:r w:rsidR="006E0DF2" w:rsidRPr="00763EAB">
        <w:rPr>
          <w:lang w:val="en-US"/>
        </w:rPr>
        <w:t xml:space="preserve">, </w:t>
      </w:r>
      <w:r w:rsidR="006E0DF2" w:rsidRPr="00763EAB">
        <w:rPr>
          <w:lang w:val="en-GB"/>
        </w:rPr>
        <w:t xml:space="preserve">older adults with OA might be more vulnerable to environmental demands and might be less able to overcome neighbourhood problems than those without the condition. </w:t>
      </w:r>
      <w:r w:rsidR="004750B0" w:rsidRPr="00763EAB">
        <w:rPr>
          <w:lang w:val="en-US"/>
        </w:rPr>
        <w:t xml:space="preserve">The results suggest that older adults with OA are less able to deal with perceived </w:t>
      </w:r>
      <w:proofErr w:type="spellStart"/>
      <w:r w:rsidR="004750B0" w:rsidRPr="00763EAB">
        <w:rPr>
          <w:lang w:val="en-US"/>
        </w:rPr>
        <w:t>neighbourhood</w:t>
      </w:r>
      <w:proofErr w:type="spellEnd"/>
      <w:r w:rsidR="004750B0" w:rsidRPr="00763EAB">
        <w:rPr>
          <w:lang w:val="en-US"/>
        </w:rPr>
        <w:t xml:space="preserve"> problems in comparison to their counterparts without OA and, as a consequence, their </w:t>
      </w:r>
      <w:proofErr w:type="spellStart"/>
      <w:r w:rsidR="004750B0" w:rsidRPr="00763EAB">
        <w:rPr>
          <w:lang w:val="en-US"/>
        </w:rPr>
        <w:t>QoL</w:t>
      </w:r>
      <w:proofErr w:type="spellEnd"/>
      <w:r w:rsidR="004750B0" w:rsidRPr="00763EAB">
        <w:rPr>
          <w:lang w:val="en-US"/>
        </w:rPr>
        <w:t xml:space="preserve"> decreases more.</w:t>
      </w:r>
      <w:r w:rsidR="006B5445" w:rsidRPr="00763EAB">
        <w:rPr>
          <w:lang w:val="en-US"/>
        </w:rPr>
        <w:t xml:space="preserve"> </w:t>
      </w:r>
      <w:r w:rsidRPr="00763EAB">
        <w:rPr>
          <w:lang w:val="en-GB"/>
        </w:rPr>
        <w:t>A possible explanation could</w:t>
      </w:r>
      <w:r w:rsidR="00E40AC8" w:rsidRPr="00763EAB">
        <w:rPr>
          <w:lang w:val="en-GB"/>
        </w:rPr>
        <w:t xml:space="preserve"> </w:t>
      </w:r>
      <w:r w:rsidR="007516A8" w:rsidRPr="00763EAB">
        <w:rPr>
          <w:lang w:val="en-GB"/>
        </w:rPr>
        <w:t xml:space="preserve">be that older adults with OA </w:t>
      </w:r>
      <w:r w:rsidR="001E62F4" w:rsidRPr="00763EAB">
        <w:rPr>
          <w:lang w:val="en-GB"/>
        </w:rPr>
        <w:t xml:space="preserve">experience more difficulties </w:t>
      </w:r>
      <w:r w:rsidR="00BE3841" w:rsidRPr="00763EAB">
        <w:rPr>
          <w:lang w:val="en-GB"/>
        </w:rPr>
        <w:t xml:space="preserve">with regard </w:t>
      </w:r>
      <w:r w:rsidR="007516A8" w:rsidRPr="00763EAB">
        <w:rPr>
          <w:lang w:val="en-GB"/>
        </w:rPr>
        <w:t xml:space="preserve">to </w:t>
      </w:r>
      <w:r w:rsidR="00BE3841" w:rsidRPr="00763EAB">
        <w:rPr>
          <w:lang w:val="en-GB"/>
        </w:rPr>
        <w:t>moving outdoors and</w:t>
      </w:r>
      <w:r w:rsidR="001552F5" w:rsidRPr="00763EAB">
        <w:rPr>
          <w:lang w:val="en-GB"/>
        </w:rPr>
        <w:t xml:space="preserve"> </w:t>
      </w:r>
      <w:r w:rsidR="00BE3841" w:rsidRPr="00763EAB">
        <w:rPr>
          <w:lang w:val="en-GB"/>
        </w:rPr>
        <w:t>participating</w:t>
      </w:r>
      <w:r w:rsidR="007516A8" w:rsidRPr="00763EAB">
        <w:rPr>
          <w:lang w:val="en-GB"/>
        </w:rPr>
        <w:t xml:space="preserve"> in outdoor PA</w:t>
      </w:r>
      <w:r w:rsidR="001552F5" w:rsidRPr="00763EAB">
        <w:rPr>
          <w:lang w:val="en-GB"/>
        </w:rPr>
        <w:t xml:space="preserve"> when they perceive more neighbourh</w:t>
      </w:r>
      <w:r w:rsidR="0013346C" w:rsidRPr="00763EAB">
        <w:rPr>
          <w:lang w:val="en-GB"/>
        </w:rPr>
        <w:t>ood problems, and that t</w:t>
      </w:r>
      <w:r w:rsidR="001F45F8" w:rsidRPr="00763EAB">
        <w:rPr>
          <w:lang w:val="en-GB"/>
        </w:rPr>
        <w:t xml:space="preserve">his results in poor </w:t>
      </w:r>
      <w:proofErr w:type="spellStart"/>
      <w:r w:rsidR="001F45F8" w:rsidRPr="00763EAB">
        <w:rPr>
          <w:lang w:val="en-GB"/>
        </w:rPr>
        <w:t>QoL</w:t>
      </w:r>
      <w:proofErr w:type="spellEnd"/>
      <w:r w:rsidR="001F45F8" w:rsidRPr="00763EAB">
        <w:rPr>
          <w:lang w:val="en-GB"/>
        </w:rPr>
        <w:t xml:space="preserve"> (Forsyth et al., 2009; </w:t>
      </w:r>
      <w:proofErr w:type="spellStart"/>
      <w:r w:rsidR="001F45F8" w:rsidRPr="00763EAB">
        <w:rPr>
          <w:lang w:val="en-GB"/>
        </w:rPr>
        <w:t>Iwarsson</w:t>
      </w:r>
      <w:proofErr w:type="spellEnd"/>
      <w:r w:rsidR="001F45F8" w:rsidRPr="00763EAB">
        <w:rPr>
          <w:lang w:val="en-GB"/>
        </w:rPr>
        <w:t>, 2005; Shumway-Cook et al., 2003)</w:t>
      </w:r>
      <w:r w:rsidR="0013346C" w:rsidRPr="00763EAB">
        <w:rPr>
          <w:lang w:val="en-GB"/>
        </w:rPr>
        <w:t xml:space="preserve">. </w:t>
      </w:r>
      <w:r w:rsidR="007516A8" w:rsidRPr="00763EAB">
        <w:rPr>
          <w:lang w:val="en-GB"/>
        </w:rPr>
        <w:t xml:space="preserve">However, </w:t>
      </w:r>
      <w:r w:rsidR="00FE4731" w:rsidRPr="00763EAB">
        <w:rPr>
          <w:lang w:val="en-GB"/>
        </w:rPr>
        <w:t xml:space="preserve">this </w:t>
      </w:r>
      <w:r w:rsidR="007516A8" w:rsidRPr="00763EAB">
        <w:rPr>
          <w:lang w:val="en-GB"/>
        </w:rPr>
        <w:t xml:space="preserve">study showed that outdoor PA did not mediate the relationship between </w:t>
      </w:r>
      <w:proofErr w:type="spellStart"/>
      <w:r w:rsidR="007516A8" w:rsidRPr="00763EAB">
        <w:rPr>
          <w:lang w:val="en-GB"/>
        </w:rPr>
        <w:t>QoL</w:t>
      </w:r>
      <w:proofErr w:type="spellEnd"/>
      <w:r w:rsidR="007516A8" w:rsidRPr="00763EAB">
        <w:rPr>
          <w:lang w:val="en-GB"/>
        </w:rPr>
        <w:t xml:space="preserve"> and perceived neighbourhood problems in older adults </w:t>
      </w:r>
      <w:r w:rsidR="004750B0" w:rsidRPr="00763EAB">
        <w:rPr>
          <w:lang w:val="en-GB"/>
        </w:rPr>
        <w:t>with OA as well as in older persons without the condition.</w:t>
      </w:r>
      <w:r w:rsidR="001552F5" w:rsidRPr="00763EAB">
        <w:rPr>
          <w:lang w:val="en-GB"/>
        </w:rPr>
        <w:t xml:space="preserve"> </w:t>
      </w:r>
      <w:r w:rsidR="009D5C88" w:rsidRPr="00763EAB">
        <w:rPr>
          <w:lang w:val="en-GB"/>
        </w:rPr>
        <w:t>Contrary to other studies (</w:t>
      </w:r>
      <w:r w:rsidR="00B41F88" w:rsidRPr="00763EAB">
        <w:rPr>
          <w:lang w:val="en-GB"/>
        </w:rPr>
        <w:t xml:space="preserve">for a review, see </w:t>
      </w:r>
      <w:r w:rsidR="00953219" w:rsidRPr="00763EAB">
        <w:rPr>
          <w:lang w:val="en-GB"/>
        </w:rPr>
        <w:t xml:space="preserve">Van </w:t>
      </w:r>
      <w:proofErr w:type="spellStart"/>
      <w:r w:rsidR="00953219" w:rsidRPr="00763EAB">
        <w:rPr>
          <w:lang w:val="en-GB"/>
        </w:rPr>
        <w:t>Cauwenberg</w:t>
      </w:r>
      <w:proofErr w:type="spellEnd"/>
      <w:r w:rsidR="00953219" w:rsidRPr="00763EAB">
        <w:rPr>
          <w:lang w:val="en-GB"/>
        </w:rPr>
        <w:t xml:space="preserve"> et al., </w:t>
      </w:r>
      <w:proofErr w:type="gramStart"/>
      <w:r w:rsidR="00953219" w:rsidRPr="00763EAB">
        <w:rPr>
          <w:lang w:val="en-GB"/>
        </w:rPr>
        <w:t>2011</w:t>
      </w:r>
      <w:proofErr w:type="gramEnd"/>
      <w:r w:rsidR="009D5C88" w:rsidRPr="00763EAB">
        <w:rPr>
          <w:lang w:val="en-GB"/>
        </w:rPr>
        <w:t xml:space="preserve">), </w:t>
      </w:r>
      <w:r w:rsidR="00D6404A" w:rsidRPr="00763EAB">
        <w:rPr>
          <w:lang w:val="en-GB"/>
        </w:rPr>
        <w:t>the perception of neighbourhood problems was not significantly associated with PA</w:t>
      </w:r>
      <w:r w:rsidR="00953219" w:rsidRPr="00763EAB">
        <w:rPr>
          <w:lang w:val="en-GB"/>
        </w:rPr>
        <w:t xml:space="preserve"> in our study</w:t>
      </w:r>
      <w:r w:rsidR="00D6404A" w:rsidRPr="00763EAB">
        <w:rPr>
          <w:lang w:val="en-GB"/>
        </w:rPr>
        <w:t xml:space="preserve">. The perceived </w:t>
      </w:r>
      <w:r w:rsidR="009D5C88" w:rsidRPr="00763EAB">
        <w:rPr>
          <w:lang w:val="en-GB"/>
        </w:rPr>
        <w:t xml:space="preserve">neighbourhood problems in our study were mainly related to safety issues, and </w:t>
      </w:r>
      <w:r w:rsidR="008860E5" w:rsidRPr="00763EAB">
        <w:rPr>
          <w:lang w:val="en-GB"/>
        </w:rPr>
        <w:t>were</w:t>
      </w:r>
      <w:r w:rsidR="00D22089" w:rsidRPr="00763EAB">
        <w:rPr>
          <w:lang w:val="en-GB"/>
        </w:rPr>
        <w:t xml:space="preserve"> not</w:t>
      </w:r>
      <w:r w:rsidR="008860E5" w:rsidRPr="00763EAB">
        <w:rPr>
          <w:lang w:val="en-GB"/>
        </w:rPr>
        <w:t xml:space="preserve"> only</w:t>
      </w:r>
      <w:r w:rsidR="00D22089" w:rsidRPr="00763EAB">
        <w:rPr>
          <w:lang w:val="en-GB"/>
        </w:rPr>
        <w:t xml:space="preserve"> </w:t>
      </w:r>
      <w:r w:rsidR="009D5C88" w:rsidRPr="00763EAB">
        <w:rPr>
          <w:lang w:val="en-GB"/>
        </w:rPr>
        <w:t>physical</w:t>
      </w:r>
      <w:r w:rsidR="00D22089" w:rsidRPr="00763EAB">
        <w:rPr>
          <w:lang w:val="en-GB"/>
        </w:rPr>
        <w:t xml:space="preserve"> barriers</w:t>
      </w:r>
      <w:r w:rsidR="009D5C88" w:rsidRPr="00763EAB">
        <w:rPr>
          <w:lang w:val="en-GB"/>
        </w:rPr>
        <w:t xml:space="preserve">. Physical environmental </w:t>
      </w:r>
      <w:r w:rsidR="009D5C88" w:rsidRPr="00763EAB">
        <w:rPr>
          <w:lang w:val="en-GB"/>
        </w:rPr>
        <w:lastRenderedPageBreak/>
        <w:t>barriers, such as hilly terrain, lack of resting places, and poor street conditions</w:t>
      </w:r>
      <w:r w:rsidR="0032528B" w:rsidRPr="00763EAB">
        <w:rPr>
          <w:lang w:val="en-GB"/>
        </w:rPr>
        <w:t xml:space="preserve">, </w:t>
      </w:r>
      <w:r w:rsidR="00D22089" w:rsidRPr="00763EAB">
        <w:rPr>
          <w:lang w:val="en-GB"/>
        </w:rPr>
        <w:t>are often</w:t>
      </w:r>
      <w:r w:rsidR="0032528B" w:rsidRPr="00763EAB">
        <w:rPr>
          <w:lang w:val="en-GB"/>
        </w:rPr>
        <w:t xml:space="preserve"> </w:t>
      </w:r>
      <w:r w:rsidR="00A76A20" w:rsidRPr="00763EAB">
        <w:rPr>
          <w:lang w:val="en-GB"/>
        </w:rPr>
        <w:t>found to be</w:t>
      </w:r>
      <w:r w:rsidR="0032528B" w:rsidRPr="00763EAB">
        <w:rPr>
          <w:lang w:val="en-GB"/>
        </w:rPr>
        <w:t xml:space="preserve"> barriers for </w:t>
      </w:r>
      <w:r w:rsidR="0080743F" w:rsidRPr="00763EAB">
        <w:rPr>
          <w:lang w:val="en-GB"/>
        </w:rPr>
        <w:t xml:space="preserve">PA </w:t>
      </w:r>
      <w:r w:rsidR="001F6890" w:rsidRPr="00763EAB">
        <w:rPr>
          <w:lang w:val="en-GB"/>
        </w:rPr>
        <w:t>in</w:t>
      </w:r>
      <w:r w:rsidR="0032528B" w:rsidRPr="00763EAB">
        <w:rPr>
          <w:lang w:val="en-GB"/>
        </w:rPr>
        <w:t xml:space="preserve"> older adults with </w:t>
      </w:r>
      <w:r w:rsidR="00B2646E" w:rsidRPr="00763EAB">
        <w:rPr>
          <w:lang w:val="en-GB"/>
        </w:rPr>
        <w:t xml:space="preserve">and without </w:t>
      </w:r>
      <w:r w:rsidR="0032528B" w:rsidRPr="00763EAB">
        <w:rPr>
          <w:lang w:val="en-GB"/>
        </w:rPr>
        <w:t>disabilities (</w:t>
      </w:r>
      <w:r w:rsidR="00B41F88" w:rsidRPr="00763EAB">
        <w:rPr>
          <w:lang w:val="en-GB"/>
        </w:rPr>
        <w:t xml:space="preserve">Dawson et al., 2007; </w:t>
      </w:r>
      <w:r w:rsidR="00455524" w:rsidRPr="00763EAB">
        <w:rPr>
          <w:lang w:val="en-GB"/>
        </w:rPr>
        <w:t>Rosenberg et al.,</w:t>
      </w:r>
      <w:r w:rsidR="009437B7" w:rsidRPr="00763EAB">
        <w:rPr>
          <w:lang w:val="en-GB"/>
        </w:rPr>
        <w:t xml:space="preserve"> 201</w:t>
      </w:r>
      <w:r w:rsidR="00BF50CB" w:rsidRPr="00763EAB">
        <w:rPr>
          <w:lang w:val="en-GB"/>
        </w:rPr>
        <w:t>3</w:t>
      </w:r>
      <w:r w:rsidR="008E3BD1" w:rsidRPr="00763EAB">
        <w:rPr>
          <w:lang w:val="en-GB"/>
        </w:rPr>
        <w:t xml:space="preserve">; </w:t>
      </w:r>
      <w:proofErr w:type="spellStart"/>
      <w:r w:rsidR="008E3BD1" w:rsidRPr="00763EAB">
        <w:rPr>
          <w:lang w:val="en-GB"/>
        </w:rPr>
        <w:t>Strath</w:t>
      </w:r>
      <w:proofErr w:type="spellEnd"/>
      <w:r w:rsidR="008E3BD1" w:rsidRPr="00763EAB">
        <w:rPr>
          <w:lang w:val="en-GB"/>
        </w:rPr>
        <w:t xml:space="preserve"> et al.</w:t>
      </w:r>
      <w:proofErr w:type="gramStart"/>
      <w:r w:rsidR="008E3BD1" w:rsidRPr="00763EAB">
        <w:rPr>
          <w:lang w:val="en-GB"/>
        </w:rPr>
        <w:t>,</w:t>
      </w:r>
      <w:r w:rsidR="009D6946" w:rsidRPr="00763EAB">
        <w:rPr>
          <w:lang w:val="en-GB"/>
        </w:rPr>
        <w:t>2007</w:t>
      </w:r>
      <w:proofErr w:type="gramEnd"/>
      <w:r w:rsidR="00455524" w:rsidRPr="00763EAB">
        <w:rPr>
          <w:lang w:val="en-GB"/>
        </w:rPr>
        <w:t>)</w:t>
      </w:r>
      <w:r w:rsidR="00D51BB3" w:rsidRPr="00763EAB">
        <w:rPr>
          <w:lang w:val="en-GB"/>
        </w:rPr>
        <w:t>.</w:t>
      </w:r>
      <w:r w:rsidR="0032528B" w:rsidRPr="00763EAB">
        <w:rPr>
          <w:lang w:val="en-GB"/>
        </w:rPr>
        <w:t xml:space="preserve"> </w:t>
      </w:r>
      <w:r w:rsidR="001552F5" w:rsidRPr="00763EAB">
        <w:rPr>
          <w:lang w:val="en-GB"/>
        </w:rPr>
        <w:t xml:space="preserve">It could be that the association of </w:t>
      </w:r>
      <w:proofErr w:type="spellStart"/>
      <w:r w:rsidR="001552F5" w:rsidRPr="00763EAB">
        <w:rPr>
          <w:lang w:val="en-GB"/>
        </w:rPr>
        <w:t>QoL</w:t>
      </w:r>
      <w:proofErr w:type="spellEnd"/>
      <w:r w:rsidR="001552F5" w:rsidRPr="00763EAB">
        <w:rPr>
          <w:lang w:val="en-GB"/>
        </w:rPr>
        <w:t xml:space="preserve"> and neighbourhood problems is </w:t>
      </w:r>
      <w:r w:rsidR="0013346C" w:rsidRPr="00763EAB">
        <w:rPr>
          <w:lang w:val="en-GB"/>
        </w:rPr>
        <w:t>rather mediated by fear of moving outdoors and unmet PA needs</w:t>
      </w:r>
      <w:r w:rsidR="001F45F8" w:rsidRPr="00763EAB">
        <w:rPr>
          <w:lang w:val="en-GB"/>
        </w:rPr>
        <w:t xml:space="preserve"> (</w:t>
      </w:r>
      <w:proofErr w:type="spellStart"/>
      <w:r w:rsidR="001F45F8" w:rsidRPr="00763EAB">
        <w:rPr>
          <w:lang w:val="en-GB"/>
        </w:rPr>
        <w:t>Rantakokko</w:t>
      </w:r>
      <w:proofErr w:type="spellEnd"/>
      <w:r w:rsidR="001F45F8" w:rsidRPr="00763EAB">
        <w:rPr>
          <w:lang w:val="en-GB"/>
        </w:rPr>
        <w:t xml:space="preserve"> et al., 2010)</w:t>
      </w:r>
      <w:r w:rsidR="0013346C" w:rsidRPr="00763EAB">
        <w:rPr>
          <w:lang w:val="en-GB"/>
        </w:rPr>
        <w:t xml:space="preserve">, than </w:t>
      </w:r>
      <w:r w:rsidR="004F668B" w:rsidRPr="00763EAB">
        <w:rPr>
          <w:lang w:val="en-GB"/>
        </w:rPr>
        <w:t xml:space="preserve">by </w:t>
      </w:r>
      <w:r w:rsidR="00B65FA1" w:rsidRPr="00763EAB">
        <w:rPr>
          <w:lang w:val="en-GB"/>
        </w:rPr>
        <w:t xml:space="preserve">the self-reported </w:t>
      </w:r>
      <w:r w:rsidR="004F668B" w:rsidRPr="00763EAB">
        <w:rPr>
          <w:lang w:val="en-GB"/>
        </w:rPr>
        <w:t>quantity</w:t>
      </w:r>
      <w:r w:rsidR="0013346C" w:rsidRPr="00763EAB">
        <w:rPr>
          <w:lang w:val="en-GB"/>
        </w:rPr>
        <w:t xml:space="preserve"> of outdoor PA.</w:t>
      </w:r>
    </w:p>
    <w:p w:rsidR="00CD29E2" w:rsidRPr="00763EAB" w:rsidRDefault="006E31A7" w:rsidP="00CD29E2">
      <w:pPr>
        <w:pStyle w:val="NoSpacing"/>
        <w:spacing w:line="480" w:lineRule="auto"/>
        <w:jc w:val="both"/>
        <w:rPr>
          <w:lang w:val="en-GB"/>
        </w:rPr>
      </w:pPr>
      <w:r w:rsidRPr="00763EAB">
        <w:rPr>
          <w:lang w:val="en-GB"/>
        </w:rPr>
        <w:tab/>
      </w:r>
      <w:r w:rsidR="00C57466" w:rsidRPr="00763EAB">
        <w:rPr>
          <w:lang w:val="en-GB"/>
        </w:rPr>
        <w:t>Osteoarthritis is the most prevalent joint disease in older adu</w:t>
      </w:r>
      <w:r w:rsidR="00E50BC7" w:rsidRPr="00763EAB">
        <w:rPr>
          <w:lang w:val="en-GB"/>
        </w:rPr>
        <w:t xml:space="preserve">lts (Brooks, 2012; Jinks et al., 2002; </w:t>
      </w:r>
      <w:proofErr w:type="spellStart"/>
      <w:r w:rsidR="00E50BC7" w:rsidRPr="00763EAB">
        <w:rPr>
          <w:lang w:val="en-GB"/>
        </w:rPr>
        <w:t>Vos</w:t>
      </w:r>
      <w:proofErr w:type="spellEnd"/>
      <w:r w:rsidR="00E50BC7" w:rsidRPr="00763EAB">
        <w:rPr>
          <w:lang w:val="en-GB"/>
        </w:rPr>
        <w:t xml:space="preserve"> et al., 2012)</w:t>
      </w:r>
      <w:r w:rsidR="00C57466" w:rsidRPr="00763EAB">
        <w:rPr>
          <w:lang w:val="en-GB"/>
        </w:rPr>
        <w:t>.</w:t>
      </w:r>
      <w:r w:rsidR="00C57466" w:rsidRPr="00763EAB">
        <w:rPr>
          <w:shd w:val="clear" w:color="auto" w:fill="FFFFFF"/>
          <w:lang w:val="en-GB"/>
        </w:rPr>
        <w:t xml:space="preserve"> </w:t>
      </w:r>
      <w:r w:rsidR="006C0711" w:rsidRPr="00763EAB">
        <w:rPr>
          <w:shd w:val="clear" w:color="auto" w:fill="FFFFFF"/>
          <w:lang w:val="en-GB"/>
        </w:rPr>
        <w:t xml:space="preserve">It </w:t>
      </w:r>
      <w:r w:rsidR="00C57466" w:rsidRPr="00763EAB">
        <w:rPr>
          <w:shd w:val="clear" w:color="auto" w:fill="FFFFFF"/>
          <w:lang w:val="en-GB"/>
        </w:rPr>
        <w:t xml:space="preserve">is the fastest increasing musculoskeletal condition worldwide and increases in life expectancy and aging populations are expected to make OA the fourth leading cause of disability by the year </w:t>
      </w:r>
      <w:r w:rsidR="00E50BC7" w:rsidRPr="00763EAB">
        <w:rPr>
          <w:shd w:val="clear" w:color="auto" w:fill="FFFFFF"/>
          <w:lang w:val="en-GB"/>
        </w:rPr>
        <w:t xml:space="preserve">2020 (Brooks, 2012; Woolf and </w:t>
      </w:r>
      <w:proofErr w:type="spellStart"/>
      <w:r w:rsidR="00E50BC7" w:rsidRPr="00763EAB">
        <w:rPr>
          <w:shd w:val="clear" w:color="auto" w:fill="FFFFFF"/>
          <w:lang w:val="en-GB"/>
        </w:rPr>
        <w:t>Pleger</w:t>
      </w:r>
      <w:proofErr w:type="spellEnd"/>
      <w:r w:rsidR="00E50BC7" w:rsidRPr="00763EAB">
        <w:rPr>
          <w:shd w:val="clear" w:color="auto" w:fill="FFFFFF"/>
          <w:lang w:val="en-GB"/>
        </w:rPr>
        <w:t>, 2003)</w:t>
      </w:r>
      <w:r w:rsidR="00C57466" w:rsidRPr="00763EAB">
        <w:rPr>
          <w:shd w:val="clear" w:color="auto" w:fill="FFFFFF"/>
          <w:lang w:val="en-GB"/>
        </w:rPr>
        <w:t xml:space="preserve">. </w:t>
      </w:r>
      <w:r w:rsidR="00D10D1D" w:rsidRPr="00763EAB">
        <w:rPr>
          <w:rFonts w:eastAsiaTheme="minorHAnsi"/>
          <w:lang w:val="en-US" w:eastAsia="en-US"/>
        </w:rPr>
        <w:t>Knowledge on the relationships between</w:t>
      </w:r>
      <w:r w:rsidR="0051476E" w:rsidRPr="00763EAB">
        <w:rPr>
          <w:rFonts w:eastAsiaTheme="minorHAnsi"/>
          <w:lang w:val="en-US" w:eastAsia="en-US"/>
        </w:rPr>
        <w:t xml:space="preserve"> </w:t>
      </w:r>
      <w:r w:rsidR="00D10D1D" w:rsidRPr="00763EAB">
        <w:rPr>
          <w:rFonts w:eastAsiaTheme="minorHAnsi"/>
          <w:lang w:val="en-US" w:eastAsia="en-US"/>
        </w:rPr>
        <w:t xml:space="preserve">the </w:t>
      </w:r>
      <w:proofErr w:type="spellStart"/>
      <w:r w:rsidR="00D10D1D" w:rsidRPr="00763EAB">
        <w:rPr>
          <w:rFonts w:eastAsiaTheme="minorHAnsi"/>
          <w:lang w:val="en-US" w:eastAsia="en-US"/>
        </w:rPr>
        <w:t>neighbourhood</w:t>
      </w:r>
      <w:proofErr w:type="spellEnd"/>
      <w:r w:rsidR="00D10D1D" w:rsidRPr="00763EAB">
        <w:rPr>
          <w:rFonts w:eastAsiaTheme="minorHAnsi"/>
          <w:lang w:val="en-US" w:eastAsia="en-US"/>
        </w:rPr>
        <w:t xml:space="preserve"> environment, PA and </w:t>
      </w:r>
      <w:proofErr w:type="spellStart"/>
      <w:r w:rsidR="00D10D1D" w:rsidRPr="00763EAB">
        <w:rPr>
          <w:rFonts w:eastAsiaTheme="minorHAnsi"/>
          <w:lang w:val="en-US" w:eastAsia="en-US"/>
        </w:rPr>
        <w:t>QoL</w:t>
      </w:r>
      <w:proofErr w:type="spellEnd"/>
      <w:r w:rsidR="00D10D1D" w:rsidRPr="00763EAB">
        <w:rPr>
          <w:rFonts w:eastAsiaTheme="minorHAnsi"/>
          <w:lang w:val="en-US" w:eastAsia="en-US"/>
        </w:rPr>
        <w:t xml:space="preserve"> in older adults with OA </w:t>
      </w:r>
      <w:r w:rsidR="001E62F4" w:rsidRPr="00763EAB">
        <w:rPr>
          <w:rFonts w:eastAsiaTheme="minorHAnsi"/>
          <w:lang w:val="en-US" w:eastAsia="en-US"/>
        </w:rPr>
        <w:t>is needed to anticipate</w:t>
      </w:r>
      <w:r w:rsidR="00CD29E2" w:rsidRPr="00763EAB">
        <w:rPr>
          <w:rFonts w:eastAsiaTheme="minorHAnsi"/>
          <w:lang w:val="en-US" w:eastAsia="en-US"/>
        </w:rPr>
        <w:t xml:space="preserve"> this development and to plan environments that promote PA and </w:t>
      </w:r>
      <w:proofErr w:type="spellStart"/>
      <w:r w:rsidR="00CD29E2" w:rsidRPr="00763EAB">
        <w:rPr>
          <w:rFonts w:eastAsiaTheme="minorHAnsi"/>
          <w:lang w:val="en-US" w:eastAsia="en-US"/>
        </w:rPr>
        <w:t>QoL</w:t>
      </w:r>
      <w:proofErr w:type="spellEnd"/>
      <w:r w:rsidR="00D46836" w:rsidRPr="00763EAB">
        <w:rPr>
          <w:rFonts w:eastAsiaTheme="minorHAnsi"/>
          <w:lang w:val="en-US" w:eastAsia="en-US"/>
        </w:rPr>
        <w:t xml:space="preserve"> </w:t>
      </w:r>
      <w:r w:rsidR="00C62804" w:rsidRPr="00763EAB">
        <w:rPr>
          <w:rFonts w:eastAsiaTheme="minorHAnsi"/>
          <w:lang w:val="en-US" w:eastAsia="en-US"/>
        </w:rPr>
        <w:t>of these individuals</w:t>
      </w:r>
      <w:r w:rsidR="00CD29E2" w:rsidRPr="00763EAB">
        <w:rPr>
          <w:rFonts w:eastAsiaTheme="minorHAnsi"/>
          <w:lang w:val="en-US" w:eastAsia="en-US"/>
        </w:rPr>
        <w:t>.</w:t>
      </w:r>
      <w:r w:rsidR="00CD29E2" w:rsidRPr="00763EAB">
        <w:rPr>
          <w:lang w:val="en-GB"/>
        </w:rPr>
        <w:t xml:space="preserve"> To our knowledge, this is the first study that examines the relationships between perceived neighbourhood problems, outdoor PA, and </w:t>
      </w:r>
      <w:proofErr w:type="spellStart"/>
      <w:r w:rsidR="00CD29E2" w:rsidRPr="00763EAB">
        <w:rPr>
          <w:lang w:val="en-GB"/>
        </w:rPr>
        <w:t>QoL</w:t>
      </w:r>
      <w:proofErr w:type="spellEnd"/>
      <w:r w:rsidR="00CD29E2" w:rsidRPr="00763EAB">
        <w:rPr>
          <w:lang w:val="en-GB"/>
        </w:rPr>
        <w:t xml:space="preserve"> in older adults with and without </w:t>
      </w:r>
      <w:r w:rsidR="0051476E" w:rsidRPr="00763EAB">
        <w:rPr>
          <w:lang w:val="en-GB"/>
        </w:rPr>
        <w:t xml:space="preserve">OA </w:t>
      </w:r>
      <w:r w:rsidR="00CD29E2" w:rsidRPr="00763EAB">
        <w:rPr>
          <w:lang w:val="en-GB"/>
        </w:rPr>
        <w:t xml:space="preserve">in the general population. </w:t>
      </w:r>
      <w:r w:rsidR="0051476E" w:rsidRPr="00763EAB">
        <w:rPr>
          <w:lang w:val="en-GB"/>
        </w:rPr>
        <w:t xml:space="preserve">The current study did not only focus on cross-sectional associations between perceived neighbourhood problems, outdoor PA and </w:t>
      </w:r>
      <w:proofErr w:type="spellStart"/>
      <w:r w:rsidR="0051476E" w:rsidRPr="00763EAB">
        <w:rPr>
          <w:lang w:val="en-GB"/>
        </w:rPr>
        <w:t>QoL</w:t>
      </w:r>
      <w:proofErr w:type="spellEnd"/>
      <w:r w:rsidR="0051476E" w:rsidRPr="00763EAB">
        <w:rPr>
          <w:lang w:val="en-GB"/>
        </w:rPr>
        <w:t xml:space="preserve">, but also considered the influence of perceived neighbourhood problems on change in </w:t>
      </w:r>
      <w:proofErr w:type="spellStart"/>
      <w:r w:rsidR="0051476E" w:rsidRPr="00763EAB">
        <w:rPr>
          <w:lang w:val="en-GB"/>
        </w:rPr>
        <w:t>QoL</w:t>
      </w:r>
      <w:proofErr w:type="spellEnd"/>
      <w:r w:rsidR="0051476E" w:rsidRPr="00763EAB">
        <w:rPr>
          <w:lang w:val="en-GB"/>
        </w:rPr>
        <w:t xml:space="preserve"> over time. </w:t>
      </w:r>
      <w:r w:rsidR="00CD29E2" w:rsidRPr="00763EAB">
        <w:rPr>
          <w:lang w:val="en-GB"/>
        </w:rPr>
        <w:t>Th</w:t>
      </w:r>
      <w:r w:rsidR="00FE4731" w:rsidRPr="00763EAB">
        <w:rPr>
          <w:lang w:val="en-GB"/>
        </w:rPr>
        <w:t>is</w:t>
      </w:r>
      <w:r w:rsidR="00CD29E2" w:rsidRPr="00763EAB">
        <w:rPr>
          <w:lang w:val="en-GB"/>
        </w:rPr>
        <w:t xml:space="preserve"> study has </w:t>
      </w:r>
      <w:r w:rsidR="00A60107" w:rsidRPr="00763EAB">
        <w:rPr>
          <w:lang w:val="en-GB"/>
        </w:rPr>
        <w:t xml:space="preserve">several </w:t>
      </w:r>
      <w:r w:rsidR="00CD29E2" w:rsidRPr="00763EAB">
        <w:rPr>
          <w:lang w:val="en-GB"/>
        </w:rPr>
        <w:t>strengths, including extensive phenotyping of study participants according to strict study protocols, and by a highly trained research team.</w:t>
      </w:r>
    </w:p>
    <w:p w:rsidR="008D583E" w:rsidRPr="00763EAB" w:rsidRDefault="00F73AEE" w:rsidP="00991DEA">
      <w:pPr>
        <w:spacing w:line="480" w:lineRule="auto"/>
        <w:ind w:firstLine="708"/>
        <w:jc w:val="both"/>
        <w:rPr>
          <w:lang w:val="en-GB"/>
        </w:rPr>
      </w:pPr>
      <w:r w:rsidRPr="00763EAB">
        <w:rPr>
          <w:lang w:val="en-GB"/>
        </w:rPr>
        <w:t xml:space="preserve">Some limitations </w:t>
      </w:r>
      <w:proofErr w:type="gramStart"/>
      <w:r w:rsidRPr="00763EAB">
        <w:rPr>
          <w:lang w:val="en-GB"/>
        </w:rPr>
        <w:t>has</w:t>
      </w:r>
      <w:proofErr w:type="gramEnd"/>
      <w:r w:rsidRPr="00763EAB">
        <w:rPr>
          <w:lang w:val="en-GB"/>
        </w:rPr>
        <w:t xml:space="preserve"> to be acknowledged as well. F</w:t>
      </w:r>
      <w:r w:rsidR="00991DEA" w:rsidRPr="00763EAB">
        <w:rPr>
          <w:lang w:val="en-GB"/>
        </w:rPr>
        <w:t xml:space="preserve">irst, the sample size in the current study was fairly small, which resulted in low statistical power. Second, </w:t>
      </w:r>
      <w:r w:rsidR="00A60107" w:rsidRPr="00763EAB">
        <w:rPr>
          <w:lang w:val="en-GB"/>
        </w:rPr>
        <w:t xml:space="preserve">the perception of neighbourhood problems was assessed in 2008 using a postal survey, whereas OA, outdoor PA, </w:t>
      </w:r>
      <w:proofErr w:type="spellStart"/>
      <w:r w:rsidR="00A60107" w:rsidRPr="00763EAB">
        <w:rPr>
          <w:lang w:val="en-GB"/>
        </w:rPr>
        <w:t>QoL</w:t>
      </w:r>
      <w:proofErr w:type="spellEnd"/>
      <w:r w:rsidR="00A60107" w:rsidRPr="00763EAB">
        <w:rPr>
          <w:lang w:val="en-GB"/>
        </w:rPr>
        <w:t xml:space="preserve"> and the covariates were assessed </w:t>
      </w:r>
      <w:r w:rsidR="00796C9D" w:rsidRPr="00763EAB">
        <w:rPr>
          <w:lang w:val="en-GB"/>
        </w:rPr>
        <w:t xml:space="preserve">on </w:t>
      </w:r>
      <w:r w:rsidR="00A60107" w:rsidRPr="00763EAB">
        <w:rPr>
          <w:lang w:val="en-GB"/>
        </w:rPr>
        <w:t>later</w:t>
      </w:r>
      <w:r w:rsidR="00796C9D" w:rsidRPr="00763EAB">
        <w:rPr>
          <w:lang w:val="en-GB"/>
        </w:rPr>
        <w:t xml:space="preserve"> occasions</w:t>
      </w:r>
      <w:r w:rsidR="00A60107" w:rsidRPr="00763EAB">
        <w:rPr>
          <w:lang w:val="en-GB"/>
        </w:rPr>
        <w:t xml:space="preserve">. </w:t>
      </w:r>
      <w:r w:rsidR="001F470C" w:rsidRPr="00763EAB">
        <w:rPr>
          <w:lang w:val="en-GB"/>
        </w:rPr>
        <w:t>Based on previous research (Hertfordshire County Council, 2016), i</w:t>
      </w:r>
      <w:r w:rsidR="00A60107" w:rsidRPr="00763EAB">
        <w:rPr>
          <w:lang w:val="en-GB"/>
        </w:rPr>
        <w:t xml:space="preserve">t has been assumed that the perception of neighbourhood problems remained stable between the postal survey and the EPOSA measurements, </w:t>
      </w:r>
      <w:r w:rsidR="00874ABD" w:rsidRPr="00763EAB">
        <w:rPr>
          <w:lang w:val="en-GB"/>
        </w:rPr>
        <w:t>but this time-gap</w:t>
      </w:r>
      <w:r w:rsidR="001F2BEA" w:rsidRPr="00763EAB">
        <w:rPr>
          <w:lang w:val="en-GB"/>
        </w:rPr>
        <w:t xml:space="preserve"> </w:t>
      </w:r>
      <w:r w:rsidR="007C44D2" w:rsidRPr="00763EAB">
        <w:rPr>
          <w:lang w:val="en-GB"/>
        </w:rPr>
        <w:t xml:space="preserve">and the small </w:t>
      </w:r>
      <w:r w:rsidR="00EE0835" w:rsidRPr="00763EAB">
        <w:rPr>
          <w:lang w:val="en-GB"/>
        </w:rPr>
        <w:t xml:space="preserve">sample size </w:t>
      </w:r>
      <w:r w:rsidR="001F2BEA" w:rsidRPr="00763EAB">
        <w:rPr>
          <w:lang w:val="en-GB"/>
        </w:rPr>
        <w:t xml:space="preserve">might have made it harder to </w:t>
      </w:r>
      <w:r w:rsidR="001F2BEA" w:rsidRPr="00763EAB">
        <w:rPr>
          <w:lang w:val="en-GB"/>
        </w:rPr>
        <w:lastRenderedPageBreak/>
        <w:t xml:space="preserve">gauge the true size of the associations between perceived neighbourhood, outdoor PA and </w:t>
      </w:r>
      <w:proofErr w:type="spellStart"/>
      <w:r w:rsidR="001F2BEA" w:rsidRPr="00763EAB">
        <w:rPr>
          <w:lang w:val="en-GB"/>
        </w:rPr>
        <w:t>QoL</w:t>
      </w:r>
      <w:proofErr w:type="spellEnd"/>
      <w:r w:rsidR="001F2BEA" w:rsidRPr="00763EAB">
        <w:rPr>
          <w:lang w:val="en-GB"/>
        </w:rPr>
        <w:t xml:space="preserve"> in older adults with and without OA.</w:t>
      </w:r>
      <w:r w:rsidR="008D583E" w:rsidRPr="00763EAB">
        <w:rPr>
          <w:lang w:val="en-GB"/>
        </w:rPr>
        <w:t xml:space="preserve"> </w:t>
      </w:r>
      <w:r w:rsidR="00991DEA" w:rsidRPr="00763EAB">
        <w:rPr>
          <w:lang w:val="en-GB"/>
        </w:rPr>
        <w:t>Finally, a</w:t>
      </w:r>
      <w:r w:rsidR="008D583E" w:rsidRPr="00763EAB">
        <w:rPr>
          <w:lang w:val="en-GB"/>
        </w:rPr>
        <w:t xml:space="preserve">nother limitation is related to the geographical distribution of the study sample. The study sample is drawn from a single county and the participants in this study cannot be considered entirely typical of all men and women of this age in the UK, because they have continued to live </w:t>
      </w:r>
      <w:r w:rsidR="00E50BC7" w:rsidRPr="00763EAB">
        <w:rPr>
          <w:lang w:val="en-GB"/>
        </w:rPr>
        <w:t>in the county of their birth (Syddall et al., 2005)</w:t>
      </w:r>
      <w:r w:rsidR="008D583E" w:rsidRPr="00763EAB">
        <w:rPr>
          <w:lang w:val="en-GB"/>
        </w:rPr>
        <w:t xml:space="preserve">. However, participants of the HCS have been shown to be very similar to those in the nationally representative Health Survey for England on </w:t>
      </w:r>
      <w:r w:rsidR="00E50BC7" w:rsidRPr="00763EAB">
        <w:rPr>
          <w:lang w:val="en-GB"/>
        </w:rPr>
        <w:t>a range of characteristics (Syddall et al., 2005)</w:t>
      </w:r>
      <w:r w:rsidR="00574EFC" w:rsidRPr="00763EAB">
        <w:rPr>
          <w:lang w:val="en-GB"/>
        </w:rPr>
        <w:t>.</w:t>
      </w:r>
      <w:r w:rsidR="00796C9D" w:rsidRPr="00763EAB">
        <w:rPr>
          <w:lang w:val="en-GB"/>
        </w:rPr>
        <w:t xml:space="preserve"> </w:t>
      </w:r>
    </w:p>
    <w:p w:rsidR="00E26647" w:rsidRPr="00763EAB" w:rsidRDefault="00796C9D" w:rsidP="00E26647">
      <w:pPr>
        <w:pStyle w:val="NoSpacing"/>
        <w:spacing w:line="480" w:lineRule="auto"/>
        <w:ind w:firstLine="708"/>
        <w:jc w:val="both"/>
        <w:rPr>
          <w:lang w:val="en-GB"/>
        </w:rPr>
      </w:pPr>
      <w:r w:rsidRPr="00763EAB">
        <w:rPr>
          <w:lang w:val="en-GB"/>
        </w:rPr>
        <w:t>In t</w:t>
      </w:r>
      <w:r w:rsidR="00FE4731" w:rsidRPr="00763EAB">
        <w:rPr>
          <w:lang w:val="en-GB"/>
        </w:rPr>
        <w:t>his</w:t>
      </w:r>
      <w:r w:rsidRPr="00763EAB">
        <w:rPr>
          <w:lang w:val="en-GB"/>
        </w:rPr>
        <w:t xml:space="preserve"> study, the associations between perceived neighbourhood </w:t>
      </w:r>
      <w:proofErr w:type="gramStart"/>
      <w:r w:rsidRPr="00763EAB">
        <w:rPr>
          <w:lang w:val="en-GB"/>
        </w:rPr>
        <w:t>problems,</w:t>
      </w:r>
      <w:proofErr w:type="gramEnd"/>
      <w:r w:rsidRPr="00763EAB">
        <w:rPr>
          <w:lang w:val="en-GB"/>
        </w:rPr>
        <w:t xml:space="preserve"> self-reported outdoor PA and </w:t>
      </w:r>
      <w:proofErr w:type="spellStart"/>
      <w:r w:rsidRPr="00763EAB">
        <w:rPr>
          <w:lang w:val="en-GB"/>
        </w:rPr>
        <w:t>QoL</w:t>
      </w:r>
      <w:proofErr w:type="spellEnd"/>
      <w:r w:rsidRPr="00763EAB">
        <w:rPr>
          <w:lang w:val="en-GB"/>
        </w:rPr>
        <w:t xml:space="preserve"> were examined. Future research should also fo</w:t>
      </w:r>
      <w:r w:rsidR="007E7A69" w:rsidRPr="00763EAB">
        <w:rPr>
          <w:lang w:val="en-GB"/>
        </w:rPr>
        <w:t xml:space="preserve">cus on associations between </w:t>
      </w:r>
      <w:proofErr w:type="spellStart"/>
      <w:r w:rsidR="007E7A69" w:rsidRPr="00763EAB">
        <w:rPr>
          <w:lang w:val="en-GB"/>
        </w:rPr>
        <w:t>QoL</w:t>
      </w:r>
      <w:proofErr w:type="spellEnd"/>
      <w:r w:rsidR="007E7A69" w:rsidRPr="00763EAB">
        <w:rPr>
          <w:lang w:val="en-GB"/>
        </w:rPr>
        <w:t>,</w:t>
      </w:r>
      <w:r w:rsidR="00DB3174" w:rsidRPr="00763EAB">
        <w:rPr>
          <w:lang w:val="en-GB"/>
        </w:rPr>
        <w:t xml:space="preserve"> </w:t>
      </w:r>
      <w:r w:rsidRPr="00763EAB">
        <w:rPr>
          <w:lang w:val="en-GB"/>
        </w:rPr>
        <w:t>objectively measured PA</w:t>
      </w:r>
      <w:r w:rsidR="00DB3174" w:rsidRPr="00763EAB">
        <w:rPr>
          <w:lang w:val="en-GB"/>
        </w:rPr>
        <w:t>,</w:t>
      </w:r>
      <w:r w:rsidRPr="00763EAB">
        <w:rPr>
          <w:lang w:val="en-GB"/>
        </w:rPr>
        <w:t xml:space="preserve"> and </w:t>
      </w:r>
      <w:r w:rsidR="006C0711" w:rsidRPr="00763EAB">
        <w:rPr>
          <w:lang w:val="en-GB"/>
        </w:rPr>
        <w:t xml:space="preserve">objectively measured </w:t>
      </w:r>
      <w:r w:rsidRPr="00763EAB">
        <w:rPr>
          <w:lang w:val="en-GB"/>
        </w:rPr>
        <w:t>neighbourhood problems.</w:t>
      </w:r>
      <w:r w:rsidR="006C0711" w:rsidRPr="00763EAB">
        <w:rPr>
          <w:lang w:val="en-GB"/>
        </w:rPr>
        <w:t xml:space="preserve"> For example, future studies could make use of accelerometers and Global Pos</w:t>
      </w:r>
      <w:r w:rsidR="00D05CC6" w:rsidRPr="00763EAB">
        <w:rPr>
          <w:lang w:val="en-GB"/>
        </w:rPr>
        <w:t>i</w:t>
      </w:r>
      <w:r w:rsidR="006C0711" w:rsidRPr="00763EAB">
        <w:rPr>
          <w:lang w:val="en-GB"/>
        </w:rPr>
        <w:t xml:space="preserve">tion System devices to objectively measure outdoor PA in the neighbourhood. Neighbourhood problems could be objectively measured by using official crime reports, noise exposure measures, </w:t>
      </w:r>
      <w:r w:rsidR="00C06C0F" w:rsidRPr="00763EAB">
        <w:rPr>
          <w:lang w:val="en-GB"/>
        </w:rPr>
        <w:t xml:space="preserve">and </w:t>
      </w:r>
      <w:r w:rsidR="006C0711" w:rsidRPr="00763EAB">
        <w:rPr>
          <w:lang w:val="en-GB"/>
        </w:rPr>
        <w:t>traffic data.</w:t>
      </w:r>
      <w:r w:rsidR="00464DB8" w:rsidRPr="00763EAB">
        <w:rPr>
          <w:lang w:val="en-GB"/>
        </w:rPr>
        <w:t xml:space="preserve"> </w:t>
      </w:r>
      <w:r w:rsidR="00E26647" w:rsidRPr="00763EAB">
        <w:rPr>
          <w:lang w:val="en-GB"/>
        </w:rPr>
        <w:t>The study sample in our study was drawn from a small geographical area, which is characterized by high levels of perceived area satisfaction and low levels of area deprivation compared to other parts of the UK (Hertfordshire County Council, 2016; Hertfordshire Local Information System (</w:t>
      </w:r>
      <w:proofErr w:type="spellStart"/>
      <w:r w:rsidR="00E26647" w:rsidRPr="00763EAB">
        <w:rPr>
          <w:lang w:val="en-GB"/>
        </w:rPr>
        <w:t>HertsLIS</w:t>
      </w:r>
      <w:proofErr w:type="spellEnd"/>
      <w:r w:rsidR="00E26647" w:rsidRPr="00763EAB">
        <w:rPr>
          <w:lang w:val="en-GB"/>
        </w:rPr>
        <w:t xml:space="preserve">), 2016; McLennan et al., 2011; Noble et al., 2008). The associations between </w:t>
      </w:r>
      <w:proofErr w:type="spellStart"/>
      <w:r w:rsidR="00E26647" w:rsidRPr="00763EAB">
        <w:rPr>
          <w:lang w:val="en-GB"/>
        </w:rPr>
        <w:t>QoL</w:t>
      </w:r>
      <w:proofErr w:type="spellEnd"/>
      <w:r w:rsidR="00E26647" w:rsidRPr="00763EAB">
        <w:rPr>
          <w:lang w:val="en-GB"/>
        </w:rPr>
        <w:t xml:space="preserve"> and perceived neighbourhood problems might be stronger in less affluent </w:t>
      </w:r>
      <w:r w:rsidR="00D3754A" w:rsidRPr="00763EAB">
        <w:rPr>
          <w:lang w:val="en-GB"/>
        </w:rPr>
        <w:t xml:space="preserve">and satisfied </w:t>
      </w:r>
      <w:r w:rsidR="00E26647" w:rsidRPr="00763EAB">
        <w:rPr>
          <w:lang w:val="en-GB"/>
        </w:rPr>
        <w:t>areas.</w:t>
      </w:r>
      <w:r w:rsidR="00D3754A" w:rsidRPr="00763EAB">
        <w:rPr>
          <w:lang w:val="en-GB"/>
        </w:rPr>
        <w:t xml:space="preserve"> </w:t>
      </w:r>
      <w:r w:rsidR="00E26647" w:rsidRPr="00763EAB">
        <w:rPr>
          <w:lang w:val="en-GB"/>
        </w:rPr>
        <w:t xml:space="preserve">Future studies </w:t>
      </w:r>
      <w:r w:rsidR="00D3754A" w:rsidRPr="00763EAB">
        <w:rPr>
          <w:lang w:val="en-GB"/>
        </w:rPr>
        <w:t>in different geographical areas are needed to examine this.</w:t>
      </w:r>
    </w:p>
    <w:p w:rsidR="00EE3E55" w:rsidRPr="00763EAB" w:rsidRDefault="003B00F5" w:rsidP="00EE3E55">
      <w:pPr>
        <w:pStyle w:val="NoSpacing"/>
        <w:spacing w:line="480" w:lineRule="auto"/>
        <w:ind w:firstLine="708"/>
        <w:jc w:val="both"/>
        <w:rPr>
          <w:lang w:val="en-GB"/>
        </w:rPr>
      </w:pPr>
      <w:r w:rsidRPr="00763EAB">
        <w:rPr>
          <w:lang w:val="en-GB"/>
        </w:rPr>
        <w:t>In conclusion, t</w:t>
      </w:r>
      <w:r w:rsidR="00FE4731" w:rsidRPr="00763EAB">
        <w:rPr>
          <w:lang w:val="en-GB"/>
        </w:rPr>
        <w:t xml:space="preserve">his </w:t>
      </w:r>
      <w:r w:rsidR="006A5ECB" w:rsidRPr="00763EAB">
        <w:rPr>
          <w:lang w:val="en-GB"/>
        </w:rPr>
        <w:t xml:space="preserve">study shows that </w:t>
      </w:r>
      <w:r w:rsidR="00412AD8" w:rsidRPr="00763EAB">
        <w:rPr>
          <w:lang w:val="en-GB"/>
        </w:rPr>
        <w:t xml:space="preserve">the perception of </w:t>
      </w:r>
      <w:r w:rsidR="00DC7D8F" w:rsidRPr="00763EAB">
        <w:rPr>
          <w:lang w:val="en-GB"/>
        </w:rPr>
        <w:t xml:space="preserve">more </w:t>
      </w:r>
      <w:r w:rsidR="00412AD8" w:rsidRPr="00763EAB">
        <w:rPr>
          <w:lang w:val="en-GB"/>
        </w:rPr>
        <w:t xml:space="preserve">neighbourhood problems was </w:t>
      </w:r>
      <w:r w:rsidR="00DD7CCF" w:rsidRPr="00763EAB">
        <w:rPr>
          <w:lang w:val="en-GB"/>
        </w:rPr>
        <w:t xml:space="preserve">associated with a stronger decrease in </w:t>
      </w:r>
      <w:proofErr w:type="spellStart"/>
      <w:r w:rsidR="00DD7CCF" w:rsidRPr="00763EAB">
        <w:rPr>
          <w:lang w:val="en-GB"/>
        </w:rPr>
        <w:t>QoL</w:t>
      </w:r>
      <w:proofErr w:type="spellEnd"/>
      <w:r w:rsidR="00DD7CCF" w:rsidRPr="00763EAB">
        <w:rPr>
          <w:lang w:val="en-GB"/>
        </w:rPr>
        <w:t xml:space="preserve"> over time in older adults with OA than in those without OA. </w:t>
      </w:r>
      <w:r w:rsidR="00461C34" w:rsidRPr="00763EAB">
        <w:rPr>
          <w:lang w:val="en-GB"/>
        </w:rPr>
        <w:t>Older adults were more likely to have a sign</w:t>
      </w:r>
      <w:r w:rsidR="00B52D39" w:rsidRPr="00763EAB">
        <w:rPr>
          <w:lang w:val="en-GB"/>
        </w:rPr>
        <w:t>i</w:t>
      </w:r>
      <w:r w:rsidR="00461C34" w:rsidRPr="00763EAB">
        <w:rPr>
          <w:lang w:val="en-GB"/>
        </w:rPr>
        <w:t xml:space="preserve">ficant decline in </w:t>
      </w:r>
      <w:proofErr w:type="spellStart"/>
      <w:r w:rsidR="00461C34" w:rsidRPr="00763EAB">
        <w:rPr>
          <w:lang w:val="en-GB"/>
        </w:rPr>
        <w:t>QoL</w:t>
      </w:r>
      <w:proofErr w:type="spellEnd"/>
      <w:r w:rsidR="00461C34" w:rsidRPr="00763EAB">
        <w:rPr>
          <w:lang w:val="en-GB"/>
        </w:rPr>
        <w:t xml:space="preserve"> over time than those without the condition, when they perceive more neighbourhood problems. </w:t>
      </w:r>
      <w:r w:rsidR="00DC7D8F" w:rsidRPr="00763EAB">
        <w:rPr>
          <w:lang w:val="en-US"/>
        </w:rPr>
        <w:lastRenderedPageBreak/>
        <w:t xml:space="preserve">Older adults with OA may be less able to deal with perceived </w:t>
      </w:r>
      <w:proofErr w:type="spellStart"/>
      <w:r w:rsidR="00DC7D8F" w:rsidRPr="00763EAB">
        <w:rPr>
          <w:lang w:val="en-US"/>
        </w:rPr>
        <w:t>neighbourhood</w:t>
      </w:r>
      <w:proofErr w:type="spellEnd"/>
      <w:r w:rsidR="00DC7D8F" w:rsidRPr="00763EAB">
        <w:rPr>
          <w:lang w:val="en-US"/>
        </w:rPr>
        <w:t xml:space="preserve"> problems</w:t>
      </w:r>
      <w:r w:rsidR="00B6354A" w:rsidRPr="00763EAB">
        <w:rPr>
          <w:lang w:val="en-US"/>
        </w:rPr>
        <w:t xml:space="preserve"> and a more challenging environment</w:t>
      </w:r>
      <w:r w:rsidR="00DC7D8F" w:rsidRPr="00763EAB">
        <w:rPr>
          <w:lang w:val="en-US"/>
        </w:rPr>
        <w:t xml:space="preserve"> in comparison to </w:t>
      </w:r>
      <w:r w:rsidR="00461C34" w:rsidRPr="00763EAB">
        <w:rPr>
          <w:lang w:val="en-US"/>
        </w:rPr>
        <w:t xml:space="preserve">their counterparts without OA </w:t>
      </w:r>
      <w:r w:rsidR="00DC7D8F" w:rsidRPr="00763EAB">
        <w:rPr>
          <w:lang w:val="en-US"/>
        </w:rPr>
        <w:t xml:space="preserve">and, as a consequence, their </w:t>
      </w:r>
      <w:proofErr w:type="spellStart"/>
      <w:r w:rsidR="00DC7D8F" w:rsidRPr="00763EAB">
        <w:rPr>
          <w:lang w:val="en-US"/>
        </w:rPr>
        <w:t>QoL</w:t>
      </w:r>
      <w:proofErr w:type="spellEnd"/>
      <w:r w:rsidR="00DC7D8F" w:rsidRPr="00763EAB">
        <w:rPr>
          <w:lang w:val="en-US"/>
        </w:rPr>
        <w:t xml:space="preserve"> decreases more over time. </w:t>
      </w:r>
      <w:r w:rsidR="00461C34" w:rsidRPr="00763EAB">
        <w:rPr>
          <w:lang w:val="en-GB"/>
        </w:rPr>
        <w:t xml:space="preserve">In order to improve </w:t>
      </w:r>
      <w:proofErr w:type="spellStart"/>
      <w:r w:rsidR="00461C34" w:rsidRPr="00763EAB">
        <w:rPr>
          <w:lang w:val="en-GB"/>
        </w:rPr>
        <w:t>QoL</w:t>
      </w:r>
      <w:proofErr w:type="spellEnd"/>
      <w:r w:rsidR="00412AD8" w:rsidRPr="00763EAB">
        <w:rPr>
          <w:lang w:val="en-GB"/>
        </w:rPr>
        <w:t xml:space="preserve"> of healthy and functionally-impaired older adults, such as those with OA, it is important that policymakers and city planners are in close contact with the residents of a neighbourhood to monitor and to address their pe</w:t>
      </w:r>
      <w:r w:rsidR="00EE3E55" w:rsidRPr="00763EAB">
        <w:rPr>
          <w:lang w:val="en-GB"/>
        </w:rPr>
        <w:t>rceived neighbourhood problems.</w:t>
      </w:r>
    </w:p>
    <w:p w:rsidR="00763EAB" w:rsidRPr="00763EAB" w:rsidRDefault="00763EAB">
      <w:pPr>
        <w:spacing w:after="200" w:line="276" w:lineRule="auto"/>
        <w:rPr>
          <w:b/>
          <w:lang w:val="en-US"/>
        </w:rPr>
      </w:pPr>
      <w:r w:rsidRPr="00763EAB">
        <w:rPr>
          <w:b/>
          <w:lang w:val="en-US"/>
        </w:rPr>
        <w:br w:type="page"/>
      </w:r>
    </w:p>
    <w:p w:rsidR="007C44D2" w:rsidRPr="00763EAB" w:rsidRDefault="007C44D2" w:rsidP="007C44D2">
      <w:pPr>
        <w:spacing w:after="200" w:line="276" w:lineRule="auto"/>
        <w:rPr>
          <w:b/>
          <w:lang w:val="en-US"/>
        </w:rPr>
      </w:pPr>
      <w:r w:rsidRPr="00763EAB">
        <w:rPr>
          <w:b/>
          <w:lang w:val="en-US"/>
        </w:rPr>
        <w:lastRenderedPageBreak/>
        <w:t>R</w:t>
      </w:r>
      <w:r w:rsidR="003B00F5" w:rsidRPr="00763EAB">
        <w:rPr>
          <w:b/>
          <w:lang w:val="en-US"/>
        </w:rPr>
        <w:t>eferences</w:t>
      </w:r>
    </w:p>
    <w:p w:rsidR="00D779D8" w:rsidRPr="00763EAB" w:rsidRDefault="00D779D8" w:rsidP="00D779D8">
      <w:pPr>
        <w:spacing w:line="480" w:lineRule="auto"/>
        <w:ind w:left="426" w:hanging="426"/>
        <w:jc w:val="both"/>
        <w:rPr>
          <w:lang w:val="en-GB"/>
        </w:rPr>
      </w:pPr>
      <w:r w:rsidRPr="00763EAB">
        <w:rPr>
          <w:lang w:val="en-GB"/>
        </w:rPr>
        <w:t>Aiken</w:t>
      </w:r>
      <w:r w:rsidR="00F93BBB" w:rsidRPr="00763EAB">
        <w:rPr>
          <w:lang w:val="en-GB"/>
        </w:rPr>
        <w:t>,</w:t>
      </w:r>
      <w:r w:rsidRPr="00763EAB">
        <w:rPr>
          <w:lang w:val="en-GB"/>
        </w:rPr>
        <w:t xml:space="preserve"> L</w:t>
      </w:r>
      <w:r w:rsidR="00F93BBB" w:rsidRPr="00763EAB">
        <w:rPr>
          <w:lang w:val="en-GB"/>
        </w:rPr>
        <w:t>.</w:t>
      </w:r>
      <w:r w:rsidRPr="00763EAB">
        <w:rPr>
          <w:lang w:val="en-GB"/>
        </w:rPr>
        <w:t>S</w:t>
      </w:r>
      <w:r w:rsidR="00F93BBB" w:rsidRPr="00763EAB">
        <w:rPr>
          <w:lang w:val="en-GB"/>
        </w:rPr>
        <w:t>.</w:t>
      </w:r>
      <w:r w:rsidRPr="00763EAB">
        <w:rPr>
          <w:lang w:val="en-GB"/>
        </w:rPr>
        <w:t>, West</w:t>
      </w:r>
      <w:r w:rsidR="00F93BBB" w:rsidRPr="00763EAB">
        <w:rPr>
          <w:lang w:val="en-GB"/>
        </w:rPr>
        <w:t>,</w:t>
      </w:r>
      <w:r w:rsidRPr="00763EAB">
        <w:rPr>
          <w:lang w:val="en-GB"/>
        </w:rPr>
        <w:t xml:space="preserve"> S</w:t>
      </w:r>
      <w:r w:rsidR="00F93BBB" w:rsidRPr="00763EAB">
        <w:rPr>
          <w:lang w:val="en-GB"/>
        </w:rPr>
        <w:t>.</w:t>
      </w:r>
      <w:r w:rsidRPr="00763EAB">
        <w:rPr>
          <w:lang w:val="en-GB"/>
        </w:rPr>
        <w:t>G.</w:t>
      </w:r>
      <w:r w:rsidR="00A6117D" w:rsidRPr="00763EAB">
        <w:rPr>
          <w:lang w:val="en-GB"/>
        </w:rPr>
        <w:t>,</w:t>
      </w:r>
      <w:r w:rsidRPr="00763EAB">
        <w:rPr>
          <w:lang w:val="en-GB"/>
        </w:rPr>
        <w:t xml:space="preserve"> </w:t>
      </w:r>
      <w:r w:rsidR="00AB488D" w:rsidRPr="00763EAB">
        <w:rPr>
          <w:lang w:val="en-GB"/>
        </w:rPr>
        <w:t xml:space="preserve">1991. </w:t>
      </w:r>
      <w:r w:rsidRPr="00763EAB">
        <w:rPr>
          <w:lang w:val="en-GB"/>
        </w:rPr>
        <w:t xml:space="preserve">Multiple </w:t>
      </w:r>
      <w:proofErr w:type="gramStart"/>
      <w:r w:rsidRPr="00763EAB">
        <w:rPr>
          <w:lang w:val="en-GB"/>
        </w:rPr>
        <w:t>regression</w:t>
      </w:r>
      <w:proofErr w:type="gramEnd"/>
      <w:r w:rsidRPr="00763EAB">
        <w:rPr>
          <w:lang w:val="en-GB"/>
        </w:rPr>
        <w:t xml:space="preserve">: Testing and Interpreting Interactions. SAGE Publications, </w:t>
      </w:r>
      <w:proofErr w:type="spellStart"/>
      <w:r w:rsidRPr="00763EAB">
        <w:rPr>
          <w:lang w:val="en-GB"/>
        </w:rPr>
        <w:t>Inc</w:t>
      </w:r>
      <w:proofErr w:type="spellEnd"/>
      <w:r w:rsidRPr="00763EAB">
        <w:rPr>
          <w:lang w:val="en-GB"/>
        </w:rPr>
        <w:t xml:space="preserve">, </w:t>
      </w:r>
      <w:r w:rsidR="00AB488D" w:rsidRPr="00763EAB">
        <w:rPr>
          <w:lang w:val="en-GB"/>
        </w:rPr>
        <w:t>Thousand Oaks, CA.</w:t>
      </w:r>
    </w:p>
    <w:p w:rsidR="00D779D8" w:rsidRPr="00763EAB" w:rsidRDefault="00D779D8" w:rsidP="00D779D8">
      <w:pPr>
        <w:spacing w:line="480" w:lineRule="auto"/>
        <w:ind w:left="426" w:hanging="426"/>
        <w:jc w:val="both"/>
        <w:rPr>
          <w:lang w:val="en-GB"/>
        </w:rPr>
      </w:pPr>
      <w:r w:rsidRPr="00763EAB">
        <w:rPr>
          <w:lang w:val="en-US"/>
        </w:rPr>
        <w:t>Ali</w:t>
      </w:r>
      <w:r w:rsidR="00F93BBB" w:rsidRPr="00763EAB">
        <w:rPr>
          <w:lang w:val="en-US"/>
        </w:rPr>
        <w:t>,</w:t>
      </w:r>
      <w:r w:rsidRPr="00763EAB">
        <w:rPr>
          <w:lang w:val="en-US"/>
        </w:rPr>
        <w:t xml:space="preserve"> R</w:t>
      </w:r>
      <w:r w:rsidR="00F93BBB" w:rsidRPr="00763EAB">
        <w:rPr>
          <w:lang w:val="en-US"/>
        </w:rPr>
        <w:t>.</w:t>
      </w:r>
      <w:r w:rsidRPr="00763EAB">
        <w:rPr>
          <w:lang w:val="en-US"/>
        </w:rPr>
        <w:t xml:space="preserve">, </w:t>
      </w:r>
      <w:proofErr w:type="spellStart"/>
      <w:r w:rsidRPr="00763EAB">
        <w:rPr>
          <w:lang w:val="en-US"/>
        </w:rPr>
        <w:t>Binmore</w:t>
      </w:r>
      <w:proofErr w:type="spellEnd"/>
      <w:r w:rsidR="00F93BBB" w:rsidRPr="00763EAB">
        <w:rPr>
          <w:lang w:val="en-US"/>
        </w:rPr>
        <w:t>,</w:t>
      </w:r>
      <w:r w:rsidRPr="00763EAB">
        <w:rPr>
          <w:lang w:val="en-US"/>
        </w:rPr>
        <w:t xml:space="preserve"> R</w:t>
      </w:r>
      <w:r w:rsidR="00F93BBB" w:rsidRPr="00763EAB">
        <w:rPr>
          <w:lang w:val="en-US"/>
        </w:rPr>
        <w:t>.</w:t>
      </w:r>
      <w:r w:rsidRPr="00763EAB">
        <w:rPr>
          <w:lang w:val="en-US"/>
        </w:rPr>
        <w:t xml:space="preserve">, </w:t>
      </w:r>
      <w:proofErr w:type="gramStart"/>
      <w:r w:rsidRPr="00763EAB">
        <w:rPr>
          <w:lang w:val="en-US"/>
        </w:rPr>
        <w:t xml:space="preserve">Dunstan </w:t>
      </w:r>
      <w:r w:rsidR="00F93BBB" w:rsidRPr="00763EAB">
        <w:rPr>
          <w:lang w:val="en-US"/>
        </w:rPr>
        <w:t>,</w:t>
      </w:r>
      <w:r w:rsidRPr="00763EAB">
        <w:rPr>
          <w:lang w:val="en-US"/>
        </w:rPr>
        <w:t>S</w:t>
      </w:r>
      <w:proofErr w:type="gramEnd"/>
      <w:r w:rsidR="00F93BBB" w:rsidRPr="00763EAB">
        <w:rPr>
          <w:lang w:val="en-US"/>
        </w:rPr>
        <w:t>.</w:t>
      </w:r>
      <w:r w:rsidRPr="00763EAB">
        <w:rPr>
          <w:lang w:val="en-US"/>
        </w:rPr>
        <w:t>, et al.</w:t>
      </w:r>
      <w:r w:rsidR="00A6117D" w:rsidRPr="00763EAB">
        <w:rPr>
          <w:lang w:val="en-US"/>
        </w:rPr>
        <w:t>,</w:t>
      </w:r>
      <w:r w:rsidRPr="00763EAB">
        <w:rPr>
          <w:lang w:val="en-US"/>
        </w:rPr>
        <w:t xml:space="preserve"> </w:t>
      </w:r>
      <w:r w:rsidR="00AB488D" w:rsidRPr="00763EAB">
        <w:rPr>
          <w:lang w:val="en-US"/>
        </w:rPr>
        <w:t xml:space="preserve">2009. </w:t>
      </w:r>
      <w:r w:rsidRPr="00763EAB">
        <w:rPr>
          <w:lang w:val="en-GB"/>
        </w:rPr>
        <w:t xml:space="preserve">General Household Survey 2007. </w:t>
      </w:r>
      <w:proofErr w:type="gramStart"/>
      <w:r w:rsidRPr="00763EAB">
        <w:rPr>
          <w:lang w:val="en-GB"/>
        </w:rPr>
        <w:t xml:space="preserve">Office for National Statistics, </w:t>
      </w:r>
      <w:r w:rsidR="00AB488D" w:rsidRPr="00763EAB">
        <w:rPr>
          <w:lang w:val="en-GB"/>
        </w:rPr>
        <w:t>Newport.</w:t>
      </w:r>
      <w:proofErr w:type="gramEnd"/>
    </w:p>
    <w:p w:rsidR="00D779D8" w:rsidRPr="00763EAB" w:rsidRDefault="00D779D8" w:rsidP="00D779D8">
      <w:pPr>
        <w:spacing w:line="480" w:lineRule="auto"/>
        <w:ind w:left="426" w:hanging="426"/>
        <w:jc w:val="both"/>
        <w:rPr>
          <w:shd w:val="clear" w:color="auto" w:fill="FFFFFF"/>
          <w:lang w:val="en-GB"/>
        </w:rPr>
      </w:pPr>
      <w:r w:rsidRPr="00763EAB">
        <w:rPr>
          <w:lang w:val="en-GB"/>
        </w:rPr>
        <w:t>Altman</w:t>
      </w:r>
      <w:r w:rsidR="00F93BBB" w:rsidRPr="00763EAB">
        <w:rPr>
          <w:lang w:val="en-GB"/>
        </w:rPr>
        <w:t>,</w:t>
      </w:r>
      <w:r w:rsidRPr="00763EAB">
        <w:rPr>
          <w:lang w:val="en-GB"/>
        </w:rPr>
        <w:t xml:space="preserve"> R</w:t>
      </w:r>
      <w:r w:rsidR="00F93BBB" w:rsidRPr="00763EAB">
        <w:rPr>
          <w:lang w:val="en-GB"/>
        </w:rPr>
        <w:t>.</w:t>
      </w:r>
      <w:r w:rsidRPr="00763EAB">
        <w:rPr>
          <w:lang w:val="en-GB"/>
        </w:rPr>
        <w:t>D.</w:t>
      </w:r>
      <w:r w:rsidR="00A6117D" w:rsidRPr="00763EAB">
        <w:rPr>
          <w:lang w:val="en-GB"/>
        </w:rPr>
        <w:t>, 1991.</w:t>
      </w:r>
      <w:r w:rsidRPr="00763EAB">
        <w:rPr>
          <w:lang w:val="en-GB"/>
        </w:rPr>
        <w:t xml:space="preserve"> Classification of Disease: Osteoarthritis</w:t>
      </w:r>
      <w:r w:rsidRPr="00763EAB">
        <w:rPr>
          <w:b/>
          <w:lang w:val="en-GB"/>
        </w:rPr>
        <w:t>.</w:t>
      </w:r>
      <w:r w:rsidRPr="00763EAB">
        <w:rPr>
          <w:lang w:val="en-GB"/>
        </w:rPr>
        <w:t xml:space="preserve"> </w:t>
      </w:r>
      <w:proofErr w:type="spellStart"/>
      <w:proofErr w:type="gramStart"/>
      <w:r w:rsidRPr="00763EAB">
        <w:rPr>
          <w:shd w:val="clear" w:color="auto" w:fill="FFFFFF"/>
          <w:lang w:val="en-GB"/>
        </w:rPr>
        <w:t>Semin</w:t>
      </w:r>
      <w:proofErr w:type="spellEnd"/>
      <w:r w:rsidR="00CE3836" w:rsidRPr="00763EAB">
        <w:rPr>
          <w:shd w:val="clear" w:color="auto" w:fill="FFFFFF"/>
          <w:lang w:val="en-GB"/>
        </w:rPr>
        <w:t>.</w:t>
      </w:r>
      <w:proofErr w:type="gramEnd"/>
      <w:r w:rsidRPr="00763EAB">
        <w:rPr>
          <w:shd w:val="clear" w:color="auto" w:fill="FFFFFF"/>
          <w:lang w:val="en-GB"/>
        </w:rPr>
        <w:t xml:space="preserve"> </w:t>
      </w:r>
      <w:proofErr w:type="gramStart"/>
      <w:r w:rsidRPr="00763EAB">
        <w:rPr>
          <w:shd w:val="clear" w:color="auto" w:fill="FFFFFF"/>
          <w:lang w:val="en-GB"/>
        </w:rPr>
        <w:t>Arthritis Rheum</w:t>
      </w:r>
      <w:r w:rsidR="00CE3836" w:rsidRPr="00763EAB">
        <w:rPr>
          <w:shd w:val="clear" w:color="auto" w:fill="FFFFFF"/>
          <w:lang w:val="en-GB"/>
        </w:rPr>
        <w:t>.</w:t>
      </w:r>
      <w:proofErr w:type="gramEnd"/>
      <w:r w:rsidRPr="00763EAB">
        <w:rPr>
          <w:shd w:val="clear" w:color="auto" w:fill="FFFFFF"/>
          <w:lang w:val="en-GB"/>
        </w:rPr>
        <w:t xml:space="preserve"> </w:t>
      </w:r>
      <w:r w:rsidR="00A6117D" w:rsidRPr="00763EAB">
        <w:rPr>
          <w:shd w:val="clear" w:color="auto" w:fill="FFFFFF"/>
          <w:lang w:val="en-GB"/>
        </w:rPr>
        <w:t xml:space="preserve">20, </w:t>
      </w:r>
      <w:r w:rsidRPr="00763EAB">
        <w:rPr>
          <w:shd w:val="clear" w:color="auto" w:fill="FFFFFF"/>
          <w:lang w:val="en-GB"/>
        </w:rPr>
        <w:t>40-47.</w:t>
      </w:r>
    </w:p>
    <w:p w:rsidR="00D779D8" w:rsidRPr="00763EAB" w:rsidRDefault="00D779D8" w:rsidP="00D779D8">
      <w:pPr>
        <w:spacing w:line="480" w:lineRule="auto"/>
        <w:ind w:left="426" w:hanging="426"/>
        <w:jc w:val="both"/>
        <w:rPr>
          <w:lang w:val="en-US"/>
        </w:rPr>
      </w:pPr>
      <w:proofErr w:type="gramStart"/>
      <w:r w:rsidRPr="00763EAB">
        <w:rPr>
          <w:lang w:val="en-GB"/>
        </w:rPr>
        <w:t>Baron</w:t>
      </w:r>
      <w:r w:rsidR="00F93BBB" w:rsidRPr="00763EAB">
        <w:rPr>
          <w:lang w:val="en-GB"/>
        </w:rPr>
        <w:t>,</w:t>
      </w:r>
      <w:r w:rsidRPr="00763EAB">
        <w:rPr>
          <w:lang w:val="en-GB"/>
        </w:rPr>
        <w:t xml:space="preserve"> R</w:t>
      </w:r>
      <w:r w:rsidR="00F93BBB" w:rsidRPr="00763EAB">
        <w:rPr>
          <w:lang w:val="en-GB"/>
        </w:rPr>
        <w:t>.</w:t>
      </w:r>
      <w:r w:rsidRPr="00763EAB">
        <w:rPr>
          <w:lang w:val="en-GB"/>
        </w:rPr>
        <w:t>M</w:t>
      </w:r>
      <w:r w:rsidR="00F93BBB" w:rsidRPr="00763EAB">
        <w:rPr>
          <w:lang w:val="en-GB"/>
        </w:rPr>
        <w:t>.</w:t>
      </w:r>
      <w:r w:rsidRPr="00763EAB">
        <w:rPr>
          <w:lang w:val="en-GB"/>
        </w:rPr>
        <w:t>, Kenny</w:t>
      </w:r>
      <w:r w:rsidR="00F93BBB" w:rsidRPr="00763EAB">
        <w:rPr>
          <w:lang w:val="en-GB"/>
        </w:rPr>
        <w:t>,</w:t>
      </w:r>
      <w:r w:rsidRPr="00763EAB">
        <w:rPr>
          <w:lang w:val="en-GB"/>
        </w:rPr>
        <w:t xml:space="preserve"> D</w:t>
      </w:r>
      <w:r w:rsidR="00F93BBB" w:rsidRPr="00763EAB">
        <w:rPr>
          <w:lang w:val="en-GB"/>
        </w:rPr>
        <w:t>.</w:t>
      </w:r>
      <w:r w:rsidRPr="00763EAB">
        <w:rPr>
          <w:lang w:val="en-GB"/>
        </w:rPr>
        <w:t>A.</w:t>
      </w:r>
      <w:r w:rsidR="00A6117D" w:rsidRPr="00763EAB">
        <w:rPr>
          <w:lang w:val="en-GB"/>
        </w:rPr>
        <w:t>, 1986.</w:t>
      </w:r>
      <w:proofErr w:type="gramEnd"/>
      <w:r w:rsidRPr="00763EAB">
        <w:rPr>
          <w:lang w:val="en-GB"/>
        </w:rPr>
        <w:t xml:space="preserve"> The moderator-mediator variable distinction in social psychological research: conceptual, strategic, and statistical considerations. </w:t>
      </w:r>
      <w:r w:rsidRPr="00763EAB">
        <w:rPr>
          <w:lang w:val="en-US"/>
        </w:rPr>
        <w:t>J</w:t>
      </w:r>
      <w:r w:rsidR="00CE3836" w:rsidRPr="00763EAB">
        <w:rPr>
          <w:lang w:val="en-US"/>
        </w:rPr>
        <w:t>.</w:t>
      </w:r>
      <w:r w:rsidRPr="00763EAB">
        <w:rPr>
          <w:lang w:val="en-US"/>
        </w:rPr>
        <w:t xml:space="preserve"> Pers</w:t>
      </w:r>
      <w:r w:rsidR="00CE3836" w:rsidRPr="00763EAB">
        <w:rPr>
          <w:lang w:val="en-US"/>
        </w:rPr>
        <w:t>.</w:t>
      </w:r>
      <w:r w:rsidRPr="00763EAB">
        <w:rPr>
          <w:lang w:val="en-US"/>
        </w:rPr>
        <w:t xml:space="preserve"> Soc</w:t>
      </w:r>
      <w:r w:rsidR="00CE3836" w:rsidRPr="00763EAB">
        <w:rPr>
          <w:lang w:val="en-US"/>
        </w:rPr>
        <w:t>.</w:t>
      </w:r>
      <w:r w:rsidRPr="00763EAB">
        <w:rPr>
          <w:lang w:val="en-US"/>
        </w:rPr>
        <w:t xml:space="preserve"> Psychol</w:t>
      </w:r>
      <w:r w:rsidR="00CE3836" w:rsidRPr="00763EAB">
        <w:rPr>
          <w:lang w:val="en-US"/>
        </w:rPr>
        <w:t>.</w:t>
      </w:r>
      <w:r w:rsidRPr="00763EAB">
        <w:rPr>
          <w:lang w:val="en-US"/>
        </w:rPr>
        <w:t xml:space="preserve"> </w:t>
      </w:r>
      <w:r w:rsidR="00A6117D" w:rsidRPr="00763EAB">
        <w:rPr>
          <w:lang w:val="en-US"/>
        </w:rPr>
        <w:t xml:space="preserve">51, </w:t>
      </w:r>
      <w:r w:rsidRPr="00763EAB">
        <w:rPr>
          <w:lang w:val="en-US"/>
        </w:rPr>
        <w:t>1173-1182.</w:t>
      </w:r>
    </w:p>
    <w:p w:rsidR="00C47554" w:rsidRPr="00763EAB" w:rsidRDefault="00C47554" w:rsidP="00C47554">
      <w:pPr>
        <w:spacing w:line="480" w:lineRule="auto"/>
        <w:ind w:left="284" w:hanging="284"/>
        <w:jc w:val="both"/>
        <w:rPr>
          <w:lang w:val="en-GB"/>
        </w:rPr>
      </w:pPr>
      <w:r w:rsidRPr="00763EAB">
        <w:rPr>
          <w:lang w:val="en-GB"/>
        </w:rPr>
        <w:t>Brooks</w:t>
      </w:r>
      <w:r w:rsidR="00F93BBB" w:rsidRPr="00763EAB">
        <w:rPr>
          <w:lang w:val="en-GB"/>
        </w:rPr>
        <w:t>,</w:t>
      </w:r>
      <w:r w:rsidRPr="00763EAB">
        <w:rPr>
          <w:lang w:val="en-GB"/>
        </w:rPr>
        <w:t xml:space="preserve"> P</w:t>
      </w:r>
      <w:r w:rsidR="00F93BBB" w:rsidRPr="00763EAB">
        <w:rPr>
          <w:lang w:val="en-GB"/>
        </w:rPr>
        <w:t>.</w:t>
      </w:r>
      <w:r w:rsidRPr="00763EAB">
        <w:rPr>
          <w:lang w:val="en-GB"/>
        </w:rPr>
        <w:t>M.</w:t>
      </w:r>
      <w:r w:rsidR="00A6117D" w:rsidRPr="00763EAB">
        <w:rPr>
          <w:lang w:val="en-GB"/>
        </w:rPr>
        <w:t xml:space="preserve">, 2012. </w:t>
      </w:r>
      <w:r w:rsidRPr="00763EAB">
        <w:rPr>
          <w:lang w:val="en-GB"/>
        </w:rPr>
        <w:t xml:space="preserve">Impact of osteoarthritis on individuals and society: how much disability? </w:t>
      </w:r>
      <w:proofErr w:type="gramStart"/>
      <w:r w:rsidRPr="00763EAB">
        <w:rPr>
          <w:lang w:val="en-GB"/>
        </w:rPr>
        <w:t>Social consequences and health economic implic</w:t>
      </w:r>
      <w:r w:rsidR="00A6117D" w:rsidRPr="00763EAB">
        <w:rPr>
          <w:lang w:val="en-GB"/>
        </w:rPr>
        <w:t>ation.</w:t>
      </w:r>
      <w:proofErr w:type="gramEnd"/>
      <w:r w:rsidR="00A6117D" w:rsidRPr="00763EAB">
        <w:rPr>
          <w:lang w:val="en-GB"/>
        </w:rPr>
        <w:t xml:space="preserve"> </w:t>
      </w:r>
      <w:proofErr w:type="spellStart"/>
      <w:proofErr w:type="gramStart"/>
      <w:r w:rsidR="00A6117D" w:rsidRPr="00763EAB">
        <w:rPr>
          <w:lang w:val="en-GB"/>
        </w:rPr>
        <w:t>Curr</w:t>
      </w:r>
      <w:proofErr w:type="spellEnd"/>
      <w:r w:rsidR="00CE3836" w:rsidRPr="00763EAB">
        <w:rPr>
          <w:lang w:val="en-GB"/>
        </w:rPr>
        <w:t>.</w:t>
      </w:r>
      <w:proofErr w:type="gramEnd"/>
      <w:r w:rsidR="00A6117D" w:rsidRPr="00763EAB">
        <w:rPr>
          <w:lang w:val="en-GB"/>
        </w:rPr>
        <w:t xml:space="preserve"> </w:t>
      </w:r>
      <w:proofErr w:type="spellStart"/>
      <w:proofErr w:type="gramStart"/>
      <w:r w:rsidR="00A6117D" w:rsidRPr="00763EAB">
        <w:rPr>
          <w:lang w:val="en-GB"/>
        </w:rPr>
        <w:t>Opin</w:t>
      </w:r>
      <w:proofErr w:type="spellEnd"/>
      <w:r w:rsidR="00CE3836" w:rsidRPr="00763EAB">
        <w:rPr>
          <w:lang w:val="en-GB"/>
        </w:rPr>
        <w:t>.</w:t>
      </w:r>
      <w:proofErr w:type="gramEnd"/>
      <w:r w:rsidR="00A6117D" w:rsidRPr="00763EAB">
        <w:rPr>
          <w:lang w:val="en-GB"/>
        </w:rPr>
        <w:t xml:space="preserve"> </w:t>
      </w:r>
      <w:proofErr w:type="spellStart"/>
      <w:proofErr w:type="gramStart"/>
      <w:r w:rsidR="00A6117D" w:rsidRPr="00763EAB">
        <w:rPr>
          <w:lang w:val="en-GB"/>
        </w:rPr>
        <w:t>Rheumatol</w:t>
      </w:r>
      <w:proofErr w:type="spellEnd"/>
      <w:r w:rsidR="00CE3836" w:rsidRPr="00763EAB">
        <w:rPr>
          <w:lang w:val="en-GB"/>
        </w:rPr>
        <w:t>.</w:t>
      </w:r>
      <w:proofErr w:type="gramEnd"/>
      <w:r w:rsidR="00A6117D" w:rsidRPr="00763EAB">
        <w:rPr>
          <w:lang w:val="en-GB"/>
        </w:rPr>
        <w:t xml:space="preserve"> 14, </w:t>
      </w:r>
      <w:r w:rsidRPr="00763EAB">
        <w:rPr>
          <w:lang w:val="en-GB"/>
        </w:rPr>
        <w:t xml:space="preserve">573-577. </w:t>
      </w:r>
    </w:p>
    <w:p w:rsidR="00D779D8" w:rsidRPr="00763EAB" w:rsidRDefault="00D779D8" w:rsidP="00D779D8">
      <w:pPr>
        <w:tabs>
          <w:tab w:val="left" w:pos="426"/>
        </w:tabs>
        <w:spacing w:line="480" w:lineRule="auto"/>
        <w:ind w:left="420" w:hanging="420"/>
        <w:jc w:val="both"/>
        <w:rPr>
          <w:lang w:val="en-US"/>
        </w:rPr>
      </w:pPr>
      <w:proofErr w:type="gramStart"/>
      <w:r w:rsidRPr="00763EAB">
        <w:rPr>
          <w:lang w:val="en-GB"/>
        </w:rPr>
        <w:t>Brooks</w:t>
      </w:r>
      <w:r w:rsidR="00F93BBB" w:rsidRPr="00763EAB">
        <w:rPr>
          <w:lang w:val="en-GB"/>
        </w:rPr>
        <w:t>,</w:t>
      </w:r>
      <w:r w:rsidRPr="00763EAB">
        <w:rPr>
          <w:lang w:val="en-GB"/>
        </w:rPr>
        <w:t xml:space="preserve"> R</w:t>
      </w:r>
      <w:r w:rsidR="00F93BBB" w:rsidRPr="00763EAB">
        <w:rPr>
          <w:lang w:val="en-GB"/>
        </w:rPr>
        <w:t>.</w:t>
      </w:r>
      <w:r w:rsidRPr="00763EAB">
        <w:rPr>
          <w:lang w:val="en-GB"/>
        </w:rPr>
        <w:t>, Rabin</w:t>
      </w:r>
      <w:r w:rsidR="00F93BBB" w:rsidRPr="00763EAB">
        <w:rPr>
          <w:lang w:val="en-GB"/>
        </w:rPr>
        <w:t>,</w:t>
      </w:r>
      <w:r w:rsidRPr="00763EAB">
        <w:rPr>
          <w:lang w:val="en-GB"/>
        </w:rPr>
        <w:t xml:space="preserve"> R</w:t>
      </w:r>
      <w:r w:rsidR="00F93BBB" w:rsidRPr="00763EAB">
        <w:rPr>
          <w:lang w:val="en-GB"/>
        </w:rPr>
        <w:t>.</w:t>
      </w:r>
      <w:r w:rsidRPr="00763EAB">
        <w:rPr>
          <w:lang w:val="en-GB"/>
        </w:rPr>
        <w:t xml:space="preserve">, de </w:t>
      </w:r>
      <w:proofErr w:type="spellStart"/>
      <w:r w:rsidRPr="00763EAB">
        <w:rPr>
          <w:lang w:val="en-GB"/>
        </w:rPr>
        <w:t>Charro</w:t>
      </w:r>
      <w:proofErr w:type="spellEnd"/>
      <w:r w:rsidR="00F93BBB" w:rsidRPr="00763EAB">
        <w:rPr>
          <w:lang w:val="en-GB"/>
        </w:rPr>
        <w:t>,</w:t>
      </w:r>
      <w:r w:rsidRPr="00763EAB">
        <w:rPr>
          <w:lang w:val="en-GB"/>
        </w:rPr>
        <w:t xml:space="preserve"> F.</w:t>
      </w:r>
      <w:r w:rsidR="00A6117D" w:rsidRPr="00763EAB">
        <w:rPr>
          <w:lang w:val="en-GB"/>
        </w:rPr>
        <w:t>, 2003.</w:t>
      </w:r>
      <w:proofErr w:type="gramEnd"/>
      <w:r w:rsidRPr="00763EAB">
        <w:rPr>
          <w:lang w:val="en-GB"/>
        </w:rPr>
        <w:t xml:space="preserve"> The measurement and valuation of health status using EQ-5D: a European perspective. </w:t>
      </w:r>
      <w:proofErr w:type="gramStart"/>
      <w:r w:rsidRPr="00763EAB">
        <w:rPr>
          <w:lang w:val="en-US"/>
        </w:rPr>
        <w:t>Kluwer Academic Publishers,</w:t>
      </w:r>
      <w:r w:rsidR="00A6117D" w:rsidRPr="00763EAB">
        <w:rPr>
          <w:lang w:val="en-US"/>
        </w:rPr>
        <w:t xml:space="preserve"> Dordrecht</w:t>
      </w:r>
      <w:r w:rsidRPr="00763EAB">
        <w:rPr>
          <w:lang w:val="en-US"/>
        </w:rPr>
        <w:t>.</w:t>
      </w:r>
      <w:proofErr w:type="gramEnd"/>
    </w:p>
    <w:p w:rsidR="005800A4" w:rsidRPr="00763EAB" w:rsidRDefault="00F53BD5" w:rsidP="00C47554">
      <w:pPr>
        <w:spacing w:line="480" w:lineRule="auto"/>
        <w:ind w:left="284" w:hanging="284"/>
        <w:jc w:val="both"/>
      </w:pPr>
      <w:proofErr w:type="gramStart"/>
      <w:r w:rsidRPr="00763EAB">
        <w:rPr>
          <w:lang w:val="en-US"/>
        </w:rPr>
        <w:t xml:space="preserve">Dawson, J., </w:t>
      </w:r>
      <w:proofErr w:type="spellStart"/>
      <w:r w:rsidRPr="00763EAB">
        <w:rPr>
          <w:lang w:val="en-US"/>
        </w:rPr>
        <w:t>Hillsdon</w:t>
      </w:r>
      <w:proofErr w:type="spellEnd"/>
      <w:r w:rsidRPr="00763EAB">
        <w:rPr>
          <w:lang w:val="en-US"/>
        </w:rPr>
        <w:t xml:space="preserve">, M., </w:t>
      </w:r>
      <w:proofErr w:type="spellStart"/>
      <w:r w:rsidRPr="00763EAB">
        <w:rPr>
          <w:lang w:val="en-US"/>
        </w:rPr>
        <w:t>Boller</w:t>
      </w:r>
      <w:proofErr w:type="spellEnd"/>
      <w:r w:rsidRPr="00763EAB">
        <w:rPr>
          <w:lang w:val="en-US"/>
        </w:rPr>
        <w:t>, I., et al., 2007.</w:t>
      </w:r>
      <w:proofErr w:type="gramEnd"/>
      <w:r w:rsidRPr="00763EAB">
        <w:rPr>
          <w:lang w:val="en-US"/>
        </w:rPr>
        <w:t xml:space="preserve"> Perceived barriers to walking in the </w:t>
      </w:r>
      <w:proofErr w:type="spellStart"/>
      <w:r w:rsidRPr="00763EAB">
        <w:rPr>
          <w:lang w:val="en-US"/>
        </w:rPr>
        <w:t>neighbourhood</w:t>
      </w:r>
      <w:proofErr w:type="spellEnd"/>
      <w:r w:rsidRPr="00763EAB">
        <w:rPr>
          <w:lang w:val="en-US"/>
        </w:rPr>
        <w:t xml:space="preserve"> environment and change in physical activity over 12 months. </w:t>
      </w:r>
      <w:r w:rsidRPr="00763EAB">
        <w:t>Br. J. Sports. Med. 41, 562-568.</w:t>
      </w:r>
    </w:p>
    <w:p w:rsidR="00C47554" w:rsidRPr="00763EAB" w:rsidRDefault="00C47554" w:rsidP="00C47554">
      <w:pPr>
        <w:spacing w:line="480" w:lineRule="auto"/>
        <w:ind w:left="284" w:hanging="284"/>
        <w:jc w:val="both"/>
        <w:rPr>
          <w:lang w:val="en-US"/>
        </w:rPr>
      </w:pPr>
      <w:r w:rsidRPr="00763EAB">
        <w:t>De Groot</w:t>
      </w:r>
      <w:r w:rsidR="00F93BBB" w:rsidRPr="00763EAB">
        <w:t>,</w:t>
      </w:r>
      <w:r w:rsidRPr="00763EAB">
        <w:t xml:space="preserve"> I</w:t>
      </w:r>
      <w:r w:rsidR="00F93BBB" w:rsidRPr="00763EAB">
        <w:t>.</w:t>
      </w:r>
      <w:r w:rsidRPr="00763EAB">
        <w:t>B</w:t>
      </w:r>
      <w:r w:rsidR="00F93BBB" w:rsidRPr="00763EAB">
        <w:t>.</w:t>
      </w:r>
      <w:r w:rsidRPr="00763EAB">
        <w:t>, Bussmann</w:t>
      </w:r>
      <w:r w:rsidR="00F93BBB" w:rsidRPr="00763EAB">
        <w:t>,</w:t>
      </w:r>
      <w:r w:rsidRPr="00763EAB">
        <w:t xml:space="preserve"> J</w:t>
      </w:r>
      <w:r w:rsidR="00F93BBB" w:rsidRPr="00763EAB">
        <w:t>.</w:t>
      </w:r>
      <w:r w:rsidRPr="00763EAB">
        <w:t>B</w:t>
      </w:r>
      <w:r w:rsidR="00F93BBB" w:rsidRPr="00763EAB">
        <w:t>.</w:t>
      </w:r>
      <w:r w:rsidRPr="00763EAB">
        <w:t>, Stam</w:t>
      </w:r>
      <w:r w:rsidR="00F93BBB" w:rsidRPr="00763EAB">
        <w:t>,</w:t>
      </w:r>
      <w:r w:rsidRPr="00763EAB">
        <w:t xml:space="preserve"> H</w:t>
      </w:r>
      <w:r w:rsidR="00F93BBB" w:rsidRPr="00763EAB">
        <w:t>.</w:t>
      </w:r>
      <w:r w:rsidRPr="00763EAB">
        <w:t>J</w:t>
      </w:r>
      <w:r w:rsidR="00F93BBB" w:rsidRPr="00763EAB">
        <w:t>.</w:t>
      </w:r>
      <w:r w:rsidRPr="00763EAB">
        <w:t>, et al.</w:t>
      </w:r>
      <w:r w:rsidR="00A6117D" w:rsidRPr="00763EAB">
        <w:t>, 2008.</w:t>
      </w:r>
      <w:r w:rsidRPr="00763EAB">
        <w:t xml:space="preserve"> </w:t>
      </w:r>
      <w:r w:rsidRPr="00763EAB">
        <w:rPr>
          <w:lang w:val="en-US"/>
        </w:rPr>
        <w:t xml:space="preserve">Actual everyday physical activity with end-stage hip or knee osteoarthritis compared with healthy controls. Osteoarthritis Cartilage </w:t>
      </w:r>
      <w:r w:rsidR="00A6117D" w:rsidRPr="00763EAB">
        <w:rPr>
          <w:lang w:val="en-US"/>
        </w:rPr>
        <w:t xml:space="preserve">16, </w:t>
      </w:r>
      <w:r w:rsidRPr="00763EAB">
        <w:rPr>
          <w:lang w:val="en-US"/>
        </w:rPr>
        <w:t>436-442.</w:t>
      </w:r>
    </w:p>
    <w:p w:rsidR="00D779D8" w:rsidRPr="00763EAB" w:rsidRDefault="00D779D8" w:rsidP="00D779D8">
      <w:pPr>
        <w:tabs>
          <w:tab w:val="left" w:pos="426"/>
        </w:tabs>
        <w:spacing w:line="480" w:lineRule="auto"/>
        <w:ind w:left="284" w:hanging="284"/>
        <w:jc w:val="both"/>
        <w:rPr>
          <w:lang w:val="en-GB"/>
        </w:rPr>
      </w:pPr>
      <w:r w:rsidRPr="00763EAB">
        <w:rPr>
          <w:lang w:val="en-GB"/>
        </w:rPr>
        <w:t>Dolan</w:t>
      </w:r>
      <w:r w:rsidR="00F93BBB" w:rsidRPr="00763EAB">
        <w:rPr>
          <w:lang w:val="en-GB"/>
        </w:rPr>
        <w:t>,</w:t>
      </w:r>
      <w:r w:rsidRPr="00763EAB">
        <w:rPr>
          <w:lang w:val="en-GB"/>
        </w:rPr>
        <w:t xml:space="preserve"> P.</w:t>
      </w:r>
      <w:r w:rsidR="00A6117D" w:rsidRPr="00763EAB">
        <w:rPr>
          <w:lang w:val="en-GB"/>
        </w:rPr>
        <w:t>, 1997.</w:t>
      </w:r>
      <w:r w:rsidRPr="00763EAB">
        <w:rPr>
          <w:lang w:val="en-GB"/>
        </w:rPr>
        <w:t xml:space="preserve"> </w:t>
      </w:r>
      <w:proofErr w:type="spellStart"/>
      <w:proofErr w:type="gramStart"/>
      <w:r w:rsidRPr="00763EAB">
        <w:rPr>
          <w:lang w:val="en-GB"/>
        </w:rPr>
        <w:t>Modeling</w:t>
      </w:r>
      <w:proofErr w:type="spellEnd"/>
      <w:r w:rsidRPr="00763EAB">
        <w:rPr>
          <w:lang w:val="en-GB"/>
        </w:rPr>
        <w:t xml:space="preserve"> valuations for </w:t>
      </w:r>
      <w:proofErr w:type="spellStart"/>
      <w:r w:rsidRPr="00763EAB">
        <w:rPr>
          <w:lang w:val="en-GB"/>
        </w:rPr>
        <w:t>EuroQol</w:t>
      </w:r>
      <w:proofErr w:type="spellEnd"/>
      <w:r w:rsidRPr="00763EAB">
        <w:rPr>
          <w:lang w:val="en-GB"/>
        </w:rPr>
        <w:t xml:space="preserve"> health states.</w:t>
      </w:r>
      <w:proofErr w:type="gramEnd"/>
      <w:r w:rsidRPr="00763EAB">
        <w:rPr>
          <w:lang w:val="en-GB"/>
        </w:rPr>
        <w:t xml:space="preserve"> Med</w:t>
      </w:r>
      <w:r w:rsidR="00CE3836" w:rsidRPr="00763EAB">
        <w:rPr>
          <w:lang w:val="en-GB"/>
        </w:rPr>
        <w:t>.</w:t>
      </w:r>
      <w:r w:rsidRPr="00763EAB">
        <w:rPr>
          <w:lang w:val="en-GB"/>
        </w:rPr>
        <w:t xml:space="preserve"> Care </w:t>
      </w:r>
      <w:r w:rsidR="00A6117D" w:rsidRPr="00763EAB">
        <w:rPr>
          <w:lang w:val="en-GB"/>
        </w:rPr>
        <w:t xml:space="preserve">35, </w:t>
      </w:r>
      <w:r w:rsidRPr="00763EAB">
        <w:rPr>
          <w:lang w:val="en-GB"/>
        </w:rPr>
        <w:t>1095-1108.</w:t>
      </w:r>
    </w:p>
    <w:p w:rsidR="002017BA" w:rsidRPr="00763EAB" w:rsidRDefault="002017BA" w:rsidP="002017BA">
      <w:pPr>
        <w:spacing w:line="480" w:lineRule="auto"/>
        <w:jc w:val="both"/>
        <w:rPr>
          <w:lang w:val="en-US"/>
        </w:rPr>
      </w:pPr>
      <w:proofErr w:type="spellStart"/>
      <w:r w:rsidRPr="00763EAB">
        <w:rPr>
          <w:lang w:val="en-US"/>
        </w:rPr>
        <w:t>Folstein</w:t>
      </w:r>
      <w:proofErr w:type="spellEnd"/>
      <w:r w:rsidRPr="00763EAB">
        <w:rPr>
          <w:lang w:val="en-US"/>
        </w:rPr>
        <w:t xml:space="preserve">, M.F., </w:t>
      </w:r>
      <w:proofErr w:type="spellStart"/>
      <w:r w:rsidRPr="00763EAB">
        <w:rPr>
          <w:lang w:val="en-US"/>
        </w:rPr>
        <w:t>Folstein</w:t>
      </w:r>
      <w:proofErr w:type="spellEnd"/>
      <w:r w:rsidRPr="00763EAB">
        <w:rPr>
          <w:lang w:val="en-US"/>
        </w:rPr>
        <w:t>, S.E., McHugh, P.R., 1975. ‘</w:t>
      </w:r>
      <w:proofErr w:type="spellStart"/>
      <w:r w:rsidRPr="00763EAB">
        <w:rPr>
          <w:lang w:val="en-US"/>
        </w:rPr>
        <w:t>Minimental</w:t>
      </w:r>
      <w:proofErr w:type="spellEnd"/>
      <w:r w:rsidRPr="00763EAB">
        <w:rPr>
          <w:lang w:val="en-US"/>
        </w:rPr>
        <w:t xml:space="preserve"> state’: A practical method </w:t>
      </w:r>
    </w:p>
    <w:p w:rsidR="002017BA" w:rsidRPr="00763EAB" w:rsidRDefault="002017BA" w:rsidP="00FC5827">
      <w:pPr>
        <w:spacing w:line="480" w:lineRule="auto"/>
        <w:ind w:left="426"/>
        <w:jc w:val="both"/>
        <w:rPr>
          <w:rStyle w:val="paragraph24752463"/>
          <w:lang w:val="en-US"/>
        </w:rPr>
      </w:pPr>
      <w:proofErr w:type="gramStart"/>
      <w:r w:rsidRPr="00763EAB">
        <w:rPr>
          <w:lang w:val="en-US"/>
        </w:rPr>
        <w:t>for</w:t>
      </w:r>
      <w:proofErr w:type="gramEnd"/>
      <w:r w:rsidRPr="00763EAB">
        <w:rPr>
          <w:lang w:val="en-US"/>
        </w:rPr>
        <w:t xml:space="preserve"> grading the cognitive state of patients for the clinician. J. </w:t>
      </w:r>
      <w:proofErr w:type="spellStart"/>
      <w:r w:rsidRPr="00763EAB">
        <w:rPr>
          <w:lang w:val="en-US"/>
        </w:rPr>
        <w:t>Psychiatr</w:t>
      </w:r>
      <w:proofErr w:type="spellEnd"/>
      <w:r w:rsidRPr="00763EAB">
        <w:rPr>
          <w:lang w:val="en-US"/>
        </w:rPr>
        <w:t>. Res. 12, 189–198.</w:t>
      </w:r>
    </w:p>
    <w:p w:rsidR="00A6117D" w:rsidRPr="00763EAB" w:rsidRDefault="00C47554" w:rsidP="00A6117D">
      <w:pPr>
        <w:spacing w:line="480" w:lineRule="auto"/>
        <w:jc w:val="both"/>
        <w:rPr>
          <w:lang w:val="en-GB"/>
        </w:rPr>
      </w:pPr>
      <w:proofErr w:type="gramStart"/>
      <w:r w:rsidRPr="00763EAB">
        <w:rPr>
          <w:lang w:val="en-GB"/>
        </w:rPr>
        <w:t>Forsyth</w:t>
      </w:r>
      <w:r w:rsidR="00F93BBB" w:rsidRPr="00763EAB">
        <w:rPr>
          <w:lang w:val="en-GB"/>
        </w:rPr>
        <w:t>,</w:t>
      </w:r>
      <w:r w:rsidRPr="00763EAB">
        <w:rPr>
          <w:lang w:val="en-GB"/>
        </w:rPr>
        <w:t xml:space="preserve"> A</w:t>
      </w:r>
      <w:r w:rsidR="00F93BBB" w:rsidRPr="00763EAB">
        <w:rPr>
          <w:lang w:val="en-GB"/>
        </w:rPr>
        <w:t>.</w:t>
      </w:r>
      <w:r w:rsidRPr="00763EAB">
        <w:rPr>
          <w:lang w:val="en-GB"/>
        </w:rPr>
        <w:t>, Oakes</w:t>
      </w:r>
      <w:r w:rsidR="00F93BBB" w:rsidRPr="00763EAB">
        <w:rPr>
          <w:lang w:val="en-GB"/>
        </w:rPr>
        <w:t>,</w:t>
      </w:r>
      <w:r w:rsidRPr="00763EAB">
        <w:rPr>
          <w:lang w:val="en-GB"/>
        </w:rPr>
        <w:t xml:space="preserve"> J</w:t>
      </w:r>
      <w:r w:rsidR="00F93BBB" w:rsidRPr="00763EAB">
        <w:rPr>
          <w:lang w:val="en-GB"/>
        </w:rPr>
        <w:t>.</w:t>
      </w:r>
      <w:r w:rsidRPr="00763EAB">
        <w:rPr>
          <w:lang w:val="en-GB"/>
        </w:rPr>
        <w:t>M</w:t>
      </w:r>
      <w:r w:rsidR="00F93BBB" w:rsidRPr="00763EAB">
        <w:rPr>
          <w:lang w:val="en-GB"/>
        </w:rPr>
        <w:t>.</w:t>
      </w:r>
      <w:r w:rsidRPr="00763EAB">
        <w:rPr>
          <w:lang w:val="en-GB"/>
        </w:rPr>
        <w:t>, Lee</w:t>
      </w:r>
      <w:r w:rsidR="00F93BBB" w:rsidRPr="00763EAB">
        <w:rPr>
          <w:lang w:val="en-GB"/>
        </w:rPr>
        <w:t>,</w:t>
      </w:r>
      <w:r w:rsidRPr="00763EAB">
        <w:rPr>
          <w:lang w:val="en-GB"/>
        </w:rPr>
        <w:t xml:space="preserve"> B</w:t>
      </w:r>
      <w:r w:rsidR="00F93BBB" w:rsidRPr="00763EAB">
        <w:rPr>
          <w:lang w:val="en-GB"/>
        </w:rPr>
        <w:t>.</w:t>
      </w:r>
      <w:r w:rsidRPr="00763EAB">
        <w:rPr>
          <w:lang w:val="en-GB"/>
        </w:rPr>
        <w:t>, et al.</w:t>
      </w:r>
      <w:r w:rsidR="00A6117D" w:rsidRPr="00763EAB">
        <w:rPr>
          <w:lang w:val="en-GB"/>
        </w:rPr>
        <w:t>, 2009.</w:t>
      </w:r>
      <w:proofErr w:type="gramEnd"/>
      <w:r w:rsidRPr="00763EAB">
        <w:rPr>
          <w:lang w:val="en-GB"/>
        </w:rPr>
        <w:t xml:space="preserve"> The built environment, walking, and physical </w:t>
      </w:r>
    </w:p>
    <w:p w:rsidR="00C47554" w:rsidRPr="00763EAB" w:rsidRDefault="00C47554" w:rsidP="00A6117D">
      <w:pPr>
        <w:spacing w:line="480" w:lineRule="auto"/>
        <w:ind w:left="420"/>
        <w:jc w:val="both"/>
        <w:rPr>
          <w:lang w:val="en-GB"/>
        </w:rPr>
      </w:pPr>
      <w:proofErr w:type="gramStart"/>
      <w:r w:rsidRPr="00763EAB">
        <w:rPr>
          <w:lang w:val="en-GB"/>
        </w:rPr>
        <w:lastRenderedPageBreak/>
        <w:t>activity</w:t>
      </w:r>
      <w:proofErr w:type="gramEnd"/>
      <w:r w:rsidRPr="00763EAB">
        <w:rPr>
          <w:lang w:val="en-GB"/>
        </w:rPr>
        <w:t xml:space="preserve">: is the environment more important to some people than others? Transportation Research Part </w:t>
      </w:r>
      <w:r w:rsidR="00A6117D" w:rsidRPr="00763EAB">
        <w:rPr>
          <w:lang w:val="en-GB"/>
        </w:rPr>
        <w:t xml:space="preserve">D 14, </w:t>
      </w:r>
      <w:r w:rsidRPr="00763EAB">
        <w:rPr>
          <w:lang w:val="en-GB"/>
        </w:rPr>
        <w:t>42-49.</w:t>
      </w:r>
    </w:p>
    <w:p w:rsidR="00D779D8" w:rsidRPr="00763EAB" w:rsidRDefault="00D779D8" w:rsidP="00D779D8">
      <w:pPr>
        <w:tabs>
          <w:tab w:val="left" w:pos="426"/>
        </w:tabs>
        <w:spacing w:line="480" w:lineRule="auto"/>
        <w:ind w:left="420" w:hanging="420"/>
        <w:jc w:val="both"/>
        <w:rPr>
          <w:lang w:val="en-GB"/>
        </w:rPr>
      </w:pPr>
      <w:proofErr w:type="spellStart"/>
      <w:r w:rsidRPr="00763EAB">
        <w:rPr>
          <w:lang w:val="en-GB"/>
        </w:rPr>
        <w:t>Grandy</w:t>
      </w:r>
      <w:proofErr w:type="spellEnd"/>
      <w:r w:rsidR="00F93BBB" w:rsidRPr="00763EAB">
        <w:rPr>
          <w:lang w:val="en-GB"/>
        </w:rPr>
        <w:t>,</w:t>
      </w:r>
      <w:r w:rsidRPr="00763EAB">
        <w:rPr>
          <w:lang w:val="en-GB"/>
        </w:rPr>
        <w:t xml:space="preserve"> S</w:t>
      </w:r>
      <w:r w:rsidR="00F93BBB" w:rsidRPr="00763EAB">
        <w:rPr>
          <w:lang w:val="en-GB"/>
        </w:rPr>
        <w:t>.</w:t>
      </w:r>
      <w:r w:rsidRPr="00763EAB">
        <w:rPr>
          <w:lang w:val="en-GB"/>
        </w:rPr>
        <w:t>, Fox</w:t>
      </w:r>
      <w:r w:rsidR="00F93BBB" w:rsidRPr="00763EAB">
        <w:rPr>
          <w:lang w:val="en-GB"/>
        </w:rPr>
        <w:t>,</w:t>
      </w:r>
      <w:r w:rsidRPr="00763EAB">
        <w:rPr>
          <w:lang w:val="en-GB"/>
        </w:rPr>
        <w:t xml:space="preserve"> K</w:t>
      </w:r>
      <w:r w:rsidR="00F93BBB" w:rsidRPr="00763EAB">
        <w:rPr>
          <w:lang w:val="en-GB"/>
        </w:rPr>
        <w:t>.</w:t>
      </w:r>
      <w:r w:rsidRPr="00763EAB">
        <w:rPr>
          <w:lang w:val="en-GB"/>
        </w:rPr>
        <w:t>M</w:t>
      </w:r>
      <w:r w:rsidR="00F93BBB" w:rsidRPr="00763EAB">
        <w:rPr>
          <w:lang w:val="en-GB"/>
        </w:rPr>
        <w:t>.</w:t>
      </w:r>
      <w:r w:rsidRPr="00763EAB">
        <w:rPr>
          <w:lang w:val="en-GB"/>
        </w:rPr>
        <w:t xml:space="preserve">; SHIELD Study </w:t>
      </w:r>
      <w:proofErr w:type="gramStart"/>
      <w:r w:rsidRPr="00763EAB">
        <w:rPr>
          <w:lang w:val="en-GB"/>
        </w:rPr>
        <w:t>Group.</w:t>
      </w:r>
      <w:r w:rsidR="00A6117D" w:rsidRPr="00763EAB">
        <w:rPr>
          <w:lang w:val="en-GB"/>
        </w:rPr>
        <w:t>,</w:t>
      </w:r>
      <w:proofErr w:type="gramEnd"/>
      <w:r w:rsidR="00A6117D" w:rsidRPr="00763EAB">
        <w:rPr>
          <w:lang w:val="en-GB"/>
        </w:rPr>
        <w:t xml:space="preserve"> 2012.</w:t>
      </w:r>
      <w:r w:rsidRPr="00763EAB">
        <w:rPr>
          <w:lang w:val="en-GB"/>
        </w:rPr>
        <w:t xml:space="preserve"> </w:t>
      </w:r>
      <w:proofErr w:type="gramStart"/>
      <w:r w:rsidRPr="00763EAB">
        <w:rPr>
          <w:lang w:val="en-GB"/>
        </w:rPr>
        <w:t xml:space="preserve">Changes in health status (EQ-5D) over 5 years among individuals with and without type 2 </w:t>
      </w:r>
      <w:proofErr w:type="spellStart"/>
      <w:r w:rsidRPr="00763EAB">
        <w:rPr>
          <w:lang w:val="en-GB"/>
        </w:rPr>
        <w:t>diabestes</w:t>
      </w:r>
      <w:proofErr w:type="spellEnd"/>
      <w:r w:rsidRPr="00763EAB">
        <w:rPr>
          <w:lang w:val="en-GB"/>
        </w:rPr>
        <w:t xml:space="preserve"> mellitus in the SHIELD longitudinal study.</w:t>
      </w:r>
      <w:proofErr w:type="gramEnd"/>
      <w:r w:rsidRPr="00763EAB">
        <w:rPr>
          <w:lang w:val="en-GB"/>
        </w:rPr>
        <w:t xml:space="preserve"> </w:t>
      </w:r>
      <w:proofErr w:type="gramStart"/>
      <w:r w:rsidRPr="00763EAB">
        <w:rPr>
          <w:lang w:val="en-GB"/>
        </w:rPr>
        <w:t>Health Qual</w:t>
      </w:r>
      <w:r w:rsidR="005268B9" w:rsidRPr="00763EAB">
        <w:rPr>
          <w:lang w:val="en-GB"/>
        </w:rPr>
        <w:t>.</w:t>
      </w:r>
      <w:r w:rsidRPr="00763EAB">
        <w:rPr>
          <w:lang w:val="en-GB"/>
        </w:rPr>
        <w:t xml:space="preserve"> Life</w:t>
      </w:r>
      <w:r w:rsidR="005268B9" w:rsidRPr="00763EAB">
        <w:rPr>
          <w:lang w:val="en-GB"/>
        </w:rPr>
        <w:t>.</w:t>
      </w:r>
      <w:proofErr w:type="gramEnd"/>
      <w:r w:rsidRPr="00763EAB">
        <w:rPr>
          <w:lang w:val="en-GB"/>
        </w:rPr>
        <w:t xml:space="preserve"> </w:t>
      </w:r>
      <w:proofErr w:type="gramStart"/>
      <w:r w:rsidRPr="00763EAB">
        <w:rPr>
          <w:lang w:val="en-GB"/>
        </w:rPr>
        <w:t xml:space="preserve">Outcomes </w:t>
      </w:r>
      <w:r w:rsidR="00A6117D" w:rsidRPr="00763EAB">
        <w:rPr>
          <w:lang w:val="en-GB"/>
        </w:rPr>
        <w:t xml:space="preserve">10, </w:t>
      </w:r>
      <w:r w:rsidRPr="00763EAB">
        <w:rPr>
          <w:lang w:val="en-GB"/>
        </w:rPr>
        <w:t>99.</w:t>
      </w:r>
      <w:proofErr w:type="gramEnd"/>
    </w:p>
    <w:p w:rsidR="00306CFE" w:rsidRPr="00763EAB" w:rsidRDefault="000272B7" w:rsidP="000272B7">
      <w:pPr>
        <w:spacing w:line="480" w:lineRule="auto"/>
        <w:jc w:val="both"/>
        <w:rPr>
          <w:lang w:val="en-US"/>
        </w:rPr>
      </w:pPr>
      <w:proofErr w:type="gramStart"/>
      <w:r w:rsidRPr="00763EAB">
        <w:rPr>
          <w:lang w:val="en-US"/>
        </w:rPr>
        <w:t xml:space="preserve">Hertfordshire </w:t>
      </w:r>
      <w:r w:rsidR="00306CFE" w:rsidRPr="00763EAB">
        <w:rPr>
          <w:lang w:val="en-US"/>
        </w:rPr>
        <w:t>County Council.</w:t>
      </w:r>
      <w:proofErr w:type="gramEnd"/>
      <w:r w:rsidR="00306CFE" w:rsidRPr="00763EAB">
        <w:rPr>
          <w:lang w:val="en-US"/>
        </w:rPr>
        <w:t xml:space="preserve"> </w:t>
      </w:r>
      <w:proofErr w:type="gramStart"/>
      <w:r w:rsidR="00306CFE" w:rsidRPr="00763EAB">
        <w:rPr>
          <w:lang w:val="en-US"/>
        </w:rPr>
        <w:t>Hertfordshire Resident’s Survey.</w:t>
      </w:r>
      <w:proofErr w:type="gramEnd"/>
      <w:r w:rsidR="00306CFE" w:rsidRPr="00763EAB">
        <w:rPr>
          <w:lang w:val="en-US"/>
        </w:rPr>
        <w:t xml:space="preserve"> Council and democracy – </w:t>
      </w:r>
    </w:p>
    <w:p w:rsidR="000272B7" w:rsidRPr="00763EAB" w:rsidRDefault="00306CFE" w:rsidP="00306CFE">
      <w:pPr>
        <w:spacing w:line="480" w:lineRule="auto"/>
        <w:ind w:left="426"/>
        <w:jc w:val="both"/>
        <w:rPr>
          <w:lang w:val="en-US"/>
        </w:rPr>
      </w:pPr>
      <w:r w:rsidRPr="00763EAB">
        <w:rPr>
          <w:lang w:val="en-US"/>
        </w:rPr>
        <w:t xml:space="preserve">Working for you – Open data – Your views – Views of local area – </w:t>
      </w:r>
      <w:proofErr w:type="gramStart"/>
      <w:r w:rsidRPr="00763EAB">
        <w:rPr>
          <w:lang w:val="en-US"/>
        </w:rPr>
        <w:t>Autumn</w:t>
      </w:r>
      <w:proofErr w:type="gramEnd"/>
      <w:r w:rsidRPr="00763EAB">
        <w:rPr>
          <w:lang w:val="en-US"/>
        </w:rPr>
        <w:t xml:space="preserve"> 2015. </w:t>
      </w:r>
      <w:proofErr w:type="gramStart"/>
      <w:r w:rsidRPr="00763EAB">
        <w:rPr>
          <w:lang w:val="en-US"/>
        </w:rPr>
        <w:t>Hertfordshire County Council.</w:t>
      </w:r>
      <w:proofErr w:type="gramEnd"/>
      <w:r w:rsidRPr="00763EAB">
        <w:rPr>
          <w:lang w:val="en-US"/>
        </w:rPr>
        <w:t xml:space="preserve"> http://www.hertfordshire.gov.uk/your-council/work/opendata/yrviews/. </w:t>
      </w:r>
      <w:proofErr w:type="gramStart"/>
      <w:r w:rsidRPr="00763EAB">
        <w:rPr>
          <w:lang w:val="en-US"/>
        </w:rPr>
        <w:t>Accessed: September, 2016.</w:t>
      </w:r>
      <w:proofErr w:type="gramEnd"/>
    </w:p>
    <w:p w:rsidR="000272B7" w:rsidRPr="00763EAB" w:rsidRDefault="0018514A" w:rsidP="000272B7">
      <w:pPr>
        <w:spacing w:line="480" w:lineRule="auto"/>
        <w:jc w:val="both"/>
        <w:rPr>
          <w:lang w:val="en-US"/>
        </w:rPr>
      </w:pPr>
      <w:proofErr w:type="gramStart"/>
      <w:r w:rsidRPr="00763EAB">
        <w:rPr>
          <w:lang w:val="en-US"/>
        </w:rPr>
        <w:t>Hertfordshire Local Information System (</w:t>
      </w:r>
      <w:proofErr w:type="spellStart"/>
      <w:r w:rsidRPr="00763EAB">
        <w:rPr>
          <w:lang w:val="en-US"/>
        </w:rPr>
        <w:t>HertsLIS</w:t>
      </w:r>
      <w:proofErr w:type="spellEnd"/>
      <w:r w:rsidRPr="00763EAB">
        <w:rPr>
          <w:lang w:val="en-US"/>
        </w:rPr>
        <w:t>).</w:t>
      </w:r>
      <w:proofErr w:type="gramEnd"/>
      <w:r w:rsidRPr="00763EAB">
        <w:rPr>
          <w:lang w:val="en-US"/>
        </w:rPr>
        <w:t xml:space="preserve"> </w:t>
      </w:r>
      <w:proofErr w:type="gramStart"/>
      <w:r w:rsidR="000272B7" w:rsidRPr="00763EAB">
        <w:rPr>
          <w:lang w:val="en-US"/>
        </w:rPr>
        <w:t>Indices of deprivation 2010.</w:t>
      </w:r>
      <w:proofErr w:type="gramEnd"/>
      <w:r w:rsidR="000272B7" w:rsidRPr="00763EAB">
        <w:rPr>
          <w:lang w:val="en-US"/>
        </w:rPr>
        <w:t xml:space="preserve"> People and </w:t>
      </w:r>
    </w:p>
    <w:p w:rsidR="0018514A" w:rsidRPr="00763EAB" w:rsidRDefault="000272B7" w:rsidP="000272B7">
      <w:pPr>
        <w:spacing w:line="480" w:lineRule="auto"/>
        <w:ind w:firstLine="420"/>
        <w:jc w:val="both"/>
        <w:rPr>
          <w:lang w:val="en-US"/>
        </w:rPr>
      </w:pPr>
      <w:proofErr w:type="gramStart"/>
      <w:r w:rsidRPr="00763EAB">
        <w:rPr>
          <w:lang w:val="en-US"/>
        </w:rPr>
        <w:t>Place – Deprivation – Indices 2010.</w:t>
      </w:r>
      <w:proofErr w:type="gramEnd"/>
      <w:r w:rsidRPr="00763EAB">
        <w:rPr>
          <w:lang w:val="en-US"/>
        </w:rPr>
        <w:t xml:space="preserve"> </w:t>
      </w:r>
      <w:proofErr w:type="gramStart"/>
      <w:r w:rsidRPr="00763EAB">
        <w:rPr>
          <w:lang w:val="en-US"/>
        </w:rPr>
        <w:t>Hertfordshire Local Information System (</w:t>
      </w:r>
      <w:proofErr w:type="spellStart"/>
      <w:r w:rsidRPr="00763EAB">
        <w:rPr>
          <w:lang w:val="en-US"/>
        </w:rPr>
        <w:t>HertsLIS</w:t>
      </w:r>
      <w:proofErr w:type="spellEnd"/>
      <w:r w:rsidRPr="00763EAB">
        <w:rPr>
          <w:lang w:val="en-US"/>
        </w:rPr>
        <w:t>).</w:t>
      </w:r>
      <w:proofErr w:type="gramEnd"/>
    </w:p>
    <w:p w:rsidR="000272B7" w:rsidRPr="00763EAB" w:rsidRDefault="000272B7" w:rsidP="000272B7">
      <w:pPr>
        <w:spacing w:line="480" w:lineRule="auto"/>
        <w:ind w:left="420"/>
        <w:jc w:val="both"/>
        <w:rPr>
          <w:lang w:val="en-US"/>
        </w:rPr>
      </w:pPr>
      <w:r w:rsidRPr="00763EAB">
        <w:rPr>
          <w:lang w:val="en-US"/>
        </w:rPr>
        <w:t xml:space="preserve">http://www.hertslis.org/peoppla/depriv/iod2010/. </w:t>
      </w:r>
      <w:proofErr w:type="gramStart"/>
      <w:r w:rsidRPr="00763EAB">
        <w:rPr>
          <w:lang w:val="en-US"/>
        </w:rPr>
        <w:t>Accessed: September, 2016.</w:t>
      </w:r>
      <w:proofErr w:type="gramEnd"/>
    </w:p>
    <w:p w:rsidR="00D779D8" w:rsidRPr="00763EAB" w:rsidRDefault="00D779D8" w:rsidP="00D779D8">
      <w:pPr>
        <w:spacing w:line="480" w:lineRule="auto"/>
        <w:ind w:left="284" w:hanging="284"/>
        <w:jc w:val="both"/>
        <w:rPr>
          <w:lang w:val="en-GB"/>
        </w:rPr>
      </w:pPr>
      <w:proofErr w:type="spellStart"/>
      <w:proofErr w:type="gramStart"/>
      <w:r w:rsidRPr="00763EAB">
        <w:rPr>
          <w:lang w:val="en-US"/>
        </w:rPr>
        <w:t>Iwarsson</w:t>
      </w:r>
      <w:proofErr w:type="spellEnd"/>
      <w:r w:rsidR="00F93BBB" w:rsidRPr="00763EAB">
        <w:rPr>
          <w:lang w:val="en-US"/>
        </w:rPr>
        <w:t>,</w:t>
      </w:r>
      <w:r w:rsidRPr="00763EAB">
        <w:rPr>
          <w:lang w:val="en-US"/>
        </w:rPr>
        <w:t xml:space="preserve"> S.</w:t>
      </w:r>
      <w:r w:rsidR="00A6117D" w:rsidRPr="00763EAB">
        <w:rPr>
          <w:lang w:val="en-US"/>
        </w:rPr>
        <w:t>, 2005.</w:t>
      </w:r>
      <w:proofErr w:type="gramEnd"/>
      <w:r w:rsidRPr="00763EAB">
        <w:rPr>
          <w:lang w:val="en-US"/>
        </w:rPr>
        <w:t xml:space="preserve"> A long-term perspective on person-environment fit and ADL dependence</w:t>
      </w:r>
    </w:p>
    <w:p w:rsidR="00D779D8" w:rsidRPr="00763EAB" w:rsidRDefault="00D779D8" w:rsidP="00D779D8">
      <w:pPr>
        <w:tabs>
          <w:tab w:val="left" w:pos="284"/>
          <w:tab w:val="left" w:pos="426"/>
        </w:tabs>
        <w:spacing w:line="480" w:lineRule="auto"/>
        <w:ind w:left="284" w:hanging="284"/>
        <w:jc w:val="both"/>
        <w:rPr>
          <w:lang w:val="en-US"/>
        </w:rPr>
      </w:pPr>
      <w:r w:rsidRPr="00763EAB">
        <w:rPr>
          <w:lang w:val="en-US"/>
        </w:rPr>
        <w:tab/>
      </w:r>
      <w:r w:rsidRPr="00763EAB">
        <w:rPr>
          <w:lang w:val="en-US"/>
        </w:rPr>
        <w:tab/>
      </w:r>
      <w:proofErr w:type="gramStart"/>
      <w:r w:rsidRPr="00763EAB">
        <w:rPr>
          <w:lang w:val="en-US"/>
        </w:rPr>
        <w:t>among</w:t>
      </w:r>
      <w:proofErr w:type="gramEnd"/>
      <w:r w:rsidRPr="00763EAB">
        <w:rPr>
          <w:lang w:val="en-US"/>
        </w:rPr>
        <w:t xml:space="preserve"> older Swedish adults. Gerontologist </w:t>
      </w:r>
      <w:r w:rsidR="00A6117D" w:rsidRPr="00763EAB">
        <w:rPr>
          <w:lang w:val="en-US"/>
        </w:rPr>
        <w:t xml:space="preserve">45, </w:t>
      </w:r>
      <w:r w:rsidRPr="00763EAB">
        <w:rPr>
          <w:lang w:val="en-US"/>
        </w:rPr>
        <w:t>327-336.</w:t>
      </w:r>
    </w:p>
    <w:p w:rsidR="00D779D8" w:rsidRPr="00763EAB" w:rsidRDefault="00D779D8" w:rsidP="00D779D8">
      <w:pPr>
        <w:pStyle w:val="NoSpacing"/>
        <w:spacing w:line="480" w:lineRule="auto"/>
        <w:ind w:left="284" w:hanging="284"/>
        <w:jc w:val="both"/>
        <w:rPr>
          <w:lang w:val="en-US"/>
        </w:rPr>
      </w:pPr>
      <w:r w:rsidRPr="00763EAB">
        <w:t>Iwarsson</w:t>
      </w:r>
      <w:r w:rsidR="00F93BBB" w:rsidRPr="00763EAB">
        <w:t>,</w:t>
      </w:r>
      <w:r w:rsidRPr="00763EAB">
        <w:t xml:space="preserve"> S</w:t>
      </w:r>
      <w:r w:rsidR="00F93BBB" w:rsidRPr="00763EAB">
        <w:t>.</w:t>
      </w:r>
      <w:r w:rsidRPr="00763EAB">
        <w:t>, Wahl</w:t>
      </w:r>
      <w:r w:rsidR="00F93BBB" w:rsidRPr="00763EAB">
        <w:t>,</w:t>
      </w:r>
      <w:r w:rsidRPr="00763EAB">
        <w:t xml:space="preserve"> H-W, Nygren</w:t>
      </w:r>
      <w:r w:rsidR="00F93BBB" w:rsidRPr="00763EAB">
        <w:t>,</w:t>
      </w:r>
      <w:r w:rsidRPr="00763EAB">
        <w:t xml:space="preserve"> C</w:t>
      </w:r>
      <w:r w:rsidR="00F93BBB" w:rsidRPr="00763EAB">
        <w:t>.,</w:t>
      </w:r>
      <w:r w:rsidRPr="00763EAB">
        <w:t xml:space="preserve"> et al.</w:t>
      </w:r>
      <w:r w:rsidR="00A6117D" w:rsidRPr="00763EAB">
        <w:t>, 2007.</w:t>
      </w:r>
      <w:r w:rsidRPr="00763EAB">
        <w:t xml:space="preserve"> </w:t>
      </w:r>
      <w:r w:rsidRPr="00763EAB">
        <w:rPr>
          <w:lang w:val="en-US"/>
        </w:rPr>
        <w:t xml:space="preserve">Importance of the home environment for Healthy Aging: Conceptual and methodological background of the European ENABLE-AGE Project. </w:t>
      </w:r>
      <w:r w:rsidRPr="00763EAB">
        <w:rPr>
          <w:iCs/>
          <w:lang w:val="en-US"/>
        </w:rPr>
        <w:t>Gerontologist</w:t>
      </w:r>
      <w:r w:rsidRPr="00763EAB">
        <w:rPr>
          <w:i/>
          <w:iCs/>
          <w:lang w:val="en-US"/>
        </w:rPr>
        <w:t xml:space="preserve"> </w:t>
      </w:r>
      <w:r w:rsidR="00A6117D" w:rsidRPr="00763EAB">
        <w:rPr>
          <w:lang w:val="en-US"/>
        </w:rPr>
        <w:t xml:space="preserve">47, </w:t>
      </w:r>
      <w:r w:rsidRPr="00763EAB">
        <w:rPr>
          <w:lang w:val="en-US"/>
        </w:rPr>
        <w:t>78-84.</w:t>
      </w:r>
    </w:p>
    <w:p w:rsidR="00C47554" w:rsidRPr="00763EAB" w:rsidRDefault="00C47554" w:rsidP="00C47554">
      <w:pPr>
        <w:spacing w:line="480" w:lineRule="auto"/>
        <w:ind w:left="284" w:hanging="284"/>
        <w:jc w:val="both"/>
        <w:rPr>
          <w:lang w:val="en-GB"/>
        </w:rPr>
      </w:pPr>
      <w:proofErr w:type="gramStart"/>
      <w:r w:rsidRPr="00763EAB">
        <w:rPr>
          <w:lang w:val="en-GB"/>
        </w:rPr>
        <w:t>Jinks</w:t>
      </w:r>
      <w:r w:rsidR="00F93BBB" w:rsidRPr="00763EAB">
        <w:rPr>
          <w:lang w:val="en-GB"/>
        </w:rPr>
        <w:t>,</w:t>
      </w:r>
      <w:r w:rsidRPr="00763EAB">
        <w:rPr>
          <w:lang w:val="en-GB"/>
        </w:rPr>
        <w:t xml:space="preserve"> C</w:t>
      </w:r>
      <w:r w:rsidR="00F93BBB" w:rsidRPr="00763EAB">
        <w:rPr>
          <w:lang w:val="en-GB"/>
        </w:rPr>
        <w:t>.</w:t>
      </w:r>
      <w:r w:rsidRPr="00763EAB">
        <w:rPr>
          <w:lang w:val="en-GB"/>
        </w:rPr>
        <w:t>, Jordan</w:t>
      </w:r>
      <w:r w:rsidR="00F93BBB" w:rsidRPr="00763EAB">
        <w:rPr>
          <w:lang w:val="en-GB"/>
        </w:rPr>
        <w:t>,</w:t>
      </w:r>
      <w:r w:rsidRPr="00763EAB">
        <w:rPr>
          <w:lang w:val="en-GB"/>
        </w:rPr>
        <w:t xml:space="preserve"> K</w:t>
      </w:r>
      <w:r w:rsidR="00F93BBB" w:rsidRPr="00763EAB">
        <w:rPr>
          <w:lang w:val="en-GB"/>
        </w:rPr>
        <w:t>.</w:t>
      </w:r>
      <w:r w:rsidRPr="00763EAB">
        <w:rPr>
          <w:lang w:val="en-GB"/>
        </w:rPr>
        <w:t>, Croft, P.</w:t>
      </w:r>
      <w:r w:rsidR="00A6117D" w:rsidRPr="00763EAB">
        <w:rPr>
          <w:lang w:val="en-GB"/>
        </w:rPr>
        <w:t>, 2002.</w:t>
      </w:r>
      <w:proofErr w:type="gramEnd"/>
      <w:r w:rsidRPr="00763EAB">
        <w:rPr>
          <w:lang w:val="en-GB"/>
        </w:rPr>
        <w:t xml:space="preserve"> </w:t>
      </w:r>
      <w:proofErr w:type="gramStart"/>
      <w:r w:rsidRPr="00763EAB">
        <w:rPr>
          <w:lang w:val="en-GB"/>
        </w:rPr>
        <w:t>Measuring the population impact of knee pain and disability with the Western Ontario and McMaster Universities Osteoarthritis Index (WOMAC).</w:t>
      </w:r>
      <w:proofErr w:type="gramEnd"/>
      <w:r w:rsidRPr="00763EAB">
        <w:rPr>
          <w:lang w:val="en-GB"/>
        </w:rPr>
        <w:t xml:space="preserve"> Pain </w:t>
      </w:r>
      <w:r w:rsidR="00A6117D" w:rsidRPr="00763EAB">
        <w:rPr>
          <w:lang w:val="en-GB"/>
        </w:rPr>
        <w:t xml:space="preserve">100, </w:t>
      </w:r>
      <w:r w:rsidRPr="00763EAB">
        <w:rPr>
          <w:lang w:val="en-GB"/>
        </w:rPr>
        <w:t>55-64.</w:t>
      </w:r>
    </w:p>
    <w:p w:rsidR="00C47554" w:rsidRPr="00763EAB" w:rsidRDefault="00C47554" w:rsidP="00C47554">
      <w:pPr>
        <w:spacing w:line="480" w:lineRule="auto"/>
        <w:ind w:left="284" w:hanging="284"/>
        <w:jc w:val="both"/>
        <w:rPr>
          <w:lang w:val="en-US"/>
        </w:rPr>
      </w:pPr>
      <w:r w:rsidRPr="00763EAB">
        <w:rPr>
          <w:lang w:val="en-US"/>
        </w:rPr>
        <w:t>Lawton</w:t>
      </w:r>
      <w:r w:rsidR="00F93BBB" w:rsidRPr="00763EAB">
        <w:rPr>
          <w:lang w:val="en-US"/>
        </w:rPr>
        <w:t>,</w:t>
      </w:r>
      <w:r w:rsidRPr="00763EAB">
        <w:rPr>
          <w:lang w:val="en-US"/>
        </w:rPr>
        <w:t xml:space="preserve"> M</w:t>
      </w:r>
      <w:r w:rsidR="00F93BBB" w:rsidRPr="00763EAB">
        <w:rPr>
          <w:lang w:val="en-US"/>
        </w:rPr>
        <w:t>.</w:t>
      </w:r>
      <w:r w:rsidRPr="00763EAB">
        <w:rPr>
          <w:lang w:val="en-US"/>
        </w:rPr>
        <w:t>P.</w:t>
      </w:r>
      <w:r w:rsidR="00A6117D" w:rsidRPr="00763EAB">
        <w:rPr>
          <w:lang w:val="en-US"/>
        </w:rPr>
        <w:t>, 1986.</w:t>
      </w:r>
      <w:r w:rsidRPr="00763EAB">
        <w:rPr>
          <w:lang w:val="en-US"/>
        </w:rPr>
        <w:t xml:space="preserve"> </w:t>
      </w:r>
      <w:proofErr w:type="gramStart"/>
      <w:r w:rsidRPr="00763EAB">
        <w:rPr>
          <w:lang w:val="en-US"/>
        </w:rPr>
        <w:t>Environment and aging.</w:t>
      </w:r>
      <w:proofErr w:type="gramEnd"/>
      <w:r w:rsidRPr="00763EAB">
        <w:rPr>
          <w:lang w:val="en-US"/>
        </w:rPr>
        <w:t xml:space="preserve"> </w:t>
      </w:r>
      <w:proofErr w:type="gramStart"/>
      <w:r w:rsidRPr="00763EAB">
        <w:rPr>
          <w:lang w:val="en-US"/>
        </w:rPr>
        <w:t xml:space="preserve">Center for the Study of Aging, </w:t>
      </w:r>
      <w:r w:rsidR="00A6117D" w:rsidRPr="00763EAB">
        <w:rPr>
          <w:lang w:val="en-US"/>
        </w:rPr>
        <w:t>Albany, NY.</w:t>
      </w:r>
      <w:proofErr w:type="gramEnd"/>
      <w:r w:rsidR="00A6117D" w:rsidRPr="00763EAB">
        <w:rPr>
          <w:lang w:val="en-US"/>
        </w:rPr>
        <w:t xml:space="preserve"> </w:t>
      </w:r>
    </w:p>
    <w:p w:rsidR="00C47554" w:rsidRPr="00763EAB" w:rsidRDefault="00C47554" w:rsidP="00C47554">
      <w:pPr>
        <w:spacing w:line="480" w:lineRule="auto"/>
        <w:ind w:left="284" w:hanging="284"/>
        <w:jc w:val="both"/>
        <w:rPr>
          <w:lang w:val="en-US"/>
        </w:rPr>
      </w:pPr>
      <w:r w:rsidRPr="00763EAB">
        <w:rPr>
          <w:lang w:val="en-US"/>
        </w:rPr>
        <w:t>Lawton</w:t>
      </w:r>
      <w:r w:rsidR="00F93BBB" w:rsidRPr="00763EAB">
        <w:rPr>
          <w:lang w:val="en-US"/>
        </w:rPr>
        <w:t>,</w:t>
      </w:r>
      <w:r w:rsidRPr="00763EAB">
        <w:rPr>
          <w:lang w:val="en-US"/>
        </w:rPr>
        <w:t xml:space="preserve"> M</w:t>
      </w:r>
      <w:r w:rsidR="00F93BBB" w:rsidRPr="00763EAB">
        <w:rPr>
          <w:lang w:val="en-US"/>
        </w:rPr>
        <w:t>.</w:t>
      </w:r>
      <w:r w:rsidRPr="00763EAB">
        <w:rPr>
          <w:lang w:val="en-US"/>
        </w:rPr>
        <w:t>P</w:t>
      </w:r>
      <w:r w:rsidR="00F93BBB" w:rsidRPr="00763EAB">
        <w:rPr>
          <w:lang w:val="en-US"/>
        </w:rPr>
        <w:t>.</w:t>
      </w:r>
      <w:r w:rsidRPr="00763EAB">
        <w:rPr>
          <w:lang w:val="en-US"/>
        </w:rPr>
        <w:t xml:space="preserve">, </w:t>
      </w:r>
      <w:proofErr w:type="spellStart"/>
      <w:r w:rsidRPr="00763EAB">
        <w:rPr>
          <w:lang w:val="en-US"/>
        </w:rPr>
        <w:t>Nahemow</w:t>
      </w:r>
      <w:proofErr w:type="spellEnd"/>
      <w:r w:rsidR="00F93BBB" w:rsidRPr="00763EAB">
        <w:rPr>
          <w:lang w:val="en-US"/>
        </w:rPr>
        <w:t>,</w:t>
      </w:r>
      <w:r w:rsidRPr="00763EAB">
        <w:rPr>
          <w:lang w:val="en-US"/>
        </w:rPr>
        <w:t xml:space="preserve"> L.</w:t>
      </w:r>
      <w:r w:rsidR="00A6117D" w:rsidRPr="00763EAB">
        <w:rPr>
          <w:lang w:val="en-US"/>
        </w:rPr>
        <w:t>, 1973.</w:t>
      </w:r>
      <w:r w:rsidRPr="00763EAB">
        <w:rPr>
          <w:lang w:val="en-US"/>
        </w:rPr>
        <w:t xml:space="preserve"> </w:t>
      </w:r>
      <w:proofErr w:type="gramStart"/>
      <w:r w:rsidRPr="00763EAB">
        <w:rPr>
          <w:lang w:val="en-US"/>
        </w:rPr>
        <w:t>Ecology and the aging process.</w:t>
      </w:r>
      <w:proofErr w:type="gramEnd"/>
      <w:r w:rsidRPr="00763EAB">
        <w:rPr>
          <w:lang w:val="en-US"/>
        </w:rPr>
        <w:t xml:space="preserve"> </w:t>
      </w:r>
      <w:r w:rsidR="00A6117D" w:rsidRPr="00763EAB">
        <w:rPr>
          <w:lang w:val="en-US"/>
        </w:rPr>
        <w:t xml:space="preserve">In: </w:t>
      </w:r>
      <w:proofErr w:type="spellStart"/>
      <w:r w:rsidR="00A6117D" w:rsidRPr="00763EAB">
        <w:rPr>
          <w:lang w:val="en-US"/>
        </w:rPr>
        <w:t>Eisendorfer</w:t>
      </w:r>
      <w:proofErr w:type="spellEnd"/>
      <w:r w:rsidR="00A6117D" w:rsidRPr="00763EAB">
        <w:rPr>
          <w:lang w:val="en-US"/>
        </w:rPr>
        <w:t>, C., Lawton, M.P. (</w:t>
      </w:r>
      <w:proofErr w:type="spellStart"/>
      <w:r w:rsidR="00A6117D" w:rsidRPr="00763EAB">
        <w:rPr>
          <w:lang w:val="en-US"/>
        </w:rPr>
        <w:t>Eds</w:t>
      </w:r>
      <w:proofErr w:type="spellEnd"/>
      <w:r w:rsidR="00A6117D" w:rsidRPr="00763EAB">
        <w:rPr>
          <w:lang w:val="en-US"/>
        </w:rPr>
        <w:t>),</w:t>
      </w:r>
      <w:r w:rsidRPr="00763EAB">
        <w:rPr>
          <w:lang w:val="en-US"/>
        </w:rPr>
        <w:t xml:space="preserve"> </w:t>
      </w:r>
      <w:proofErr w:type="spellStart"/>
      <w:proofErr w:type="gramStart"/>
      <w:r w:rsidRPr="00763EAB">
        <w:rPr>
          <w:lang w:val="en-GB"/>
        </w:rPr>
        <w:t>Th</w:t>
      </w:r>
      <w:proofErr w:type="spellEnd"/>
      <w:r w:rsidRPr="00763EAB">
        <w:rPr>
          <w:lang w:val="en-US"/>
        </w:rPr>
        <w:t>e</w:t>
      </w:r>
      <w:proofErr w:type="gramEnd"/>
      <w:r w:rsidRPr="00763EAB">
        <w:rPr>
          <w:lang w:val="en-US"/>
        </w:rPr>
        <w:t xml:space="preserve"> psychology of adult development and aging. American Psychiatry Association, </w:t>
      </w:r>
      <w:r w:rsidR="00A6117D" w:rsidRPr="00763EAB">
        <w:rPr>
          <w:lang w:val="en-US"/>
        </w:rPr>
        <w:t xml:space="preserve">Washington, DC, </w:t>
      </w:r>
      <w:r w:rsidRPr="00763EAB">
        <w:rPr>
          <w:lang w:val="en-US"/>
        </w:rPr>
        <w:t>pp</w:t>
      </w:r>
      <w:r w:rsidR="00A6117D" w:rsidRPr="00763EAB">
        <w:rPr>
          <w:lang w:val="en-US"/>
        </w:rPr>
        <w:t>.</w:t>
      </w:r>
      <w:r w:rsidRPr="00763EAB">
        <w:rPr>
          <w:lang w:val="en-US"/>
        </w:rPr>
        <w:t xml:space="preserve"> 619-674.</w:t>
      </w:r>
    </w:p>
    <w:p w:rsidR="00D779D8" w:rsidRPr="00763EAB" w:rsidRDefault="00D779D8" w:rsidP="00D779D8">
      <w:pPr>
        <w:tabs>
          <w:tab w:val="left" w:pos="426"/>
        </w:tabs>
        <w:spacing w:line="480" w:lineRule="auto"/>
        <w:ind w:left="284" w:hanging="284"/>
        <w:jc w:val="both"/>
        <w:rPr>
          <w:lang w:val="en-US"/>
        </w:rPr>
      </w:pPr>
      <w:proofErr w:type="spellStart"/>
      <w:proofErr w:type="gramStart"/>
      <w:r w:rsidRPr="00763EAB">
        <w:rPr>
          <w:lang w:val="en-US"/>
        </w:rPr>
        <w:lastRenderedPageBreak/>
        <w:t>Levasseur</w:t>
      </w:r>
      <w:proofErr w:type="spellEnd"/>
      <w:r w:rsidR="00F93BBB" w:rsidRPr="00763EAB">
        <w:rPr>
          <w:lang w:val="en-US"/>
        </w:rPr>
        <w:t>,</w:t>
      </w:r>
      <w:r w:rsidRPr="00763EAB">
        <w:rPr>
          <w:lang w:val="en-US"/>
        </w:rPr>
        <w:t xml:space="preserve"> M</w:t>
      </w:r>
      <w:r w:rsidR="00F93BBB" w:rsidRPr="00763EAB">
        <w:rPr>
          <w:lang w:val="en-US"/>
        </w:rPr>
        <w:t>.</w:t>
      </w:r>
      <w:r w:rsidRPr="00763EAB">
        <w:rPr>
          <w:lang w:val="en-US"/>
        </w:rPr>
        <w:t xml:space="preserve">, </w:t>
      </w:r>
      <w:proofErr w:type="spellStart"/>
      <w:r w:rsidRPr="00763EAB">
        <w:rPr>
          <w:lang w:val="en-US"/>
        </w:rPr>
        <w:t>Desrosiers</w:t>
      </w:r>
      <w:proofErr w:type="spellEnd"/>
      <w:r w:rsidR="00AB488D" w:rsidRPr="00763EAB">
        <w:rPr>
          <w:lang w:val="en-US"/>
        </w:rPr>
        <w:t>,</w:t>
      </w:r>
      <w:r w:rsidRPr="00763EAB">
        <w:rPr>
          <w:lang w:val="en-US"/>
        </w:rPr>
        <w:t xml:space="preserve"> J</w:t>
      </w:r>
      <w:r w:rsidR="00AB488D" w:rsidRPr="00763EAB">
        <w:rPr>
          <w:lang w:val="en-US"/>
        </w:rPr>
        <w:t>.</w:t>
      </w:r>
      <w:r w:rsidRPr="00763EAB">
        <w:rPr>
          <w:lang w:val="en-US"/>
        </w:rPr>
        <w:t>, St-Cyr Tribble</w:t>
      </w:r>
      <w:r w:rsidR="00AB488D" w:rsidRPr="00763EAB">
        <w:rPr>
          <w:lang w:val="en-US"/>
        </w:rPr>
        <w:t>,</w:t>
      </w:r>
      <w:r w:rsidRPr="00763EAB">
        <w:rPr>
          <w:lang w:val="en-US"/>
        </w:rPr>
        <w:t xml:space="preserve"> D.</w:t>
      </w:r>
      <w:r w:rsidR="00A6117D" w:rsidRPr="00763EAB">
        <w:rPr>
          <w:lang w:val="en-US"/>
        </w:rPr>
        <w:t>, 2008.</w:t>
      </w:r>
      <w:proofErr w:type="gramEnd"/>
      <w:r w:rsidRPr="00763EAB">
        <w:rPr>
          <w:lang w:val="en-US"/>
        </w:rPr>
        <w:t xml:space="preserve"> </w:t>
      </w:r>
      <w:proofErr w:type="gramStart"/>
      <w:r w:rsidRPr="00763EAB">
        <w:rPr>
          <w:lang w:val="en-US"/>
        </w:rPr>
        <w:t>Subjective quality of life predictors for older adults with physical disabilities.</w:t>
      </w:r>
      <w:proofErr w:type="gramEnd"/>
      <w:r w:rsidRPr="00763EAB">
        <w:rPr>
          <w:lang w:val="en-US"/>
        </w:rPr>
        <w:t xml:space="preserve"> Am</w:t>
      </w:r>
      <w:r w:rsidR="005268B9" w:rsidRPr="00763EAB">
        <w:rPr>
          <w:lang w:val="en-US"/>
        </w:rPr>
        <w:t>.</w:t>
      </w:r>
      <w:r w:rsidRPr="00763EAB">
        <w:rPr>
          <w:lang w:val="en-US"/>
        </w:rPr>
        <w:t xml:space="preserve"> J</w:t>
      </w:r>
      <w:r w:rsidR="005268B9" w:rsidRPr="00763EAB">
        <w:rPr>
          <w:lang w:val="en-US"/>
        </w:rPr>
        <w:t>.</w:t>
      </w:r>
      <w:r w:rsidRPr="00763EAB">
        <w:rPr>
          <w:lang w:val="en-US"/>
        </w:rPr>
        <w:t xml:space="preserve"> Phys</w:t>
      </w:r>
      <w:r w:rsidR="005268B9" w:rsidRPr="00763EAB">
        <w:rPr>
          <w:lang w:val="en-US"/>
        </w:rPr>
        <w:t>.</w:t>
      </w:r>
      <w:r w:rsidRPr="00763EAB">
        <w:rPr>
          <w:lang w:val="en-US"/>
        </w:rPr>
        <w:t xml:space="preserve"> Med</w:t>
      </w:r>
      <w:r w:rsidR="005268B9" w:rsidRPr="00763EAB">
        <w:rPr>
          <w:lang w:val="en-US"/>
        </w:rPr>
        <w:t>.</w:t>
      </w:r>
      <w:r w:rsidRPr="00763EAB">
        <w:rPr>
          <w:lang w:val="en-US"/>
        </w:rPr>
        <w:t xml:space="preserve"> </w:t>
      </w:r>
      <w:proofErr w:type="spellStart"/>
      <w:r w:rsidRPr="00763EAB">
        <w:rPr>
          <w:lang w:val="en-US"/>
        </w:rPr>
        <w:t>Rehabil</w:t>
      </w:r>
      <w:proofErr w:type="spellEnd"/>
      <w:r w:rsidR="005268B9" w:rsidRPr="00763EAB">
        <w:rPr>
          <w:lang w:val="en-US"/>
        </w:rPr>
        <w:t>.</w:t>
      </w:r>
      <w:r w:rsidRPr="00763EAB">
        <w:rPr>
          <w:lang w:val="en-US"/>
        </w:rPr>
        <w:t xml:space="preserve"> </w:t>
      </w:r>
      <w:r w:rsidR="00A6117D" w:rsidRPr="00763EAB">
        <w:rPr>
          <w:lang w:val="en-US"/>
        </w:rPr>
        <w:t xml:space="preserve">87, </w:t>
      </w:r>
      <w:r w:rsidRPr="00763EAB">
        <w:rPr>
          <w:lang w:val="en-US"/>
        </w:rPr>
        <w:t>830-841.</w:t>
      </w:r>
    </w:p>
    <w:p w:rsidR="00EE250F" w:rsidRPr="00763EAB" w:rsidRDefault="00C47554" w:rsidP="00EE250F">
      <w:pPr>
        <w:pStyle w:val="NoSpacing"/>
        <w:spacing w:line="480" w:lineRule="auto"/>
        <w:ind w:left="284" w:hanging="284"/>
        <w:jc w:val="both"/>
        <w:rPr>
          <w:lang w:val="en-US"/>
        </w:rPr>
      </w:pPr>
      <w:proofErr w:type="spellStart"/>
      <w:proofErr w:type="gramStart"/>
      <w:r w:rsidRPr="00763EAB">
        <w:rPr>
          <w:lang w:val="en-US"/>
        </w:rPr>
        <w:t>Levasseur</w:t>
      </w:r>
      <w:proofErr w:type="spellEnd"/>
      <w:r w:rsidR="00AB488D" w:rsidRPr="00763EAB">
        <w:rPr>
          <w:lang w:val="en-US"/>
        </w:rPr>
        <w:t>,</w:t>
      </w:r>
      <w:r w:rsidRPr="00763EAB">
        <w:rPr>
          <w:lang w:val="en-US"/>
        </w:rPr>
        <w:t xml:space="preserve"> M</w:t>
      </w:r>
      <w:r w:rsidR="00AB488D" w:rsidRPr="00763EAB">
        <w:rPr>
          <w:lang w:val="en-US"/>
        </w:rPr>
        <w:t>.</w:t>
      </w:r>
      <w:r w:rsidRPr="00763EAB">
        <w:rPr>
          <w:lang w:val="en-US"/>
        </w:rPr>
        <w:t xml:space="preserve">, </w:t>
      </w:r>
      <w:proofErr w:type="spellStart"/>
      <w:r w:rsidRPr="00763EAB">
        <w:rPr>
          <w:lang w:val="en-US"/>
        </w:rPr>
        <w:t>Généreuz</w:t>
      </w:r>
      <w:proofErr w:type="spellEnd"/>
      <w:r w:rsidR="00AB488D" w:rsidRPr="00763EAB">
        <w:rPr>
          <w:lang w:val="en-US"/>
        </w:rPr>
        <w:t>,</w:t>
      </w:r>
      <w:r w:rsidRPr="00763EAB">
        <w:rPr>
          <w:lang w:val="en-US"/>
        </w:rPr>
        <w:t xml:space="preserve"> M</w:t>
      </w:r>
      <w:r w:rsidR="00AB488D" w:rsidRPr="00763EAB">
        <w:rPr>
          <w:lang w:val="en-US"/>
        </w:rPr>
        <w:t>.</w:t>
      </w:r>
      <w:r w:rsidRPr="00763EAB">
        <w:rPr>
          <w:lang w:val="en-US"/>
        </w:rPr>
        <w:t xml:space="preserve">, </w:t>
      </w:r>
      <w:proofErr w:type="spellStart"/>
      <w:r w:rsidRPr="00763EAB">
        <w:rPr>
          <w:lang w:val="en-US"/>
        </w:rPr>
        <w:t>Bruneau</w:t>
      </w:r>
      <w:proofErr w:type="spellEnd"/>
      <w:r w:rsidR="00AB488D" w:rsidRPr="00763EAB">
        <w:rPr>
          <w:lang w:val="en-US"/>
        </w:rPr>
        <w:t>,</w:t>
      </w:r>
      <w:r w:rsidRPr="00763EAB">
        <w:rPr>
          <w:lang w:val="en-US"/>
        </w:rPr>
        <w:t xml:space="preserve"> J</w:t>
      </w:r>
      <w:r w:rsidR="00AB488D" w:rsidRPr="00763EAB">
        <w:rPr>
          <w:lang w:val="en-US"/>
        </w:rPr>
        <w:t>.</w:t>
      </w:r>
      <w:r w:rsidRPr="00763EAB">
        <w:rPr>
          <w:lang w:val="en-US"/>
        </w:rPr>
        <w:t>F</w:t>
      </w:r>
      <w:r w:rsidR="00AB488D" w:rsidRPr="00763EAB">
        <w:rPr>
          <w:lang w:val="en-US"/>
        </w:rPr>
        <w:t>.</w:t>
      </w:r>
      <w:r w:rsidRPr="00763EAB">
        <w:rPr>
          <w:lang w:val="en-US"/>
        </w:rPr>
        <w:t>, et al.</w:t>
      </w:r>
      <w:r w:rsidR="00A6117D" w:rsidRPr="00763EAB">
        <w:rPr>
          <w:lang w:val="en-US"/>
        </w:rPr>
        <w:t>, 2015.</w:t>
      </w:r>
      <w:proofErr w:type="gramEnd"/>
      <w:r w:rsidRPr="00763EAB">
        <w:rPr>
          <w:lang w:val="en-US"/>
        </w:rPr>
        <w:t xml:space="preserve"> Importance of proximity to resources, social support, transportation and </w:t>
      </w:r>
      <w:proofErr w:type="spellStart"/>
      <w:r w:rsidRPr="00763EAB">
        <w:rPr>
          <w:lang w:val="en-US"/>
        </w:rPr>
        <w:t>neighbourhood</w:t>
      </w:r>
      <w:proofErr w:type="spellEnd"/>
      <w:r w:rsidRPr="00763EAB">
        <w:rPr>
          <w:lang w:val="en-US"/>
        </w:rPr>
        <w:t xml:space="preserve"> security for mobility and social participation in older adults: results from a s</w:t>
      </w:r>
      <w:r w:rsidR="00CE3836" w:rsidRPr="00763EAB">
        <w:rPr>
          <w:lang w:val="en-US"/>
        </w:rPr>
        <w:t xml:space="preserve">coping study. </w:t>
      </w:r>
      <w:proofErr w:type="gramStart"/>
      <w:r w:rsidR="00CE3836" w:rsidRPr="00763EAB">
        <w:rPr>
          <w:lang w:val="en-US"/>
        </w:rPr>
        <w:t xml:space="preserve">BMC Public Health 23, </w:t>
      </w:r>
      <w:r w:rsidRPr="00763EAB">
        <w:rPr>
          <w:lang w:val="en-US"/>
        </w:rPr>
        <w:t>503.</w:t>
      </w:r>
      <w:proofErr w:type="gramEnd"/>
    </w:p>
    <w:p w:rsidR="00D779D8" w:rsidRPr="00763EAB" w:rsidRDefault="00D779D8" w:rsidP="00EE250F">
      <w:pPr>
        <w:pStyle w:val="NoSpacing"/>
        <w:spacing w:line="480" w:lineRule="auto"/>
        <w:ind w:left="284" w:hanging="284"/>
        <w:jc w:val="both"/>
        <w:rPr>
          <w:lang w:val="en-GB"/>
        </w:rPr>
      </w:pPr>
      <w:proofErr w:type="gramStart"/>
      <w:r w:rsidRPr="00763EAB">
        <w:rPr>
          <w:lang w:val="en-GB"/>
        </w:rPr>
        <w:t>McLennan</w:t>
      </w:r>
      <w:r w:rsidR="00AB488D" w:rsidRPr="00763EAB">
        <w:rPr>
          <w:lang w:val="en-GB"/>
        </w:rPr>
        <w:t>,</w:t>
      </w:r>
      <w:r w:rsidRPr="00763EAB">
        <w:rPr>
          <w:lang w:val="en-GB"/>
        </w:rPr>
        <w:t xml:space="preserve"> D</w:t>
      </w:r>
      <w:r w:rsidR="00AB488D" w:rsidRPr="00763EAB">
        <w:rPr>
          <w:lang w:val="en-GB"/>
        </w:rPr>
        <w:t>.</w:t>
      </w:r>
      <w:r w:rsidRPr="00763EAB">
        <w:rPr>
          <w:lang w:val="en-GB"/>
        </w:rPr>
        <w:t>, Barnes</w:t>
      </w:r>
      <w:r w:rsidR="00AB488D" w:rsidRPr="00763EAB">
        <w:rPr>
          <w:lang w:val="en-GB"/>
        </w:rPr>
        <w:t>,</w:t>
      </w:r>
      <w:r w:rsidRPr="00763EAB">
        <w:rPr>
          <w:lang w:val="en-GB"/>
        </w:rPr>
        <w:t xml:space="preserve"> H</w:t>
      </w:r>
      <w:r w:rsidR="00AB488D" w:rsidRPr="00763EAB">
        <w:rPr>
          <w:lang w:val="en-GB"/>
        </w:rPr>
        <w:t>.</w:t>
      </w:r>
      <w:r w:rsidRPr="00763EAB">
        <w:rPr>
          <w:lang w:val="en-GB"/>
        </w:rPr>
        <w:t>, Noble</w:t>
      </w:r>
      <w:r w:rsidR="00AB488D" w:rsidRPr="00763EAB">
        <w:rPr>
          <w:lang w:val="en-GB"/>
        </w:rPr>
        <w:t>,</w:t>
      </w:r>
      <w:r w:rsidRPr="00763EAB">
        <w:rPr>
          <w:lang w:val="en-GB"/>
        </w:rPr>
        <w:t xml:space="preserve"> M</w:t>
      </w:r>
      <w:r w:rsidR="00AB488D" w:rsidRPr="00763EAB">
        <w:rPr>
          <w:lang w:val="en-GB"/>
        </w:rPr>
        <w:t>.</w:t>
      </w:r>
      <w:r w:rsidRPr="00763EAB">
        <w:rPr>
          <w:lang w:val="en-GB"/>
        </w:rPr>
        <w:t>, et al.</w:t>
      </w:r>
      <w:r w:rsidR="00CE3836" w:rsidRPr="00763EAB">
        <w:rPr>
          <w:lang w:val="en-GB"/>
        </w:rPr>
        <w:t>, 2011.</w:t>
      </w:r>
      <w:proofErr w:type="gramEnd"/>
      <w:r w:rsidRPr="00763EAB">
        <w:rPr>
          <w:lang w:val="en-GB"/>
        </w:rPr>
        <w:t xml:space="preserve"> </w:t>
      </w:r>
      <w:proofErr w:type="gramStart"/>
      <w:r w:rsidRPr="00763EAB">
        <w:rPr>
          <w:lang w:val="en-GB"/>
        </w:rPr>
        <w:t>The English Indices of Deprivation 2010.</w:t>
      </w:r>
      <w:proofErr w:type="gramEnd"/>
      <w:r w:rsidRPr="00763EAB">
        <w:rPr>
          <w:lang w:val="en-GB"/>
        </w:rPr>
        <w:t xml:space="preserve"> </w:t>
      </w:r>
      <w:proofErr w:type="gramStart"/>
      <w:r w:rsidRPr="00763EAB">
        <w:rPr>
          <w:lang w:val="en-GB"/>
        </w:rPr>
        <w:t>Department for Co</w:t>
      </w:r>
      <w:r w:rsidR="00CE3836" w:rsidRPr="00763EAB">
        <w:rPr>
          <w:lang w:val="en-GB"/>
        </w:rPr>
        <w:t>mmunities and Local Government, London.</w:t>
      </w:r>
      <w:proofErr w:type="gramEnd"/>
    </w:p>
    <w:p w:rsidR="00D779D8" w:rsidRPr="00763EAB" w:rsidRDefault="00D779D8" w:rsidP="00D779D8">
      <w:pPr>
        <w:tabs>
          <w:tab w:val="left" w:pos="426"/>
        </w:tabs>
        <w:spacing w:line="480" w:lineRule="auto"/>
        <w:ind w:left="420" w:hanging="420"/>
        <w:jc w:val="both"/>
        <w:rPr>
          <w:lang w:val="en-GB"/>
        </w:rPr>
      </w:pPr>
      <w:proofErr w:type="gramStart"/>
      <w:r w:rsidRPr="00763EAB">
        <w:rPr>
          <w:lang w:val="en-GB"/>
        </w:rPr>
        <w:t>Noble</w:t>
      </w:r>
      <w:r w:rsidR="00AB488D" w:rsidRPr="00763EAB">
        <w:rPr>
          <w:lang w:val="en-GB"/>
        </w:rPr>
        <w:t>,</w:t>
      </w:r>
      <w:r w:rsidRPr="00763EAB">
        <w:rPr>
          <w:lang w:val="en-GB"/>
        </w:rPr>
        <w:t xml:space="preserve"> M</w:t>
      </w:r>
      <w:r w:rsidR="00AB488D" w:rsidRPr="00763EAB">
        <w:rPr>
          <w:lang w:val="en-GB"/>
        </w:rPr>
        <w:t>.</w:t>
      </w:r>
      <w:r w:rsidRPr="00763EAB">
        <w:rPr>
          <w:lang w:val="en-GB"/>
        </w:rPr>
        <w:t>, McLennan</w:t>
      </w:r>
      <w:r w:rsidR="00AB488D" w:rsidRPr="00763EAB">
        <w:rPr>
          <w:lang w:val="en-GB"/>
        </w:rPr>
        <w:t>,</w:t>
      </w:r>
      <w:r w:rsidRPr="00763EAB">
        <w:rPr>
          <w:lang w:val="en-GB"/>
        </w:rPr>
        <w:t xml:space="preserve"> D</w:t>
      </w:r>
      <w:r w:rsidR="00AB488D" w:rsidRPr="00763EAB">
        <w:rPr>
          <w:lang w:val="en-GB"/>
        </w:rPr>
        <w:t>.</w:t>
      </w:r>
      <w:r w:rsidRPr="00763EAB">
        <w:rPr>
          <w:lang w:val="en-GB"/>
        </w:rPr>
        <w:t>, Wilkinson</w:t>
      </w:r>
      <w:r w:rsidR="00AB488D" w:rsidRPr="00763EAB">
        <w:rPr>
          <w:lang w:val="en-GB"/>
        </w:rPr>
        <w:t>,</w:t>
      </w:r>
      <w:r w:rsidRPr="00763EAB">
        <w:rPr>
          <w:lang w:val="en-GB"/>
        </w:rPr>
        <w:t xml:space="preserve"> D</w:t>
      </w:r>
      <w:r w:rsidR="00AB488D" w:rsidRPr="00763EAB">
        <w:rPr>
          <w:lang w:val="en-GB"/>
        </w:rPr>
        <w:t>.</w:t>
      </w:r>
      <w:r w:rsidRPr="00763EAB">
        <w:rPr>
          <w:lang w:val="en-GB"/>
        </w:rPr>
        <w:t>, et al.</w:t>
      </w:r>
      <w:r w:rsidR="00CE3836" w:rsidRPr="00763EAB">
        <w:rPr>
          <w:lang w:val="en-GB"/>
        </w:rPr>
        <w:t>, 2008.</w:t>
      </w:r>
      <w:proofErr w:type="gramEnd"/>
      <w:r w:rsidRPr="00763EAB">
        <w:rPr>
          <w:lang w:val="en-GB"/>
        </w:rPr>
        <w:t xml:space="preserve"> </w:t>
      </w:r>
      <w:proofErr w:type="gramStart"/>
      <w:r w:rsidRPr="00763EAB">
        <w:rPr>
          <w:lang w:val="en-GB"/>
        </w:rPr>
        <w:t>The English Indices of Deprivation 2007.</w:t>
      </w:r>
      <w:proofErr w:type="gramEnd"/>
      <w:r w:rsidRPr="00763EAB">
        <w:rPr>
          <w:lang w:val="en-GB"/>
        </w:rPr>
        <w:t xml:space="preserve"> </w:t>
      </w:r>
      <w:proofErr w:type="gramStart"/>
      <w:r w:rsidRPr="00763EAB">
        <w:rPr>
          <w:lang w:val="en-GB"/>
        </w:rPr>
        <w:t>Department for Communities and Local Government,</w:t>
      </w:r>
      <w:r w:rsidR="00CE3836" w:rsidRPr="00763EAB">
        <w:rPr>
          <w:lang w:val="en-GB"/>
        </w:rPr>
        <w:t xml:space="preserve"> London</w:t>
      </w:r>
      <w:r w:rsidRPr="00763EAB">
        <w:rPr>
          <w:lang w:val="en-GB"/>
        </w:rPr>
        <w:t>.</w:t>
      </w:r>
      <w:proofErr w:type="gramEnd"/>
    </w:p>
    <w:p w:rsidR="00455100" w:rsidRPr="00763EAB" w:rsidRDefault="00C47554" w:rsidP="00455100">
      <w:pPr>
        <w:spacing w:line="480" w:lineRule="auto"/>
        <w:ind w:left="284" w:hanging="284"/>
        <w:jc w:val="both"/>
        <w:rPr>
          <w:lang w:val="en-US"/>
        </w:rPr>
      </w:pPr>
      <w:proofErr w:type="gramStart"/>
      <w:r w:rsidRPr="00763EAB">
        <w:rPr>
          <w:lang w:val="en-GB"/>
        </w:rPr>
        <w:t>Peat</w:t>
      </w:r>
      <w:r w:rsidR="00AB488D" w:rsidRPr="00763EAB">
        <w:rPr>
          <w:lang w:val="en-GB"/>
        </w:rPr>
        <w:t>,</w:t>
      </w:r>
      <w:r w:rsidRPr="00763EAB">
        <w:rPr>
          <w:lang w:val="en-GB"/>
        </w:rPr>
        <w:t xml:space="preserve"> G</w:t>
      </w:r>
      <w:r w:rsidR="00AB488D" w:rsidRPr="00763EAB">
        <w:rPr>
          <w:lang w:val="en-GB"/>
        </w:rPr>
        <w:t>.</w:t>
      </w:r>
      <w:r w:rsidRPr="00763EAB">
        <w:rPr>
          <w:lang w:val="en-GB"/>
        </w:rPr>
        <w:t xml:space="preserve">, </w:t>
      </w:r>
      <w:proofErr w:type="spellStart"/>
      <w:r w:rsidRPr="00763EAB">
        <w:rPr>
          <w:lang w:val="en-GB"/>
        </w:rPr>
        <w:t>McCarney</w:t>
      </w:r>
      <w:proofErr w:type="spellEnd"/>
      <w:r w:rsidR="00AB488D" w:rsidRPr="00763EAB">
        <w:rPr>
          <w:lang w:val="en-GB"/>
        </w:rPr>
        <w:t>,</w:t>
      </w:r>
      <w:r w:rsidRPr="00763EAB">
        <w:rPr>
          <w:lang w:val="en-GB"/>
        </w:rPr>
        <w:t xml:space="preserve"> R</w:t>
      </w:r>
      <w:r w:rsidR="00AB488D" w:rsidRPr="00763EAB">
        <w:rPr>
          <w:lang w:val="en-GB"/>
        </w:rPr>
        <w:t>.</w:t>
      </w:r>
      <w:r w:rsidRPr="00763EAB">
        <w:rPr>
          <w:lang w:val="en-GB"/>
        </w:rPr>
        <w:t>, Croft</w:t>
      </w:r>
      <w:r w:rsidR="00AB488D" w:rsidRPr="00763EAB">
        <w:rPr>
          <w:lang w:val="en-GB"/>
        </w:rPr>
        <w:t>,</w:t>
      </w:r>
      <w:r w:rsidRPr="00763EAB">
        <w:rPr>
          <w:lang w:val="en-GB"/>
        </w:rPr>
        <w:t xml:space="preserve"> P.</w:t>
      </w:r>
      <w:r w:rsidR="00CE3836" w:rsidRPr="00763EAB">
        <w:rPr>
          <w:lang w:val="en-GB"/>
        </w:rPr>
        <w:t>, 2001.</w:t>
      </w:r>
      <w:proofErr w:type="gramEnd"/>
      <w:r w:rsidRPr="00763EAB">
        <w:rPr>
          <w:lang w:val="en-GB"/>
        </w:rPr>
        <w:t xml:space="preserve"> Knee pain and osteoarthritis in older adults: a review of community burden and current use of primary health care. </w:t>
      </w:r>
      <w:r w:rsidRPr="00763EAB">
        <w:rPr>
          <w:lang w:val="en-US"/>
        </w:rPr>
        <w:t>Ann</w:t>
      </w:r>
      <w:r w:rsidR="005268B9" w:rsidRPr="00763EAB">
        <w:rPr>
          <w:lang w:val="en-US"/>
        </w:rPr>
        <w:t>.</w:t>
      </w:r>
      <w:r w:rsidRPr="00763EAB">
        <w:rPr>
          <w:lang w:val="en-US"/>
        </w:rPr>
        <w:t xml:space="preserve"> Rheum</w:t>
      </w:r>
      <w:r w:rsidR="005268B9" w:rsidRPr="00763EAB">
        <w:rPr>
          <w:lang w:val="en-US"/>
        </w:rPr>
        <w:t>.</w:t>
      </w:r>
      <w:r w:rsidRPr="00763EAB">
        <w:rPr>
          <w:lang w:val="en-US"/>
        </w:rPr>
        <w:t xml:space="preserve"> Dis</w:t>
      </w:r>
      <w:r w:rsidR="005268B9" w:rsidRPr="00763EAB">
        <w:rPr>
          <w:lang w:val="en-US"/>
        </w:rPr>
        <w:t>.</w:t>
      </w:r>
      <w:r w:rsidRPr="00763EAB">
        <w:rPr>
          <w:lang w:val="en-US"/>
        </w:rPr>
        <w:t xml:space="preserve"> </w:t>
      </w:r>
      <w:r w:rsidR="00CE3836" w:rsidRPr="00763EAB">
        <w:rPr>
          <w:lang w:val="en-US"/>
        </w:rPr>
        <w:t xml:space="preserve">60, </w:t>
      </w:r>
      <w:r w:rsidRPr="00763EAB">
        <w:rPr>
          <w:lang w:val="en-US"/>
        </w:rPr>
        <w:t>91-97.</w:t>
      </w:r>
    </w:p>
    <w:p w:rsidR="00D779D8" w:rsidRPr="00763EAB" w:rsidRDefault="00D779D8" w:rsidP="00D779D8">
      <w:pPr>
        <w:tabs>
          <w:tab w:val="left" w:pos="426"/>
        </w:tabs>
        <w:spacing w:line="480" w:lineRule="auto"/>
        <w:ind w:left="420" w:hanging="420"/>
        <w:jc w:val="both"/>
        <w:rPr>
          <w:lang w:val="en-US"/>
        </w:rPr>
      </w:pPr>
      <w:proofErr w:type="gramStart"/>
      <w:r w:rsidRPr="00763EAB">
        <w:rPr>
          <w:lang w:val="en-US"/>
        </w:rPr>
        <w:t>Puts</w:t>
      </w:r>
      <w:r w:rsidR="00AB488D" w:rsidRPr="00763EAB">
        <w:rPr>
          <w:lang w:val="en-US"/>
        </w:rPr>
        <w:t>,</w:t>
      </w:r>
      <w:r w:rsidRPr="00763EAB">
        <w:rPr>
          <w:lang w:val="en-US"/>
        </w:rPr>
        <w:t xml:space="preserve"> M</w:t>
      </w:r>
      <w:r w:rsidR="00AB488D" w:rsidRPr="00763EAB">
        <w:rPr>
          <w:lang w:val="en-US"/>
        </w:rPr>
        <w:t>.</w:t>
      </w:r>
      <w:r w:rsidRPr="00763EAB">
        <w:rPr>
          <w:lang w:val="en-US"/>
        </w:rPr>
        <w:t>T</w:t>
      </w:r>
      <w:r w:rsidR="00AB488D" w:rsidRPr="00763EAB">
        <w:rPr>
          <w:lang w:val="en-US"/>
        </w:rPr>
        <w:t>.</w:t>
      </w:r>
      <w:r w:rsidRPr="00763EAB">
        <w:rPr>
          <w:lang w:val="en-US"/>
        </w:rPr>
        <w:t>E</w:t>
      </w:r>
      <w:r w:rsidR="00AB488D" w:rsidRPr="00763EAB">
        <w:rPr>
          <w:lang w:val="en-US"/>
        </w:rPr>
        <w:t>.</w:t>
      </w:r>
      <w:r w:rsidRPr="00763EAB">
        <w:rPr>
          <w:lang w:val="en-US"/>
        </w:rPr>
        <w:t xml:space="preserve">, </w:t>
      </w:r>
      <w:proofErr w:type="spellStart"/>
      <w:r w:rsidRPr="00763EAB">
        <w:rPr>
          <w:lang w:val="en-US"/>
        </w:rPr>
        <w:t>Shekary</w:t>
      </w:r>
      <w:proofErr w:type="spellEnd"/>
      <w:r w:rsidR="00AB488D" w:rsidRPr="00763EAB">
        <w:rPr>
          <w:lang w:val="en-US"/>
        </w:rPr>
        <w:t>,</w:t>
      </w:r>
      <w:r w:rsidRPr="00763EAB">
        <w:rPr>
          <w:lang w:val="en-US"/>
        </w:rPr>
        <w:t xml:space="preserve"> N</w:t>
      </w:r>
      <w:r w:rsidR="00AB488D" w:rsidRPr="00763EAB">
        <w:rPr>
          <w:lang w:val="en-US"/>
        </w:rPr>
        <w:t>.</w:t>
      </w:r>
      <w:r w:rsidRPr="00763EAB">
        <w:rPr>
          <w:lang w:val="en-US"/>
        </w:rPr>
        <w:t xml:space="preserve">, </w:t>
      </w:r>
      <w:proofErr w:type="spellStart"/>
      <w:r w:rsidRPr="00763EAB">
        <w:rPr>
          <w:lang w:val="en-US"/>
        </w:rPr>
        <w:t>Widdershoven</w:t>
      </w:r>
      <w:proofErr w:type="spellEnd"/>
      <w:r w:rsidR="00AB488D" w:rsidRPr="00763EAB">
        <w:rPr>
          <w:lang w:val="en-US"/>
        </w:rPr>
        <w:t>,</w:t>
      </w:r>
      <w:r w:rsidRPr="00763EAB">
        <w:rPr>
          <w:lang w:val="en-US"/>
        </w:rPr>
        <w:t xml:space="preserve"> G</w:t>
      </w:r>
      <w:r w:rsidR="00AB488D" w:rsidRPr="00763EAB">
        <w:rPr>
          <w:lang w:val="en-US"/>
        </w:rPr>
        <w:t>.</w:t>
      </w:r>
      <w:r w:rsidRPr="00763EAB">
        <w:rPr>
          <w:lang w:val="en-US"/>
        </w:rPr>
        <w:t>, et al.</w:t>
      </w:r>
      <w:r w:rsidR="00CE3836" w:rsidRPr="00763EAB">
        <w:rPr>
          <w:lang w:val="en-US"/>
        </w:rPr>
        <w:t>, 2007.</w:t>
      </w:r>
      <w:proofErr w:type="gramEnd"/>
      <w:r w:rsidRPr="00763EAB">
        <w:rPr>
          <w:lang w:val="en-US"/>
        </w:rPr>
        <w:t xml:space="preserve"> What does quality of life mean to older frail and non-frail community-dwelling adults in the Netherlands? Qual</w:t>
      </w:r>
      <w:r w:rsidR="005268B9" w:rsidRPr="00763EAB">
        <w:rPr>
          <w:lang w:val="en-US"/>
        </w:rPr>
        <w:t>.</w:t>
      </w:r>
      <w:r w:rsidRPr="00763EAB">
        <w:rPr>
          <w:lang w:val="en-US"/>
        </w:rPr>
        <w:t xml:space="preserve"> Life</w:t>
      </w:r>
      <w:r w:rsidR="005268B9" w:rsidRPr="00763EAB">
        <w:rPr>
          <w:lang w:val="en-US"/>
        </w:rPr>
        <w:t>.</w:t>
      </w:r>
      <w:r w:rsidRPr="00763EAB">
        <w:rPr>
          <w:lang w:val="en-US"/>
        </w:rPr>
        <w:t xml:space="preserve"> Res</w:t>
      </w:r>
      <w:r w:rsidR="005268B9" w:rsidRPr="00763EAB">
        <w:rPr>
          <w:lang w:val="en-US"/>
        </w:rPr>
        <w:t>.</w:t>
      </w:r>
      <w:r w:rsidRPr="00763EAB">
        <w:rPr>
          <w:lang w:val="en-US"/>
        </w:rPr>
        <w:t xml:space="preserve"> </w:t>
      </w:r>
      <w:r w:rsidR="00CE3836" w:rsidRPr="00763EAB">
        <w:rPr>
          <w:lang w:val="en-US"/>
        </w:rPr>
        <w:t xml:space="preserve">16, </w:t>
      </w:r>
      <w:r w:rsidRPr="00763EAB">
        <w:rPr>
          <w:lang w:val="en-US"/>
        </w:rPr>
        <w:t>263-277.</w:t>
      </w:r>
    </w:p>
    <w:p w:rsidR="007C44D2" w:rsidRPr="00763EAB" w:rsidRDefault="007C44D2" w:rsidP="007C44D2">
      <w:pPr>
        <w:spacing w:line="480" w:lineRule="auto"/>
        <w:ind w:left="284" w:hanging="284"/>
        <w:jc w:val="both"/>
        <w:rPr>
          <w:lang w:val="en-US"/>
        </w:rPr>
      </w:pPr>
      <w:proofErr w:type="spellStart"/>
      <w:proofErr w:type="gramStart"/>
      <w:r w:rsidRPr="00763EAB">
        <w:rPr>
          <w:lang w:val="en-US"/>
        </w:rPr>
        <w:t>Rantakokko</w:t>
      </w:r>
      <w:proofErr w:type="spellEnd"/>
      <w:r w:rsidR="00AB488D" w:rsidRPr="00763EAB">
        <w:rPr>
          <w:lang w:val="en-US"/>
        </w:rPr>
        <w:t>,</w:t>
      </w:r>
      <w:r w:rsidRPr="00763EAB">
        <w:rPr>
          <w:lang w:val="en-US"/>
        </w:rPr>
        <w:t xml:space="preserve"> M</w:t>
      </w:r>
      <w:r w:rsidR="00AB488D" w:rsidRPr="00763EAB">
        <w:rPr>
          <w:lang w:val="en-US"/>
        </w:rPr>
        <w:t>.</w:t>
      </w:r>
      <w:r w:rsidRPr="00763EAB">
        <w:rPr>
          <w:lang w:val="en-US"/>
        </w:rPr>
        <w:t xml:space="preserve">, </w:t>
      </w:r>
      <w:proofErr w:type="spellStart"/>
      <w:r w:rsidRPr="00763EAB">
        <w:rPr>
          <w:lang w:val="en-US"/>
        </w:rPr>
        <w:t>Iwarsson</w:t>
      </w:r>
      <w:proofErr w:type="spellEnd"/>
      <w:r w:rsidR="00AB488D" w:rsidRPr="00763EAB">
        <w:rPr>
          <w:lang w:val="en-US"/>
        </w:rPr>
        <w:t>,</w:t>
      </w:r>
      <w:r w:rsidRPr="00763EAB">
        <w:rPr>
          <w:lang w:val="en-US"/>
        </w:rPr>
        <w:t xml:space="preserve"> S</w:t>
      </w:r>
      <w:r w:rsidR="00AB488D" w:rsidRPr="00763EAB">
        <w:rPr>
          <w:lang w:val="en-US"/>
        </w:rPr>
        <w:t>.</w:t>
      </w:r>
      <w:r w:rsidRPr="00763EAB">
        <w:rPr>
          <w:lang w:val="en-US"/>
        </w:rPr>
        <w:t xml:space="preserve">, </w:t>
      </w:r>
      <w:proofErr w:type="spellStart"/>
      <w:r w:rsidRPr="00763EAB">
        <w:rPr>
          <w:lang w:val="en-US"/>
        </w:rPr>
        <w:t>Kauppinen</w:t>
      </w:r>
      <w:proofErr w:type="spellEnd"/>
      <w:r w:rsidR="00AB488D" w:rsidRPr="00763EAB">
        <w:rPr>
          <w:lang w:val="en-US"/>
        </w:rPr>
        <w:t>,</w:t>
      </w:r>
      <w:r w:rsidRPr="00763EAB">
        <w:rPr>
          <w:lang w:val="en-US"/>
        </w:rPr>
        <w:t xml:space="preserve"> M</w:t>
      </w:r>
      <w:r w:rsidR="00AB488D" w:rsidRPr="00763EAB">
        <w:rPr>
          <w:lang w:val="en-US"/>
        </w:rPr>
        <w:t>.,</w:t>
      </w:r>
      <w:r w:rsidRPr="00763EAB">
        <w:rPr>
          <w:lang w:val="en-US"/>
        </w:rPr>
        <w:t xml:space="preserve"> et al.</w:t>
      </w:r>
      <w:r w:rsidR="00CE3836" w:rsidRPr="00763EAB">
        <w:rPr>
          <w:lang w:val="en-US"/>
        </w:rPr>
        <w:t>, 2010.</w:t>
      </w:r>
      <w:proofErr w:type="gramEnd"/>
      <w:r w:rsidRPr="00763EAB">
        <w:rPr>
          <w:lang w:val="en-US"/>
        </w:rPr>
        <w:t xml:space="preserve"> </w:t>
      </w:r>
      <w:proofErr w:type="gramStart"/>
      <w:r w:rsidRPr="00763EAB">
        <w:rPr>
          <w:lang w:val="en-US"/>
        </w:rPr>
        <w:t>Quality of Life and Barriers in the Urban Outdoor Environment i</w:t>
      </w:r>
      <w:r w:rsidR="00CE3836" w:rsidRPr="00763EAB">
        <w:rPr>
          <w:lang w:val="en-US"/>
        </w:rPr>
        <w:t>n Old Age.</w:t>
      </w:r>
      <w:proofErr w:type="gramEnd"/>
      <w:r w:rsidR="00CE3836" w:rsidRPr="00763EAB">
        <w:rPr>
          <w:lang w:val="en-US"/>
        </w:rPr>
        <w:t xml:space="preserve"> J</w:t>
      </w:r>
      <w:r w:rsidR="005268B9" w:rsidRPr="00763EAB">
        <w:rPr>
          <w:lang w:val="en-US"/>
        </w:rPr>
        <w:t>.</w:t>
      </w:r>
      <w:r w:rsidR="00CE3836" w:rsidRPr="00763EAB">
        <w:rPr>
          <w:lang w:val="en-US"/>
        </w:rPr>
        <w:t xml:space="preserve"> Am</w:t>
      </w:r>
      <w:r w:rsidR="005268B9" w:rsidRPr="00763EAB">
        <w:rPr>
          <w:lang w:val="en-US"/>
        </w:rPr>
        <w:t>.</w:t>
      </w:r>
      <w:r w:rsidR="00CE3836" w:rsidRPr="00763EAB">
        <w:rPr>
          <w:lang w:val="en-US"/>
        </w:rPr>
        <w:t xml:space="preserve"> </w:t>
      </w:r>
      <w:proofErr w:type="spellStart"/>
      <w:r w:rsidR="00CE3836" w:rsidRPr="00763EAB">
        <w:rPr>
          <w:lang w:val="en-US"/>
        </w:rPr>
        <w:t>Geriatr</w:t>
      </w:r>
      <w:proofErr w:type="spellEnd"/>
      <w:r w:rsidR="005268B9" w:rsidRPr="00763EAB">
        <w:rPr>
          <w:lang w:val="en-US"/>
        </w:rPr>
        <w:t>.</w:t>
      </w:r>
      <w:r w:rsidR="00CE3836" w:rsidRPr="00763EAB">
        <w:rPr>
          <w:lang w:val="en-US"/>
        </w:rPr>
        <w:t xml:space="preserve"> </w:t>
      </w:r>
      <w:proofErr w:type="gramStart"/>
      <w:r w:rsidR="00CE3836" w:rsidRPr="00763EAB">
        <w:rPr>
          <w:lang w:val="en-US"/>
        </w:rPr>
        <w:t>Soc</w:t>
      </w:r>
      <w:r w:rsidR="005268B9" w:rsidRPr="00763EAB">
        <w:rPr>
          <w:lang w:val="en-US"/>
        </w:rPr>
        <w:t>.</w:t>
      </w:r>
      <w:r w:rsidR="00CE3836" w:rsidRPr="00763EAB">
        <w:rPr>
          <w:lang w:val="en-US"/>
        </w:rPr>
        <w:t xml:space="preserve"> 58, </w:t>
      </w:r>
      <w:r w:rsidRPr="00763EAB">
        <w:rPr>
          <w:lang w:val="en-US"/>
        </w:rPr>
        <w:t>2154-2159.</w:t>
      </w:r>
      <w:proofErr w:type="gramEnd"/>
    </w:p>
    <w:p w:rsidR="00B25DB0" w:rsidRPr="00763EAB" w:rsidRDefault="005800A4" w:rsidP="00B25DB0">
      <w:pPr>
        <w:pStyle w:val="NoSpacing"/>
        <w:spacing w:line="480" w:lineRule="auto"/>
        <w:jc w:val="both"/>
        <w:rPr>
          <w:lang w:val="en-US"/>
        </w:rPr>
      </w:pPr>
      <w:proofErr w:type="gramStart"/>
      <w:r w:rsidRPr="00763EAB">
        <w:rPr>
          <w:lang w:val="en-US"/>
        </w:rPr>
        <w:t>Rosenberg</w:t>
      </w:r>
      <w:r w:rsidR="00B25DB0" w:rsidRPr="00763EAB">
        <w:rPr>
          <w:lang w:val="en-US"/>
        </w:rPr>
        <w:t>,</w:t>
      </w:r>
      <w:r w:rsidRPr="00763EAB">
        <w:rPr>
          <w:lang w:val="en-US"/>
        </w:rPr>
        <w:t xml:space="preserve"> D</w:t>
      </w:r>
      <w:r w:rsidR="00B25DB0" w:rsidRPr="00763EAB">
        <w:rPr>
          <w:lang w:val="en-US"/>
        </w:rPr>
        <w:t>.</w:t>
      </w:r>
      <w:r w:rsidRPr="00763EAB">
        <w:rPr>
          <w:lang w:val="en-US"/>
        </w:rPr>
        <w:t>E</w:t>
      </w:r>
      <w:r w:rsidR="00B25DB0" w:rsidRPr="00763EAB">
        <w:rPr>
          <w:lang w:val="en-US"/>
        </w:rPr>
        <w:t>.</w:t>
      </w:r>
      <w:r w:rsidRPr="00763EAB">
        <w:rPr>
          <w:lang w:val="en-US"/>
        </w:rPr>
        <w:t>, Huang</w:t>
      </w:r>
      <w:r w:rsidR="00B25DB0" w:rsidRPr="00763EAB">
        <w:rPr>
          <w:lang w:val="en-US"/>
        </w:rPr>
        <w:t>,</w:t>
      </w:r>
      <w:r w:rsidRPr="00763EAB">
        <w:rPr>
          <w:lang w:val="en-US"/>
        </w:rPr>
        <w:t xml:space="preserve"> D</w:t>
      </w:r>
      <w:r w:rsidR="00B25DB0" w:rsidRPr="00763EAB">
        <w:rPr>
          <w:lang w:val="en-US"/>
        </w:rPr>
        <w:t>.</w:t>
      </w:r>
      <w:r w:rsidRPr="00763EAB">
        <w:rPr>
          <w:lang w:val="en-US"/>
        </w:rPr>
        <w:t>L</w:t>
      </w:r>
      <w:r w:rsidR="00B25DB0" w:rsidRPr="00763EAB">
        <w:rPr>
          <w:lang w:val="en-US"/>
        </w:rPr>
        <w:t>.</w:t>
      </w:r>
      <w:r w:rsidRPr="00763EAB">
        <w:rPr>
          <w:lang w:val="en-US"/>
        </w:rPr>
        <w:t xml:space="preserve">, </w:t>
      </w:r>
      <w:proofErr w:type="spellStart"/>
      <w:r w:rsidRPr="00763EAB">
        <w:rPr>
          <w:lang w:val="en-US"/>
        </w:rPr>
        <w:t>Simonovich</w:t>
      </w:r>
      <w:proofErr w:type="spellEnd"/>
      <w:r w:rsidR="00B25DB0" w:rsidRPr="00763EAB">
        <w:rPr>
          <w:lang w:val="en-US"/>
        </w:rPr>
        <w:t>,</w:t>
      </w:r>
      <w:r w:rsidRPr="00763EAB">
        <w:rPr>
          <w:lang w:val="en-US"/>
        </w:rPr>
        <w:t xml:space="preserve"> S</w:t>
      </w:r>
      <w:r w:rsidR="00B25DB0" w:rsidRPr="00763EAB">
        <w:rPr>
          <w:lang w:val="en-US"/>
        </w:rPr>
        <w:t>.</w:t>
      </w:r>
      <w:r w:rsidRPr="00763EAB">
        <w:rPr>
          <w:lang w:val="en-US"/>
        </w:rPr>
        <w:t>D</w:t>
      </w:r>
      <w:r w:rsidR="00B25DB0" w:rsidRPr="00763EAB">
        <w:rPr>
          <w:lang w:val="en-US"/>
        </w:rPr>
        <w:t>., et al., 2013.</w:t>
      </w:r>
      <w:proofErr w:type="gramEnd"/>
      <w:r w:rsidRPr="00763EAB">
        <w:rPr>
          <w:lang w:val="en-US"/>
        </w:rPr>
        <w:t xml:space="preserve"> Outdoor built environment </w:t>
      </w:r>
    </w:p>
    <w:p w:rsidR="005800A4" w:rsidRPr="00763EAB" w:rsidRDefault="005800A4" w:rsidP="00B25DB0">
      <w:pPr>
        <w:pStyle w:val="NoSpacing"/>
        <w:spacing w:line="480" w:lineRule="auto"/>
        <w:ind w:left="284"/>
        <w:jc w:val="both"/>
        <w:rPr>
          <w:lang w:val="en-US"/>
        </w:rPr>
      </w:pPr>
      <w:proofErr w:type="gramStart"/>
      <w:r w:rsidRPr="00763EAB">
        <w:rPr>
          <w:lang w:val="en-US"/>
        </w:rPr>
        <w:t>barriers</w:t>
      </w:r>
      <w:proofErr w:type="gramEnd"/>
      <w:r w:rsidRPr="00763EAB">
        <w:rPr>
          <w:lang w:val="en-US"/>
        </w:rPr>
        <w:t xml:space="preserve"> and facilitators to activity among midlife and older adults with mobility disabilities. </w:t>
      </w:r>
      <w:proofErr w:type="gramStart"/>
      <w:r w:rsidR="00B25DB0" w:rsidRPr="00763EAB">
        <w:rPr>
          <w:lang w:val="en-GB"/>
        </w:rPr>
        <w:t>Gerontologist.</w:t>
      </w:r>
      <w:proofErr w:type="gramEnd"/>
      <w:r w:rsidR="00B25DB0" w:rsidRPr="00763EAB">
        <w:rPr>
          <w:lang w:val="en-GB"/>
        </w:rPr>
        <w:t xml:space="preserve"> 53, </w:t>
      </w:r>
      <w:r w:rsidRPr="00763EAB">
        <w:rPr>
          <w:lang w:val="en-GB"/>
        </w:rPr>
        <w:t>268-279.</w:t>
      </w:r>
    </w:p>
    <w:p w:rsidR="007C44D2" w:rsidRPr="00763EAB" w:rsidRDefault="007C44D2" w:rsidP="007C44D2">
      <w:pPr>
        <w:spacing w:line="480" w:lineRule="auto"/>
        <w:ind w:left="284" w:hanging="284"/>
        <w:jc w:val="both"/>
        <w:rPr>
          <w:lang w:val="en-US"/>
        </w:rPr>
      </w:pPr>
      <w:proofErr w:type="spellStart"/>
      <w:proofErr w:type="gramStart"/>
      <w:r w:rsidRPr="00763EAB">
        <w:rPr>
          <w:lang w:val="en-US"/>
        </w:rPr>
        <w:t>Salaffi</w:t>
      </w:r>
      <w:proofErr w:type="spellEnd"/>
      <w:r w:rsidR="00AB488D" w:rsidRPr="00763EAB">
        <w:rPr>
          <w:lang w:val="en-US"/>
        </w:rPr>
        <w:t>,</w:t>
      </w:r>
      <w:r w:rsidRPr="00763EAB">
        <w:rPr>
          <w:lang w:val="en-US"/>
        </w:rPr>
        <w:t xml:space="preserve"> F</w:t>
      </w:r>
      <w:r w:rsidR="00AB488D" w:rsidRPr="00763EAB">
        <w:rPr>
          <w:lang w:val="en-US"/>
        </w:rPr>
        <w:t>.</w:t>
      </w:r>
      <w:r w:rsidRPr="00763EAB">
        <w:rPr>
          <w:lang w:val="en-US"/>
        </w:rPr>
        <w:t xml:space="preserve">, </w:t>
      </w:r>
      <w:proofErr w:type="spellStart"/>
      <w:r w:rsidRPr="00763EAB">
        <w:rPr>
          <w:lang w:val="en-US"/>
        </w:rPr>
        <w:t>Carotti</w:t>
      </w:r>
      <w:proofErr w:type="spellEnd"/>
      <w:r w:rsidR="00AB488D" w:rsidRPr="00763EAB">
        <w:rPr>
          <w:lang w:val="en-US"/>
        </w:rPr>
        <w:t>,</w:t>
      </w:r>
      <w:r w:rsidRPr="00763EAB">
        <w:rPr>
          <w:lang w:val="en-US"/>
        </w:rPr>
        <w:t xml:space="preserve"> M</w:t>
      </w:r>
      <w:r w:rsidR="00AB488D" w:rsidRPr="00763EAB">
        <w:rPr>
          <w:lang w:val="en-US"/>
        </w:rPr>
        <w:t>.</w:t>
      </w:r>
      <w:r w:rsidRPr="00763EAB">
        <w:rPr>
          <w:lang w:val="en-US"/>
        </w:rPr>
        <w:t xml:space="preserve">, </w:t>
      </w:r>
      <w:proofErr w:type="spellStart"/>
      <w:r w:rsidRPr="00763EAB">
        <w:rPr>
          <w:lang w:val="en-US"/>
        </w:rPr>
        <w:t>Stancati</w:t>
      </w:r>
      <w:proofErr w:type="spellEnd"/>
      <w:r w:rsidR="00AB488D" w:rsidRPr="00763EAB">
        <w:rPr>
          <w:lang w:val="en-US"/>
        </w:rPr>
        <w:t>,</w:t>
      </w:r>
      <w:r w:rsidRPr="00763EAB">
        <w:rPr>
          <w:lang w:val="en-US"/>
        </w:rPr>
        <w:t xml:space="preserve"> A</w:t>
      </w:r>
      <w:r w:rsidR="00AB488D" w:rsidRPr="00763EAB">
        <w:rPr>
          <w:lang w:val="en-US"/>
        </w:rPr>
        <w:t>.</w:t>
      </w:r>
      <w:r w:rsidRPr="00763EAB">
        <w:rPr>
          <w:lang w:val="en-US"/>
        </w:rPr>
        <w:t>, et al.</w:t>
      </w:r>
      <w:r w:rsidR="00CE3836" w:rsidRPr="00763EAB">
        <w:rPr>
          <w:lang w:val="en-US"/>
        </w:rPr>
        <w:t>, 2005.</w:t>
      </w:r>
      <w:proofErr w:type="gramEnd"/>
      <w:r w:rsidRPr="00763EAB">
        <w:rPr>
          <w:lang w:val="en-US"/>
        </w:rPr>
        <w:t xml:space="preserve"> Health-related quality of life in older adults with symptomatic hip and knee osteoarthritis: a comparison with matched healthy controls. </w:t>
      </w:r>
      <w:proofErr w:type="gramStart"/>
      <w:r w:rsidRPr="00763EAB">
        <w:rPr>
          <w:lang w:val="en-US"/>
        </w:rPr>
        <w:t xml:space="preserve">Aging </w:t>
      </w:r>
      <w:proofErr w:type="spellStart"/>
      <w:r w:rsidRPr="00763EAB">
        <w:rPr>
          <w:lang w:val="en-US"/>
        </w:rPr>
        <w:t>Clin</w:t>
      </w:r>
      <w:proofErr w:type="spellEnd"/>
      <w:r w:rsidR="005268B9" w:rsidRPr="00763EAB">
        <w:rPr>
          <w:lang w:val="en-US"/>
        </w:rPr>
        <w:t>.</w:t>
      </w:r>
      <w:proofErr w:type="gramEnd"/>
      <w:r w:rsidRPr="00763EAB">
        <w:rPr>
          <w:lang w:val="en-US"/>
        </w:rPr>
        <w:t xml:space="preserve"> Exp</w:t>
      </w:r>
      <w:r w:rsidR="005268B9" w:rsidRPr="00763EAB">
        <w:rPr>
          <w:lang w:val="en-US"/>
        </w:rPr>
        <w:t>.</w:t>
      </w:r>
      <w:r w:rsidRPr="00763EAB">
        <w:rPr>
          <w:lang w:val="en-US"/>
        </w:rPr>
        <w:t xml:space="preserve"> Res</w:t>
      </w:r>
      <w:r w:rsidR="005268B9" w:rsidRPr="00763EAB">
        <w:rPr>
          <w:lang w:val="en-US"/>
        </w:rPr>
        <w:t>.</w:t>
      </w:r>
      <w:r w:rsidRPr="00763EAB">
        <w:rPr>
          <w:lang w:val="en-US"/>
        </w:rPr>
        <w:t xml:space="preserve"> </w:t>
      </w:r>
      <w:r w:rsidR="00CE3836" w:rsidRPr="00763EAB">
        <w:rPr>
          <w:lang w:val="en-US"/>
        </w:rPr>
        <w:t xml:space="preserve">17, </w:t>
      </w:r>
      <w:r w:rsidRPr="00763EAB">
        <w:rPr>
          <w:lang w:val="en-US"/>
        </w:rPr>
        <w:t>225-</w:t>
      </w:r>
      <w:r w:rsidR="00E544E8" w:rsidRPr="00763EAB">
        <w:rPr>
          <w:lang w:val="en-US"/>
        </w:rPr>
        <w:t>2</w:t>
      </w:r>
      <w:r w:rsidRPr="00763EAB">
        <w:rPr>
          <w:lang w:val="en-US"/>
        </w:rPr>
        <w:t>63.</w:t>
      </w:r>
    </w:p>
    <w:p w:rsidR="00C47554" w:rsidRPr="00763EAB" w:rsidRDefault="00C47554" w:rsidP="00CE3836">
      <w:pPr>
        <w:spacing w:line="480" w:lineRule="auto"/>
        <w:ind w:left="284" w:hanging="284"/>
        <w:jc w:val="both"/>
        <w:rPr>
          <w:lang w:val="en-GB"/>
        </w:rPr>
      </w:pPr>
      <w:proofErr w:type="gramStart"/>
      <w:r w:rsidRPr="00763EAB">
        <w:rPr>
          <w:lang w:val="en-GB"/>
        </w:rPr>
        <w:t>Shumway-Cook</w:t>
      </w:r>
      <w:r w:rsidR="00AB488D" w:rsidRPr="00763EAB">
        <w:rPr>
          <w:lang w:val="en-GB"/>
        </w:rPr>
        <w:t>,</w:t>
      </w:r>
      <w:r w:rsidRPr="00763EAB">
        <w:rPr>
          <w:lang w:val="en-GB"/>
        </w:rPr>
        <w:t xml:space="preserve"> A</w:t>
      </w:r>
      <w:r w:rsidR="00AB488D" w:rsidRPr="00763EAB">
        <w:rPr>
          <w:lang w:val="en-GB"/>
        </w:rPr>
        <w:t>.</w:t>
      </w:r>
      <w:r w:rsidRPr="00763EAB">
        <w:rPr>
          <w:lang w:val="en-GB"/>
        </w:rPr>
        <w:t xml:space="preserve">, </w:t>
      </w:r>
      <w:proofErr w:type="spellStart"/>
      <w:r w:rsidRPr="00763EAB">
        <w:rPr>
          <w:lang w:val="en-GB"/>
        </w:rPr>
        <w:t>Patla</w:t>
      </w:r>
      <w:proofErr w:type="spellEnd"/>
      <w:r w:rsidR="00AB488D" w:rsidRPr="00763EAB">
        <w:rPr>
          <w:lang w:val="en-GB"/>
        </w:rPr>
        <w:t>,</w:t>
      </w:r>
      <w:r w:rsidRPr="00763EAB">
        <w:rPr>
          <w:lang w:val="en-GB"/>
        </w:rPr>
        <w:t xml:space="preserve"> A</w:t>
      </w:r>
      <w:r w:rsidR="00AB488D" w:rsidRPr="00763EAB">
        <w:rPr>
          <w:lang w:val="en-GB"/>
        </w:rPr>
        <w:t>.</w:t>
      </w:r>
      <w:r w:rsidRPr="00763EAB">
        <w:rPr>
          <w:lang w:val="en-GB"/>
        </w:rPr>
        <w:t>, Stewart</w:t>
      </w:r>
      <w:r w:rsidR="00AB488D" w:rsidRPr="00763EAB">
        <w:rPr>
          <w:lang w:val="en-GB"/>
        </w:rPr>
        <w:t>,</w:t>
      </w:r>
      <w:r w:rsidRPr="00763EAB">
        <w:rPr>
          <w:lang w:val="en-GB"/>
        </w:rPr>
        <w:t xml:space="preserve"> A</w:t>
      </w:r>
      <w:r w:rsidR="00AB488D" w:rsidRPr="00763EAB">
        <w:rPr>
          <w:lang w:val="en-GB"/>
        </w:rPr>
        <w:t>.</w:t>
      </w:r>
      <w:r w:rsidRPr="00763EAB">
        <w:rPr>
          <w:lang w:val="en-GB"/>
        </w:rPr>
        <w:t>, et al.</w:t>
      </w:r>
      <w:r w:rsidR="00CE3836" w:rsidRPr="00763EAB">
        <w:rPr>
          <w:lang w:val="en-GB"/>
        </w:rPr>
        <w:t>,</w:t>
      </w:r>
      <w:r w:rsidRPr="00763EAB">
        <w:rPr>
          <w:lang w:val="en-GB"/>
        </w:rPr>
        <w:t xml:space="preserve"> </w:t>
      </w:r>
      <w:r w:rsidR="00CE3836" w:rsidRPr="00763EAB">
        <w:rPr>
          <w:lang w:val="en-GB"/>
        </w:rPr>
        <w:t>2003.</w:t>
      </w:r>
      <w:proofErr w:type="gramEnd"/>
      <w:r w:rsidR="00CE3836" w:rsidRPr="00763EAB">
        <w:rPr>
          <w:lang w:val="en-GB"/>
        </w:rPr>
        <w:t xml:space="preserve"> </w:t>
      </w:r>
      <w:proofErr w:type="gramStart"/>
      <w:r w:rsidRPr="00763EAB">
        <w:rPr>
          <w:lang w:val="en-GB"/>
        </w:rPr>
        <w:t>Environmental components of mobility</w:t>
      </w:r>
      <w:r w:rsidR="00CE3836" w:rsidRPr="00763EAB">
        <w:rPr>
          <w:lang w:val="en-GB"/>
        </w:rPr>
        <w:t xml:space="preserve"> </w:t>
      </w:r>
      <w:r w:rsidRPr="00763EAB">
        <w:rPr>
          <w:lang w:val="en-GB"/>
        </w:rPr>
        <w:t>disability in community-living older persons.</w:t>
      </w:r>
      <w:proofErr w:type="gramEnd"/>
      <w:r w:rsidRPr="00763EAB">
        <w:rPr>
          <w:lang w:val="en-GB"/>
        </w:rPr>
        <w:t xml:space="preserve"> J</w:t>
      </w:r>
      <w:r w:rsidR="005268B9" w:rsidRPr="00763EAB">
        <w:rPr>
          <w:lang w:val="en-GB"/>
        </w:rPr>
        <w:t>.</w:t>
      </w:r>
      <w:r w:rsidRPr="00763EAB">
        <w:rPr>
          <w:lang w:val="en-GB"/>
        </w:rPr>
        <w:t xml:space="preserve"> Am</w:t>
      </w:r>
      <w:r w:rsidR="005268B9" w:rsidRPr="00763EAB">
        <w:rPr>
          <w:lang w:val="en-GB"/>
        </w:rPr>
        <w:t>.</w:t>
      </w:r>
      <w:r w:rsidRPr="00763EAB">
        <w:rPr>
          <w:lang w:val="en-GB"/>
        </w:rPr>
        <w:t xml:space="preserve"> </w:t>
      </w:r>
      <w:proofErr w:type="spellStart"/>
      <w:r w:rsidRPr="00763EAB">
        <w:rPr>
          <w:lang w:val="en-GB"/>
        </w:rPr>
        <w:t>Geriatr</w:t>
      </w:r>
      <w:proofErr w:type="spellEnd"/>
      <w:r w:rsidR="005268B9" w:rsidRPr="00763EAB">
        <w:rPr>
          <w:lang w:val="en-GB"/>
        </w:rPr>
        <w:t>.</w:t>
      </w:r>
      <w:r w:rsidRPr="00763EAB">
        <w:rPr>
          <w:lang w:val="en-GB"/>
        </w:rPr>
        <w:t xml:space="preserve"> Soc</w:t>
      </w:r>
      <w:r w:rsidR="005268B9" w:rsidRPr="00763EAB">
        <w:rPr>
          <w:lang w:val="en-GB"/>
        </w:rPr>
        <w:t>.</w:t>
      </w:r>
      <w:r w:rsidR="00CE3836" w:rsidRPr="00763EAB">
        <w:rPr>
          <w:lang w:val="en-GB"/>
        </w:rPr>
        <w:t xml:space="preserve"> 51, </w:t>
      </w:r>
      <w:r w:rsidRPr="00763EAB">
        <w:rPr>
          <w:lang w:val="en-GB"/>
        </w:rPr>
        <w:t>393-398.</w:t>
      </w:r>
    </w:p>
    <w:p w:rsidR="00D779D8" w:rsidRPr="00763EAB" w:rsidRDefault="00D779D8" w:rsidP="00D779D8">
      <w:pPr>
        <w:pStyle w:val="PlainText"/>
        <w:spacing w:line="480" w:lineRule="auto"/>
        <w:ind w:left="426" w:hanging="426"/>
        <w:jc w:val="both"/>
        <w:rPr>
          <w:rFonts w:ascii="Times New Roman" w:hAnsi="Times New Roman" w:cs="Times New Roman"/>
          <w:sz w:val="24"/>
          <w:szCs w:val="24"/>
        </w:rPr>
      </w:pPr>
      <w:proofErr w:type="gramStart"/>
      <w:r w:rsidRPr="00763EAB">
        <w:rPr>
          <w:rFonts w:ascii="Times New Roman" w:hAnsi="Times New Roman" w:cs="Times New Roman"/>
          <w:sz w:val="24"/>
          <w:szCs w:val="24"/>
          <w:lang w:val="en-US"/>
        </w:rPr>
        <w:lastRenderedPageBreak/>
        <w:t>Speer</w:t>
      </w:r>
      <w:r w:rsidR="00AB488D" w:rsidRPr="00763EAB">
        <w:rPr>
          <w:rFonts w:ascii="Times New Roman" w:hAnsi="Times New Roman" w:cs="Times New Roman"/>
          <w:sz w:val="24"/>
          <w:szCs w:val="24"/>
          <w:lang w:val="en-US"/>
        </w:rPr>
        <w:t>,</w:t>
      </w:r>
      <w:r w:rsidRPr="00763EAB">
        <w:rPr>
          <w:rFonts w:ascii="Times New Roman" w:hAnsi="Times New Roman" w:cs="Times New Roman"/>
          <w:sz w:val="24"/>
          <w:szCs w:val="24"/>
          <w:lang w:val="en-US"/>
        </w:rPr>
        <w:t xml:space="preserve"> D</w:t>
      </w:r>
      <w:r w:rsidR="00AB488D" w:rsidRPr="00763EAB">
        <w:rPr>
          <w:rFonts w:ascii="Times New Roman" w:hAnsi="Times New Roman" w:cs="Times New Roman"/>
          <w:sz w:val="24"/>
          <w:szCs w:val="24"/>
          <w:lang w:val="en-US"/>
        </w:rPr>
        <w:t>.</w:t>
      </w:r>
      <w:r w:rsidRPr="00763EAB">
        <w:rPr>
          <w:rFonts w:ascii="Times New Roman" w:hAnsi="Times New Roman" w:cs="Times New Roman"/>
          <w:sz w:val="24"/>
          <w:szCs w:val="24"/>
          <w:lang w:val="en-US"/>
        </w:rPr>
        <w:t>C</w:t>
      </w:r>
      <w:r w:rsidR="00AB488D" w:rsidRPr="00763EAB">
        <w:rPr>
          <w:rFonts w:ascii="Times New Roman" w:hAnsi="Times New Roman" w:cs="Times New Roman"/>
          <w:sz w:val="24"/>
          <w:szCs w:val="24"/>
          <w:lang w:val="en-US"/>
        </w:rPr>
        <w:t>.</w:t>
      </w:r>
      <w:r w:rsidRPr="00763EAB">
        <w:rPr>
          <w:rFonts w:ascii="Times New Roman" w:hAnsi="Times New Roman" w:cs="Times New Roman"/>
          <w:sz w:val="24"/>
          <w:szCs w:val="24"/>
          <w:lang w:val="en-US"/>
        </w:rPr>
        <w:t xml:space="preserve">, </w:t>
      </w:r>
      <w:proofErr w:type="spellStart"/>
      <w:r w:rsidRPr="00763EAB">
        <w:rPr>
          <w:rFonts w:ascii="Times New Roman" w:hAnsi="Times New Roman" w:cs="Times New Roman"/>
          <w:sz w:val="24"/>
          <w:szCs w:val="24"/>
          <w:lang w:val="en-US"/>
        </w:rPr>
        <w:t>Greenbaum</w:t>
      </w:r>
      <w:proofErr w:type="spellEnd"/>
      <w:r w:rsidR="00AB488D" w:rsidRPr="00763EAB">
        <w:rPr>
          <w:rFonts w:ascii="Times New Roman" w:hAnsi="Times New Roman" w:cs="Times New Roman"/>
          <w:sz w:val="24"/>
          <w:szCs w:val="24"/>
          <w:lang w:val="en-US"/>
        </w:rPr>
        <w:t>,</w:t>
      </w:r>
      <w:r w:rsidRPr="00763EAB">
        <w:rPr>
          <w:rFonts w:ascii="Times New Roman" w:hAnsi="Times New Roman" w:cs="Times New Roman"/>
          <w:sz w:val="24"/>
          <w:szCs w:val="24"/>
          <w:lang w:val="en-US"/>
        </w:rPr>
        <w:t xml:space="preserve"> P</w:t>
      </w:r>
      <w:r w:rsidR="00AB488D" w:rsidRPr="00763EAB">
        <w:rPr>
          <w:rFonts w:ascii="Times New Roman" w:hAnsi="Times New Roman" w:cs="Times New Roman"/>
          <w:sz w:val="24"/>
          <w:szCs w:val="24"/>
          <w:lang w:val="en-US"/>
        </w:rPr>
        <w:t>.</w:t>
      </w:r>
      <w:r w:rsidRPr="00763EAB">
        <w:rPr>
          <w:rFonts w:ascii="Times New Roman" w:hAnsi="Times New Roman" w:cs="Times New Roman"/>
          <w:sz w:val="24"/>
          <w:szCs w:val="24"/>
          <w:lang w:val="en-US"/>
        </w:rPr>
        <w:t>E.</w:t>
      </w:r>
      <w:r w:rsidR="00CE3836" w:rsidRPr="00763EAB">
        <w:rPr>
          <w:rFonts w:ascii="Times New Roman" w:hAnsi="Times New Roman" w:cs="Times New Roman"/>
          <w:sz w:val="24"/>
          <w:szCs w:val="24"/>
          <w:lang w:val="en-US"/>
        </w:rPr>
        <w:t>, 1995.</w:t>
      </w:r>
      <w:proofErr w:type="gramEnd"/>
      <w:r w:rsidRPr="00763EAB">
        <w:rPr>
          <w:rFonts w:ascii="Times New Roman" w:hAnsi="Times New Roman" w:cs="Times New Roman"/>
          <w:sz w:val="24"/>
          <w:szCs w:val="24"/>
          <w:lang w:val="en-US"/>
        </w:rPr>
        <w:t xml:space="preserve"> Five methods to for computing significant individual client change and improvement rates: Support for an individual growth curve approach. </w:t>
      </w:r>
      <w:r w:rsidRPr="00763EAB">
        <w:rPr>
          <w:rFonts w:ascii="Times New Roman" w:hAnsi="Times New Roman" w:cs="Times New Roman"/>
          <w:sz w:val="24"/>
          <w:szCs w:val="24"/>
        </w:rPr>
        <w:t>J</w:t>
      </w:r>
      <w:r w:rsidR="005268B9" w:rsidRPr="00763EAB">
        <w:rPr>
          <w:rFonts w:ascii="Times New Roman" w:hAnsi="Times New Roman" w:cs="Times New Roman"/>
          <w:sz w:val="24"/>
          <w:szCs w:val="24"/>
        </w:rPr>
        <w:t>.</w:t>
      </w:r>
      <w:r w:rsidRPr="00763EAB">
        <w:rPr>
          <w:rFonts w:ascii="Times New Roman" w:hAnsi="Times New Roman" w:cs="Times New Roman"/>
          <w:sz w:val="24"/>
          <w:szCs w:val="24"/>
        </w:rPr>
        <w:t xml:space="preserve"> Consult</w:t>
      </w:r>
      <w:r w:rsidR="005268B9" w:rsidRPr="00763EAB">
        <w:rPr>
          <w:rFonts w:ascii="Times New Roman" w:hAnsi="Times New Roman" w:cs="Times New Roman"/>
          <w:sz w:val="24"/>
          <w:szCs w:val="24"/>
        </w:rPr>
        <w:t>.</w:t>
      </w:r>
      <w:r w:rsidRPr="00763EAB">
        <w:rPr>
          <w:rFonts w:ascii="Times New Roman" w:hAnsi="Times New Roman" w:cs="Times New Roman"/>
          <w:sz w:val="24"/>
          <w:szCs w:val="24"/>
        </w:rPr>
        <w:t xml:space="preserve"> Clin</w:t>
      </w:r>
      <w:r w:rsidR="005268B9" w:rsidRPr="00763EAB">
        <w:rPr>
          <w:rFonts w:ascii="Times New Roman" w:hAnsi="Times New Roman" w:cs="Times New Roman"/>
          <w:sz w:val="24"/>
          <w:szCs w:val="24"/>
        </w:rPr>
        <w:t>.</w:t>
      </w:r>
      <w:r w:rsidRPr="00763EAB">
        <w:rPr>
          <w:rFonts w:ascii="Times New Roman" w:hAnsi="Times New Roman" w:cs="Times New Roman"/>
          <w:sz w:val="24"/>
          <w:szCs w:val="24"/>
        </w:rPr>
        <w:t xml:space="preserve"> Psychol</w:t>
      </w:r>
      <w:r w:rsidR="005268B9" w:rsidRPr="00763EAB">
        <w:rPr>
          <w:rFonts w:ascii="Times New Roman" w:hAnsi="Times New Roman" w:cs="Times New Roman"/>
          <w:sz w:val="24"/>
          <w:szCs w:val="24"/>
        </w:rPr>
        <w:t>.</w:t>
      </w:r>
      <w:r w:rsidRPr="00763EAB">
        <w:rPr>
          <w:rFonts w:ascii="Times New Roman" w:hAnsi="Times New Roman" w:cs="Times New Roman"/>
          <w:sz w:val="24"/>
          <w:szCs w:val="24"/>
        </w:rPr>
        <w:t xml:space="preserve"> </w:t>
      </w:r>
      <w:r w:rsidR="00CE3836" w:rsidRPr="00763EAB">
        <w:rPr>
          <w:rFonts w:ascii="Times New Roman" w:hAnsi="Times New Roman" w:cs="Times New Roman"/>
          <w:sz w:val="24"/>
          <w:szCs w:val="24"/>
        </w:rPr>
        <w:t xml:space="preserve">63, </w:t>
      </w:r>
      <w:r w:rsidRPr="00763EAB">
        <w:rPr>
          <w:rFonts w:ascii="Times New Roman" w:hAnsi="Times New Roman" w:cs="Times New Roman"/>
          <w:sz w:val="24"/>
          <w:szCs w:val="24"/>
        </w:rPr>
        <w:t>1044-1048.</w:t>
      </w:r>
    </w:p>
    <w:p w:rsidR="00D779D8" w:rsidRPr="00763EAB" w:rsidRDefault="00D779D8" w:rsidP="00D779D8">
      <w:pPr>
        <w:spacing w:line="480" w:lineRule="auto"/>
        <w:ind w:left="426" w:hanging="426"/>
        <w:jc w:val="both"/>
        <w:rPr>
          <w:lang w:val="en-US"/>
        </w:rPr>
      </w:pPr>
      <w:r w:rsidRPr="00763EAB">
        <w:t>Stel</w:t>
      </w:r>
      <w:r w:rsidR="00AB488D" w:rsidRPr="00763EAB">
        <w:t>,</w:t>
      </w:r>
      <w:r w:rsidRPr="00763EAB">
        <w:t xml:space="preserve"> V</w:t>
      </w:r>
      <w:r w:rsidR="00AB488D" w:rsidRPr="00763EAB">
        <w:t>.</w:t>
      </w:r>
      <w:r w:rsidRPr="00763EAB">
        <w:t>S</w:t>
      </w:r>
      <w:r w:rsidR="00AB488D" w:rsidRPr="00763EAB">
        <w:t>.</w:t>
      </w:r>
      <w:r w:rsidRPr="00763EAB">
        <w:t>, Smit</w:t>
      </w:r>
      <w:r w:rsidR="00AB488D" w:rsidRPr="00763EAB">
        <w:t>,</w:t>
      </w:r>
      <w:r w:rsidRPr="00763EAB">
        <w:t xml:space="preserve"> J</w:t>
      </w:r>
      <w:r w:rsidR="00AB488D" w:rsidRPr="00763EAB">
        <w:t>.</w:t>
      </w:r>
      <w:r w:rsidRPr="00763EAB">
        <w:t>H</w:t>
      </w:r>
      <w:r w:rsidR="00AB488D" w:rsidRPr="00763EAB">
        <w:t>.</w:t>
      </w:r>
      <w:r w:rsidRPr="00763EAB">
        <w:t>, Pluijm</w:t>
      </w:r>
      <w:r w:rsidR="00AB488D" w:rsidRPr="00763EAB">
        <w:t>,</w:t>
      </w:r>
      <w:r w:rsidRPr="00763EAB">
        <w:t xml:space="preserve"> S</w:t>
      </w:r>
      <w:r w:rsidR="00AB488D" w:rsidRPr="00763EAB">
        <w:t>.</w:t>
      </w:r>
      <w:r w:rsidRPr="00763EAB">
        <w:t>M</w:t>
      </w:r>
      <w:r w:rsidR="00AB488D" w:rsidRPr="00763EAB">
        <w:t>.</w:t>
      </w:r>
      <w:r w:rsidRPr="00763EAB">
        <w:t>, et al.</w:t>
      </w:r>
      <w:r w:rsidR="00CE3836" w:rsidRPr="00763EAB">
        <w:t>, 2004.</w:t>
      </w:r>
      <w:r w:rsidRPr="00763EAB">
        <w:t xml:space="preserve"> </w:t>
      </w:r>
      <w:proofErr w:type="gramStart"/>
      <w:r w:rsidRPr="00763EAB">
        <w:rPr>
          <w:lang w:val="en-US"/>
        </w:rPr>
        <w:t>Comparison of the LASA Physical Activity Questionnaire with a 7-day diary and pedometer.</w:t>
      </w:r>
      <w:proofErr w:type="gramEnd"/>
      <w:r w:rsidRPr="00763EAB">
        <w:rPr>
          <w:lang w:val="en-US"/>
        </w:rPr>
        <w:t xml:space="preserve"> </w:t>
      </w:r>
      <w:r w:rsidRPr="00763EAB">
        <w:rPr>
          <w:lang w:val="en-GB"/>
        </w:rPr>
        <w:t>J</w:t>
      </w:r>
      <w:r w:rsidR="005268B9" w:rsidRPr="00763EAB">
        <w:rPr>
          <w:lang w:val="en-GB"/>
        </w:rPr>
        <w:t>.</w:t>
      </w:r>
      <w:r w:rsidRPr="00763EAB">
        <w:rPr>
          <w:lang w:val="en-GB"/>
        </w:rPr>
        <w:t xml:space="preserve"> </w:t>
      </w:r>
      <w:proofErr w:type="spellStart"/>
      <w:r w:rsidRPr="00763EAB">
        <w:rPr>
          <w:lang w:val="en-GB"/>
        </w:rPr>
        <w:t>Clin</w:t>
      </w:r>
      <w:proofErr w:type="spellEnd"/>
      <w:r w:rsidR="005268B9" w:rsidRPr="00763EAB">
        <w:rPr>
          <w:lang w:val="en-GB"/>
        </w:rPr>
        <w:t>.</w:t>
      </w:r>
      <w:r w:rsidRPr="00763EAB">
        <w:rPr>
          <w:lang w:val="en-GB"/>
        </w:rPr>
        <w:t xml:space="preserve"> </w:t>
      </w:r>
      <w:proofErr w:type="spellStart"/>
      <w:proofErr w:type="gramStart"/>
      <w:r w:rsidRPr="00763EAB">
        <w:rPr>
          <w:lang w:val="en-GB"/>
        </w:rPr>
        <w:t>Epidemiol</w:t>
      </w:r>
      <w:proofErr w:type="spellEnd"/>
      <w:r w:rsidR="005268B9" w:rsidRPr="00763EAB">
        <w:rPr>
          <w:lang w:val="en-GB"/>
        </w:rPr>
        <w:t>.</w:t>
      </w:r>
      <w:proofErr w:type="gramEnd"/>
      <w:r w:rsidRPr="00763EAB">
        <w:rPr>
          <w:lang w:val="en-GB"/>
        </w:rPr>
        <w:t xml:space="preserve"> </w:t>
      </w:r>
      <w:r w:rsidR="00CE3836" w:rsidRPr="00763EAB">
        <w:rPr>
          <w:lang w:val="en-GB"/>
        </w:rPr>
        <w:t xml:space="preserve">57, </w:t>
      </w:r>
      <w:r w:rsidRPr="00763EAB">
        <w:rPr>
          <w:lang w:val="en-GB"/>
        </w:rPr>
        <w:t>252-258.</w:t>
      </w:r>
    </w:p>
    <w:p w:rsidR="00B25DB0" w:rsidRPr="00763EAB" w:rsidRDefault="00B25DB0" w:rsidP="007C44D2">
      <w:pPr>
        <w:tabs>
          <w:tab w:val="left" w:pos="426"/>
        </w:tabs>
        <w:spacing w:line="480" w:lineRule="auto"/>
        <w:ind w:left="420" w:hanging="420"/>
        <w:jc w:val="both"/>
        <w:rPr>
          <w:lang w:val="en-GB"/>
        </w:rPr>
      </w:pPr>
      <w:proofErr w:type="spellStart"/>
      <w:proofErr w:type="gramStart"/>
      <w:r w:rsidRPr="00763EAB">
        <w:rPr>
          <w:lang w:val="en-GB"/>
        </w:rPr>
        <w:t>Strath</w:t>
      </w:r>
      <w:proofErr w:type="spellEnd"/>
      <w:r w:rsidRPr="00763EAB">
        <w:rPr>
          <w:lang w:val="en-GB"/>
        </w:rPr>
        <w:t>, S., Isaacs, R., Greenwald, M.J., 2010.</w:t>
      </w:r>
      <w:proofErr w:type="gramEnd"/>
      <w:r w:rsidRPr="00763EAB">
        <w:rPr>
          <w:lang w:val="en-GB"/>
        </w:rPr>
        <w:t xml:space="preserve"> </w:t>
      </w:r>
      <w:proofErr w:type="gramStart"/>
      <w:r w:rsidRPr="00763EAB">
        <w:rPr>
          <w:lang w:val="en-GB"/>
        </w:rPr>
        <w:t>Operationalizing environmental indicators for physical activity in older adults.</w:t>
      </w:r>
      <w:proofErr w:type="gramEnd"/>
      <w:r w:rsidRPr="00763EAB">
        <w:rPr>
          <w:lang w:val="en-GB"/>
        </w:rPr>
        <w:t xml:space="preserve"> J. Aging. Phys. Act. 15, 412-424.</w:t>
      </w:r>
    </w:p>
    <w:p w:rsidR="007C44D2" w:rsidRPr="00763EAB" w:rsidRDefault="007C44D2" w:rsidP="007C44D2">
      <w:pPr>
        <w:tabs>
          <w:tab w:val="left" w:pos="426"/>
        </w:tabs>
        <w:spacing w:line="480" w:lineRule="auto"/>
        <w:ind w:left="420" w:hanging="420"/>
        <w:jc w:val="both"/>
        <w:rPr>
          <w:lang w:val="en-US"/>
        </w:rPr>
      </w:pPr>
      <w:proofErr w:type="gramStart"/>
      <w:r w:rsidRPr="00763EAB">
        <w:rPr>
          <w:lang w:val="en-GB"/>
        </w:rPr>
        <w:t>Syddall</w:t>
      </w:r>
      <w:r w:rsidR="00AB488D" w:rsidRPr="00763EAB">
        <w:rPr>
          <w:lang w:val="en-GB"/>
        </w:rPr>
        <w:t>,</w:t>
      </w:r>
      <w:r w:rsidRPr="00763EAB">
        <w:rPr>
          <w:lang w:val="en-GB"/>
        </w:rPr>
        <w:t xml:space="preserve"> H</w:t>
      </w:r>
      <w:r w:rsidR="00AB488D" w:rsidRPr="00763EAB">
        <w:rPr>
          <w:lang w:val="en-GB"/>
        </w:rPr>
        <w:t>.</w:t>
      </w:r>
      <w:r w:rsidRPr="00763EAB">
        <w:rPr>
          <w:lang w:val="en-GB"/>
        </w:rPr>
        <w:t>E</w:t>
      </w:r>
      <w:r w:rsidR="00AB488D" w:rsidRPr="00763EAB">
        <w:rPr>
          <w:lang w:val="en-GB"/>
        </w:rPr>
        <w:t>.</w:t>
      </w:r>
      <w:r w:rsidRPr="00763EAB">
        <w:rPr>
          <w:lang w:val="en-GB"/>
        </w:rPr>
        <w:t>, Sayer</w:t>
      </w:r>
      <w:r w:rsidR="00AB488D" w:rsidRPr="00763EAB">
        <w:rPr>
          <w:lang w:val="en-GB"/>
        </w:rPr>
        <w:t>,</w:t>
      </w:r>
      <w:r w:rsidRPr="00763EAB">
        <w:rPr>
          <w:lang w:val="en-GB"/>
        </w:rPr>
        <w:t xml:space="preserve"> A</w:t>
      </w:r>
      <w:r w:rsidR="00AB488D" w:rsidRPr="00763EAB">
        <w:rPr>
          <w:lang w:val="en-GB"/>
        </w:rPr>
        <w:t>.</w:t>
      </w:r>
      <w:r w:rsidRPr="00763EAB">
        <w:rPr>
          <w:lang w:val="en-GB"/>
        </w:rPr>
        <w:t>A</w:t>
      </w:r>
      <w:r w:rsidR="00AB488D" w:rsidRPr="00763EAB">
        <w:rPr>
          <w:lang w:val="en-GB"/>
        </w:rPr>
        <w:t>.</w:t>
      </w:r>
      <w:r w:rsidRPr="00763EAB">
        <w:rPr>
          <w:lang w:val="en-GB"/>
        </w:rPr>
        <w:t>, Dennison</w:t>
      </w:r>
      <w:r w:rsidR="00AB488D" w:rsidRPr="00763EAB">
        <w:rPr>
          <w:lang w:val="en-GB"/>
        </w:rPr>
        <w:t>,</w:t>
      </w:r>
      <w:r w:rsidRPr="00763EAB">
        <w:rPr>
          <w:lang w:val="en-GB"/>
        </w:rPr>
        <w:t xml:space="preserve"> E</w:t>
      </w:r>
      <w:r w:rsidR="00AB488D" w:rsidRPr="00763EAB">
        <w:rPr>
          <w:lang w:val="en-GB"/>
        </w:rPr>
        <w:t>.</w:t>
      </w:r>
      <w:r w:rsidRPr="00763EAB">
        <w:rPr>
          <w:lang w:val="en-GB"/>
        </w:rPr>
        <w:t>M</w:t>
      </w:r>
      <w:r w:rsidR="00AB488D" w:rsidRPr="00763EAB">
        <w:rPr>
          <w:lang w:val="en-GB"/>
        </w:rPr>
        <w:t>.</w:t>
      </w:r>
      <w:r w:rsidRPr="00763EAB">
        <w:rPr>
          <w:lang w:val="en-GB"/>
        </w:rPr>
        <w:t>, et al.</w:t>
      </w:r>
      <w:r w:rsidR="00CE3836" w:rsidRPr="00763EAB">
        <w:rPr>
          <w:lang w:val="en-GB"/>
        </w:rPr>
        <w:t>, 2005.</w:t>
      </w:r>
      <w:proofErr w:type="gramEnd"/>
      <w:r w:rsidRPr="00763EAB">
        <w:rPr>
          <w:lang w:val="en-GB"/>
        </w:rPr>
        <w:t xml:space="preserve"> Cohort profile: The Hertfordshire Cohort Study. </w:t>
      </w:r>
      <w:r w:rsidR="00717F7E" w:rsidRPr="00763EAB">
        <w:rPr>
          <w:lang w:val="en-US"/>
        </w:rPr>
        <w:t>Int</w:t>
      </w:r>
      <w:r w:rsidR="005268B9" w:rsidRPr="00763EAB">
        <w:rPr>
          <w:lang w:val="en-US"/>
        </w:rPr>
        <w:t>.</w:t>
      </w:r>
      <w:r w:rsidR="00717F7E" w:rsidRPr="00763EAB">
        <w:rPr>
          <w:lang w:val="en-US"/>
        </w:rPr>
        <w:t xml:space="preserve"> J</w:t>
      </w:r>
      <w:r w:rsidR="005268B9" w:rsidRPr="00763EAB">
        <w:rPr>
          <w:lang w:val="en-US"/>
        </w:rPr>
        <w:t>.</w:t>
      </w:r>
      <w:r w:rsidR="00717F7E" w:rsidRPr="00763EAB">
        <w:rPr>
          <w:lang w:val="en-US"/>
        </w:rPr>
        <w:t xml:space="preserve"> </w:t>
      </w:r>
      <w:proofErr w:type="spellStart"/>
      <w:r w:rsidR="00717F7E" w:rsidRPr="00763EAB">
        <w:rPr>
          <w:lang w:val="en-US"/>
        </w:rPr>
        <w:t>E</w:t>
      </w:r>
      <w:r w:rsidRPr="00763EAB">
        <w:rPr>
          <w:lang w:val="en-US"/>
        </w:rPr>
        <w:t>pidemiol</w:t>
      </w:r>
      <w:proofErr w:type="spellEnd"/>
      <w:r w:rsidR="005268B9" w:rsidRPr="00763EAB">
        <w:rPr>
          <w:lang w:val="en-US"/>
        </w:rPr>
        <w:t>.</w:t>
      </w:r>
      <w:r w:rsidRPr="00763EAB">
        <w:rPr>
          <w:lang w:val="en-US"/>
        </w:rPr>
        <w:t xml:space="preserve"> </w:t>
      </w:r>
      <w:r w:rsidR="00CE3836" w:rsidRPr="00763EAB">
        <w:rPr>
          <w:lang w:val="en-US"/>
        </w:rPr>
        <w:t xml:space="preserve">34, </w:t>
      </w:r>
      <w:r w:rsidRPr="00763EAB">
        <w:rPr>
          <w:lang w:val="en-US"/>
        </w:rPr>
        <w:t>1234-1242.</w:t>
      </w:r>
    </w:p>
    <w:p w:rsidR="002017BA" w:rsidRPr="00763EAB" w:rsidRDefault="002017BA" w:rsidP="00FC5827">
      <w:pPr>
        <w:spacing w:line="480" w:lineRule="auto"/>
        <w:ind w:left="426" w:hanging="426"/>
        <w:jc w:val="both"/>
      </w:pPr>
      <w:r w:rsidRPr="00763EAB">
        <w:rPr>
          <w:lang w:val="en-US"/>
        </w:rPr>
        <w:t xml:space="preserve">Tombaugh, T.N., McIntyre, N.L., 1992. The mini mental state examination: a comprehensive review. </w:t>
      </w:r>
      <w:r w:rsidRPr="00763EAB">
        <w:t>J. Am. Geriatr. Soc. 40, 922-935.</w:t>
      </w:r>
    </w:p>
    <w:p w:rsidR="00B25DB0" w:rsidRPr="00763EAB" w:rsidRDefault="00B25DB0" w:rsidP="007C44D2">
      <w:pPr>
        <w:tabs>
          <w:tab w:val="left" w:pos="426"/>
        </w:tabs>
        <w:spacing w:line="480" w:lineRule="auto"/>
        <w:ind w:left="420" w:hanging="420"/>
        <w:jc w:val="both"/>
        <w:rPr>
          <w:lang w:val="en-GB"/>
        </w:rPr>
      </w:pPr>
      <w:r w:rsidRPr="00763EAB">
        <w:t xml:space="preserve">Van Cauwenberg, J., De Bourdeaudhuij, I., De Meester, F., et al., 2011. </w:t>
      </w:r>
      <w:r w:rsidRPr="00763EAB">
        <w:rPr>
          <w:lang w:val="en-GB"/>
        </w:rPr>
        <w:t xml:space="preserve">Relationship between the physical environment and physical activity in older adults: A systematic review. </w:t>
      </w:r>
      <w:proofErr w:type="gramStart"/>
      <w:r w:rsidRPr="00763EAB">
        <w:rPr>
          <w:lang w:val="en-GB"/>
        </w:rPr>
        <w:t>Health Place.</w:t>
      </w:r>
      <w:proofErr w:type="gramEnd"/>
      <w:r w:rsidRPr="00763EAB">
        <w:rPr>
          <w:lang w:val="en-GB"/>
        </w:rPr>
        <w:t xml:space="preserve"> 17, 458-469.</w:t>
      </w:r>
    </w:p>
    <w:p w:rsidR="007C44D2" w:rsidRPr="00763EAB" w:rsidRDefault="007C44D2" w:rsidP="007C44D2">
      <w:pPr>
        <w:tabs>
          <w:tab w:val="left" w:pos="426"/>
        </w:tabs>
        <w:spacing w:line="480" w:lineRule="auto"/>
        <w:ind w:left="420" w:hanging="420"/>
        <w:jc w:val="both"/>
      </w:pPr>
      <w:proofErr w:type="gramStart"/>
      <w:r w:rsidRPr="00763EAB">
        <w:rPr>
          <w:lang w:val="en-US"/>
        </w:rPr>
        <w:t>Van der Pas</w:t>
      </w:r>
      <w:r w:rsidR="00AB488D" w:rsidRPr="00763EAB">
        <w:rPr>
          <w:lang w:val="en-US"/>
        </w:rPr>
        <w:t>,</w:t>
      </w:r>
      <w:r w:rsidRPr="00763EAB">
        <w:rPr>
          <w:lang w:val="en-US"/>
        </w:rPr>
        <w:t xml:space="preserve"> S</w:t>
      </w:r>
      <w:r w:rsidR="00AB488D" w:rsidRPr="00763EAB">
        <w:rPr>
          <w:lang w:val="en-US"/>
        </w:rPr>
        <w:t>.</w:t>
      </w:r>
      <w:r w:rsidRPr="00763EAB">
        <w:rPr>
          <w:lang w:val="en-US"/>
        </w:rPr>
        <w:t>, Castell</w:t>
      </w:r>
      <w:r w:rsidR="00AB488D" w:rsidRPr="00763EAB">
        <w:rPr>
          <w:lang w:val="en-US"/>
        </w:rPr>
        <w:t>,</w:t>
      </w:r>
      <w:r w:rsidRPr="00763EAB">
        <w:rPr>
          <w:lang w:val="en-US"/>
        </w:rPr>
        <w:t xml:space="preserve"> M</w:t>
      </w:r>
      <w:r w:rsidR="00AB488D" w:rsidRPr="00763EAB">
        <w:rPr>
          <w:lang w:val="en-US"/>
        </w:rPr>
        <w:t>.</w:t>
      </w:r>
      <w:r w:rsidRPr="00763EAB">
        <w:rPr>
          <w:lang w:val="en-US"/>
        </w:rPr>
        <w:t>V</w:t>
      </w:r>
      <w:r w:rsidR="00AB488D" w:rsidRPr="00763EAB">
        <w:rPr>
          <w:lang w:val="en-US"/>
        </w:rPr>
        <w:t>.</w:t>
      </w:r>
      <w:r w:rsidRPr="00763EAB">
        <w:rPr>
          <w:lang w:val="en-US"/>
        </w:rPr>
        <w:t>, Cooper</w:t>
      </w:r>
      <w:r w:rsidR="00AB488D" w:rsidRPr="00763EAB">
        <w:rPr>
          <w:lang w:val="en-US"/>
        </w:rPr>
        <w:t>,</w:t>
      </w:r>
      <w:r w:rsidRPr="00763EAB">
        <w:rPr>
          <w:lang w:val="en-US"/>
        </w:rPr>
        <w:t xml:space="preserve"> C</w:t>
      </w:r>
      <w:r w:rsidR="00AB488D" w:rsidRPr="00763EAB">
        <w:rPr>
          <w:lang w:val="en-US"/>
        </w:rPr>
        <w:t>.</w:t>
      </w:r>
      <w:r w:rsidRPr="00763EAB">
        <w:rPr>
          <w:lang w:val="en-US"/>
        </w:rPr>
        <w:t xml:space="preserve">, et al. </w:t>
      </w:r>
      <w:r w:rsidR="00CE3836" w:rsidRPr="00763EAB">
        <w:rPr>
          <w:lang w:val="en-US"/>
        </w:rPr>
        <w:t>2013.</w:t>
      </w:r>
      <w:proofErr w:type="gramEnd"/>
      <w:r w:rsidR="00CE3836" w:rsidRPr="00763EAB">
        <w:rPr>
          <w:lang w:val="en-US"/>
        </w:rPr>
        <w:t xml:space="preserve"> </w:t>
      </w:r>
      <w:r w:rsidRPr="00763EAB">
        <w:rPr>
          <w:lang w:val="en-GB"/>
        </w:rPr>
        <w:t xml:space="preserve">European project on osteoarthritis: design of a six-cohort study on the personal and societal burden of osteoarthritis in an older European population. </w:t>
      </w:r>
      <w:r w:rsidRPr="00763EAB">
        <w:t>BMC Musculoskelet</w:t>
      </w:r>
      <w:r w:rsidR="005268B9" w:rsidRPr="00763EAB">
        <w:t>.</w:t>
      </w:r>
      <w:r w:rsidRPr="00763EAB">
        <w:t xml:space="preserve"> Disord</w:t>
      </w:r>
      <w:r w:rsidR="005268B9" w:rsidRPr="00763EAB">
        <w:t>.</w:t>
      </w:r>
      <w:r w:rsidRPr="00763EAB">
        <w:t xml:space="preserve"> </w:t>
      </w:r>
      <w:r w:rsidR="00CE3836" w:rsidRPr="00763EAB">
        <w:t>14,</w:t>
      </w:r>
      <w:r w:rsidRPr="00763EAB">
        <w:t>138.</w:t>
      </w:r>
    </w:p>
    <w:p w:rsidR="00D779D8" w:rsidRPr="00763EAB" w:rsidRDefault="00D779D8" w:rsidP="00CE3836">
      <w:pPr>
        <w:spacing w:line="480" w:lineRule="auto"/>
        <w:ind w:left="284" w:hanging="284"/>
        <w:jc w:val="both"/>
        <w:rPr>
          <w:lang w:val="en-US"/>
        </w:rPr>
      </w:pPr>
      <w:r w:rsidRPr="00763EAB">
        <w:t>Van der Pas</w:t>
      </w:r>
      <w:r w:rsidR="00AB488D" w:rsidRPr="00763EAB">
        <w:t>,</w:t>
      </w:r>
      <w:r w:rsidRPr="00763EAB">
        <w:t xml:space="preserve"> S</w:t>
      </w:r>
      <w:r w:rsidR="00AB488D" w:rsidRPr="00763EAB">
        <w:t>.</w:t>
      </w:r>
      <w:r w:rsidRPr="00763EAB">
        <w:t>, Schaap</w:t>
      </w:r>
      <w:r w:rsidR="00AB488D" w:rsidRPr="00763EAB">
        <w:t>,</w:t>
      </w:r>
      <w:r w:rsidRPr="00763EAB">
        <w:t xml:space="preserve"> L</w:t>
      </w:r>
      <w:r w:rsidR="00AB488D" w:rsidRPr="00763EAB">
        <w:t>.</w:t>
      </w:r>
      <w:r w:rsidRPr="00763EAB">
        <w:t>A</w:t>
      </w:r>
      <w:r w:rsidR="00AB488D" w:rsidRPr="00763EAB">
        <w:t>.</w:t>
      </w:r>
      <w:r w:rsidRPr="00763EAB">
        <w:t>, Castell</w:t>
      </w:r>
      <w:r w:rsidR="00AB488D" w:rsidRPr="00763EAB">
        <w:t>,</w:t>
      </w:r>
      <w:r w:rsidRPr="00763EAB">
        <w:t xml:space="preserve"> M</w:t>
      </w:r>
      <w:r w:rsidR="00AB488D" w:rsidRPr="00763EAB">
        <w:t>.</w:t>
      </w:r>
      <w:r w:rsidRPr="00763EAB">
        <w:t>V</w:t>
      </w:r>
      <w:r w:rsidR="00AB488D" w:rsidRPr="00763EAB">
        <w:t>.</w:t>
      </w:r>
      <w:r w:rsidRPr="00763EAB">
        <w:t>, et al.</w:t>
      </w:r>
      <w:r w:rsidR="00CE3836" w:rsidRPr="00763EAB">
        <w:t>, 2016.</w:t>
      </w:r>
      <w:r w:rsidRPr="00763EAB">
        <w:t xml:space="preserve"> </w:t>
      </w:r>
      <w:r w:rsidRPr="00763EAB">
        <w:rPr>
          <w:lang w:val="en-US"/>
        </w:rPr>
        <w:t xml:space="preserve">Availability and use of </w:t>
      </w:r>
      <w:proofErr w:type="spellStart"/>
      <w:r w:rsidRPr="00763EAB">
        <w:rPr>
          <w:lang w:val="en-US"/>
        </w:rPr>
        <w:t>neighbourhood</w:t>
      </w:r>
      <w:proofErr w:type="spellEnd"/>
      <w:r w:rsidRPr="00763EAB">
        <w:rPr>
          <w:lang w:val="en-US"/>
        </w:rPr>
        <w:t xml:space="preserve"> resources by older people with osteoarthritis: Results from the European Project on </w:t>
      </w:r>
      <w:proofErr w:type="spellStart"/>
      <w:r w:rsidRPr="00763EAB">
        <w:rPr>
          <w:lang w:val="en-US"/>
        </w:rPr>
        <w:t>OSteoArthritis</w:t>
      </w:r>
      <w:proofErr w:type="spellEnd"/>
      <w:r w:rsidRPr="00763EAB">
        <w:rPr>
          <w:lang w:val="en-US"/>
        </w:rPr>
        <w:t>. Health Place</w:t>
      </w:r>
      <w:r w:rsidR="00CE3836" w:rsidRPr="00763EAB">
        <w:rPr>
          <w:lang w:val="en-US"/>
        </w:rPr>
        <w:t xml:space="preserve"> 37, </w:t>
      </w:r>
      <w:r w:rsidRPr="00763EAB">
        <w:rPr>
          <w:lang w:val="en-US"/>
        </w:rPr>
        <w:t>1-7.</w:t>
      </w:r>
    </w:p>
    <w:p w:rsidR="0058212D" w:rsidRPr="00763EAB" w:rsidRDefault="0058212D" w:rsidP="0058212D">
      <w:pPr>
        <w:pStyle w:val="NoSpacing"/>
        <w:spacing w:line="480" w:lineRule="auto"/>
        <w:jc w:val="both"/>
        <w:rPr>
          <w:rStyle w:val="Strong"/>
          <w:b w:val="0"/>
          <w:lang w:val="en-US"/>
        </w:rPr>
      </w:pPr>
      <w:proofErr w:type="gramStart"/>
      <w:r w:rsidRPr="00763EAB">
        <w:rPr>
          <w:lang w:val="en-US"/>
        </w:rPr>
        <w:t xml:space="preserve">Van Schoor, N.M., </w:t>
      </w:r>
      <w:proofErr w:type="spellStart"/>
      <w:r w:rsidRPr="00763EAB">
        <w:rPr>
          <w:lang w:val="en-US"/>
        </w:rPr>
        <w:t>Zambon</w:t>
      </w:r>
      <w:proofErr w:type="spellEnd"/>
      <w:r w:rsidRPr="00763EAB">
        <w:rPr>
          <w:lang w:val="en-US"/>
        </w:rPr>
        <w:t>, S., Castell, M.V., et al., 2016.</w:t>
      </w:r>
      <w:proofErr w:type="gramEnd"/>
      <w:r w:rsidRPr="00763EAB">
        <w:rPr>
          <w:lang w:val="en-US"/>
        </w:rPr>
        <w:t xml:space="preserve"> </w:t>
      </w:r>
      <w:r w:rsidRPr="00763EAB">
        <w:rPr>
          <w:rStyle w:val="Strong"/>
          <w:b w:val="0"/>
          <w:lang w:val="en-US"/>
        </w:rPr>
        <w:t xml:space="preserve">Impact of clinical osteoarthritis of </w:t>
      </w:r>
    </w:p>
    <w:p w:rsidR="0058212D" w:rsidRPr="00763EAB" w:rsidRDefault="0058212D" w:rsidP="0058212D">
      <w:pPr>
        <w:pStyle w:val="NoSpacing"/>
        <w:spacing w:line="480" w:lineRule="auto"/>
        <w:ind w:left="426"/>
        <w:jc w:val="both"/>
        <w:rPr>
          <w:lang w:val="en-US"/>
        </w:rPr>
      </w:pPr>
      <w:proofErr w:type="gramStart"/>
      <w:r w:rsidRPr="00763EAB">
        <w:rPr>
          <w:rStyle w:val="Strong"/>
          <w:b w:val="0"/>
          <w:lang w:val="en-US"/>
        </w:rPr>
        <w:t>the</w:t>
      </w:r>
      <w:proofErr w:type="gramEnd"/>
      <w:r w:rsidRPr="00763EAB">
        <w:rPr>
          <w:rStyle w:val="Strong"/>
          <w:b w:val="0"/>
          <w:lang w:val="en-US"/>
        </w:rPr>
        <w:t xml:space="preserve"> hip, knee and hand on self-reported health in six European countries: the European Project on </w:t>
      </w:r>
      <w:proofErr w:type="spellStart"/>
      <w:r w:rsidRPr="00763EAB">
        <w:rPr>
          <w:rStyle w:val="Strong"/>
          <w:b w:val="0"/>
          <w:lang w:val="en-US"/>
        </w:rPr>
        <w:t>OSteoArthritis</w:t>
      </w:r>
      <w:proofErr w:type="spellEnd"/>
      <w:r w:rsidRPr="00763EAB">
        <w:rPr>
          <w:rStyle w:val="Strong"/>
          <w:b w:val="0"/>
          <w:lang w:val="en-US"/>
        </w:rPr>
        <w:t>.</w:t>
      </w:r>
      <w:r w:rsidRPr="00763EAB">
        <w:rPr>
          <w:rStyle w:val="apple-converted-space"/>
          <w:lang w:val="en-US"/>
        </w:rPr>
        <w:t> </w:t>
      </w:r>
      <w:r w:rsidRPr="00763EAB">
        <w:rPr>
          <w:lang w:val="en-US"/>
        </w:rPr>
        <w:t>Qual</w:t>
      </w:r>
      <w:r w:rsidR="00B25DB0" w:rsidRPr="00763EAB">
        <w:rPr>
          <w:lang w:val="en-US"/>
        </w:rPr>
        <w:t>.</w:t>
      </w:r>
      <w:r w:rsidRPr="00763EAB">
        <w:rPr>
          <w:lang w:val="en-US"/>
        </w:rPr>
        <w:t xml:space="preserve"> Life</w:t>
      </w:r>
      <w:r w:rsidR="00B25DB0" w:rsidRPr="00763EAB">
        <w:rPr>
          <w:lang w:val="en-US"/>
        </w:rPr>
        <w:t>.</w:t>
      </w:r>
      <w:r w:rsidRPr="00763EAB">
        <w:rPr>
          <w:lang w:val="en-US"/>
        </w:rPr>
        <w:t xml:space="preserve"> Res</w:t>
      </w:r>
      <w:r w:rsidR="00B25DB0" w:rsidRPr="00763EAB">
        <w:rPr>
          <w:lang w:val="en-US"/>
        </w:rPr>
        <w:t>.</w:t>
      </w:r>
      <w:r w:rsidRPr="00763EAB">
        <w:rPr>
          <w:lang w:val="en-US"/>
        </w:rPr>
        <w:t xml:space="preserve"> 25, 1423-1432.</w:t>
      </w:r>
      <w:r w:rsidRPr="00763EAB">
        <w:rPr>
          <w:rStyle w:val="apple-converted-space"/>
          <w:lang w:val="en-US"/>
        </w:rPr>
        <w:t> </w:t>
      </w:r>
    </w:p>
    <w:p w:rsidR="009432D0" w:rsidRPr="00763EAB" w:rsidRDefault="009432D0" w:rsidP="007C44D2">
      <w:pPr>
        <w:spacing w:line="480" w:lineRule="auto"/>
        <w:ind w:left="426" w:hanging="426"/>
        <w:jc w:val="both"/>
        <w:rPr>
          <w:rFonts w:eastAsiaTheme="minorHAnsi"/>
          <w:lang w:val="en-US" w:eastAsia="en-US"/>
        </w:rPr>
      </w:pPr>
      <w:proofErr w:type="spellStart"/>
      <w:proofErr w:type="gramStart"/>
      <w:r w:rsidRPr="00763EAB">
        <w:rPr>
          <w:rFonts w:eastAsiaTheme="minorHAnsi"/>
          <w:lang w:val="en-US" w:eastAsia="en-US"/>
        </w:rPr>
        <w:lastRenderedPageBreak/>
        <w:t>Visser</w:t>
      </w:r>
      <w:proofErr w:type="spellEnd"/>
      <w:r w:rsidRPr="00763EAB">
        <w:rPr>
          <w:rFonts w:eastAsiaTheme="minorHAnsi"/>
          <w:lang w:val="en-US" w:eastAsia="en-US"/>
        </w:rPr>
        <w:t xml:space="preserve">, M, </w:t>
      </w:r>
      <w:proofErr w:type="spellStart"/>
      <w:r w:rsidRPr="00763EAB">
        <w:rPr>
          <w:rFonts w:eastAsiaTheme="minorHAnsi"/>
          <w:lang w:val="en-US" w:eastAsia="en-US"/>
        </w:rPr>
        <w:t>Brychta</w:t>
      </w:r>
      <w:proofErr w:type="spellEnd"/>
      <w:r w:rsidRPr="00763EAB">
        <w:rPr>
          <w:rFonts w:eastAsiaTheme="minorHAnsi"/>
          <w:lang w:val="en-US" w:eastAsia="en-US"/>
        </w:rPr>
        <w:t>, R.J. Chen, K.Y., et al., 2014.</w:t>
      </w:r>
      <w:proofErr w:type="gramEnd"/>
      <w:r w:rsidRPr="00763EAB">
        <w:rPr>
          <w:rFonts w:eastAsiaTheme="minorHAnsi"/>
          <w:lang w:val="en-US" w:eastAsia="en-US"/>
        </w:rPr>
        <w:t xml:space="preserve"> </w:t>
      </w:r>
      <w:proofErr w:type="gramStart"/>
      <w:r w:rsidRPr="00763EAB">
        <w:rPr>
          <w:rFonts w:eastAsiaTheme="minorHAnsi"/>
          <w:lang w:val="en-US" w:eastAsia="en-US"/>
        </w:rPr>
        <w:t>Self-reported adherence to the physical activity recommendation and determinants of misperception in older adults.</w:t>
      </w:r>
      <w:proofErr w:type="gramEnd"/>
      <w:r w:rsidR="001506C5" w:rsidRPr="00763EAB">
        <w:rPr>
          <w:rFonts w:eastAsiaTheme="minorHAnsi"/>
          <w:lang w:val="en-US" w:eastAsia="en-US"/>
        </w:rPr>
        <w:t xml:space="preserve"> J Aging Phys Act 22, 226-234.</w:t>
      </w:r>
    </w:p>
    <w:p w:rsidR="007C44D2" w:rsidRPr="00763EAB" w:rsidRDefault="007C44D2" w:rsidP="007C44D2">
      <w:pPr>
        <w:spacing w:line="480" w:lineRule="auto"/>
        <w:ind w:left="426" w:hanging="426"/>
        <w:jc w:val="both"/>
        <w:rPr>
          <w:rFonts w:eastAsiaTheme="minorHAnsi"/>
          <w:lang w:val="en-US" w:eastAsia="en-US"/>
        </w:rPr>
      </w:pPr>
      <w:proofErr w:type="spellStart"/>
      <w:proofErr w:type="gramStart"/>
      <w:r w:rsidRPr="00763EAB">
        <w:rPr>
          <w:rFonts w:eastAsiaTheme="minorHAnsi"/>
          <w:lang w:val="en-US" w:eastAsia="en-US"/>
        </w:rPr>
        <w:t>Vos</w:t>
      </w:r>
      <w:proofErr w:type="spellEnd"/>
      <w:r w:rsidR="00AB488D" w:rsidRPr="00763EAB">
        <w:rPr>
          <w:rFonts w:eastAsiaTheme="minorHAnsi"/>
          <w:lang w:val="en-US" w:eastAsia="en-US"/>
        </w:rPr>
        <w:t>,</w:t>
      </w:r>
      <w:r w:rsidRPr="00763EAB">
        <w:rPr>
          <w:rFonts w:eastAsiaTheme="minorHAnsi"/>
          <w:lang w:val="en-US" w:eastAsia="en-US"/>
        </w:rPr>
        <w:t xml:space="preserve"> T</w:t>
      </w:r>
      <w:r w:rsidR="00AB488D" w:rsidRPr="00763EAB">
        <w:rPr>
          <w:rFonts w:eastAsiaTheme="minorHAnsi"/>
          <w:lang w:val="en-US" w:eastAsia="en-US"/>
        </w:rPr>
        <w:t>.</w:t>
      </w:r>
      <w:r w:rsidRPr="00763EAB">
        <w:rPr>
          <w:rFonts w:eastAsiaTheme="minorHAnsi"/>
          <w:lang w:val="en-US" w:eastAsia="en-US"/>
        </w:rPr>
        <w:t>, Flaxman</w:t>
      </w:r>
      <w:r w:rsidR="00AB488D" w:rsidRPr="00763EAB">
        <w:rPr>
          <w:rFonts w:eastAsiaTheme="minorHAnsi"/>
          <w:lang w:val="en-US" w:eastAsia="en-US"/>
        </w:rPr>
        <w:t>,</w:t>
      </w:r>
      <w:r w:rsidRPr="00763EAB">
        <w:rPr>
          <w:rFonts w:eastAsiaTheme="minorHAnsi"/>
          <w:lang w:val="en-US" w:eastAsia="en-US"/>
        </w:rPr>
        <w:t xml:space="preserve"> A</w:t>
      </w:r>
      <w:r w:rsidR="00AB488D" w:rsidRPr="00763EAB">
        <w:rPr>
          <w:rFonts w:eastAsiaTheme="minorHAnsi"/>
          <w:lang w:val="en-US" w:eastAsia="en-US"/>
        </w:rPr>
        <w:t>.</w:t>
      </w:r>
      <w:r w:rsidRPr="00763EAB">
        <w:rPr>
          <w:rFonts w:eastAsiaTheme="minorHAnsi"/>
          <w:lang w:val="en-US" w:eastAsia="en-US"/>
        </w:rPr>
        <w:t>D</w:t>
      </w:r>
      <w:r w:rsidR="00AB488D" w:rsidRPr="00763EAB">
        <w:rPr>
          <w:rFonts w:eastAsiaTheme="minorHAnsi"/>
          <w:lang w:val="en-US" w:eastAsia="en-US"/>
        </w:rPr>
        <w:t>.</w:t>
      </w:r>
      <w:r w:rsidRPr="00763EAB">
        <w:rPr>
          <w:rFonts w:eastAsiaTheme="minorHAnsi"/>
          <w:lang w:val="en-US" w:eastAsia="en-US"/>
        </w:rPr>
        <w:t xml:space="preserve">, </w:t>
      </w:r>
      <w:proofErr w:type="spellStart"/>
      <w:r w:rsidRPr="00763EAB">
        <w:rPr>
          <w:rFonts w:eastAsiaTheme="minorHAnsi"/>
          <w:lang w:val="en-US" w:eastAsia="en-US"/>
        </w:rPr>
        <w:t>Naghavi</w:t>
      </w:r>
      <w:proofErr w:type="spellEnd"/>
      <w:r w:rsidR="00AB488D" w:rsidRPr="00763EAB">
        <w:rPr>
          <w:rFonts w:eastAsiaTheme="minorHAnsi"/>
          <w:lang w:val="en-US" w:eastAsia="en-US"/>
        </w:rPr>
        <w:t>,</w:t>
      </w:r>
      <w:r w:rsidRPr="00763EAB">
        <w:rPr>
          <w:rFonts w:eastAsiaTheme="minorHAnsi"/>
          <w:lang w:val="en-US" w:eastAsia="en-US"/>
        </w:rPr>
        <w:t xml:space="preserve"> M</w:t>
      </w:r>
      <w:r w:rsidR="00AB488D" w:rsidRPr="00763EAB">
        <w:rPr>
          <w:rFonts w:eastAsiaTheme="minorHAnsi"/>
          <w:lang w:val="en-US" w:eastAsia="en-US"/>
        </w:rPr>
        <w:t>.</w:t>
      </w:r>
      <w:r w:rsidRPr="00763EAB">
        <w:rPr>
          <w:rFonts w:eastAsiaTheme="minorHAnsi"/>
          <w:lang w:val="en-US" w:eastAsia="en-US"/>
        </w:rPr>
        <w:t>, et al.</w:t>
      </w:r>
      <w:r w:rsidR="00CE3836" w:rsidRPr="00763EAB">
        <w:rPr>
          <w:rFonts w:eastAsiaTheme="minorHAnsi"/>
          <w:lang w:val="en-US" w:eastAsia="en-US"/>
        </w:rPr>
        <w:t>, 2012.</w:t>
      </w:r>
      <w:proofErr w:type="gramEnd"/>
      <w:r w:rsidRPr="00763EAB">
        <w:rPr>
          <w:rFonts w:eastAsiaTheme="minorHAnsi"/>
          <w:lang w:val="en-US" w:eastAsia="en-US"/>
        </w:rPr>
        <w:t xml:space="preserve"> Years lived with disability (YLDs) for 1160 sequelae of </w:t>
      </w:r>
      <w:r w:rsidR="00544FC5" w:rsidRPr="00763EAB">
        <w:rPr>
          <w:rFonts w:eastAsiaTheme="minorHAnsi"/>
          <w:lang w:val="en-US" w:eastAsia="en-US"/>
        </w:rPr>
        <w:t>289 diseases and injuries 1990-</w:t>
      </w:r>
      <w:r w:rsidRPr="00763EAB">
        <w:rPr>
          <w:rFonts w:eastAsiaTheme="minorHAnsi"/>
          <w:lang w:val="en-US" w:eastAsia="en-US"/>
        </w:rPr>
        <w:t>2010: a systematic analysis for the Global Burden of Disease Study 2010. Lancet</w:t>
      </w:r>
      <w:r w:rsidR="00CE3836" w:rsidRPr="00763EAB">
        <w:rPr>
          <w:rFonts w:eastAsiaTheme="minorHAnsi"/>
          <w:lang w:val="en-US" w:eastAsia="en-US"/>
        </w:rPr>
        <w:t xml:space="preserve"> 380, </w:t>
      </w:r>
      <w:r w:rsidRPr="00763EAB">
        <w:rPr>
          <w:rFonts w:eastAsiaTheme="minorHAnsi"/>
          <w:lang w:val="en-US" w:eastAsia="en-US"/>
        </w:rPr>
        <w:t>2163-2196.</w:t>
      </w:r>
    </w:p>
    <w:p w:rsidR="007C44D2" w:rsidRPr="00763EAB" w:rsidRDefault="007C44D2" w:rsidP="007C44D2">
      <w:pPr>
        <w:pStyle w:val="NoSpacing"/>
        <w:spacing w:line="480" w:lineRule="auto"/>
        <w:ind w:left="426" w:hanging="426"/>
        <w:jc w:val="both"/>
        <w:rPr>
          <w:lang w:val="en-GB"/>
        </w:rPr>
      </w:pPr>
      <w:r w:rsidRPr="00763EAB">
        <w:rPr>
          <w:lang w:val="en-US"/>
        </w:rPr>
        <w:t>Woolf</w:t>
      </w:r>
      <w:r w:rsidR="00AB488D" w:rsidRPr="00763EAB">
        <w:rPr>
          <w:lang w:val="en-US"/>
        </w:rPr>
        <w:t>,</w:t>
      </w:r>
      <w:r w:rsidRPr="00763EAB">
        <w:rPr>
          <w:lang w:val="en-US"/>
        </w:rPr>
        <w:t xml:space="preserve"> A</w:t>
      </w:r>
      <w:r w:rsidR="00AB488D" w:rsidRPr="00763EAB">
        <w:rPr>
          <w:lang w:val="en-US"/>
        </w:rPr>
        <w:t>.</w:t>
      </w:r>
      <w:r w:rsidRPr="00763EAB">
        <w:rPr>
          <w:lang w:val="en-US"/>
        </w:rPr>
        <w:t>D</w:t>
      </w:r>
      <w:r w:rsidR="00AB488D" w:rsidRPr="00763EAB">
        <w:rPr>
          <w:lang w:val="en-US"/>
        </w:rPr>
        <w:t>.</w:t>
      </w:r>
      <w:r w:rsidRPr="00763EAB">
        <w:rPr>
          <w:lang w:val="en-US"/>
        </w:rPr>
        <w:t xml:space="preserve">, </w:t>
      </w:r>
      <w:proofErr w:type="spellStart"/>
      <w:r w:rsidRPr="00763EAB">
        <w:rPr>
          <w:lang w:val="en-US"/>
        </w:rPr>
        <w:t>Pfleger</w:t>
      </w:r>
      <w:proofErr w:type="spellEnd"/>
      <w:r w:rsidR="00AB488D" w:rsidRPr="00763EAB">
        <w:rPr>
          <w:lang w:val="en-US"/>
        </w:rPr>
        <w:t>,</w:t>
      </w:r>
      <w:r w:rsidRPr="00763EAB">
        <w:rPr>
          <w:lang w:val="en-US"/>
        </w:rPr>
        <w:t xml:space="preserve"> B.</w:t>
      </w:r>
      <w:r w:rsidR="00CE3836" w:rsidRPr="00763EAB">
        <w:rPr>
          <w:lang w:val="en-US"/>
        </w:rPr>
        <w:t>, 2003.</w:t>
      </w:r>
      <w:r w:rsidRPr="00763EAB">
        <w:rPr>
          <w:lang w:val="en-US"/>
        </w:rPr>
        <w:t xml:space="preserve"> </w:t>
      </w:r>
      <w:proofErr w:type="gramStart"/>
      <w:r w:rsidRPr="00763EAB">
        <w:rPr>
          <w:lang w:val="en-GB"/>
        </w:rPr>
        <w:t>Burden on major musculoskeletal condition</w:t>
      </w:r>
      <w:r w:rsidR="00CE3836" w:rsidRPr="00763EAB">
        <w:rPr>
          <w:lang w:val="en-GB"/>
        </w:rPr>
        <w:t>s.</w:t>
      </w:r>
      <w:proofErr w:type="gramEnd"/>
      <w:r w:rsidR="00CE3836" w:rsidRPr="00763EAB">
        <w:rPr>
          <w:lang w:val="en-GB"/>
        </w:rPr>
        <w:t xml:space="preserve"> Bull</w:t>
      </w:r>
      <w:r w:rsidR="005268B9" w:rsidRPr="00763EAB">
        <w:rPr>
          <w:lang w:val="en-GB"/>
        </w:rPr>
        <w:t>.</w:t>
      </w:r>
      <w:r w:rsidR="00CE3836" w:rsidRPr="00763EAB">
        <w:rPr>
          <w:lang w:val="en-GB"/>
        </w:rPr>
        <w:t xml:space="preserve"> </w:t>
      </w:r>
      <w:proofErr w:type="gramStart"/>
      <w:r w:rsidR="00CE3836" w:rsidRPr="00763EAB">
        <w:rPr>
          <w:lang w:val="en-GB"/>
        </w:rPr>
        <w:t>World Health Organ</w:t>
      </w:r>
      <w:r w:rsidR="005268B9" w:rsidRPr="00763EAB">
        <w:rPr>
          <w:lang w:val="en-GB"/>
        </w:rPr>
        <w:t>.</w:t>
      </w:r>
      <w:proofErr w:type="gramEnd"/>
      <w:r w:rsidR="00CE3836" w:rsidRPr="00763EAB">
        <w:rPr>
          <w:lang w:val="en-GB"/>
        </w:rPr>
        <w:t xml:space="preserve"> </w:t>
      </w:r>
      <w:r w:rsidRPr="00763EAB">
        <w:rPr>
          <w:lang w:val="en-GB"/>
        </w:rPr>
        <w:t>81</w:t>
      </w:r>
      <w:r w:rsidR="00CE3836" w:rsidRPr="00763EAB">
        <w:rPr>
          <w:lang w:val="en-GB"/>
        </w:rPr>
        <w:t xml:space="preserve">, </w:t>
      </w:r>
      <w:r w:rsidRPr="00763EAB">
        <w:rPr>
          <w:lang w:val="en-GB"/>
        </w:rPr>
        <w:t>646-656.</w:t>
      </w:r>
    </w:p>
    <w:p w:rsidR="00763EAB" w:rsidRPr="00763EAB" w:rsidRDefault="00D779D8" w:rsidP="00763EAB">
      <w:pPr>
        <w:spacing w:line="480" w:lineRule="auto"/>
        <w:ind w:left="426" w:hanging="426"/>
        <w:jc w:val="both"/>
        <w:rPr>
          <w:lang w:val="en-GB"/>
        </w:rPr>
      </w:pPr>
      <w:proofErr w:type="spellStart"/>
      <w:r w:rsidRPr="00763EAB">
        <w:rPr>
          <w:lang w:val="en-GB"/>
        </w:rPr>
        <w:t>Zigmond</w:t>
      </w:r>
      <w:proofErr w:type="spellEnd"/>
      <w:r w:rsidR="00AB488D" w:rsidRPr="00763EAB">
        <w:rPr>
          <w:lang w:val="en-GB"/>
        </w:rPr>
        <w:t>,</w:t>
      </w:r>
      <w:r w:rsidRPr="00763EAB">
        <w:rPr>
          <w:lang w:val="en-GB"/>
        </w:rPr>
        <w:t xml:space="preserve"> A</w:t>
      </w:r>
      <w:r w:rsidR="00AB488D" w:rsidRPr="00763EAB">
        <w:rPr>
          <w:lang w:val="en-GB"/>
        </w:rPr>
        <w:t>.</w:t>
      </w:r>
      <w:r w:rsidRPr="00763EAB">
        <w:rPr>
          <w:lang w:val="en-GB"/>
        </w:rPr>
        <w:t xml:space="preserve">, </w:t>
      </w:r>
      <w:proofErr w:type="spellStart"/>
      <w:r w:rsidRPr="00763EAB">
        <w:rPr>
          <w:lang w:val="en-GB"/>
        </w:rPr>
        <w:t>Snaith</w:t>
      </w:r>
      <w:proofErr w:type="spellEnd"/>
      <w:r w:rsidR="00AB488D" w:rsidRPr="00763EAB">
        <w:rPr>
          <w:lang w:val="en-GB"/>
        </w:rPr>
        <w:t>,</w:t>
      </w:r>
      <w:r w:rsidRPr="00763EAB">
        <w:rPr>
          <w:lang w:val="en-GB"/>
        </w:rPr>
        <w:t xml:space="preserve"> R.</w:t>
      </w:r>
      <w:r w:rsidR="00CE3836" w:rsidRPr="00763EAB">
        <w:rPr>
          <w:lang w:val="en-GB"/>
        </w:rPr>
        <w:t>, 1983.</w:t>
      </w:r>
      <w:r w:rsidRPr="00763EAB">
        <w:rPr>
          <w:lang w:val="en-GB"/>
        </w:rPr>
        <w:t xml:space="preserve"> </w:t>
      </w:r>
      <w:proofErr w:type="gramStart"/>
      <w:r w:rsidRPr="00763EAB">
        <w:rPr>
          <w:lang w:val="en-GB"/>
        </w:rPr>
        <w:t>The Hospital Anxiety and Depression Scale.</w:t>
      </w:r>
      <w:proofErr w:type="gramEnd"/>
      <w:r w:rsidRPr="00763EAB">
        <w:rPr>
          <w:lang w:val="en-GB"/>
        </w:rPr>
        <w:t xml:space="preserve"> </w:t>
      </w:r>
      <w:proofErr w:type="spellStart"/>
      <w:proofErr w:type="gramStart"/>
      <w:r w:rsidRPr="00763EAB">
        <w:rPr>
          <w:lang w:val="en-GB"/>
        </w:rPr>
        <w:t>Acta</w:t>
      </w:r>
      <w:proofErr w:type="spellEnd"/>
      <w:r w:rsidR="005268B9" w:rsidRPr="00763EAB">
        <w:rPr>
          <w:lang w:val="en-GB"/>
        </w:rPr>
        <w:t>.</w:t>
      </w:r>
      <w:proofErr w:type="gramEnd"/>
      <w:r w:rsidRPr="00763EAB">
        <w:rPr>
          <w:lang w:val="en-GB"/>
        </w:rPr>
        <w:t xml:space="preserve"> </w:t>
      </w:r>
      <w:proofErr w:type="spellStart"/>
      <w:proofErr w:type="gramStart"/>
      <w:r w:rsidRPr="00763EAB">
        <w:rPr>
          <w:lang w:val="en-GB"/>
        </w:rPr>
        <w:t>Psychiatr</w:t>
      </w:r>
      <w:proofErr w:type="spellEnd"/>
      <w:r w:rsidR="005268B9" w:rsidRPr="00763EAB">
        <w:rPr>
          <w:lang w:val="en-GB"/>
        </w:rPr>
        <w:t>.</w:t>
      </w:r>
      <w:proofErr w:type="gramEnd"/>
      <w:r w:rsidRPr="00763EAB">
        <w:rPr>
          <w:lang w:val="en-GB"/>
        </w:rPr>
        <w:t xml:space="preserve"> Scand</w:t>
      </w:r>
      <w:r w:rsidR="005268B9" w:rsidRPr="00763EAB">
        <w:rPr>
          <w:lang w:val="en-GB"/>
        </w:rPr>
        <w:t>.</w:t>
      </w:r>
      <w:r w:rsidRPr="00763EAB">
        <w:rPr>
          <w:lang w:val="en-GB"/>
        </w:rPr>
        <w:t xml:space="preserve"> </w:t>
      </w:r>
      <w:r w:rsidR="00CE3836" w:rsidRPr="00763EAB">
        <w:rPr>
          <w:lang w:val="en-GB"/>
        </w:rPr>
        <w:t xml:space="preserve">67, </w:t>
      </w:r>
      <w:r w:rsidRPr="00763EAB">
        <w:rPr>
          <w:lang w:val="en-GB"/>
        </w:rPr>
        <w:t>361-370.</w:t>
      </w:r>
    </w:p>
    <w:sectPr w:rsidR="00763EAB" w:rsidRPr="00763EAB" w:rsidSect="00763EAB">
      <w:pgSz w:w="11906" w:h="16838"/>
      <w:pgMar w:top="1418" w:right="141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67B" w:rsidRDefault="00A0567B" w:rsidP="00E60CDF">
      <w:r>
        <w:separator/>
      </w:r>
    </w:p>
  </w:endnote>
  <w:endnote w:type="continuationSeparator" w:id="0">
    <w:p w:rsidR="00A0567B" w:rsidRDefault="00A0567B" w:rsidP="00E6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259416812"/>
      <w:docPartObj>
        <w:docPartGallery w:val="Page Numbers (Bottom of Page)"/>
        <w:docPartUnique/>
      </w:docPartObj>
    </w:sdtPr>
    <w:sdtEndPr>
      <w:rPr>
        <w:sz w:val="24"/>
        <w:szCs w:val="24"/>
      </w:rPr>
    </w:sdtEndPr>
    <w:sdtContent>
      <w:p w:rsidR="00A0567B" w:rsidRPr="001F45F8" w:rsidRDefault="00A0567B">
        <w:pPr>
          <w:pStyle w:val="Footer"/>
          <w:jc w:val="right"/>
        </w:pPr>
        <w:r w:rsidRPr="001F45F8">
          <w:fldChar w:fldCharType="begin"/>
        </w:r>
        <w:r w:rsidRPr="001F45F8">
          <w:instrText>PAGE   \* MERGEFORMAT</w:instrText>
        </w:r>
        <w:r w:rsidRPr="001F45F8">
          <w:fldChar w:fldCharType="separate"/>
        </w:r>
        <w:r w:rsidR="00B76977">
          <w:rPr>
            <w:noProof/>
          </w:rPr>
          <w:t>1</w:t>
        </w:r>
        <w:r w:rsidRPr="001F45F8">
          <w:fldChar w:fldCharType="end"/>
        </w:r>
      </w:p>
    </w:sdtContent>
  </w:sdt>
  <w:p w:rsidR="00A0567B" w:rsidRDefault="00A056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67B" w:rsidRDefault="00A0567B" w:rsidP="00E60CDF">
      <w:r>
        <w:separator/>
      </w:r>
    </w:p>
  </w:footnote>
  <w:footnote w:type="continuationSeparator" w:id="0">
    <w:p w:rsidR="00A0567B" w:rsidRDefault="00A0567B" w:rsidP="00E60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67B" w:rsidRDefault="00A0567B" w:rsidP="00DF2F98">
    <w:pPr>
      <w:pStyle w:val="Header"/>
      <w:tabs>
        <w:tab w:val="clear" w:pos="4536"/>
        <w:tab w:val="clear" w:pos="9072"/>
        <w:tab w:val="left" w:pos="1485"/>
      </w:tabs>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4647"/>
    <w:multiLevelType w:val="hybridMultilevel"/>
    <w:tmpl w:val="0150A052"/>
    <w:lvl w:ilvl="0" w:tplc="04130001">
      <w:start w:val="201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1FD3F9E"/>
    <w:multiLevelType w:val="hybridMultilevel"/>
    <w:tmpl w:val="13AE8108"/>
    <w:lvl w:ilvl="0" w:tplc="04130001">
      <w:start w:val="201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6777CC1"/>
    <w:multiLevelType w:val="hybridMultilevel"/>
    <w:tmpl w:val="290AEDDE"/>
    <w:lvl w:ilvl="0" w:tplc="2FA8CB5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95E6C14"/>
    <w:multiLevelType w:val="hybridMultilevel"/>
    <w:tmpl w:val="77B85198"/>
    <w:lvl w:ilvl="0" w:tplc="B0147DB8">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5530F46"/>
    <w:multiLevelType w:val="hybridMultilevel"/>
    <w:tmpl w:val="CA4A34E0"/>
    <w:lvl w:ilvl="0" w:tplc="55AAC67A">
      <w:start w:val="10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AD82514"/>
    <w:multiLevelType w:val="multilevel"/>
    <w:tmpl w:val="708E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DE0A36"/>
    <w:multiLevelType w:val="hybridMultilevel"/>
    <w:tmpl w:val="A0102670"/>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1B95D75"/>
    <w:multiLevelType w:val="hybridMultilevel"/>
    <w:tmpl w:val="F4BEE6C8"/>
    <w:lvl w:ilvl="0" w:tplc="04130001">
      <w:start w:val="201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2096C05"/>
    <w:multiLevelType w:val="hybridMultilevel"/>
    <w:tmpl w:val="EAC886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54D2433"/>
    <w:multiLevelType w:val="hybridMultilevel"/>
    <w:tmpl w:val="2140202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58C0432"/>
    <w:multiLevelType w:val="hybridMultilevel"/>
    <w:tmpl w:val="997487B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0096664"/>
    <w:multiLevelType w:val="hybridMultilevel"/>
    <w:tmpl w:val="6E320506"/>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A7C3F30"/>
    <w:multiLevelType w:val="hybridMultilevel"/>
    <w:tmpl w:val="7E5C2FF4"/>
    <w:lvl w:ilvl="0" w:tplc="85A0E0FA">
      <w:start w:val="10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8"/>
  </w:num>
  <w:num w:numId="5">
    <w:abstractNumId w:val="10"/>
  </w:num>
  <w:num w:numId="6">
    <w:abstractNumId w:val="0"/>
  </w:num>
  <w:num w:numId="7">
    <w:abstractNumId w:val="7"/>
  </w:num>
  <w:num w:numId="8">
    <w:abstractNumId w:val="1"/>
  </w:num>
  <w:num w:numId="9">
    <w:abstractNumId w:val="9"/>
  </w:num>
  <w:num w:numId="10">
    <w:abstractNumId w:val="3"/>
  </w:num>
  <w:num w:numId="11">
    <w:abstractNumId w:val="1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A6"/>
    <w:rsid w:val="000024D5"/>
    <w:rsid w:val="00012DCF"/>
    <w:rsid w:val="000131C6"/>
    <w:rsid w:val="00020B53"/>
    <w:rsid w:val="00021587"/>
    <w:rsid w:val="00022E3B"/>
    <w:rsid w:val="00024DC9"/>
    <w:rsid w:val="00025087"/>
    <w:rsid w:val="00025B36"/>
    <w:rsid w:val="000272B7"/>
    <w:rsid w:val="00030BE8"/>
    <w:rsid w:val="00031393"/>
    <w:rsid w:val="00031B2C"/>
    <w:rsid w:val="00032447"/>
    <w:rsid w:val="00032E81"/>
    <w:rsid w:val="00032ED9"/>
    <w:rsid w:val="00034DEA"/>
    <w:rsid w:val="0004558B"/>
    <w:rsid w:val="000476F1"/>
    <w:rsid w:val="00050B1F"/>
    <w:rsid w:val="0005308B"/>
    <w:rsid w:val="00063EFA"/>
    <w:rsid w:val="000643F9"/>
    <w:rsid w:val="00065FF3"/>
    <w:rsid w:val="00075A0E"/>
    <w:rsid w:val="000777D9"/>
    <w:rsid w:val="000848B0"/>
    <w:rsid w:val="00086671"/>
    <w:rsid w:val="0009184B"/>
    <w:rsid w:val="00093E8F"/>
    <w:rsid w:val="00095712"/>
    <w:rsid w:val="000964EA"/>
    <w:rsid w:val="00097454"/>
    <w:rsid w:val="000B057B"/>
    <w:rsid w:val="000C0C9D"/>
    <w:rsid w:val="000C4743"/>
    <w:rsid w:val="000C4C53"/>
    <w:rsid w:val="000C4EB4"/>
    <w:rsid w:val="000C691D"/>
    <w:rsid w:val="000C7070"/>
    <w:rsid w:val="000D260E"/>
    <w:rsid w:val="000D6ADB"/>
    <w:rsid w:val="000E3FA6"/>
    <w:rsid w:val="000E5725"/>
    <w:rsid w:val="000F18EE"/>
    <w:rsid w:val="000F28DA"/>
    <w:rsid w:val="000F4839"/>
    <w:rsid w:val="000F79C5"/>
    <w:rsid w:val="000F7C26"/>
    <w:rsid w:val="001001EF"/>
    <w:rsid w:val="0011365D"/>
    <w:rsid w:val="00122DFB"/>
    <w:rsid w:val="00123CFF"/>
    <w:rsid w:val="00124325"/>
    <w:rsid w:val="001244BE"/>
    <w:rsid w:val="00124AEE"/>
    <w:rsid w:val="001310A8"/>
    <w:rsid w:val="001331BD"/>
    <w:rsid w:val="00133223"/>
    <w:rsid w:val="0013346C"/>
    <w:rsid w:val="00136274"/>
    <w:rsid w:val="00141D77"/>
    <w:rsid w:val="001506C5"/>
    <w:rsid w:val="00150D77"/>
    <w:rsid w:val="00150EBF"/>
    <w:rsid w:val="00154469"/>
    <w:rsid w:val="001552F5"/>
    <w:rsid w:val="00156FBF"/>
    <w:rsid w:val="00157F3D"/>
    <w:rsid w:val="001633E4"/>
    <w:rsid w:val="00165D59"/>
    <w:rsid w:val="00167600"/>
    <w:rsid w:val="00171C17"/>
    <w:rsid w:val="00171F97"/>
    <w:rsid w:val="00174938"/>
    <w:rsid w:val="0018452C"/>
    <w:rsid w:val="0018514A"/>
    <w:rsid w:val="0018765B"/>
    <w:rsid w:val="00196816"/>
    <w:rsid w:val="001A0623"/>
    <w:rsid w:val="001A1DAC"/>
    <w:rsid w:val="001A2398"/>
    <w:rsid w:val="001A2C79"/>
    <w:rsid w:val="001A2E8A"/>
    <w:rsid w:val="001A432F"/>
    <w:rsid w:val="001A670C"/>
    <w:rsid w:val="001B2539"/>
    <w:rsid w:val="001C0BC8"/>
    <w:rsid w:val="001C2C45"/>
    <w:rsid w:val="001C37DB"/>
    <w:rsid w:val="001C744C"/>
    <w:rsid w:val="001D249A"/>
    <w:rsid w:val="001D386E"/>
    <w:rsid w:val="001E25CC"/>
    <w:rsid w:val="001E3571"/>
    <w:rsid w:val="001E482B"/>
    <w:rsid w:val="001E62F4"/>
    <w:rsid w:val="001E642F"/>
    <w:rsid w:val="001F0EFC"/>
    <w:rsid w:val="001F2BEA"/>
    <w:rsid w:val="001F2C09"/>
    <w:rsid w:val="001F2CA6"/>
    <w:rsid w:val="001F45F8"/>
    <w:rsid w:val="001F470C"/>
    <w:rsid w:val="001F6316"/>
    <w:rsid w:val="001F6890"/>
    <w:rsid w:val="002017BA"/>
    <w:rsid w:val="002118F5"/>
    <w:rsid w:val="00215FA7"/>
    <w:rsid w:val="002263DE"/>
    <w:rsid w:val="002278BB"/>
    <w:rsid w:val="00232B71"/>
    <w:rsid w:val="002370D2"/>
    <w:rsid w:val="002419C4"/>
    <w:rsid w:val="0024300F"/>
    <w:rsid w:val="00246777"/>
    <w:rsid w:val="00253A2F"/>
    <w:rsid w:val="002633E5"/>
    <w:rsid w:val="00264B11"/>
    <w:rsid w:val="00265462"/>
    <w:rsid w:val="00266517"/>
    <w:rsid w:val="002700F4"/>
    <w:rsid w:val="00270892"/>
    <w:rsid w:val="00275036"/>
    <w:rsid w:val="00276638"/>
    <w:rsid w:val="002769A1"/>
    <w:rsid w:val="00290AB8"/>
    <w:rsid w:val="00290E62"/>
    <w:rsid w:val="00296CC4"/>
    <w:rsid w:val="002A0DDB"/>
    <w:rsid w:val="002A0F12"/>
    <w:rsid w:val="002A19F9"/>
    <w:rsid w:val="002A23AF"/>
    <w:rsid w:val="002A5255"/>
    <w:rsid w:val="002A564C"/>
    <w:rsid w:val="002A6496"/>
    <w:rsid w:val="002A65DB"/>
    <w:rsid w:val="002B3572"/>
    <w:rsid w:val="002C34EE"/>
    <w:rsid w:val="002C4337"/>
    <w:rsid w:val="002C7BBE"/>
    <w:rsid w:val="002D0F12"/>
    <w:rsid w:val="002D1D76"/>
    <w:rsid w:val="002D39B5"/>
    <w:rsid w:val="002D59DD"/>
    <w:rsid w:val="002E21DB"/>
    <w:rsid w:val="002E3AA2"/>
    <w:rsid w:val="002E4570"/>
    <w:rsid w:val="002F3AD6"/>
    <w:rsid w:val="002F4724"/>
    <w:rsid w:val="003024D4"/>
    <w:rsid w:val="00303365"/>
    <w:rsid w:val="00305A8C"/>
    <w:rsid w:val="00306CFA"/>
    <w:rsid w:val="00306CFE"/>
    <w:rsid w:val="0031400C"/>
    <w:rsid w:val="00320637"/>
    <w:rsid w:val="0032208A"/>
    <w:rsid w:val="00323B67"/>
    <w:rsid w:val="0032528B"/>
    <w:rsid w:val="00326E76"/>
    <w:rsid w:val="00327518"/>
    <w:rsid w:val="00330C29"/>
    <w:rsid w:val="00334A98"/>
    <w:rsid w:val="00344880"/>
    <w:rsid w:val="00350995"/>
    <w:rsid w:val="00356264"/>
    <w:rsid w:val="003619B0"/>
    <w:rsid w:val="003623FB"/>
    <w:rsid w:val="003636EA"/>
    <w:rsid w:val="00365D32"/>
    <w:rsid w:val="0036600F"/>
    <w:rsid w:val="00367479"/>
    <w:rsid w:val="003678C6"/>
    <w:rsid w:val="0037059C"/>
    <w:rsid w:val="00372263"/>
    <w:rsid w:val="00384E3A"/>
    <w:rsid w:val="003950FB"/>
    <w:rsid w:val="00397BA6"/>
    <w:rsid w:val="003A342C"/>
    <w:rsid w:val="003A757B"/>
    <w:rsid w:val="003B00F5"/>
    <w:rsid w:val="003B1144"/>
    <w:rsid w:val="003B17A7"/>
    <w:rsid w:val="003B22F8"/>
    <w:rsid w:val="003C1179"/>
    <w:rsid w:val="003C201A"/>
    <w:rsid w:val="003C25D0"/>
    <w:rsid w:val="003C2EDC"/>
    <w:rsid w:val="003C4692"/>
    <w:rsid w:val="003D73BE"/>
    <w:rsid w:val="003E3EC3"/>
    <w:rsid w:val="003E40F9"/>
    <w:rsid w:val="003E5E5E"/>
    <w:rsid w:val="003F0C2D"/>
    <w:rsid w:val="003F621D"/>
    <w:rsid w:val="003F6BB5"/>
    <w:rsid w:val="003F6EC4"/>
    <w:rsid w:val="00402CDF"/>
    <w:rsid w:val="0040359A"/>
    <w:rsid w:val="00412AD8"/>
    <w:rsid w:val="0041329D"/>
    <w:rsid w:val="004146D5"/>
    <w:rsid w:val="0042242A"/>
    <w:rsid w:val="004225FE"/>
    <w:rsid w:val="00424DF7"/>
    <w:rsid w:val="00426697"/>
    <w:rsid w:val="004308B8"/>
    <w:rsid w:val="00433AA3"/>
    <w:rsid w:val="00437D15"/>
    <w:rsid w:val="0044179A"/>
    <w:rsid w:val="00443DE7"/>
    <w:rsid w:val="004476B1"/>
    <w:rsid w:val="004547A9"/>
    <w:rsid w:val="00455100"/>
    <w:rsid w:val="00455524"/>
    <w:rsid w:val="004577E6"/>
    <w:rsid w:val="004608D5"/>
    <w:rsid w:val="00461C34"/>
    <w:rsid w:val="0046248E"/>
    <w:rsid w:val="004649AD"/>
    <w:rsid w:val="00464DB8"/>
    <w:rsid w:val="004669D2"/>
    <w:rsid w:val="00466D0B"/>
    <w:rsid w:val="00466F3B"/>
    <w:rsid w:val="004731CB"/>
    <w:rsid w:val="00473A6B"/>
    <w:rsid w:val="0047434C"/>
    <w:rsid w:val="004750B0"/>
    <w:rsid w:val="004803BD"/>
    <w:rsid w:val="00486E04"/>
    <w:rsid w:val="004A05AB"/>
    <w:rsid w:val="004A1D3B"/>
    <w:rsid w:val="004A384A"/>
    <w:rsid w:val="004A5236"/>
    <w:rsid w:val="004A623C"/>
    <w:rsid w:val="004B0BD2"/>
    <w:rsid w:val="004B704B"/>
    <w:rsid w:val="004B7A8D"/>
    <w:rsid w:val="004C03A3"/>
    <w:rsid w:val="004C2621"/>
    <w:rsid w:val="004C2EB0"/>
    <w:rsid w:val="004C4C64"/>
    <w:rsid w:val="004C5A18"/>
    <w:rsid w:val="004C6607"/>
    <w:rsid w:val="004D103B"/>
    <w:rsid w:val="004D15E5"/>
    <w:rsid w:val="004D6E09"/>
    <w:rsid w:val="004E3327"/>
    <w:rsid w:val="004E7A41"/>
    <w:rsid w:val="004F22A5"/>
    <w:rsid w:val="004F5A3F"/>
    <w:rsid w:val="004F668B"/>
    <w:rsid w:val="0050692A"/>
    <w:rsid w:val="00507926"/>
    <w:rsid w:val="005107E7"/>
    <w:rsid w:val="0051476E"/>
    <w:rsid w:val="00514889"/>
    <w:rsid w:val="00516922"/>
    <w:rsid w:val="00520ED4"/>
    <w:rsid w:val="005268B9"/>
    <w:rsid w:val="00526C48"/>
    <w:rsid w:val="00531995"/>
    <w:rsid w:val="00532A93"/>
    <w:rsid w:val="0053646D"/>
    <w:rsid w:val="00544FC5"/>
    <w:rsid w:val="005474A8"/>
    <w:rsid w:val="0055093B"/>
    <w:rsid w:val="00555BCF"/>
    <w:rsid w:val="005618A7"/>
    <w:rsid w:val="00563092"/>
    <w:rsid w:val="00571968"/>
    <w:rsid w:val="005739CF"/>
    <w:rsid w:val="00574EFC"/>
    <w:rsid w:val="005800A4"/>
    <w:rsid w:val="0058212D"/>
    <w:rsid w:val="0058487C"/>
    <w:rsid w:val="00584D6F"/>
    <w:rsid w:val="00584FD8"/>
    <w:rsid w:val="00585FA1"/>
    <w:rsid w:val="00586332"/>
    <w:rsid w:val="00590B09"/>
    <w:rsid w:val="00595936"/>
    <w:rsid w:val="00597074"/>
    <w:rsid w:val="00597A54"/>
    <w:rsid w:val="005A72CC"/>
    <w:rsid w:val="005A7D5D"/>
    <w:rsid w:val="005B4C78"/>
    <w:rsid w:val="005C2695"/>
    <w:rsid w:val="005C4A8F"/>
    <w:rsid w:val="005C5A0F"/>
    <w:rsid w:val="005D1E65"/>
    <w:rsid w:val="005D249B"/>
    <w:rsid w:val="005D47E1"/>
    <w:rsid w:val="005E19D6"/>
    <w:rsid w:val="005E1B9D"/>
    <w:rsid w:val="005E33FA"/>
    <w:rsid w:val="005E5F8B"/>
    <w:rsid w:val="005F071F"/>
    <w:rsid w:val="005F317D"/>
    <w:rsid w:val="006014E0"/>
    <w:rsid w:val="006027F3"/>
    <w:rsid w:val="006071EF"/>
    <w:rsid w:val="00617CA7"/>
    <w:rsid w:val="0062195F"/>
    <w:rsid w:val="006257EF"/>
    <w:rsid w:val="00626060"/>
    <w:rsid w:val="006276F5"/>
    <w:rsid w:val="00627751"/>
    <w:rsid w:val="00630CEB"/>
    <w:rsid w:val="00630E4E"/>
    <w:rsid w:val="00633303"/>
    <w:rsid w:val="0063389F"/>
    <w:rsid w:val="00633BE1"/>
    <w:rsid w:val="006344D6"/>
    <w:rsid w:val="00635C94"/>
    <w:rsid w:val="006418BF"/>
    <w:rsid w:val="00641E9E"/>
    <w:rsid w:val="006443EC"/>
    <w:rsid w:val="00644568"/>
    <w:rsid w:val="0065649C"/>
    <w:rsid w:val="0065708B"/>
    <w:rsid w:val="00664DC2"/>
    <w:rsid w:val="00667E38"/>
    <w:rsid w:val="0067023D"/>
    <w:rsid w:val="00671220"/>
    <w:rsid w:val="00673789"/>
    <w:rsid w:val="0067589A"/>
    <w:rsid w:val="00677A9C"/>
    <w:rsid w:val="00690A7E"/>
    <w:rsid w:val="006910A8"/>
    <w:rsid w:val="00692548"/>
    <w:rsid w:val="00693252"/>
    <w:rsid w:val="00695A63"/>
    <w:rsid w:val="006A3171"/>
    <w:rsid w:val="006A5719"/>
    <w:rsid w:val="006A5ECB"/>
    <w:rsid w:val="006B15A6"/>
    <w:rsid w:val="006B2125"/>
    <w:rsid w:val="006B2F4A"/>
    <w:rsid w:val="006B385F"/>
    <w:rsid w:val="006B5445"/>
    <w:rsid w:val="006B56A6"/>
    <w:rsid w:val="006B6BC7"/>
    <w:rsid w:val="006C0537"/>
    <w:rsid w:val="006C0711"/>
    <w:rsid w:val="006D6DBB"/>
    <w:rsid w:val="006D6E0B"/>
    <w:rsid w:val="006E0DF2"/>
    <w:rsid w:val="006E0E8B"/>
    <w:rsid w:val="006E14AD"/>
    <w:rsid w:val="006E31A7"/>
    <w:rsid w:val="006E4FE6"/>
    <w:rsid w:val="006E5901"/>
    <w:rsid w:val="006E7F1C"/>
    <w:rsid w:val="006F6D4E"/>
    <w:rsid w:val="007031D7"/>
    <w:rsid w:val="007068F5"/>
    <w:rsid w:val="00707BCB"/>
    <w:rsid w:val="0071759D"/>
    <w:rsid w:val="00717F7E"/>
    <w:rsid w:val="00720859"/>
    <w:rsid w:val="007235F1"/>
    <w:rsid w:val="00724D01"/>
    <w:rsid w:val="00727D71"/>
    <w:rsid w:val="00727E51"/>
    <w:rsid w:val="007302AE"/>
    <w:rsid w:val="00735025"/>
    <w:rsid w:val="00735293"/>
    <w:rsid w:val="00735A5C"/>
    <w:rsid w:val="00745EB9"/>
    <w:rsid w:val="007516A8"/>
    <w:rsid w:val="00753E18"/>
    <w:rsid w:val="00760966"/>
    <w:rsid w:val="00763EAB"/>
    <w:rsid w:val="007740BF"/>
    <w:rsid w:val="00774C38"/>
    <w:rsid w:val="00780D22"/>
    <w:rsid w:val="00781025"/>
    <w:rsid w:val="007831F7"/>
    <w:rsid w:val="00786450"/>
    <w:rsid w:val="00791846"/>
    <w:rsid w:val="00794078"/>
    <w:rsid w:val="00795014"/>
    <w:rsid w:val="00796C9D"/>
    <w:rsid w:val="007A038A"/>
    <w:rsid w:val="007A0919"/>
    <w:rsid w:val="007A1EF7"/>
    <w:rsid w:val="007A70B5"/>
    <w:rsid w:val="007B24FF"/>
    <w:rsid w:val="007B3C31"/>
    <w:rsid w:val="007B59F3"/>
    <w:rsid w:val="007C0556"/>
    <w:rsid w:val="007C44D2"/>
    <w:rsid w:val="007C6F32"/>
    <w:rsid w:val="007D02FD"/>
    <w:rsid w:val="007D1373"/>
    <w:rsid w:val="007D3253"/>
    <w:rsid w:val="007D719D"/>
    <w:rsid w:val="007E1584"/>
    <w:rsid w:val="007E1F31"/>
    <w:rsid w:val="007E41AD"/>
    <w:rsid w:val="007E7A69"/>
    <w:rsid w:val="007F0BE4"/>
    <w:rsid w:val="007F40DF"/>
    <w:rsid w:val="007F4FEF"/>
    <w:rsid w:val="00803B8E"/>
    <w:rsid w:val="008053DD"/>
    <w:rsid w:val="008064D2"/>
    <w:rsid w:val="008065E7"/>
    <w:rsid w:val="008073D4"/>
    <w:rsid w:val="0080743F"/>
    <w:rsid w:val="00812706"/>
    <w:rsid w:val="0081557B"/>
    <w:rsid w:val="00816FBD"/>
    <w:rsid w:val="00817822"/>
    <w:rsid w:val="00817FBD"/>
    <w:rsid w:val="00822435"/>
    <w:rsid w:val="008227D1"/>
    <w:rsid w:val="00824C0B"/>
    <w:rsid w:val="00824C4F"/>
    <w:rsid w:val="00830968"/>
    <w:rsid w:val="00832296"/>
    <w:rsid w:val="00832603"/>
    <w:rsid w:val="008358A4"/>
    <w:rsid w:val="00841B25"/>
    <w:rsid w:val="00844066"/>
    <w:rsid w:val="0085186D"/>
    <w:rsid w:val="00851AC5"/>
    <w:rsid w:val="0086109D"/>
    <w:rsid w:val="00864278"/>
    <w:rsid w:val="0086477D"/>
    <w:rsid w:val="008667BF"/>
    <w:rsid w:val="00866CD0"/>
    <w:rsid w:val="00872E0E"/>
    <w:rsid w:val="00874ABD"/>
    <w:rsid w:val="00876C8A"/>
    <w:rsid w:val="00880C2C"/>
    <w:rsid w:val="00883C9E"/>
    <w:rsid w:val="008860E5"/>
    <w:rsid w:val="008867DB"/>
    <w:rsid w:val="008873A8"/>
    <w:rsid w:val="008903C0"/>
    <w:rsid w:val="00890A6D"/>
    <w:rsid w:val="008A0531"/>
    <w:rsid w:val="008A5863"/>
    <w:rsid w:val="008A71FB"/>
    <w:rsid w:val="008B181C"/>
    <w:rsid w:val="008B27C8"/>
    <w:rsid w:val="008B7876"/>
    <w:rsid w:val="008C5F88"/>
    <w:rsid w:val="008D09AD"/>
    <w:rsid w:val="008D583E"/>
    <w:rsid w:val="008E141E"/>
    <w:rsid w:val="008E1EFA"/>
    <w:rsid w:val="008E3BD1"/>
    <w:rsid w:val="008E6264"/>
    <w:rsid w:val="008F19E0"/>
    <w:rsid w:val="008F213B"/>
    <w:rsid w:val="008F2D3E"/>
    <w:rsid w:val="008F3B9C"/>
    <w:rsid w:val="00902C66"/>
    <w:rsid w:val="00903461"/>
    <w:rsid w:val="00905BE3"/>
    <w:rsid w:val="00905F68"/>
    <w:rsid w:val="00906891"/>
    <w:rsid w:val="0091584A"/>
    <w:rsid w:val="0091788F"/>
    <w:rsid w:val="00920EF1"/>
    <w:rsid w:val="009212F5"/>
    <w:rsid w:val="00923AB0"/>
    <w:rsid w:val="009328D0"/>
    <w:rsid w:val="00935243"/>
    <w:rsid w:val="009432D0"/>
    <w:rsid w:val="009437B7"/>
    <w:rsid w:val="00947A27"/>
    <w:rsid w:val="00947A7F"/>
    <w:rsid w:val="00952032"/>
    <w:rsid w:val="00953219"/>
    <w:rsid w:val="009570BB"/>
    <w:rsid w:val="00960191"/>
    <w:rsid w:val="0096177E"/>
    <w:rsid w:val="00961E3F"/>
    <w:rsid w:val="00964CB2"/>
    <w:rsid w:val="009661B3"/>
    <w:rsid w:val="00972F54"/>
    <w:rsid w:val="00973FCD"/>
    <w:rsid w:val="00974F83"/>
    <w:rsid w:val="00991DEA"/>
    <w:rsid w:val="009925DE"/>
    <w:rsid w:val="00992B5C"/>
    <w:rsid w:val="00996D3E"/>
    <w:rsid w:val="009A1E6A"/>
    <w:rsid w:val="009A2E0E"/>
    <w:rsid w:val="009A5A58"/>
    <w:rsid w:val="009A7720"/>
    <w:rsid w:val="009B46BB"/>
    <w:rsid w:val="009B7E1B"/>
    <w:rsid w:val="009D0E5A"/>
    <w:rsid w:val="009D3CF2"/>
    <w:rsid w:val="009D501F"/>
    <w:rsid w:val="009D5C88"/>
    <w:rsid w:val="009D6946"/>
    <w:rsid w:val="009E0888"/>
    <w:rsid w:val="009E68AC"/>
    <w:rsid w:val="009E7799"/>
    <w:rsid w:val="009F16C0"/>
    <w:rsid w:val="009F6838"/>
    <w:rsid w:val="009F6D84"/>
    <w:rsid w:val="009F774C"/>
    <w:rsid w:val="00A0567B"/>
    <w:rsid w:val="00A10E61"/>
    <w:rsid w:val="00A11550"/>
    <w:rsid w:val="00A124C5"/>
    <w:rsid w:val="00A12AC5"/>
    <w:rsid w:val="00A13B17"/>
    <w:rsid w:val="00A24699"/>
    <w:rsid w:val="00A249F3"/>
    <w:rsid w:val="00A25B13"/>
    <w:rsid w:val="00A36DD0"/>
    <w:rsid w:val="00A376C6"/>
    <w:rsid w:val="00A457AC"/>
    <w:rsid w:val="00A54EE4"/>
    <w:rsid w:val="00A57875"/>
    <w:rsid w:val="00A60107"/>
    <w:rsid w:val="00A6117D"/>
    <w:rsid w:val="00A63F22"/>
    <w:rsid w:val="00A70315"/>
    <w:rsid w:val="00A728F5"/>
    <w:rsid w:val="00A74CB0"/>
    <w:rsid w:val="00A74E10"/>
    <w:rsid w:val="00A75AE9"/>
    <w:rsid w:val="00A76A20"/>
    <w:rsid w:val="00A76D93"/>
    <w:rsid w:val="00A8033B"/>
    <w:rsid w:val="00A85192"/>
    <w:rsid w:val="00A920FF"/>
    <w:rsid w:val="00A93DFE"/>
    <w:rsid w:val="00A95E92"/>
    <w:rsid w:val="00AA049B"/>
    <w:rsid w:val="00AA2CF9"/>
    <w:rsid w:val="00AA2F66"/>
    <w:rsid w:val="00AA36A2"/>
    <w:rsid w:val="00AA4030"/>
    <w:rsid w:val="00AA46B9"/>
    <w:rsid w:val="00AA5A23"/>
    <w:rsid w:val="00AA7327"/>
    <w:rsid w:val="00AB0455"/>
    <w:rsid w:val="00AB29DB"/>
    <w:rsid w:val="00AB488D"/>
    <w:rsid w:val="00AB6054"/>
    <w:rsid w:val="00AC0560"/>
    <w:rsid w:val="00AC0726"/>
    <w:rsid w:val="00AC13F9"/>
    <w:rsid w:val="00AC550E"/>
    <w:rsid w:val="00AC5A59"/>
    <w:rsid w:val="00AC62C4"/>
    <w:rsid w:val="00AD0029"/>
    <w:rsid w:val="00AD2178"/>
    <w:rsid w:val="00AE1B0F"/>
    <w:rsid w:val="00AE2273"/>
    <w:rsid w:val="00AF56F6"/>
    <w:rsid w:val="00B03084"/>
    <w:rsid w:val="00B04AA9"/>
    <w:rsid w:val="00B06AA6"/>
    <w:rsid w:val="00B1472A"/>
    <w:rsid w:val="00B1556D"/>
    <w:rsid w:val="00B178DA"/>
    <w:rsid w:val="00B23013"/>
    <w:rsid w:val="00B25DB0"/>
    <w:rsid w:val="00B2646E"/>
    <w:rsid w:val="00B3082C"/>
    <w:rsid w:val="00B3520A"/>
    <w:rsid w:val="00B41F88"/>
    <w:rsid w:val="00B434F1"/>
    <w:rsid w:val="00B44E3B"/>
    <w:rsid w:val="00B468F6"/>
    <w:rsid w:val="00B50EFE"/>
    <w:rsid w:val="00B52D39"/>
    <w:rsid w:val="00B6172F"/>
    <w:rsid w:val="00B625AA"/>
    <w:rsid w:val="00B6354A"/>
    <w:rsid w:val="00B65FA1"/>
    <w:rsid w:val="00B7077E"/>
    <w:rsid w:val="00B7491E"/>
    <w:rsid w:val="00B76977"/>
    <w:rsid w:val="00B76B0A"/>
    <w:rsid w:val="00B81729"/>
    <w:rsid w:val="00B85843"/>
    <w:rsid w:val="00B90410"/>
    <w:rsid w:val="00B91CA7"/>
    <w:rsid w:val="00B9295B"/>
    <w:rsid w:val="00B961FA"/>
    <w:rsid w:val="00B9771D"/>
    <w:rsid w:val="00BA1AAE"/>
    <w:rsid w:val="00BA5450"/>
    <w:rsid w:val="00BA5815"/>
    <w:rsid w:val="00BA66B8"/>
    <w:rsid w:val="00BB076B"/>
    <w:rsid w:val="00BB173B"/>
    <w:rsid w:val="00BB6F7E"/>
    <w:rsid w:val="00BC0497"/>
    <w:rsid w:val="00BC16EF"/>
    <w:rsid w:val="00BC215D"/>
    <w:rsid w:val="00BD15D1"/>
    <w:rsid w:val="00BD4DE9"/>
    <w:rsid w:val="00BE27F5"/>
    <w:rsid w:val="00BE3841"/>
    <w:rsid w:val="00BE6770"/>
    <w:rsid w:val="00BE735B"/>
    <w:rsid w:val="00BE786B"/>
    <w:rsid w:val="00BE794A"/>
    <w:rsid w:val="00BF40DE"/>
    <w:rsid w:val="00BF4594"/>
    <w:rsid w:val="00BF50CB"/>
    <w:rsid w:val="00BF6C79"/>
    <w:rsid w:val="00BF6FF5"/>
    <w:rsid w:val="00C06C0F"/>
    <w:rsid w:val="00C12FD2"/>
    <w:rsid w:val="00C20A4E"/>
    <w:rsid w:val="00C261E3"/>
    <w:rsid w:val="00C262CF"/>
    <w:rsid w:val="00C2734A"/>
    <w:rsid w:val="00C33FA8"/>
    <w:rsid w:val="00C3446A"/>
    <w:rsid w:val="00C35904"/>
    <w:rsid w:val="00C36992"/>
    <w:rsid w:val="00C47554"/>
    <w:rsid w:val="00C47640"/>
    <w:rsid w:val="00C53102"/>
    <w:rsid w:val="00C53773"/>
    <w:rsid w:val="00C57466"/>
    <w:rsid w:val="00C61845"/>
    <w:rsid w:val="00C61E37"/>
    <w:rsid w:val="00C62804"/>
    <w:rsid w:val="00C62BEE"/>
    <w:rsid w:val="00C62D60"/>
    <w:rsid w:val="00C64F2F"/>
    <w:rsid w:val="00C721AC"/>
    <w:rsid w:val="00C75333"/>
    <w:rsid w:val="00C80983"/>
    <w:rsid w:val="00C80E73"/>
    <w:rsid w:val="00C96DBE"/>
    <w:rsid w:val="00C97DF2"/>
    <w:rsid w:val="00CA76A6"/>
    <w:rsid w:val="00CB0521"/>
    <w:rsid w:val="00CC5D93"/>
    <w:rsid w:val="00CD29E2"/>
    <w:rsid w:val="00CD3007"/>
    <w:rsid w:val="00CE3836"/>
    <w:rsid w:val="00CE5623"/>
    <w:rsid w:val="00CE715A"/>
    <w:rsid w:val="00CF0662"/>
    <w:rsid w:val="00CF2A1D"/>
    <w:rsid w:val="00CF2B09"/>
    <w:rsid w:val="00CF7454"/>
    <w:rsid w:val="00D04413"/>
    <w:rsid w:val="00D04C16"/>
    <w:rsid w:val="00D05CC6"/>
    <w:rsid w:val="00D05D2A"/>
    <w:rsid w:val="00D07E83"/>
    <w:rsid w:val="00D10D1D"/>
    <w:rsid w:val="00D112B7"/>
    <w:rsid w:val="00D142D7"/>
    <w:rsid w:val="00D143B1"/>
    <w:rsid w:val="00D15DEC"/>
    <w:rsid w:val="00D22089"/>
    <w:rsid w:val="00D263E1"/>
    <w:rsid w:val="00D306C6"/>
    <w:rsid w:val="00D33567"/>
    <w:rsid w:val="00D34120"/>
    <w:rsid w:val="00D374AF"/>
    <w:rsid w:val="00D3754A"/>
    <w:rsid w:val="00D415E5"/>
    <w:rsid w:val="00D42107"/>
    <w:rsid w:val="00D42BB9"/>
    <w:rsid w:val="00D42E40"/>
    <w:rsid w:val="00D42FAD"/>
    <w:rsid w:val="00D46836"/>
    <w:rsid w:val="00D5018C"/>
    <w:rsid w:val="00D51BB3"/>
    <w:rsid w:val="00D63076"/>
    <w:rsid w:val="00D6381B"/>
    <w:rsid w:val="00D6404A"/>
    <w:rsid w:val="00D64BA5"/>
    <w:rsid w:val="00D70E4A"/>
    <w:rsid w:val="00D779D8"/>
    <w:rsid w:val="00D77DDB"/>
    <w:rsid w:val="00D77FE5"/>
    <w:rsid w:val="00D81C71"/>
    <w:rsid w:val="00D8691E"/>
    <w:rsid w:val="00D8753B"/>
    <w:rsid w:val="00D87CD0"/>
    <w:rsid w:val="00DA5E2A"/>
    <w:rsid w:val="00DA6108"/>
    <w:rsid w:val="00DB2A07"/>
    <w:rsid w:val="00DB3174"/>
    <w:rsid w:val="00DB319C"/>
    <w:rsid w:val="00DB3374"/>
    <w:rsid w:val="00DB33CB"/>
    <w:rsid w:val="00DB3E5F"/>
    <w:rsid w:val="00DB65A7"/>
    <w:rsid w:val="00DC51F0"/>
    <w:rsid w:val="00DC5DC0"/>
    <w:rsid w:val="00DC7D8F"/>
    <w:rsid w:val="00DD0322"/>
    <w:rsid w:val="00DD047B"/>
    <w:rsid w:val="00DD0556"/>
    <w:rsid w:val="00DD7CCF"/>
    <w:rsid w:val="00DE3DB9"/>
    <w:rsid w:val="00DE3DCD"/>
    <w:rsid w:val="00DE5839"/>
    <w:rsid w:val="00DE5AF5"/>
    <w:rsid w:val="00DE70D0"/>
    <w:rsid w:val="00DE72C9"/>
    <w:rsid w:val="00DE7A9A"/>
    <w:rsid w:val="00DF2A02"/>
    <w:rsid w:val="00DF2F98"/>
    <w:rsid w:val="00DF340F"/>
    <w:rsid w:val="00DF5FB1"/>
    <w:rsid w:val="00E00617"/>
    <w:rsid w:val="00E00FA3"/>
    <w:rsid w:val="00E054CC"/>
    <w:rsid w:val="00E07DF0"/>
    <w:rsid w:val="00E11EAE"/>
    <w:rsid w:val="00E12AEA"/>
    <w:rsid w:val="00E1681D"/>
    <w:rsid w:val="00E20300"/>
    <w:rsid w:val="00E21E87"/>
    <w:rsid w:val="00E25240"/>
    <w:rsid w:val="00E26647"/>
    <w:rsid w:val="00E266F6"/>
    <w:rsid w:val="00E35C2E"/>
    <w:rsid w:val="00E35E99"/>
    <w:rsid w:val="00E37367"/>
    <w:rsid w:val="00E40AC8"/>
    <w:rsid w:val="00E40CF4"/>
    <w:rsid w:val="00E43DB6"/>
    <w:rsid w:val="00E43FA1"/>
    <w:rsid w:val="00E45CFF"/>
    <w:rsid w:val="00E46172"/>
    <w:rsid w:val="00E46DFC"/>
    <w:rsid w:val="00E50BC7"/>
    <w:rsid w:val="00E527ED"/>
    <w:rsid w:val="00E544E8"/>
    <w:rsid w:val="00E563D0"/>
    <w:rsid w:val="00E608F2"/>
    <w:rsid w:val="00E60CDF"/>
    <w:rsid w:val="00E62308"/>
    <w:rsid w:val="00E658AB"/>
    <w:rsid w:val="00E65BAE"/>
    <w:rsid w:val="00E73202"/>
    <w:rsid w:val="00E77591"/>
    <w:rsid w:val="00E8278D"/>
    <w:rsid w:val="00E87500"/>
    <w:rsid w:val="00E878F4"/>
    <w:rsid w:val="00E914B7"/>
    <w:rsid w:val="00E92B4A"/>
    <w:rsid w:val="00E9492F"/>
    <w:rsid w:val="00EA1B31"/>
    <w:rsid w:val="00EA2217"/>
    <w:rsid w:val="00EA3AA5"/>
    <w:rsid w:val="00EB0114"/>
    <w:rsid w:val="00EB1718"/>
    <w:rsid w:val="00EB4E34"/>
    <w:rsid w:val="00EB59FE"/>
    <w:rsid w:val="00EC0036"/>
    <w:rsid w:val="00EE0835"/>
    <w:rsid w:val="00EE250F"/>
    <w:rsid w:val="00EE3645"/>
    <w:rsid w:val="00EE3E55"/>
    <w:rsid w:val="00EE66BA"/>
    <w:rsid w:val="00EF0091"/>
    <w:rsid w:val="00EF00C6"/>
    <w:rsid w:val="00EF624B"/>
    <w:rsid w:val="00EF6F36"/>
    <w:rsid w:val="00F0224F"/>
    <w:rsid w:val="00F1330F"/>
    <w:rsid w:val="00F15318"/>
    <w:rsid w:val="00F25207"/>
    <w:rsid w:val="00F2563C"/>
    <w:rsid w:val="00F26085"/>
    <w:rsid w:val="00F301AA"/>
    <w:rsid w:val="00F3339E"/>
    <w:rsid w:val="00F336E4"/>
    <w:rsid w:val="00F346C9"/>
    <w:rsid w:val="00F35517"/>
    <w:rsid w:val="00F358DC"/>
    <w:rsid w:val="00F3749E"/>
    <w:rsid w:val="00F377FE"/>
    <w:rsid w:val="00F40A67"/>
    <w:rsid w:val="00F42531"/>
    <w:rsid w:val="00F44F54"/>
    <w:rsid w:val="00F52113"/>
    <w:rsid w:val="00F52680"/>
    <w:rsid w:val="00F52B5E"/>
    <w:rsid w:val="00F53BD5"/>
    <w:rsid w:val="00F55842"/>
    <w:rsid w:val="00F56213"/>
    <w:rsid w:val="00F7005E"/>
    <w:rsid w:val="00F7073E"/>
    <w:rsid w:val="00F73AEE"/>
    <w:rsid w:val="00F748BE"/>
    <w:rsid w:val="00F74B2B"/>
    <w:rsid w:val="00F7535D"/>
    <w:rsid w:val="00F812B4"/>
    <w:rsid w:val="00F92E94"/>
    <w:rsid w:val="00F93BBB"/>
    <w:rsid w:val="00F950F4"/>
    <w:rsid w:val="00F95F09"/>
    <w:rsid w:val="00F976B5"/>
    <w:rsid w:val="00FB1A79"/>
    <w:rsid w:val="00FC17CC"/>
    <w:rsid w:val="00FC24EA"/>
    <w:rsid w:val="00FC5827"/>
    <w:rsid w:val="00FD3A90"/>
    <w:rsid w:val="00FD6940"/>
    <w:rsid w:val="00FE0534"/>
    <w:rsid w:val="00FE1301"/>
    <w:rsid w:val="00FE1CAC"/>
    <w:rsid w:val="00FE1F84"/>
    <w:rsid w:val="00FE3030"/>
    <w:rsid w:val="00FE4731"/>
    <w:rsid w:val="00FE6982"/>
    <w:rsid w:val="00FF1170"/>
    <w:rsid w:val="00FF7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A6"/>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link w:val="Heading1Char"/>
    <w:uiPriority w:val="9"/>
    <w:qFormat/>
    <w:rsid w:val="00E1681D"/>
    <w:pPr>
      <w:spacing w:before="240" w:after="120"/>
      <w:outlineLvl w:val="0"/>
    </w:pPr>
    <w:rPr>
      <w:b/>
      <w:bCs/>
      <w:color w:val="000000"/>
      <w:kern w:val="36"/>
      <w:sz w:val="33"/>
      <w:szCs w:val="33"/>
    </w:rPr>
  </w:style>
  <w:style w:type="paragraph" w:styleId="Heading2">
    <w:name w:val="heading 2"/>
    <w:basedOn w:val="Normal"/>
    <w:next w:val="Normal"/>
    <w:link w:val="Heading2Char"/>
    <w:uiPriority w:val="9"/>
    <w:semiHidden/>
    <w:unhideWhenUsed/>
    <w:qFormat/>
    <w:rsid w:val="00FF73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56A6"/>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NoSpacing">
    <w:name w:val="No Spacing"/>
    <w:uiPriority w:val="1"/>
    <w:qFormat/>
    <w:rsid w:val="006B56A6"/>
    <w:pPr>
      <w:spacing w:after="0" w:line="240" w:lineRule="auto"/>
    </w:pPr>
    <w:rPr>
      <w:rFonts w:ascii="Times New Roman" w:eastAsia="Times New Roman" w:hAnsi="Times New Roman" w:cs="Times New Roman"/>
      <w:sz w:val="24"/>
      <w:szCs w:val="24"/>
      <w:lang w:eastAsia="nl-NL"/>
    </w:rPr>
  </w:style>
  <w:style w:type="character" w:customStyle="1" w:styleId="paragraph24752463">
    <w:name w:val="paragraph 24752463"/>
    <w:rsid w:val="00A728F5"/>
    <w:rPr>
      <w:rFonts w:cs="Times New Roman"/>
    </w:rPr>
  </w:style>
  <w:style w:type="table" w:styleId="TableGrid">
    <w:name w:val="Table Grid"/>
    <w:basedOn w:val="TableNormal"/>
    <w:rsid w:val="00516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4EB4"/>
    <w:rPr>
      <w:color w:val="2149A0"/>
      <w:u w:val="single"/>
    </w:rPr>
  </w:style>
  <w:style w:type="paragraph" w:styleId="NormalWeb">
    <w:name w:val="Normal (Web)"/>
    <w:basedOn w:val="Normal"/>
    <w:uiPriority w:val="99"/>
    <w:semiHidden/>
    <w:unhideWhenUsed/>
    <w:rsid w:val="000C4EB4"/>
    <w:pPr>
      <w:spacing w:after="432"/>
    </w:pPr>
  </w:style>
  <w:style w:type="paragraph" w:styleId="Header">
    <w:name w:val="header"/>
    <w:basedOn w:val="Normal"/>
    <w:link w:val="HeaderChar"/>
    <w:unhideWhenUsed/>
    <w:rsid w:val="00E60CDF"/>
    <w:pPr>
      <w:tabs>
        <w:tab w:val="center" w:pos="4536"/>
        <w:tab w:val="right" w:pos="9072"/>
      </w:tabs>
    </w:pPr>
  </w:style>
  <w:style w:type="character" w:customStyle="1" w:styleId="HeaderChar">
    <w:name w:val="Header Char"/>
    <w:basedOn w:val="DefaultParagraphFont"/>
    <w:link w:val="Header"/>
    <w:rsid w:val="00E60CDF"/>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E60CDF"/>
    <w:pPr>
      <w:tabs>
        <w:tab w:val="center" w:pos="4536"/>
        <w:tab w:val="right" w:pos="9072"/>
      </w:tabs>
    </w:pPr>
  </w:style>
  <w:style w:type="character" w:customStyle="1" w:styleId="FooterChar">
    <w:name w:val="Footer Char"/>
    <w:basedOn w:val="DefaultParagraphFont"/>
    <w:link w:val="Footer"/>
    <w:uiPriority w:val="99"/>
    <w:rsid w:val="00E60CDF"/>
    <w:rPr>
      <w:rFonts w:ascii="Times New Roman" w:eastAsia="Times New Roman" w:hAnsi="Times New Roman" w:cs="Times New Roman"/>
      <w:sz w:val="24"/>
      <w:szCs w:val="24"/>
      <w:lang w:eastAsia="nl-NL"/>
    </w:rPr>
  </w:style>
  <w:style w:type="paragraph" w:customStyle="1" w:styleId="title1">
    <w:name w:val="title1"/>
    <w:basedOn w:val="Normal"/>
    <w:rsid w:val="001F2CA6"/>
    <w:rPr>
      <w:sz w:val="27"/>
      <w:szCs w:val="27"/>
    </w:rPr>
  </w:style>
  <w:style w:type="paragraph" w:customStyle="1" w:styleId="desc2">
    <w:name w:val="desc2"/>
    <w:basedOn w:val="Normal"/>
    <w:rsid w:val="001F2CA6"/>
    <w:rPr>
      <w:sz w:val="26"/>
      <w:szCs w:val="26"/>
    </w:rPr>
  </w:style>
  <w:style w:type="paragraph" w:customStyle="1" w:styleId="details1">
    <w:name w:val="details1"/>
    <w:basedOn w:val="Normal"/>
    <w:rsid w:val="001F2CA6"/>
    <w:rPr>
      <w:sz w:val="22"/>
      <w:szCs w:val="22"/>
    </w:rPr>
  </w:style>
  <w:style w:type="character" w:customStyle="1" w:styleId="jrnl">
    <w:name w:val="jrnl"/>
    <w:basedOn w:val="DefaultParagraphFont"/>
    <w:rsid w:val="001F2CA6"/>
  </w:style>
  <w:style w:type="paragraph" w:styleId="BodyText">
    <w:name w:val="Body Text"/>
    <w:basedOn w:val="Normal"/>
    <w:link w:val="BodyTextChar"/>
    <w:uiPriority w:val="1"/>
    <w:qFormat/>
    <w:rsid w:val="00532A93"/>
    <w:pPr>
      <w:autoSpaceDE w:val="0"/>
      <w:autoSpaceDN w:val="0"/>
      <w:adjustRightInd w:val="0"/>
      <w:ind w:left="109"/>
    </w:pPr>
    <w:rPr>
      <w:rFonts w:eastAsiaTheme="minorHAnsi"/>
      <w:sz w:val="20"/>
      <w:szCs w:val="20"/>
      <w:lang w:eastAsia="en-US"/>
    </w:rPr>
  </w:style>
  <w:style w:type="character" w:customStyle="1" w:styleId="BodyTextChar">
    <w:name w:val="Body Text Char"/>
    <w:basedOn w:val="DefaultParagraphFont"/>
    <w:link w:val="BodyText"/>
    <w:uiPriority w:val="1"/>
    <w:rsid w:val="00532A93"/>
    <w:rPr>
      <w:rFonts w:ascii="Times New Roman" w:hAnsi="Times New Roman" w:cs="Times New Roman"/>
      <w:sz w:val="20"/>
      <w:szCs w:val="20"/>
    </w:rPr>
  </w:style>
  <w:style w:type="paragraph" w:styleId="ListParagraph">
    <w:name w:val="List Paragraph"/>
    <w:basedOn w:val="Normal"/>
    <w:uiPriority w:val="34"/>
    <w:qFormat/>
    <w:rsid w:val="00CF7454"/>
    <w:pPr>
      <w:ind w:left="720"/>
      <w:contextualSpacing/>
    </w:pPr>
  </w:style>
  <w:style w:type="paragraph" w:styleId="BalloonText">
    <w:name w:val="Balloon Text"/>
    <w:basedOn w:val="Normal"/>
    <w:link w:val="BalloonTextChar"/>
    <w:uiPriority w:val="99"/>
    <w:semiHidden/>
    <w:unhideWhenUsed/>
    <w:rsid w:val="00D07E83"/>
    <w:rPr>
      <w:rFonts w:ascii="Tahoma" w:hAnsi="Tahoma" w:cs="Tahoma"/>
      <w:sz w:val="16"/>
      <w:szCs w:val="16"/>
    </w:rPr>
  </w:style>
  <w:style w:type="character" w:customStyle="1" w:styleId="BalloonTextChar">
    <w:name w:val="Balloon Text Char"/>
    <w:basedOn w:val="DefaultParagraphFont"/>
    <w:link w:val="BalloonText"/>
    <w:uiPriority w:val="99"/>
    <w:semiHidden/>
    <w:rsid w:val="00D07E83"/>
    <w:rPr>
      <w:rFonts w:ascii="Tahoma" w:eastAsia="Times New Roman" w:hAnsi="Tahoma" w:cs="Tahoma"/>
      <w:sz w:val="16"/>
      <w:szCs w:val="16"/>
      <w:lang w:eastAsia="nl-NL"/>
    </w:rPr>
  </w:style>
  <w:style w:type="character" w:customStyle="1" w:styleId="highlight2">
    <w:name w:val="highlight2"/>
    <w:basedOn w:val="DefaultParagraphFont"/>
    <w:rsid w:val="003F621D"/>
  </w:style>
  <w:style w:type="character" w:styleId="Strong">
    <w:name w:val="Strong"/>
    <w:basedOn w:val="DefaultParagraphFont"/>
    <w:uiPriority w:val="22"/>
    <w:qFormat/>
    <w:rsid w:val="003F621D"/>
    <w:rPr>
      <w:b/>
      <w:bCs/>
    </w:rPr>
  </w:style>
  <w:style w:type="character" w:customStyle="1" w:styleId="Heading1Char">
    <w:name w:val="Heading 1 Char"/>
    <w:basedOn w:val="DefaultParagraphFont"/>
    <w:link w:val="Heading1"/>
    <w:uiPriority w:val="9"/>
    <w:rsid w:val="00E1681D"/>
    <w:rPr>
      <w:rFonts w:ascii="Times New Roman" w:eastAsia="Times New Roman" w:hAnsi="Times New Roman" w:cs="Times New Roman"/>
      <w:b/>
      <w:bCs/>
      <w:color w:val="000000"/>
      <w:kern w:val="36"/>
      <w:sz w:val="33"/>
      <w:szCs w:val="33"/>
      <w:lang w:eastAsia="nl-NL"/>
    </w:rPr>
  </w:style>
  <w:style w:type="paragraph" w:styleId="PlainText">
    <w:name w:val="Plain Text"/>
    <w:basedOn w:val="Normal"/>
    <w:link w:val="PlainTextChar"/>
    <w:uiPriority w:val="99"/>
    <w:unhideWhenUsed/>
    <w:rsid w:val="00AD0029"/>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AD0029"/>
    <w:rPr>
      <w:rFonts w:ascii="Calibri" w:hAnsi="Calibri" w:cs="Consolas"/>
      <w:szCs w:val="21"/>
    </w:rPr>
  </w:style>
  <w:style w:type="paragraph" w:styleId="HTMLPreformatted">
    <w:name w:val="HTML Preformatted"/>
    <w:basedOn w:val="Normal"/>
    <w:link w:val="HTMLPreformattedChar"/>
    <w:uiPriority w:val="99"/>
    <w:semiHidden/>
    <w:unhideWhenUsed/>
    <w:rsid w:val="006D6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D6DBB"/>
    <w:rPr>
      <w:rFonts w:ascii="Courier New" w:eastAsia="Times New Roman" w:hAnsi="Courier New" w:cs="Courier New"/>
      <w:sz w:val="20"/>
      <w:szCs w:val="20"/>
      <w:lang w:eastAsia="nl-NL"/>
    </w:rPr>
  </w:style>
  <w:style w:type="character" w:styleId="LineNumber">
    <w:name w:val="line number"/>
    <w:basedOn w:val="DefaultParagraphFont"/>
    <w:uiPriority w:val="99"/>
    <w:semiHidden/>
    <w:unhideWhenUsed/>
    <w:rsid w:val="007740BF"/>
  </w:style>
  <w:style w:type="character" w:customStyle="1" w:styleId="Heading2Char">
    <w:name w:val="Heading 2 Char"/>
    <w:basedOn w:val="DefaultParagraphFont"/>
    <w:link w:val="Heading2"/>
    <w:uiPriority w:val="9"/>
    <w:semiHidden/>
    <w:rsid w:val="00FF73D2"/>
    <w:rPr>
      <w:rFonts w:asciiTheme="majorHAnsi" w:eastAsiaTheme="majorEastAsia" w:hAnsiTheme="majorHAnsi" w:cstheme="majorBidi"/>
      <w:b/>
      <w:bCs/>
      <w:color w:val="4F81BD" w:themeColor="accent1"/>
      <w:sz w:val="26"/>
      <w:szCs w:val="26"/>
      <w:lang w:eastAsia="nl-NL"/>
    </w:rPr>
  </w:style>
  <w:style w:type="character" w:customStyle="1" w:styleId="apple-converted-space">
    <w:name w:val="apple-converted-space"/>
    <w:basedOn w:val="DefaultParagraphFont"/>
    <w:rsid w:val="00FF73D2"/>
  </w:style>
  <w:style w:type="character" w:customStyle="1" w:styleId="cit">
    <w:name w:val="cit"/>
    <w:basedOn w:val="DefaultParagraphFont"/>
    <w:rsid w:val="009432D0"/>
  </w:style>
  <w:style w:type="character" w:customStyle="1" w:styleId="fm-vol-iss-date">
    <w:name w:val="fm-vol-iss-date"/>
    <w:basedOn w:val="DefaultParagraphFont"/>
    <w:rsid w:val="009432D0"/>
  </w:style>
  <w:style w:type="character" w:customStyle="1" w:styleId="doi">
    <w:name w:val="doi"/>
    <w:basedOn w:val="DefaultParagraphFont"/>
    <w:rsid w:val="009432D0"/>
  </w:style>
  <w:style w:type="character" w:customStyle="1" w:styleId="fm-citation-ids-label">
    <w:name w:val="fm-citation-ids-label"/>
    <w:basedOn w:val="DefaultParagraphFont"/>
    <w:rsid w:val="009432D0"/>
  </w:style>
  <w:style w:type="character" w:styleId="CommentReference">
    <w:name w:val="annotation reference"/>
    <w:basedOn w:val="DefaultParagraphFont"/>
    <w:uiPriority w:val="99"/>
    <w:semiHidden/>
    <w:unhideWhenUsed/>
    <w:rsid w:val="007235F1"/>
    <w:rPr>
      <w:sz w:val="16"/>
      <w:szCs w:val="16"/>
    </w:rPr>
  </w:style>
  <w:style w:type="paragraph" w:styleId="CommentText">
    <w:name w:val="annotation text"/>
    <w:basedOn w:val="Normal"/>
    <w:link w:val="CommentTextChar"/>
    <w:uiPriority w:val="99"/>
    <w:semiHidden/>
    <w:unhideWhenUsed/>
    <w:rsid w:val="007235F1"/>
    <w:rPr>
      <w:sz w:val="20"/>
      <w:szCs w:val="20"/>
    </w:rPr>
  </w:style>
  <w:style w:type="character" w:customStyle="1" w:styleId="CommentTextChar">
    <w:name w:val="Comment Text Char"/>
    <w:basedOn w:val="DefaultParagraphFont"/>
    <w:link w:val="CommentText"/>
    <w:uiPriority w:val="99"/>
    <w:semiHidden/>
    <w:rsid w:val="007235F1"/>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7235F1"/>
    <w:rPr>
      <w:b/>
      <w:bCs/>
    </w:rPr>
  </w:style>
  <w:style w:type="character" w:customStyle="1" w:styleId="CommentSubjectChar">
    <w:name w:val="Comment Subject Char"/>
    <w:basedOn w:val="CommentTextChar"/>
    <w:link w:val="CommentSubject"/>
    <w:uiPriority w:val="99"/>
    <w:semiHidden/>
    <w:rsid w:val="007235F1"/>
    <w:rPr>
      <w:rFonts w:ascii="Times New Roman" w:eastAsia="Times New Roman" w:hAnsi="Times New Roman" w:cs="Times New Roman"/>
      <w:b/>
      <w:bCs/>
      <w:sz w:val="20"/>
      <w:szCs w:val="20"/>
      <w:lang w:eastAsia="nl-NL"/>
    </w:rPr>
  </w:style>
  <w:style w:type="character" w:customStyle="1" w:styleId="citation-publication-date">
    <w:name w:val="citation-publication-date"/>
    <w:basedOn w:val="DefaultParagraphFont"/>
    <w:rsid w:val="00F53BD5"/>
  </w:style>
  <w:style w:type="character" w:customStyle="1" w:styleId="name">
    <w:name w:val="name"/>
    <w:basedOn w:val="DefaultParagraphFont"/>
    <w:rsid w:val="004551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A6"/>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link w:val="Heading1Char"/>
    <w:uiPriority w:val="9"/>
    <w:qFormat/>
    <w:rsid w:val="00E1681D"/>
    <w:pPr>
      <w:spacing w:before="240" w:after="120"/>
      <w:outlineLvl w:val="0"/>
    </w:pPr>
    <w:rPr>
      <w:b/>
      <w:bCs/>
      <w:color w:val="000000"/>
      <w:kern w:val="36"/>
      <w:sz w:val="33"/>
      <w:szCs w:val="33"/>
    </w:rPr>
  </w:style>
  <w:style w:type="paragraph" w:styleId="Heading2">
    <w:name w:val="heading 2"/>
    <w:basedOn w:val="Normal"/>
    <w:next w:val="Normal"/>
    <w:link w:val="Heading2Char"/>
    <w:uiPriority w:val="9"/>
    <w:semiHidden/>
    <w:unhideWhenUsed/>
    <w:qFormat/>
    <w:rsid w:val="00FF73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56A6"/>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NoSpacing">
    <w:name w:val="No Spacing"/>
    <w:uiPriority w:val="1"/>
    <w:qFormat/>
    <w:rsid w:val="006B56A6"/>
    <w:pPr>
      <w:spacing w:after="0" w:line="240" w:lineRule="auto"/>
    </w:pPr>
    <w:rPr>
      <w:rFonts w:ascii="Times New Roman" w:eastAsia="Times New Roman" w:hAnsi="Times New Roman" w:cs="Times New Roman"/>
      <w:sz w:val="24"/>
      <w:szCs w:val="24"/>
      <w:lang w:eastAsia="nl-NL"/>
    </w:rPr>
  </w:style>
  <w:style w:type="character" w:customStyle="1" w:styleId="paragraph24752463">
    <w:name w:val="paragraph 24752463"/>
    <w:rsid w:val="00A728F5"/>
    <w:rPr>
      <w:rFonts w:cs="Times New Roman"/>
    </w:rPr>
  </w:style>
  <w:style w:type="table" w:styleId="TableGrid">
    <w:name w:val="Table Grid"/>
    <w:basedOn w:val="TableNormal"/>
    <w:rsid w:val="00516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4EB4"/>
    <w:rPr>
      <w:color w:val="2149A0"/>
      <w:u w:val="single"/>
    </w:rPr>
  </w:style>
  <w:style w:type="paragraph" w:styleId="NormalWeb">
    <w:name w:val="Normal (Web)"/>
    <w:basedOn w:val="Normal"/>
    <w:uiPriority w:val="99"/>
    <w:semiHidden/>
    <w:unhideWhenUsed/>
    <w:rsid w:val="000C4EB4"/>
    <w:pPr>
      <w:spacing w:after="432"/>
    </w:pPr>
  </w:style>
  <w:style w:type="paragraph" w:styleId="Header">
    <w:name w:val="header"/>
    <w:basedOn w:val="Normal"/>
    <w:link w:val="HeaderChar"/>
    <w:unhideWhenUsed/>
    <w:rsid w:val="00E60CDF"/>
    <w:pPr>
      <w:tabs>
        <w:tab w:val="center" w:pos="4536"/>
        <w:tab w:val="right" w:pos="9072"/>
      </w:tabs>
    </w:pPr>
  </w:style>
  <w:style w:type="character" w:customStyle="1" w:styleId="HeaderChar">
    <w:name w:val="Header Char"/>
    <w:basedOn w:val="DefaultParagraphFont"/>
    <w:link w:val="Header"/>
    <w:rsid w:val="00E60CDF"/>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E60CDF"/>
    <w:pPr>
      <w:tabs>
        <w:tab w:val="center" w:pos="4536"/>
        <w:tab w:val="right" w:pos="9072"/>
      </w:tabs>
    </w:pPr>
  </w:style>
  <w:style w:type="character" w:customStyle="1" w:styleId="FooterChar">
    <w:name w:val="Footer Char"/>
    <w:basedOn w:val="DefaultParagraphFont"/>
    <w:link w:val="Footer"/>
    <w:uiPriority w:val="99"/>
    <w:rsid w:val="00E60CDF"/>
    <w:rPr>
      <w:rFonts w:ascii="Times New Roman" w:eastAsia="Times New Roman" w:hAnsi="Times New Roman" w:cs="Times New Roman"/>
      <w:sz w:val="24"/>
      <w:szCs w:val="24"/>
      <w:lang w:eastAsia="nl-NL"/>
    </w:rPr>
  </w:style>
  <w:style w:type="paragraph" w:customStyle="1" w:styleId="title1">
    <w:name w:val="title1"/>
    <w:basedOn w:val="Normal"/>
    <w:rsid w:val="001F2CA6"/>
    <w:rPr>
      <w:sz w:val="27"/>
      <w:szCs w:val="27"/>
    </w:rPr>
  </w:style>
  <w:style w:type="paragraph" w:customStyle="1" w:styleId="desc2">
    <w:name w:val="desc2"/>
    <w:basedOn w:val="Normal"/>
    <w:rsid w:val="001F2CA6"/>
    <w:rPr>
      <w:sz w:val="26"/>
      <w:szCs w:val="26"/>
    </w:rPr>
  </w:style>
  <w:style w:type="paragraph" w:customStyle="1" w:styleId="details1">
    <w:name w:val="details1"/>
    <w:basedOn w:val="Normal"/>
    <w:rsid w:val="001F2CA6"/>
    <w:rPr>
      <w:sz w:val="22"/>
      <w:szCs w:val="22"/>
    </w:rPr>
  </w:style>
  <w:style w:type="character" w:customStyle="1" w:styleId="jrnl">
    <w:name w:val="jrnl"/>
    <w:basedOn w:val="DefaultParagraphFont"/>
    <w:rsid w:val="001F2CA6"/>
  </w:style>
  <w:style w:type="paragraph" w:styleId="BodyText">
    <w:name w:val="Body Text"/>
    <w:basedOn w:val="Normal"/>
    <w:link w:val="BodyTextChar"/>
    <w:uiPriority w:val="1"/>
    <w:qFormat/>
    <w:rsid w:val="00532A93"/>
    <w:pPr>
      <w:autoSpaceDE w:val="0"/>
      <w:autoSpaceDN w:val="0"/>
      <w:adjustRightInd w:val="0"/>
      <w:ind w:left="109"/>
    </w:pPr>
    <w:rPr>
      <w:rFonts w:eastAsiaTheme="minorHAnsi"/>
      <w:sz w:val="20"/>
      <w:szCs w:val="20"/>
      <w:lang w:eastAsia="en-US"/>
    </w:rPr>
  </w:style>
  <w:style w:type="character" w:customStyle="1" w:styleId="BodyTextChar">
    <w:name w:val="Body Text Char"/>
    <w:basedOn w:val="DefaultParagraphFont"/>
    <w:link w:val="BodyText"/>
    <w:uiPriority w:val="1"/>
    <w:rsid w:val="00532A93"/>
    <w:rPr>
      <w:rFonts w:ascii="Times New Roman" w:hAnsi="Times New Roman" w:cs="Times New Roman"/>
      <w:sz w:val="20"/>
      <w:szCs w:val="20"/>
    </w:rPr>
  </w:style>
  <w:style w:type="paragraph" w:styleId="ListParagraph">
    <w:name w:val="List Paragraph"/>
    <w:basedOn w:val="Normal"/>
    <w:uiPriority w:val="34"/>
    <w:qFormat/>
    <w:rsid w:val="00CF7454"/>
    <w:pPr>
      <w:ind w:left="720"/>
      <w:contextualSpacing/>
    </w:pPr>
  </w:style>
  <w:style w:type="paragraph" w:styleId="BalloonText">
    <w:name w:val="Balloon Text"/>
    <w:basedOn w:val="Normal"/>
    <w:link w:val="BalloonTextChar"/>
    <w:uiPriority w:val="99"/>
    <w:semiHidden/>
    <w:unhideWhenUsed/>
    <w:rsid w:val="00D07E83"/>
    <w:rPr>
      <w:rFonts w:ascii="Tahoma" w:hAnsi="Tahoma" w:cs="Tahoma"/>
      <w:sz w:val="16"/>
      <w:szCs w:val="16"/>
    </w:rPr>
  </w:style>
  <w:style w:type="character" w:customStyle="1" w:styleId="BalloonTextChar">
    <w:name w:val="Balloon Text Char"/>
    <w:basedOn w:val="DefaultParagraphFont"/>
    <w:link w:val="BalloonText"/>
    <w:uiPriority w:val="99"/>
    <w:semiHidden/>
    <w:rsid w:val="00D07E83"/>
    <w:rPr>
      <w:rFonts w:ascii="Tahoma" w:eastAsia="Times New Roman" w:hAnsi="Tahoma" w:cs="Tahoma"/>
      <w:sz w:val="16"/>
      <w:szCs w:val="16"/>
      <w:lang w:eastAsia="nl-NL"/>
    </w:rPr>
  </w:style>
  <w:style w:type="character" w:customStyle="1" w:styleId="highlight2">
    <w:name w:val="highlight2"/>
    <w:basedOn w:val="DefaultParagraphFont"/>
    <w:rsid w:val="003F621D"/>
  </w:style>
  <w:style w:type="character" w:styleId="Strong">
    <w:name w:val="Strong"/>
    <w:basedOn w:val="DefaultParagraphFont"/>
    <w:uiPriority w:val="22"/>
    <w:qFormat/>
    <w:rsid w:val="003F621D"/>
    <w:rPr>
      <w:b/>
      <w:bCs/>
    </w:rPr>
  </w:style>
  <w:style w:type="character" w:customStyle="1" w:styleId="Heading1Char">
    <w:name w:val="Heading 1 Char"/>
    <w:basedOn w:val="DefaultParagraphFont"/>
    <w:link w:val="Heading1"/>
    <w:uiPriority w:val="9"/>
    <w:rsid w:val="00E1681D"/>
    <w:rPr>
      <w:rFonts w:ascii="Times New Roman" w:eastAsia="Times New Roman" w:hAnsi="Times New Roman" w:cs="Times New Roman"/>
      <w:b/>
      <w:bCs/>
      <w:color w:val="000000"/>
      <w:kern w:val="36"/>
      <w:sz w:val="33"/>
      <w:szCs w:val="33"/>
      <w:lang w:eastAsia="nl-NL"/>
    </w:rPr>
  </w:style>
  <w:style w:type="paragraph" w:styleId="PlainText">
    <w:name w:val="Plain Text"/>
    <w:basedOn w:val="Normal"/>
    <w:link w:val="PlainTextChar"/>
    <w:uiPriority w:val="99"/>
    <w:unhideWhenUsed/>
    <w:rsid w:val="00AD0029"/>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AD0029"/>
    <w:rPr>
      <w:rFonts w:ascii="Calibri" w:hAnsi="Calibri" w:cs="Consolas"/>
      <w:szCs w:val="21"/>
    </w:rPr>
  </w:style>
  <w:style w:type="paragraph" w:styleId="HTMLPreformatted">
    <w:name w:val="HTML Preformatted"/>
    <w:basedOn w:val="Normal"/>
    <w:link w:val="HTMLPreformattedChar"/>
    <w:uiPriority w:val="99"/>
    <w:semiHidden/>
    <w:unhideWhenUsed/>
    <w:rsid w:val="006D6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D6DBB"/>
    <w:rPr>
      <w:rFonts w:ascii="Courier New" w:eastAsia="Times New Roman" w:hAnsi="Courier New" w:cs="Courier New"/>
      <w:sz w:val="20"/>
      <w:szCs w:val="20"/>
      <w:lang w:eastAsia="nl-NL"/>
    </w:rPr>
  </w:style>
  <w:style w:type="character" w:styleId="LineNumber">
    <w:name w:val="line number"/>
    <w:basedOn w:val="DefaultParagraphFont"/>
    <w:uiPriority w:val="99"/>
    <w:semiHidden/>
    <w:unhideWhenUsed/>
    <w:rsid w:val="007740BF"/>
  </w:style>
  <w:style w:type="character" w:customStyle="1" w:styleId="Heading2Char">
    <w:name w:val="Heading 2 Char"/>
    <w:basedOn w:val="DefaultParagraphFont"/>
    <w:link w:val="Heading2"/>
    <w:uiPriority w:val="9"/>
    <w:semiHidden/>
    <w:rsid w:val="00FF73D2"/>
    <w:rPr>
      <w:rFonts w:asciiTheme="majorHAnsi" w:eastAsiaTheme="majorEastAsia" w:hAnsiTheme="majorHAnsi" w:cstheme="majorBidi"/>
      <w:b/>
      <w:bCs/>
      <w:color w:val="4F81BD" w:themeColor="accent1"/>
      <w:sz w:val="26"/>
      <w:szCs w:val="26"/>
      <w:lang w:eastAsia="nl-NL"/>
    </w:rPr>
  </w:style>
  <w:style w:type="character" w:customStyle="1" w:styleId="apple-converted-space">
    <w:name w:val="apple-converted-space"/>
    <w:basedOn w:val="DefaultParagraphFont"/>
    <w:rsid w:val="00FF73D2"/>
  </w:style>
  <w:style w:type="character" w:customStyle="1" w:styleId="cit">
    <w:name w:val="cit"/>
    <w:basedOn w:val="DefaultParagraphFont"/>
    <w:rsid w:val="009432D0"/>
  </w:style>
  <w:style w:type="character" w:customStyle="1" w:styleId="fm-vol-iss-date">
    <w:name w:val="fm-vol-iss-date"/>
    <w:basedOn w:val="DefaultParagraphFont"/>
    <w:rsid w:val="009432D0"/>
  </w:style>
  <w:style w:type="character" w:customStyle="1" w:styleId="doi">
    <w:name w:val="doi"/>
    <w:basedOn w:val="DefaultParagraphFont"/>
    <w:rsid w:val="009432D0"/>
  </w:style>
  <w:style w:type="character" w:customStyle="1" w:styleId="fm-citation-ids-label">
    <w:name w:val="fm-citation-ids-label"/>
    <w:basedOn w:val="DefaultParagraphFont"/>
    <w:rsid w:val="009432D0"/>
  </w:style>
  <w:style w:type="character" w:styleId="CommentReference">
    <w:name w:val="annotation reference"/>
    <w:basedOn w:val="DefaultParagraphFont"/>
    <w:uiPriority w:val="99"/>
    <w:semiHidden/>
    <w:unhideWhenUsed/>
    <w:rsid w:val="007235F1"/>
    <w:rPr>
      <w:sz w:val="16"/>
      <w:szCs w:val="16"/>
    </w:rPr>
  </w:style>
  <w:style w:type="paragraph" w:styleId="CommentText">
    <w:name w:val="annotation text"/>
    <w:basedOn w:val="Normal"/>
    <w:link w:val="CommentTextChar"/>
    <w:uiPriority w:val="99"/>
    <w:semiHidden/>
    <w:unhideWhenUsed/>
    <w:rsid w:val="007235F1"/>
    <w:rPr>
      <w:sz w:val="20"/>
      <w:szCs w:val="20"/>
    </w:rPr>
  </w:style>
  <w:style w:type="character" w:customStyle="1" w:styleId="CommentTextChar">
    <w:name w:val="Comment Text Char"/>
    <w:basedOn w:val="DefaultParagraphFont"/>
    <w:link w:val="CommentText"/>
    <w:uiPriority w:val="99"/>
    <w:semiHidden/>
    <w:rsid w:val="007235F1"/>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7235F1"/>
    <w:rPr>
      <w:b/>
      <w:bCs/>
    </w:rPr>
  </w:style>
  <w:style w:type="character" w:customStyle="1" w:styleId="CommentSubjectChar">
    <w:name w:val="Comment Subject Char"/>
    <w:basedOn w:val="CommentTextChar"/>
    <w:link w:val="CommentSubject"/>
    <w:uiPriority w:val="99"/>
    <w:semiHidden/>
    <w:rsid w:val="007235F1"/>
    <w:rPr>
      <w:rFonts w:ascii="Times New Roman" w:eastAsia="Times New Roman" w:hAnsi="Times New Roman" w:cs="Times New Roman"/>
      <w:b/>
      <w:bCs/>
      <w:sz w:val="20"/>
      <w:szCs w:val="20"/>
      <w:lang w:eastAsia="nl-NL"/>
    </w:rPr>
  </w:style>
  <w:style w:type="character" w:customStyle="1" w:styleId="citation-publication-date">
    <w:name w:val="citation-publication-date"/>
    <w:basedOn w:val="DefaultParagraphFont"/>
    <w:rsid w:val="00F53BD5"/>
  </w:style>
  <w:style w:type="character" w:customStyle="1" w:styleId="name">
    <w:name w:val="name"/>
    <w:basedOn w:val="DefaultParagraphFont"/>
    <w:rsid w:val="00455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521">
      <w:bodyDiv w:val="1"/>
      <w:marLeft w:val="0"/>
      <w:marRight w:val="0"/>
      <w:marTop w:val="0"/>
      <w:marBottom w:val="0"/>
      <w:divBdr>
        <w:top w:val="none" w:sz="0" w:space="0" w:color="auto"/>
        <w:left w:val="none" w:sz="0" w:space="0" w:color="auto"/>
        <w:bottom w:val="none" w:sz="0" w:space="0" w:color="auto"/>
        <w:right w:val="none" w:sz="0" w:space="0" w:color="auto"/>
      </w:divBdr>
      <w:divsChild>
        <w:div w:id="1067193172">
          <w:marLeft w:val="0"/>
          <w:marRight w:val="1"/>
          <w:marTop w:val="0"/>
          <w:marBottom w:val="0"/>
          <w:divBdr>
            <w:top w:val="none" w:sz="0" w:space="0" w:color="auto"/>
            <w:left w:val="none" w:sz="0" w:space="0" w:color="auto"/>
            <w:bottom w:val="none" w:sz="0" w:space="0" w:color="auto"/>
            <w:right w:val="none" w:sz="0" w:space="0" w:color="auto"/>
          </w:divBdr>
          <w:divsChild>
            <w:div w:id="1920021319">
              <w:marLeft w:val="0"/>
              <w:marRight w:val="0"/>
              <w:marTop w:val="0"/>
              <w:marBottom w:val="0"/>
              <w:divBdr>
                <w:top w:val="none" w:sz="0" w:space="0" w:color="auto"/>
                <w:left w:val="none" w:sz="0" w:space="0" w:color="auto"/>
                <w:bottom w:val="none" w:sz="0" w:space="0" w:color="auto"/>
                <w:right w:val="none" w:sz="0" w:space="0" w:color="auto"/>
              </w:divBdr>
              <w:divsChild>
                <w:div w:id="112866194">
                  <w:marLeft w:val="0"/>
                  <w:marRight w:val="1"/>
                  <w:marTop w:val="0"/>
                  <w:marBottom w:val="0"/>
                  <w:divBdr>
                    <w:top w:val="none" w:sz="0" w:space="0" w:color="auto"/>
                    <w:left w:val="none" w:sz="0" w:space="0" w:color="auto"/>
                    <w:bottom w:val="none" w:sz="0" w:space="0" w:color="auto"/>
                    <w:right w:val="none" w:sz="0" w:space="0" w:color="auto"/>
                  </w:divBdr>
                  <w:divsChild>
                    <w:div w:id="798569449">
                      <w:marLeft w:val="0"/>
                      <w:marRight w:val="0"/>
                      <w:marTop w:val="0"/>
                      <w:marBottom w:val="0"/>
                      <w:divBdr>
                        <w:top w:val="none" w:sz="0" w:space="0" w:color="auto"/>
                        <w:left w:val="none" w:sz="0" w:space="0" w:color="auto"/>
                        <w:bottom w:val="none" w:sz="0" w:space="0" w:color="auto"/>
                        <w:right w:val="none" w:sz="0" w:space="0" w:color="auto"/>
                      </w:divBdr>
                      <w:divsChild>
                        <w:div w:id="1709911243">
                          <w:marLeft w:val="0"/>
                          <w:marRight w:val="0"/>
                          <w:marTop w:val="0"/>
                          <w:marBottom w:val="0"/>
                          <w:divBdr>
                            <w:top w:val="none" w:sz="0" w:space="0" w:color="auto"/>
                            <w:left w:val="none" w:sz="0" w:space="0" w:color="auto"/>
                            <w:bottom w:val="none" w:sz="0" w:space="0" w:color="auto"/>
                            <w:right w:val="none" w:sz="0" w:space="0" w:color="auto"/>
                          </w:divBdr>
                          <w:divsChild>
                            <w:div w:id="785657835">
                              <w:marLeft w:val="0"/>
                              <w:marRight w:val="0"/>
                              <w:marTop w:val="0"/>
                              <w:marBottom w:val="0"/>
                              <w:divBdr>
                                <w:top w:val="none" w:sz="0" w:space="0" w:color="auto"/>
                                <w:left w:val="none" w:sz="0" w:space="0" w:color="auto"/>
                                <w:bottom w:val="none" w:sz="0" w:space="0" w:color="auto"/>
                                <w:right w:val="none" w:sz="0" w:space="0" w:color="auto"/>
                              </w:divBdr>
                            </w:div>
                          </w:divsChild>
                        </w:div>
                        <w:div w:id="465633761">
                          <w:marLeft w:val="0"/>
                          <w:marRight w:val="0"/>
                          <w:marTop w:val="0"/>
                          <w:marBottom w:val="0"/>
                          <w:divBdr>
                            <w:top w:val="none" w:sz="0" w:space="0" w:color="auto"/>
                            <w:left w:val="none" w:sz="0" w:space="0" w:color="auto"/>
                            <w:bottom w:val="none" w:sz="0" w:space="0" w:color="auto"/>
                            <w:right w:val="none" w:sz="0" w:space="0" w:color="auto"/>
                          </w:divBdr>
                          <w:divsChild>
                            <w:div w:id="450515230">
                              <w:marLeft w:val="0"/>
                              <w:marRight w:val="0"/>
                              <w:marTop w:val="120"/>
                              <w:marBottom w:val="360"/>
                              <w:divBdr>
                                <w:top w:val="none" w:sz="0" w:space="0" w:color="auto"/>
                                <w:left w:val="none" w:sz="0" w:space="0" w:color="auto"/>
                                <w:bottom w:val="none" w:sz="0" w:space="0" w:color="auto"/>
                                <w:right w:val="none" w:sz="0" w:space="0" w:color="auto"/>
                              </w:divBdr>
                              <w:divsChild>
                                <w:div w:id="2065718107">
                                  <w:marLeft w:val="0"/>
                                  <w:marRight w:val="0"/>
                                  <w:marTop w:val="0"/>
                                  <w:marBottom w:val="0"/>
                                  <w:divBdr>
                                    <w:top w:val="none" w:sz="0" w:space="0" w:color="auto"/>
                                    <w:left w:val="none" w:sz="0" w:space="0" w:color="auto"/>
                                    <w:bottom w:val="none" w:sz="0" w:space="0" w:color="auto"/>
                                    <w:right w:val="none" w:sz="0" w:space="0" w:color="auto"/>
                                  </w:divBdr>
                                </w:div>
                                <w:div w:id="15077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696930780">
      <w:bodyDiv w:val="1"/>
      <w:marLeft w:val="0"/>
      <w:marRight w:val="0"/>
      <w:marTop w:val="0"/>
      <w:marBottom w:val="0"/>
      <w:divBdr>
        <w:top w:val="none" w:sz="0" w:space="0" w:color="auto"/>
        <w:left w:val="none" w:sz="0" w:space="0" w:color="auto"/>
        <w:bottom w:val="none" w:sz="0" w:space="0" w:color="auto"/>
        <w:right w:val="none" w:sz="0" w:space="0" w:color="auto"/>
      </w:divBdr>
    </w:div>
    <w:div w:id="825702750">
      <w:bodyDiv w:val="1"/>
      <w:marLeft w:val="0"/>
      <w:marRight w:val="0"/>
      <w:marTop w:val="0"/>
      <w:marBottom w:val="0"/>
      <w:divBdr>
        <w:top w:val="none" w:sz="0" w:space="0" w:color="auto"/>
        <w:left w:val="none" w:sz="0" w:space="0" w:color="auto"/>
        <w:bottom w:val="none" w:sz="0" w:space="0" w:color="auto"/>
        <w:right w:val="none" w:sz="0" w:space="0" w:color="auto"/>
      </w:divBdr>
      <w:divsChild>
        <w:div w:id="128986040">
          <w:marLeft w:val="0"/>
          <w:marRight w:val="0"/>
          <w:marTop w:val="0"/>
          <w:marBottom w:val="166"/>
          <w:divBdr>
            <w:top w:val="none" w:sz="0" w:space="0" w:color="auto"/>
            <w:left w:val="none" w:sz="0" w:space="0" w:color="auto"/>
            <w:bottom w:val="none" w:sz="0" w:space="0" w:color="auto"/>
            <w:right w:val="none" w:sz="0" w:space="0" w:color="auto"/>
          </w:divBdr>
          <w:divsChild>
            <w:div w:id="1929265530">
              <w:marLeft w:val="0"/>
              <w:marRight w:val="0"/>
              <w:marTop w:val="0"/>
              <w:marBottom w:val="0"/>
              <w:divBdr>
                <w:top w:val="none" w:sz="0" w:space="0" w:color="auto"/>
                <w:left w:val="none" w:sz="0" w:space="0" w:color="auto"/>
                <w:bottom w:val="none" w:sz="0" w:space="0" w:color="auto"/>
                <w:right w:val="none" w:sz="0" w:space="0" w:color="auto"/>
              </w:divBdr>
              <w:divsChild>
                <w:div w:id="2011255487">
                  <w:marLeft w:val="0"/>
                  <w:marRight w:val="0"/>
                  <w:marTop w:val="0"/>
                  <w:marBottom w:val="0"/>
                  <w:divBdr>
                    <w:top w:val="none" w:sz="0" w:space="0" w:color="auto"/>
                    <w:left w:val="none" w:sz="0" w:space="0" w:color="auto"/>
                    <w:bottom w:val="none" w:sz="0" w:space="0" w:color="auto"/>
                    <w:right w:val="none" w:sz="0" w:space="0" w:color="auto"/>
                  </w:divBdr>
                  <w:divsChild>
                    <w:div w:id="1732774729">
                      <w:marLeft w:val="0"/>
                      <w:marRight w:val="0"/>
                      <w:marTop w:val="0"/>
                      <w:marBottom w:val="0"/>
                      <w:divBdr>
                        <w:top w:val="none" w:sz="0" w:space="0" w:color="auto"/>
                        <w:left w:val="none" w:sz="0" w:space="0" w:color="auto"/>
                        <w:bottom w:val="none" w:sz="0" w:space="0" w:color="auto"/>
                        <w:right w:val="none" w:sz="0" w:space="0" w:color="auto"/>
                      </w:divBdr>
                    </w:div>
                    <w:div w:id="79564460">
                      <w:marLeft w:val="0"/>
                      <w:marRight w:val="0"/>
                      <w:marTop w:val="0"/>
                      <w:marBottom w:val="0"/>
                      <w:divBdr>
                        <w:top w:val="none" w:sz="0" w:space="0" w:color="auto"/>
                        <w:left w:val="none" w:sz="0" w:space="0" w:color="auto"/>
                        <w:bottom w:val="none" w:sz="0" w:space="0" w:color="auto"/>
                        <w:right w:val="none" w:sz="0" w:space="0" w:color="auto"/>
                      </w:divBdr>
                    </w:div>
                    <w:div w:id="967474505">
                      <w:marLeft w:val="240"/>
                      <w:marRight w:val="0"/>
                      <w:marTop w:val="0"/>
                      <w:marBottom w:val="0"/>
                      <w:divBdr>
                        <w:top w:val="none" w:sz="0" w:space="0" w:color="auto"/>
                        <w:left w:val="none" w:sz="0" w:space="0" w:color="auto"/>
                        <w:bottom w:val="none" w:sz="0" w:space="0" w:color="auto"/>
                        <w:right w:val="none" w:sz="0" w:space="0" w:color="auto"/>
                      </w:divBdr>
                      <w:divsChild>
                        <w:div w:id="16038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7375">
                  <w:marLeft w:val="0"/>
                  <w:marRight w:val="0"/>
                  <w:marTop w:val="0"/>
                  <w:marBottom w:val="0"/>
                  <w:divBdr>
                    <w:top w:val="none" w:sz="0" w:space="0" w:color="auto"/>
                    <w:left w:val="none" w:sz="0" w:space="0" w:color="auto"/>
                    <w:bottom w:val="none" w:sz="0" w:space="0" w:color="auto"/>
                    <w:right w:val="none" w:sz="0" w:space="0" w:color="auto"/>
                  </w:divBdr>
                  <w:divsChild>
                    <w:div w:id="2040007494">
                      <w:marLeft w:val="0"/>
                      <w:marRight w:val="0"/>
                      <w:marTop w:val="0"/>
                      <w:marBottom w:val="0"/>
                      <w:divBdr>
                        <w:top w:val="none" w:sz="0" w:space="0" w:color="auto"/>
                        <w:left w:val="none" w:sz="0" w:space="0" w:color="auto"/>
                        <w:bottom w:val="none" w:sz="0" w:space="0" w:color="auto"/>
                        <w:right w:val="none" w:sz="0" w:space="0" w:color="auto"/>
                      </w:divBdr>
                    </w:div>
                    <w:div w:id="21463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94547">
          <w:marLeft w:val="0"/>
          <w:marRight w:val="0"/>
          <w:marTop w:val="166"/>
          <w:marBottom w:val="166"/>
          <w:divBdr>
            <w:top w:val="none" w:sz="0" w:space="0" w:color="auto"/>
            <w:left w:val="none" w:sz="0" w:space="0" w:color="auto"/>
            <w:bottom w:val="none" w:sz="0" w:space="0" w:color="auto"/>
            <w:right w:val="none" w:sz="0" w:space="0" w:color="auto"/>
          </w:divBdr>
          <w:divsChild>
            <w:div w:id="1210337104">
              <w:marLeft w:val="0"/>
              <w:marRight w:val="0"/>
              <w:marTop w:val="0"/>
              <w:marBottom w:val="0"/>
              <w:divBdr>
                <w:top w:val="none" w:sz="0" w:space="0" w:color="auto"/>
                <w:left w:val="none" w:sz="0" w:space="0" w:color="auto"/>
                <w:bottom w:val="none" w:sz="0" w:space="0" w:color="auto"/>
                <w:right w:val="none" w:sz="0" w:space="0" w:color="auto"/>
              </w:divBdr>
            </w:div>
          </w:divsChild>
        </w:div>
        <w:div w:id="1792895852">
          <w:marLeft w:val="0"/>
          <w:marRight w:val="0"/>
          <w:marTop w:val="166"/>
          <w:marBottom w:val="166"/>
          <w:divBdr>
            <w:top w:val="none" w:sz="0" w:space="0" w:color="auto"/>
            <w:left w:val="none" w:sz="0" w:space="0" w:color="auto"/>
            <w:bottom w:val="none" w:sz="0" w:space="0" w:color="auto"/>
            <w:right w:val="none" w:sz="0" w:space="0" w:color="auto"/>
          </w:divBdr>
          <w:divsChild>
            <w:div w:id="19153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3346">
      <w:bodyDiv w:val="1"/>
      <w:marLeft w:val="0"/>
      <w:marRight w:val="0"/>
      <w:marTop w:val="0"/>
      <w:marBottom w:val="0"/>
      <w:divBdr>
        <w:top w:val="none" w:sz="0" w:space="0" w:color="auto"/>
        <w:left w:val="none" w:sz="0" w:space="0" w:color="auto"/>
        <w:bottom w:val="none" w:sz="0" w:space="0" w:color="auto"/>
        <w:right w:val="none" w:sz="0" w:space="0" w:color="auto"/>
      </w:divBdr>
    </w:div>
    <w:div w:id="1141338987">
      <w:bodyDiv w:val="1"/>
      <w:marLeft w:val="0"/>
      <w:marRight w:val="0"/>
      <w:marTop w:val="0"/>
      <w:marBottom w:val="0"/>
      <w:divBdr>
        <w:top w:val="none" w:sz="0" w:space="0" w:color="auto"/>
        <w:left w:val="none" w:sz="0" w:space="0" w:color="auto"/>
        <w:bottom w:val="none" w:sz="0" w:space="0" w:color="auto"/>
        <w:right w:val="none" w:sz="0" w:space="0" w:color="auto"/>
      </w:divBdr>
      <w:divsChild>
        <w:div w:id="2021469332">
          <w:marLeft w:val="0"/>
          <w:marRight w:val="1"/>
          <w:marTop w:val="0"/>
          <w:marBottom w:val="0"/>
          <w:divBdr>
            <w:top w:val="none" w:sz="0" w:space="0" w:color="auto"/>
            <w:left w:val="none" w:sz="0" w:space="0" w:color="auto"/>
            <w:bottom w:val="none" w:sz="0" w:space="0" w:color="auto"/>
            <w:right w:val="none" w:sz="0" w:space="0" w:color="auto"/>
          </w:divBdr>
          <w:divsChild>
            <w:div w:id="568928786">
              <w:marLeft w:val="0"/>
              <w:marRight w:val="0"/>
              <w:marTop w:val="0"/>
              <w:marBottom w:val="0"/>
              <w:divBdr>
                <w:top w:val="none" w:sz="0" w:space="0" w:color="auto"/>
                <w:left w:val="none" w:sz="0" w:space="0" w:color="auto"/>
                <w:bottom w:val="none" w:sz="0" w:space="0" w:color="auto"/>
                <w:right w:val="none" w:sz="0" w:space="0" w:color="auto"/>
              </w:divBdr>
              <w:divsChild>
                <w:div w:id="760374103">
                  <w:marLeft w:val="0"/>
                  <w:marRight w:val="1"/>
                  <w:marTop w:val="0"/>
                  <w:marBottom w:val="0"/>
                  <w:divBdr>
                    <w:top w:val="none" w:sz="0" w:space="0" w:color="auto"/>
                    <w:left w:val="none" w:sz="0" w:space="0" w:color="auto"/>
                    <w:bottom w:val="none" w:sz="0" w:space="0" w:color="auto"/>
                    <w:right w:val="none" w:sz="0" w:space="0" w:color="auto"/>
                  </w:divBdr>
                  <w:divsChild>
                    <w:div w:id="2023585458">
                      <w:marLeft w:val="0"/>
                      <w:marRight w:val="0"/>
                      <w:marTop w:val="0"/>
                      <w:marBottom w:val="0"/>
                      <w:divBdr>
                        <w:top w:val="none" w:sz="0" w:space="0" w:color="auto"/>
                        <w:left w:val="none" w:sz="0" w:space="0" w:color="auto"/>
                        <w:bottom w:val="none" w:sz="0" w:space="0" w:color="auto"/>
                        <w:right w:val="none" w:sz="0" w:space="0" w:color="auto"/>
                      </w:divBdr>
                      <w:divsChild>
                        <w:div w:id="1567645566">
                          <w:marLeft w:val="0"/>
                          <w:marRight w:val="0"/>
                          <w:marTop w:val="0"/>
                          <w:marBottom w:val="0"/>
                          <w:divBdr>
                            <w:top w:val="none" w:sz="0" w:space="0" w:color="auto"/>
                            <w:left w:val="none" w:sz="0" w:space="0" w:color="auto"/>
                            <w:bottom w:val="none" w:sz="0" w:space="0" w:color="auto"/>
                            <w:right w:val="none" w:sz="0" w:space="0" w:color="auto"/>
                          </w:divBdr>
                          <w:divsChild>
                            <w:div w:id="1582056368">
                              <w:marLeft w:val="0"/>
                              <w:marRight w:val="0"/>
                              <w:marTop w:val="120"/>
                              <w:marBottom w:val="360"/>
                              <w:divBdr>
                                <w:top w:val="none" w:sz="0" w:space="0" w:color="auto"/>
                                <w:left w:val="none" w:sz="0" w:space="0" w:color="auto"/>
                                <w:bottom w:val="none" w:sz="0" w:space="0" w:color="auto"/>
                                <w:right w:val="none" w:sz="0" w:space="0" w:color="auto"/>
                              </w:divBdr>
                              <w:divsChild>
                                <w:div w:id="346947663">
                                  <w:marLeft w:val="0"/>
                                  <w:marRight w:val="0"/>
                                  <w:marTop w:val="0"/>
                                  <w:marBottom w:val="0"/>
                                  <w:divBdr>
                                    <w:top w:val="none" w:sz="0" w:space="0" w:color="auto"/>
                                    <w:left w:val="none" w:sz="0" w:space="0" w:color="auto"/>
                                    <w:bottom w:val="none" w:sz="0" w:space="0" w:color="auto"/>
                                    <w:right w:val="none" w:sz="0" w:space="0" w:color="auto"/>
                                  </w:divBdr>
                                  <w:divsChild>
                                    <w:div w:id="626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19168">
      <w:bodyDiv w:val="1"/>
      <w:marLeft w:val="0"/>
      <w:marRight w:val="0"/>
      <w:marTop w:val="0"/>
      <w:marBottom w:val="0"/>
      <w:divBdr>
        <w:top w:val="none" w:sz="0" w:space="0" w:color="auto"/>
        <w:left w:val="none" w:sz="0" w:space="0" w:color="auto"/>
        <w:bottom w:val="none" w:sz="0" w:space="0" w:color="auto"/>
        <w:right w:val="none" w:sz="0" w:space="0" w:color="auto"/>
      </w:divBdr>
      <w:divsChild>
        <w:div w:id="1382825226">
          <w:marLeft w:val="0"/>
          <w:marRight w:val="0"/>
          <w:marTop w:val="0"/>
          <w:marBottom w:val="270"/>
          <w:divBdr>
            <w:top w:val="single" w:sz="6" w:space="8" w:color="D3D1D1"/>
            <w:left w:val="single" w:sz="6" w:space="0" w:color="D3D1D1"/>
            <w:bottom w:val="single" w:sz="6" w:space="8" w:color="D3D1D1"/>
            <w:right w:val="single" w:sz="6" w:space="0" w:color="D3D1D1"/>
          </w:divBdr>
          <w:divsChild>
            <w:div w:id="1838030739">
              <w:marLeft w:val="120"/>
              <w:marRight w:val="120"/>
              <w:marTop w:val="0"/>
              <w:marBottom w:val="0"/>
              <w:divBdr>
                <w:top w:val="none" w:sz="0" w:space="0" w:color="auto"/>
                <w:left w:val="none" w:sz="0" w:space="0" w:color="auto"/>
                <w:bottom w:val="none" w:sz="0" w:space="0" w:color="auto"/>
                <w:right w:val="none" w:sz="0" w:space="0" w:color="auto"/>
              </w:divBdr>
              <w:divsChild>
                <w:div w:id="1025669882">
                  <w:marLeft w:val="0"/>
                  <w:marRight w:val="0"/>
                  <w:marTop w:val="0"/>
                  <w:marBottom w:val="0"/>
                  <w:divBdr>
                    <w:top w:val="none" w:sz="0" w:space="0" w:color="auto"/>
                    <w:left w:val="none" w:sz="0" w:space="0" w:color="auto"/>
                    <w:bottom w:val="none" w:sz="0" w:space="0" w:color="auto"/>
                    <w:right w:val="none" w:sz="0" w:space="0" w:color="auto"/>
                  </w:divBdr>
                  <w:divsChild>
                    <w:div w:id="2104302405">
                      <w:marLeft w:val="0"/>
                      <w:marRight w:val="0"/>
                      <w:marTop w:val="0"/>
                      <w:marBottom w:val="0"/>
                      <w:divBdr>
                        <w:top w:val="none" w:sz="0" w:space="0" w:color="auto"/>
                        <w:left w:val="none" w:sz="0" w:space="0" w:color="auto"/>
                        <w:bottom w:val="none" w:sz="0" w:space="0" w:color="auto"/>
                        <w:right w:val="none" w:sz="0" w:space="0" w:color="auto"/>
                      </w:divBdr>
                      <w:divsChild>
                        <w:div w:id="1161656158">
                          <w:marLeft w:val="0"/>
                          <w:marRight w:val="0"/>
                          <w:marTop w:val="0"/>
                          <w:marBottom w:val="0"/>
                          <w:divBdr>
                            <w:top w:val="none" w:sz="0" w:space="0" w:color="auto"/>
                            <w:left w:val="none" w:sz="0" w:space="0" w:color="auto"/>
                            <w:bottom w:val="none" w:sz="0" w:space="0" w:color="auto"/>
                            <w:right w:val="none" w:sz="0" w:space="0" w:color="auto"/>
                          </w:divBdr>
                          <w:divsChild>
                            <w:div w:id="8217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432541">
      <w:bodyDiv w:val="1"/>
      <w:marLeft w:val="0"/>
      <w:marRight w:val="0"/>
      <w:marTop w:val="0"/>
      <w:marBottom w:val="0"/>
      <w:divBdr>
        <w:top w:val="none" w:sz="0" w:space="0" w:color="auto"/>
        <w:left w:val="none" w:sz="0" w:space="0" w:color="auto"/>
        <w:bottom w:val="none" w:sz="0" w:space="0" w:color="auto"/>
        <w:right w:val="none" w:sz="0" w:space="0" w:color="auto"/>
      </w:divBdr>
    </w:div>
    <w:div w:id="1389839096">
      <w:bodyDiv w:val="1"/>
      <w:marLeft w:val="0"/>
      <w:marRight w:val="0"/>
      <w:marTop w:val="0"/>
      <w:marBottom w:val="0"/>
      <w:divBdr>
        <w:top w:val="none" w:sz="0" w:space="0" w:color="auto"/>
        <w:left w:val="none" w:sz="0" w:space="0" w:color="auto"/>
        <w:bottom w:val="none" w:sz="0" w:space="0" w:color="auto"/>
        <w:right w:val="none" w:sz="0" w:space="0" w:color="auto"/>
      </w:divBdr>
    </w:div>
    <w:div w:id="1411587273">
      <w:bodyDiv w:val="1"/>
      <w:marLeft w:val="0"/>
      <w:marRight w:val="0"/>
      <w:marTop w:val="0"/>
      <w:marBottom w:val="0"/>
      <w:divBdr>
        <w:top w:val="none" w:sz="0" w:space="0" w:color="auto"/>
        <w:left w:val="none" w:sz="0" w:space="0" w:color="auto"/>
        <w:bottom w:val="none" w:sz="0" w:space="0" w:color="auto"/>
        <w:right w:val="none" w:sz="0" w:space="0" w:color="auto"/>
      </w:divBdr>
    </w:div>
    <w:div w:id="1587766406">
      <w:bodyDiv w:val="1"/>
      <w:marLeft w:val="0"/>
      <w:marRight w:val="0"/>
      <w:marTop w:val="0"/>
      <w:marBottom w:val="0"/>
      <w:divBdr>
        <w:top w:val="none" w:sz="0" w:space="0" w:color="auto"/>
        <w:left w:val="none" w:sz="0" w:space="0" w:color="auto"/>
        <w:bottom w:val="none" w:sz="0" w:space="0" w:color="auto"/>
        <w:right w:val="none" w:sz="0" w:space="0" w:color="auto"/>
      </w:divBdr>
    </w:div>
    <w:div w:id="1699162942">
      <w:bodyDiv w:val="1"/>
      <w:marLeft w:val="0"/>
      <w:marRight w:val="0"/>
      <w:marTop w:val="0"/>
      <w:marBottom w:val="0"/>
      <w:divBdr>
        <w:top w:val="none" w:sz="0" w:space="0" w:color="auto"/>
        <w:left w:val="none" w:sz="0" w:space="0" w:color="auto"/>
        <w:bottom w:val="none" w:sz="0" w:space="0" w:color="auto"/>
        <w:right w:val="none" w:sz="0" w:space="0" w:color="auto"/>
      </w:divBdr>
      <w:divsChild>
        <w:div w:id="1930191474">
          <w:marLeft w:val="0"/>
          <w:marRight w:val="1"/>
          <w:marTop w:val="0"/>
          <w:marBottom w:val="0"/>
          <w:divBdr>
            <w:top w:val="none" w:sz="0" w:space="0" w:color="auto"/>
            <w:left w:val="none" w:sz="0" w:space="0" w:color="auto"/>
            <w:bottom w:val="none" w:sz="0" w:space="0" w:color="auto"/>
            <w:right w:val="none" w:sz="0" w:space="0" w:color="auto"/>
          </w:divBdr>
          <w:divsChild>
            <w:div w:id="942419350">
              <w:marLeft w:val="0"/>
              <w:marRight w:val="0"/>
              <w:marTop w:val="0"/>
              <w:marBottom w:val="0"/>
              <w:divBdr>
                <w:top w:val="none" w:sz="0" w:space="0" w:color="auto"/>
                <w:left w:val="none" w:sz="0" w:space="0" w:color="auto"/>
                <w:bottom w:val="none" w:sz="0" w:space="0" w:color="auto"/>
                <w:right w:val="none" w:sz="0" w:space="0" w:color="auto"/>
              </w:divBdr>
              <w:divsChild>
                <w:div w:id="1187014228">
                  <w:marLeft w:val="0"/>
                  <w:marRight w:val="1"/>
                  <w:marTop w:val="0"/>
                  <w:marBottom w:val="0"/>
                  <w:divBdr>
                    <w:top w:val="none" w:sz="0" w:space="0" w:color="auto"/>
                    <w:left w:val="none" w:sz="0" w:space="0" w:color="auto"/>
                    <w:bottom w:val="none" w:sz="0" w:space="0" w:color="auto"/>
                    <w:right w:val="none" w:sz="0" w:space="0" w:color="auto"/>
                  </w:divBdr>
                  <w:divsChild>
                    <w:div w:id="626743894">
                      <w:marLeft w:val="0"/>
                      <w:marRight w:val="0"/>
                      <w:marTop w:val="0"/>
                      <w:marBottom w:val="0"/>
                      <w:divBdr>
                        <w:top w:val="none" w:sz="0" w:space="0" w:color="auto"/>
                        <w:left w:val="none" w:sz="0" w:space="0" w:color="auto"/>
                        <w:bottom w:val="none" w:sz="0" w:space="0" w:color="auto"/>
                        <w:right w:val="none" w:sz="0" w:space="0" w:color="auto"/>
                      </w:divBdr>
                      <w:divsChild>
                        <w:div w:id="1027409701">
                          <w:marLeft w:val="0"/>
                          <w:marRight w:val="0"/>
                          <w:marTop w:val="0"/>
                          <w:marBottom w:val="0"/>
                          <w:divBdr>
                            <w:top w:val="none" w:sz="0" w:space="0" w:color="auto"/>
                            <w:left w:val="none" w:sz="0" w:space="0" w:color="auto"/>
                            <w:bottom w:val="none" w:sz="0" w:space="0" w:color="auto"/>
                            <w:right w:val="none" w:sz="0" w:space="0" w:color="auto"/>
                          </w:divBdr>
                          <w:divsChild>
                            <w:div w:id="409349835">
                              <w:marLeft w:val="0"/>
                              <w:marRight w:val="0"/>
                              <w:marTop w:val="120"/>
                              <w:marBottom w:val="360"/>
                              <w:divBdr>
                                <w:top w:val="none" w:sz="0" w:space="0" w:color="auto"/>
                                <w:left w:val="none" w:sz="0" w:space="0" w:color="auto"/>
                                <w:bottom w:val="none" w:sz="0" w:space="0" w:color="auto"/>
                                <w:right w:val="none" w:sz="0" w:space="0" w:color="auto"/>
                              </w:divBdr>
                              <w:divsChild>
                                <w:div w:id="1566450080">
                                  <w:marLeft w:val="420"/>
                                  <w:marRight w:val="0"/>
                                  <w:marTop w:val="0"/>
                                  <w:marBottom w:val="0"/>
                                  <w:divBdr>
                                    <w:top w:val="none" w:sz="0" w:space="0" w:color="auto"/>
                                    <w:left w:val="none" w:sz="0" w:space="0" w:color="auto"/>
                                    <w:bottom w:val="none" w:sz="0" w:space="0" w:color="auto"/>
                                    <w:right w:val="none" w:sz="0" w:space="0" w:color="auto"/>
                                  </w:divBdr>
                                  <w:divsChild>
                                    <w:div w:id="153264867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972096">
      <w:bodyDiv w:val="1"/>
      <w:marLeft w:val="0"/>
      <w:marRight w:val="0"/>
      <w:marTop w:val="0"/>
      <w:marBottom w:val="0"/>
      <w:divBdr>
        <w:top w:val="none" w:sz="0" w:space="0" w:color="auto"/>
        <w:left w:val="none" w:sz="0" w:space="0" w:color="auto"/>
        <w:bottom w:val="none" w:sz="0" w:space="0" w:color="auto"/>
        <w:right w:val="none" w:sz="0" w:space="0" w:color="auto"/>
      </w:divBdr>
      <w:divsChild>
        <w:div w:id="1852375088">
          <w:marLeft w:val="0"/>
          <w:marRight w:val="0"/>
          <w:marTop w:val="34"/>
          <w:marBottom w:val="34"/>
          <w:divBdr>
            <w:top w:val="none" w:sz="0" w:space="0" w:color="auto"/>
            <w:left w:val="none" w:sz="0" w:space="0" w:color="auto"/>
            <w:bottom w:val="none" w:sz="0" w:space="0" w:color="auto"/>
            <w:right w:val="none" w:sz="0" w:space="0" w:color="auto"/>
          </w:divBdr>
          <w:divsChild>
            <w:div w:id="1787457158">
              <w:marLeft w:val="0"/>
              <w:marRight w:val="0"/>
              <w:marTop w:val="0"/>
              <w:marBottom w:val="0"/>
              <w:divBdr>
                <w:top w:val="none" w:sz="0" w:space="0" w:color="auto"/>
                <w:left w:val="none" w:sz="0" w:space="0" w:color="auto"/>
                <w:bottom w:val="none" w:sz="0" w:space="0" w:color="auto"/>
                <w:right w:val="none" w:sz="0" w:space="0" w:color="auto"/>
              </w:divBdr>
            </w:div>
            <w:div w:id="667903413">
              <w:marLeft w:val="0"/>
              <w:marRight w:val="0"/>
              <w:marTop w:val="0"/>
              <w:marBottom w:val="0"/>
              <w:divBdr>
                <w:top w:val="none" w:sz="0" w:space="0" w:color="auto"/>
                <w:left w:val="none" w:sz="0" w:space="0" w:color="auto"/>
                <w:bottom w:val="none" w:sz="0" w:space="0" w:color="auto"/>
                <w:right w:val="none" w:sz="0" w:space="0" w:color="auto"/>
              </w:divBdr>
            </w:div>
          </w:divsChild>
        </w:div>
        <w:div w:id="1093279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33230-FB0B-4D57-93B1-4C1A472F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6351</Words>
  <Characters>36207</Characters>
  <Application>Microsoft Office Word</Application>
  <DocSecurity>4</DocSecurity>
  <Lines>301</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 medisch centrum</Company>
  <LinksUpToDate>false</LinksUpToDate>
  <CharactersWithSpaces>42474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Timmermans, Erik</dc:creator>
  <cp:lastModifiedBy>Karen Drake</cp:lastModifiedBy>
  <cp:revision>2</cp:revision>
  <cp:lastPrinted>2016-06-27T08:36:00Z</cp:lastPrinted>
  <dcterms:created xsi:type="dcterms:W3CDTF">2016-12-02T11:03:00Z</dcterms:created>
  <dcterms:modified xsi:type="dcterms:W3CDTF">2016-12-02T11:03:00Z</dcterms:modified>
</cp:coreProperties>
</file>