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C8" w:rsidRPr="003C7547" w:rsidRDefault="006559C8" w:rsidP="006559C8">
      <w:pPr>
        <w:rPr>
          <w:rFonts w:ascii="Arial" w:hAnsi="Arial" w:cs="Arial"/>
          <w:b/>
        </w:rPr>
      </w:pPr>
      <w:r w:rsidRPr="003C7547">
        <w:rPr>
          <w:rFonts w:ascii="Arial" w:hAnsi="Arial" w:cs="Arial"/>
          <w:b/>
        </w:rPr>
        <w:t>Increased Prevalence of Potential Right-to-Left Shunting in Children with</w:t>
      </w:r>
      <w:r w:rsidR="00F51BB4" w:rsidRPr="003C7547">
        <w:rPr>
          <w:rFonts w:ascii="Arial" w:hAnsi="Arial" w:cs="Arial"/>
          <w:b/>
        </w:rPr>
        <w:t xml:space="preserve"> Sickle Cell </w:t>
      </w:r>
      <w:r w:rsidR="003D220B" w:rsidRPr="003C7547">
        <w:rPr>
          <w:rFonts w:ascii="Arial" w:hAnsi="Arial" w:cs="Arial"/>
          <w:b/>
        </w:rPr>
        <w:t xml:space="preserve">Anemia </w:t>
      </w:r>
      <w:r w:rsidR="00F51BB4" w:rsidRPr="003C7547">
        <w:rPr>
          <w:rFonts w:ascii="Arial" w:hAnsi="Arial" w:cs="Arial"/>
          <w:b/>
        </w:rPr>
        <w:t>and Stroke</w:t>
      </w:r>
    </w:p>
    <w:p w:rsidR="001141C7" w:rsidRPr="003C7547" w:rsidRDefault="006559C8" w:rsidP="006559C8">
      <w:pPr>
        <w:spacing w:after="0" w:line="240" w:lineRule="auto"/>
        <w:rPr>
          <w:rFonts w:ascii="Arial" w:hAnsi="Arial" w:cs="Arial"/>
        </w:rPr>
      </w:pPr>
      <w:r w:rsidRPr="003C7547">
        <w:rPr>
          <w:rFonts w:ascii="Arial" w:hAnsi="Arial" w:cs="Arial"/>
        </w:rPr>
        <w:t>Michael M Dowling, MD, PhD, MSCS</w:t>
      </w:r>
      <w:r w:rsidR="00837F81" w:rsidRPr="003C7547">
        <w:rPr>
          <w:rFonts w:ascii="Arial" w:hAnsi="Arial" w:cs="Arial"/>
          <w:vertAlign w:val="superscript"/>
        </w:rPr>
        <w:t>1</w:t>
      </w:r>
    </w:p>
    <w:p w:rsidR="0027294F" w:rsidRPr="003C7547" w:rsidRDefault="0027294F" w:rsidP="006559C8">
      <w:pPr>
        <w:spacing w:after="0" w:line="240" w:lineRule="auto"/>
        <w:rPr>
          <w:rFonts w:ascii="Arial" w:hAnsi="Arial" w:cs="Arial"/>
        </w:rPr>
      </w:pPr>
      <w:r w:rsidRPr="003C7547">
        <w:rPr>
          <w:rFonts w:ascii="Arial" w:hAnsi="Arial" w:cs="Arial"/>
        </w:rPr>
        <w:t>Charles T Quinn, MD, MS</w:t>
      </w:r>
      <w:r w:rsidRPr="003C7547">
        <w:rPr>
          <w:rFonts w:ascii="Arial" w:hAnsi="Arial" w:cs="Arial"/>
          <w:vertAlign w:val="superscript"/>
        </w:rPr>
        <w:t>2</w:t>
      </w:r>
    </w:p>
    <w:p w:rsidR="001141C7" w:rsidRPr="003C7547" w:rsidRDefault="006559C8" w:rsidP="006559C8">
      <w:pPr>
        <w:spacing w:after="0" w:line="240" w:lineRule="auto"/>
        <w:rPr>
          <w:rFonts w:ascii="Arial" w:hAnsi="Arial" w:cs="Arial"/>
        </w:rPr>
      </w:pPr>
      <w:r w:rsidRPr="003C7547">
        <w:rPr>
          <w:rFonts w:ascii="Arial" w:hAnsi="Arial" w:cs="Arial"/>
        </w:rPr>
        <w:t>Claudio Ramaciotti, MD</w:t>
      </w:r>
      <w:r w:rsidR="0027294F" w:rsidRPr="003C7547">
        <w:rPr>
          <w:rFonts w:ascii="Arial" w:hAnsi="Arial" w:cs="Arial"/>
          <w:vertAlign w:val="superscript"/>
        </w:rPr>
        <w:t>3</w:t>
      </w:r>
    </w:p>
    <w:p w:rsidR="0027294F" w:rsidRPr="003C7547" w:rsidRDefault="006559C8" w:rsidP="006559C8">
      <w:pPr>
        <w:spacing w:after="0" w:line="240" w:lineRule="auto"/>
        <w:rPr>
          <w:rFonts w:ascii="Arial" w:hAnsi="Arial" w:cs="Arial"/>
        </w:rPr>
      </w:pPr>
      <w:r w:rsidRPr="003C7547">
        <w:rPr>
          <w:rFonts w:ascii="Arial" w:hAnsi="Arial" w:cs="Arial"/>
        </w:rPr>
        <w:t>Julie Kanter, MD</w:t>
      </w:r>
      <w:r w:rsidR="0027294F" w:rsidRPr="003C7547">
        <w:rPr>
          <w:rFonts w:ascii="Arial" w:hAnsi="Arial" w:cs="Arial"/>
          <w:vertAlign w:val="superscript"/>
        </w:rPr>
        <w:t>4</w:t>
      </w:r>
      <w:r w:rsidRPr="003C7547">
        <w:rPr>
          <w:rFonts w:ascii="Arial" w:hAnsi="Arial" w:cs="Arial"/>
        </w:rPr>
        <w:t>,</w:t>
      </w:r>
    </w:p>
    <w:p w:rsidR="006559C8" w:rsidRPr="003C7547" w:rsidRDefault="006559C8" w:rsidP="006559C8">
      <w:pPr>
        <w:spacing w:after="0" w:line="240" w:lineRule="auto"/>
        <w:rPr>
          <w:rFonts w:ascii="Arial" w:hAnsi="Arial" w:cs="Arial"/>
        </w:rPr>
      </w:pPr>
      <w:r w:rsidRPr="003C7547">
        <w:rPr>
          <w:rFonts w:ascii="Arial" w:hAnsi="Arial" w:cs="Arial"/>
        </w:rPr>
        <w:t>Ifeyinwa Osunkwo, MD, MPH</w:t>
      </w:r>
      <w:r w:rsidR="0027294F" w:rsidRPr="003C7547">
        <w:rPr>
          <w:rFonts w:ascii="Arial" w:hAnsi="Arial" w:cs="Arial"/>
          <w:vertAlign w:val="superscript"/>
        </w:rPr>
        <w:t>5</w:t>
      </w:r>
    </w:p>
    <w:p w:rsidR="006559C8" w:rsidRPr="003C7547" w:rsidRDefault="006559C8" w:rsidP="006559C8">
      <w:pPr>
        <w:spacing w:after="0" w:line="240" w:lineRule="auto"/>
        <w:rPr>
          <w:rFonts w:ascii="Arial" w:hAnsi="Arial" w:cs="Arial"/>
        </w:rPr>
      </w:pPr>
      <w:r w:rsidRPr="003C7547">
        <w:rPr>
          <w:rFonts w:ascii="Arial" w:hAnsi="Arial" w:cs="Arial"/>
        </w:rPr>
        <w:t>Baba Inusa, MBBS, FMCPaed, FRCPCH, MRCP, DCP</w:t>
      </w:r>
      <w:r w:rsidR="0027294F" w:rsidRPr="003C7547">
        <w:rPr>
          <w:rFonts w:ascii="Arial" w:hAnsi="Arial" w:cs="Arial"/>
          <w:vertAlign w:val="superscript"/>
        </w:rPr>
        <w:t>6</w:t>
      </w:r>
    </w:p>
    <w:p w:rsidR="006559C8" w:rsidRPr="003C7547" w:rsidRDefault="006559C8" w:rsidP="006559C8">
      <w:pPr>
        <w:spacing w:after="0" w:line="240" w:lineRule="auto"/>
        <w:rPr>
          <w:rFonts w:ascii="Arial" w:hAnsi="Arial" w:cs="Arial"/>
        </w:rPr>
      </w:pPr>
      <w:r w:rsidRPr="003C7547">
        <w:rPr>
          <w:rFonts w:ascii="Arial" w:hAnsi="Arial" w:cs="Arial"/>
        </w:rPr>
        <w:t>Rathi Iyer, MD</w:t>
      </w:r>
      <w:r w:rsidR="0027294F" w:rsidRPr="003C7547">
        <w:rPr>
          <w:rFonts w:ascii="Arial" w:hAnsi="Arial" w:cs="Arial"/>
          <w:vertAlign w:val="superscript"/>
        </w:rPr>
        <w:t>7</w:t>
      </w:r>
    </w:p>
    <w:p w:rsidR="006559C8" w:rsidRPr="003C7547" w:rsidRDefault="006559C8" w:rsidP="006559C8">
      <w:pPr>
        <w:spacing w:after="0" w:line="240" w:lineRule="auto"/>
        <w:rPr>
          <w:rFonts w:ascii="Arial" w:hAnsi="Arial" w:cs="Arial"/>
        </w:rPr>
      </w:pPr>
      <w:r w:rsidRPr="003C7547">
        <w:rPr>
          <w:rFonts w:ascii="Arial" w:hAnsi="Arial" w:cs="Arial"/>
        </w:rPr>
        <w:t xml:space="preserve">Janet </w:t>
      </w:r>
      <w:r w:rsidR="00EC30F5" w:rsidRPr="003C7547">
        <w:rPr>
          <w:rFonts w:ascii="Arial" w:hAnsi="Arial" w:cs="Arial"/>
        </w:rPr>
        <w:t xml:space="preserve">L </w:t>
      </w:r>
      <w:r w:rsidRPr="003C7547">
        <w:rPr>
          <w:rFonts w:ascii="Arial" w:hAnsi="Arial" w:cs="Arial"/>
        </w:rPr>
        <w:t>Kwiatkowski, MD, MSCE</w:t>
      </w:r>
      <w:r w:rsidR="0027294F" w:rsidRPr="003C7547">
        <w:rPr>
          <w:rFonts w:ascii="Arial" w:hAnsi="Arial" w:cs="Arial"/>
          <w:vertAlign w:val="superscript"/>
        </w:rPr>
        <w:t>8</w:t>
      </w:r>
      <w:r w:rsidRPr="003C7547">
        <w:rPr>
          <w:rFonts w:ascii="Arial" w:hAnsi="Arial" w:cs="Arial"/>
        </w:rPr>
        <w:t xml:space="preserve"> </w:t>
      </w:r>
    </w:p>
    <w:p w:rsidR="006559C8" w:rsidRPr="003C7547" w:rsidRDefault="006559C8" w:rsidP="006559C8">
      <w:pPr>
        <w:spacing w:after="0" w:line="240" w:lineRule="auto"/>
        <w:rPr>
          <w:rFonts w:ascii="Arial" w:hAnsi="Arial" w:cs="Arial"/>
        </w:rPr>
      </w:pPr>
      <w:r w:rsidRPr="003C7547">
        <w:rPr>
          <w:rFonts w:ascii="Arial" w:hAnsi="Arial" w:cs="Arial"/>
        </w:rPr>
        <w:t>Clarissa Johnson, MD</w:t>
      </w:r>
      <w:r w:rsidR="0027294F" w:rsidRPr="003C7547">
        <w:rPr>
          <w:rFonts w:ascii="Arial" w:hAnsi="Arial" w:cs="Arial"/>
          <w:vertAlign w:val="superscript"/>
        </w:rPr>
        <w:t>9</w:t>
      </w:r>
    </w:p>
    <w:p w:rsidR="006559C8" w:rsidRPr="003C7547" w:rsidRDefault="006559C8" w:rsidP="006559C8">
      <w:pPr>
        <w:spacing w:after="0" w:line="240" w:lineRule="auto"/>
        <w:rPr>
          <w:rFonts w:ascii="Arial" w:hAnsi="Arial" w:cs="Arial"/>
        </w:rPr>
      </w:pPr>
      <w:r w:rsidRPr="003C7547">
        <w:rPr>
          <w:rFonts w:ascii="Arial" w:hAnsi="Arial" w:cs="Arial"/>
        </w:rPr>
        <w:t>Melissa Rhodes, MD</w:t>
      </w:r>
      <w:r w:rsidR="0027294F" w:rsidRPr="003C7547">
        <w:rPr>
          <w:rFonts w:ascii="Arial" w:hAnsi="Arial" w:cs="Arial"/>
          <w:vertAlign w:val="superscript"/>
        </w:rPr>
        <w:t>10</w:t>
      </w:r>
    </w:p>
    <w:p w:rsidR="006559C8" w:rsidRPr="003C7547" w:rsidRDefault="006559C8" w:rsidP="006559C8">
      <w:pPr>
        <w:spacing w:after="0" w:line="240" w:lineRule="auto"/>
        <w:rPr>
          <w:rFonts w:ascii="Arial" w:hAnsi="Arial" w:cs="Arial"/>
        </w:rPr>
      </w:pPr>
      <w:r w:rsidRPr="003C7547">
        <w:rPr>
          <w:rFonts w:ascii="Arial" w:hAnsi="Arial" w:cs="Arial"/>
        </w:rPr>
        <w:t>William Owen, MD</w:t>
      </w:r>
      <w:r w:rsidR="0027294F" w:rsidRPr="003C7547">
        <w:rPr>
          <w:rFonts w:ascii="Arial" w:hAnsi="Arial" w:cs="Arial"/>
          <w:vertAlign w:val="superscript"/>
        </w:rPr>
        <w:t>11</w:t>
      </w:r>
    </w:p>
    <w:p w:rsidR="006559C8" w:rsidRPr="003C7547" w:rsidRDefault="006559C8" w:rsidP="006559C8">
      <w:pPr>
        <w:spacing w:after="0" w:line="240" w:lineRule="auto"/>
        <w:rPr>
          <w:rFonts w:ascii="Arial" w:hAnsi="Arial" w:cs="Arial"/>
        </w:rPr>
      </w:pPr>
      <w:r w:rsidRPr="003C7547">
        <w:rPr>
          <w:rFonts w:ascii="Arial" w:hAnsi="Arial" w:cs="Arial"/>
        </w:rPr>
        <w:t>John J (JJ) Strouse, MD, PhD</w:t>
      </w:r>
      <w:r w:rsidR="0027294F" w:rsidRPr="003C7547">
        <w:rPr>
          <w:rFonts w:ascii="Arial" w:hAnsi="Arial" w:cs="Arial"/>
          <w:vertAlign w:val="superscript"/>
        </w:rPr>
        <w:t>12</w:t>
      </w:r>
      <w:r w:rsidRPr="003C7547">
        <w:rPr>
          <w:rFonts w:ascii="Arial" w:hAnsi="Arial" w:cs="Arial"/>
        </w:rPr>
        <w:t xml:space="preserve"> </w:t>
      </w:r>
    </w:p>
    <w:p w:rsidR="006559C8" w:rsidRPr="003C7547" w:rsidRDefault="006559C8" w:rsidP="006559C8">
      <w:pPr>
        <w:spacing w:after="0" w:line="240" w:lineRule="auto"/>
        <w:rPr>
          <w:rFonts w:ascii="Arial" w:hAnsi="Arial" w:cs="Arial"/>
        </w:rPr>
      </w:pPr>
      <w:r w:rsidRPr="003C7547">
        <w:rPr>
          <w:rFonts w:ascii="Arial" w:hAnsi="Arial" w:cs="Arial"/>
        </w:rPr>
        <w:t>Julie A Panepinto, MD, MSPH</w:t>
      </w:r>
      <w:r w:rsidR="0027294F" w:rsidRPr="003C7547">
        <w:rPr>
          <w:rFonts w:ascii="Arial" w:hAnsi="Arial" w:cs="Arial"/>
          <w:vertAlign w:val="superscript"/>
        </w:rPr>
        <w:t>13</w:t>
      </w:r>
      <w:r w:rsidRPr="003C7547">
        <w:rPr>
          <w:rFonts w:ascii="Arial" w:hAnsi="Arial" w:cs="Arial"/>
        </w:rPr>
        <w:t xml:space="preserve"> </w:t>
      </w:r>
    </w:p>
    <w:p w:rsidR="006559C8" w:rsidRPr="003C7547" w:rsidRDefault="006559C8" w:rsidP="006559C8">
      <w:pPr>
        <w:spacing w:after="0" w:line="240" w:lineRule="auto"/>
        <w:rPr>
          <w:rFonts w:ascii="Arial" w:hAnsi="Arial" w:cs="Arial"/>
        </w:rPr>
      </w:pPr>
      <w:r w:rsidRPr="003C7547">
        <w:rPr>
          <w:rFonts w:ascii="Arial" w:hAnsi="Arial" w:cs="Arial"/>
        </w:rPr>
        <w:t>Lynne Neumayr, MD</w:t>
      </w:r>
      <w:r w:rsidR="00837F81" w:rsidRPr="003C7547">
        <w:rPr>
          <w:rFonts w:ascii="Arial" w:hAnsi="Arial" w:cs="Arial"/>
          <w:vertAlign w:val="superscript"/>
        </w:rPr>
        <w:t>1</w:t>
      </w:r>
      <w:r w:rsidR="0027294F" w:rsidRPr="003C7547">
        <w:rPr>
          <w:rFonts w:ascii="Arial" w:hAnsi="Arial" w:cs="Arial"/>
          <w:vertAlign w:val="superscript"/>
        </w:rPr>
        <w:t>4</w:t>
      </w:r>
    </w:p>
    <w:p w:rsidR="006559C8" w:rsidRPr="003C7547" w:rsidRDefault="006559C8" w:rsidP="006559C8">
      <w:pPr>
        <w:spacing w:after="0" w:line="240" w:lineRule="auto"/>
        <w:rPr>
          <w:rFonts w:ascii="Arial" w:hAnsi="Arial" w:cs="Arial"/>
        </w:rPr>
      </w:pPr>
      <w:r w:rsidRPr="003C7547">
        <w:rPr>
          <w:rFonts w:ascii="Arial" w:hAnsi="Arial" w:cs="Arial"/>
        </w:rPr>
        <w:t>Sharada Sarnaik, MD</w:t>
      </w:r>
      <w:r w:rsidR="0027294F" w:rsidRPr="003C7547">
        <w:rPr>
          <w:rFonts w:ascii="Arial" w:hAnsi="Arial" w:cs="Arial"/>
          <w:vertAlign w:val="superscript"/>
        </w:rPr>
        <w:t>15</w:t>
      </w:r>
      <w:r w:rsidRPr="003C7547">
        <w:rPr>
          <w:rFonts w:ascii="Arial" w:hAnsi="Arial" w:cs="Arial"/>
        </w:rPr>
        <w:t xml:space="preserve"> </w:t>
      </w:r>
    </w:p>
    <w:p w:rsidR="006559C8" w:rsidRPr="003C7547" w:rsidRDefault="006559C8" w:rsidP="006559C8">
      <w:pPr>
        <w:spacing w:after="0" w:line="240" w:lineRule="auto"/>
        <w:rPr>
          <w:rFonts w:ascii="Arial" w:hAnsi="Arial" w:cs="Arial"/>
        </w:rPr>
      </w:pPr>
      <w:r w:rsidRPr="003C7547">
        <w:rPr>
          <w:rFonts w:ascii="Arial" w:hAnsi="Arial" w:cs="Arial"/>
        </w:rPr>
        <w:t xml:space="preserve">Patricia </w:t>
      </w:r>
      <w:r w:rsidR="00306410" w:rsidRPr="003C7547">
        <w:rPr>
          <w:rFonts w:ascii="Arial" w:hAnsi="Arial" w:cs="Arial"/>
        </w:rPr>
        <w:t xml:space="preserve">A. </w:t>
      </w:r>
      <w:r w:rsidRPr="003C7547">
        <w:rPr>
          <w:rFonts w:ascii="Arial" w:hAnsi="Arial" w:cs="Arial"/>
        </w:rPr>
        <w:t>Plumb, RN, MSN</w:t>
      </w:r>
      <w:r w:rsidR="0027294F" w:rsidRPr="003C7547">
        <w:rPr>
          <w:rFonts w:ascii="Arial" w:hAnsi="Arial" w:cs="Arial"/>
          <w:vertAlign w:val="superscript"/>
        </w:rPr>
        <w:t>16</w:t>
      </w:r>
    </w:p>
    <w:p w:rsidR="00171556" w:rsidRPr="003C7547" w:rsidRDefault="00171556" w:rsidP="00171556">
      <w:pPr>
        <w:spacing w:after="0" w:line="240" w:lineRule="auto"/>
        <w:rPr>
          <w:rFonts w:ascii="Arial" w:hAnsi="Arial" w:cs="Arial"/>
        </w:rPr>
      </w:pPr>
      <w:r w:rsidRPr="003C7547">
        <w:rPr>
          <w:rFonts w:ascii="Arial" w:hAnsi="Arial" w:cs="Arial"/>
        </w:rPr>
        <w:t>Nomazulu Dlamini, MBBS, MRCPCh, MSc</w:t>
      </w:r>
      <w:r w:rsidRPr="003C7547">
        <w:rPr>
          <w:rFonts w:ascii="Arial" w:hAnsi="Arial" w:cs="Arial"/>
          <w:vertAlign w:val="superscript"/>
        </w:rPr>
        <w:t>17</w:t>
      </w:r>
    </w:p>
    <w:p w:rsidR="0027294F" w:rsidRPr="003C7547" w:rsidRDefault="006559C8" w:rsidP="006559C8">
      <w:pPr>
        <w:spacing w:after="0" w:line="240" w:lineRule="auto"/>
        <w:rPr>
          <w:rFonts w:ascii="Arial" w:hAnsi="Arial" w:cs="Arial"/>
        </w:rPr>
      </w:pPr>
      <w:r w:rsidRPr="003C7547">
        <w:rPr>
          <w:rFonts w:ascii="Arial" w:hAnsi="Arial" w:cs="Arial"/>
        </w:rPr>
        <w:t>Fenella Kirkham, MD, FRCP, FRCPC</w:t>
      </w:r>
      <w:r w:rsidR="009E4837" w:rsidRPr="003C7547">
        <w:rPr>
          <w:rFonts w:ascii="Arial" w:hAnsi="Arial" w:cs="Arial"/>
        </w:rPr>
        <w:t>H</w:t>
      </w:r>
      <w:r w:rsidR="0027294F" w:rsidRPr="003C7547">
        <w:rPr>
          <w:rFonts w:ascii="Arial" w:hAnsi="Arial" w:cs="Arial"/>
          <w:vertAlign w:val="superscript"/>
        </w:rPr>
        <w:t>1</w:t>
      </w:r>
      <w:r w:rsidR="009E4837" w:rsidRPr="003C7547">
        <w:rPr>
          <w:rFonts w:ascii="Arial" w:hAnsi="Arial" w:cs="Arial"/>
          <w:vertAlign w:val="superscript"/>
        </w:rPr>
        <w:t>8</w:t>
      </w:r>
      <w:r w:rsidR="00F24D39" w:rsidRPr="003C7547">
        <w:rPr>
          <w:rFonts w:ascii="Arial" w:hAnsi="Arial" w:cs="Arial"/>
          <w:vertAlign w:val="superscript"/>
        </w:rPr>
        <w:t>*</w:t>
      </w:r>
    </w:p>
    <w:p w:rsidR="006559C8" w:rsidRPr="003C7547" w:rsidRDefault="0027294F" w:rsidP="006559C8">
      <w:pPr>
        <w:spacing w:after="0" w:line="240" w:lineRule="auto"/>
        <w:rPr>
          <w:rFonts w:ascii="Arial" w:hAnsi="Arial" w:cs="Arial"/>
        </w:rPr>
      </w:pPr>
      <w:r w:rsidRPr="003C7547">
        <w:rPr>
          <w:rFonts w:ascii="Arial" w:hAnsi="Arial" w:cs="Arial"/>
        </w:rPr>
        <w:t>Linda S Hynan, PhD</w:t>
      </w:r>
      <w:r w:rsidRPr="003C7547">
        <w:rPr>
          <w:rFonts w:ascii="Arial" w:hAnsi="Arial" w:cs="Arial"/>
          <w:vertAlign w:val="superscript"/>
        </w:rPr>
        <w:t>1</w:t>
      </w:r>
      <w:r w:rsidR="009E4837" w:rsidRPr="003C7547">
        <w:rPr>
          <w:rFonts w:ascii="Arial" w:hAnsi="Arial" w:cs="Arial"/>
          <w:vertAlign w:val="superscript"/>
        </w:rPr>
        <w:t>9</w:t>
      </w:r>
    </w:p>
    <w:p w:rsidR="006559C8" w:rsidRPr="003C7547" w:rsidRDefault="0027294F" w:rsidP="006559C8">
      <w:pPr>
        <w:spacing w:after="0" w:line="240" w:lineRule="auto"/>
        <w:rPr>
          <w:rFonts w:ascii="Arial" w:hAnsi="Arial" w:cs="Arial"/>
        </w:rPr>
      </w:pPr>
      <w:r w:rsidRPr="003C7547">
        <w:rPr>
          <w:rFonts w:ascii="Arial" w:hAnsi="Arial" w:cs="Arial"/>
        </w:rPr>
        <w:t>and the PFAST Investigators</w:t>
      </w:r>
    </w:p>
    <w:p w:rsidR="00F24D39" w:rsidRPr="003C7547" w:rsidRDefault="00F24D39" w:rsidP="006559C8">
      <w:pPr>
        <w:rPr>
          <w:rFonts w:ascii="Arial" w:hAnsi="Arial" w:cs="Arial"/>
        </w:rPr>
      </w:pPr>
    </w:p>
    <w:p w:rsidR="00F24D39" w:rsidRPr="003C7547" w:rsidRDefault="00F24D39" w:rsidP="006559C8">
      <w:pPr>
        <w:rPr>
          <w:rFonts w:ascii="Arial" w:hAnsi="Arial" w:cs="Arial"/>
        </w:rPr>
      </w:pPr>
      <w:r w:rsidRPr="003C7547">
        <w:rPr>
          <w:rFonts w:ascii="Arial" w:hAnsi="Arial" w:cs="Arial"/>
        </w:rPr>
        <w:t>*Drs Kirkhan and Hynan contributed equally to this manuscript.</w:t>
      </w:r>
    </w:p>
    <w:p w:rsidR="006559C8" w:rsidRPr="003C7547" w:rsidRDefault="001141C7" w:rsidP="00837F81">
      <w:pPr>
        <w:spacing w:after="0"/>
        <w:rPr>
          <w:rFonts w:ascii="Arial" w:hAnsi="Arial" w:cs="Arial"/>
        </w:rPr>
      </w:pPr>
      <w:r w:rsidRPr="003C7547">
        <w:rPr>
          <w:rFonts w:ascii="Arial" w:hAnsi="Arial" w:cs="Arial"/>
        </w:rPr>
        <w:t>Affiliations:</w:t>
      </w:r>
    </w:p>
    <w:p w:rsidR="001141C7" w:rsidRPr="003C7547" w:rsidRDefault="00837F81" w:rsidP="00837F81">
      <w:pPr>
        <w:spacing w:after="0"/>
        <w:rPr>
          <w:rFonts w:ascii="Arial" w:hAnsi="Arial" w:cs="Arial"/>
        </w:rPr>
      </w:pPr>
      <w:r w:rsidRPr="003C7547">
        <w:rPr>
          <w:rFonts w:ascii="Arial" w:hAnsi="Arial" w:cs="Arial"/>
        </w:rPr>
        <w:t>1.</w:t>
      </w:r>
      <w:r w:rsidR="00225F55" w:rsidRPr="003C7547">
        <w:rPr>
          <w:rFonts w:ascii="Arial" w:hAnsi="Arial" w:cs="Arial"/>
        </w:rPr>
        <w:t xml:space="preserve">  Departments of Pediatrics and Neurology &amp; Neurotherapeutics, UT Southwestern Medical Center, Dallas, TX</w:t>
      </w:r>
    </w:p>
    <w:p w:rsidR="00837F81" w:rsidRPr="003C7547" w:rsidRDefault="00837F81" w:rsidP="00837F81">
      <w:pPr>
        <w:spacing w:after="0"/>
        <w:rPr>
          <w:rFonts w:ascii="Arial" w:hAnsi="Arial" w:cs="Arial"/>
        </w:rPr>
      </w:pPr>
      <w:r w:rsidRPr="003C7547">
        <w:rPr>
          <w:rFonts w:ascii="Arial" w:hAnsi="Arial" w:cs="Arial"/>
        </w:rPr>
        <w:t>2.</w:t>
      </w:r>
      <w:r w:rsidR="00FA7C74" w:rsidRPr="003C7547">
        <w:rPr>
          <w:rFonts w:ascii="Arial" w:hAnsi="Arial" w:cs="Arial"/>
        </w:rPr>
        <w:t xml:space="preserve"> </w:t>
      </w:r>
      <w:r w:rsidR="009E4837" w:rsidRPr="003C7547">
        <w:rPr>
          <w:rFonts w:ascii="Arial" w:hAnsi="Arial" w:cs="Arial"/>
        </w:rPr>
        <w:t xml:space="preserve"> </w:t>
      </w:r>
      <w:r w:rsidR="00FA7C74" w:rsidRPr="003C7547">
        <w:rPr>
          <w:rFonts w:ascii="Arial" w:hAnsi="Arial" w:cs="Arial"/>
        </w:rPr>
        <w:t>Division of Hematology, Cincinnati Children’s Hospital Medical Center, Cincinnati, OH</w:t>
      </w:r>
    </w:p>
    <w:p w:rsidR="00837F81" w:rsidRPr="003C7547" w:rsidRDefault="00837F81" w:rsidP="00837F81">
      <w:pPr>
        <w:spacing w:after="0"/>
        <w:rPr>
          <w:rFonts w:ascii="Arial" w:hAnsi="Arial" w:cs="Arial"/>
        </w:rPr>
      </w:pPr>
      <w:r w:rsidRPr="003C7547">
        <w:rPr>
          <w:rFonts w:ascii="Arial" w:hAnsi="Arial" w:cs="Arial"/>
        </w:rPr>
        <w:t>3.</w:t>
      </w:r>
      <w:r w:rsidR="00225F55" w:rsidRPr="003C7547">
        <w:rPr>
          <w:rFonts w:ascii="Arial" w:hAnsi="Arial" w:cs="Arial"/>
        </w:rPr>
        <w:t xml:space="preserve">  Department of Pediatrics, UT Southwestern Medical Center, Dallas, TX</w:t>
      </w:r>
    </w:p>
    <w:p w:rsidR="00837F81" w:rsidRPr="003C7547" w:rsidRDefault="00837F81" w:rsidP="00837F81">
      <w:pPr>
        <w:spacing w:after="0"/>
        <w:rPr>
          <w:rFonts w:ascii="Arial" w:hAnsi="Arial" w:cs="Arial"/>
        </w:rPr>
      </w:pPr>
      <w:r w:rsidRPr="003C7547">
        <w:rPr>
          <w:rFonts w:ascii="Arial" w:hAnsi="Arial" w:cs="Arial"/>
        </w:rPr>
        <w:t>4.</w:t>
      </w:r>
      <w:r w:rsidR="009E4837" w:rsidRPr="003C7547">
        <w:rPr>
          <w:rFonts w:ascii="Arial" w:hAnsi="Arial" w:cs="Arial"/>
        </w:rPr>
        <w:t xml:space="preserve">  Department of Pediatrics, M</w:t>
      </w:r>
      <w:r w:rsidR="006A569C" w:rsidRPr="003C7547">
        <w:rPr>
          <w:rFonts w:ascii="Arial" w:hAnsi="Arial" w:cs="Arial"/>
        </w:rPr>
        <w:t>edical University of South Carolina, Charleston, SC</w:t>
      </w:r>
    </w:p>
    <w:p w:rsidR="00837F81" w:rsidRPr="003C7547" w:rsidRDefault="00837F81" w:rsidP="00837F81">
      <w:pPr>
        <w:spacing w:after="0"/>
        <w:rPr>
          <w:rFonts w:ascii="Arial" w:hAnsi="Arial" w:cs="Arial"/>
        </w:rPr>
      </w:pPr>
      <w:r w:rsidRPr="003C7547">
        <w:rPr>
          <w:rFonts w:ascii="Arial" w:hAnsi="Arial" w:cs="Arial"/>
        </w:rPr>
        <w:t>5.</w:t>
      </w:r>
      <w:r w:rsidR="009E4837" w:rsidRPr="003C7547">
        <w:rPr>
          <w:rFonts w:ascii="Arial" w:hAnsi="Arial" w:cs="Arial"/>
        </w:rPr>
        <w:t xml:space="preserve">  The Levine Cancer Institute, Carolinas HealthCare System, Charlotte, NC</w:t>
      </w:r>
    </w:p>
    <w:p w:rsidR="00837F81" w:rsidRPr="003C7547" w:rsidRDefault="00837F81" w:rsidP="00837F81">
      <w:pPr>
        <w:spacing w:after="0"/>
        <w:rPr>
          <w:rFonts w:ascii="Arial" w:hAnsi="Arial" w:cs="Arial"/>
        </w:rPr>
      </w:pPr>
      <w:r w:rsidRPr="003C7547">
        <w:rPr>
          <w:rFonts w:ascii="Arial" w:hAnsi="Arial" w:cs="Arial"/>
        </w:rPr>
        <w:t>6.</w:t>
      </w:r>
      <w:r w:rsidR="00FA7C74" w:rsidRPr="003C7547">
        <w:rPr>
          <w:rFonts w:ascii="Arial" w:hAnsi="Arial" w:cs="Arial"/>
        </w:rPr>
        <w:t xml:space="preserve"> Haematology, Evelina Children’s Hospital, Guy’s and St. Thomas NHS Trust, London</w:t>
      </w:r>
    </w:p>
    <w:p w:rsidR="00837F81" w:rsidRPr="003C7547" w:rsidRDefault="00837F81" w:rsidP="00837F81">
      <w:pPr>
        <w:spacing w:after="0"/>
        <w:rPr>
          <w:rFonts w:ascii="Arial" w:hAnsi="Arial" w:cs="Arial"/>
        </w:rPr>
      </w:pPr>
      <w:r w:rsidRPr="003C7547">
        <w:rPr>
          <w:rFonts w:ascii="Arial" w:hAnsi="Arial" w:cs="Arial"/>
        </w:rPr>
        <w:t>7.</w:t>
      </w:r>
      <w:r w:rsidR="00717480" w:rsidRPr="003C7547">
        <w:rPr>
          <w:rFonts w:ascii="Arial" w:hAnsi="Arial" w:cs="Arial"/>
        </w:rPr>
        <w:t xml:space="preserve">  University of Mississippi Medical Center, Jackson, MS</w:t>
      </w:r>
    </w:p>
    <w:p w:rsidR="00837F81" w:rsidRPr="003C7547" w:rsidRDefault="00837F81" w:rsidP="00837F81">
      <w:pPr>
        <w:spacing w:after="0"/>
        <w:rPr>
          <w:rFonts w:ascii="Arial" w:hAnsi="Arial" w:cs="Arial"/>
        </w:rPr>
      </w:pPr>
      <w:r w:rsidRPr="003C7547">
        <w:rPr>
          <w:rFonts w:ascii="Arial" w:hAnsi="Arial" w:cs="Arial"/>
        </w:rPr>
        <w:t>8.</w:t>
      </w:r>
      <w:r w:rsidR="00EC30F5" w:rsidRPr="003C7547">
        <w:rPr>
          <w:rFonts w:ascii="Arial" w:hAnsi="Arial" w:cs="Arial"/>
        </w:rPr>
        <w:t xml:space="preserve"> Division of Hematology, Children’s Hospital of Philadelphia and Department of Pediatrics, University of Pennsylvania Perelman School of Medicine, Philadelphia, PA</w:t>
      </w:r>
    </w:p>
    <w:p w:rsidR="00837F81" w:rsidRPr="003C7547" w:rsidRDefault="00837F81" w:rsidP="00837F81">
      <w:pPr>
        <w:spacing w:after="0"/>
        <w:rPr>
          <w:rFonts w:ascii="Arial" w:hAnsi="Arial" w:cs="Arial"/>
        </w:rPr>
      </w:pPr>
      <w:r w:rsidRPr="003C7547">
        <w:rPr>
          <w:rFonts w:ascii="Arial" w:hAnsi="Arial" w:cs="Arial"/>
        </w:rPr>
        <w:t>9.</w:t>
      </w:r>
      <w:r w:rsidR="00717480" w:rsidRPr="003C7547">
        <w:rPr>
          <w:rFonts w:ascii="Arial" w:hAnsi="Arial" w:cs="Arial"/>
        </w:rPr>
        <w:t xml:space="preserve">  Cook Children's Health Care System, Ft. Worth, TX</w:t>
      </w:r>
    </w:p>
    <w:p w:rsidR="00837F81" w:rsidRPr="003C7547" w:rsidRDefault="003E2211" w:rsidP="00837F81">
      <w:pPr>
        <w:spacing w:after="0"/>
        <w:rPr>
          <w:rFonts w:ascii="Arial" w:hAnsi="Arial" w:cs="Arial"/>
        </w:rPr>
      </w:pPr>
      <w:r w:rsidRPr="003C7547">
        <w:rPr>
          <w:rFonts w:ascii="Arial" w:hAnsi="Arial" w:cs="Arial"/>
        </w:rPr>
        <w:t>10.  Pediatric Hematology/Oncology, University of Mississippi Medical Center, Jackson, MS</w:t>
      </w:r>
    </w:p>
    <w:p w:rsidR="00837F81" w:rsidRPr="003C7547" w:rsidRDefault="00837F81" w:rsidP="00837F81">
      <w:pPr>
        <w:spacing w:after="0"/>
        <w:rPr>
          <w:rFonts w:ascii="Arial" w:hAnsi="Arial" w:cs="Arial"/>
        </w:rPr>
      </w:pPr>
      <w:r w:rsidRPr="003C7547">
        <w:rPr>
          <w:rFonts w:ascii="Arial" w:hAnsi="Arial" w:cs="Arial"/>
        </w:rPr>
        <w:t>11.</w:t>
      </w:r>
      <w:r w:rsidR="003E2211" w:rsidRPr="003C7547">
        <w:rPr>
          <w:rFonts w:ascii="Arial" w:hAnsi="Arial" w:cs="Arial"/>
        </w:rPr>
        <w:t xml:space="preserve"> </w:t>
      </w:r>
      <w:r w:rsidR="00717480" w:rsidRPr="003C7547">
        <w:rPr>
          <w:rFonts w:ascii="Arial" w:hAnsi="Arial" w:cs="Arial"/>
        </w:rPr>
        <w:t xml:space="preserve"> </w:t>
      </w:r>
      <w:r w:rsidR="003E2211" w:rsidRPr="003C7547">
        <w:rPr>
          <w:rFonts w:ascii="Arial" w:hAnsi="Arial" w:cs="Arial"/>
        </w:rPr>
        <w:t>Children’s Can</w:t>
      </w:r>
      <w:r w:rsidR="009E4837" w:rsidRPr="003C7547">
        <w:rPr>
          <w:rFonts w:ascii="Arial" w:hAnsi="Arial" w:cs="Arial"/>
        </w:rPr>
        <w:t>c</w:t>
      </w:r>
      <w:r w:rsidR="003E2211" w:rsidRPr="003C7547">
        <w:rPr>
          <w:rFonts w:ascii="Arial" w:hAnsi="Arial" w:cs="Arial"/>
        </w:rPr>
        <w:t>er and Blood Disorders Center, Children’s Hospital of the King’s Daughters, Norfolk, VA</w:t>
      </w:r>
    </w:p>
    <w:p w:rsidR="00837F81" w:rsidRPr="003C7547" w:rsidRDefault="00837F81" w:rsidP="00837F81">
      <w:pPr>
        <w:spacing w:after="0"/>
        <w:rPr>
          <w:rFonts w:ascii="Arial" w:hAnsi="Arial" w:cs="Arial"/>
        </w:rPr>
      </w:pPr>
      <w:r w:rsidRPr="003C7547">
        <w:rPr>
          <w:rFonts w:ascii="Arial" w:hAnsi="Arial" w:cs="Arial"/>
        </w:rPr>
        <w:t>12.</w:t>
      </w:r>
      <w:r w:rsidR="00717480" w:rsidRPr="003C7547">
        <w:rPr>
          <w:rFonts w:ascii="Arial" w:hAnsi="Arial" w:cs="Arial"/>
        </w:rPr>
        <w:t xml:space="preserve">  The Johns Hopkins University School of Medicine, Baltimore, MD</w:t>
      </w:r>
    </w:p>
    <w:p w:rsidR="00837F81" w:rsidRPr="003C7547" w:rsidRDefault="00837F81" w:rsidP="00837F81">
      <w:pPr>
        <w:spacing w:after="0"/>
        <w:rPr>
          <w:rFonts w:ascii="Arial" w:hAnsi="Arial" w:cs="Arial"/>
        </w:rPr>
      </w:pPr>
      <w:r w:rsidRPr="003C7547">
        <w:rPr>
          <w:rFonts w:ascii="Arial" w:hAnsi="Arial" w:cs="Arial"/>
        </w:rPr>
        <w:t>13.</w:t>
      </w:r>
      <w:r w:rsidR="009E4837" w:rsidRPr="003C7547">
        <w:rPr>
          <w:rFonts w:ascii="Arial" w:hAnsi="Arial" w:cs="Arial"/>
        </w:rPr>
        <w:t xml:space="preserve">  Department of Pediatrics, Hematology/Oncology, Medical College of Wisconsin/Children’s Hospital of Wisconsin, Milwaukee, WI</w:t>
      </w:r>
    </w:p>
    <w:p w:rsidR="00837F81" w:rsidRPr="003C7547" w:rsidRDefault="003E2211" w:rsidP="00837F81">
      <w:pPr>
        <w:spacing w:after="0"/>
        <w:rPr>
          <w:rFonts w:ascii="Arial" w:hAnsi="Arial" w:cs="Arial"/>
        </w:rPr>
      </w:pPr>
      <w:r w:rsidRPr="003C7547">
        <w:rPr>
          <w:rFonts w:ascii="Arial" w:hAnsi="Arial" w:cs="Arial"/>
        </w:rPr>
        <w:t>14.  Department of Hematology Oncology, UCSF Benioff Children’s Hospital, Oakland, CA</w:t>
      </w:r>
    </w:p>
    <w:p w:rsidR="00837F81" w:rsidRPr="003C7547" w:rsidRDefault="00837F81" w:rsidP="00837F81">
      <w:pPr>
        <w:spacing w:after="0"/>
        <w:rPr>
          <w:rFonts w:ascii="Arial" w:hAnsi="Arial" w:cs="Arial"/>
        </w:rPr>
      </w:pPr>
      <w:r w:rsidRPr="003C7547">
        <w:rPr>
          <w:rFonts w:ascii="Arial" w:hAnsi="Arial" w:cs="Arial"/>
        </w:rPr>
        <w:t>15.</w:t>
      </w:r>
      <w:r w:rsidR="003E2211" w:rsidRPr="003C7547">
        <w:rPr>
          <w:rFonts w:ascii="Arial" w:hAnsi="Arial" w:cs="Arial"/>
        </w:rPr>
        <w:t xml:space="preserve">  Department of Pediatrics, Division of Hematology &amp; Oncology, Wayne State University, </w:t>
      </w:r>
      <w:r w:rsidR="009E4837" w:rsidRPr="003C7547">
        <w:rPr>
          <w:rFonts w:ascii="Arial" w:hAnsi="Arial" w:cs="Arial"/>
        </w:rPr>
        <w:t>Detroit</w:t>
      </w:r>
      <w:r w:rsidR="003E2211" w:rsidRPr="003C7547">
        <w:rPr>
          <w:rFonts w:ascii="Arial" w:hAnsi="Arial" w:cs="Arial"/>
        </w:rPr>
        <w:t>, MI</w:t>
      </w:r>
    </w:p>
    <w:p w:rsidR="00837F81" w:rsidRPr="003C7547" w:rsidRDefault="00837F81" w:rsidP="00837F81">
      <w:pPr>
        <w:spacing w:after="0"/>
        <w:rPr>
          <w:rFonts w:ascii="Arial" w:hAnsi="Arial" w:cs="Arial"/>
        </w:rPr>
      </w:pPr>
      <w:r w:rsidRPr="003C7547">
        <w:rPr>
          <w:rFonts w:ascii="Arial" w:hAnsi="Arial" w:cs="Arial"/>
        </w:rPr>
        <w:lastRenderedPageBreak/>
        <w:t>16.</w:t>
      </w:r>
      <w:r w:rsidR="00225F55" w:rsidRPr="003C7547">
        <w:rPr>
          <w:rFonts w:ascii="Arial" w:hAnsi="Arial" w:cs="Arial"/>
        </w:rPr>
        <w:t xml:space="preserve">  Department of Neurology &amp; Neurotherapeutics, UT Southwestern Medical Center, Dallas, TX</w:t>
      </w:r>
    </w:p>
    <w:p w:rsidR="005B7FED" w:rsidRPr="003C7547" w:rsidRDefault="00171556" w:rsidP="00837F81">
      <w:pPr>
        <w:spacing w:after="0"/>
        <w:rPr>
          <w:rFonts w:ascii="Arial" w:hAnsi="Arial" w:cs="Arial"/>
        </w:rPr>
      </w:pPr>
      <w:r w:rsidRPr="003C7547">
        <w:rPr>
          <w:rFonts w:ascii="Arial" w:hAnsi="Arial" w:cs="Arial"/>
        </w:rPr>
        <w:t>17.  Department of Paediatric Neurology, Evelina Children’s Hospital, London, UK</w:t>
      </w:r>
    </w:p>
    <w:p w:rsidR="00837F81" w:rsidRPr="003C7547" w:rsidRDefault="00837F81" w:rsidP="00837F81">
      <w:pPr>
        <w:spacing w:after="0"/>
        <w:rPr>
          <w:rFonts w:ascii="Arial" w:hAnsi="Arial" w:cs="Arial"/>
        </w:rPr>
      </w:pPr>
      <w:r w:rsidRPr="003C7547">
        <w:rPr>
          <w:rFonts w:ascii="Arial" w:hAnsi="Arial" w:cs="Arial"/>
        </w:rPr>
        <w:t>1</w:t>
      </w:r>
      <w:r w:rsidR="005B7FED" w:rsidRPr="003C7547">
        <w:rPr>
          <w:rFonts w:ascii="Arial" w:hAnsi="Arial" w:cs="Arial"/>
        </w:rPr>
        <w:t>8</w:t>
      </w:r>
      <w:r w:rsidRPr="003C7547">
        <w:rPr>
          <w:rFonts w:ascii="Arial" w:hAnsi="Arial" w:cs="Arial"/>
        </w:rPr>
        <w:t>.</w:t>
      </w:r>
      <w:r w:rsidR="009E4837" w:rsidRPr="003C7547">
        <w:rPr>
          <w:rFonts w:ascii="Arial" w:hAnsi="Arial" w:cs="Arial"/>
        </w:rPr>
        <w:t xml:space="preserve"> Developmental Neurosciences, UCL Institute of Child Health, London, UK</w:t>
      </w:r>
    </w:p>
    <w:p w:rsidR="00D63B55" w:rsidRPr="003C7547" w:rsidRDefault="0027294F" w:rsidP="00D63B55">
      <w:pPr>
        <w:spacing w:after="0"/>
        <w:rPr>
          <w:rFonts w:ascii="Arial" w:hAnsi="Arial" w:cs="Arial"/>
        </w:rPr>
      </w:pPr>
      <w:r w:rsidRPr="003C7547">
        <w:rPr>
          <w:rFonts w:ascii="Arial" w:hAnsi="Arial" w:cs="Arial"/>
        </w:rPr>
        <w:t>1</w:t>
      </w:r>
      <w:r w:rsidR="005B7FED" w:rsidRPr="003C7547">
        <w:rPr>
          <w:rFonts w:ascii="Arial" w:hAnsi="Arial" w:cs="Arial"/>
        </w:rPr>
        <w:t>9</w:t>
      </w:r>
      <w:r w:rsidRPr="003C7547">
        <w:rPr>
          <w:rFonts w:ascii="Arial" w:hAnsi="Arial" w:cs="Arial"/>
        </w:rPr>
        <w:t>.</w:t>
      </w:r>
      <w:r w:rsidR="00717480" w:rsidRPr="003C7547">
        <w:rPr>
          <w:rFonts w:ascii="Arial" w:hAnsi="Arial" w:cs="Arial"/>
        </w:rPr>
        <w:t xml:space="preserve">  </w:t>
      </w:r>
      <w:r w:rsidR="00FA497B" w:rsidRPr="003C7547">
        <w:rPr>
          <w:rFonts w:ascii="Arial" w:hAnsi="Arial" w:cs="Arial"/>
        </w:rPr>
        <w:t>Departments of Clinical Science (Biostatistics) and Psychiatry, UT Southwestern Medical Center, Dallas, TX</w:t>
      </w:r>
    </w:p>
    <w:p w:rsidR="00D63B55" w:rsidRPr="003C7547" w:rsidRDefault="00D63B55" w:rsidP="00D63B55">
      <w:pPr>
        <w:spacing w:after="0"/>
        <w:rPr>
          <w:rFonts w:ascii="Arial" w:hAnsi="Arial" w:cs="Arial"/>
        </w:rPr>
      </w:pPr>
    </w:p>
    <w:p w:rsidR="00B82DA4" w:rsidRPr="003C7547" w:rsidRDefault="00B82DA4" w:rsidP="00D63B55">
      <w:pPr>
        <w:spacing w:after="0"/>
        <w:rPr>
          <w:rFonts w:ascii="Arial" w:hAnsi="Arial" w:cs="Arial"/>
        </w:rPr>
      </w:pPr>
    </w:p>
    <w:p w:rsidR="00B82DA4" w:rsidRPr="003C7547" w:rsidRDefault="00B82DA4" w:rsidP="00D63B55">
      <w:pPr>
        <w:spacing w:after="0"/>
        <w:rPr>
          <w:rFonts w:ascii="Arial" w:hAnsi="Arial" w:cs="Arial"/>
        </w:rPr>
      </w:pPr>
      <w:r w:rsidRPr="003C7547">
        <w:rPr>
          <w:rFonts w:ascii="Arial" w:hAnsi="Arial" w:cs="Arial"/>
        </w:rPr>
        <w:t>Corresponding Author:</w:t>
      </w:r>
    </w:p>
    <w:p w:rsidR="00B82DA4" w:rsidRPr="003C7547" w:rsidRDefault="00B82DA4" w:rsidP="00D63B55">
      <w:pPr>
        <w:spacing w:after="0"/>
        <w:rPr>
          <w:rFonts w:ascii="Arial" w:hAnsi="Arial" w:cs="Arial"/>
        </w:rPr>
      </w:pPr>
      <w:r w:rsidRPr="003C7547">
        <w:rPr>
          <w:rFonts w:ascii="Arial" w:hAnsi="Arial" w:cs="Arial"/>
        </w:rPr>
        <w:t>Michael Morgan Dowling, MD, PhD, MSCS, FAHA, FAAN</w:t>
      </w:r>
      <w:r w:rsidRPr="003C7547">
        <w:rPr>
          <w:rFonts w:ascii="Arial" w:hAnsi="Arial" w:cs="Arial"/>
        </w:rPr>
        <w:br/>
        <w:t>Associate Professor of Pediatrics and Neurology and Neurotherapeutics</w:t>
      </w:r>
      <w:r w:rsidRPr="003C7547">
        <w:rPr>
          <w:rFonts w:ascii="Arial" w:hAnsi="Arial" w:cs="Arial"/>
        </w:rPr>
        <w:br/>
        <w:t>University of Texas Southwestern Medical Center at Dallas</w:t>
      </w:r>
      <w:r w:rsidRPr="003C7547">
        <w:rPr>
          <w:rFonts w:ascii="Arial" w:hAnsi="Arial" w:cs="Arial"/>
        </w:rPr>
        <w:br/>
        <w:t>Children's Medical Center Dallas</w:t>
      </w:r>
      <w:r w:rsidRPr="003C7547">
        <w:rPr>
          <w:rFonts w:ascii="Arial" w:hAnsi="Arial" w:cs="Arial"/>
        </w:rPr>
        <w:br/>
        <w:t>5323 Harry Hines Blvd.</w:t>
      </w:r>
      <w:r w:rsidRPr="003C7547">
        <w:rPr>
          <w:rFonts w:ascii="Arial" w:hAnsi="Arial" w:cs="Arial"/>
        </w:rPr>
        <w:br/>
        <w:t>Dallas, Texas 75390-9063</w:t>
      </w:r>
      <w:r w:rsidRPr="003C7547">
        <w:rPr>
          <w:rFonts w:ascii="Arial" w:hAnsi="Arial" w:cs="Arial"/>
        </w:rPr>
        <w:br/>
        <w:t>(Office) 214-456-8447</w:t>
      </w:r>
      <w:r w:rsidRPr="003C7547">
        <w:rPr>
          <w:rFonts w:ascii="Arial" w:hAnsi="Arial" w:cs="Arial"/>
        </w:rPr>
        <w:br/>
        <w:t>(Fax) 214-456-5210</w:t>
      </w:r>
      <w:r w:rsidRPr="003C7547">
        <w:rPr>
          <w:rFonts w:ascii="Arial" w:hAnsi="Arial" w:cs="Arial"/>
        </w:rPr>
        <w:br/>
        <w:t>michael.dow</w:t>
      </w:r>
      <w:r w:rsidR="003E6BF2" w:rsidRPr="003C7547">
        <w:rPr>
          <w:rFonts w:ascii="Arial" w:hAnsi="Arial" w:cs="Arial"/>
        </w:rPr>
        <w:t>l</w:t>
      </w:r>
      <w:r w:rsidRPr="003C7547">
        <w:rPr>
          <w:rFonts w:ascii="Arial" w:hAnsi="Arial" w:cs="Arial"/>
        </w:rPr>
        <w:t>ing@utsouthwestern.edu</w:t>
      </w:r>
    </w:p>
    <w:p w:rsidR="00B82DA4" w:rsidRPr="003C7547" w:rsidRDefault="00B82DA4" w:rsidP="00D63B55">
      <w:pPr>
        <w:spacing w:after="0"/>
        <w:rPr>
          <w:rFonts w:ascii="Arial" w:hAnsi="Arial" w:cs="Arial"/>
        </w:rPr>
      </w:pPr>
    </w:p>
    <w:p w:rsidR="00B82DA4" w:rsidRPr="003C7547" w:rsidRDefault="00B82DA4" w:rsidP="00D63B55">
      <w:pPr>
        <w:spacing w:after="0"/>
        <w:rPr>
          <w:rFonts w:ascii="Arial" w:hAnsi="Arial" w:cs="Arial"/>
        </w:rPr>
      </w:pPr>
    </w:p>
    <w:p w:rsidR="00B82DA4" w:rsidRPr="003C7547" w:rsidRDefault="00B82DA4" w:rsidP="00D63B55">
      <w:pPr>
        <w:spacing w:after="0"/>
        <w:rPr>
          <w:rFonts w:ascii="Arial" w:hAnsi="Arial" w:cs="Arial"/>
        </w:rPr>
      </w:pPr>
      <w:r w:rsidRPr="003C7547">
        <w:rPr>
          <w:rFonts w:ascii="Arial" w:hAnsi="Arial" w:cs="Arial"/>
        </w:rPr>
        <w:t>Running Title:  R-to-L Shunting in Children with SCA and Stroke</w:t>
      </w:r>
    </w:p>
    <w:p w:rsidR="00B82DA4" w:rsidRPr="003C7547" w:rsidRDefault="00B82DA4" w:rsidP="00D63B55">
      <w:pPr>
        <w:spacing w:after="0"/>
        <w:rPr>
          <w:rFonts w:ascii="Arial" w:hAnsi="Arial" w:cs="Arial"/>
        </w:rPr>
      </w:pPr>
    </w:p>
    <w:p w:rsidR="00B82DA4" w:rsidRPr="003C7547" w:rsidRDefault="00B82DA4" w:rsidP="00D63B55">
      <w:pPr>
        <w:spacing w:after="0"/>
        <w:rPr>
          <w:rFonts w:ascii="Arial" w:hAnsi="Arial" w:cs="Arial"/>
        </w:rPr>
      </w:pPr>
    </w:p>
    <w:p w:rsidR="00B82DA4" w:rsidRPr="003C7547" w:rsidRDefault="00B82DA4" w:rsidP="00D63B55">
      <w:pPr>
        <w:spacing w:after="0"/>
        <w:rPr>
          <w:rFonts w:ascii="Arial" w:hAnsi="Arial" w:cs="Arial"/>
        </w:rPr>
      </w:pPr>
    </w:p>
    <w:p w:rsidR="00232C23" w:rsidRPr="003C7547" w:rsidRDefault="006559C8" w:rsidP="00D63B55">
      <w:pPr>
        <w:spacing w:after="0"/>
        <w:rPr>
          <w:rFonts w:ascii="Arial" w:hAnsi="Arial" w:cs="Arial"/>
        </w:rPr>
      </w:pPr>
      <w:r w:rsidRPr="003C7547">
        <w:rPr>
          <w:rFonts w:ascii="Arial" w:hAnsi="Arial" w:cs="Arial"/>
        </w:rPr>
        <w:t xml:space="preserve">Abstract: </w:t>
      </w:r>
      <w:r w:rsidR="00E90765" w:rsidRPr="003C7547">
        <w:rPr>
          <w:rFonts w:ascii="Arial" w:hAnsi="Arial" w:cs="Arial"/>
        </w:rPr>
        <w:t>2</w:t>
      </w:r>
      <w:r w:rsidR="00680A46" w:rsidRPr="003C7547">
        <w:rPr>
          <w:rFonts w:ascii="Arial" w:hAnsi="Arial" w:cs="Arial"/>
        </w:rPr>
        <w:t>00</w:t>
      </w:r>
      <w:r w:rsidR="00232C23" w:rsidRPr="003C7547">
        <w:rPr>
          <w:rFonts w:ascii="Arial" w:hAnsi="Arial" w:cs="Arial"/>
        </w:rPr>
        <w:t xml:space="preserve"> </w:t>
      </w:r>
    </w:p>
    <w:p w:rsidR="006559C8" w:rsidRPr="003C7547" w:rsidRDefault="006559C8" w:rsidP="00D63B55">
      <w:pPr>
        <w:spacing w:after="0"/>
        <w:rPr>
          <w:rFonts w:ascii="Arial" w:hAnsi="Arial" w:cs="Arial"/>
        </w:rPr>
      </w:pPr>
      <w:r w:rsidRPr="003C7547">
        <w:rPr>
          <w:rFonts w:ascii="Arial" w:hAnsi="Arial" w:cs="Arial"/>
        </w:rPr>
        <w:t xml:space="preserve">Article: </w:t>
      </w:r>
      <w:r w:rsidR="00C95D2E" w:rsidRPr="003C7547">
        <w:rPr>
          <w:rFonts w:ascii="Arial" w:hAnsi="Arial" w:cs="Arial"/>
        </w:rPr>
        <w:t xml:space="preserve"> </w:t>
      </w:r>
      <w:r w:rsidR="00C871D4" w:rsidRPr="003C7547">
        <w:rPr>
          <w:rFonts w:ascii="Arial" w:hAnsi="Arial" w:cs="Arial"/>
        </w:rPr>
        <w:t>3417</w:t>
      </w:r>
      <w:r w:rsidRPr="003C7547">
        <w:rPr>
          <w:rFonts w:ascii="Arial" w:hAnsi="Arial" w:cs="Arial"/>
        </w:rPr>
        <w:br w:type="page"/>
      </w:r>
    </w:p>
    <w:p w:rsidR="00BB1F6C" w:rsidRPr="003C7547" w:rsidRDefault="00680A46" w:rsidP="00D33B8C">
      <w:pPr>
        <w:spacing w:line="480" w:lineRule="auto"/>
        <w:rPr>
          <w:rFonts w:ascii="Arial" w:hAnsi="Arial" w:cs="Arial"/>
          <w:b/>
        </w:rPr>
      </w:pPr>
      <w:r w:rsidRPr="003C7547">
        <w:rPr>
          <w:rFonts w:ascii="Arial" w:hAnsi="Arial" w:cs="Arial"/>
          <w:b/>
        </w:rPr>
        <w:lastRenderedPageBreak/>
        <w:t>Abstract</w:t>
      </w:r>
    </w:p>
    <w:p w:rsidR="00C405CE" w:rsidRPr="003C7547" w:rsidRDefault="00036233" w:rsidP="00D33B8C">
      <w:pPr>
        <w:spacing w:line="480" w:lineRule="auto"/>
        <w:rPr>
          <w:rFonts w:ascii="Arial" w:hAnsi="Arial" w:cs="Arial"/>
        </w:rPr>
      </w:pPr>
      <w:r w:rsidRPr="003C7547">
        <w:rPr>
          <w:rFonts w:ascii="Arial" w:hAnsi="Arial" w:cs="Arial"/>
        </w:rPr>
        <w:t xml:space="preserve"> “P</w:t>
      </w:r>
      <w:r w:rsidR="006559C8" w:rsidRPr="003C7547">
        <w:rPr>
          <w:rFonts w:ascii="Arial" w:hAnsi="Arial" w:cs="Arial"/>
        </w:rPr>
        <w:t>aradoxical</w:t>
      </w:r>
      <w:r w:rsidR="00F50C51" w:rsidRPr="003C7547">
        <w:rPr>
          <w:rFonts w:ascii="Arial" w:hAnsi="Arial" w:cs="Arial"/>
        </w:rPr>
        <w:t>”</w:t>
      </w:r>
      <w:r w:rsidR="006559C8" w:rsidRPr="003C7547">
        <w:rPr>
          <w:rFonts w:ascii="Arial" w:hAnsi="Arial" w:cs="Arial"/>
        </w:rPr>
        <w:t xml:space="preserve"> embolization via intracardiac or intrapulmonary right-to-left shunt</w:t>
      </w:r>
      <w:r w:rsidR="00F50C51" w:rsidRPr="003C7547">
        <w:rPr>
          <w:rFonts w:ascii="Arial" w:hAnsi="Arial" w:cs="Arial"/>
        </w:rPr>
        <w:t>s (RLS)</w:t>
      </w:r>
      <w:r w:rsidR="00D616E6" w:rsidRPr="003C7547">
        <w:rPr>
          <w:rFonts w:ascii="Arial" w:hAnsi="Arial" w:cs="Arial"/>
        </w:rPr>
        <w:t xml:space="preserve"> is an established</w:t>
      </w:r>
      <w:r w:rsidR="00F50C51" w:rsidRPr="003C7547">
        <w:rPr>
          <w:rFonts w:ascii="Arial" w:hAnsi="Arial" w:cs="Arial"/>
        </w:rPr>
        <w:t xml:space="preserve"> cause of stroke</w:t>
      </w:r>
      <w:r w:rsidR="006559C8" w:rsidRPr="003C7547">
        <w:rPr>
          <w:rFonts w:ascii="Arial" w:hAnsi="Arial" w:cs="Arial"/>
        </w:rPr>
        <w:t>. Hypercoagulable states and increased right heart pressure</w:t>
      </w:r>
      <w:r w:rsidR="00F50C51" w:rsidRPr="003C7547">
        <w:rPr>
          <w:rFonts w:ascii="Arial" w:hAnsi="Arial" w:cs="Arial"/>
        </w:rPr>
        <w:t>, which both occur in SCA,</w:t>
      </w:r>
      <w:r w:rsidR="006559C8" w:rsidRPr="003C7547">
        <w:rPr>
          <w:rFonts w:ascii="Arial" w:hAnsi="Arial" w:cs="Arial"/>
        </w:rPr>
        <w:t xml:space="preserve"> predispose to paradoxical embolization. We hypothesized that children with SCA and overt stroke have an increased preval</w:t>
      </w:r>
      <w:r w:rsidR="005648FD" w:rsidRPr="003C7547">
        <w:rPr>
          <w:rFonts w:ascii="Arial" w:hAnsi="Arial" w:cs="Arial"/>
        </w:rPr>
        <w:t xml:space="preserve">ence of </w:t>
      </w:r>
      <w:r w:rsidR="00DF366F" w:rsidRPr="003C7547">
        <w:rPr>
          <w:rFonts w:ascii="Arial" w:hAnsi="Arial" w:cs="Arial"/>
        </w:rPr>
        <w:t xml:space="preserve">potential </w:t>
      </w:r>
      <w:r w:rsidR="00F50C51" w:rsidRPr="003C7547">
        <w:rPr>
          <w:rFonts w:ascii="Arial" w:hAnsi="Arial" w:cs="Arial"/>
        </w:rPr>
        <w:t>RLS</w:t>
      </w:r>
      <w:r w:rsidRPr="003C7547">
        <w:rPr>
          <w:rFonts w:ascii="Arial" w:hAnsi="Arial" w:cs="Arial"/>
        </w:rPr>
        <w:t>.</w:t>
      </w:r>
      <w:r w:rsidR="00F50C51" w:rsidRPr="003C7547">
        <w:rPr>
          <w:rFonts w:ascii="Arial" w:hAnsi="Arial" w:cs="Arial"/>
        </w:rPr>
        <w:t xml:space="preserve"> </w:t>
      </w:r>
      <w:r w:rsidR="006559C8" w:rsidRPr="003C7547">
        <w:rPr>
          <w:rFonts w:ascii="Arial" w:hAnsi="Arial" w:cs="Arial"/>
        </w:rPr>
        <w:t xml:space="preserve">We performed </w:t>
      </w:r>
      <w:r w:rsidRPr="003C7547">
        <w:rPr>
          <w:rFonts w:ascii="Arial" w:hAnsi="Arial" w:cs="Arial"/>
        </w:rPr>
        <w:t xml:space="preserve">contrasted </w:t>
      </w:r>
      <w:r w:rsidR="006559C8" w:rsidRPr="003C7547">
        <w:rPr>
          <w:rFonts w:ascii="Arial" w:hAnsi="Arial" w:cs="Arial"/>
        </w:rPr>
        <w:t>transthoracic echocardiograms on</w:t>
      </w:r>
      <w:r w:rsidR="005B7FED" w:rsidRPr="003C7547">
        <w:rPr>
          <w:rFonts w:ascii="Arial" w:hAnsi="Arial" w:cs="Arial"/>
        </w:rPr>
        <w:t xml:space="preserve"> 147</w:t>
      </w:r>
      <w:r w:rsidR="006559C8" w:rsidRPr="003C7547">
        <w:rPr>
          <w:rFonts w:ascii="Arial" w:hAnsi="Arial" w:cs="Arial"/>
        </w:rPr>
        <w:t xml:space="preserve"> children (ages 2-19y) with SCA and overt stroke</w:t>
      </w:r>
      <w:r w:rsidR="003D220B" w:rsidRPr="003C7547">
        <w:rPr>
          <w:rFonts w:ascii="Arial" w:hAnsi="Arial" w:cs="Arial"/>
        </w:rPr>
        <w:t xml:space="preserve"> </w:t>
      </w:r>
      <w:r w:rsidR="005B7FED" w:rsidRPr="003C7547">
        <w:rPr>
          <w:rFonts w:ascii="Arial" w:hAnsi="Arial" w:cs="Arial"/>
        </w:rPr>
        <w:t xml:space="preserve">(SCA+stroke; mean age 12.7±4.8 years, 54.4% male) </w:t>
      </w:r>
      <w:r w:rsidR="006559C8" w:rsidRPr="003C7547">
        <w:rPr>
          <w:rFonts w:ascii="Arial" w:hAnsi="Arial" w:cs="Arial"/>
        </w:rPr>
        <w:t>and a control group wi</w:t>
      </w:r>
      <w:r w:rsidR="00C405CE" w:rsidRPr="003C7547">
        <w:rPr>
          <w:rFonts w:ascii="Arial" w:hAnsi="Arial" w:cs="Arial"/>
        </w:rPr>
        <w:t>th</w:t>
      </w:r>
      <w:r w:rsidR="00F50C51" w:rsidRPr="003C7547">
        <w:rPr>
          <w:rFonts w:ascii="Arial" w:hAnsi="Arial" w:cs="Arial"/>
        </w:rPr>
        <w:t xml:space="preserve">out </w:t>
      </w:r>
      <w:r w:rsidR="00C405CE" w:rsidRPr="003C7547">
        <w:rPr>
          <w:rFonts w:ascii="Arial" w:hAnsi="Arial" w:cs="Arial"/>
        </w:rPr>
        <w:t>SCA or stroke</w:t>
      </w:r>
      <w:r w:rsidR="005B7FED" w:rsidRPr="003C7547">
        <w:rPr>
          <w:rFonts w:ascii="Arial" w:hAnsi="Arial" w:cs="Arial"/>
        </w:rPr>
        <w:t xml:space="preserve"> (n=123; mean age 12.1±4.9 years, 53.3% male).</w:t>
      </w:r>
      <w:r w:rsidR="00C405CE" w:rsidRPr="003C7547">
        <w:rPr>
          <w:rFonts w:ascii="Arial" w:hAnsi="Arial" w:cs="Arial"/>
        </w:rPr>
        <w:t xml:space="preserve"> </w:t>
      </w:r>
      <w:r w:rsidRPr="003C7547">
        <w:rPr>
          <w:rFonts w:ascii="Arial" w:hAnsi="Arial" w:cs="Arial"/>
        </w:rPr>
        <w:t>RLS</w:t>
      </w:r>
      <w:r w:rsidR="006559C8" w:rsidRPr="003C7547">
        <w:rPr>
          <w:rFonts w:ascii="Arial" w:hAnsi="Arial" w:cs="Arial"/>
        </w:rPr>
        <w:t xml:space="preserve"> was defined as any potential </w:t>
      </w:r>
      <w:r w:rsidR="00FA7C74" w:rsidRPr="003C7547">
        <w:rPr>
          <w:rFonts w:ascii="Arial" w:hAnsi="Arial" w:cs="Arial"/>
        </w:rPr>
        <w:t>RLS</w:t>
      </w:r>
      <w:r w:rsidR="006559C8" w:rsidRPr="003C7547">
        <w:rPr>
          <w:rFonts w:ascii="Arial" w:hAnsi="Arial" w:cs="Arial"/>
        </w:rPr>
        <w:t xml:space="preserve"> detected by any method, including </w:t>
      </w:r>
      <w:r w:rsidR="00E90765" w:rsidRPr="003C7547">
        <w:rPr>
          <w:rFonts w:ascii="Arial" w:hAnsi="Arial" w:cs="Arial"/>
        </w:rPr>
        <w:t xml:space="preserve">intrapulmonary shunting.  </w:t>
      </w:r>
      <w:r w:rsidR="00FA7C74" w:rsidRPr="003C7547">
        <w:rPr>
          <w:rFonts w:ascii="Arial" w:hAnsi="Arial" w:cs="Arial"/>
        </w:rPr>
        <w:t>E</w:t>
      </w:r>
      <w:r w:rsidR="006559C8" w:rsidRPr="003C7547">
        <w:rPr>
          <w:rFonts w:ascii="Arial" w:hAnsi="Arial" w:cs="Arial"/>
        </w:rPr>
        <w:t>chocardiograms were</w:t>
      </w:r>
      <w:r w:rsidR="00FA7C74" w:rsidRPr="003C7547">
        <w:rPr>
          <w:rFonts w:ascii="Arial" w:hAnsi="Arial" w:cs="Arial"/>
        </w:rPr>
        <w:t xml:space="preserve"> masked and</w:t>
      </w:r>
      <w:r w:rsidR="006559C8" w:rsidRPr="003C7547">
        <w:rPr>
          <w:rFonts w:ascii="Arial" w:hAnsi="Arial" w:cs="Arial"/>
        </w:rPr>
        <w:t xml:space="preserve"> </w:t>
      </w:r>
      <w:r w:rsidR="00F50C51" w:rsidRPr="003C7547">
        <w:rPr>
          <w:rFonts w:ascii="Arial" w:hAnsi="Arial" w:cs="Arial"/>
        </w:rPr>
        <w:t xml:space="preserve">adjudicated </w:t>
      </w:r>
      <w:r w:rsidR="006559C8" w:rsidRPr="003C7547">
        <w:rPr>
          <w:rFonts w:ascii="Arial" w:hAnsi="Arial" w:cs="Arial"/>
        </w:rPr>
        <w:t>centrally</w:t>
      </w:r>
      <w:r w:rsidR="005B7FED" w:rsidRPr="003C7547">
        <w:rPr>
          <w:rFonts w:ascii="Arial" w:hAnsi="Arial" w:cs="Arial"/>
        </w:rPr>
        <w:t>.  The</w:t>
      </w:r>
      <w:r w:rsidR="006559C8" w:rsidRPr="003C7547">
        <w:rPr>
          <w:rFonts w:ascii="Arial" w:hAnsi="Arial" w:cs="Arial"/>
        </w:rPr>
        <w:t xml:space="preserve"> prevalence of potential </w:t>
      </w:r>
      <w:r w:rsidR="00F50C51" w:rsidRPr="003C7547">
        <w:rPr>
          <w:rFonts w:ascii="Arial" w:hAnsi="Arial" w:cs="Arial"/>
        </w:rPr>
        <w:t>RLS</w:t>
      </w:r>
      <w:r w:rsidR="006559C8" w:rsidRPr="003C7547">
        <w:rPr>
          <w:rFonts w:ascii="Arial" w:hAnsi="Arial" w:cs="Arial"/>
        </w:rPr>
        <w:t xml:space="preserve"> was sign</w:t>
      </w:r>
      <w:r w:rsidR="005648FD" w:rsidRPr="003C7547">
        <w:rPr>
          <w:rFonts w:ascii="Arial" w:hAnsi="Arial" w:cs="Arial"/>
        </w:rPr>
        <w:t>ificantly higher in the SCA</w:t>
      </w:r>
      <w:r w:rsidR="00F50C51" w:rsidRPr="003C7547">
        <w:rPr>
          <w:rFonts w:ascii="Arial" w:hAnsi="Arial" w:cs="Arial"/>
        </w:rPr>
        <w:t>+</w:t>
      </w:r>
      <w:r w:rsidR="006559C8" w:rsidRPr="003C7547">
        <w:rPr>
          <w:rFonts w:ascii="Arial" w:hAnsi="Arial" w:cs="Arial"/>
        </w:rPr>
        <w:t>stroke group</w:t>
      </w:r>
      <w:r w:rsidR="00B263FA" w:rsidRPr="003C7547">
        <w:rPr>
          <w:rFonts w:ascii="Arial" w:hAnsi="Arial" w:cs="Arial"/>
        </w:rPr>
        <w:t xml:space="preserve"> than controls</w:t>
      </w:r>
      <w:r w:rsidR="006559C8" w:rsidRPr="003C7547">
        <w:rPr>
          <w:rFonts w:ascii="Arial" w:hAnsi="Arial" w:cs="Arial"/>
        </w:rPr>
        <w:t xml:space="preserve"> (</w:t>
      </w:r>
      <w:r w:rsidR="00BB1F6C" w:rsidRPr="003C7547">
        <w:rPr>
          <w:rFonts w:ascii="Arial" w:hAnsi="Arial" w:cs="Arial"/>
        </w:rPr>
        <w:t>45.6% vs. 23.6</w:t>
      </w:r>
      <w:r w:rsidR="006559C8" w:rsidRPr="003C7547">
        <w:rPr>
          <w:rFonts w:ascii="Arial" w:hAnsi="Arial" w:cs="Arial"/>
        </w:rPr>
        <w:t>%</w:t>
      </w:r>
      <w:r w:rsidR="00B263FA" w:rsidRPr="003C7547">
        <w:rPr>
          <w:rFonts w:ascii="Arial" w:hAnsi="Arial" w:cs="Arial"/>
        </w:rPr>
        <w:t xml:space="preserve">, </w:t>
      </w:r>
      <w:r w:rsidR="006559C8" w:rsidRPr="003C7547">
        <w:rPr>
          <w:rFonts w:ascii="Arial" w:hAnsi="Arial" w:cs="Arial"/>
        </w:rPr>
        <w:t>p&lt;0.001).</w:t>
      </w:r>
      <w:r w:rsidR="004A5FD7" w:rsidRPr="003C7547">
        <w:rPr>
          <w:rFonts w:ascii="Arial" w:hAnsi="Arial" w:cs="Arial"/>
        </w:rPr>
        <w:t xml:space="preserve"> The odds ratio for potential RLS in the SCA+stroke group was 2.7 (</w:t>
      </w:r>
      <w:r w:rsidR="001526D7" w:rsidRPr="003C7547">
        <w:rPr>
          <w:rFonts w:ascii="Arial" w:hAnsi="Arial" w:cs="Arial"/>
        </w:rPr>
        <w:t>95% confidence interval: 1.6-4.6</w:t>
      </w:r>
      <w:r w:rsidRPr="003C7547">
        <w:rPr>
          <w:rFonts w:ascii="Arial" w:hAnsi="Arial" w:cs="Arial"/>
        </w:rPr>
        <w:t>) vs</w:t>
      </w:r>
      <w:r w:rsidR="004A5FD7" w:rsidRPr="003C7547">
        <w:rPr>
          <w:rFonts w:ascii="Arial" w:hAnsi="Arial" w:cs="Arial"/>
        </w:rPr>
        <w:t xml:space="preserve"> controls.</w:t>
      </w:r>
      <w:r w:rsidR="00DF366F" w:rsidRPr="003C7547">
        <w:rPr>
          <w:rFonts w:ascii="Arial" w:hAnsi="Arial" w:cs="Arial"/>
        </w:rPr>
        <w:t xml:space="preserve"> </w:t>
      </w:r>
      <w:r w:rsidR="006559C8" w:rsidRPr="003C7547">
        <w:rPr>
          <w:rFonts w:ascii="Arial" w:hAnsi="Arial" w:cs="Arial"/>
        </w:rPr>
        <w:t xml:space="preserve"> </w:t>
      </w:r>
      <w:r w:rsidR="00F50C51" w:rsidRPr="003C7547">
        <w:rPr>
          <w:rFonts w:ascii="Arial" w:hAnsi="Arial" w:cs="Arial"/>
        </w:rPr>
        <w:t xml:space="preserve">In </w:t>
      </w:r>
      <w:r w:rsidR="00B263FA" w:rsidRPr="003C7547">
        <w:rPr>
          <w:rFonts w:ascii="Arial" w:hAnsi="Arial" w:cs="Arial"/>
          <w:i/>
        </w:rPr>
        <w:t>post hoc</w:t>
      </w:r>
      <w:r w:rsidR="00B263FA" w:rsidRPr="003C7547">
        <w:rPr>
          <w:rFonts w:ascii="Arial" w:hAnsi="Arial" w:cs="Arial"/>
        </w:rPr>
        <w:t xml:space="preserve"> analyse</w:t>
      </w:r>
      <w:r w:rsidR="00F50C51" w:rsidRPr="003C7547">
        <w:rPr>
          <w:rFonts w:ascii="Arial" w:hAnsi="Arial" w:cs="Arial"/>
        </w:rPr>
        <w:t>s</w:t>
      </w:r>
      <w:r w:rsidR="00B263FA" w:rsidRPr="003C7547">
        <w:rPr>
          <w:rFonts w:ascii="Arial" w:hAnsi="Arial" w:cs="Arial"/>
        </w:rPr>
        <w:t>, the SCA+stroke group had</w:t>
      </w:r>
      <w:r w:rsidR="006559C8" w:rsidRPr="003C7547">
        <w:rPr>
          <w:rFonts w:ascii="Arial" w:hAnsi="Arial" w:cs="Arial"/>
        </w:rPr>
        <w:t xml:space="preserve"> a higher </w:t>
      </w:r>
      <w:r w:rsidR="004A5FD7" w:rsidRPr="003C7547">
        <w:rPr>
          <w:rFonts w:ascii="Arial" w:hAnsi="Arial" w:cs="Arial"/>
        </w:rPr>
        <w:t xml:space="preserve">prevalence </w:t>
      </w:r>
      <w:r w:rsidR="00B263FA" w:rsidRPr="003C7547">
        <w:rPr>
          <w:rFonts w:ascii="Arial" w:hAnsi="Arial" w:cs="Arial"/>
        </w:rPr>
        <w:t xml:space="preserve">of </w:t>
      </w:r>
      <w:r w:rsidRPr="003C7547">
        <w:rPr>
          <w:rFonts w:ascii="Arial" w:hAnsi="Arial" w:cs="Arial"/>
        </w:rPr>
        <w:t>intrapulmonary</w:t>
      </w:r>
      <w:r w:rsidR="006559C8" w:rsidRPr="003C7547">
        <w:rPr>
          <w:rFonts w:ascii="Arial" w:hAnsi="Arial" w:cs="Arial"/>
        </w:rPr>
        <w:t xml:space="preserve"> (</w:t>
      </w:r>
      <w:r w:rsidR="00BB1F6C" w:rsidRPr="003C7547">
        <w:rPr>
          <w:rFonts w:ascii="Arial" w:hAnsi="Arial" w:cs="Arial"/>
        </w:rPr>
        <w:t>23.8% vs. 5.7</w:t>
      </w:r>
      <w:r w:rsidR="006559C8" w:rsidRPr="003C7547">
        <w:rPr>
          <w:rFonts w:ascii="Arial" w:hAnsi="Arial" w:cs="Arial"/>
        </w:rPr>
        <w:t>%, p&lt;0.001)</w:t>
      </w:r>
      <w:r w:rsidR="00F50C51" w:rsidRPr="003C7547">
        <w:rPr>
          <w:rFonts w:ascii="Arial" w:hAnsi="Arial" w:cs="Arial"/>
        </w:rPr>
        <w:t xml:space="preserve"> but not intracardiac shunting</w:t>
      </w:r>
      <w:r w:rsidR="004A5FD7" w:rsidRPr="003C7547">
        <w:rPr>
          <w:rFonts w:ascii="Arial" w:hAnsi="Arial" w:cs="Arial"/>
        </w:rPr>
        <w:t xml:space="preserve"> </w:t>
      </w:r>
      <w:r w:rsidR="00F50C51" w:rsidRPr="003C7547">
        <w:rPr>
          <w:rFonts w:ascii="Arial" w:hAnsi="Arial" w:cs="Arial"/>
        </w:rPr>
        <w:t>(21.8% vs. 18.7%, p=0.533)</w:t>
      </w:r>
      <w:r w:rsidR="006559C8" w:rsidRPr="003C7547">
        <w:rPr>
          <w:rFonts w:ascii="Arial" w:hAnsi="Arial" w:cs="Arial"/>
        </w:rPr>
        <w:t>.</w:t>
      </w:r>
      <w:r w:rsidR="005648FD" w:rsidRPr="003C7547">
        <w:rPr>
          <w:rFonts w:ascii="Arial" w:hAnsi="Arial" w:cs="Arial"/>
        </w:rPr>
        <w:t xml:space="preserve"> </w:t>
      </w:r>
      <w:r w:rsidR="006A569C" w:rsidRPr="003C7547">
        <w:rPr>
          <w:rFonts w:ascii="Arial" w:hAnsi="Arial" w:cs="Arial"/>
        </w:rPr>
        <w:t>SCA p</w:t>
      </w:r>
      <w:r w:rsidR="00833387" w:rsidRPr="003C7547">
        <w:rPr>
          <w:rFonts w:ascii="Arial" w:hAnsi="Arial" w:cs="Arial"/>
        </w:rPr>
        <w:t>atients with potential RLS were more likely to report headache at</w:t>
      </w:r>
      <w:r w:rsidRPr="003C7547">
        <w:rPr>
          <w:rFonts w:ascii="Arial" w:hAnsi="Arial" w:cs="Arial"/>
        </w:rPr>
        <w:t xml:space="preserve"> stroke onset</w:t>
      </w:r>
      <w:r w:rsidR="00833387" w:rsidRPr="003C7547">
        <w:rPr>
          <w:rFonts w:ascii="Arial" w:hAnsi="Arial" w:cs="Arial"/>
        </w:rPr>
        <w:t xml:space="preserve"> </w:t>
      </w:r>
      <w:r w:rsidR="00D616E6" w:rsidRPr="003C7547">
        <w:rPr>
          <w:rFonts w:ascii="Arial" w:hAnsi="Arial" w:cs="Arial"/>
        </w:rPr>
        <w:t>than those without</w:t>
      </w:r>
      <w:r w:rsidR="00833387" w:rsidRPr="003C7547">
        <w:rPr>
          <w:rFonts w:ascii="Arial" w:hAnsi="Arial" w:cs="Arial"/>
        </w:rPr>
        <w:t xml:space="preserve">. </w:t>
      </w:r>
      <w:r w:rsidR="003D220B" w:rsidRPr="003C7547">
        <w:rPr>
          <w:rFonts w:ascii="Arial" w:hAnsi="Arial" w:cs="Arial"/>
        </w:rPr>
        <w:t>I</w:t>
      </w:r>
      <w:r w:rsidR="00F50C51" w:rsidRPr="003C7547">
        <w:rPr>
          <w:rFonts w:ascii="Arial" w:hAnsi="Arial" w:cs="Arial"/>
        </w:rPr>
        <w:t xml:space="preserve">ntrapulmonary and </w:t>
      </w:r>
      <w:r w:rsidR="006559C8" w:rsidRPr="003C7547">
        <w:rPr>
          <w:rFonts w:ascii="Arial" w:hAnsi="Arial" w:cs="Arial"/>
        </w:rPr>
        <w:t xml:space="preserve">intracardiac shunting </w:t>
      </w:r>
      <w:r w:rsidR="005B7FED" w:rsidRPr="003C7547">
        <w:rPr>
          <w:rFonts w:ascii="Arial" w:hAnsi="Arial" w:cs="Arial"/>
        </w:rPr>
        <w:t>may be</w:t>
      </w:r>
      <w:r w:rsidR="006559C8" w:rsidRPr="003C7547">
        <w:rPr>
          <w:rFonts w:ascii="Arial" w:hAnsi="Arial" w:cs="Arial"/>
        </w:rPr>
        <w:t xml:space="preserve"> an </w:t>
      </w:r>
      <w:r w:rsidR="003D220B" w:rsidRPr="003C7547">
        <w:rPr>
          <w:rFonts w:ascii="Arial" w:hAnsi="Arial" w:cs="Arial"/>
        </w:rPr>
        <w:t xml:space="preserve">overlooked, </w:t>
      </w:r>
      <w:r w:rsidR="006559C8" w:rsidRPr="003C7547">
        <w:rPr>
          <w:rFonts w:ascii="Arial" w:hAnsi="Arial" w:cs="Arial"/>
        </w:rPr>
        <w:t>independent,</w:t>
      </w:r>
      <w:r w:rsidR="003D220B" w:rsidRPr="003C7547">
        <w:rPr>
          <w:rFonts w:ascii="Arial" w:hAnsi="Arial" w:cs="Arial"/>
        </w:rPr>
        <w:t xml:space="preserve"> and </w:t>
      </w:r>
      <w:r w:rsidR="006559C8" w:rsidRPr="003C7547">
        <w:rPr>
          <w:rFonts w:ascii="Arial" w:hAnsi="Arial" w:cs="Arial"/>
        </w:rPr>
        <w:t xml:space="preserve">potentially modifiable risk factor for stroke in SCA. </w:t>
      </w:r>
    </w:p>
    <w:p w:rsidR="00680A46" w:rsidRPr="003C7547" w:rsidRDefault="00680A46" w:rsidP="00D33B8C">
      <w:pPr>
        <w:spacing w:line="480" w:lineRule="auto"/>
        <w:rPr>
          <w:rFonts w:ascii="Arial" w:hAnsi="Arial" w:cs="Arial"/>
        </w:rPr>
      </w:pPr>
    </w:p>
    <w:p w:rsidR="006559C8" w:rsidRPr="003C7547" w:rsidRDefault="006559C8" w:rsidP="003E4496">
      <w:pPr>
        <w:spacing w:line="480" w:lineRule="auto"/>
        <w:rPr>
          <w:rFonts w:ascii="Arial" w:hAnsi="Arial" w:cs="Arial"/>
          <w:b/>
        </w:rPr>
      </w:pPr>
      <w:r w:rsidRPr="003C7547">
        <w:rPr>
          <w:rFonts w:ascii="Arial" w:hAnsi="Arial" w:cs="Arial"/>
          <w:b/>
        </w:rPr>
        <w:t>Introduction</w:t>
      </w:r>
    </w:p>
    <w:p w:rsidR="00680A46" w:rsidRPr="003C7547" w:rsidRDefault="002E103A" w:rsidP="003E4496">
      <w:pPr>
        <w:spacing w:line="480" w:lineRule="auto"/>
        <w:rPr>
          <w:rFonts w:ascii="Arial" w:hAnsi="Arial" w:cs="Arial"/>
        </w:rPr>
      </w:pPr>
      <w:r w:rsidRPr="003C7547">
        <w:rPr>
          <w:rFonts w:ascii="Arial" w:hAnsi="Arial" w:cs="Arial"/>
        </w:rPr>
        <w:t xml:space="preserve">Children with sickle cell anemia (SCA) are at high risk </w:t>
      </w:r>
      <w:r w:rsidR="00DC0538" w:rsidRPr="003C7547">
        <w:rPr>
          <w:rFonts w:ascii="Arial" w:hAnsi="Arial" w:cs="Arial"/>
        </w:rPr>
        <w:t xml:space="preserve">of </w:t>
      </w:r>
      <w:r w:rsidRPr="003C7547">
        <w:rPr>
          <w:rFonts w:ascii="Arial" w:hAnsi="Arial" w:cs="Arial"/>
        </w:rPr>
        <w:t>ischemic stroke</w:t>
      </w:r>
      <w:r w:rsidR="00DC0538" w:rsidRPr="003C7547">
        <w:rPr>
          <w:rFonts w:ascii="Arial" w:hAnsi="Arial" w:cs="Arial"/>
        </w:rPr>
        <w:t xml:space="preserve">, the causes of which are still not fully </w:t>
      </w:r>
      <w:r w:rsidR="002D71CB" w:rsidRPr="003C7547">
        <w:rPr>
          <w:rFonts w:ascii="Arial" w:hAnsi="Arial" w:cs="Arial"/>
        </w:rPr>
        <w:t>understood</w:t>
      </w:r>
      <w:r w:rsidR="00680A46" w:rsidRPr="003C7547">
        <w:rPr>
          <w:rFonts w:ascii="Arial" w:hAnsi="Arial" w:cs="Arial"/>
        </w:rPr>
        <w:t xml:space="preserve"> (Roach, et al., 2009). </w:t>
      </w:r>
      <w:r w:rsidR="0016383A" w:rsidRPr="003C7547">
        <w:rPr>
          <w:rFonts w:ascii="Arial" w:hAnsi="Arial" w:cs="Arial"/>
        </w:rPr>
        <w:t xml:space="preserve"> </w:t>
      </w:r>
      <w:r w:rsidR="00904874" w:rsidRPr="003C7547">
        <w:rPr>
          <w:rFonts w:ascii="Arial" w:hAnsi="Arial" w:cs="Arial"/>
        </w:rPr>
        <w:t>T</w:t>
      </w:r>
      <w:r w:rsidR="002D71CB" w:rsidRPr="003C7547">
        <w:rPr>
          <w:rFonts w:ascii="Arial" w:hAnsi="Arial" w:cs="Arial"/>
        </w:rPr>
        <w:t>his high risk must be driven, at least in part, by the adverse effects of sickle hemoglobin</w:t>
      </w:r>
      <w:r w:rsidR="008E7AA0" w:rsidRPr="003C7547">
        <w:rPr>
          <w:rFonts w:ascii="Arial" w:hAnsi="Arial" w:cs="Arial"/>
        </w:rPr>
        <w:t>. Until recently, any additional role for the</w:t>
      </w:r>
      <w:r w:rsidR="00904874" w:rsidRPr="003C7547">
        <w:rPr>
          <w:rFonts w:ascii="Arial" w:hAnsi="Arial" w:cs="Arial"/>
        </w:rPr>
        <w:t xml:space="preserve"> “traditional” risk factors for stroke (identified in the general population) ha</w:t>
      </w:r>
      <w:r w:rsidR="00FA7C74" w:rsidRPr="003C7547">
        <w:rPr>
          <w:rFonts w:ascii="Arial" w:hAnsi="Arial" w:cs="Arial"/>
        </w:rPr>
        <w:t>s</w:t>
      </w:r>
      <w:r w:rsidR="00904874" w:rsidRPr="003C7547">
        <w:rPr>
          <w:rFonts w:ascii="Arial" w:hAnsi="Arial" w:cs="Arial"/>
        </w:rPr>
        <w:t xml:space="preserve"> not been considered clinically or studied in children with SCA and </w:t>
      </w:r>
      <w:r w:rsidR="0016383A" w:rsidRPr="003C7547">
        <w:rPr>
          <w:rFonts w:ascii="Arial" w:hAnsi="Arial" w:cs="Arial"/>
        </w:rPr>
        <w:t>stroke</w:t>
      </w:r>
      <w:r w:rsidR="00680A46" w:rsidRPr="003C7547">
        <w:rPr>
          <w:rFonts w:ascii="Arial" w:hAnsi="Arial" w:cs="Arial"/>
        </w:rPr>
        <w:t xml:space="preserve"> (Dowling, et al., 2009).</w:t>
      </w:r>
      <w:r w:rsidR="0016383A" w:rsidRPr="003C7547">
        <w:rPr>
          <w:rFonts w:ascii="Arial" w:hAnsi="Arial" w:cs="Arial"/>
          <w:vertAlign w:val="superscript"/>
        </w:rPr>
        <w:t xml:space="preserve">  </w:t>
      </w:r>
      <w:r w:rsidR="0016383A" w:rsidRPr="003C7547">
        <w:rPr>
          <w:rFonts w:ascii="Arial" w:hAnsi="Arial" w:cs="Arial"/>
        </w:rPr>
        <w:t>In</w:t>
      </w:r>
      <w:r w:rsidRPr="003C7547">
        <w:rPr>
          <w:rFonts w:ascii="Arial" w:hAnsi="Arial" w:cs="Arial"/>
        </w:rPr>
        <w:t xml:space="preserve"> childr</w:t>
      </w:r>
      <w:r w:rsidR="00D57DB1" w:rsidRPr="003C7547">
        <w:rPr>
          <w:rFonts w:ascii="Arial" w:hAnsi="Arial" w:cs="Arial"/>
        </w:rPr>
        <w:t xml:space="preserve">en and young adults </w:t>
      </w:r>
      <w:r w:rsidR="00D57DB1" w:rsidRPr="003C7547">
        <w:rPr>
          <w:rFonts w:ascii="Arial" w:hAnsi="Arial" w:cs="Arial"/>
        </w:rPr>
        <w:lastRenderedPageBreak/>
        <w:t>without SCA,</w:t>
      </w:r>
      <w:r w:rsidRPr="003C7547">
        <w:rPr>
          <w:rFonts w:ascii="Arial" w:hAnsi="Arial" w:cs="Arial"/>
        </w:rPr>
        <w:t xml:space="preserve"> “paradoxical</w:t>
      </w:r>
      <w:r w:rsidR="00DC0538" w:rsidRPr="003C7547">
        <w:rPr>
          <w:rFonts w:ascii="Arial" w:hAnsi="Arial" w:cs="Arial"/>
        </w:rPr>
        <w:t>”</w:t>
      </w:r>
      <w:r w:rsidRPr="003C7547">
        <w:rPr>
          <w:rFonts w:ascii="Arial" w:hAnsi="Arial" w:cs="Arial"/>
        </w:rPr>
        <w:t xml:space="preserve"> embolization</w:t>
      </w:r>
      <w:r w:rsidR="00D57DB1" w:rsidRPr="003C7547">
        <w:rPr>
          <w:rFonts w:ascii="Arial" w:hAnsi="Arial" w:cs="Arial"/>
        </w:rPr>
        <w:t xml:space="preserve"> is an established </w:t>
      </w:r>
      <w:r w:rsidR="00DC0538" w:rsidRPr="003C7547">
        <w:rPr>
          <w:rFonts w:ascii="Arial" w:hAnsi="Arial" w:cs="Arial"/>
        </w:rPr>
        <w:t>cause of stroke</w:t>
      </w:r>
      <w:r w:rsidR="004E0265" w:rsidRPr="003C7547">
        <w:rPr>
          <w:rFonts w:ascii="Arial" w:hAnsi="Arial" w:cs="Arial"/>
        </w:rPr>
        <w:t>.</w:t>
      </w:r>
      <w:r w:rsidR="00D57DB1" w:rsidRPr="003C7547">
        <w:rPr>
          <w:rFonts w:ascii="Arial" w:hAnsi="Arial" w:cs="Arial"/>
        </w:rPr>
        <w:t xml:space="preserve">  By this mechanism,</w:t>
      </w:r>
      <w:r w:rsidRPr="003C7547">
        <w:rPr>
          <w:rFonts w:ascii="Arial" w:hAnsi="Arial" w:cs="Arial"/>
        </w:rPr>
        <w:t xml:space="preserve"> emboli from the venous circulation </w:t>
      </w:r>
      <w:r w:rsidR="009A60E8" w:rsidRPr="003C7547">
        <w:rPr>
          <w:rFonts w:ascii="Arial" w:hAnsi="Arial" w:cs="Arial"/>
        </w:rPr>
        <w:t>escape filtration by the lung</w:t>
      </w:r>
      <w:r w:rsidR="004E0265" w:rsidRPr="003C7547">
        <w:rPr>
          <w:rFonts w:ascii="Arial" w:hAnsi="Arial" w:cs="Arial"/>
        </w:rPr>
        <w:t>s and pass from the right heart</w:t>
      </w:r>
      <w:r w:rsidR="009A60E8" w:rsidRPr="003C7547">
        <w:rPr>
          <w:rFonts w:ascii="Arial" w:hAnsi="Arial" w:cs="Arial"/>
        </w:rPr>
        <w:t xml:space="preserve"> directly to the left heart and on to the brain</w:t>
      </w:r>
      <w:r w:rsidR="001F724C" w:rsidRPr="003C7547">
        <w:rPr>
          <w:rFonts w:ascii="Arial" w:hAnsi="Arial" w:cs="Arial"/>
        </w:rPr>
        <w:t xml:space="preserve"> (Overell, et al., 2000; Benedik, et al., 2007;</w:t>
      </w:r>
      <w:r w:rsidR="00680A46" w:rsidRPr="003C7547">
        <w:rPr>
          <w:rFonts w:ascii="Arial" w:hAnsi="Arial" w:cs="Arial"/>
        </w:rPr>
        <w:t xml:space="preserve"> Dowling and Ikemba, 2011</w:t>
      </w:r>
      <w:r w:rsidR="001F724C" w:rsidRPr="003C7547">
        <w:rPr>
          <w:rFonts w:ascii="Arial" w:hAnsi="Arial" w:cs="Arial"/>
        </w:rPr>
        <w:t>;</w:t>
      </w:r>
      <w:r w:rsidR="00680A46" w:rsidRPr="003C7547">
        <w:rPr>
          <w:rFonts w:ascii="Arial" w:hAnsi="Arial" w:cs="Arial"/>
        </w:rPr>
        <w:t xml:space="preserve"> Ning, et al., 2013).</w:t>
      </w:r>
      <w:r w:rsidR="009A60E8" w:rsidRPr="003C7547">
        <w:rPr>
          <w:rFonts w:ascii="Arial" w:hAnsi="Arial" w:cs="Arial"/>
        </w:rPr>
        <w:t xml:space="preserve"> Such right-to-left shunting</w:t>
      </w:r>
      <w:r w:rsidR="00285876" w:rsidRPr="003C7547">
        <w:rPr>
          <w:rFonts w:ascii="Arial" w:hAnsi="Arial" w:cs="Arial"/>
        </w:rPr>
        <w:t xml:space="preserve"> (RLS)</w:t>
      </w:r>
      <w:r w:rsidR="009A60E8" w:rsidRPr="003C7547">
        <w:rPr>
          <w:rFonts w:ascii="Arial" w:hAnsi="Arial" w:cs="Arial"/>
        </w:rPr>
        <w:t xml:space="preserve"> can occur via a patent foramen ovale</w:t>
      </w:r>
      <w:r w:rsidR="0001570B" w:rsidRPr="003C7547">
        <w:rPr>
          <w:rFonts w:ascii="Arial" w:hAnsi="Arial" w:cs="Arial"/>
        </w:rPr>
        <w:t xml:space="preserve"> (PFO)</w:t>
      </w:r>
      <w:r w:rsidR="005D08E8" w:rsidRPr="003C7547">
        <w:rPr>
          <w:rFonts w:ascii="Arial" w:hAnsi="Arial" w:cs="Arial"/>
        </w:rPr>
        <w:t>, any</w:t>
      </w:r>
      <w:r w:rsidR="009A60E8" w:rsidRPr="003C7547">
        <w:rPr>
          <w:rFonts w:ascii="Arial" w:hAnsi="Arial" w:cs="Arial"/>
        </w:rPr>
        <w:t xml:space="preserve"> other intracardiac shunt, or intrapulmonary shunts</w:t>
      </w:r>
      <w:r w:rsidR="005D08E8" w:rsidRPr="003C7547">
        <w:rPr>
          <w:rFonts w:ascii="Arial" w:hAnsi="Arial" w:cs="Arial"/>
        </w:rPr>
        <w:t>,</w:t>
      </w:r>
      <w:r w:rsidR="009A60E8" w:rsidRPr="003C7547">
        <w:rPr>
          <w:rFonts w:ascii="Arial" w:hAnsi="Arial" w:cs="Arial"/>
        </w:rPr>
        <w:t xml:space="preserve"> such as pulmonary arteriovenous malformations.  </w:t>
      </w:r>
      <w:r w:rsidR="00DC0538" w:rsidRPr="003C7547">
        <w:rPr>
          <w:rFonts w:ascii="Arial" w:hAnsi="Arial" w:cs="Arial"/>
        </w:rPr>
        <w:t>The r</w:t>
      </w:r>
      <w:r w:rsidR="009A60E8" w:rsidRPr="003C7547">
        <w:rPr>
          <w:rFonts w:ascii="Arial" w:hAnsi="Arial" w:cs="Arial"/>
        </w:rPr>
        <w:t>isk of paradoxical embolization is increased by</w:t>
      </w:r>
      <w:r w:rsidR="00D57DB1" w:rsidRPr="003C7547">
        <w:rPr>
          <w:rFonts w:ascii="Arial" w:hAnsi="Arial" w:cs="Arial"/>
        </w:rPr>
        <w:t xml:space="preserve"> hypercoagulable states and elevated right heart pressures, both of which</w:t>
      </w:r>
      <w:r w:rsidR="00FA7C74" w:rsidRPr="003C7547">
        <w:rPr>
          <w:rFonts w:ascii="Arial" w:hAnsi="Arial" w:cs="Arial"/>
        </w:rPr>
        <w:t xml:space="preserve"> may occur</w:t>
      </w:r>
      <w:r w:rsidR="00D57DB1" w:rsidRPr="003C7547">
        <w:rPr>
          <w:rFonts w:ascii="Arial" w:hAnsi="Arial" w:cs="Arial"/>
        </w:rPr>
        <w:t xml:space="preserve"> </w:t>
      </w:r>
      <w:r w:rsidR="008D7BBB" w:rsidRPr="003C7547">
        <w:rPr>
          <w:rFonts w:ascii="Arial" w:hAnsi="Arial" w:cs="Arial"/>
        </w:rPr>
        <w:t xml:space="preserve">more often </w:t>
      </w:r>
      <w:r w:rsidR="009A60E8" w:rsidRPr="003C7547">
        <w:rPr>
          <w:rFonts w:ascii="Arial" w:hAnsi="Arial" w:cs="Arial"/>
        </w:rPr>
        <w:t>in children with SCA</w:t>
      </w:r>
      <w:r w:rsidR="00680A46" w:rsidRPr="003C7547">
        <w:rPr>
          <w:rFonts w:ascii="Arial" w:hAnsi="Arial" w:cs="Arial"/>
        </w:rPr>
        <w:t xml:space="preserve"> (Ni</w:t>
      </w:r>
      <w:r w:rsidR="001F724C" w:rsidRPr="003C7547">
        <w:rPr>
          <w:rFonts w:ascii="Arial" w:hAnsi="Arial" w:cs="Arial"/>
        </w:rPr>
        <w:t>ng, et al., 2013; Hassell, 2005;</w:t>
      </w:r>
      <w:r w:rsidR="00680A46" w:rsidRPr="003C7547">
        <w:rPr>
          <w:rFonts w:ascii="Arial" w:hAnsi="Arial" w:cs="Arial"/>
        </w:rPr>
        <w:t xml:space="preserve"> Ataga and Orringer, 2003).</w:t>
      </w:r>
    </w:p>
    <w:p w:rsidR="00F308D3" w:rsidRPr="003C7547" w:rsidRDefault="00D57DB1" w:rsidP="003E4496">
      <w:pPr>
        <w:spacing w:line="480" w:lineRule="auto"/>
        <w:rPr>
          <w:rFonts w:ascii="Arial" w:hAnsi="Arial" w:cs="Arial"/>
        </w:rPr>
      </w:pPr>
      <w:r w:rsidRPr="003C7547">
        <w:rPr>
          <w:rFonts w:ascii="Arial" w:hAnsi="Arial" w:cs="Arial"/>
        </w:rPr>
        <w:t xml:space="preserve">In a pilot study, we found a higher prevalence of potential right-to-left shunting in children with SCA and stroke than in </w:t>
      </w:r>
      <w:r w:rsidR="004E0265" w:rsidRPr="003C7547">
        <w:rPr>
          <w:rFonts w:ascii="Arial" w:hAnsi="Arial" w:cs="Arial"/>
        </w:rPr>
        <w:t xml:space="preserve">a comparison group of children </w:t>
      </w:r>
      <w:r w:rsidR="0016383A" w:rsidRPr="003C7547">
        <w:rPr>
          <w:rFonts w:ascii="Arial" w:hAnsi="Arial" w:cs="Arial"/>
        </w:rPr>
        <w:t>without SCA who also had stroke</w:t>
      </w:r>
      <w:r w:rsidR="00680A46" w:rsidRPr="003C7547">
        <w:rPr>
          <w:rFonts w:ascii="Arial" w:hAnsi="Arial" w:cs="Arial"/>
        </w:rPr>
        <w:t xml:space="preserve"> (Dowling, et al., 2010).</w:t>
      </w:r>
      <w:r w:rsidR="00285876" w:rsidRPr="003C7547">
        <w:rPr>
          <w:rFonts w:ascii="Arial" w:hAnsi="Arial" w:cs="Arial"/>
        </w:rPr>
        <w:t xml:space="preserve">  There are few</w:t>
      </w:r>
      <w:r w:rsidR="004E0265" w:rsidRPr="003C7547">
        <w:rPr>
          <w:rFonts w:ascii="Arial" w:hAnsi="Arial" w:cs="Arial"/>
        </w:rPr>
        <w:t xml:space="preserve"> control data available on the prevalence of potential shunting in children without stroke</w:t>
      </w:r>
      <w:r w:rsidR="00680A46" w:rsidRPr="003C7547">
        <w:rPr>
          <w:rFonts w:ascii="Arial" w:hAnsi="Arial" w:cs="Arial"/>
        </w:rPr>
        <w:t xml:space="preserve"> (Dowling and Ikemba, 2011). </w:t>
      </w:r>
      <w:r w:rsidR="0016383A" w:rsidRPr="003C7547">
        <w:rPr>
          <w:rFonts w:ascii="Arial" w:hAnsi="Arial" w:cs="Arial"/>
        </w:rPr>
        <w:t xml:space="preserve"> </w:t>
      </w:r>
      <w:r w:rsidR="00F51BB4" w:rsidRPr="003C7547">
        <w:rPr>
          <w:rFonts w:ascii="Arial" w:hAnsi="Arial" w:cs="Arial"/>
        </w:rPr>
        <w:t>W</w:t>
      </w:r>
      <w:r w:rsidR="00F81681" w:rsidRPr="003C7547">
        <w:rPr>
          <w:rFonts w:ascii="Arial" w:hAnsi="Arial" w:cs="Arial"/>
        </w:rPr>
        <w:t>e sought to</w:t>
      </w:r>
      <w:r w:rsidR="00F51BB4" w:rsidRPr="003C7547">
        <w:rPr>
          <w:rFonts w:ascii="Arial" w:hAnsi="Arial" w:cs="Arial"/>
        </w:rPr>
        <w:t xml:space="preserve"> determine if paradoxical embolization could be a risk factor for stroke in children with SCA by evaluating </w:t>
      </w:r>
      <w:r w:rsidR="004E0265" w:rsidRPr="003C7547">
        <w:rPr>
          <w:rFonts w:ascii="Arial" w:hAnsi="Arial" w:cs="Arial"/>
        </w:rPr>
        <w:t xml:space="preserve">a large population of children with SCA and stroke and a control group of children without SCA or stroke by standardized </w:t>
      </w:r>
      <w:r w:rsidR="00285876" w:rsidRPr="003C7547">
        <w:rPr>
          <w:rFonts w:ascii="Arial" w:hAnsi="Arial" w:cs="Arial"/>
        </w:rPr>
        <w:t xml:space="preserve">contrast </w:t>
      </w:r>
      <w:r w:rsidR="004E0265" w:rsidRPr="003C7547">
        <w:rPr>
          <w:rFonts w:ascii="Arial" w:hAnsi="Arial" w:cs="Arial"/>
        </w:rPr>
        <w:t>echocardiographic methods</w:t>
      </w:r>
      <w:r w:rsidR="00F51BB4" w:rsidRPr="003C7547">
        <w:rPr>
          <w:rFonts w:ascii="Arial" w:hAnsi="Arial" w:cs="Arial"/>
        </w:rPr>
        <w:t xml:space="preserve"> in a prospective multicenter study</w:t>
      </w:r>
      <w:r w:rsidR="004E0265" w:rsidRPr="003C7547">
        <w:rPr>
          <w:rFonts w:ascii="Arial" w:hAnsi="Arial" w:cs="Arial"/>
        </w:rPr>
        <w:t>.  We hypothesized that the prevalence of potential right-to-left shunting</w:t>
      </w:r>
      <w:r w:rsidR="00285876" w:rsidRPr="003C7547">
        <w:rPr>
          <w:rFonts w:ascii="Arial" w:hAnsi="Arial" w:cs="Arial"/>
        </w:rPr>
        <w:t xml:space="preserve"> detected by contrast</w:t>
      </w:r>
      <w:r w:rsidR="00DB3E81" w:rsidRPr="003C7547">
        <w:rPr>
          <w:rFonts w:ascii="Arial" w:hAnsi="Arial" w:cs="Arial"/>
        </w:rPr>
        <w:t xml:space="preserve"> transthoracic echocardiography</w:t>
      </w:r>
      <w:r w:rsidR="004E0265" w:rsidRPr="003C7547">
        <w:rPr>
          <w:rFonts w:ascii="Arial" w:hAnsi="Arial" w:cs="Arial"/>
        </w:rPr>
        <w:t xml:space="preserve"> w</w:t>
      </w:r>
      <w:r w:rsidR="005D2221" w:rsidRPr="003C7547">
        <w:rPr>
          <w:rFonts w:ascii="Arial" w:hAnsi="Arial" w:cs="Arial"/>
        </w:rPr>
        <w:t>ould</w:t>
      </w:r>
      <w:r w:rsidR="004E0265" w:rsidRPr="003C7547">
        <w:rPr>
          <w:rFonts w:ascii="Arial" w:hAnsi="Arial" w:cs="Arial"/>
        </w:rPr>
        <w:t xml:space="preserve"> be higher in children with SCA and stroke than in a control population of children without SCA or stroke.  </w:t>
      </w:r>
    </w:p>
    <w:p w:rsidR="006559C8" w:rsidRPr="003C7547" w:rsidRDefault="006559C8" w:rsidP="003E4496">
      <w:pPr>
        <w:spacing w:line="480" w:lineRule="auto"/>
        <w:rPr>
          <w:rFonts w:ascii="Arial" w:hAnsi="Arial" w:cs="Arial"/>
          <w:b/>
        </w:rPr>
      </w:pPr>
      <w:r w:rsidRPr="003C7547">
        <w:rPr>
          <w:rFonts w:ascii="Arial" w:hAnsi="Arial" w:cs="Arial"/>
          <w:b/>
        </w:rPr>
        <w:t xml:space="preserve">Methods </w:t>
      </w:r>
    </w:p>
    <w:p w:rsidR="00DB6D83" w:rsidRPr="003C7547" w:rsidRDefault="00946012" w:rsidP="003E4496">
      <w:pPr>
        <w:spacing w:line="480" w:lineRule="auto"/>
        <w:rPr>
          <w:rFonts w:ascii="Arial" w:hAnsi="Arial" w:cs="Arial"/>
        </w:rPr>
      </w:pPr>
      <w:r w:rsidRPr="003C7547">
        <w:rPr>
          <w:rFonts w:ascii="Arial" w:hAnsi="Arial" w:cs="Arial"/>
        </w:rPr>
        <w:t xml:space="preserve">We </w:t>
      </w:r>
      <w:r w:rsidR="005D2221" w:rsidRPr="003C7547">
        <w:rPr>
          <w:rFonts w:ascii="Arial" w:hAnsi="Arial" w:cs="Arial"/>
        </w:rPr>
        <w:t>performed a cross sectional study of</w:t>
      </w:r>
      <w:r w:rsidR="005D08E8" w:rsidRPr="003C7547">
        <w:rPr>
          <w:rFonts w:ascii="Arial" w:hAnsi="Arial" w:cs="Arial"/>
        </w:rPr>
        <w:t xml:space="preserve"> </w:t>
      </w:r>
      <w:r w:rsidRPr="003C7547">
        <w:rPr>
          <w:rFonts w:ascii="Arial" w:hAnsi="Arial" w:cs="Arial"/>
        </w:rPr>
        <w:t xml:space="preserve">children </w:t>
      </w:r>
      <w:r w:rsidR="00EE52C6" w:rsidRPr="003C7547">
        <w:rPr>
          <w:rFonts w:ascii="Arial" w:hAnsi="Arial" w:cs="Arial"/>
        </w:rPr>
        <w:t xml:space="preserve">with a diagnosis of SCA </w:t>
      </w:r>
      <w:r w:rsidR="005D08E8" w:rsidRPr="003C7547">
        <w:rPr>
          <w:rFonts w:ascii="Arial" w:hAnsi="Arial" w:cs="Arial"/>
        </w:rPr>
        <w:t xml:space="preserve">[defined here as homozygous sickle cell anemia (HbSS) </w:t>
      </w:r>
      <w:r w:rsidR="006A569C" w:rsidRPr="003C7547">
        <w:rPr>
          <w:rFonts w:ascii="Arial" w:hAnsi="Arial" w:cs="Arial"/>
        </w:rPr>
        <w:t>or</w:t>
      </w:r>
      <w:r w:rsidR="005D08E8" w:rsidRPr="003C7547">
        <w:rPr>
          <w:rFonts w:ascii="Arial" w:hAnsi="Arial" w:cs="Arial"/>
        </w:rPr>
        <w:t xml:space="preserve"> sickle-β</w:t>
      </w:r>
      <w:r w:rsidR="005D08E8" w:rsidRPr="003C7547">
        <w:rPr>
          <w:rFonts w:ascii="Arial" w:hAnsi="Arial" w:cs="Arial"/>
          <w:vertAlign w:val="superscript"/>
        </w:rPr>
        <w:t>0</w:t>
      </w:r>
      <w:r w:rsidR="005D08E8" w:rsidRPr="003C7547">
        <w:rPr>
          <w:rFonts w:ascii="Arial" w:hAnsi="Arial" w:cs="Arial"/>
        </w:rPr>
        <w:t>-</w:t>
      </w:r>
      <w:r w:rsidR="00EE52C6" w:rsidRPr="003C7547">
        <w:rPr>
          <w:rFonts w:ascii="Arial" w:hAnsi="Arial" w:cs="Arial"/>
        </w:rPr>
        <w:t>thalassemia</w:t>
      </w:r>
      <w:r w:rsidR="005D08E8" w:rsidRPr="003C7547">
        <w:rPr>
          <w:rFonts w:ascii="Arial" w:hAnsi="Arial" w:cs="Arial"/>
        </w:rPr>
        <w:t>]</w:t>
      </w:r>
      <w:r w:rsidR="00EE52C6" w:rsidRPr="003C7547">
        <w:rPr>
          <w:rFonts w:ascii="Arial" w:hAnsi="Arial" w:cs="Arial"/>
        </w:rPr>
        <w:t xml:space="preserve"> and a history of clinically overt ischemic stroke (acute or remote) </w:t>
      </w:r>
      <w:r w:rsidRPr="003C7547">
        <w:rPr>
          <w:rFonts w:ascii="Arial" w:hAnsi="Arial" w:cs="Arial"/>
        </w:rPr>
        <w:t xml:space="preserve">as well as controls without SCA or history of stroke to evaluate for potential right-to-left shunting by contrasted transthoracic echocardiogram (TTE). </w:t>
      </w:r>
      <w:r w:rsidR="008545AA" w:rsidRPr="003C7547">
        <w:rPr>
          <w:rFonts w:ascii="Arial" w:hAnsi="Arial" w:cs="Arial"/>
        </w:rPr>
        <w:t xml:space="preserve"> </w:t>
      </w:r>
      <w:r w:rsidRPr="003C7547">
        <w:rPr>
          <w:rFonts w:ascii="Arial" w:hAnsi="Arial" w:cs="Arial"/>
        </w:rPr>
        <w:t xml:space="preserve">Local Ethics or Institutional Review Board approval was obtained at all 14 institutions in the US </w:t>
      </w:r>
      <w:r w:rsidRPr="003C7547">
        <w:rPr>
          <w:rFonts w:ascii="Arial" w:hAnsi="Arial" w:cs="Arial"/>
        </w:rPr>
        <w:lastRenderedPageBreak/>
        <w:t>and UK</w:t>
      </w:r>
      <w:r w:rsidR="005D08E8" w:rsidRPr="003C7547">
        <w:rPr>
          <w:rFonts w:ascii="Arial" w:hAnsi="Arial" w:cs="Arial"/>
        </w:rPr>
        <w:t xml:space="preserve"> (see Acknowledgements)</w:t>
      </w:r>
      <w:r w:rsidRPr="003C7547">
        <w:rPr>
          <w:rFonts w:ascii="Arial" w:hAnsi="Arial" w:cs="Arial"/>
        </w:rPr>
        <w:t>.</w:t>
      </w:r>
      <w:r w:rsidR="005D08E8" w:rsidRPr="003C7547">
        <w:rPr>
          <w:rFonts w:ascii="Arial" w:hAnsi="Arial" w:cs="Arial"/>
        </w:rPr>
        <w:t xml:space="preserve"> </w:t>
      </w:r>
      <w:r w:rsidRPr="003C7547">
        <w:rPr>
          <w:rFonts w:ascii="Arial" w:hAnsi="Arial" w:cs="Arial"/>
        </w:rPr>
        <w:t xml:space="preserve">We </w:t>
      </w:r>
      <w:r w:rsidR="005D08E8" w:rsidRPr="003C7547">
        <w:rPr>
          <w:rFonts w:ascii="Arial" w:hAnsi="Arial" w:cs="Arial"/>
        </w:rPr>
        <w:t xml:space="preserve">enrolled </w:t>
      </w:r>
      <w:r w:rsidRPr="003C7547">
        <w:rPr>
          <w:rFonts w:ascii="Arial" w:hAnsi="Arial" w:cs="Arial"/>
        </w:rPr>
        <w:t>children 2-19 years</w:t>
      </w:r>
      <w:r w:rsidR="005D08E8" w:rsidRPr="003C7547">
        <w:rPr>
          <w:rFonts w:ascii="Arial" w:hAnsi="Arial" w:cs="Arial"/>
        </w:rPr>
        <w:t xml:space="preserve"> of age</w:t>
      </w:r>
      <w:r w:rsidRPr="003C7547">
        <w:rPr>
          <w:rFonts w:ascii="Arial" w:hAnsi="Arial" w:cs="Arial"/>
        </w:rPr>
        <w:t xml:space="preserve"> </w:t>
      </w:r>
      <w:r w:rsidR="00F81681" w:rsidRPr="003C7547">
        <w:rPr>
          <w:rFonts w:ascii="Arial" w:hAnsi="Arial" w:cs="Arial"/>
        </w:rPr>
        <w:t>who</w:t>
      </w:r>
      <w:r w:rsidRPr="003C7547">
        <w:rPr>
          <w:rFonts w:ascii="Arial" w:hAnsi="Arial" w:cs="Arial"/>
        </w:rPr>
        <w:t xml:space="preserve"> had </w:t>
      </w:r>
      <w:r w:rsidR="00EE52C6" w:rsidRPr="003C7547">
        <w:rPr>
          <w:rFonts w:ascii="Arial" w:hAnsi="Arial" w:cs="Arial"/>
        </w:rPr>
        <w:t xml:space="preserve">intravenous </w:t>
      </w:r>
      <w:r w:rsidRPr="003C7547">
        <w:rPr>
          <w:rFonts w:ascii="Arial" w:hAnsi="Arial" w:cs="Arial"/>
        </w:rPr>
        <w:t xml:space="preserve">(IV) </w:t>
      </w:r>
      <w:r w:rsidR="00EE52C6" w:rsidRPr="003C7547">
        <w:rPr>
          <w:rFonts w:ascii="Arial" w:hAnsi="Arial" w:cs="Arial"/>
        </w:rPr>
        <w:t>acc</w:t>
      </w:r>
      <w:r w:rsidRPr="003C7547">
        <w:rPr>
          <w:rFonts w:ascii="Arial" w:hAnsi="Arial" w:cs="Arial"/>
        </w:rPr>
        <w:t>e</w:t>
      </w:r>
      <w:r w:rsidR="00EE52C6" w:rsidRPr="003C7547">
        <w:rPr>
          <w:rFonts w:ascii="Arial" w:hAnsi="Arial" w:cs="Arial"/>
        </w:rPr>
        <w:t xml:space="preserve">ss obtained </w:t>
      </w:r>
      <w:r w:rsidR="007F48D4" w:rsidRPr="003C7547">
        <w:rPr>
          <w:rFonts w:ascii="Arial" w:hAnsi="Arial" w:cs="Arial"/>
        </w:rPr>
        <w:t xml:space="preserve">for another clinical indication </w:t>
      </w:r>
      <w:r w:rsidRPr="003C7547">
        <w:rPr>
          <w:rFonts w:ascii="Arial" w:hAnsi="Arial" w:cs="Arial"/>
        </w:rPr>
        <w:t xml:space="preserve">(e.g. blood </w:t>
      </w:r>
      <w:r w:rsidR="0065577D" w:rsidRPr="003C7547">
        <w:rPr>
          <w:rFonts w:ascii="Arial" w:hAnsi="Arial" w:cs="Arial"/>
        </w:rPr>
        <w:t>transfusion</w:t>
      </w:r>
      <w:r w:rsidRPr="003C7547">
        <w:rPr>
          <w:rFonts w:ascii="Arial" w:hAnsi="Arial" w:cs="Arial"/>
        </w:rPr>
        <w:t>, hydration, or administration of IV medication).</w:t>
      </w:r>
      <w:r w:rsidR="008545AA" w:rsidRPr="003C7547">
        <w:rPr>
          <w:rFonts w:ascii="Arial" w:hAnsi="Arial" w:cs="Arial"/>
        </w:rPr>
        <w:t xml:space="preserve"> </w:t>
      </w:r>
      <w:r w:rsidRPr="003C7547">
        <w:rPr>
          <w:rFonts w:ascii="Arial" w:hAnsi="Arial" w:cs="Arial"/>
        </w:rPr>
        <w:t xml:space="preserve"> </w:t>
      </w:r>
      <w:r w:rsidR="00E857E7" w:rsidRPr="003C7547">
        <w:rPr>
          <w:rFonts w:ascii="Arial" w:hAnsi="Arial" w:cs="Arial"/>
        </w:rPr>
        <w:t xml:space="preserve">Informed </w:t>
      </w:r>
      <w:r w:rsidR="005D08E8" w:rsidRPr="003C7547">
        <w:rPr>
          <w:rFonts w:ascii="Arial" w:hAnsi="Arial" w:cs="Arial"/>
        </w:rPr>
        <w:t>consent, and assent when appropriate, was provided by all participants or their parents.</w:t>
      </w:r>
    </w:p>
    <w:p w:rsidR="003276F6" w:rsidRPr="003C7547" w:rsidRDefault="00370839" w:rsidP="003276F6">
      <w:pPr>
        <w:spacing w:line="480" w:lineRule="auto"/>
        <w:rPr>
          <w:rFonts w:ascii="Arial" w:hAnsi="Arial" w:cs="Arial"/>
        </w:rPr>
      </w:pPr>
      <w:r w:rsidRPr="003C7547">
        <w:rPr>
          <w:rFonts w:ascii="Arial" w:hAnsi="Arial" w:cs="Arial"/>
        </w:rPr>
        <w:t>We chose a control group of children without SCD and without history of stroke for reasons of feasibility, along with fina</w:t>
      </w:r>
      <w:r w:rsidR="00A40CF0" w:rsidRPr="003C7547">
        <w:rPr>
          <w:rFonts w:ascii="Arial" w:hAnsi="Arial" w:cs="Arial"/>
        </w:rPr>
        <w:t xml:space="preserve">ncial and ethical limitations.  </w:t>
      </w:r>
      <w:r w:rsidR="003276F6" w:rsidRPr="003C7547">
        <w:rPr>
          <w:rFonts w:ascii="Arial" w:hAnsi="Arial" w:cs="Arial"/>
        </w:rPr>
        <w:t xml:space="preserve">Our Institutional Review Board would not permit placement of an intravenous line required for the administration of agitated saline contrast for the echocardiogram solely for the purposes of this study, where there was presumed to be no clinical benefit.  Thus, while children with SCD frequently receive venipuncture, we were not allowed to leave an IV in place for the study at the time of simple venipuncture.  There had to be another clinical indication for the IV to remain in place and the children had to be “healthy” at the time of the study. This precluded the study of shunting in children with SCA without overt stroke who were not acutely ill.  Thus, there were limited opportunities to enroll children with SCA without stroke in the study and we chose a control group of children without SCD or stroke who had an IV in place for another clinical indication.   Within these parameters, we were able to enroll children with SCD and stroke on chronic transfusion programmes where the echocardiogram could be scheduled in advance in conjunction with planned transfusions for which an IV would be in place. For control subjects, the same requirements were in place.  Many of our control patients were drawn from populations scheduled for planned procedures, minor surgeries, imaging studies, or infusions that required planned placement of an IV. </w:t>
      </w:r>
    </w:p>
    <w:p w:rsidR="00370839" w:rsidRPr="003C7547" w:rsidRDefault="00370839" w:rsidP="003E4496">
      <w:pPr>
        <w:spacing w:line="480" w:lineRule="auto"/>
        <w:rPr>
          <w:rFonts w:ascii="Arial" w:hAnsi="Arial" w:cs="Arial"/>
        </w:rPr>
      </w:pPr>
      <w:r w:rsidRPr="003C7547">
        <w:rPr>
          <w:rFonts w:ascii="Arial" w:hAnsi="Arial" w:cs="Arial"/>
        </w:rPr>
        <w:t>Further, clinically silent stroke is highly prevalent in children with SCA</w:t>
      </w:r>
      <w:r w:rsidR="001F724C" w:rsidRPr="003C7547">
        <w:rPr>
          <w:rFonts w:ascii="Arial" w:hAnsi="Arial" w:cs="Arial"/>
        </w:rPr>
        <w:t xml:space="preserve"> (DeBaun, et al., 2014) </w:t>
      </w:r>
      <w:r w:rsidRPr="003C7547">
        <w:rPr>
          <w:rFonts w:ascii="Arial" w:hAnsi="Arial" w:cs="Arial"/>
        </w:rPr>
        <w:t xml:space="preserve">and this could be related to RLS as well. We felt that children with SCA would require screening for silent infarction for inclusion as control subjects.  Our study budget did not allow for MRI to </w:t>
      </w:r>
      <w:r w:rsidRPr="003C7547">
        <w:rPr>
          <w:rFonts w:ascii="Arial" w:hAnsi="Arial" w:cs="Arial"/>
        </w:rPr>
        <w:lastRenderedPageBreak/>
        <w:t>evaluate for the presence of silent cerebral infarction in the control group but this was assumed to be a low frequency event in our control group of children without SCA.</w:t>
      </w:r>
      <w:r w:rsidR="006558EC" w:rsidRPr="003C7547">
        <w:rPr>
          <w:rFonts w:ascii="Arial" w:hAnsi="Arial" w:cs="Arial"/>
        </w:rPr>
        <w:t xml:space="preserve">  </w:t>
      </w:r>
    </w:p>
    <w:p w:rsidR="00946012" w:rsidRPr="003C7547" w:rsidRDefault="0011488D" w:rsidP="003E4496">
      <w:pPr>
        <w:spacing w:line="480" w:lineRule="auto"/>
        <w:rPr>
          <w:rFonts w:ascii="Arial" w:hAnsi="Arial" w:cs="Arial"/>
        </w:rPr>
      </w:pPr>
      <w:r w:rsidRPr="003C7547">
        <w:rPr>
          <w:rFonts w:ascii="Arial" w:hAnsi="Arial" w:cs="Arial"/>
        </w:rPr>
        <w:t>We defined stroke as a focal neurologic deficit of acute onset with a corresponding abnormality on CT or MRI in a location consistent with the neurologic signs a</w:t>
      </w:r>
      <w:r w:rsidR="005D41E8" w:rsidRPr="003C7547">
        <w:rPr>
          <w:rFonts w:ascii="Arial" w:hAnsi="Arial" w:cs="Arial"/>
        </w:rPr>
        <w:t>nd symptoms.   Children with SCA</w:t>
      </w:r>
      <w:r w:rsidRPr="003C7547">
        <w:rPr>
          <w:rFonts w:ascii="Arial" w:hAnsi="Arial" w:cs="Arial"/>
        </w:rPr>
        <w:t xml:space="preserve"> and only silent cerebral infarctions (those identified only by imaging study without any corresponding focal neurologic abnormalities) were </w:t>
      </w:r>
      <w:r w:rsidRPr="003C7547">
        <w:rPr>
          <w:rFonts w:ascii="Arial" w:hAnsi="Arial" w:cs="Arial"/>
          <w:u w:val="single"/>
        </w:rPr>
        <w:t>not</w:t>
      </w:r>
      <w:r w:rsidRPr="003C7547">
        <w:rPr>
          <w:rFonts w:ascii="Arial" w:hAnsi="Arial" w:cs="Arial"/>
        </w:rPr>
        <w:t xml:space="preserve"> included.  </w:t>
      </w:r>
      <w:r w:rsidR="00946012" w:rsidRPr="003C7547">
        <w:rPr>
          <w:rFonts w:ascii="Arial" w:hAnsi="Arial" w:cs="Arial"/>
        </w:rPr>
        <w:t xml:space="preserve">For control subjects we excluded those with known or suspected congenital heart disease and </w:t>
      </w:r>
      <w:r w:rsidR="0065577D" w:rsidRPr="003C7547">
        <w:rPr>
          <w:rFonts w:ascii="Arial" w:hAnsi="Arial" w:cs="Arial"/>
        </w:rPr>
        <w:t>those undergoing echocardiogram</w:t>
      </w:r>
      <w:r w:rsidR="00946012" w:rsidRPr="003C7547">
        <w:rPr>
          <w:rFonts w:ascii="Arial" w:hAnsi="Arial" w:cs="Arial"/>
        </w:rPr>
        <w:t xml:space="preserve"> for transient ischemic attac</w:t>
      </w:r>
      <w:r w:rsidR="0065577D" w:rsidRPr="003C7547">
        <w:rPr>
          <w:rFonts w:ascii="Arial" w:hAnsi="Arial" w:cs="Arial"/>
        </w:rPr>
        <w:t>k</w:t>
      </w:r>
      <w:r w:rsidR="00946012" w:rsidRPr="003C7547">
        <w:rPr>
          <w:rFonts w:ascii="Arial" w:hAnsi="Arial" w:cs="Arial"/>
        </w:rPr>
        <w:t>, migraine headache</w:t>
      </w:r>
      <w:r w:rsidR="0065577D" w:rsidRPr="003C7547">
        <w:rPr>
          <w:rFonts w:ascii="Arial" w:hAnsi="Arial" w:cs="Arial"/>
        </w:rPr>
        <w:t xml:space="preserve">, or other neurologic indication.  Additionally we excluded </w:t>
      </w:r>
      <w:r w:rsidR="006A569C" w:rsidRPr="003C7547">
        <w:rPr>
          <w:rFonts w:ascii="Arial" w:hAnsi="Arial" w:cs="Arial"/>
        </w:rPr>
        <w:t>patients</w:t>
      </w:r>
      <w:r w:rsidR="0065577D" w:rsidRPr="003C7547">
        <w:rPr>
          <w:rFonts w:ascii="Arial" w:hAnsi="Arial" w:cs="Arial"/>
        </w:rPr>
        <w:t xml:space="preserve"> who were</w:t>
      </w:r>
      <w:r w:rsidR="00923ACF" w:rsidRPr="003C7547">
        <w:rPr>
          <w:rFonts w:ascii="Arial" w:hAnsi="Arial" w:cs="Arial"/>
        </w:rPr>
        <w:t xml:space="preserve"> </w:t>
      </w:r>
      <w:r w:rsidR="0065577D" w:rsidRPr="003C7547">
        <w:rPr>
          <w:rFonts w:ascii="Arial" w:hAnsi="Arial" w:cs="Arial"/>
        </w:rPr>
        <w:t>clinically unstable for echocardiogram or had undergone surgical closure of any intracardiac shunts</w:t>
      </w:r>
      <w:r w:rsidRPr="003C7547">
        <w:rPr>
          <w:rFonts w:ascii="Arial" w:hAnsi="Arial" w:cs="Arial"/>
        </w:rPr>
        <w:t>.</w:t>
      </w:r>
    </w:p>
    <w:p w:rsidR="00967E7B" w:rsidRPr="003C7547" w:rsidRDefault="0011488D" w:rsidP="003E4496">
      <w:pPr>
        <w:spacing w:line="480" w:lineRule="auto"/>
        <w:rPr>
          <w:rFonts w:ascii="Arial" w:hAnsi="Arial" w:cs="Arial"/>
        </w:rPr>
      </w:pPr>
      <w:r w:rsidRPr="003C7547">
        <w:rPr>
          <w:rFonts w:ascii="Arial" w:hAnsi="Arial" w:cs="Arial"/>
        </w:rPr>
        <w:t xml:space="preserve">Transthoracic </w:t>
      </w:r>
      <w:r w:rsidR="00543ED7" w:rsidRPr="003C7547">
        <w:rPr>
          <w:rFonts w:ascii="Arial" w:hAnsi="Arial" w:cs="Arial"/>
        </w:rPr>
        <w:t xml:space="preserve">echocardiograms </w:t>
      </w:r>
      <w:r w:rsidRPr="003C7547">
        <w:rPr>
          <w:rFonts w:ascii="Arial" w:hAnsi="Arial" w:cs="Arial"/>
        </w:rPr>
        <w:t>were performed by standardized methods at the local sites and included conventional 2-D, color Doppler</w:t>
      </w:r>
      <w:r w:rsidR="00543ED7" w:rsidRPr="003C7547">
        <w:rPr>
          <w:rFonts w:ascii="Arial" w:hAnsi="Arial" w:cs="Arial"/>
        </w:rPr>
        <w:t>,</w:t>
      </w:r>
      <w:r w:rsidRPr="003C7547">
        <w:rPr>
          <w:rFonts w:ascii="Arial" w:hAnsi="Arial" w:cs="Arial"/>
        </w:rPr>
        <w:t xml:space="preserve"> and a total of 4 IV cont</w:t>
      </w:r>
      <w:r w:rsidR="00543ED7" w:rsidRPr="003C7547">
        <w:rPr>
          <w:rFonts w:ascii="Arial" w:hAnsi="Arial" w:cs="Arial"/>
        </w:rPr>
        <w:t xml:space="preserve">rast injections </w:t>
      </w:r>
      <w:r w:rsidR="00B06A28" w:rsidRPr="003C7547">
        <w:rPr>
          <w:rFonts w:ascii="Arial" w:hAnsi="Arial" w:cs="Arial"/>
        </w:rPr>
        <w:t xml:space="preserve">with </w:t>
      </w:r>
      <w:r w:rsidR="00543ED7" w:rsidRPr="003C7547">
        <w:rPr>
          <w:rFonts w:ascii="Arial" w:hAnsi="Arial" w:cs="Arial"/>
        </w:rPr>
        <w:t xml:space="preserve">agitated saline, </w:t>
      </w:r>
      <w:r w:rsidR="00DB6D83" w:rsidRPr="003C7547">
        <w:rPr>
          <w:rFonts w:ascii="Arial" w:hAnsi="Arial" w:cs="Arial"/>
        </w:rPr>
        <w:t xml:space="preserve">including </w:t>
      </w:r>
      <w:r w:rsidR="00543ED7" w:rsidRPr="003C7547">
        <w:rPr>
          <w:rFonts w:ascii="Arial" w:hAnsi="Arial" w:cs="Arial"/>
        </w:rPr>
        <w:t>2 at rest and 2 with Valsalva maneuver.   For the contrast injections, peripheral IV or indwelling “ports” were used to administer agit</w:t>
      </w:r>
      <w:r w:rsidR="008E7AA0" w:rsidRPr="003C7547">
        <w:rPr>
          <w:rFonts w:ascii="Arial" w:hAnsi="Arial" w:cs="Arial"/>
        </w:rPr>
        <w:t>ated saline (5ml for patients &lt;</w:t>
      </w:r>
      <w:r w:rsidR="00543ED7" w:rsidRPr="003C7547">
        <w:rPr>
          <w:rFonts w:ascii="Arial" w:hAnsi="Arial" w:cs="Arial"/>
        </w:rPr>
        <w:t xml:space="preserve">45 kg, 10 ml for </w:t>
      </w:r>
      <w:r w:rsidR="00DB6D83" w:rsidRPr="003C7547">
        <w:rPr>
          <w:rFonts w:ascii="Arial" w:hAnsi="Arial" w:cs="Arial"/>
        </w:rPr>
        <w:t>patients</w:t>
      </w:r>
      <w:r w:rsidR="00543ED7" w:rsidRPr="003C7547">
        <w:rPr>
          <w:rFonts w:ascii="Arial" w:hAnsi="Arial" w:cs="Arial"/>
        </w:rPr>
        <w:t xml:space="preserve"> &gt;45 kg).  Images were recor</w:t>
      </w:r>
      <w:r w:rsidR="00DB6D83" w:rsidRPr="003C7547">
        <w:rPr>
          <w:rFonts w:ascii="Arial" w:hAnsi="Arial" w:cs="Arial"/>
        </w:rPr>
        <w:t>d</w:t>
      </w:r>
      <w:r w:rsidR="00543ED7" w:rsidRPr="003C7547">
        <w:rPr>
          <w:rFonts w:ascii="Arial" w:hAnsi="Arial" w:cs="Arial"/>
        </w:rPr>
        <w:t>ed in a 4-cha</w:t>
      </w:r>
      <w:r w:rsidR="0016383A" w:rsidRPr="003C7547">
        <w:rPr>
          <w:rFonts w:ascii="Arial" w:hAnsi="Arial" w:cs="Arial"/>
        </w:rPr>
        <w:t>mber view by standard technique</w:t>
      </w:r>
      <w:r w:rsidR="001F724C" w:rsidRPr="003C7547">
        <w:rPr>
          <w:rFonts w:ascii="Arial" w:hAnsi="Arial" w:cs="Arial"/>
        </w:rPr>
        <w:t xml:space="preserve"> (Woods and Patel, 2006). </w:t>
      </w:r>
      <w:r w:rsidR="0016383A" w:rsidRPr="003C7547">
        <w:rPr>
          <w:rFonts w:ascii="Arial" w:hAnsi="Arial" w:cs="Arial"/>
        </w:rPr>
        <w:t xml:space="preserve"> </w:t>
      </w:r>
      <w:r w:rsidR="00967E7B" w:rsidRPr="003C7547">
        <w:rPr>
          <w:rFonts w:ascii="Arial" w:hAnsi="Arial" w:cs="Arial"/>
        </w:rPr>
        <w:t xml:space="preserve">A minimum of 5 seconds recording was obtained to allow the contrast to reach the heart and </w:t>
      </w:r>
      <w:r w:rsidR="00DB6D83" w:rsidRPr="003C7547">
        <w:rPr>
          <w:rFonts w:ascii="Arial" w:hAnsi="Arial" w:cs="Arial"/>
        </w:rPr>
        <w:t>≥</w:t>
      </w:r>
      <w:r w:rsidR="00967E7B" w:rsidRPr="003C7547">
        <w:rPr>
          <w:rFonts w:ascii="Arial" w:hAnsi="Arial" w:cs="Arial"/>
        </w:rPr>
        <w:t xml:space="preserve">5 </w:t>
      </w:r>
      <w:r w:rsidR="00DB6D83" w:rsidRPr="003C7547">
        <w:rPr>
          <w:rFonts w:ascii="Arial" w:hAnsi="Arial" w:cs="Arial"/>
        </w:rPr>
        <w:t>cardiac cycles</w:t>
      </w:r>
      <w:r w:rsidR="001F724C" w:rsidRPr="003C7547">
        <w:rPr>
          <w:rFonts w:ascii="Arial" w:hAnsi="Arial" w:cs="Arial"/>
        </w:rPr>
        <w:t xml:space="preserve"> were reviewed. </w:t>
      </w:r>
      <w:r w:rsidR="00967E7B" w:rsidRPr="003C7547">
        <w:rPr>
          <w:rFonts w:ascii="Arial" w:hAnsi="Arial" w:cs="Arial"/>
        </w:rPr>
        <w:t xml:space="preserve"> Potential right-to-left shunts were defined as the detection of any shunting, in any direction, by any method, including 2-D, color Doppler, or any on</w:t>
      </w:r>
      <w:r w:rsidR="009901C7" w:rsidRPr="003C7547">
        <w:rPr>
          <w:rFonts w:ascii="Arial" w:hAnsi="Arial" w:cs="Arial"/>
        </w:rPr>
        <w:t>e of the 4 contrast injections.</w:t>
      </w:r>
      <w:r w:rsidR="00967E7B" w:rsidRPr="003C7547">
        <w:rPr>
          <w:rFonts w:ascii="Arial" w:hAnsi="Arial" w:cs="Arial"/>
        </w:rPr>
        <w:t xml:space="preserve">  Intrapulmonary shunting, characterized by the detection of “late bubbles”</w:t>
      </w:r>
      <w:r w:rsidR="00DB6D83" w:rsidRPr="003C7547">
        <w:rPr>
          <w:rFonts w:ascii="Arial" w:hAnsi="Arial" w:cs="Arial"/>
        </w:rPr>
        <w:t xml:space="preserve"> </w:t>
      </w:r>
      <w:r w:rsidR="00967E7B" w:rsidRPr="003C7547">
        <w:rPr>
          <w:rFonts w:ascii="Arial" w:hAnsi="Arial" w:cs="Arial"/>
        </w:rPr>
        <w:t xml:space="preserve">(detection of contrast in the left atrium or ventricle 5 cardiac cycles after the appearance of contrast in the right heart) is </w:t>
      </w:r>
      <w:r w:rsidR="00B06A28" w:rsidRPr="003C7547">
        <w:rPr>
          <w:rFonts w:ascii="Arial" w:hAnsi="Arial" w:cs="Arial"/>
        </w:rPr>
        <w:t xml:space="preserve">also </w:t>
      </w:r>
      <w:r w:rsidR="00967E7B" w:rsidRPr="003C7547">
        <w:rPr>
          <w:rFonts w:ascii="Arial" w:hAnsi="Arial" w:cs="Arial"/>
        </w:rPr>
        <w:t>included as potential</w:t>
      </w:r>
      <w:r w:rsidR="00923ACF" w:rsidRPr="003C7547">
        <w:rPr>
          <w:rFonts w:ascii="Arial" w:hAnsi="Arial" w:cs="Arial"/>
        </w:rPr>
        <w:t xml:space="preserve"> RLS</w:t>
      </w:r>
      <w:r w:rsidR="009A6809" w:rsidRPr="003C7547">
        <w:rPr>
          <w:rFonts w:ascii="Arial" w:hAnsi="Arial" w:cs="Arial"/>
        </w:rPr>
        <w:t xml:space="preserve">.  </w:t>
      </w:r>
      <w:r w:rsidR="00543ED7" w:rsidRPr="003C7547">
        <w:rPr>
          <w:rFonts w:ascii="Arial" w:hAnsi="Arial" w:cs="Arial"/>
        </w:rPr>
        <w:t>Patient age, weight, height, heart rate, blood pressure and oxygen saturation b</w:t>
      </w:r>
      <w:r w:rsidR="00DB6D83" w:rsidRPr="003C7547">
        <w:rPr>
          <w:rFonts w:ascii="Arial" w:hAnsi="Arial" w:cs="Arial"/>
        </w:rPr>
        <w:t xml:space="preserve">y pulse oximetry were recorded at the time of the echocardiogram. </w:t>
      </w:r>
      <w:r w:rsidR="00543ED7" w:rsidRPr="003C7547">
        <w:rPr>
          <w:rFonts w:ascii="Arial" w:hAnsi="Arial" w:cs="Arial"/>
        </w:rPr>
        <w:t xml:space="preserve"> </w:t>
      </w:r>
    </w:p>
    <w:p w:rsidR="00B06A28" w:rsidRPr="003C7547" w:rsidRDefault="00543ED7" w:rsidP="003E4496">
      <w:pPr>
        <w:spacing w:line="480" w:lineRule="auto"/>
        <w:rPr>
          <w:rFonts w:ascii="Arial" w:hAnsi="Arial" w:cs="Arial"/>
        </w:rPr>
      </w:pPr>
      <w:r w:rsidRPr="003C7547">
        <w:rPr>
          <w:rFonts w:ascii="Arial" w:hAnsi="Arial" w:cs="Arial"/>
        </w:rPr>
        <w:lastRenderedPageBreak/>
        <w:t>Echocardiograms were analyzed at the local site then de</w:t>
      </w:r>
      <w:r w:rsidR="00B06A28" w:rsidRPr="003C7547">
        <w:rPr>
          <w:rFonts w:ascii="Arial" w:hAnsi="Arial" w:cs="Arial"/>
        </w:rPr>
        <w:t>-</w:t>
      </w:r>
      <w:r w:rsidRPr="003C7547">
        <w:rPr>
          <w:rFonts w:ascii="Arial" w:hAnsi="Arial" w:cs="Arial"/>
        </w:rPr>
        <w:t xml:space="preserve">identified for </w:t>
      </w:r>
      <w:r w:rsidR="00B06A28" w:rsidRPr="003C7547">
        <w:rPr>
          <w:rFonts w:ascii="Arial" w:hAnsi="Arial" w:cs="Arial"/>
        </w:rPr>
        <w:t xml:space="preserve">masked </w:t>
      </w:r>
      <w:r w:rsidRPr="003C7547">
        <w:rPr>
          <w:rFonts w:ascii="Arial" w:hAnsi="Arial" w:cs="Arial"/>
        </w:rPr>
        <w:t>central review by the study cardiologist.</w:t>
      </w:r>
      <w:r w:rsidR="00967E7B" w:rsidRPr="003C7547">
        <w:rPr>
          <w:rFonts w:ascii="Arial" w:hAnsi="Arial" w:cs="Arial"/>
        </w:rPr>
        <w:t xml:space="preserve">  In the event of conflicts between local and central interpretations, the </w:t>
      </w:r>
      <w:r w:rsidR="00DB6D83" w:rsidRPr="003C7547">
        <w:rPr>
          <w:rFonts w:ascii="Arial" w:hAnsi="Arial" w:cs="Arial"/>
        </w:rPr>
        <w:t>studies were re-reviewed</w:t>
      </w:r>
      <w:r w:rsidR="0013473A" w:rsidRPr="003C7547">
        <w:rPr>
          <w:rFonts w:ascii="Arial" w:hAnsi="Arial" w:cs="Arial"/>
        </w:rPr>
        <w:t xml:space="preserve"> with a third </w:t>
      </w:r>
      <w:r w:rsidR="00BD1B52" w:rsidRPr="003C7547">
        <w:rPr>
          <w:rFonts w:ascii="Arial" w:hAnsi="Arial" w:cs="Arial"/>
        </w:rPr>
        <w:t xml:space="preserve">masked </w:t>
      </w:r>
      <w:r w:rsidR="0013473A" w:rsidRPr="003C7547">
        <w:rPr>
          <w:rFonts w:ascii="Arial" w:hAnsi="Arial" w:cs="Arial"/>
        </w:rPr>
        <w:t>evaluator</w:t>
      </w:r>
      <w:r w:rsidR="00DB6D83" w:rsidRPr="003C7547">
        <w:rPr>
          <w:rFonts w:ascii="Arial" w:hAnsi="Arial" w:cs="Arial"/>
        </w:rPr>
        <w:t xml:space="preserve"> and consensus was obtained</w:t>
      </w:r>
      <w:r w:rsidR="0013473A" w:rsidRPr="003C7547">
        <w:rPr>
          <w:rFonts w:ascii="Arial" w:hAnsi="Arial" w:cs="Arial"/>
        </w:rPr>
        <w:t>.</w:t>
      </w:r>
      <w:r w:rsidR="00DB6D83" w:rsidRPr="003C7547">
        <w:rPr>
          <w:rFonts w:ascii="Arial" w:hAnsi="Arial" w:cs="Arial"/>
        </w:rPr>
        <w:t xml:space="preserve">  All echocardiograms where potential shunting was identified were re-reviewed to </w:t>
      </w:r>
      <w:r w:rsidR="006A569C" w:rsidRPr="003C7547">
        <w:rPr>
          <w:rFonts w:ascii="Arial" w:hAnsi="Arial" w:cs="Arial"/>
        </w:rPr>
        <w:t xml:space="preserve">confirm and </w:t>
      </w:r>
      <w:r w:rsidR="00DB6D83" w:rsidRPr="003C7547">
        <w:rPr>
          <w:rFonts w:ascii="Arial" w:hAnsi="Arial" w:cs="Arial"/>
        </w:rPr>
        <w:t>c</w:t>
      </w:r>
      <w:r w:rsidR="006A569C" w:rsidRPr="003C7547">
        <w:rPr>
          <w:rFonts w:ascii="Arial" w:hAnsi="Arial" w:cs="Arial"/>
        </w:rPr>
        <w:t>lassify</w:t>
      </w:r>
      <w:r w:rsidR="00DB6D83" w:rsidRPr="003C7547">
        <w:rPr>
          <w:rFonts w:ascii="Arial" w:hAnsi="Arial" w:cs="Arial"/>
        </w:rPr>
        <w:t xml:space="preserve"> the potential shunting as intracardiac or intrapulmonary.</w:t>
      </w:r>
    </w:p>
    <w:p w:rsidR="0053678F" w:rsidRPr="003C7547" w:rsidRDefault="0011488D" w:rsidP="003E4496">
      <w:pPr>
        <w:spacing w:line="480" w:lineRule="auto"/>
        <w:rPr>
          <w:rFonts w:ascii="Arial" w:hAnsi="Arial" w:cs="Arial"/>
        </w:rPr>
      </w:pPr>
      <w:r w:rsidRPr="003C7547">
        <w:rPr>
          <w:rFonts w:ascii="Arial" w:hAnsi="Arial" w:cs="Arial"/>
        </w:rPr>
        <w:t>Demographic as well as</w:t>
      </w:r>
      <w:r w:rsidR="00777C15" w:rsidRPr="003C7547">
        <w:rPr>
          <w:rFonts w:ascii="Arial" w:hAnsi="Arial" w:cs="Arial"/>
        </w:rPr>
        <w:t xml:space="preserve"> clinical</w:t>
      </w:r>
      <w:r w:rsidRPr="003C7547">
        <w:rPr>
          <w:rFonts w:ascii="Arial" w:hAnsi="Arial" w:cs="Arial"/>
        </w:rPr>
        <w:t xml:space="preserve"> history and laboratory data w</w:t>
      </w:r>
      <w:r w:rsidR="00370839" w:rsidRPr="003C7547">
        <w:rPr>
          <w:rFonts w:ascii="Arial" w:hAnsi="Arial" w:cs="Arial"/>
        </w:rPr>
        <w:t>ere</w:t>
      </w:r>
      <w:r w:rsidRPr="003C7547">
        <w:rPr>
          <w:rFonts w:ascii="Arial" w:hAnsi="Arial" w:cs="Arial"/>
        </w:rPr>
        <w:t xml:space="preserve"> collected by medical record</w:t>
      </w:r>
      <w:r w:rsidR="00777C15" w:rsidRPr="003C7547">
        <w:rPr>
          <w:rFonts w:ascii="Arial" w:hAnsi="Arial" w:cs="Arial"/>
        </w:rPr>
        <w:t xml:space="preserve"> review and patient</w:t>
      </w:r>
      <w:r w:rsidRPr="003C7547">
        <w:rPr>
          <w:rFonts w:ascii="Arial" w:hAnsi="Arial" w:cs="Arial"/>
        </w:rPr>
        <w:t>/parent</w:t>
      </w:r>
      <w:r w:rsidR="00777C15" w:rsidRPr="003C7547">
        <w:rPr>
          <w:rFonts w:ascii="Arial" w:hAnsi="Arial" w:cs="Arial"/>
        </w:rPr>
        <w:t xml:space="preserve"> interview</w:t>
      </w:r>
      <w:r w:rsidR="00BD1B52" w:rsidRPr="003C7547">
        <w:rPr>
          <w:rFonts w:ascii="Arial" w:hAnsi="Arial" w:cs="Arial"/>
        </w:rPr>
        <w:t xml:space="preserve"> using standard case report forms</w:t>
      </w:r>
      <w:r w:rsidRPr="003C7547">
        <w:rPr>
          <w:rFonts w:ascii="Arial" w:hAnsi="Arial" w:cs="Arial"/>
        </w:rPr>
        <w:t>.</w:t>
      </w:r>
      <w:r w:rsidR="0053678F" w:rsidRPr="003C7547">
        <w:rPr>
          <w:rFonts w:ascii="Arial" w:hAnsi="Arial" w:cs="Arial"/>
        </w:rPr>
        <w:t xml:space="preserve">  Data w</w:t>
      </w:r>
      <w:r w:rsidR="00370839" w:rsidRPr="003C7547">
        <w:rPr>
          <w:rFonts w:ascii="Arial" w:hAnsi="Arial" w:cs="Arial"/>
        </w:rPr>
        <w:t>ere</w:t>
      </w:r>
      <w:r w:rsidR="0053678F" w:rsidRPr="003C7547">
        <w:rPr>
          <w:rFonts w:ascii="Arial" w:hAnsi="Arial" w:cs="Arial"/>
        </w:rPr>
        <w:t xml:space="preserve"> checked by dual entry techniques, with identification of outliers and query of the local sites.  </w:t>
      </w:r>
    </w:p>
    <w:p w:rsidR="001F724C" w:rsidRPr="003C7547" w:rsidRDefault="00756B57" w:rsidP="003E4496">
      <w:pPr>
        <w:spacing w:line="480" w:lineRule="auto"/>
        <w:rPr>
          <w:rFonts w:ascii="Arial" w:hAnsi="Arial" w:cs="Arial"/>
        </w:rPr>
      </w:pPr>
      <w:r w:rsidRPr="003C7547">
        <w:rPr>
          <w:rFonts w:ascii="Arial" w:hAnsi="Arial" w:cs="Arial"/>
        </w:rPr>
        <w:t>Based on published data an</w:t>
      </w:r>
      <w:r w:rsidR="0016383A" w:rsidRPr="003C7547">
        <w:rPr>
          <w:rFonts w:ascii="Arial" w:hAnsi="Arial" w:cs="Arial"/>
        </w:rPr>
        <w:t>d the results of our pilot study</w:t>
      </w:r>
      <w:r w:rsidR="001F724C" w:rsidRPr="003C7547">
        <w:rPr>
          <w:rFonts w:ascii="Arial" w:hAnsi="Arial" w:cs="Arial"/>
        </w:rPr>
        <w:t xml:space="preserve"> (Dowling and Ikemba, 2011; Dowling, et al., 2010)</w:t>
      </w:r>
      <w:r w:rsidR="0016383A" w:rsidRPr="003C7547">
        <w:rPr>
          <w:rFonts w:ascii="Arial" w:hAnsi="Arial" w:cs="Arial"/>
        </w:rPr>
        <w:t xml:space="preserve"> </w:t>
      </w:r>
      <w:r w:rsidR="000C0F96" w:rsidRPr="003C7547">
        <w:rPr>
          <w:rFonts w:ascii="Arial" w:hAnsi="Arial" w:cs="Arial"/>
        </w:rPr>
        <w:t xml:space="preserve">a minimum of 160 patients per arm (320 total) </w:t>
      </w:r>
      <w:r w:rsidR="007B581A" w:rsidRPr="003C7547">
        <w:rPr>
          <w:rFonts w:ascii="Arial" w:hAnsi="Arial" w:cs="Arial"/>
        </w:rPr>
        <w:t>were</w:t>
      </w:r>
      <w:r w:rsidR="000C0F96" w:rsidRPr="003C7547">
        <w:rPr>
          <w:rFonts w:ascii="Arial" w:hAnsi="Arial" w:cs="Arial"/>
        </w:rPr>
        <w:t xml:space="preserve"> needed to detect a</w:t>
      </w:r>
      <w:r w:rsidRPr="003C7547">
        <w:rPr>
          <w:rFonts w:ascii="Arial" w:hAnsi="Arial" w:cs="Arial"/>
        </w:rPr>
        <w:t xml:space="preserve"> prevalence of RLS estimated at 19.9</w:t>
      </w:r>
      <w:r w:rsidR="000C0F96" w:rsidRPr="003C7547">
        <w:rPr>
          <w:rFonts w:ascii="Arial" w:hAnsi="Arial" w:cs="Arial"/>
        </w:rPr>
        <w:t>9</w:t>
      </w:r>
      <w:r w:rsidRPr="003C7547">
        <w:rPr>
          <w:rFonts w:ascii="Arial" w:hAnsi="Arial" w:cs="Arial"/>
        </w:rPr>
        <w:t>% for SCA+stroke patients and 9% for controls</w:t>
      </w:r>
      <w:r w:rsidR="005C1034" w:rsidRPr="003C7547">
        <w:rPr>
          <w:rFonts w:ascii="Arial" w:hAnsi="Arial" w:cs="Arial"/>
        </w:rPr>
        <w:t xml:space="preserve"> </w:t>
      </w:r>
      <w:r w:rsidR="000C0F96" w:rsidRPr="003C7547">
        <w:rPr>
          <w:rFonts w:ascii="Arial" w:hAnsi="Arial" w:cs="Arial"/>
        </w:rPr>
        <w:t>assuming a Type I error of .05 and 80% power using a 2 sided</w:t>
      </w:r>
      <w:r w:rsidR="00D34CD8" w:rsidRPr="003C7547">
        <w:rPr>
          <w:rFonts w:ascii="Arial" w:hAnsi="Arial" w:cs="Arial"/>
        </w:rPr>
        <w:t>,</w:t>
      </w:r>
      <w:r w:rsidR="000C0F96" w:rsidRPr="003C7547">
        <w:rPr>
          <w:rFonts w:ascii="Arial" w:hAnsi="Arial" w:cs="Arial"/>
        </w:rPr>
        <w:t xml:space="preserve"> independent samples Z test for proportions</w:t>
      </w:r>
      <w:r w:rsidR="00D34CD8" w:rsidRPr="003C7547">
        <w:rPr>
          <w:rFonts w:ascii="Arial" w:hAnsi="Arial" w:cs="Arial"/>
        </w:rPr>
        <w:t xml:space="preserve">; </w:t>
      </w:r>
      <w:r w:rsidR="00FF29E5" w:rsidRPr="003C7547">
        <w:rPr>
          <w:rFonts w:ascii="Arial" w:hAnsi="Arial" w:cs="Arial"/>
        </w:rPr>
        <w:t xml:space="preserve">alternatively this same </w:t>
      </w:r>
      <w:r w:rsidR="00D34CD8" w:rsidRPr="003C7547">
        <w:rPr>
          <w:rFonts w:ascii="Arial" w:hAnsi="Arial" w:cs="Arial"/>
        </w:rPr>
        <w:t xml:space="preserve">sample size </w:t>
      </w:r>
      <w:r w:rsidR="00FF29E5" w:rsidRPr="003C7547">
        <w:rPr>
          <w:rFonts w:ascii="Arial" w:hAnsi="Arial" w:cs="Arial"/>
        </w:rPr>
        <w:t>estimate for chi-square result</w:t>
      </w:r>
      <w:r w:rsidR="007B581A" w:rsidRPr="003C7547">
        <w:rPr>
          <w:rFonts w:ascii="Arial" w:hAnsi="Arial" w:cs="Arial"/>
        </w:rPr>
        <w:t>ed</w:t>
      </w:r>
      <w:r w:rsidR="00FF29E5" w:rsidRPr="003C7547">
        <w:rPr>
          <w:rFonts w:ascii="Arial" w:hAnsi="Arial" w:cs="Arial"/>
        </w:rPr>
        <w:t xml:space="preserve"> in 81.8% power.</w:t>
      </w:r>
      <w:r w:rsidRPr="003C7547">
        <w:rPr>
          <w:rFonts w:ascii="Arial" w:hAnsi="Arial" w:cs="Arial"/>
        </w:rPr>
        <w:t xml:space="preserve">  </w:t>
      </w:r>
      <w:r w:rsidR="000C0F96" w:rsidRPr="003C7547">
        <w:rPr>
          <w:rFonts w:ascii="Arial" w:hAnsi="Arial" w:cs="Arial"/>
        </w:rPr>
        <w:t>We closed study enrollment when</w:t>
      </w:r>
      <w:r w:rsidR="00FF29E5" w:rsidRPr="003C7547">
        <w:rPr>
          <w:rFonts w:ascii="Arial" w:hAnsi="Arial" w:cs="Arial"/>
        </w:rPr>
        <w:t xml:space="preserve"> all eligible patients at the study sites had been enrolled or screened.  F</w:t>
      </w:r>
      <w:r w:rsidR="00170501" w:rsidRPr="003C7547">
        <w:rPr>
          <w:rFonts w:ascii="Arial" w:hAnsi="Arial" w:cs="Arial"/>
        </w:rPr>
        <w:t xml:space="preserve">inal study enrollment </w:t>
      </w:r>
      <w:r w:rsidR="005C1034" w:rsidRPr="003C7547">
        <w:rPr>
          <w:rFonts w:ascii="Arial" w:hAnsi="Arial" w:cs="Arial"/>
        </w:rPr>
        <w:t xml:space="preserve">after exclusion of cases </w:t>
      </w:r>
      <w:r w:rsidR="00170501" w:rsidRPr="003C7547">
        <w:rPr>
          <w:rFonts w:ascii="Arial" w:hAnsi="Arial" w:cs="Arial"/>
        </w:rPr>
        <w:t xml:space="preserve">was </w:t>
      </w:r>
      <w:r w:rsidR="000C0F96" w:rsidRPr="003C7547">
        <w:rPr>
          <w:rFonts w:ascii="Arial" w:hAnsi="Arial" w:cs="Arial"/>
        </w:rPr>
        <w:t>2</w:t>
      </w:r>
      <w:r w:rsidR="00170501" w:rsidRPr="003C7547">
        <w:rPr>
          <w:rFonts w:ascii="Arial" w:hAnsi="Arial" w:cs="Arial"/>
        </w:rPr>
        <w:t>7</w:t>
      </w:r>
      <w:r w:rsidR="000C0F96" w:rsidRPr="003C7547">
        <w:rPr>
          <w:rFonts w:ascii="Arial" w:hAnsi="Arial" w:cs="Arial"/>
        </w:rPr>
        <w:t>0</w:t>
      </w:r>
      <w:r w:rsidR="00170501" w:rsidRPr="003C7547">
        <w:rPr>
          <w:rFonts w:ascii="Arial" w:hAnsi="Arial" w:cs="Arial"/>
        </w:rPr>
        <w:t xml:space="preserve"> (see below)</w:t>
      </w:r>
      <w:r w:rsidR="00FF29E5" w:rsidRPr="003C7547">
        <w:rPr>
          <w:rFonts w:ascii="Arial" w:hAnsi="Arial" w:cs="Arial"/>
        </w:rPr>
        <w:t>.</w:t>
      </w:r>
      <w:r w:rsidRPr="003C7547">
        <w:rPr>
          <w:rFonts w:ascii="Arial" w:hAnsi="Arial" w:cs="Arial"/>
        </w:rPr>
        <w:t xml:space="preserve"> </w:t>
      </w:r>
      <w:r w:rsidR="00717480" w:rsidRPr="003C7547">
        <w:rPr>
          <w:rFonts w:ascii="Arial" w:hAnsi="Arial" w:cs="Arial"/>
        </w:rPr>
        <w:t xml:space="preserve"> </w:t>
      </w:r>
    </w:p>
    <w:p w:rsidR="00756B57" w:rsidRPr="003C7547" w:rsidRDefault="0053678F" w:rsidP="003E4496">
      <w:pPr>
        <w:spacing w:line="480" w:lineRule="auto"/>
        <w:rPr>
          <w:rFonts w:ascii="Arial" w:hAnsi="Arial" w:cs="Arial"/>
        </w:rPr>
      </w:pPr>
      <w:r w:rsidRPr="003C7547">
        <w:rPr>
          <w:rFonts w:ascii="Arial" w:hAnsi="Arial" w:cs="Arial"/>
        </w:rPr>
        <w:t xml:space="preserve">The prevalence of </w:t>
      </w:r>
      <w:r w:rsidR="00923ACF" w:rsidRPr="003C7547">
        <w:rPr>
          <w:rFonts w:ascii="Arial" w:hAnsi="Arial" w:cs="Arial"/>
        </w:rPr>
        <w:t>potential RLS</w:t>
      </w:r>
      <w:r w:rsidRPr="003C7547">
        <w:rPr>
          <w:rFonts w:ascii="Arial" w:hAnsi="Arial" w:cs="Arial"/>
        </w:rPr>
        <w:t xml:space="preserve"> in the two groups was </w:t>
      </w:r>
      <w:r w:rsidR="008209CA" w:rsidRPr="003C7547">
        <w:rPr>
          <w:rFonts w:ascii="Arial" w:hAnsi="Arial" w:cs="Arial"/>
        </w:rPr>
        <w:t>compared</w:t>
      </w:r>
      <w:r w:rsidRPr="003C7547">
        <w:rPr>
          <w:rFonts w:ascii="Arial" w:hAnsi="Arial" w:cs="Arial"/>
        </w:rPr>
        <w:t xml:space="preserve"> using</w:t>
      </w:r>
      <w:r w:rsidR="00C75931" w:rsidRPr="003C7547">
        <w:rPr>
          <w:rFonts w:ascii="Arial" w:hAnsi="Arial" w:cs="Arial"/>
        </w:rPr>
        <w:t xml:space="preserve"> Chi-square </w:t>
      </w:r>
      <w:r w:rsidR="008545AA" w:rsidRPr="003C7547">
        <w:rPr>
          <w:rFonts w:ascii="Arial" w:hAnsi="Arial" w:cs="Arial"/>
        </w:rPr>
        <w:t xml:space="preserve">or Fisher’s exact </w:t>
      </w:r>
      <w:r w:rsidR="00C75931" w:rsidRPr="003C7547">
        <w:rPr>
          <w:rFonts w:ascii="Arial" w:hAnsi="Arial" w:cs="Arial"/>
        </w:rPr>
        <w:t>test</w:t>
      </w:r>
      <w:r w:rsidR="008545AA" w:rsidRPr="003C7547">
        <w:rPr>
          <w:rFonts w:ascii="Arial" w:hAnsi="Arial" w:cs="Arial"/>
        </w:rPr>
        <w:t>, as appropriate</w:t>
      </w:r>
      <w:r w:rsidR="00C75931" w:rsidRPr="003C7547">
        <w:rPr>
          <w:rFonts w:ascii="Arial" w:hAnsi="Arial" w:cs="Arial"/>
        </w:rPr>
        <w:t>. T</w:t>
      </w:r>
      <w:r w:rsidR="008209CA" w:rsidRPr="003C7547">
        <w:rPr>
          <w:rFonts w:ascii="Arial" w:hAnsi="Arial" w:cs="Arial"/>
        </w:rPr>
        <w:t>he clinical and demographic data obtained by review of the medical record and patient/parent questionnaires w</w:t>
      </w:r>
      <w:r w:rsidR="00370839" w:rsidRPr="003C7547">
        <w:rPr>
          <w:rFonts w:ascii="Arial" w:hAnsi="Arial" w:cs="Arial"/>
        </w:rPr>
        <w:t>ere</w:t>
      </w:r>
      <w:r w:rsidR="008209CA" w:rsidRPr="003C7547">
        <w:rPr>
          <w:rFonts w:ascii="Arial" w:hAnsi="Arial" w:cs="Arial"/>
        </w:rPr>
        <w:t xml:space="preserve"> analyzed for association with shunting using Chi-square or Fisher’s exact test for categorical, and Student’s t-test or Mann-Whitney U test for continuous variables, as appropriate.  </w:t>
      </w:r>
      <w:r w:rsidR="006558EC" w:rsidRPr="003C7547">
        <w:rPr>
          <w:rFonts w:ascii="Arial" w:hAnsi="Arial" w:cs="Arial"/>
        </w:rPr>
        <w:t>Subjects and controls were not matched by age, gender, or race.  Prior studies report that age is an important factor in the prevalence of patent foramen ovale but sex and race are not</w:t>
      </w:r>
      <w:r w:rsidR="00490319" w:rsidRPr="003C7547">
        <w:rPr>
          <w:rFonts w:ascii="Arial" w:hAnsi="Arial" w:cs="Arial"/>
        </w:rPr>
        <w:t xml:space="preserve"> (Dowling and Ikemba, 2011)</w:t>
      </w:r>
      <w:r w:rsidR="006558EC" w:rsidRPr="003C7547">
        <w:rPr>
          <w:rFonts w:ascii="Arial" w:hAnsi="Arial" w:cs="Arial"/>
        </w:rPr>
        <w:t>.  We re-evaluated this with a</w:t>
      </w:r>
      <w:r w:rsidR="00D71F9A" w:rsidRPr="003C7547">
        <w:rPr>
          <w:rFonts w:ascii="Arial" w:hAnsi="Arial" w:cs="Arial"/>
        </w:rPr>
        <w:t xml:space="preserve">dditional analyses </w:t>
      </w:r>
      <w:r w:rsidR="006558EC" w:rsidRPr="003C7547">
        <w:rPr>
          <w:rFonts w:ascii="Arial" w:hAnsi="Arial" w:cs="Arial"/>
        </w:rPr>
        <w:t xml:space="preserve">that </w:t>
      </w:r>
      <w:r w:rsidR="00D71F9A" w:rsidRPr="003C7547">
        <w:rPr>
          <w:rFonts w:ascii="Arial" w:hAnsi="Arial" w:cs="Arial"/>
        </w:rPr>
        <w:t xml:space="preserve">explored the influence of demographic features </w:t>
      </w:r>
      <w:r w:rsidR="00262958" w:rsidRPr="003C7547">
        <w:rPr>
          <w:rFonts w:ascii="Arial" w:hAnsi="Arial" w:cs="Arial"/>
        </w:rPr>
        <w:t xml:space="preserve">(group, sex, </w:t>
      </w:r>
      <w:r w:rsidR="006558EC" w:rsidRPr="003C7547">
        <w:rPr>
          <w:rFonts w:ascii="Arial" w:hAnsi="Arial" w:cs="Arial"/>
        </w:rPr>
        <w:t xml:space="preserve">race, </w:t>
      </w:r>
      <w:r w:rsidR="00262958" w:rsidRPr="003C7547">
        <w:rPr>
          <w:rFonts w:ascii="Arial" w:hAnsi="Arial" w:cs="Arial"/>
        </w:rPr>
        <w:t xml:space="preserve">and age at echo) </w:t>
      </w:r>
      <w:r w:rsidR="00D71F9A" w:rsidRPr="003C7547">
        <w:rPr>
          <w:rFonts w:ascii="Arial" w:hAnsi="Arial" w:cs="Arial"/>
        </w:rPr>
        <w:t xml:space="preserve">on the prevalence of potential shunting </w:t>
      </w:r>
      <w:r w:rsidR="00262958" w:rsidRPr="003C7547">
        <w:rPr>
          <w:rFonts w:ascii="Arial" w:hAnsi="Arial" w:cs="Arial"/>
        </w:rPr>
        <w:t xml:space="preserve">or pulmonary shunting </w:t>
      </w:r>
      <w:r w:rsidR="00D71F9A" w:rsidRPr="003C7547">
        <w:rPr>
          <w:rFonts w:ascii="Arial" w:hAnsi="Arial" w:cs="Arial"/>
        </w:rPr>
        <w:t xml:space="preserve">using logistic </w:t>
      </w:r>
      <w:r w:rsidR="00D71F9A" w:rsidRPr="003C7547">
        <w:rPr>
          <w:rFonts w:ascii="Arial" w:hAnsi="Arial" w:cs="Arial"/>
        </w:rPr>
        <w:lastRenderedPageBreak/>
        <w:t xml:space="preserve">regression models. </w:t>
      </w:r>
      <w:r w:rsidR="008209CA" w:rsidRPr="003C7547">
        <w:rPr>
          <w:rFonts w:ascii="Arial" w:hAnsi="Arial" w:cs="Arial"/>
        </w:rPr>
        <w:t xml:space="preserve"> The assumptions for all statistical analyses were examined for violations.  A p-value of &lt;0.05 was considered significant for the primary and secondary analyses which were performed using </w:t>
      </w:r>
      <w:r w:rsidR="00D71F9A" w:rsidRPr="003C7547">
        <w:rPr>
          <w:rFonts w:ascii="Arial" w:hAnsi="Arial" w:cs="Arial"/>
        </w:rPr>
        <w:t xml:space="preserve">IBM </w:t>
      </w:r>
      <w:r w:rsidR="00C75931" w:rsidRPr="003C7547">
        <w:rPr>
          <w:rFonts w:ascii="Arial" w:hAnsi="Arial" w:cs="Arial"/>
        </w:rPr>
        <w:t>SPSS version 23</w:t>
      </w:r>
      <w:r w:rsidR="008209CA" w:rsidRPr="003C7547">
        <w:rPr>
          <w:rFonts w:ascii="Arial" w:hAnsi="Arial" w:cs="Arial"/>
        </w:rPr>
        <w:t>.0.</w:t>
      </w:r>
    </w:p>
    <w:p w:rsidR="006559C8" w:rsidRPr="003C7547" w:rsidRDefault="006559C8" w:rsidP="003E4496">
      <w:pPr>
        <w:spacing w:line="480" w:lineRule="auto"/>
        <w:rPr>
          <w:rFonts w:ascii="Arial" w:hAnsi="Arial" w:cs="Arial"/>
          <w:b/>
        </w:rPr>
      </w:pPr>
      <w:r w:rsidRPr="003C7547">
        <w:rPr>
          <w:rFonts w:ascii="Arial" w:hAnsi="Arial" w:cs="Arial"/>
          <w:b/>
        </w:rPr>
        <w:t>Results</w:t>
      </w:r>
    </w:p>
    <w:p w:rsidR="00BD1B52" w:rsidRPr="003C7547" w:rsidRDefault="00BD1B52" w:rsidP="003E4496">
      <w:pPr>
        <w:spacing w:line="480" w:lineRule="auto"/>
        <w:rPr>
          <w:rFonts w:ascii="Arial" w:hAnsi="Arial" w:cs="Arial"/>
          <w:i/>
        </w:rPr>
      </w:pPr>
      <w:r w:rsidRPr="003C7547">
        <w:rPr>
          <w:rFonts w:ascii="Arial" w:hAnsi="Arial" w:cs="Arial"/>
          <w:i/>
        </w:rPr>
        <w:t>Characteristics of Participants</w:t>
      </w:r>
    </w:p>
    <w:p w:rsidR="00A802FB" w:rsidRPr="003C7547" w:rsidRDefault="00B06A28" w:rsidP="003E4496">
      <w:pPr>
        <w:spacing w:line="480" w:lineRule="auto"/>
        <w:rPr>
          <w:rFonts w:ascii="Arial" w:hAnsi="Arial" w:cs="Arial"/>
        </w:rPr>
      </w:pPr>
      <w:r w:rsidRPr="003C7547">
        <w:rPr>
          <w:rFonts w:ascii="Arial" w:hAnsi="Arial" w:cs="Arial"/>
        </w:rPr>
        <w:t>W</w:t>
      </w:r>
      <w:r w:rsidR="00F51BB4" w:rsidRPr="003C7547">
        <w:rPr>
          <w:rFonts w:ascii="Arial" w:hAnsi="Arial" w:cs="Arial"/>
        </w:rPr>
        <w:t>e enrolled and evalua</w:t>
      </w:r>
      <w:r w:rsidR="00923ACF" w:rsidRPr="003C7547">
        <w:rPr>
          <w:rFonts w:ascii="Arial" w:hAnsi="Arial" w:cs="Arial"/>
        </w:rPr>
        <w:t xml:space="preserve">ted 283 children. </w:t>
      </w:r>
      <w:r w:rsidRPr="003C7547">
        <w:rPr>
          <w:rFonts w:ascii="Arial" w:hAnsi="Arial" w:cs="Arial"/>
        </w:rPr>
        <w:t xml:space="preserve">Thirteen participants </w:t>
      </w:r>
      <w:r w:rsidR="00017359" w:rsidRPr="003C7547">
        <w:rPr>
          <w:rFonts w:ascii="Arial" w:hAnsi="Arial" w:cs="Arial"/>
        </w:rPr>
        <w:t>were excluded from the analysis (8 with SC</w:t>
      </w:r>
      <w:r w:rsidRPr="003C7547">
        <w:rPr>
          <w:rFonts w:ascii="Arial" w:hAnsi="Arial" w:cs="Arial"/>
        </w:rPr>
        <w:t>A+</w:t>
      </w:r>
      <w:r w:rsidR="00017359" w:rsidRPr="003C7547">
        <w:rPr>
          <w:rFonts w:ascii="Arial" w:hAnsi="Arial" w:cs="Arial"/>
        </w:rPr>
        <w:t>stroke and 5 controls) for inadequate echocardiogram or inadequate contrast studies.  Data from 147 children with</w:t>
      </w:r>
      <w:r w:rsidR="00AC4301" w:rsidRPr="003C7547">
        <w:rPr>
          <w:rFonts w:ascii="Arial" w:hAnsi="Arial" w:cs="Arial"/>
        </w:rPr>
        <w:t xml:space="preserve"> SC</w:t>
      </w:r>
      <w:r w:rsidRPr="003C7547">
        <w:rPr>
          <w:rFonts w:ascii="Arial" w:hAnsi="Arial" w:cs="Arial"/>
        </w:rPr>
        <w:t>A+</w:t>
      </w:r>
      <w:r w:rsidR="00AC4301" w:rsidRPr="003C7547">
        <w:rPr>
          <w:rFonts w:ascii="Arial" w:hAnsi="Arial" w:cs="Arial"/>
        </w:rPr>
        <w:t>stroke and 123 controls were</w:t>
      </w:r>
      <w:r w:rsidR="00017359" w:rsidRPr="003C7547">
        <w:rPr>
          <w:rFonts w:ascii="Arial" w:hAnsi="Arial" w:cs="Arial"/>
        </w:rPr>
        <w:t xml:space="preserve"> analyzed.  </w:t>
      </w:r>
      <w:r w:rsidR="00A802FB" w:rsidRPr="003C7547">
        <w:rPr>
          <w:rFonts w:ascii="Arial" w:hAnsi="Arial" w:cs="Arial"/>
        </w:rPr>
        <w:t xml:space="preserve">There were no adverse events </w:t>
      </w:r>
      <w:r w:rsidR="00F51BB4" w:rsidRPr="003C7547">
        <w:rPr>
          <w:rFonts w:ascii="Arial" w:hAnsi="Arial" w:cs="Arial"/>
        </w:rPr>
        <w:t>reported during the study echocardiograms.</w:t>
      </w:r>
    </w:p>
    <w:p w:rsidR="00E1384C" w:rsidRPr="003C7547" w:rsidRDefault="00D93044" w:rsidP="003E4496">
      <w:pPr>
        <w:spacing w:line="480" w:lineRule="auto"/>
        <w:rPr>
          <w:rFonts w:ascii="Arial" w:hAnsi="Arial" w:cs="Arial"/>
        </w:rPr>
      </w:pPr>
      <w:r w:rsidRPr="003C7547">
        <w:rPr>
          <w:rFonts w:ascii="Arial" w:hAnsi="Arial" w:cs="Arial"/>
        </w:rPr>
        <w:t>There were no significant differences in age or gender between the two groups</w:t>
      </w:r>
      <w:r w:rsidR="00B06A28" w:rsidRPr="003C7547">
        <w:rPr>
          <w:rFonts w:ascii="Arial" w:hAnsi="Arial" w:cs="Arial"/>
        </w:rPr>
        <w:t>, except the expected</w:t>
      </w:r>
      <w:r w:rsidRPr="003C7547">
        <w:rPr>
          <w:rFonts w:ascii="Arial" w:hAnsi="Arial" w:cs="Arial"/>
        </w:rPr>
        <w:t xml:space="preserve"> </w:t>
      </w:r>
      <w:r w:rsidR="00B06A28" w:rsidRPr="003C7547">
        <w:rPr>
          <w:rFonts w:ascii="Arial" w:hAnsi="Arial" w:cs="Arial"/>
        </w:rPr>
        <w:t xml:space="preserve">difference in racial distribution </w:t>
      </w:r>
      <w:r w:rsidRPr="003C7547">
        <w:rPr>
          <w:rFonts w:ascii="Arial" w:hAnsi="Arial" w:cs="Arial"/>
        </w:rPr>
        <w:t>(Table 1).</w:t>
      </w:r>
      <w:r w:rsidR="00CF71AB" w:rsidRPr="003C7547">
        <w:rPr>
          <w:rFonts w:ascii="Arial" w:hAnsi="Arial" w:cs="Arial"/>
        </w:rPr>
        <w:t xml:space="preserve"> </w:t>
      </w:r>
      <w:r w:rsidRPr="003C7547">
        <w:rPr>
          <w:rFonts w:ascii="Arial" w:hAnsi="Arial" w:cs="Arial"/>
        </w:rPr>
        <w:t xml:space="preserve"> </w:t>
      </w:r>
      <w:r w:rsidR="00E1384C" w:rsidRPr="003C7547">
        <w:rPr>
          <w:rFonts w:ascii="Arial" w:hAnsi="Arial" w:cs="Arial"/>
        </w:rPr>
        <w:t>Most children with SCA</w:t>
      </w:r>
      <w:r w:rsidR="00B06A28" w:rsidRPr="003C7547">
        <w:rPr>
          <w:rFonts w:ascii="Arial" w:hAnsi="Arial" w:cs="Arial"/>
        </w:rPr>
        <w:t>+</w:t>
      </w:r>
      <w:r w:rsidR="00E1384C" w:rsidRPr="003C7547">
        <w:rPr>
          <w:rFonts w:ascii="Arial" w:hAnsi="Arial" w:cs="Arial"/>
        </w:rPr>
        <w:t xml:space="preserve">stroke were enrolled </w:t>
      </w:r>
      <w:r w:rsidR="009A2801" w:rsidRPr="003C7547">
        <w:rPr>
          <w:rFonts w:ascii="Arial" w:hAnsi="Arial" w:cs="Arial"/>
        </w:rPr>
        <w:t>several years</w:t>
      </w:r>
      <w:r w:rsidR="00E1384C" w:rsidRPr="003C7547">
        <w:rPr>
          <w:rFonts w:ascii="Arial" w:hAnsi="Arial" w:cs="Arial"/>
        </w:rPr>
        <w:t xml:space="preserve"> after their initial stroke; mean age at stroke was 6.2 years with echocardiogram performed at a mean age of 12.7 years.</w:t>
      </w:r>
    </w:p>
    <w:p w:rsidR="00BD1B52" w:rsidRPr="003C7547" w:rsidRDefault="00BD1B52" w:rsidP="003E4496">
      <w:pPr>
        <w:spacing w:line="480" w:lineRule="auto"/>
        <w:rPr>
          <w:rFonts w:ascii="Arial" w:hAnsi="Arial" w:cs="Arial"/>
          <w:i/>
        </w:rPr>
      </w:pPr>
      <w:r w:rsidRPr="003C7547">
        <w:rPr>
          <w:rFonts w:ascii="Arial" w:hAnsi="Arial" w:cs="Arial"/>
          <w:i/>
        </w:rPr>
        <w:t>Frequency of Potential Right-to-Left Shunting</w:t>
      </w:r>
    </w:p>
    <w:p w:rsidR="00BD1B52" w:rsidRPr="003C7547" w:rsidRDefault="00D93044" w:rsidP="003E4496">
      <w:pPr>
        <w:spacing w:line="480" w:lineRule="auto"/>
        <w:rPr>
          <w:rFonts w:ascii="Arial" w:hAnsi="Arial" w:cs="Arial"/>
        </w:rPr>
      </w:pPr>
      <w:r w:rsidRPr="003C7547">
        <w:rPr>
          <w:rFonts w:ascii="Arial" w:hAnsi="Arial" w:cs="Arial"/>
        </w:rPr>
        <w:t>There was a significantly higher prevalence of potential shunting in the SCA</w:t>
      </w:r>
      <w:r w:rsidR="00B06A28" w:rsidRPr="003C7547">
        <w:rPr>
          <w:rFonts w:ascii="Arial" w:hAnsi="Arial" w:cs="Arial"/>
        </w:rPr>
        <w:t>+</w:t>
      </w:r>
      <w:r w:rsidRPr="003C7547">
        <w:rPr>
          <w:rFonts w:ascii="Arial" w:hAnsi="Arial" w:cs="Arial"/>
        </w:rPr>
        <w:t>stroke group (45.6%</w:t>
      </w:r>
      <w:r w:rsidR="00E1384C" w:rsidRPr="003C7547">
        <w:rPr>
          <w:rFonts w:ascii="Arial" w:hAnsi="Arial" w:cs="Arial"/>
        </w:rPr>
        <w:t xml:space="preserve"> vs</w:t>
      </w:r>
      <w:r w:rsidR="00684789" w:rsidRPr="003C7547">
        <w:rPr>
          <w:rFonts w:ascii="Arial" w:hAnsi="Arial" w:cs="Arial"/>
        </w:rPr>
        <w:t>.</w:t>
      </w:r>
      <w:r w:rsidR="00E1384C" w:rsidRPr="003C7547">
        <w:rPr>
          <w:rFonts w:ascii="Arial" w:hAnsi="Arial" w:cs="Arial"/>
        </w:rPr>
        <w:t xml:space="preserve"> 23.6% in controls p&lt;0.001, Table 2)</w:t>
      </w:r>
      <w:r w:rsidRPr="003C7547">
        <w:rPr>
          <w:rFonts w:ascii="Arial" w:hAnsi="Arial" w:cs="Arial"/>
        </w:rPr>
        <w:t xml:space="preserve">. </w:t>
      </w:r>
      <w:r w:rsidR="00FE61BA" w:rsidRPr="003C7547">
        <w:rPr>
          <w:rFonts w:ascii="Arial" w:hAnsi="Arial" w:cs="Arial"/>
        </w:rPr>
        <w:t>Contrast injection increased the detection rate for potential shunting in both groups</w:t>
      </w:r>
      <w:r w:rsidR="004A5FD7" w:rsidRPr="003C7547">
        <w:rPr>
          <w:rFonts w:ascii="Arial" w:hAnsi="Arial" w:cs="Arial"/>
        </w:rPr>
        <w:t>,</w:t>
      </w:r>
      <w:r w:rsidR="00FE61BA" w:rsidRPr="003C7547">
        <w:rPr>
          <w:rFonts w:ascii="Arial" w:hAnsi="Arial" w:cs="Arial"/>
        </w:rPr>
        <w:t xml:space="preserve"> </w:t>
      </w:r>
      <w:r w:rsidR="004A5FD7" w:rsidRPr="003C7547">
        <w:rPr>
          <w:rFonts w:ascii="Arial" w:hAnsi="Arial" w:cs="Arial"/>
        </w:rPr>
        <w:t xml:space="preserve">but </w:t>
      </w:r>
      <w:r w:rsidR="00FE61BA" w:rsidRPr="003C7547">
        <w:rPr>
          <w:rFonts w:ascii="Arial" w:hAnsi="Arial" w:cs="Arial"/>
        </w:rPr>
        <w:t>the addition of Valsalva maneuver had minimal effect</w:t>
      </w:r>
      <w:r w:rsidR="00B06A28" w:rsidRPr="003C7547">
        <w:rPr>
          <w:rFonts w:ascii="Arial" w:hAnsi="Arial" w:cs="Arial"/>
        </w:rPr>
        <w:t>.</w:t>
      </w:r>
      <w:r w:rsidR="00FE61BA" w:rsidRPr="003C7547">
        <w:rPr>
          <w:rFonts w:ascii="Arial" w:hAnsi="Arial" w:cs="Arial"/>
        </w:rPr>
        <w:t xml:space="preserve"> </w:t>
      </w:r>
      <w:r w:rsidR="00493F61" w:rsidRPr="003C7547">
        <w:rPr>
          <w:rFonts w:ascii="Arial" w:hAnsi="Arial" w:cs="Arial"/>
        </w:rPr>
        <w:t xml:space="preserve">There was a higher </w:t>
      </w:r>
      <w:r w:rsidR="004A5FD7" w:rsidRPr="003C7547">
        <w:rPr>
          <w:rFonts w:ascii="Arial" w:hAnsi="Arial" w:cs="Arial"/>
        </w:rPr>
        <w:t>prevalence</w:t>
      </w:r>
      <w:r w:rsidR="00493F61" w:rsidRPr="003C7547">
        <w:rPr>
          <w:rFonts w:ascii="Arial" w:hAnsi="Arial" w:cs="Arial"/>
        </w:rPr>
        <w:t xml:space="preserve"> of intrapulmonary shunting (</w:t>
      </w:r>
      <w:r w:rsidR="004A5FD7" w:rsidRPr="003C7547">
        <w:rPr>
          <w:rFonts w:ascii="Arial" w:hAnsi="Arial" w:cs="Arial"/>
        </w:rPr>
        <w:t>“late bubbles” only) in the SCA+</w:t>
      </w:r>
      <w:r w:rsidR="00493F61" w:rsidRPr="003C7547">
        <w:rPr>
          <w:rFonts w:ascii="Arial" w:hAnsi="Arial" w:cs="Arial"/>
        </w:rPr>
        <w:t>stroke group (23.8% vs</w:t>
      </w:r>
      <w:r w:rsidR="00684789" w:rsidRPr="003C7547">
        <w:rPr>
          <w:rFonts w:ascii="Arial" w:hAnsi="Arial" w:cs="Arial"/>
        </w:rPr>
        <w:t>.</w:t>
      </w:r>
      <w:r w:rsidR="00493F61" w:rsidRPr="003C7547">
        <w:rPr>
          <w:rFonts w:ascii="Arial" w:hAnsi="Arial" w:cs="Arial"/>
        </w:rPr>
        <w:t xml:space="preserve"> 5.7% in controls, p&lt;0.001)</w:t>
      </w:r>
      <w:r w:rsidR="004A5FD7" w:rsidRPr="003C7547">
        <w:rPr>
          <w:rFonts w:ascii="Arial" w:hAnsi="Arial" w:cs="Arial"/>
        </w:rPr>
        <w:t xml:space="preserve"> but not intracardiac shunting (21.8% vs. 18.7%, p=0.533)</w:t>
      </w:r>
      <w:r w:rsidR="00BD1B52" w:rsidRPr="003C7547">
        <w:rPr>
          <w:rFonts w:ascii="Arial" w:hAnsi="Arial" w:cs="Arial"/>
        </w:rPr>
        <w:t>.</w:t>
      </w:r>
    </w:p>
    <w:p w:rsidR="00C01854" w:rsidRPr="003C7547" w:rsidRDefault="00BD1B52" w:rsidP="003E4496">
      <w:pPr>
        <w:spacing w:line="480" w:lineRule="auto"/>
        <w:rPr>
          <w:rFonts w:ascii="Arial" w:hAnsi="Arial" w:cs="Arial"/>
          <w:i/>
        </w:rPr>
      </w:pPr>
      <w:r w:rsidRPr="003C7547">
        <w:rPr>
          <w:rFonts w:ascii="Arial" w:hAnsi="Arial" w:cs="Arial"/>
          <w:i/>
        </w:rPr>
        <w:t>Risk Factors for Potential Right-to-Left Shunting</w:t>
      </w:r>
      <w:r w:rsidR="00E1384C" w:rsidRPr="003C7547">
        <w:rPr>
          <w:rFonts w:ascii="Arial" w:hAnsi="Arial" w:cs="Arial"/>
          <w:i/>
        </w:rPr>
        <w:t xml:space="preserve"> </w:t>
      </w:r>
    </w:p>
    <w:p w:rsidR="00BB1F6C" w:rsidRPr="003C7547" w:rsidRDefault="00CF71AB" w:rsidP="003E4496">
      <w:pPr>
        <w:spacing w:line="480" w:lineRule="auto"/>
        <w:rPr>
          <w:rFonts w:ascii="Arial" w:hAnsi="Arial" w:cs="Arial"/>
        </w:rPr>
      </w:pPr>
      <w:r w:rsidRPr="003C7547">
        <w:rPr>
          <w:rFonts w:ascii="Arial" w:hAnsi="Arial" w:cs="Arial"/>
        </w:rPr>
        <w:lastRenderedPageBreak/>
        <w:t xml:space="preserve">Logistic regression </w:t>
      </w:r>
      <w:r w:rsidR="00113CE5" w:rsidRPr="003C7547">
        <w:rPr>
          <w:rFonts w:ascii="Arial" w:hAnsi="Arial" w:cs="Arial"/>
        </w:rPr>
        <w:t>analyses</w:t>
      </w:r>
      <w:r w:rsidRPr="003C7547">
        <w:rPr>
          <w:rFonts w:ascii="Arial" w:hAnsi="Arial" w:cs="Arial"/>
        </w:rPr>
        <w:t xml:space="preserve"> demonstrated that age at echocardiogram and </w:t>
      </w:r>
      <w:r w:rsidR="00BE2A9D" w:rsidRPr="003C7547">
        <w:rPr>
          <w:rFonts w:ascii="Arial" w:hAnsi="Arial" w:cs="Arial"/>
        </w:rPr>
        <w:t xml:space="preserve">sex </w:t>
      </w:r>
      <w:r w:rsidRPr="003C7547">
        <w:rPr>
          <w:rFonts w:ascii="Arial" w:hAnsi="Arial" w:cs="Arial"/>
        </w:rPr>
        <w:t xml:space="preserve">were not significant predictors of any potential shunting </w:t>
      </w:r>
      <w:r w:rsidR="00F31240" w:rsidRPr="003C7547">
        <w:rPr>
          <w:rFonts w:ascii="Arial" w:hAnsi="Arial" w:cs="Arial"/>
        </w:rPr>
        <w:t>when both</w:t>
      </w:r>
      <w:r w:rsidRPr="003C7547">
        <w:rPr>
          <w:rFonts w:ascii="Arial" w:hAnsi="Arial" w:cs="Arial"/>
        </w:rPr>
        <w:t xml:space="preserve"> groups </w:t>
      </w:r>
      <w:r w:rsidR="00F31240" w:rsidRPr="003C7547">
        <w:rPr>
          <w:rFonts w:ascii="Arial" w:hAnsi="Arial" w:cs="Arial"/>
        </w:rPr>
        <w:t xml:space="preserve">were included in the analysis </w:t>
      </w:r>
      <w:r w:rsidRPr="003C7547">
        <w:rPr>
          <w:rFonts w:ascii="Arial" w:hAnsi="Arial" w:cs="Arial"/>
        </w:rPr>
        <w:t xml:space="preserve">(p&gt;0.6) or </w:t>
      </w:r>
      <w:r w:rsidR="00F31240" w:rsidRPr="003C7547">
        <w:rPr>
          <w:rFonts w:ascii="Arial" w:hAnsi="Arial" w:cs="Arial"/>
        </w:rPr>
        <w:t xml:space="preserve">of </w:t>
      </w:r>
      <w:r w:rsidRPr="003C7547">
        <w:rPr>
          <w:rFonts w:ascii="Arial" w:hAnsi="Arial" w:cs="Arial"/>
        </w:rPr>
        <w:t xml:space="preserve">intrapulmonary shunting </w:t>
      </w:r>
      <w:r w:rsidR="00F31240" w:rsidRPr="003C7547">
        <w:rPr>
          <w:rFonts w:ascii="Arial" w:hAnsi="Arial" w:cs="Arial"/>
        </w:rPr>
        <w:t>when</w:t>
      </w:r>
      <w:r w:rsidRPr="003C7547">
        <w:rPr>
          <w:rFonts w:ascii="Arial" w:hAnsi="Arial" w:cs="Arial"/>
        </w:rPr>
        <w:t xml:space="preserve"> the SCA/stroke group</w:t>
      </w:r>
      <w:r w:rsidR="00BE2A9D" w:rsidRPr="003C7547">
        <w:rPr>
          <w:rFonts w:ascii="Arial" w:hAnsi="Arial" w:cs="Arial"/>
        </w:rPr>
        <w:t xml:space="preserve"> </w:t>
      </w:r>
      <w:r w:rsidR="00F31240" w:rsidRPr="003C7547">
        <w:rPr>
          <w:rFonts w:ascii="Arial" w:hAnsi="Arial" w:cs="Arial"/>
        </w:rPr>
        <w:t xml:space="preserve">was included in the analysis </w:t>
      </w:r>
      <w:r w:rsidR="00BE2A9D" w:rsidRPr="003C7547">
        <w:rPr>
          <w:rFonts w:ascii="Arial" w:hAnsi="Arial" w:cs="Arial"/>
        </w:rPr>
        <w:t>(p&gt;</w:t>
      </w:r>
      <w:r w:rsidR="007F59BF" w:rsidRPr="003C7547">
        <w:rPr>
          <w:rFonts w:ascii="Arial" w:hAnsi="Arial" w:cs="Arial"/>
        </w:rPr>
        <w:t>0.5</w:t>
      </w:r>
      <w:r w:rsidR="00BE2A9D" w:rsidRPr="003C7547">
        <w:rPr>
          <w:rFonts w:ascii="Arial" w:hAnsi="Arial" w:cs="Arial"/>
        </w:rPr>
        <w:t>)</w:t>
      </w:r>
      <w:r w:rsidRPr="003C7547">
        <w:rPr>
          <w:rFonts w:ascii="Arial" w:hAnsi="Arial" w:cs="Arial"/>
        </w:rPr>
        <w:t xml:space="preserve">.  </w:t>
      </w:r>
      <w:r w:rsidR="00C01854" w:rsidRPr="003C7547">
        <w:rPr>
          <w:rFonts w:ascii="Arial" w:hAnsi="Arial" w:cs="Arial"/>
        </w:rPr>
        <w:t>Race</w:t>
      </w:r>
      <w:r w:rsidR="007F59BF" w:rsidRPr="003C7547">
        <w:rPr>
          <w:rFonts w:ascii="Arial" w:hAnsi="Arial" w:cs="Arial"/>
        </w:rPr>
        <w:t xml:space="preserve"> (Black vs</w:t>
      </w:r>
      <w:r w:rsidR="001F724C" w:rsidRPr="003C7547">
        <w:rPr>
          <w:rFonts w:ascii="Arial" w:hAnsi="Arial" w:cs="Arial"/>
        </w:rPr>
        <w:t>.</w:t>
      </w:r>
      <w:r w:rsidR="007F59BF" w:rsidRPr="003C7547">
        <w:rPr>
          <w:rFonts w:ascii="Arial" w:hAnsi="Arial" w:cs="Arial"/>
        </w:rPr>
        <w:t xml:space="preserve"> White)</w:t>
      </w:r>
      <w:r w:rsidR="00C01854" w:rsidRPr="003C7547">
        <w:rPr>
          <w:rFonts w:ascii="Arial" w:hAnsi="Arial" w:cs="Arial"/>
        </w:rPr>
        <w:t xml:space="preserve"> was not a predictor of potential shunting </w:t>
      </w:r>
      <w:r w:rsidR="00F31240" w:rsidRPr="003C7547">
        <w:rPr>
          <w:rFonts w:ascii="Arial" w:hAnsi="Arial" w:cs="Arial"/>
        </w:rPr>
        <w:t>when</w:t>
      </w:r>
      <w:r w:rsidR="00C01854" w:rsidRPr="003C7547">
        <w:rPr>
          <w:rFonts w:ascii="Arial" w:hAnsi="Arial" w:cs="Arial"/>
        </w:rPr>
        <w:t xml:space="preserve"> the control group </w:t>
      </w:r>
      <w:r w:rsidR="00F31240" w:rsidRPr="003C7547">
        <w:rPr>
          <w:rFonts w:ascii="Arial" w:hAnsi="Arial" w:cs="Arial"/>
        </w:rPr>
        <w:t xml:space="preserve">was included in the analysis </w:t>
      </w:r>
      <w:r w:rsidR="00C01854" w:rsidRPr="003C7547">
        <w:rPr>
          <w:rFonts w:ascii="Arial" w:hAnsi="Arial" w:cs="Arial"/>
        </w:rPr>
        <w:t>(p&gt;0.4).  In the final model</w:t>
      </w:r>
      <w:r w:rsidR="00F31240" w:rsidRPr="003C7547">
        <w:rPr>
          <w:rFonts w:ascii="Arial" w:hAnsi="Arial" w:cs="Arial"/>
        </w:rPr>
        <w:t xml:space="preserve"> predicting any potential shunting</w:t>
      </w:r>
      <w:r w:rsidR="00C01854" w:rsidRPr="003C7547">
        <w:rPr>
          <w:rFonts w:ascii="Arial" w:hAnsi="Arial" w:cs="Arial"/>
        </w:rPr>
        <w:t>, only group (SCA</w:t>
      </w:r>
      <w:r w:rsidR="00BE2A9D" w:rsidRPr="003C7547">
        <w:rPr>
          <w:rFonts w:ascii="Arial" w:hAnsi="Arial" w:cs="Arial"/>
        </w:rPr>
        <w:t>+</w:t>
      </w:r>
      <w:r w:rsidR="00C01854" w:rsidRPr="003C7547">
        <w:rPr>
          <w:rFonts w:ascii="Arial" w:hAnsi="Arial" w:cs="Arial"/>
        </w:rPr>
        <w:t>stroke vs</w:t>
      </w:r>
      <w:r w:rsidR="001F724C" w:rsidRPr="003C7547">
        <w:rPr>
          <w:rFonts w:ascii="Arial" w:hAnsi="Arial" w:cs="Arial"/>
        </w:rPr>
        <w:t>.</w:t>
      </w:r>
      <w:r w:rsidR="00C01854" w:rsidRPr="003C7547">
        <w:rPr>
          <w:rFonts w:ascii="Arial" w:hAnsi="Arial" w:cs="Arial"/>
        </w:rPr>
        <w:t xml:space="preserve"> control</w:t>
      </w:r>
      <w:r w:rsidR="00BE2A9D" w:rsidRPr="003C7547">
        <w:rPr>
          <w:rFonts w:ascii="Arial" w:hAnsi="Arial" w:cs="Arial"/>
        </w:rPr>
        <w:t>s</w:t>
      </w:r>
      <w:r w:rsidR="00C01854" w:rsidRPr="003C7547">
        <w:rPr>
          <w:rFonts w:ascii="Arial" w:hAnsi="Arial" w:cs="Arial"/>
        </w:rPr>
        <w:t xml:space="preserve">) was predictive for the presence of any potential shunting.  Those with </w:t>
      </w:r>
      <w:r w:rsidR="00F31240" w:rsidRPr="003C7547">
        <w:rPr>
          <w:rFonts w:ascii="Arial" w:hAnsi="Arial" w:cs="Arial"/>
        </w:rPr>
        <w:t>any potential shunting</w:t>
      </w:r>
      <w:r w:rsidR="00C01854" w:rsidRPr="003C7547">
        <w:rPr>
          <w:rFonts w:ascii="Arial" w:hAnsi="Arial" w:cs="Arial"/>
        </w:rPr>
        <w:t xml:space="preserve"> were 2.7 times more likely to </w:t>
      </w:r>
      <w:r w:rsidR="00F31240" w:rsidRPr="003C7547">
        <w:rPr>
          <w:rFonts w:ascii="Arial" w:hAnsi="Arial" w:cs="Arial"/>
        </w:rPr>
        <w:t>be in the SCA/stroke group compared to Controls than those without any potential shunting</w:t>
      </w:r>
      <w:r w:rsidR="00C01854" w:rsidRPr="003C7547">
        <w:rPr>
          <w:rFonts w:ascii="Arial" w:hAnsi="Arial" w:cs="Arial"/>
        </w:rPr>
        <w:t xml:space="preserve"> </w:t>
      </w:r>
      <w:r w:rsidR="00BD1B52" w:rsidRPr="003C7547">
        <w:rPr>
          <w:rFonts w:ascii="Arial" w:hAnsi="Arial" w:cs="Arial"/>
        </w:rPr>
        <w:t>[o</w:t>
      </w:r>
      <w:r w:rsidR="0045321D" w:rsidRPr="003C7547">
        <w:rPr>
          <w:rFonts w:ascii="Arial" w:hAnsi="Arial" w:cs="Arial"/>
        </w:rPr>
        <w:t xml:space="preserve">dds </w:t>
      </w:r>
      <w:r w:rsidR="00BD1B52" w:rsidRPr="003C7547">
        <w:rPr>
          <w:rFonts w:ascii="Arial" w:hAnsi="Arial" w:cs="Arial"/>
        </w:rPr>
        <w:t>r</w:t>
      </w:r>
      <w:r w:rsidR="0045321D" w:rsidRPr="003C7547">
        <w:rPr>
          <w:rFonts w:ascii="Arial" w:hAnsi="Arial" w:cs="Arial"/>
        </w:rPr>
        <w:t xml:space="preserve">atio (OR) </w:t>
      </w:r>
      <w:r w:rsidR="00C01854" w:rsidRPr="003C7547">
        <w:rPr>
          <w:rFonts w:ascii="Arial" w:hAnsi="Arial" w:cs="Arial"/>
        </w:rPr>
        <w:t>= 2.7</w:t>
      </w:r>
      <w:r w:rsidR="00BD1B52" w:rsidRPr="003C7547">
        <w:rPr>
          <w:rFonts w:ascii="Arial" w:hAnsi="Arial" w:cs="Arial"/>
        </w:rPr>
        <w:t>;</w:t>
      </w:r>
      <w:r w:rsidR="00C01854" w:rsidRPr="003C7547">
        <w:rPr>
          <w:rFonts w:ascii="Arial" w:hAnsi="Arial" w:cs="Arial"/>
        </w:rPr>
        <w:t xml:space="preserve"> 95% confidence interval</w:t>
      </w:r>
      <w:r w:rsidR="0045321D" w:rsidRPr="003C7547">
        <w:rPr>
          <w:rFonts w:ascii="Arial" w:hAnsi="Arial" w:cs="Arial"/>
        </w:rPr>
        <w:t xml:space="preserve"> (CI)</w:t>
      </w:r>
      <w:r w:rsidR="00BD1B52" w:rsidRPr="003C7547">
        <w:rPr>
          <w:rFonts w:ascii="Arial" w:hAnsi="Arial" w:cs="Arial"/>
        </w:rPr>
        <w:t>,</w:t>
      </w:r>
      <w:r w:rsidR="00C01854" w:rsidRPr="003C7547">
        <w:rPr>
          <w:rFonts w:ascii="Arial" w:hAnsi="Arial" w:cs="Arial"/>
        </w:rPr>
        <w:t xml:space="preserve"> 1.6-4.6</w:t>
      </w:r>
      <w:r w:rsidR="00BD1B52" w:rsidRPr="003C7547">
        <w:rPr>
          <w:rFonts w:ascii="Arial" w:hAnsi="Arial" w:cs="Arial"/>
        </w:rPr>
        <w:t>]</w:t>
      </w:r>
      <w:r w:rsidR="00C01854" w:rsidRPr="003C7547">
        <w:rPr>
          <w:rFonts w:ascii="Arial" w:hAnsi="Arial" w:cs="Arial"/>
        </w:rPr>
        <w:t>.</w:t>
      </w:r>
    </w:p>
    <w:p w:rsidR="00BD1B52" w:rsidRPr="003C7547" w:rsidRDefault="00BD1B52" w:rsidP="003E4496">
      <w:pPr>
        <w:spacing w:line="480" w:lineRule="auto"/>
        <w:rPr>
          <w:rFonts w:ascii="Arial" w:hAnsi="Arial" w:cs="Arial"/>
          <w:i/>
        </w:rPr>
      </w:pPr>
      <w:r w:rsidRPr="003C7547">
        <w:rPr>
          <w:rFonts w:ascii="Arial" w:hAnsi="Arial" w:cs="Arial"/>
          <w:i/>
        </w:rPr>
        <w:t>Clinical Correlates of Stroke in Participants with Potential RLS</w:t>
      </w:r>
    </w:p>
    <w:p w:rsidR="00D93044" w:rsidRPr="003C7547" w:rsidRDefault="00C1133F" w:rsidP="003E4496">
      <w:pPr>
        <w:spacing w:line="480" w:lineRule="auto"/>
        <w:rPr>
          <w:rFonts w:ascii="Arial" w:hAnsi="Arial" w:cs="Arial"/>
        </w:rPr>
      </w:pPr>
      <w:r w:rsidRPr="003C7547">
        <w:rPr>
          <w:rFonts w:ascii="Arial" w:hAnsi="Arial" w:cs="Arial"/>
        </w:rPr>
        <w:t>We also compared the demographic, clinica</w:t>
      </w:r>
      <w:r w:rsidR="005C7BDA" w:rsidRPr="003C7547">
        <w:rPr>
          <w:rFonts w:ascii="Arial" w:hAnsi="Arial" w:cs="Arial"/>
        </w:rPr>
        <w:t xml:space="preserve">l, and laboratory data </w:t>
      </w:r>
      <w:r w:rsidR="0095099C" w:rsidRPr="003C7547">
        <w:rPr>
          <w:rFonts w:ascii="Arial" w:hAnsi="Arial" w:cs="Arial"/>
        </w:rPr>
        <w:t>of the</w:t>
      </w:r>
      <w:r w:rsidR="005C7BDA" w:rsidRPr="003C7547">
        <w:rPr>
          <w:rFonts w:ascii="Arial" w:hAnsi="Arial" w:cs="Arial"/>
        </w:rPr>
        <w:t xml:space="preserve"> SCA</w:t>
      </w:r>
      <w:r w:rsidR="00BE2A9D" w:rsidRPr="003C7547">
        <w:rPr>
          <w:rFonts w:ascii="Arial" w:hAnsi="Arial" w:cs="Arial"/>
        </w:rPr>
        <w:t>+</w:t>
      </w:r>
      <w:r w:rsidR="005C7BDA" w:rsidRPr="003C7547">
        <w:rPr>
          <w:rFonts w:ascii="Arial" w:hAnsi="Arial" w:cs="Arial"/>
        </w:rPr>
        <w:t>stroke</w:t>
      </w:r>
      <w:r w:rsidR="008E5C8E" w:rsidRPr="003C7547">
        <w:rPr>
          <w:rFonts w:ascii="Arial" w:hAnsi="Arial" w:cs="Arial"/>
        </w:rPr>
        <w:t xml:space="preserve"> </w:t>
      </w:r>
      <w:r w:rsidR="0095099C" w:rsidRPr="003C7547">
        <w:rPr>
          <w:rFonts w:ascii="Arial" w:hAnsi="Arial" w:cs="Arial"/>
        </w:rPr>
        <w:t xml:space="preserve">group </w:t>
      </w:r>
      <w:r w:rsidR="008E5C8E" w:rsidRPr="003C7547">
        <w:rPr>
          <w:rFonts w:ascii="Arial" w:hAnsi="Arial" w:cs="Arial"/>
        </w:rPr>
        <w:t xml:space="preserve">with and without potential </w:t>
      </w:r>
      <w:r w:rsidR="001E43BE" w:rsidRPr="003C7547">
        <w:rPr>
          <w:rFonts w:ascii="Arial" w:hAnsi="Arial" w:cs="Arial"/>
        </w:rPr>
        <w:t>RLS</w:t>
      </w:r>
      <w:r w:rsidR="008E5C8E" w:rsidRPr="003C7547">
        <w:rPr>
          <w:rFonts w:ascii="Arial" w:hAnsi="Arial" w:cs="Arial"/>
        </w:rPr>
        <w:t xml:space="preserve"> (Table 3).  </w:t>
      </w:r>
      <w:r w:rsidR="00BD1B52" w:rsidRPr="003C7547">
        <w:rPr>
          <w:rFonts w:ascii="Arial" w:hAnsi="Arial" w:cs="Arial"/>
        </w:rPr>
        <w:t xml:space="preserve">Headache was reported at the time of onset of stroke in 48% of those with shunting vs. 27% of those without (p=0.021). </w:t>
      </w:r>
      <w:r w:rsidR="00966480" w:rsidRPr="003C7547">
        <w:rPr>
          <w:rFonts w:ascii="Arial" w:hAnsi="Arial" w:cs="Arial"/>
        </w:rPr>
        <w:t>There were no</w:t>
      </w:r>
      <w:r w:rsidR="00BD1B52" w:rsidRPr="003C7547">
        <w:rPr>
          <w:rFonts w:ascii="Arial" w:hAnsi="Arial" w:cs="Arial"/>
        </w:rPr>
        <w:t xml:space="preserve"> other</w:t>
      </w:r>
      <w:r w:rsidR="00966480" w:rsidRPr="003C7547">
        <w:rPr>
          <w:rFonts w:ascii="Arial" w:hAnsi="Arial" w:cs="Arial"/>
        </w:rPr>
        <w:t xml:space="preserve"> significant differences between those SCA</w:t>
      </w:r>
      <w:r w:rsidR="00BE2A9D" w:rsidRPr="003C7547">
        <w:rPr>
          <w:rFonts w:ascii="Arial" w:hAnsi="Arial" w:cs="Arial"/>
        </w:rPr>
        <w:t>+</w:t>
      </w:r>
      <w:r w:rsidR="00966480" w:rsidRPr="003C7547">
        <w:rPr>
          <w:rFonts w:ascii="Arial" w:hAnsi="Arial" w:cs="Arial"/>
        </w:rPr>
        <w:t>stroke pa</w:t>
      </w:r>
      <w:r w:rsidR="001E43BE" w:rsidRPr="003C7547">
        <w:rPr>
          <w:rFonts w:ascii="Arial" w:hAnsi="Arial" w:cs="Arial"/>
        </w:rPr>
        <w:t>tients with and without RLS</w:t>
      </w:r>
      <w:r w:rsidR="00BD1B52" w:rsidRPr="003C7547">
        <w:rPr>
          <w:rFonts w:ascii="Arial" w:hAnsi="Arial" w:cs="Arial"/>
        </w:rPr>
        <w:t>.</w:t>
      </w:r>
      <w:r w:rsidR="00966480" w:rsidRPr="003C7547">
        <w:rPr>
          <w:rFonts w:ascii="Arial" w:hAnsi="Arial" w:cs="Arial"/>
        </w:rPr>
        <w:t xml:space="preserve">  There was no difference in patient</w:t>
      </w:r>
      <w:r w:rsidR="00EC30F5" w:rsidRPr="003C7547">
        <w:rPr>
          <w:rFonts w:ascii="Arial" w:hAnsi="Arial" w:cs="Arial"/>
        </w:rPr>
        <w:t>-</w:t>
      </w:r>
      <w:r w:rsidR="00966480" w:rsidRPr="003C7547">
        <w:rPr>
          <w:rFonts w:ascii="Arial" w:hAnsi="Arial" w:cs="Arial"/>
        </w:rPr>
        <w:t xml:space="preserve">reported ongoing “bad headaches or migraine” at the time of the echocardiogram </w:t>
      </w:r>
      <w:r w:rsidR="00A46F56" w:rsidRPr="003C7547">
        <w:rPr>
          <w:rFonts w:ascii="Arial" w:hAnsi="Arial" w:cs="Arial"/>
        </w:rPr>
        <w:t>(p=0.888).</w:t>
      </w:r>
      <w:r w:rsidR="003F6ADA" w:rsidRPr="003C7547">
        <w:rPr>
          <w:rFonts w:ascii="Arial" w:hAnsi="Arial" w:cs="Arial"/>
        </w:rPr>
        <w:t xml:space="preserve">  There also was no difference in the prevalence of recurrent stroke or TIA between those with and without shunting.  </w:t>
      </w:r>
    </w:p>
    <w:p w:rsidR="00EA762D" w:rsidRPr="003C7547" w:rsidRDefault="00FA4C27" w:rsidP="003E4496">
      <w:pPr>
        <w:spacing w:line="480" w:lineRule="auto"/>
        <w:rPr>
          <w:rFonts w:ascii="Arial" w:hAnsi="Arial" w:cs="Arial"/>
        </w:rPr>
      </w:pPr>
      <w:r w:rsidRPr="003C7547">
        <w:rPr>
          <w:rFonts w:ascii="Arial" w:hAnsi="Arial" w:cs="Arial"/>
        </w:rPr>
        <w:t xml:space="preserve">We </w:t>
      </w:r>
      <w:r w:rsidR="0095099C" w:rsidRPr="003C7547">
        <w:rPr>
          <w:rFonts w:ascii="Arial" w:hAnsi="Arial" w:cs="Arial"/>
        </w:rPr>
        <w:t xml:space="preserve">studied these same demographic, clinical, and laboratory data in the </w:t>
      </w:r>
      <w:r w:rsidRPr="003C7547">
        <w:rPr>
          <w:rFonts w:ascii="Arial" w:hAnsi="Arial" w:cs="Arial"/>
        </w:rPr>
        <w:t xml:space="preserve">SCA+stroke </w:t>
      </w:r>
      <w:r w:rsidR="0095099C" w:rsidRPr="003C7547">
        <w:rPr>
          <w:rFonts w:ascii="Arial" w:hAnsi="Arial" w:cs="Arial"/>
        </w:rPr>
        <w:t xml:space="preserve">group </w:t>
      </w:r>
      <w:r w:rsidRPr="003C7547">
        <w:rPr>
          <w:rFonts w:ascii="Arial" w:hAnsi="Arial" w:cs="Arial"/>
        </w:rPr>
        <w:t xml:space="preserve">with and without </w:t>
      </w:r>
      <w:r w:rsidR="00B059F2" w:rsidRPr="003C7547">
        <w:rPr>
          <w:rFonts w:ascii="Arial" w:hAnsi="Arial" w:cs="Arial"/>
        </w:rPr>
        <w:t>intra</w:t>
      </w:r>
      <w:r w:rsidR="00966480" w:rsidRPr="003C7547">
        <w:rPr>
          <w:rFonts w:ascii="Arial" w:hAnsi="Arial" w:cs="Arial"/>
        </w:rPr>
        <w:t>pulmonary shunting only</w:t>
      </w:r>
      <w:r w:rsidR="0095099C" w:rsidRPr="003C7547">
        <w:rPr>
          <w:rFonts w:ascii="Arial" w:hAnsi="Arial" w:cs="Arial"/>
        </w:rPr>
        <w:t xml:space="preserve">. There was </w:t>
      </w:r>
      <w:r w:rsidR="00966480" w:rsidRPr="003C7547">
        <w:rPr>
          <w:rFonts w:ascii="Arial" w:hAnsi="Arial" w:cs="Arial"/>
        </w:rPr>
        <w:t xml:space="preserve">a </w:t>
      </w:r>
      <w:r w:rsidR="00C529B1" w:rsidRPr="003C7547">
        <w:rPr>
          <w:rFonts w:ascii="Arial" w:hAnsi="Arial" w:cs="Arial"/>
        </w:rPr>
        <w:t xml:space="preserve">higher </w:t>
      </w:r>
      <w:r w:rsidR="00966480" w:rsidRPr="003C7547">
        <w:rPr>
          <w:rFonts w:ascii="Arial" w:hAnsi="Arial" w:cs="Arial"/>
        </w:rPr>
        <w:t xml:space="preserve">prevalence </w:t>
      </w:r>
      <w:r w:rsidR="0095099C" w:rsidRPr="003C7547">
        <w:rPr>
          <w:rFonts w:ascii="Arial" w:hAnsi="Arial" w:cs="Arial"/>
        </w:rPr>
        <w:t xml:space="preserve">of a </w:t>
      </w:r>
      <w:r w:rsidR="00AF21EE" w:rsidRPr="003C7547">
        <w:rPr>
          <w:rFonts w:ascii="Arial" w:hAnsi="Arial" w:cs="Arial"/>
        </w:rPr>
        <w:t xml:space="preserve">patient/parent </w:t>
      </w:r>
      <w:r w:rsidR="00966480" w:rsidRPr="003C7547">
        <w:rPr>
          <w:rFonts w:ascii="Arial" w:hAnsi="Arial" w:cs="Arial"/>
        </w:rPr>
        <w:t xml:space="preserve">reported diagnosis of obstructive sleep apnea </w:t>
      </w:r>
      <w:r w:rsidR="001E7855" w:rsidRPr="003C7547">
        <w:rPr>
          <w:rFonts w:ascii="Arial" w:hAnsi="Arial" w:cs="Arial"/>
        </w:rPr>
        <w:t xml:space="preserve">in those with </w:t>
      </w:r>
      <w:r w:rsidR="00B059F2" w:rsidRPr="003C7547">
        <w:rPr>
          <w:rFonts w:ascii="Arial" w:hAnsi="Arial" w:cs="Arial"/>
        </w:rPr>
        <w:t>intra</w:t>
      </w:r>
      <w:r w:rsidR="001E7855" w:rsidRPr="003C7547">
        <w:rPr>
          <w:rFonts w:ascii="Arial" w:hAnsi="Arial" w:cs="Arial"/>
        </w:rPr>
        <w:t xml:space="preserve">pulmonary shunting </w:t>
      </w:r>
      <w:r w:rsidR="00966480" w:rsidRPr="003C7547">
        <w:rPr>
          <w:rFonts w:ascii="Arial" w:hAnsi="Arial" w:cs="Arial"/>
        </w:rPr>
        <w:t>(</w:t>
      </w:r>
      <w:r w:rsidR="00AF21EE" w:rsidRPr="003C7547">
        <w:rPr>
          <w:rFonts w:ascii="Arial" w:hAnsi="Arial" w:cs="Arial"/>
        </w:rPr>
        <w:t>6/34 (17.6%) vs</w:t>
      </w:r>
      <w:r w:rsidR="00684789" w:rsidRPr="003C7547">
        <w:rPr>
          <w:rFonts w:ascii="Arial" w:hAnsi="Arial" w:cs="Arial"/>
        </w:rPr>
        <w:t>.</w:t>
      </w:r>
      <w:r w:rsidR="00AF21EE" w:rsidRPr="003C7547">
        <w:rPr>
          <w:rFonts w:ascii="Arial" w:hAnsi="Arial" w:cs="Arial"/>
        </w:rPr>
        <w:t xml:space="preserve"> 6/109 (5.5%)</w:t>
      </w:r>
      <w:r w:rsidR="00371CEC" w:rsidRPr="003C7547">
        <w:rPr>
          <w:rFonts w:ascii="Arial" w:hAnsi="Arial" w:cs="Arial"/>
        </w:rPr>
        <w:t>) than</w:t>
      </w:r>
      <w:r w:rsidR="00AF21EE" w:rsidRPr="003C7547">
        <w:rPr>
          <w:rFonts w:ascii="Arial" w:hAnsi="Arial" w:cs="Arial"/>
        </w:rPr>
        <w:t xml:space="preserve"> </w:t>
      </w:r>
      <w:r w:rsidR="00966480" w:rsidRPr="003C7547">
        <w:rPr>
          <w:rFonts w:ascii="Arial" w:hAnsi="Arial" w:cs="Arial"/>
        </w:rPr>
        <w:t xml:space="preserve">in </w:t>
      </w:r>
      <w:r w:rsidR="005C7BDA" w:rsidRPr="003C7547">
        <w:rPr>
          <w:rFonts w:ascii="Arial" w:hAnsi="Arial" w:cs="Arial"/>
        </w:rPr>
        <w:t>those without</w:t>
      </w:r>
      <w:r w:rsidR="00AF21EE" w:rsidRPr="003C7547">
        <w:rPr>
          <w:rFonts w:ascii="Arial" w:hAnsi="Arial" w:cs="Arial"/>
        </w:rPr>
        <w:t xml:space="preserve"> (p=0.036)</w:t>
      </w:r>
      <w:r w:rsidR="00966480" w:rsidRPr="003C7547">
        <w:rPr>
          <w:rFonts w:ascii="Arial" w:hAnsi="Arial" w:cs="Arial"/>
        </w:rPr>
        <w:t>.  There were no differences</w:t>
      </w:r>
      <w:r w:rsidR="0095099C" w:rsidRPr="003C7547">
        <w:rPr>
          <w:rFonts w:ascii="Arial" w:hAnsi="Arial" w:cs="Arial"/>
        </w:rPr>
        <w:t>,</w:t>
      </w:r>
      <w:r w:rsidR="00966480" w:rsidRPr="003C7547">
        <w:rPr>
          <w:rFonts w:ascii="Arial" w:hAnsi="Arial" w:cs="Arial"/>
        </w:rPr>
        <w:t xml:space="preserve"> however, in patient/parent</w:t>
      </w:r>
      <w:r w:rsidR="0095099C" w:rsidRPr="003C7547">
        <w:rPr>
          <w:rFonts w:ascii="Arial" w:hAnsi="Arial" w:cs="Arial"/>
        </w:rPr>
        <w:t>-</w:t>
      </w:r>
      <w:r w:rsidR="00966480" w:rsidRPr="003C7547">
        <w:rPr>
          <w:rFonts w:ascii="Arial" w:hAnsi="Arial" w:cs="Arial"/>
        </w:rPr>
        <w:t xml:space="preserve">reported snoring, asthma, </w:t>
      </w:r>
      <w:r w:rsidR="00B059F2" w:rsidRPr="003C7547">
        <w:rPr>
          <w:rFonts w:ascii="Arial" w:hAnsi="Arial" w:cs="Arial"/>
        </w:rPr>
        <w:t xml:space="preserve">diagnosis of pulmonary hypertension, or </w:t>
      </w:r>
      <w:r w:rsidR="00E72C98" w:rsidRPr="003C7547">
        <w:rPr>
          <w:rFonts w:ascii="Arial" w:hAnsi="Arial" w:cs="Arial"/>
        </w:rPr>
        <w:t xml:space="preserve">hemoglobin oxygen </w:t>
      </w:r>
      <w:r w:rsidR="00B059F2" w:rsidRPr="003C7547">
        <w:rPr>
          <w:rFonts w:ascii="Arial" w:hAnsi="Arial" w:cs="Arial"/>
        </w:rPr>
        <w:t>saturation</w:t>
      </w:r>
      <w:r w:rsidR="003F6ADA" w:rsidRPr="003C7547">
        <w:rPr>
          <w:rFonts w:ascii="Arial" w:hAnsi="Arial" w:cs="Arial"/>
        </w:rPr>
        <w:t xml:space="preserve">.  </w:t>
      </w:r>
    </w:p>
    <w:p w:rsidR="006559C8" w:rsidRPr="003C7547" w:rsidRDefault="006559C8" w:rsidP="003E4496">
      <w:pPr>
        <w:spacing w:line="480" w:lineRule="auto"/>
        <w:rPr>
          <w:rFonts w:ascii="Arial" w:hAnsi="Arial" w:cs="Arial"/>
          <w:b/>
        </w:rPr>
      </w:pPr>
      <w:r w:rsidRPr="003C7547">
        <w:rPr>
          <w:rFonts w:ascii="Arial" w:hAnsi="Arial" w:cs="Arial"/>
          <w:b/>
        </w:rPr>
        <w:t>Discussion</w:t>
      </w:r>
    </w:p>
    <w:p w:rsidR="007D5734" w:rsidRPr="003C7547" w:rsidRDefault="0070009C" w:rsidP="003E4496">
      <w:pPr>
        <w:spacing w:line="480" w:lineRule="auto"/>
        <w:rPr>
          <w:rFonts w:ascii="Arial" w:hAnsi="Arial" w:cs="Arial"/>
        </w:rPr>
      </w:pPr>
      <w:r w:rsidRPr="003C7547">
        <w:rPr>
          <w:rFonts w:ascii="Arial" w:hAnsi="Arial" w:cs="Arial"/>
        </w:rPr>
        <w:lastRenderedPageBreak/>
        <w:t xml:space="preserve">We identified a high </w:t>
      </w:r>
      <w:r w:rsidR="00C529B1" w:rsidRPr="003C7547">
        <w:rPr>
          <w:rFonts w:ascii="Arial" w:hAnsi="Arial" w:cs="Arial"/>
        </w:rPr>
        <w:t xml:space="preserve">prevalence </w:t>
      </w:r>
      <w:r w:rsidRPr="003C7547">
        <w:rPr>
          <w:rFonts w:ascii="Arial" w:hAnsi="Arial" w:cs="Arial"/>
        </w:rPr>
        <w:t xml:space="preserve">of potential right-to-left shunting in children with SCA and stroke compared </w:t>
      </w:r>
      <w:r w:rsidR="00CE0122" w:rsidRPr="003C7547">
        <w:rPr>
          <w:rFonts w:ascii="Arial" w:hAnsi="Arial" w:cs="Arial"/>
        </w:rPr>
        <w:t xml:space="preserve">to </w:t>
      </w:r>
      <w:r w:rsidRPr="003C7547">
        <w:rPr>
          <w:rFonts w:ascii="Arial" w:hAnsi="Arial" w:cs="Arial"/>
        </w:rPr>
        <w:t>a</w:t>
      </w:r>
      <w:r w:rsidR="00286545" w:rsidRPr="003C7547">
        <w:rPr>
          <w:rFonts w:ascii="Arial" w:hAnsi="Arial" w:cs="Arial"/>
        </w:rPr>
        <w:t xml:space="preserve"> control</w:t>
      </w:r>
      <w:r w:rsidR="00104E21" w:rsidRPr="003C7547">
        <w:rPr>
          <w:rFonts w:ascii="Arial" w:hAnsi="Arial" w:cs="Arial"/>
        </w:rPr>
        <w:t xml:space="preserve"> </w:t>
      </w:r>
      <w:r w:rsidRPr="003C7547">
        <w:rPr>
          <w:rFonts w:ascii="Arial" w:hAnsi="Arial" w:cs="Arial"/>
        </w:rPr>
        <w:t>group of children without SCA or stroke.</w:t>
      </w:r>
      <w:r w:rsidR="007B581A" w:rsidRPr="003C7547">
        <w:rPr>
          <w:rFonts w:ascii="Arial" w:hAnsi="Arial" w:cs="Arial"/>
        </w:rPr>
        <w:t xml:space="preserve"> Potential right-to-left shunting was 2.7 times more likely in the c</w:t>
      </w:r>
      <w:r w:rsidR="000F37FE" w:rsidRPr="003C7547">
        <w:rPr>
          <w:rFonts w:ascii="Arial" w:hAnsi="Arial" w:cs="Arial"/>
        </w:rPr>
        <w:t>hildren with SCA and stroke</w:t>
      </w:r>
      <w:r w:rsidR="00C529B1" w:rsidRPr="003C7547">
        <w:rPr>
          <w:rFonts w:ascii="Arial" w:hAnsi="Arial" w:cs="Arial"/>
        </w:rPr>
        <w:t xml:space="preserve"> </w:t>
      </w:r>
      <w:r w:rsidR="00277BC2" w:rsidRPr="003C7547">
        <w:rPr>
          <w:rFonts w:ascii="Arial" w:hAnsi="Arial" w:cs="Arial"/>
        </w:rPr>
        <w:t>(</w:t>
      </w:r>
      <w:r w:rsidR="001577A4" w:rsidRPr="003C7547">
        <w:rPr>
          <w:rFonts w:ascii="Arial" w:hAnsi="Arial" w:cs="Arial"/>
        </w:rPr>
        <w:t>95%</w:t>
      </w:r>
      <w:r w:rsidR="00277BC2" w:rsidRPr="003C7547">
        <w:rPr>
          <w:rFonts w:ascii="Arial" w:hAnsi="Arial" w:cs="Arial"/>
        </w:rPr>
        <w:t>CI 1.6-4.6)</w:t>
      </w:r>
      <w:r w:rsidR="000F37FE" w:rsidRPr="003C7547">
        <w:rPr>
          <w:rFonts w:ascii="Arial" w:hAnsi="Arial" w:cs="Arial"/>
        </w:rPr>
        <w:t>.</w:t>
      </w:r>
      <w:r w:rsidR="00277BC2" w:rsidRPr="003C7547">
        <w:rPr>
          <w:rFonts w:ascii="Arial" w:hAnsi="Arial" w:cs="Arial"/>
        </w:rPr>
        <w:t xml:space="preserve"> </w:t>
      </w:r>
      <w:r w:rsidR="00C529B1" w:rsidRPr="003C7547">
        <w:rPr>
          <w:rFonts w:ascii="Arial" w:hAnsi="Arial" w:cs="Arial"/>
        </w:rPr>
        <w:t xml:space="preserve"> </w:t>
      </w:r>
      <w:r w:rsidR="006421A3" w:rsidRPr="003C7547">
        <w:rPr>
          <w:rFonts w:ascii="Arial" w:hAnsi="Arial" w:cs="Arial"/>
        </w:rPr>
        <w:t>The</w:t>
      </w:r>
      <w:r w:rsidR="00C529B1" w:rsidRPr="003C7547">
        <w:rPr>
          <w:rFonts w:ascii="Arial" w:hAnsi="Arial" w:cs="Arial"/>
        </w:rPr>
        <w:t xml:space="preserve"> difference in prevalence of potential </w:t>
      </w:r>
      <w:r w:rsidR="00970B96" w:rsidRPr="003C7547">
        <w:rPr>
          <w:rFonts w:ascii="Arial" w:hAnsi="Arial" w:cs="Arial"/>
        </w:rPr>
        <w:t>RLS</w:t>
      </w:r>
      <w:r w:rsidR="00C529B1" w:rsidRPr="003C7547">
        <w:rPr>
          <w:rFonts w:ascii="Arial" w:hAnsi="Arial" w:cs="Arial"/>
        </w:rPr>
        <w:t xml:space="preserve"> </w:t>
      </w:r>
      <w:r w:rsidR="006421A3" w:rsidRPr="003C7547">
        <w:rPr>
          <w:rFonts w:ascii="Arial" w:hAnsi="Arial" w:cs="Arial"/>
        </w:rPr>
        <w:t xml:space="preserve">between cases and controls </w:t>
      </w:r>
      <w:r w:rsidR="00C529B1" w:rsidRPr="003C7547">
        <w:rPr>
          <w:rFonts w:ascii="Arial" w:hAnsi="Arial" w:cs="Arial"/>
        </w:rPr>
        <w:t>appeared to be driven</w:t>
      </w:r>
      <w:r w:rsidR="006421A3" w:rsidRPr="003C7547">
        <w:rPr>
          <w:rFonts w:ascii="Arial" w:hAnsi="Arial" w:cs="Arial"/>
        </w:rPr>
        <w:t xml:space="preserve"> </w:t>
      </w:r>
      <w:r w:rsidR="00C529B1" w:rsidRPr="003C7547">
        <w:rPr>
          <w:rFonts w:ascii="Arial" w:hAnsi="Arial" w:cs="Arial"/>
        </w:rPr>
        <w:t xml:space="preserve">by </w:t>
      </w:r>
      <w:r w:rsidR="006421A3" w:rsidRPr="003C7547">
        <w:rPr>
          <w:rFonts w:ascii="Arial" w:hAnsi="Arial" w:cs="Arial"/>
        </w:rPr>
        <w:t xml:space="preserve">higher prevalence of </w:t>
      </w:r>
      <w:r w:rsidR="00B059F2" w:rsidRPr="003C7547">
        <w:rPr>
          <w:rFonts w:ascii="Arial" w:hAnsi="Arial" w:cs="Arial"/>
        </w:rPr>
        <w:t>extra-cardiac, intra</w:t>
      </w:r>
      <w:r w:rsidR="00C529B1" w:rsidRPr="003C7547">
        <w:rPr>
          <w:rFonts w:ascii="Arial" w:hAnsi="Arial" w:cs="Arial"/>
        </w:rPr>
        <w:t>pulmonary shunts</w:t>
      </w:r>
      <w:r w:rsidR="006421A3" w:rsidRPr="003C7547">
        <w:rPr>
          <w:rFonts w:ascii="Arial" w:hAnsi="Arial" w:cs="Arial"/>
        </w:rPr>
        <w:t xml:space="preserve"> in cases with SCA and stroke</w:t>
      </w:r>
      <w:r w:rsidR="00C529B1" w:rsidRPr="003C7547">
        <w:rPr>
          <w:rFonts w:ascii="Arial" w:hAnsi="Arial" w:cs="Arial"/>
        </w:rPr>
        <w:t xml:space="preserve">. </w:t>
      </w:r>
      <w:r w:rsidR="008545AA" w:rsidRPr="003C7547">
        <w:rPr>
          <w:rFonts w:ascii="Arial" w:hAnsi="Arial" w:cs="Arial"/>
        </w:rPr>
        <w:t xml:space="preserve"> </w:t>
      </w:r>
      <w:r w:rsidR="00C529B1" w:rsidRPr="003C7547">
        <w:rPr>
          <w:rFonts w:ascii="Arial" w:hAnsi="Arial" w:cs="Arial"/>
        </w:rPr>
        <w:t>Among children with SCA and stroke</w:t>
      </w:r>
      <w:r w:rsidR="006421A3" w:rsidRPr="003C7547">
        <w:rPr>
          <w:rFonts w:ascii="Arial" w:hAnsi="Arial" w:cs="Arial"/>
        </w:rPr>
        <w:t>, those</w:t>
      </w:r>
      <w:r w:rsidR="00C529B1" w:rsidRPr="003C7547">
        <w:rPr>
          <w:rFonts w:ascii="Arial" w:hAnsi="Arial" w:cs="Arial"/>
        </w:rPr>
        <w:t xml:space="preserve"> who had any potential </w:t>
      </w:r>
      <w:r w:rsidR="00970B96" w:rsidRPr="003C7547">
        <w:rPr>
          <w:rFonts w:ascii="Arial" w:hAnsi="Arial" w:cs="Arial"/>
        </w:rPr>
        <w:t>RLS</w:t>
      </w:r>
      <w:r w:rsidR="006421A3" w:rsidRPr="003C7547">
        <w:rPr>
          <w:rFonts w:ascii="Arial" w:hAnsi="Arial" w:cs="Arial"/>
        </w:rPr>
        <w:t xml:space="preserve"> were almost twice as likely to recall having a headache a</w:t>
      </w:r>
      <w:r w:rsidR="007D5734" w:rsidRPr="003C7547">
        <w:rPr>
          <w:rFonts w:ascii="Arial" w:hAnsi="Arial" w:cs="Arial"/>
        </w:rPr>
        <w:t>t the onset of their stroke as</w:t>
      </w:r>
      <w:r w:rsidR="006421A3" w:rsidRPr="003C7547">
        <w:rPr>
          <w:rFonts w:ascii="Arial" w:hAnsi="Arial" w:cs="Arial"/>
        </w:rPr>
        <w:t xml:space="preserve"> children with SCA and stroke without potential </w:t>
      </w:r>
      <w:r w:rsidR="00970B96" w:rsidRPr="003C7547">
        <w:rPr>
          <w:rFonts w:ascii="Arial" w:hAnsi="Arial" w:cs="Arial"/>
        </w:rPr>
        <w:t>RLS</w:t>
      </w:r>
      <w:r w:rsidR="006421A3" w:rsidRPr="003C7547">
        <w:rPr>
          <w:rFonts w:ascii="Arial" w:hAnsi="Arial" w:cs="Arial"/>
        </w:rPr>
        <w:t xml:space="preserve">. </w:t>
      </w:r>
      <w:r w:rsidR="007D5734" w:rsidRPr="003C7547">
        <w:rPr>
          <w:rFonts w:ascii="Arial" w:hAnsi="Arial" w:cs="Arial"/>
        </w:rPr>
        <w:t xml:space="preserve"> </w:t>
      </w:r>
      <w:r w:rsidR="006421A3" w:rsidRPr="003C7547">
        <w:rPr>
          <w:rFonts w:ascii="Arial" w:hAnsi="Arial" w:cs="Arial"/>
        </w:rPr>
        <w:t>Intrapulmonary and intracardiac shunting could be an overlooked, independent, and potentially modifiable risk factor for stroke in children with SCA.</w:t>
      </w:r>
    </w:p>
    <w:p w:rsidR="0010312F" w:rsidRPr="003C7547" w:rsidRDefault="00CE0122" w:rsidP="003E4496">
      <w:pPr>
        <w:spacing w:line="480" w:lineRule="auto"/>
        <w:rPr>
          <w:rFonts w:ascii="Arial" w:hAnsi="Arial" w:cs="Arial"/>
        </w:rPr>
      </w:pPr>
      <w:r w:rsidRPr="003C7547">
        <w:rPr>
          <w:rFonts w:ascii="Arial" w:hAnsi="Arial" w:cs="Arial"/>
        </w:rPr>
        <w:t>Paradoxical embolization via patent foramen ovale is an established risk factor for stroke in young</w:t>
      </w:r>
      <w:r w:rsidR="0045321D" w:rsidRPr="003C7547">
        <w:rPr>
          <w:rFonts w:ascii="Arial" w:hAnsi="Arial" w:cs="Arial"/>
        </w:rPr>
        <w:t xml:space="preserve"> adults and children without SCA</w:t>
      </w:r>
      <w:r w:rsidR="001F724C" w:rsidRPr="003C7547">
        <w:rPr>
          <w:rFonts w:ascii="Arial" w:hAnsi="Arial" w:cs="Arial"/>
        </w:rPr>
        <w:t xml:space="preserve"> (Dowling and Ikemba, 2011; Ning, et al., 2013; Mattle, et al., 2010). </w:t>
      </w:r>
      <w:r w:rsidR="004D4F10" w:rsidRPr="003C7547">
        <w:rPr>
          <w:rFonts w:ascii="Arial" w:hAnsi="Arial" w:cs="Arial"/>
        </w:rPr>
        <w:t xml:space="preserve"> </w:t>
      </w:r>
      <w:r w:rsidR="00F95226" w:rsidRPr="003C7547">
        <w:rPr>
          <w:rFonts w:ascii="Arial" w:hAnsi="Arial" w:cs="Arial"/>
        </w:rPr>
        <w:t xml:space="preserve">Meta-analysis </w:t>
      </w:r>
      <w:r w:rsidR="002F0264" w:rsidRPr="003C7547">
        <w:rPr>
          <w:rFonts w:ascii="Arial" w:hAnsi="Arial" w:cs="Arial"/>
        </w:rPr>
        <w:t>of 15 studies showed that adult</w:t>
      </w:r>
      <w:r w:rsidR="00F95226" w:rsidRPr="003C7547">
        <w:rPr>
          <w:rFonts w:ascii="Arial" w:hAnsi="Arial" w:cs="Arial"/>
        </w:rPr>
        <w:t xml:space="preserve"> stroke patients were 1.69 times (CI 1.40-2.06) more likely to have a PFO than non-stroke controls</w:t>
      </w:r>
      <w:r w:rsidR="001F724C" w:rsidRPr="003C7547">
        <w:rPr>
          <w:rFonts w:ascii="Arial" w:hAnsi="Arial" w:cs="Arial"/>
        </w:rPr>
        <w:t xml:space="preserve"> (Mattle, et al., 2010).  </w:t>
      </w:r>
      <w:r w:rsidR="003276F6" w:rsidRPr="003C7547">
        <w:rPr>
          <w:rFonts w:ascii="Arial" w:hAnsi="Arial" w:cs="Arial"/>
        </w:rPr>
        <w:t xml:space="preserve">There are only limited studies of the prevalence of potential shunting in children with or without stroke (reviewed in Dowling and Ikemba, 2011).  In our pilot study (Dowling, et al., 2010) retrospective chart review found potential shunting in 11.7% (7/60) of children with stroke who did not have SCD (excluding children with known congenital heart disease).  Benedik and colleagues (2011) reported on transesophageal echocardiograms with contrast as well as using contrasted transcranial Doppler ultrasonography and reported potential shunting in 7/26 (27%) of controls compared with 11/23 (48%) of children with stroke or TIA (without SCD) excluding those with other identified aetiologies for stroke. </w:t>
      </w:r>
      <w:r w:rsidR="002F0264" w:rsidRPr="003C7547">
        <w:rPr>
          <w:rFonts w:ascii="Arial" w:hAnsi="Arial" w:cs="Arial"/>
        </w:rPr>
        <w:t>I</w:t>
      </w:r>
      <w:r w:rsidR="00F95226" w:rsidRPr="003C7547">
        <w:rPr>
          <w:rFonts w:ascii="Arial" w:hAnsi="Arial" w:cs="Arial"/>
        </w:rPr>
        <w:t xml:space="preserve">ntrapulmonary shunting </w:t>
      </w:r>
      <w:r w:rsidR="007B3D66" w:rsidRPr="003C7547">
        <w:rPr>
          <w:rFonts w:ascii="Arial" w:hAnsi="Arial" w:cs="Arial"/>
        </w:rPr>
        <w:t xml:space="preserve">alone </w:t>
      </w:r>
      <w:r w:rsidR="00F95226" w:rsidRPr="003C7547">
        <w:rPr>
          <w:rFonts w:ascii="Arial" w:hAnsi="Arial" w:cs="Arial"/>
        </w:rPr>
        <w:t>was an independent predictor of cryptogenic s</w:t>
      </w:r>
      <w:r w:rsidR="0045321D" w:rsidRPr="003C7547">
        <w:rPr>
          <w:rFonts w:ascii="Arial" w:hAnsi="Arial" w:cs="Arial"/>
        </w:rPr>
        <w:t>troke or TIA in adults without SCA</w:t>
      </w:r>
      <w:r w:rsidR="005E12D9" w:rsidRPr="003C7547">
        <w:rPr>
          <w:rFonts w:ascii="Arial" w:hAnsi="Arial" w:cs="Arial"/>
        </w:rPr>
        <w:t xml:space="preserve"> compared </w:t>
      </w:r>
      <w:r w:rsidR="00F95226" w:rsidRPr="003C7547">
        <w:rPr>
          <w:rFonts w:ascii="Arial" w:hAnsi="Arial" w:cs="Arial"/>
        </w:rPr>
        <w:t>to controls (OR 2.6 (CI 1.6-4.2))</w:t>
      </w:r>
      <w:r w:rsidR="001F724C" w:rsidRPr="003C7547">
        <w:rPr>
          <w:rFonts w:ascii="Arial" w:hAnsi="Arial" w:cs="Arial"/>
        </w:rPr>
        <w:t xml:space="preserve"> (Abushora, et al., 2013). </w:t>
      </w:r>
      <w:r w:rsidR="004D4F10" w:rsidRPr="003C7547">
        <w:rPr>
          <w:rFonts w:ascii="Arial" w:hAnsi="Arial" w:cs="Arial"/>
        </w:rPr>
        <w:t xml:space="preserve">Prothrombotic states predispose to paradoxical embolization in adult patients with </w:t>
      </w:r>
      <w:r w:rsidR="0016383A" w:rsidRPr="003C7547">
        <w:rPr>
          <w:rFonts w:ascii="Arial" w:hAnsi="Arial" w:cs="Arial"/>
        </w:rPr>
        <w:t>potential intracardiac shunting</w:t>
      </w:r>
      <w:r w:rsidR="001F724C" w:rsidRPr="003C7547">
        <w:rPr>
          <w:rFonts w:ascii="Arial" w:hAnsi="Arial" w:cs="Arial"/>
        </w:rPr>
        <w:t xml:space="preserve"> (Hassell, 2005; Giardini, et al., 2004; Karttunen, et al., 2003) </w:t>
      </w:r>
      <w:r w:rsidR="004D4F10" w:rsidRPr="003C7547">
        <w:rPr>
          <w:rFonts w:ascii="Arial" w:hAnsi="Arial" w:cs="Arial"/>
        </w:rPr>
        <w:t xml:space="preserve">and the Valsalva maneuver, which can increase right heart pressures </w:t>
      </w:r>
      <w:r w:rsidR="004D4F10" w:rsidRPr="003C7547">
        <w:rPr>
          <w:rFonts w:ascii="Arial" w:hAnsi="Arial" w:cs="Arial"/>
        </w:rPr>
        <w:lastRenderedPageBreak/>
        <w:t>and favor right-to-left shunting, is common at the onset of stroke in adults without S</w:t>
      </w:r>
      <w:r w:rsidR="00E90721" w:rsidRPr="003C7547">
        <w:rPr>
          <w:rFonts w:ascii="Arial" w:hAnsi="Arial" w:cs="Arial"/>
        </w:rPr>
        <w:t>CA</w:t>
      </w:r>
      <w:r w:rsidR="001F724C" w:rsidRPr="003C7547">
        <w:rPr>
          <w:rFonts w:ascii="Arial" w:hAnsi="Arial" w:cs="Arial"/>
        </w:rPr>
        <w:t xml:space="preserve"> (Karttunen, et al., 2003</w:t>
      </w:r>
      <w:r w:rsidR="0010312F" w:rsidRPr="003C7547">
        <w:rPr>
          <w:rFonts w:ascii="Arial" w:hAnsi="Arial" w:cs="Arial"/>
        </w:rPr>
        <w:t>; Bogousslavsky, et al., 1996)</w:t>
      </w:r>
      <w:r w:rsidR="0016383A" w:rsidRPr="003C7547">
        <w:rPr>
          <w:rFonts w:ascii="Arial" w:hAnsi="Arial" w:cs="Arial"/>
        </w:rPr>
        <w:t>.</w:t>
      </w:r>
    </w:p>
    <w:p w:rsidR="007B1D7A" w:rsidRPr="003C7547" w:rsidRDefault="007B1D7A" w:rsidP="003E4496">
      <w:pPr>
        <w:spacing w:line="480" w:lineRule="auto"/>
        <w:rPr>
          <w:rFonts w:ascii="Arial" w:hAnsi="Arial" w:cs="Arial"/>
        </w:rPr>
      </w:pPr>
      <w:r w:rsidRPr="003C7547">
        <w:rPr>
          <w:rFonts w:ascii="Arial" w:hAnsi="Arial" w:cs="Arial"/>
        </w:rPr>
        <w:t>There are several physiologic features of SCA that may serve to predispose to stroke by paradoxical embolization.</w:t>
      </w:r>
      <w:r w:rsidR="004D4F10" w:rsidRPr="003C7547">
        <w:rPr>
          <w:rFonts w:ascii="Arial" w:hAnsi="Arial" w:cs="Arial"/>
        </w:rPr>
        <w:t xml:space="preserve">  First, SCA</w:t>
      </w:r>
      <w:r w:rsidRPr="003C7547">
        <w:rPr>
          <w:rFonts w:ascii="Arial" w:hAnsi="Arial" w:cs="Arial"/>
        </w:rPr>
        <w:t xml:space="preserve"> is, in itself, </w:t>
      </w:r>
      <w:r w:rsidR="007F5B91" w:rsidRPr="003C7547">
        <w:rPr>
          <w:rFonts w:ascii="Arial" w:hAnsi="Arial" w:cs="Arial"/>
        </w:rPr>
        <w:t>characterized by activation of coagulation.</w:t>
      </w:r>
      <w:r w:rsidRPr="003C7547">
        <w:rPr>
          <w:rFonts w:ascii="Arial" w:hAnsi="Arial" w:cs="Arial"/>
        </w:rPr>
        <w:t xml:space="preserve">  Old and new thrombi are observed in the pulmonary vasculature in postmor</w:t>
      </w:r>
      <w:r w:rsidR="004D4F10" w:rsidRPr="003C7547">
        <w:rPr>
          <w:rFonts w:ascii="Arial" w:hAnsi="Arial" w:cs="Arial"/>
        </w:rPr>
        <w:t>tem studies of patients with SCA</w:t>
      </w:r>
      <w:r w:rsidRPr="003C7547">
        <w:rPr>
          <w:rFonts w:ascii="Arial" w:hAnsi="Arial" w:cs="Arial"/>
        </w:rPr>
        <w:t xml:space="preserve">, illustrating the </w:t>
      </w:r>
      <w:r w:rsidR="004D4F10" w:rsidRPr="003C7547">
        <w:rPr>
          <w:rFonts w:ascii="Arial" w:hAnsi="Arial" w:cs="Arial"/>
        </w:rPr>
        <w:t>effective pulmonary filter.  SCA</w:t>
      </w:r>
      <w:r w:rsidRPr="003C7547">
        <w:rPr>
          <w:rFonts w:ascii="Arial" w:hAnsi="Arial" w:cs="Arial"/>
        </w:rPr>
        <w:t xml:space="preserve"> patients have been shown to have high levels of circulating thrombin, activation of fibrinolysis, decreased levels of anticoagulant proteins, and p</w:t>
      </w:r>
      <w:r w:rsidR="00E90721" w:rsidRPr="003C7547">
        <w:rPr>
          <w:rFonts w:ascii="Arial" w:hAnsi="Arial" w:cs="Arial"/>
        </w:rPr>
        <w:t>latelet activation</w:t>
      </w:r>
      <w:r w:rsidR="0010312F" w:rsidRPr="003C7547">
        <w:rPr>
          <w:rFonts w:ascii="Arial" w:hAnsi="Arial" w:cs="Arial"/>
        </w:rPr>
        <w:t xml:space="preserve"> (Ataga and Orringer, 2003; Shah, et al., 2012; Ataga, et al., 2012; Colombatti, et al., 2013; Whelihan et al., 2014; Hyacinth, et al., 2015).  </w:t>
      </w:r>
      <w:r w:rsidRPr="003C7547">
        <w:rPr>
          <w:rFonts w:ascii="Arial" w:hAnsi="Arial" w:cs="Arial"/>
        </w:rPr>
        <w:t>Further, right-to</w:t>
      </w:r>
      <w:r w:rsidR="004D4F10" w:rsidRPr="003C7547">
        <w:rPr>
          <w:rFonts w:ascii="Arial" w:hAnsi="Arial" w:cs="Arial"/>
        </w:rPr>
        <w:t>-left shunting is favored in SCA</w:t>
      </w:r>
      <w:r w:rsidRPr="003C7547">
        <w:rPr>
          <w:rFonts w:ascii="Arial" w:hAnsi="Arial" w:cs="Arial"/>
        </w:rPr>
        <w:t xml:space="preserve"> given the pathophysiologic changes secondary to anemia and pulmonary </w:t>
      </w:r>
      <w:r w:rsidR="007F5B91" w:rsidRPr="003C7547">
        <w:rPr>
          <w:rFonts w:ascii="Arial" w:hAnsi="Arial" w:cs="Arial"/>
        </w:rPr>
        <w:t xml:space="preserve">venous or arterial </w:t>
      </w:r>
      <w:r w:rsidRPr="003C7547">
        <w:rPr>
          <w:rFonts w:ascii="Arial" w:hAnsi="Arial" w:cs="Arial"/>
        </w:rPr>
        <w:t>hypertension, especially in the setti</w:t>
      </w:r>
      <w:r w:rsidR="00217A59" w:rsidRPr="003C7547">
        <w:rPr>
          <w:rFonts w:ascii="Arial" w:hAnsi="Arial" w:cs="Arial"/>
        </w:rPr>
        <w:t>ng of acute chest syndrome</w:t>
      </w:r>
      <w:r w:rsidRPr="003C7547">
        <w:rPr>
          <w:rFonts w:ascii="Arial" w:hAnsi="Arial" w:cs="Arial"/>
        </w:rPr>
        <w:t>.  These conditions will raise right heart pressures, increasing the likelihood of right-to-left shunting and therefore potential for paradoxical embolization.</w:t>
      </w:r>
    </w:p>
    <w:p w:rsidR="007B1D7A" w:rsidRPr="003C7547" w:rsidRDefault="000F37FE" w:rsidP="003E4496">
      <w:pPr>
        <w:spacing w:line="480" w:lineRule="auto"/>
        <w:rPr>
          <w:rFonts w:ascii="Arial" w:hAnsi="Arial" w:cs="Arial"/>
        </w:rPr>
      </w:pPr>
      <w:r w:rsidRPr="003C7547">
        <w:rPr>
          <w:rFonts w:ascii="Arial" w:hAnsi="Arial" w:cs="Arial"/>
        </w:rPr>
        <w:t>Prior s</w:t>
      </w:r>
      <w:r w:rsidR="007B1D7A" w:rsidRPr="003C7547">
        <w:rPr>
          <w:rFonts w:ascii="Arial" w:hAnsi="Arial" w:cs="Arial"/>
        </w:rPr>
        <w:t xml:space="preserve">tudies of fat embolization syndrome in SCA also support </w:t>
      </w:r>
      <w:r w:rsidRPr="003C7547">
        <w:rPr>
          <w:rFonts w:ascii="Arial" w:hAnsi="Arial" w:cs="Arial"/>
        </w:rPr>
        <w:t>the</w:t>
      </w:r>
      <w:r w:rsidR="007B1D7A" w:rsidRPr="003C7547">
        <w:rPr>
          <w:rFonts w:ascii="Arial" w:hAnsi="Arial" w:cs="Arial"/>
        </w:rPr>
        <w:t xml:space="preserve"> role of paradoxical embolization in stroke in SCA.  Multiple scattered punctate MRI abnormalities, consistent with embolic phenomenon were reported in an SCA patient with fat e</w:t>
      </w:r>
      <w:r w:rsidR="002F0264" w:rsidRPr="003C7547">
        <w:rPr>
          <w:rFonts w:ascii="Arial" w:hAnsi="Arial" w:cs="Arial"/>
        </w:rPr>
        <w:t>mbolization syndrome following v</w:t>
      </w:r>
      <w:r w:rsidR="0001570B" w:rsidRPr="003C7547">
        <w:rPr>
          <w:rFonts w:ascii="Arial" w:hAnsi="Arial" w:cs="Arial"/>
        </w:rPr>
        <w:t>aso</w:t>
      </w:r>
      <w:r w:rsidR="002F0264" w:rsidRPr="003C7547">
        <w:rPr>
          <w:rFonts w:ascii="Arial" w:hAnsi="Arial" w:cs="Arial"/>
        </w:rPr>
        <w:t>-</w:t>
      </w:r>
      <w:r w:rsidR="0010312F" w:rsidRPr="003C7547">
        <w:rPr>
          <w:rFonts w:ascii="Arial" w:hAnsi="Arial" w:cs="Arial"/>
        </w:rPr>
        <w:t xml:space="preserve">occlusive crisis (Horton, et al., 1995). </w:t>
      </w:r>
      <w:r w:rsidR="00CA755E" w:rsidRPr="003C7547">
        <w:rPr>
          <w:rFonts w:ascii="Arial" w:hAnsi="Arial" w:cs="Arial"/>
        </w:rPr>
        <w:t xml:space="preserve"> </w:t>
      </w:r>
      <w:r w:rsidR="007B1D7A" w:rsidRPr="003C7547">
        <w:rPr>
          <w:rFonts w:ascii="Arial" w:hAnsi="Arial" w:cs="Arial"/>
        </w:rPr>
        <w:t>Neurologic symptoms, including focal signs and focal lesions on MRI, were noted in half of the patients with fat emboli detected by b</w:t>
      </w:r>
      <w:r w:rsidR="0001570B" w:rsidRPr="003C7547">
        <w:rPr>
          <w:rFonts w:ascii="Arial" w:hAnsi="Arial" w:cs="Arial"/>
        </w:rPr>
        <w:t>ronchoscopy in patients with vaso</w:t>
      </w:r>
      <w:r w:rsidR="002F0264" w:rsidRPr="003C7547">
        <w:rPr>
          <w:rFonts w:ascii="Arial" w:hAnsi="Arial" w:cs="Arial"/>
        </w:rPr>
        <w:t>-</w:t>
      </w:r>
      <w:r w:rsidR="0001570B" w:rsidRPr="003C7547">
        <w:rPr>
          <w:rFonts w:ascii="Arial" w:hAnsi="Arial" w:cs="Arial"/>
        </w:rPr>
        <w:t>occlusive crisis and acute chest syndrome</w:t>
      </w:r>
      <w:r w:rsidR="007B1D7A" w:rsidRPr="003C7547">
        <w:rPr>
          <w:rFonts w:ascii="Arial" w:hAnsi="Arial" w:cs="Arial"/>
        </w:rPr>
        <w:t>, while none of the patients without pulmonary fat emboli had neurologic symptoms</w:t>
      </w:r>
      <w:r w:rsidR="0010312F" w:rsidRPr="003C7547">
        <w:rPr>
          <w:rFonts w:ascii="Arial" w:hAnsi="Arial" w:cs="Arial"/>
        </w:rPr>
        <w:t xml:space="preserve"> (Vichinsky, et al., 1994).</w:t>
      </w:r>
      <w:r w:rsidR="00CA755E" w:rsidRPr="003C7547">
        <w:rPr>
          <w:rFonts w:ascii="Arial" w:hAnsi="Arial" w:cs="Arial"/>
        </w:rPr>
        <w:t xml:space="preserve"> </w:t>
      </w:r>
      <w:r w:rsidR="007B1D7A" w:rsidRPr="003C7547">
        <w:rPr>
          <w:rFonts w:ascii="Arial" w:hAnsi="Arial" w:cs="Arial"/>
        </w:rPr>
        <w:t xml:space="preserve">The heart was not examined in these studies, but the only route for fat emboli to the brain is via </w:t>
      </w:r>
      <w:r w:rsidR="007F5B91" w:rsidRPr="003C7547">
        <w:rPr>
          <w:rFonts w:ascii="Arial" w:hAnsi="Arial" w:cs="Arial"/>
        </w:rPr>
        <w:t xml:space="preserve">cardiac or pulmonary </w:t>
      </w:r>
      <w:r w:rsidR="007B1D7A" w:rsidRPr="003C7547">
        <w:rPr>
          <w:rFonts w:ascii="Arial" w:hAnsi="Arial" w:cs="Arial"/>
        </w:rPr>
        <w:t>right-to-left shunting</w:t>
      </w:r>
      <w:r w:rsidR="007F5B91" w:rsidRPr="003C7547">
        <w:rPr>
          <w:rFonts w:ascii="Arial" w:hAnsi="Arial" w:cs="Arial"/>
        </w:rPr>
        <w:t>.</w:t>
      </w:r>
      <w:r w:rsidR="007B1D7A" w:rsidRPr="003C7547">
        <w:rPr>
          <w:rFonts w:ascii="Arial" w:hAnsi="Arial" w:cs="Arial"/>
        </w:rPr>
        <w:t xml:space="preserve">  </w:t>
      </w:r>
      <w:r w:rsidR="007F5B91" w:rsidRPr="003C7547">
        <w:rPr>
          <w:rFonts w:ascii="Arial" w:hAnsi="Arial" w:cs="Arial"/>
        </w:rPr>
        <w:t>Indeed, f</w:t>
      </w:r>
      <w:r w:rsidR="007B1D7A" w:rsidRPr="003C7547">
        <w:rPr>
          <w:rFonts w:ascii="Arial" w:hAnsi="Arial" w:cs="Arial"/>
        </w:rPr>
        <w:t>at emboli have been directly observed passing through a PFO during intraoperative echocardiogram in a patient without SCA undergoing surgical repair of a femoral fracture</w:t>
      </w:r>
      <w:r w:rsidR="0010312F" w:rsidRPr="003C7547">
        <w:rPr>
          <w:rFonts w:ascii="Arial" w:hAnsi="Arial" w:cs="Arial"/>
        </w:rPr>
        <w:t xml:space="preserve"> (Pell, et al., 1993).</w:t>
      </w:r>
      <w:r w:rsidR="007B1D7A" w:rsidRPr="003C7547">
        <w:rPr>
          <w:rFonts w:ascii="Arial" w:hAnsi="Arial" w:cs="Arial"/>
        </w:rPr>
        <w:t xml:space="preserve"> </w:t>
      </w:r>
    </w:p>
    <w:p w:rsidR="00FE4929" w:rsidRPr="003C7547" w:rsidRDefault="00F41899" w:rsidP="003E4496">
      <w:pPr>
        <w:spacing w:line="480" w:lineRule="auto"/>
        <w:rPr>
          <w:rFonts w:ascii="Arial" w:hAnsi="Arial" w:cs="Arial"/>
        </w:rPr>
      </w:pPr>
      <w:r w:rsidRPr="003C7547">
        <w:rPr>
          <w:rFonts w:ascii="Arial" w:hAnsi="Arial" w:cs="Arial"/>
        </w:rPr>
        <w:lastRenderedPageBreak/>
        <w:t>The high prevalence of potential right-to-left shunting we identified in children with SCA and stroke, (45.6%) compared to that in our control group of children with</w:t>
      </w:r>
      <w:r w:rsidR="00037246" w:rsidRPr="003C7547">
        <w:rPr>
          <w:rFonts w:ascii="Arial" w:hAnsi="Arial" w:cs="Arial"/>
        </w:rPr>
        <w:t>out</w:t>
      </w:r>
      <w:r w:rsidRPr="003C7547">
        <w:rPr>
          <w:rFonts w:ascii="Arial" w:hAnsi="Arial" w:cs="Arial"/>
        </w:rPr>
        <w:t xml:space="preserve"> SCA or stroke (23.6%) suggests that paradoxical embolization across an intracardiac or intrapulmonary shunt could be a risk factor for stroke in children with SCA. </w:t>
      </w:r>
      <w:r w:rsidR="00CE6776" w:rsidRPr="003C7547">
        <w:rPr>
          <w:rFonts w:ascii="Arial" w:hAnsi="Arial" w:cs="Arial"/>
        </w:rPr>
        <w:t xml:space="preserve"> </w:t>
      </w:r>
      <w:r w:rsidR="0010312F" w:rsidRPr="003C7547">
        <w:rPr>
          <w:rFonts w:ascii="Arial" w:hAnsi="Arial" w:cs="Arial"/>
        </w:rPr>
        <w:t>However, this increased prevalence of potential RLS could be due to changes common to all children with SCA and not c</w:t>
      </w:r>
      <w:r w:rsidR="00CE6776" w:rsidRPr="003C7547">
        <w:rPr>
          <w:rFonts w:ascii="Arial" w:hAnsi="Arial" w:cs="Arial"/>
        </w:rPr>
        <w:t>ausally related to stroke in this group</w:t>
      </w:r>
      <w:r w:rsidR="0010312F" w:rsidRPr="003C7547">
        <w:rPr>
          <w:rFonts w:ascii="Arial" w:hAnsi="Arial" w:cs="Arial"/>
        </w:rPr>
        <w:t xml:space="preserve">.  </w:t>
      </w:r>
      <w:r w:rsidR="00C871D4" w:rsidRPr="003C7547">
        <w:rPr>
          <w:rFonts w:ascii="Arial" w:hAnsi="Arial" w:cs="Arial"/>
        </w:rPr>
        <w:t>Further, t</w:t>
      </w:r>
      <w:r w:rsidR="007F5B91" w:rsidRPr="003C7547">
        <w:rPr>
          <w:rFonts w:ascii="Arial" w:hAnsi="Arial" w:cs="Arial"/>
        </w:rPr>
        <w:t>he role of RLS in silent cerebral infarction is not known.</w:t>
      </w:r>
      <w:r w:rsidR="0010312F" w:rsidRPr="003C7547">
        <w:rPr>
          <w:rFonts w:ascii="Arial" w:hAnsi="Arial" w:cs="Arial"/>
        </w:rPr>
        <w:t xml:space="preserve"> We did not include children with silent cerebral infarction in this study.</w:t>
      </w:r>
      <w:r w:rsidR="007F5B91" w:rsidRPr="003C7547">
        <w:rPr>
          <w:rFonts w:ascii="Arial" w:hAnsi="Arial" w:cs="Arial"/>
        </w:rPr>
        <w:t xml:space="preserve"> </w:t>
      </w:r>
      <w:r w:rsidR="002E6A82" w:rsidRPr="003C7547">
        <w:rPr>
          <w:rFonts w:ascii="Arial" w:hAnsi="Arial" w:cs="Arial"/>
        </w:rPr>
        <w:t xml:space="preserve"> It is possible that there could be an even greater contribution from shunting to silent cerebral infarction than overt stroke</w:t>
      </w:r>
      <w:r w:rsidR="007F5B91" w:rsidRPr="003C7547">
        <w:rPr>
          <w:rFonts w:ascii="Arial" w:hAnsi="Arial" w:cs="Arial"/>
        </w:rPr>
        <w:t xml:space="preserve">. </w:t>
      </w:r>
      <w:r w:rsidR="002E6A82" w:rsidRPr="003C7547">
        <w:rPr>
          <w:rFonts w:ascii="Arial" w:hAnsi="Arial" w:cs="Arial"/>
        </w:rPr>
        <w:t xml:space="preserve"> PFO has </w:t>
      </w:r>
      <w:r w:rsidR="00144F4A" w:rsidRPr="003C7547">
        <w:rPr>
          <w:rFonts w:ascii="Arial" w:hAnsi="Arial" w:cs="Arial"/>
        </w:rPr>
        <w:t xml:space="preserve">also </w:t>
      </w:r>
      <w:r w:rsidR="002E6A82" w:rsidRPr="003C7547">
        <w:rPr>
          <w:rFonts w:ascii="Arial" w:hAnsi="Arial" w:cs="Arial"/>
        </w:rPr>
        <w:t>been associated with silent cerebral i</w:t>
      </w:r>
      <w:r w:rsidR="00CA755E" w:rsidRPr="003C7547">
        <w:rPr>
          <w:rFonts w:ascii="Arial" w:hAnsi="Arial" w:cs="Arial"/>
        </w:rPr>
        <w:t>nfarction in adults without SCA</w:t>
      </w:r>
      <w:r w:rsidR="00FE4929" w:rsidRPr="003C7547">
        <w:rPr>
          <w:rFonts w:ascii="Arial" w:hAnsi="Arial" w:cs="Arial"/>
        </w:rPr>
        <w:t xml:space="preserve"> (Clergeau, et al., 2009; Ueno, et al., 2010).</w:t>
      </w:r>
    </w:p>
    <w:p w:rsidR="00D92EE9" w:rsidRPr="003C7547" w:rsidRDefault="00F41899" w:rsidP="003E4496">
      <w:pPr>
        <w:spacing w:line="480" w:lineRule="auto"/>
        <w:rPr>
          <w:rFonts w:ascii="Arial" w:hAnsi="Arial" w:cs="Arial"/>
        </w:rPr>
      </w:pPr>
      <w:r w:rsidRPr="003C7547">
        <w:rPr>
          <w:rFonts w:ascii="Arial" w:hAnsi="Arial" w:cs="Arial"/>
        </w:rPr>
        <w:t xml:space="preserve">In a recent study of 29 </w:t>
      </w:r>
      <w:r w:rsidR="00D92EE9" w:rsidRPr="003C7547">
        <w:rPr>
          <w:rFonts w:ascii="Arial" w:hAnsi="Arial" w:cs="Arial"/>
        </w:rPr>
        <w:t xml:space="preserve">SCA </w:t>
      </w:r>
      <w:r w:rsidRPr="003C7547">
        <w:rPr>
          <w:rFonts w:ascii="Arial" w:hAnsi="Arial" w:cs="Arial"/>
        </w:rPr>
        <w:t xml:space="preserve">patients with first ischemic stroke in adulthood, </w:t>
      </w:r>
      <w:r w:rsidR="00D92EE9" w:rsidRPr="003C7547">
        <w:rPr>
          <w:rFonts w:ascii="Arial" w:hAnsi="Arial" w:cs="Arial"/>
        </w:rPr>
        <w:t xml:space="preserve">7/29 </w:t>
      </w:r>
      <w:r w:rsidR="002F0264" w:rsidRPr="003C7547">
        <w:rPr>
          <w:rFonts w:ascii="Arial" w:hAnsi="Arial" w:cs="Arial"/>
        </w:rPr>
        <w:t xml:space="preserve">(24%) </w:t>
      </w:r>
      <w:r w:rsidR="00D92EE9" w:rsidRPr="003C7547">
        <w:rPr>
          <w:rFonts w:ascii="Arial" w:hAnsi="Arial" w:cs="Arial"/>
        </w:rPr>
        <w:t>had cardiac embolism as an identified etiology for their</w:t>
      </w:r>
      <w:r w:rsidR="003E59E9" w:rsidRPr="003C7547">
        <w:rPr>
          <w:rFonts w:ascii="Arial" w:hAnsi="Arial" w:cs="Arial"/>
        </w:rPr>
        <w:t xml:space="preserve"> stroke</w:t>
      </w:r>
      <w:r w:rsidR="00FE4929" w:rsidRPr="003C7547">
        <w:rPr>
          <w:rFonts w:ascii="Arial" w:hAnsi="Arial" w:cs="Arial"/>
        </w:rPr>
        <w:t xml:space="preserve"> (Calvet, et al., 2015). </w:t>
      </w:r>
      <w:r w:rsidR="00CA755E" w:rsidRPr="003C7547">
        <w:rPr>
          <w:rFonts w:ascii="Arial" w:hAnsi="Arial" w:cs="Arial"/>
        </w:rPr>
        <w:t xml:space="preserve"> </w:t>
      </w:r>
      <w:r w:rsidR="00D92EE9" w:rsidRPr="003C7547">
        <w:rPr>
          <w:rFonts w:ascii="Arial" w:hAnsi="Arial" w:cs="Arial"/>
        </w:rPr>
        <w:t>Large PFO was identified in 3 patients, dilated cardiomyopathy in 1 and fat embolism in another patient.  Stroke was attribu</w:t>
      </w:r>
      <w:r w:rsidR="002F0264" w:rsidRPr="003C7547">
        <w:rPr>
          <w:rFonts w:ascii="Arial" w:hAnsi="Arial" w:cs="Arial"/>
        </w:rPr>
        <w:t>ted to vasculopathy in 12/29,</w:t>
      </w:r>
      <w:r w:rsidR="00D92EE9" w:rsidRPr="003C7547">
        <w:rPr>
          <w:rFonts w:ascii="Arial" w:hAnsi="Arial" w:cs="Arial"/>
        </w:rPr>
        <w:t xml:space="preserve"> antiphospholipid antibody syndrome in 1</w:t>
      </w:r>
      <w:r w:rsidR="0023706E" w:rsidRPr="003C7547">
        <w:rPr>
          <w:rFonts w:ascii="Arial" w:hAnsi="Arial" w:cs="Arial"/>
        </w:rPr>
        <w:t>,</w:t>
      </w:r>
      <w:r w:rsidR="00D92EE9" w:rsidRPr="003C7547">
        <w:rPr>
          <w:rFonts w:ascii="Arial" w:hAnsi="Arial" w:cs="Arial"/>
        </w:rPr>
        <w:t xml:space="preserve"> and was undetermined in 8.  Only 22/29 of these adults with SCA and stroke had echocardiograms</w:t>
      </w:r>
      <w:r w:rsidR="000F37FE" w:rsidRPr="003C7547">
        <w:rPr>
          <w:rFonts w:ascii="Arial" w:hAnsi="Arial" w:cs="Arial"/>
        </w:rPr>
        <w:t>.  It was not reported if these</w:t>
      </w:r>
      <w:r w:rsidR="00037246" w:rsidRPr="003C7547">
        <w:rPr>
          <w:rFonts w:ascii="Arial" w:hAnsi="Arial" w:cs="Arial"/>
        </w:rPr>
        <w:t xml:space="preserve"> were contrast</w:t>
      </w:r>
      <w:r w:rsidR="00D92EE9" w:rsidRPr="003C7547">
        <w:rPr>
          <w:rFonts w:ascii="Arial" w:hAnsi="Arial" w:cs="Arial"/>
        </w:rPr>
        <w:t xml:space="preserve"> studies.   </w:t>
      </w:r>
      <w:r w:rsidR="00F02201" w:rsidRPr="003C7547">
        <w:rPr>
          <w:rFonts w:ascii="Arial" w:hAnsi="Arial" w:cs="Arial"/>
        </w:rPr>
        <w:t xml:space="preserve">Our data </w:t>
      </w:r>
      <w:r w:rsidR="000F37FE" w:rsidRPr="003C7547">
        <w:rPr>
          <w:rFonts w:ascii="Arial" w:hAnsi="Arial" w:cs="Arial"/>
        </w:rPr>
        <w:t>(T</w:t>
      </w:r>
      <w:r w:rsidR="00F02201" w:rsidRPr="003C7547">
        <w:rPr>
          <w:rFonts w:ascii="Arial" w:hAnsi="Arial" w:cs="Arial"/>
        </w:rPr>
        <w:t>able 2</w:t>
      </w:r>
      <w:r w:rsidR="000F37FE" w:rsidRPr="003C7547">
        <w:rPr>
          <w:rFonts w:ascii="Arial" w:hAnsi="Arial" w:cs="Arial"/>
        </w:rPr>
        <w:t>)</w:t>
      </w:r>
      <w:r w:rsidR="00F02201" w:rsidRPr="003C7547">
        <w:rPr>
          <w:rFonts w:ascii="Arial" w:hAnsi="Arial" w:cs="Arial"/>
        </w:rPr>
        <w:t xml:space="preserve"> clearly demonstrate that the addition of IV contrast dramatically increases the detection rate for potential shunting.  </w:t>
      </w:r>
      <w:r w:rsidR="00D92EE9" w:rsidRPr="003C7547">
        <w:rPr>
          <w:rFonts w:ascii="Arial" w:hAnsi="Arial" w:cs="Arial"/>
        </w:rPr>
        <w:t>As noted in studies of stroke in children without SCA, it is likely that individual patients have multiple</w:t>
      </w:r>
      <w:r w:rsidR="002E6A82" w:rsidRPr="003C7547">
        <w:rPr>
          <w:rFonts w:ascii="Arial" w:hAnsi="Arial" w:cs="Arial"/>
        </w:rPr>
        <w:t xml:space="preserve"> stroke</w:t>
      </w:r>
      <w:r w:rsidR="00D92EE9" w:rsidRPr="003C7547">
        <w:rPr>
          <w:rFonts w:ascii="Arial" w:hAnsi="Arial" w:cs="Arial"/>
        </w:rPr>
        <w:t xml:space="preserve"> </w:t>
      </w:r>
      <w:r w:rsidR="00443144" w:rsidRPr="003C7547">
        <w:rPr>
          <w:rFonts w:ascii="Arial" w:hAnsi="Arial" w:cs="Arial"/>
        </w:rPr>
        <w:t>risk factors</w:t>
      </w:r>
      <w:r w:rsidR="00FE4929" w:rsidRPr="003C7547">
        <w:rPr>
          <w:rFonts w:ascii="Arial" w:hAnsi="Arial" w:cs="Arial"/>
        </w:rPr>
        <w:t xml:space="preserve"> (Mackay, et al., 2011). </w:t>
      </w:r>
      <w:r w:rsidR="00CA755E" w:rsidRPr="003C7547">
        <w:rPr>
          <w:rFonts w:ascii="Arial" w:hAnsi="Arial" w:cs="Arial"/>
        </w:rPr>
        <w:t xml:space="preserve"> </w:t>
      </w:r>
      <w:r w:rsidR="008408EB" w:rsidRPr="003C7547">
        <w:rPr>
          <w:rFonts w:ascii="Arial" w:hAnsi="Arial" w:cs="Arial"/>
        </w:rPr>
        <w:t>More</w:t>
      </w:r>
      <w:r w:rsidR="00443144" w:rsidRPr="003C7547">
        <w:rPr>
          <w:rFonts w:ascii="Arial" w:hAnsi="Arial" w:cs="Arial"/>
        </w:rPr>
        <w:t xml:space="preserve"> thoro</w:t>
      </w:r>
      <w:r w:rsidR="00D92EE9" w:rsidRPr="003C7547">
        <w:rPr>
          <w:rFonts w:ascii="Arial" w:hAnsi="Arial" w:cs="Arial"/>
        </w:rPr>
        <w:t xml:space="preserve">ugh etiologic investigations may reveal </w:t>
      </w:r>
      <w:r w:rsidR="00443144" w:rsidRPr="003C7547">
        <w:rPr>
          <w:rFonts w:ascii="Arial" w:hAnsi="Arial" w:cs="Arial"/>
        </w:rPr>
        <w:t>the</w:t>
      </w:r>
      <w:r w:rsidR="008408EB" w:rsidRPr="003C7547">
        <w:rPr>
          <w:rFonts w:ascii="Arial" w:hAnsi="Arial" w:cs="Arial"/>
        </w:rPr>
        <w:t>ir</w:t>
      </w:r>
      <w:r w:rsidR="00443144" w:rsidRPr="003C7547">
        <w:rPr>
          <w:rFonts w:ascii="Arial" w:hAnsi="Arial" w:cs="Arial"/>
        </w:rPr>
        <w:t xml:space="preserve"> presence</w:t>
      </w:r>
      <w:r w:rsidR="008408EB" w:rsidRPr="003C7547">
        <w:rPr>
          <w:rFonts w:ascii="Arial" w:hAnsi="Arial" w:cs="Arial"/>
        </w:rPr>
        <w:t xml:space="preserve"> in children and adults with SCA and stroke</w:t>
      </w:r>
      <w:r w:rsidR="00144F4A" w:rsidRPr="003C7547">
        <w:rPr>
          <w:rFonts w:ascii="Arial" w:hAnsi="Arial" w:cs="Arial"/>
        </w:rPr>
        <w:t xml:space="preserve"> and offer opportunities for prevention</w:t>
      </w:r>
      <w:r w:rsidR="008408EB" w:rsidRPr="003C7547">
        <w:rPr>
          <w:rFonts w:ascii="Arial" w:hAnsi="Arial" w:cs="Arial"/>
        </w:rPr>
        <w:t xml:space="preserve">.  </w:t>
      </w:r>
      <w:r w:rsidR="00D92EE9" w:rsidRPr="003C7547">
        <w:rPr>
          <w:rFonts w:ascii="Arial" w:hAnsi="Arial" w:cs="Arial"/>
        </w:rPr>
        <w:t xml:space="preserve">  </w:t>
      </w:r>
      <w:r w:rsidR="00822649" w:rsidRPr="003C7547">
        <w:rPr>
          <w:rFonts w:ascii="Arial" w:hAnsi="Arial" w:cs="Arial"/>
        </w:rPr>
        <w:t>evaluate for OSA or nighttime hypoxaemia and most centres in this study did not, at the time of the study, evaluate their patients for OSA or nighttime hypoxaemia</w:t>
      </w:r>
    </w:p>
    <w:p w:rsidR="00CE0122" w:rsidRPr="003C7547" w:rsidRDefault="00071234" w:rsidP="003E4496">
      <w:pPr>
        <w:spacing w:line="480" w:lineRule="auto"/>
        <w:rPr>
          <w:rFonts w:ascii="Arial" w:hAnsi="Arial" w:cs="Arial"/>
        </w:rPr>
      </w:pPr>
      <w:r w:rsidRPr="003C7547">
        <w:rPr>
          <w:rFonts w:ascii="Arial" w:hAnsi="Arial" w:cs="Arial"/>
        </w:rPr>
        <w:t xml:space="preserve">We did not observe an association of potential shunting with recurrent stroke or TIA in our study. </w:t>
      </w:r>
      <w:r w:rsidR="00037A26" w:rsidRPr="003C7547">
        <w:rPr>
          <w:rFonts w:ascii="Arial" w:hAnsi="Arial" w:cs="Arial"/>
        </w:rPr>
        <w:t>However, one fifth of our SCA patients had their echocardiogram within 2 years of index stroke</w:t>
      </w:r>
      <w:r w:rsidR="007F5B91" w:rsidRPr="003C7547">
        <w:rPr>
          <w:rFonts w:ascii="Arial" w:hAnsi="Arial" w:cs="Arial"/>
        </w:rPr>
        <w:t>,</w:t>
      </w:r>
      <w:r w:rsidR="00037A26" w:rsidRPr="003C7547">
        <w:rPr>
          <w:rFonts w:ascii="Arial" w:hAnsi="Arial" w:cs="Arial"/>
        </w:rPr>
        <w:t xml:space="preserve"> with several enrolled at the time of initial stroke presentation</w:t>
      </w:r>
      <w:r w:rsidR="007F5B91" w:rsidRPr="003C7547">
        <w:rPr>
          <w:rFonts w:ascii="Arial" w:hAnsi="Arial" w:cs="Arial"/>
        </w:rPr>
        <w:t>.</w:t>
      </w:r>
      <w:r w:rsidR="001C18B1" w:rsidRPr="003C7547">
        <w:rPr>
          <w:rFonts w:ascii="Arial" w:hAnsi="Arial" w:cs="Arial"/>
        </w:rPr>
        <w:t xml:space="preserve"> </w:t>
      </w:r>
      <w:r w:rsidR="007F5B91" w:rsidRPr="003C7547">
        <w:rPr>
          <w:rFonts w:ascii="Arial" w:hAnsi="Arial" w:cs="Arial"/>
        </w:rPr>
        <w:t xml:space="preserve"> This</w:t>
      </w:r>
      <w:r w:rsidR="001C18B1" w:rsidRPr="003C7547">
        <w:rPr>
          <w:rFonts w:ascii="Arial" w:hAnsi="Arial" w:cs="Arial"/>
        </w:rPr>
        <w:t xml:space="preserve"> limit</w:t>
      </w:r>
      <w:r w:rsidR="007F5B91" w:rsidRPr="003C7547">
        <w:rPr>
          <w:rFonts w:ascii="Arial" w:hAnsi="Arial" w:cs="Arial"/>
        </w:rPr>
        <w:t>ed</w:t>
      </w:r>
      <w:r w:rsidR="001C18B1" w:rsidRPr="003C7547">
        <w:rPr>
          <w:rFonts w:ascii="Arial" w:hAnsi="Arial" w:cs="Arial"/>
        </w:rPr>
        <w:t xml:space="preserve"> our ability to </w:t>
      </w:r>
      <w:r w:rsidR="001C18B1" w:rsidRPr="003C7547">
        <w:rPr>
          <w:rFonts w:ascii="Arial" w:hAnsi="Arial" w:cs="Arial"/>
        </w:rPr>
        <w:lastRenderedPageBreak/>
        <w:t>detect a relationship between RLS and recurrent stroke.</w:t>
      </w:r>
      <w:r w:rsidRPr="003C7547">
        <w:rPr>
          <w:rFonts w:ascii="Arial" w:hAnsi="Arial" w:cs="Arial"/>
        </w:rPr>
        <w:t xml:space="preserve"> </w:t>
      </w:r>
      <w:r w:rsidR="00037A26" w:rsidRPr="003C7547">
        <w:rPr>
          <w:rFonts w:ascii="Arial" w:hAnsi="Arial" w:cs="Arial"/>
        </w:rPr>
        <w:t xml:space="preserve"> </w:t>
      </w:r>
      <w:r w:rsidR="002E6A82" w:rsidRPr="003C7547">
        <w:rPr>
          <w:rFonts w:ascii="Arial" w:hAnsi="Arial" w:cs="Arial"/>
        </w:rPr>
        <w:t>In the previously mentioned study of adults with SCA and stroke, 9/29 had recurrent stroke which was attributed to cardiac embolism in 4 cases</w:t>
      </w:r>
      <w:r w:rsidR="00FE4929" w:rsidRPr="003C7547">
        <w:rPr>
          <w:rFonts w:ascii="Arial" w:hAnsi="Arial" w:cs="Arial"/>
        </w:rPr>
        <w:t xml:space="preserve">. (Calvet, et al., 2015).  </w:t>
      </w:r>
      <w:r w:rsidR="00F02201" w:rsidRPr="003C7547">
        <w:rPr>
          <w:rFonts w:ascii="Arial" w:hAnsi="Arial" w:cs="Arial"/>
        </w:rPr>
        <w:t>In children with SCA, recurrent strok</w:t>
      </w:r>
      <w:r w:rsidR="008408EB" w:rsidRPr="003C7547">
        <w:rPr>
          <w:rFonts w:ascii="Arial" w:hAnsi="Arial" w:cs="Arial"/>
        </w:rPr>
        <w:t xml:space="preserve">e is </w:t>
      </w:r>
      <w:r w:rsidR="00F02201" w:rsidRPr="003C7547">
        <w:rPr>
          <w:rFonts w:ascii="Arial" w:hAnsi="Arial" w:cs="Arial"/>
        </w:rPr>
        <w:t>ofte</w:t>
      </w:r>
      <w:r w:rsidR="008408EB" w:rsidRPr="003C7547">
        <w:rPr>
          <w:rFonts w:ascii="Arial" w:hAnsi="Arial" w:cs="Arial"/>
        </w:rPr>
        <w:t>n attributed</w:t>
      </w:r>
      <w:r w:rsidR="00F02201" w:rsidRPr="003C7547">
        <w:rPr>
          <w:rFonts w:ascii="Arial" w:hAnsi="Arial" w:cs="Arial"/>
        </w:rPr>
        <w:t xml:space="preserve"> to moyamoya syndrome or progressive cerebral vasculopathy.  However, stroke recurrence, as well as first time stroke</w:t>
      </w:r>
      <w:r w:rsidR="00144F4A" w:rsidRPr="003C7547">
        <w:rPr>
          <w:rFonts w:ascii="Arial" w:hAnsi="Arial" w:cs="Arial"/>
        </w:rPr>
        <w:t>,</w:t>
      </w:r>
      <w:r w:rsidR="00F02201" w:rsidRPr="003C7547">
        <w:rPr>
          <w:rFonts w:ascii="Arial" w:hAnsi="Arial" w:cs="Arial"/>
        </w:rPr>
        <w:t xml:space="preserve"> still occurs in the absence of vasculopathy, albeit at a lower rate</w:t>
      </w:r>
      <w:r w:rsidR="00FE4929" w:rsidRPr="003C7547">
        <w:rPr>
          <w:rFonts w:ascii="Arial" w:hAnsi="Arial" w:cs="Arial"/>
        </w:rPr>
        <w:t xml:space="preserve"> (Hulbert, et al., 2011)</w:t>
      </w:r>
      <w:r w:rsidR="00684789" w:rsidRPr="003C7547">
        <w:rPr>
          <w:rFonts w:ascii="Arial" w:hAnsi="Arial" w:cs="Arial"/>
        </w:rPr>
        <w:t>.</w:t>
      </w:r>
      <w:r w:rsidR="00FE4929" w:rsidRPr="003C7547">
        <w:rPr>
          <w:rFonts w:ascii="Arial" w:hAnsi="Arial" w:cs="Arial"/>
        </w:rPr>
        <w:t xml:space="preserve"> </w:t>
      </w:r>
      <w:r w:rsidR="00CA755E" w:rsidRPr="003C7547">
        <w:rPr>
          <w:rFonts w:ascii="Arial" w:hAnsi="Arial" w:cs="Arial"/>
        </w:rPr>
        <w:t xml:space="preserve"> </w:t>
      </w:r>
      <w:r w:rsidR="00443144" w:rsidRPr="003C7547">
        <w:rPr>
          <w:rFonts w:ascii="Arial" w:hAnsi="Arial" w:cs="Arial"/>
        </w:rPr>
        <w:t>In this subset of patients, paradoxical embolization may play a larger role</w:t>
      </w:r>
      <w:r w:rsidR="008408EB" w:rsidRPr="003C7547">
        <w:rPr>
          <w:rFonts w:ascii="Arial" w:hAnsi="Arial" w:cs="Arial"/>
        </w:rPr>
        <w:t>,</w:t>
      </w:r>
      <w:r w:rsidR="00443144" w:rsidRPr="003C7547">
        <w:rPr>
          <w:rFonts w:ascii="Arial" w:hAnsi="Arial" w:cs="Arial"/>
        </w:rPr>
        <w:t xml:space="preserve"> </w:t>
      </w:r>
      <w:r w:rsidR="00406BC9" w:rsidRPr="003C7547">
        <w:rPr>
          <w:rFonts w:ascii="Arial" w:hAnsi="Arial" w:cs="Arial"/>
        </w:rPr>
        <w:t>as appears to be the case in non-SCA childhood stroke</w:t>
      </w:r>
      <w:r w:rsidR="00CA755E" w:rsidRPr="003C7547">
        <w:rPr>
          <w:rFonts w:ascii="Arial" w:hAnsi="Arial" w:cs="Arial"/>
        </w:rPr>
        <w:t>,</w:t>
      </w:r>
      <w:r w:rsidR="00684789" w:rsidRPr="003C7547">
        <w:rPr>
          <w:rFonts w:ascii="Arial" w:hAnsi="Arial" w:cs="Arial"/>
        </w:rPr>
        <w:t xml:space="preserve"> </w:t>
      </w:r>
      <w:r w:rsidR="00FE4929" w:rsidRPr="003C7547">
        <w:rPr>
          <w:rFonts w:ascii="Arial" w:hAnsi="Arial" w:cs="Arial"/>
        </w:rPr>
        <w:t>(Benedik, et al., 2007)</w:t>
      </w:r>
      <w:r w:rsidR="00CA755E" w:rsidRPr="003C7547">
        <w:rPr>
          <w:rFonts w:ascii="Arial" w:hAnsi="Arial" w:cs="Arial"/>
        </w:rPr>
        <w:t xml:space="preserve"> </w:t>
      </w:r>
      <w:r w:rsidR="00443144" w:rsidRPr="003C7547">
        <w:rPr>
          <w:rFonts w:ascii="Arial" w:hAnsi="Arial" w:cs="Arial"/>
        </w:rPr>
        <w:t xml:space="preserve">and </w:t>
      </w:r>
      <w:r w:rsidR="008408EB" w:rsidRPr="003C7547">
        <w:rPr>
          <w:rFonts w:ascii="Arial" w:hAnsi="Arial" w:cs="Arial"/>
        </w:rPr>
        <w:t xml:space="preserve">it must be noted that </w:t>
      </w:r>
      <w:r w:rsidR="00443144" w:rsidRPr="003C7547">
        <w:rPr>
          <w:rFonts w:ascii="Arial" w:hAnsi="Arial" w:cs="Arial"/>
        </w:rPr>
        <w:t>the presence of vasculopathy does not rule out paradoxical embolization as an etiology for stroke.</w:t>
      </w:r>
      <w:r w:rsidR="008408EB" w:rsidRPr="003C7547">
        <w:rPr>
          <w:rFonts w:ascii="Arial" w:hAnsi="Arial" w:cs="Arial"/>
        </w:rPr>
        <w:t xml:space="preserve">  Unfortunately, due to budgetary constraints, we did not obtain vascular imaging as part of this study.  </w:t>
      </w:r>
      <w:r w:rsidR="002E6A82" w:rsidRPr="003C7547">
        <w:rPr>
          <w:rFonts w:ascii="Arial" w:hAnsi="Arial" w:cs="Arial"/>
        </w:rPr>
        <w:t xml:space="preserve"> </w:t>
      </w:r>
    </w:p>
    <w:p w:rsidR="00323D42" w:rsidRPr="003C7547" w:rsidRDefault="00B411BA" w:rsidP="003E4496">
      <w:pPr>
        <w:spacing w:line="480" w:lineRule="auto"/>
        <w:rPr>
          <w:rFonts w:ascii="Arial" w:hAnsi="Arial" w:cs="Arial"/>
        </w:rPr>
      </w:pPr>
      <w:r w:rsidRPr="003C7547">
        <w:rPr>
          <w:rFonts w:ascii="Arial" w:hAnsi="Arial" w:cs="Arial"/>
        </w:rPr>
        <w:t>Another</w:t>
      </w:r>
      <w:r w:rsidR="007B3D66" w:rsidRPr="003C7547">
        <w:rPr>
          <w:rFonts w:ascii="Arial" w:hAnsi="Arial" w:cs="Arial"/>
        </w:rPr>
        <w:t xml:space="preserve"> important</w:t>
      </w:r>
      <w:r w:rsidR="0070009C" w:rsidRPr="003C7547">
        <w:rPr>
          <w:rFonts w:ascii="Arial" w:hAnsi="Arial" w:cs="Arial"/>
        </w:rPr>
        <w:t xml:space="preserve"> finding</w:t>
      </w:r>
      <w:r w:rsidRPr="003C7547">
        <w:rPr>
          <w:rFonts w:ascii="Arial" w:hAnsi="Arial" w:cs="Arial"/>
        </w:rPr>
        <w:t xml:space="preserve"> of this study is the</w:t>
      </w:r>
      <w:r w:rsidR="00217A59" w:rsidRPr="003C7547">
        <w:rPr>
          <w:rFonts w:ascii="Arial" w:hAnsi="Arial" w:cs="Arial"/>
        </w:rPr>
        <w:t xml:space="preserve"> high</w:t>
      </w:r>
      <w:r w:rsidR="0070009C" w:rsidRPr="003C7547">
        <w:rPr>
          <w:rFonts w:ascii="Arial" w:hAnsi="Arial" w:cs="Arial"/>
        </w:rPr>
        <w:t xml:space="preserve"> </w:t>
      </w:r>
      <w:r w:rsidR="009F3B4B" w:rsidRPr="003C7547">
        <w:rPr>
          <w:rFonts w:ascii="Arial" w:hAnsi="Arial" w:cs="Arial"/>
        </w:rPr>
        <w:t xml:space="preserve">prevalence </w:t>
      </w:r>
      <w:r w:rsidR="0070009C" w:rsidRPr="003C7547">
        <w:rPr>
          <w:rFonts w:ascii="Arial" w:hAnsi="Arial" w:cs="Arial"/>
        </w:rPr>
        <w:t xml:space="preserve">of </w:t>
      </w:r>
      <w:r w:rsidR="00B059F2" w:rsidRPr="003C7547">
        <w:rPr>
          <w:rFonts w:ascii="Arial" w:hAnsi="Arial" w:cs="Arial"/>
        </w:rPr>
        <w:t>intra</w:t>
      </w:r>
      <w:r w:rsidR="0070009C" w:rsidRPr="003C7547">
        <w:rPr>
          <w:rFonts w:ascii="Arial" w:hAnsi="Arial" w:cs="Arial"/>
        </w:rPr>
        <w:t>pulmonary shunting in the SCA</w:t>
      </w:r>
      <w:r w:rsidR="00EB1D34" w:rsidRPr="003C7547">
        <w:rPr>
          <w:rFonts w:ascii="Arial" w:hAnsi="Arial" w:cs="Arial"/>
        </w:rPr>
        <w:t>+</w:t>
      </w:r>
      <w:r w:rsidR="0070009C" w:rsidRPr="003C7547">
        <w:rPr>
          <w:rFonts w:ascii="Arial" w:hAnsi="Arial" w:cs="Arial"/>
        </w:rPr>
        <w:t>stroke group.</w:t>
      </w:r>
      <w:r w:rsidR="00B059F2" w:rsidRPr="003C7547">
        <w:rPr>
          <w:rFonts w:ascii="Arial" w:hAnsi="Arial" w:cs="Arial"/>
        </w:rPr>
        <w:t xml:space="preserve">  Intrap</w:t>
      </w:r>
      <w:r w:rsidR="0070009C" w:rsidRPr="003C7547">
        <w:rPr>
          <w:rFonts w:ascii="Arial" w:hAnsi="Arial" w:cs="Arial"/>
        </w:rPr>
        <w:t xml:space="preserve">ulmonary shunting was only </w:t>
      </w:r>
      <w:r w:rsidR="007F5B91" w:rsidRPr="003C7547">
        <w:rPr>
          <w:rFonts w:ascii="Arial" w:hAnsi="Arial" w:cs="Arial"/>
        </w:rPr>
        <w:t>discernable</w:t>
      </w:r>
      <w:r w:rsidR="0070009C" w:rsidRPr="003C7547">
        <w:rPr>
          <w:rFonts w:ascii="Arial" w:hAnsi="Arial" w:cs="Arial"/>
        </w:rPr>
        <w:t xml:space="preserve"> by our</w:t>
      </w:r>
      <w:r w:rsidR="007F5B91" w:rsidRPr="003C7547">
        <w:rPr>
          <w:rFonts w:ascii="Arial" w:hAnsi="Arial" w:cs="Arial"/>
        </w:rPr>
        <w:t xml:space="preserve"> method</w:t>
      </w:r>
      <w:r w:rsidR="0070009C" w:rsidRPr="003C7547">
        <w:rPr>
          <w:rFonts w:ascii="Arial" w:hAnsi="Arial" w:cs="Arial"/>
        </w:rPr>
        <w:t xml:space="preserve"> in </w:t>
      </w:r>
      <w:r w:rsidR="007F5B91" w:rsidRPr="003C7547">
        <w:rPr>
          <w:rFonts w:ascii="Arial" w:hAnsi="Arial" w:cs="Arial"/>
        </w:rPr>
        <w:t>participants</w:t>
      </w:r>
      <w:r w:rsidR="0070009C" w:rsidRPr="003C7547">
        <w:rPr>
          <w:rFonts w:ascii="Arial" w:hAnsi="Arial" w:cs="Arial"/>
        </w:rPr>
        <w:t xml:space="preserve"> without </w:t>
      </w:r>
      <w:r w:rsidR="009F3B4B" w:rsidRPr="003C7547">
        <w:rPr>
          <w:rFonts w:ascii="Arial" w:hAnsi="Arial" w:cs="Arial"/>
        </w:rPr>
        <w:t xml:space="preserve">concomitant </w:t>
      </w:r>
      <w:r w:rsidR="0070009C" w:rsidRPr="003C7547">
        <w:rPr>
          <w:rFonts w:ascii="Arial" w:hAnsi="Arial" w:cs="Arial"/>
        </w:rPr>
        <w:t xml:space="preserve">intracardiac shunting, </w:t>
      </w:r>
      <w:r w:rsidR="009F3B4B" w:rsidRPr="003C7547">
        <w:rPr>
          <w:rFonts w:ascii="Arial" w:hAnsi="Arial" w:cs="Arial"/>
        </w:rPr>
        <w:t>which may have obscured some relevant clinical associations</w:t>
      </w:r>
      <w:r w:rsidR="0070009C" w:rsidRPr="003C7547">
        <w:rPr>
          <w:rFonts w:ascii="Arial" w:hAnsi="Arial" w:cs="Arial"/>
        </w:rPr>
        <w:t>.</w:t>
      </w:r>
      <w:r w:rsidR="007B3D66" w:rsidRPr="003C7547">
        <w:rPr>
          <w:rFonts w:ascii="Arial" w:hAnsi="Arial" w:cs="Arial"/>
        </w:rPr>
        <w:t xml:space="preserve"> A similar high prevalence of intrapulmonary RLS was reported in adults with </w:t>
      </w:r>
      <w:r w:rsidR="0045321D" w:rsidRPr="003C7547">
        <w:rPr>
          <w:rFonts w:ascii="Arial" w:hAnsi="Arial" w:cs="Arial"/>
        </w:rPr>
        <w:t>SCA</w:t>
      </w:r>
      <w:r w:rsidR="007B3D66" w:rsidRPr="003C7547">
        <w:rPr>
          <w:rFonts w:ascii="Arial" w:hAnsi="Arial" w:cs="Arial"/>
        </w:rPr>
        <w:t xml:space="preserve"> (16% vs</w:t>
      </w:r>
      <w:r w:rsidR="00684789" w:rsidRPr="003C7547">
        <w:rPr>
          <w:rFonts w:ascii="Arial" w:hAnsi="Arial" w:cs="Arial"/>
        </w:rPr>
        <w:t>.</w:t>
      </w:r>
      <w:r w:rsidR="007B3D66" w:rsidRPr="003C7547">
        <w:rPr>
          <w:rFonts w:ascii="Arial" w:hAnsi="Arial" w:cs="Arial"/>
        </w:rPr>
        <w:t xml:space="preserve"> 3.8% in general medical pati</w:t>
      </w:r>
      <w:r w:rsidR="0045321D" w:rsidRPr="003C7547">
        <w:rPr>
          <w:rFonts w:ascii="Arial" w:hAnsi="Arial" w:cs="Arial"/>
        </w:rPr>
        <w:t>ents without SCA</w:t>
      </w:r>
      <w:r w:rsidR="007B3D66" w:rsidRPr="003C7547">
        <w:rPr>
          <w:rFonts w:ascii="Arial" w:hAnsi="Arial" w:cs="Arial"/>
        </w:rPr>
        <w:t>)</w:t>
      </w:r>
      <w:r w:rsidR="00FE4929" w:rsidRPr="003C7547">
        <w:rPr>
          <w:rFonts w:ascii="Arial" w:hAnsi="Arial" w:cs="Arial"/>
        </w:rPr>
        <w:t xml:space="preserve"> (Langer, et al., 2013). </w:t>
      </w:r>
      <w:r w:rsidR="00CA755E" w:rsidRPr="003C7547">
        <w:rPr>
          <w:rFonts w:ascii="Arial" w:hAnsi="Arial" w:cs="Arial"/>
        </w:rPr>
        <w:t xml:space="preserve"> </w:t>
      </w:r>
      <w:r w:rsidR="00FE4929" w:rsidRPr="003C7547">
        <w:rPr>
          <w:rFonts w:ascii="Arial" w:hAnsi="Arial" w:cs="Arial"/>
        </w:rPr>
        <w:t xml:space="preserve">Thus, this high prevalence of intrapulmonary shunting we observed may be common in children with SCA without stroke.  Our control group was limited to children without SCA or stroke.  Future studies of RLS in children with SCD without stroke are needed.  </w:t>
      </w:r>
      <w:r w:rsidR="00104E21" w:rsidRPr="003C7547">
        <w:rPr>
          <w:rFonts w:ascii="Arial" w:hAnsi="Arial" w:cs="Arial"/>
        </w:rPr>
        <w:t>In an exploratory analysis, we</w:t>
      </w:r>
      <w:r w:rsidR="0045321D" w:rsidRPr="003C7547">
        <w:rPr>
          <w:rFonts w:ascii="Arial" w:hAnsi="Arial" w:cs="Arial"/>
        </w:rPr>
        <w:t xml:space="preserve"> found</w:t>
      </w:r>
      <w:r w:rsidR="0070009C" w:rsidRPr="003C7547">
        <w:rPr>
          <w:rFonts w:ascii="Arial" w:hAnsi="Arial" w:cs="Arial"/>
        </w:rPr>
        <w:t xml:space="preserve"> that prior diagnosis of obstructive sleep apnea</w:t>
      </w:r>
      <w:r w:rsidR="00443144" w:rsidRPr="003C7547">
        <w:rPr>
          <w:rFonts w:ascii="Arial" w:hAnsi="Arial" w:cs="Arial"/>
        </w:rPr>
        <w:t xml:space="preserve"> (OSA)</w:t>
      </w:r>
      <w:r w:rsidR="0070009C" w:rsidRPr="003C7547">
        <w:rPr>
          <w:rFonts w:ascii="Arial" w:hAnsi="Arial" w:cs="Arial"/>
        </w:rPr>
        <w:t xml:space="preserve"> was </w:t>
      </w:r>
      <w:r w:rsidR="00CE0122" w:rsidRPr="003C7547">
        <w:rPr>
          <w:rFonts w:ascii="Arial" w:hAnsi="Arial" w:cs="Arial"/>
        </w:rPr>
        <w:t xml:space="preserve">associated with </w:t>
      </w:r>
      <w:r w:rsidR="00B059F2" w:rsidRPr="003C7547">
        <w:rPr>
          <w:rFonts w:ascii="Arial" w:hAnsi="Arial" w:cs="Arial"/>
        </w:rPr>
        <w:t>intra</w:t>
      </w:r>
      <w:r w:rsidR="00CE0122" w:rsidRPr="003C7547">
        <w:rPr>
          <w:rFonts w:ascii="Arial" w:hAnsi="Arial" w:cs="Arial"/>
        </w:rPr>
        <w:t>pulmonary shunting, but our patients were not syst</w:t>
      </w:r>
      <w:r w:rsidR="00B059F2" w:rsidRPr="003C7547">
        <w:rPr>
          <w:rFonts w:ascii="Arial" w:hAnsi="Arial" w:cs="Arial"/>
        </w:rPr>
        <w:t>ematically evaluated for OSA.  Intrap</w:t>
      </w:r>
      <w:r w:rsidR="00CE0122" w:rsidRPr="003C7547">
        <w:rPr>
          <w:rFonts w:ascii="Arial" w:hAnsi="Arial" w:cs="Arial"/>
        </w:rPr>
        <w:t xml:space="preserve">ulmonary shunting was not associated with other indicators of lung disease </w:t>
      </w:r>
      <w:r w:rsidR="00443144" w:rsidRPr="003C7547">
        <w:rPr>
          <w:rFonts w:ascii="Arial" w:hAnsi="Arial" w:cs="Arial"/>
        </w:rPr>
        <w:t xml:space="preserve">or OSA </w:t>
      </w:r>
      <w:r w:rsidR="00CE0122" w:rsidRPr="003C7547">
        <w:rPr>
          <w:rFonts w:ascii="Arial" w:hAnsi="Arial" w:cs="Arial"/>
        </w:rPr>
        <w:t>such as patient</w:t>
      </w:r>
      <w:r w:rsidR="00071234" w:rsidRPr="003C7547">
        <w:rPr>
          <w:rFonts w:ascii="Arial" w:hAnsi="Arial" w:cs="Arial"/>
        </w:rPr>
        <w:t xml:space="preserve"> </w:t>
      </w:r>
      <w:r w:rsidR="00CE0122" w:rsidRPr="003C7547">
        <w:rPr>
          <w:rFonts w:ascii="Arial" w:hAnsi="Arial" w:cs="Arial"/>
        </w:rPr>
        <w:t>reported snoring, asthma,</w:t>
      </w:r>
      <w:r w:rsidR="00071234" w:rsidRPr="003C7547">
        <w:rPr>
          <w:rFonts w:ascii="Arial" w:hAnsi="Arial" w:cs="Arial"/>
        </w:rPr>
        <w:t xml:space="preserve"> diagnosis of pulmonary hypertension or</w:t>
      </w:r>
      <w:r w:rsidR="00CE0122" w:rsidRPr="003C7547">
        <w:rPr>
          <w:rFonts w:ascii="Arial" w:hAnsi="Arial" w:cs="Arial"/>
        </w:rPr>
        <w:t xml:space="preserve"> low </w:t>
      </w:r>
      <w:r w:rsidR="00144F4A" w:rsidRPr="003C7547">
        <w:rPr>
          <w:rFonts w:ascii="Arial" w:hAnsi="Arial" w:cs="Arial"/>
        </w:rPr>
        <w:t xml:space="preserve">daytime </w:t>
      </w:r>
      <w:r w:rsidR="00EB1D34" w:rsidRPr="003C7547">
        <w:rPr>
          <w:rFonts w:ascii="Arial" w:hAnsi="Arial" w:cs="Arial"/>
        </w:rPr>
        <w:t xml:space="preserve">hemoglobin oxygen </w:t>
      </w:r>
      <w:r w:rsidR="00071234" w:rsidRPr="003C7547">
        <w:rPr>
          <w:rFonts w:ascii="Arial" w:hAnsi="Arial" w:cs="Arial"/>
        </w:rPr>
        <w:t>saturation</w:t>
      </w:r>
      <w:r w:rsidR="00CE0122" w:rsidRPr="003C7547">
        <w:rPr>
          <w:rFonts w:ascii="Arial" w:hAnsi="Arial" w:cs="Arial"/>
        </w:rPr>
        <w:t xml:space="preserve">.  </w:t>
      </w:r>
      <w:r w:rsidR="00822649" w:rsidRPr="003C7547">
        <w:rPr>
          <w:rFonts w:ascii="Arial" w:hAnsi="Arial" w:cs="Arial"/>
        </w:rPr>
        <w:t>We were not funded for</w:t>
      </w:r>
      <w:r w:rsidR="0079094A" w:rsidRPr="003C7547">
        <w:rPr>
          <w:rFonts w:ascii="Arial" w:hAnsi="Arial" w:cs="Arial"/>
        </w:rPr>
        <w:t xml:space="preserve"> polysomnography or overnight oximetry</w:t>
      </w:r>
      <w:r w:rsidR="00822649" w:rsidRPr="003C7547">
        <w:rPr>
          <w:rFonts w:ascii="Arial" w:hAnsi="Arial" w:cs="Arial"/>
        </w:rPr>
        <w:t xml:space="preserve"> and most centres in this study did not, at the time of the study, evaluate their patients for OSA or nighttime </w:t>
      </w:r>
      <w:r w:rsidR="00822649" w:rsidRPr="003C7547">
        <w:rPr>
          <w:rFonts w:ascii="Arial" w:hAnsi="Arial" w:cs="Arial"/>
        </w:rPr>
        <w:lastRenderedPageBreak/>
        <w:t>hypoxaemia</w:t>
      </w:r>
      <w:r w:rsidR="0079094A" w:rsidRPr="003C7547">
        <w:rPr>
          <w:rFonts w:ascii="Arial" w:hAnsi="Arial" w:cs="Arial"/>
        </w:rPr>
        <w:t xml:space="preserve"> but exploration of the possible association between OSA and/or nighttime hypoxaemia and RLS would be of interest in future studies.</w:t>
      </w:r>
    </w:p>
    <w:p w:rsidR="00CE6776" w:rsidRPr="003C7547" w:rsidRDefault="00323D42" w:rsidP="003E4496">
      <w:pPr>
        <w:spacing w:line="480" w:lineRule="auto"/>
        <w:rPr>
          <w:rFonts w:ascii="Arial" w:hAnsi="Arial" w:cs="Arial"/>
        </w:rPr>
      </w:pPr>
      <w:r w:rsidRPr="003C7547">
        <w:rPr>
          <w:rFonts w:ascii="Arial" w:hAnsi="Arial" w:cs="Arial"/>
        </w:rPr>
        <w:t>Our study has several limitations.  Research ethics considerations in children precluded placement of an IV solely for research</w:t>
      </w:r>
      <w:r w:rsidR="007D5734" w:rsidRPr="003C7547">
        <w:rPr>
          <w:rFonts w:ascii="Arial" w:hAnsi="Arial" w:cs="Arial"/>
        </w:rPr>
        <w:t>, limiting</w:t>
      </w:r>
      <w:r w:rsidRPr="003C7547">
        <w:rPr>
          <w:rFonts w:ascii="Arial" w:hAnsi="Arial" w:cs="Arial"/>
        </w:rPr>
        <w:t xml:space="preserve"> our ability to evaluate children with SCA without stroke</w:t>
      </w:r>
      <w:r w:rsidR="00EB1D34" w:rsidRPr="003C7547">
        <w:rPr>
          <w:rFonts w:ascii="Arial" w:hAnsi="Arial" w:cs="Arial"/>
        </w:rPr>
        <w:t xml:space="preserve"> who were not acutely ill</w:t>
      </w:r>
      <w:r w:rsidRPr="003C7547">
        <w:rPr>
          <w:rFonts w:ascii="Arial" w:hAnsi="Arial" w:cs="Arial"/>
        </w:rPr>
        <w:t xml:space="preserve"> and is why we </w:t>
      </w:r>
      <w:r w:rsidR="00EB1D34" w:rsidRPr="003C7547">
        <w:rPr>
          <w:rFonts w:ascii="Arial" w:hAnsi="Arial" w:cs="Arial"/>
        </w:rPr>
        <w:t xml:space="preserve">assembled a </w:t>
      </w:r>
      <w:r w:rsidRPr="003C7547">
        <w:rPr>
          <w:rFonts w:ascii="Arial" w:hAnsi="Arial" w:cs="Arial"/>
        </w:rPr>
        <w:t>control group of children without SCA or stroke</w:t>
      </w:r>
      <w:r w:rsidR="008408EB" w:rsidRPr="003C7547">
        <w:rPr>
          <w:rFonts w:ascii="Arial" w:hAnsi="Arial" w:cs="Arial"/>
        </w:rPr>
        <w:t xml:space="preserve"> who already had IV access obtained for another clinical indication</w:t>
      </w:r>
      <w:r w:rsidRPr="003C7547">
        <w:rPr>
          <w:rFonts w:ascii="Arial" w:hAnsi="Arial" w:cs="Arial"/>
        </w:rPr>
        <w:t xml:space="preserve">.  </w:t>
      </w:r>
      <w:r w:rsidR="002E6A82" w:rsidRPr="003C7547">
        <w:rPr>
          <w:rFonts w:ascii="Arial" w:hAnsi="Arial" w:cs="Arial"/>
        </w:rPr>
        <w:t>T</w:t>
      </w:r>
      <w:r w:rsidR="004270C9" w:rsidRPr="003C7547">
        <w:rPr>
          <w:rFonts w:ascii="Arial" w:hAnsi="Arial" w:cs="Arial"/>
        </w:rPr>
        <w:t xml:space="preserve">he high prevalence of potential shunting we found could apply to </w:t>
      </w:r>
      <w:r w:rsidRPr="003C7547">
        <w:rPr>
          <w:rFonts w:ascii="Arial" w:hAnsi="Arial" w:cs="Arial"/>
        </w:rPr>
        <w:t xml:space="preserve">all children with SCA, </w:t>
      </w:r>
      <w:r w:rsidR="00390D03" w:rsidRPr="003C7547">
        <w:rPr>
          <w:rFonts w:ascii="Arial" w:hAnsi="Arial" w:cs="Arial"/>
        </w:rPr>
        <w:t>not just those with stroke.</w:t>
      </w:r>
      <w:r w:rsidR="007D5734" w:rsidRPr="003C7547">
        <w:rPr>
          <w:rFonts w:ascii="Arial" w:hAnsi="Arial" w:cs="Arial"/>
        </w:rPr>
        <w:t xml:space="preserve"> </w:t>
      </w:r>
      <w:r w:rsidR="008408EB" w:rsidRPr="003C7547">
        <w:rPr>
          <w:rFonts w:ascii="Arial" w:hAnsi="Arial" w:cs="Arial"/>
        </w:rPr>
        <w:t xml:space="preserve"> It </w:t>
      </w:r>
      <w:r w:rsidR="001C18B1" w:rsidRPr="003C7547">
        <w:rPr>
          <w:rFonts w:ascii="Arial" w:hAnsi="Arial" w:cs="Arial"/>
        </w:rPr>
        <w:t xml:space="preserve">also </w:t>
      </w:r>
      <w:r w:rsidR="008408EB" w:rsidRPr="003C7547">
        <w:rPr>
          <w:rFonts w:ascii="Arial" w:hAnsi="Arial" w:cs="Arial"/>
        </w:rPr>
        <w:t>could be a marker of more severe disease</w:t>
      </w:r>
      <w:r w:rsidR="007D5734" w:rsidRPr="003C7547">
        <w:rPr>
          <w:rFonts w:ascii="Arial" w:hAnsi="Arial" w:cs="Arial"/>
        </w:rPr>
        <w:t xml:space="preserve"> and warrants further investigation. </w:t>
      </w:r>
      <w:r w:rsidR="00CE6776" w:rsidRPr="003C7547">
        <w:rPr>
          <w:rFonts w:ascii="Arial" w:hAnsi="Arial" w:cs="Arial"/>
        </w:rPr>
        <w:t xml:space="preserve"> Future studies to compare the prevalence of potential RLS in children with SCA both with and without stroke or silent cerebral infarction are needed. </w:t>
      </w:r>
      <w:r w:rsidR="007D5734" w:rsidRPr="003C7547">
        <w:rPr>
          <w:rFonts w:ascii="Arial" w:hAnsi="Arial" w:cs="Arial"/>
        </w:rPr>
        <w:t xml:space="preserve"> </w:t>
      </w:r>
      <w:r w:rsidR="000642CD" w:rsidRPr="003C7547">
        <w:rPr>
          <w:rFonts w:ascii="Arial" w:hAnsi="Arial" w:cs="Arial"/>
        </w:rPr>
        <w:t>Our study does provide much needed control data</w:t>
      </w:r>
      <w:r w:rsidR="00FE4929" w:rsidRPr="003C7547">
        <w:rPr>
          <w:rFonts w:ascii="Arial" w:hAnsi="Arial" w:cs="Arial"/>
        </w:rPr>
        <w:t xml:space="preserve"> (Dowling and Ikemba, 2011)</w:t>
      </w:r>
      <w:r w:rsidR="00CA755E" w:rsidRPr="003C7547">
        <w:rPr>
          <w:rFonts w:ascii="Arial" w:hAnsi="Arial" w:cs="Arial"/>
        </w:rPr>
        <w:t xml:space="preserve"> </w:t>
      </w:r>
      <w:r w:rsidR="000642CD" w:rsidRPr="003C7547">
        <w:rPr>
          <w:rFonts w:ascii="Arial" w:hAnsi="Arial" w:cs="Arial"/>
        </w:rPr>
        <w:t>on the prevalence of potential shunting by contrasted echocardiograp</w:t>
      </w:r>
      <w:r w:rsidR="00184EC9" w:rsidRPr="003C7547">
        <w:rPr>
          <w:rFonts w:ascii="Arial" w:hAnsi="Arial" w:cs="Arial"/>
        </w:rPr>
        <w:t>h</w:t>
      </w:r>
      <w:r w:rsidR="000642CD" w:rsidRPr="003C7547">
        <w:rPr>
          <w:rFonts w:ascii="Arial" w:hAnsi="Arial" w:cs="Arial"/>
        </w:rPr>
        <w:t>y in a large population of c</w:t>
      </w:r>
      <w:r w:rsidR="001C18B1" w:rsidRPr="003C7547">
        <w:rPr>
          <w:rFonts w:ascii="Arial" w:hAnsi="Arial" w:cs="Arial"/>
        </w:rPr>
        <w:t>hildren</w:t>
      </w:r>
      <w:r w:rsidR="000642CD" w:rsidRPr="003C7547">
        <w:rPr>
          <w:rFonts w:ascii="Arial" w:hAnsi="Arial" w:cs="Arial"/>
        </w:rPr>
        <w:t xml:space="preserve"> without stroke or other neuro</w:t>
      </w:r>
      <w:r w:rsidR="00CE6776" w:rsidRPr="003C7547">
        <w:rPr>
          <w:rFonts w:ascii="Arial" w:hAnsi="Arial" w:cs="Arial"/>
        </w:rPr>
        <w:t xml:space="preserve">logic indications for testing.  RLS is </w:t>
      </w:r>
      <w:r w:rsidR="00684789" w:rsidRPr="003C7547">
        <w:rPr>
          <w:rFonts w:ascii="Arial" w:hAnsi="Arial" w:cs="Arial"/>
        </w:rPr>
        <w:t xml:space="preserve">clearly </w:t>
      </w:r>
      <w:r w:rsidR="00CE6776" w:rsidRPr="003C7547">
        <w:rPr>
          <w:rFonts w:ascii="Arial" w:hAnsi="Arial" w:cs="Arial"/>
        </w:rPr>
        <w:t xml:space="preserve">not likely to be </w:t>
      </w:r>
      <w:r w:rsidR="00FE4929" w:rsidRPr="003C7547">
        <w:rPr>
          <w:rFonts w:ascii="Arial" w:hAnsi="Arial" w:cs="Arial"/>
        </w:rPr>
        <w:t>the only, or</w:t>
      </w:r>
      <w:r w:rsidR="00CE6776" w:rsidRPr="003C7547">
        <w:rPr>
          <w:rFonts w:ascii="Arial" w:hAnsi="Arial" w:cs="Arial"/>
        </w:rPr>
        <w:t xml:space="preserve"> the major cause of stroke in children with SCA</w:t>
      </w:r>
      <w:r w:rsidR="00684789" w:rsidRPr="003C7547">
        <w:rPr>
          <w:rFonts w:ascii="Arial" w:hAnsi="Arial" w:cs="Arial"/>
        </w:rPr>
        <w:t>,</w:t>
      </w:r>
      <w:r w:rsidR="00CE6776" w:rsidRPr="003C7547">
        <w:rPr>
          <w:rFonts w:ascii="Arial" w:hAnsi="Arial" w:cs="Arial"/>
        </w:rPr>
        <w:t xml:space="preserve"> but could be an important contributing etiology in some patients.   Analysis of the contribution of concurrent illnesses, cerebral vasculopathy, and other poten</w:t>
      </w:r>
      <w:r w:rsidR="00AC752B" w:rsidRPr="003C7547">
        <w:rPr>
          <w:rFonts w:ascii="Arial" w:hAnsi="Arial" w:cs="Arial"/>
        </w:rPr>
        <w:t>tial stroke risk factors in this population is</w:t>
      </w:r>
      <w:r w:rsidR="00CE6776" w:rsidRPr="003C7547">
        <w:rPr>
          <w:rFonts w:ascii="Arial" w:hAnsi="Arial" w:cs="Arial"/>
        </w:rPr>
        <w:t xml:space="preserve"> needed</w:t>
      </w:r>
      <w:r w:rsidR="00AC752B" w:rsidRPr="003C7547">
        <w:rPr>
          <w:rFonts w:ascii="Arial" w:hAnsi="Arial" w:cs="Arial"/>
        </w:rPr>
        <w:t>.</w:t>
      </w:r>
      <w:r w:rsidR="00CE6776" w:rsidRPr="003C7547">
        <w:rPr>
          <w:rFonts w:ascii="Arial" w:hAnsi="Arial" w:cs="Arial"/>
        </w:rPr>
        <w:t xml:space="preserve">  </w:t>
      </w:r>
    </w:p>
    <w:p w:rsidR="00AC752B" w:rsidRPr="003C7547" w:rsidRDefault="00E90721" w:rsidP="003E4496">
      <w:pPr>
        <w:spacing w:line="480" w:lineRule="auto"/>
        <w:rPr>
          <w:rFonts w:ascii="Arial" w:hAnsi="Arial" w:cs="Arial"/>
        </w:rPr>
      </w:pPr>
      <w:r w:rsidRPr="003C7547">
        <w:rPr>
          <w:rFonts w:ascii="Arial" w:hAnsi="Arial" w:cs="Arial"/>
        </w:rPr>
        <w:t>T</w:t>
      </w:r>
      <w:r w:rsidR="00D653B9" w:rsidRPr="003C7547">
        <w:rPr>
          <w:rFonts w:ascii="Arial" w:hAnsi="Arial" w:cs="Arial"/>
        </w:rPr>
        <w:t>here</w:t>
      </w:r>
      <w:r w:rsidR="007709BB" w:rsidRPr="003C7547">
        <w:rPr>
          <w:rFonts w:ascii="Arial" w:hAnsi="Arial" w:cs="Arial"/>
        </w:rPr>
        <w:t xml:space="preserve"> was a s</w:t>
      </w:r>
      <w:r w:rsidR="009F7A6B" w:rsidRPr="003C7547">
        <w:rPr>
          <w:rFonts w:ascii="Arial" w:hAnsi="Arial" w:cs="Arial"/>
        </w:rPr>
        <w:t>ubstantial</w:t>
      </w:r>
      <w:r w:rsidR="007709BB" w:rsidRPr="003C7547">
        <w:rPr>
          <w:rFonts w:ascii="Arial" w:hAnsi="Arial" w:cs="Arial"/>
        </w:rPr>
        <w:t xml:space="preserve"> time period between onset of stroke and our evaluation by echocardiogram</w:t>
      </w:r>
      <w:r w:rsidR="001C18B1" w:rsidRPr="003C7547">
        <w:rPr>
          <w:rFonts w:ascii="Arial" w:hAnsi="Arial" w:cs="Arial"/>
        </w:rPr>
        <w:t xml:space="preserve"> in many patients</w:t>
      </w:r>
      <w:r w:rsidR="009F7A6B" w:rsidRPr="003C7547">
        <w:rPr>
          <w:rFonts w:ascii="Arial" w:hAnsi="Arial" w:cs="Arial"/>
        </w:rPr>
        <w:t xml:space="preserve"> (Table 1)</w:t>
      </w:r>
      <w:r w:rsidR="007709BB" w:rsidRPr="003C7547">
        <w:rPr>
          <w:rFonts w:ascii="Arial" w:hAnsi="Arial" w:cs="Arial"/>
        </w:rPr>
        <w:t>.  Autopsy studies show a decline in PFO prevalence with each decade</w:t>
      </w:r>
      <w:r w:rsidR="00CA755E" w:rsidRPr="003C7547">
        <w:rPr>
          <w:rFonts w:ascii="Arial" w:hAnsi="Arial" w:cs="Arial"/>
        </w:rPr>
        <w:t>,</w:t>
      </w:r>
      <w:r w:rsidR="00AC752B" w:rsidRPr="003C7547">
        <w:rPr>
          <w:rFonts w:ascii="Arial" w:hAnsi="Arial" w:cs="Arial"/>
        </w:rPr>
        <w:t xml:space="preserve"> (Hagen, et al., 1984) </w:t>
      </w:r>
      <w:r w:rsidR="007709BB" w:rsidRPr="003C7547">
        <w:rPr>
          <w:rFonts w:ascii="Arial" w:hAnsi="Arial" w:cs="Arial"/>
        </w:rPr>
        <w:t>so we may have underestimated the prevalence of intracardiac shunting at the time of stroke.</w:t>
      </w:r>
      <w:r w:rsidR="00AC752B" w:rsidRPr="003C7547">
        <w:rPr>
          <w:rFonts w:ascii="Arial" w:hAnsi="Arial" w:cs="Arial"/>
        </w:rPr>
        <w:t xml:space="preserve"> </w:t>
      </w:r>
      <w:r w:rsidR="007709BB" w:rsidRPr="003C7547">
        <w:rPr>
          <w:rFonts w:ascii="Arial" w:hAnsi="Arial" w:cs="Arial"/>
        </w:rPr>
        <w:t xml:space="preserve"> </w:t>
      </w:r>
      <w:r w:rsidR="003E4165" w:rsidRPr="003C7547">
        <w:rPr>
          <w:rFonts w:ascii="Arial" w:hAnsi="Arial" w:cs="Arial"/>
        </w:rPr>
        <w:t xml:space="preserve">However, </w:t>
      </w:r>
      <w:r w:rsidR="000F37FE" w:rsidRPr="003C7547">
        <w:rPr>
          <w:rFonts w:ascii="Arial" w:hAnsi="Arial" w:cs="Arial"/>
        </w:rPr>
        <w:t>our</w:t>
      </w:r>
      <w:r w:rsidR="003E4165" w:rsidRPr="003C7547">
        <w:rPr>
          <w:rFonts w:ascii="Arial" w:hAnsi="Arial" w:cs="Arial"/>
        </w:rPr>
        <w:t xml:space="preserve"> analysis found that age was not a predictor of “any shunting” or “</w:t>
      </w:r>
      <w:r w:rsidR="004270C9" w:rsidRPr="003C7547">
        <w:rPr>
          <w:rFonts w:ascii="Arial" w:hAnsi="Arial" w:cs="Arial"/>
        </w:rPr>
        <w:t>intra</w:t>
      </w:r>
      <w:r w:rsidR="003E4165" w:rsidRPr="003C7547">
        <w:rPr>
          <w:rFonts w:ascii="Arial" w:hAnsi="Arial" w:cs="Arial"/>
        </w:rPr>
        <w:t>pulmonary shunting” in our</w:t>
      </w:r>
      <w:r w:rsidR="00206086" w:rsidRPr="003C7547">
        <w:rPr>
          <w:rFonts w:ascii="Arial" w:hAnsi="Arial" w:cs="Arial"/>
        </w:rPr>
        <w:t xml:space="preserve"> study</w:t>
      </w:r>
      <w:r w:rsidR="003E4165" w:rsidRPr="003C7547">
        <w:rPr>
          <w:rFonts w:ascii="Arial" w:hAnsi="Arial" w:cs="Arial"/>
        </w:rPr>
        <w:t xml:space="preserve"> population.</w:t>
      </w:r>
      <w:r w:rsidR="007709BB" w:rsidRPr="003C7547">
        <w:rPr>
          <w:rFonts w:ascii="Arial" w:hAnsi="Arial" w:cs="Arial"/>
        </w:rPr>
        <w:t xml:space="preserve">  </w:t>
      </w:r>
      <w:r w:rsidR="00206086" w:rsidRPr="003C7547">
        <w:rPr>
          <w:rFonts w:ascii="Arial" w:hAnsi="Arial" w:cs="Arial"/>
        </w:rPr>
        <w:t>W</w:t>
      </w:r>
      <w:r w:rsidR="007709BB" w:rsidRPr="003C7547">
        <w:rPr>
          <w:rFonts w:ascii="Arial" w:hAnsi="Arial" w:cs="Arial"/>
        </w:rPr>
        <w:t xml:space="preserve">e </w:t>
      </w:r>
      <w:r w:rsidR="00206086" w:rsidRPr="003C7547">
        <w:rPr>
          <w:rFonts w:ascii="Arial" w:hAnsi="Arial" w:cs="Arial"/>
        </w:rPr>
        <w:t xml:space="preserve">also </w:t>
      </w:r>
      <w:r w:rsidR="007709BB" w:rsidRPr="003C7547">
        <w:rPr>
          <w:rFonts w:ascii="Arial" w:hAnsi="Arial" w:cs="Arial"/>
        </w:rPr>
        <w:t xml:space="preserve">did not </w:t>
      </w:r>
      <w:r w:rsidR="009F7A6B" w:rsidRPr="003C7547">
        <w:rPr>
          <w:rFonts w:ascii="Arial" w:hAnsi="Arial" w:cs="Arial"/>
        </w:rPr>
        <w:t xml:space="preserve">statistically </w:t>
      </w:r>
      <w:r w:rsidR="007709BB" w:rsidRPr="003C7547">
        <w:rPr>
          <w:rFonts w:ascii="Arial" w:hAnsi="Arial" w:cs="Arial"/>
        </w:rPr>
        <w:t>correct for multiple comparisons in our analysis of clinical and laboratory factors associated</w:t>
      </w:r>
      <w:r w:rsidR="003E4165" w:rsidRPr="003C7547">
        <w:rPr>
          <w:rFonts w:ascii="Arial" w:hAnsi="Arial" w:cs="Arial"/>
        </w:rPr>
        <w:t xml:space="preserve"> with shunting.  T</w:t>
      </w:r>
      <w:r w:rsidR="007709BB" w:rsidRPr="003C7547">
        <w:rPr>
          <w:rFonts w:ascii="Arial" w:hAnsi="Arial" w:cs="Arial"/>
        </w:rPr>
        <w:t>he one factor we found to be significantly associated with shunting, namely headache at the time stroke onset, was also found in our pilot study</w:t>
      </w:r>
      <w:r w:rsidR="00AC752B" w:rsidRPr="003C7547">
        <w:rPr>
          <w:rFonts w:ascii="Arial" w:hAnsi="Arial" w:cs="Arial"/>
        </w:rPr>
        <w:t xml:space="preserve">, (Dowling, et al., </w:t>
      </w:r>
      <w:r w:rsidR="00AC752B" w:rsidRPr="003C7547">
        <w:rPr>
          <w:rFonts w:ascii="Arial" w:hAnsi="Arial" w:cs="Arial"/>
        </w:rPr>
        <w:lastRenderedPageBreak/>
        <w:t>2010)</w:t>
      </w:r>
      <w:r w:rsidR="00CA755E" w:rsidRPr="003C7547">
        <w:rPr>
          <w:rFonts w:ascii="Arial" w:hAnsi="Arial" w:cs="Arial"/>
        </w:rPr>
        <w:t xml:space="preserve"> </w:t>
      </w:r>
      <w:r w:rsidR="004B22A0" w:rsidRPr="003C7547">
        <w:rPr>
          <w:rFonts w:ascii="Arial" w:hAnsi="Arial" w:cs="Arial"/>
        </w:rPr>
        <w:t>and intracardiac shunting has been associated with migraine in adults</w:t>
      </w:r>
      <w:r w:rsidR="00AC752B" w:rsidRPr="003C7547">
        <w:rPr>
          <w:rFonts w:ascii="Arial" w:hAnsi="Arial" w:cs="Arial"/>
        </w:rPr>
        <w:t xml:space="preserve"> (Schwedt, et al., 2008).</w:t>
      </w:r>
    </w:p>
    <w:p w:rsidR="00EB1D34" w:rsidRPr="003C7547" w:rsidRDefault="00C37776" w:rsidP="003E4496">
      <w:pPr>
        <w:spacing w:line="480" w:lineRule="auto"/>
        <w:rPr>
          <w:rFonts w:ascii="Arial" w:hAnsi="Arial" w:cs="Arial"/>
        </w:rPr>
      </w:pPr>
      <w:r w:rsidRPr="003C7547">
        <w:rPr>
          <w:rFonts w:ascii="Arial" w:hAnsi="Arial" w:cs="Arial"/>
        </w:rPr>
        <w:t xml:space="preserve">There are clearly multiple independent risk factors for stroke in SCA, including vasculopathy, </w:t>
      </w:r>
      <w:r w:rsidR="00EB1D34" w:rsidRPr="003C7547">
        <w:rPr>
          <w:rFonts w:ascii="Arial" w:hAnsi="Arial" w:cs="Arial"/>
        </w:rPr>
        <w:t>anemia (</w:t>
      </w:r>
      <w:r w:rsidR="00FE61BA" w:rsidRPr="003C7547">
        <w:rPr>
          <w:rFonts w:ascii="Arial" w:hAnsi="Arial" w:cs="Arial"/>
        </w:rPr>
        <w:t xml:space="preserve">acute </w:t>
      </w:r>
      <w:r w:rsidR="00EB1D34" w:rsidRPr="003C7547">
        <w:rPr>
          <w:rFonts w:ascii="Arial" w:hAnsi="Arial" w:cs="Arial"/>
        </w:rPr>
        <w:t>and chronic)</w:t>
      </w:r>
      <w:r w:rsidR="00FE61BA" w:rsidRPr="003C7547">
        <w:rPr>
          <w:rFonts w:ascii="Arial" w:hAnsi="Arial" w:cs="Arial"/>
        </w:rPr>
        <w:t>, and antecedent medical events, among others</w:t>
      </w:r>
      <w:r w:rsidR="00684789" w:rsidRPr="003C7547">
        <w:rPr>
          <w:rFonts w:ascii="Arial" w:hAnsi="Arial" w:cs="Arial"/>
        </w:rPr>
        <w:t xml:space="preserve"> </w:t>
      </w:r>
      <w:r w:rsidR="00F32C71" w:rsidRPr="003C7547">
        <w:rPr>
          <w:rFonts w:ascii="Arial" w:hAnsi="Arial" w:cs="Arial"/>
        </w:rPr>
        <w:t>(Scothorn, et al., 2002; Kirkham, 2007; Quinn and Sargent, 2008; Dowling et al., 2012).</w:t>
      </w:r>
      <w:r w:rsidR="00FE61BA" w:rsidRPr="003C7547">
        <w:rPr>
          <w:rFonts w:ascii="Arial" w:hAnsi="Arial" w:cs="Arial"/>
        </w:rPr>
        <w:t xml:space="preserve"> In our study we did not stratify patients by these etiologies</w:t>
      </w:r>
      <w:r w:rsidR="00323D42" w:rsidRPr="003C7547">
        <w:rPr>
          <w:rFonts w:ascii="Arial" w:hAnsi="Arial" w:cs="Arial"/>
        </w:rPr>
        <w:t xml:space="preserve"> and MRI/A data was not included in our primary analysis. </w:t>
      </w:r>
      <w:r w:rsidR="00FE61BA" w:rsidRPr="003C7547">
        <w:rPr>
          <w:rFonts w:ascii="Arial" w:hAnsi="Arial" w:cs="Arial"/>
        </w:rPr>
        <w:t xml:space="preserve"> It is </w:t>
      </w:r>
      <w:r w:rsidR="00EB1D34" w:rsidRPr="003C7547">
        <w:rPr>
          <w:rFonts w:ascii="Arial" w:hAnsi="Arial" w:cs="Arial"/>
        </w:rPr>
        <w:t xml:space="preserve">possible </w:t>
      </w:r>
      <w:r w:rsidR="00FE61BA" w:rsidRPr="003C7547">
        <w:rPr>
          <w:rFonts w:ascii="Arial" w:hAnsi="Arial" w:cs="Arial"/>
        </w:rPr>
        <w:t xml:space="preserve">that shunting may </w:t>
      </w:r>
      <w:r w:rsidR="00EB1D34" w:rsidRPr="003C7547">
        <w:rPr>
          <w:rFonts w:ascii="Arial" w:hAnsi="Arial" w:cs="Arial"/>
        </w:rPr>
        <w:t>have</w:t>
      </w:r>
      <w:r w:rsidR="00FE61BA" w:rsidRPr="003C7547">
        <w:rPr>
          <w:rFonts w:ascii="Arial" w:hAnsi="Arial" w:cs="Arial"/>
        </w:rPr>
        <w:t xml:space="preserve"> a</w:t>
      </w:r>
      <w:r w:rsidR="00EB1D34" w:rsidRPr="003C7547">
        <w:rPr>
          <w:rFonts w:ascii="Arial" w:hAnsi="Arial" w:cs="Arial"/>
        </w:rPr>
        <w:t xml:space="preserve"> pathologic</w:t>
      </w:r>
      <w:r w:rsidR="00FE61BA" w:rsidRPr="003C7547">
        <w:rPr>
          <w:rFonts w:ascii="Arial" w:hAnsi="Arial" w:cs="Arial"/>
        </w:rPr>
        <w:t xml:space="preserve"> role in speci</w:t>
      </w:r>
      <w:r w:rsidR="00323D42" w:rsidRPr="003C7547">
        <w:rPr>
          <w:rFonts w:ascii="Arial" w:hAnsi="Arial" w:cs="Arial"/>
        </w:rPr>
        <w:t>fic stroke subtypes</w:t>
      </w:r>
      <w:r w:rsidR="00EB1D34" w:rsidRPr="003C7547">
        <w:rPr>
          <w:rFonts w:ascii="Arial" w:hAnsi="Arial" w:cs="Arial"/>
        </w:rPr>
        <w:t>. O</w:t>
      </w:r>
      <w:r w:rsidR="00323D42" w:rsidRPr="003C7547">
        <w:rPr>
          <w:rFonts w:ascii="Arial" w:hAnsi="Arial" w:cs="Arial"/>
        </w:rPr>
        <w:t xml:space="preserve">ur </w:t>
      </w:r>
      <w:r w:rsidR="00071234" w:rsidRPr="003C7547">
        <w:rPr>
          <w:rFonts w:ascii="Arial" w:hAnsi="Arial" w:cs="Arial"/>
        </w:rPr>
        <w:t>observations</w:t>
      </w:r>
      <w:r w:rsidR="00B91025" w:rsidRPr="003C7547">
        <w:rPr>
          <w:rFonts w:ascii="Arial" w:hAnsi="Arial" w:cs="Arial"/>
        </w:rPr>
        <w:t>,</w:t>
      </w:r>
      <w:r w:rsidR="00FE61BA" w:rsidRPr="003C7547">
        <w:rPr>
          <w:rFonts w:ascii="Arial" w:hAnsi="Arial" w:cs="Arial"/>
        </w:rPr>
        <w:t xml:space="preserve"> and recent studies in adults</w:t>
      </w:r>
      <w:r w:rsidR="00323D42" w:rsidRPr="003C7547">
        <w:rPr>
          <w:rFonts w:ascii="Arial" w:hAnsi="Arial" w:cs="Arial"/>
        </w:rPr>
        <w:t xml:space="preserve"> with SCA</w:t>
      </w:r>
      <w:r w:rsidR="00D653B9" w:rsidRPr="003C7547">
        <w:rPr>
          <w:rFonts w:ascii="Arial" w:hAnsi="Arial" w:cs="Arial"/>
        </w:rPr>
        <w:t xml:space="preserve"> </w:t>
      </w:r>
      <w:r w:rsidR="00FE61BA" w:rsidRPr="003C7547">
        <w:rPr>
          <w:rFonts w:ascii="Arial" w:hAnsi="Arial" w:cs="Arial"/>
        </w:rPr>
        <w:t>showing a high prevalence of cardioembolic etiologies for stroke</w:t>
      </w:r>
      <w:r w:rsidR="00F32C71" w:rsidRPr="003C7547">
        <w:rPr>
          <w:rFonts w:ascii="Arial" w:hAnsi="Arial" w:cs="Arial"/>
        </w:rPr>
        <w:t xml:space="preserve"> (Calvet, et al., 2015) </w:t>
      </w:r>
      <w:r w:rsidR="00FE61BA" w:rsidRPr="003C7547">
        <w:rPr>
          <w:rFonts w:ascii="Arial" w:hAnsi="Arial" w:cs="Arial"/>
        </w:rPr>
        <w:t>support paradoxical emboliz</w:t>
      </w:r>
      <w:r w:rsidR="00D653B9" w:rsidRPr="003C7547">
        <w:rPr>
          <w:rFonts w:ascii="Arial" w:hAnsi="Arial" w:cs="Arial"/>
        </w:rPr>
        <w:t>ation via RLS</w:t>
      </w:r>
      <w:r w:rsidR="00FE61BA" w:rsidRPr="003C7547">
        <w:rPr>
          <w:rFonts w:ascii="Arial" w:hAnsi="Arial" w:cs="Arial"/>
        </w:rPr>
        <w:t xml:space="preserve"> </w:t>
      </w:r>
      <w:r w:rsidR="00EB1D34" w:rsidRPr="003C7547">
        <w:rPr>
          <w:rFonts w:ascii="Arial" w:hAnsi="Arial" w:cs="Arial"/>
        </w:rPr>
        <w:t xml:space="preserve">as a possible cause of </w:t>
      </w:r>
      <w:r w:rsidR="00390D03" w:rsidRPr="003C7547">
        <w:rPr>
          <w:rFonts w:ascii="Arial" w:hAnsi="Arial" w:cs="Arial"/>
        </w:rPr>
        <w:t xml:space="preserve">stroke in children with SCA.  </w:t>
      </w:r>
    </w:p>
    <w:p w:rsidR="00CE0122" w:rsidRPr="003C7547" w:rsidRDefault="009F3B4B" w:rsidP="003E4496">
      <w:pPr>
        <w:spacing w:line="480" w:lineRule="auto"/>
        <w:rPr>
          <w:rFonts w:ascii="Arial" w:hAnsi="Arial" w:cs="Arial"/>
        </w:rPr>
      </w:pPr>
      <w:r w:rsidRPr="003C7547">
        <w:rPr>
          <w:rFonts w:ascii="Arial" w:hAnsi="Arial" w:cs="Arial"/>
        </w:rPr>
        <w:t xml:space="preserve">In summary, </w:t>
      </w:r>
      <w:r w:rsidR="00071234" w:rsidRPr="003C7547">
        <w:rPr>
          <w:rFonts w:ascii="Arial" w:hAnsi="Arial" w:cs="Arial"/>
        </w:rPr>
        <w:t xml:space="preserve">potential </w:t>
      </w:r>
      <w:r w:rsidRPr="003C7547">
        <w:rPr>
          <w:rFonts w:ascii="Arial" w:hAnsi="Arial" w:cs="Arial"/>
        </w:rPr>
        <w:t xml:space="preserve">right-to-left shunting </w:t>
      </w:r>
      <w:r w:rsidR="00FC49F4" w:rsidRPr="003C7547">
        <w:rPr>
          <w:rFonts w:ascii="Arial" w:hAnsi="Arial" w:cs="Arial"/>
        </w:rPr>
        <w:t xml:space="preserve">is common </w:t>
      </w:r>
      <w:r w:rsidRPr="003C7547">
        <w:rPr>
          <w:rFonts w:ascii="Arial" w:hAnsi="Arial" w:cs="Arial"/>
        </w:rPr>
        <w:t xml:space="preserve">in children with SCA and stroke. </w:t>
      </w:r>
      <w:r w:rsidR="00FC49F4" w:rsidRPr="003C7547">
        <w:rPr>
          <w:rFonts w:ascii="Arial" w:hAnsi="Arial" w:cs="Arial"/>
        </w:rPr>
        <w:t xml:space="preserve">We recommend that all children with SCA and stroke be evaluated </w:t>
      </w:r>
      <w:r w:rsidR="00071234" w:rsidRPr="003C7547">
        <w:rPr>
          <w:rFonts w:ascii="Arial" w:hAnsi="Arial" w:cs="Arial"/>
        </w:rPr>
        <w:t xml:space="preserve">by contrasted </w:t>
      </w:r>
      <w:r w:rsidR="00FC49F4" w:rsidRPr="003C7547">
        <w:rPr>
          <w:rFonts w:ascii="Arial" w:hAnsi="Arial" w:cs="Arial"/>
        </w:rPr>
        <w:t>echocardiography, especially those who have headache at</w:t>
      </w:r>
      <w:r w:rsidR="008F72F7" w:rsidRPr="003C7547">
        <w:rPr>
          <w:rFonts w:ascii="Arial" w:hAnsi="Arial" w:cs="Arial"/>
        </w:rPr>
        <w:t xml:space="preserve"> </w:t>
      </w:r>
      <w:r w:rsidR="00FC49F4" w:rsidRPr="003C7547">
        <w:rPr>
          <w:rFonts w:ascii="Arial" w:hAnsi="Arial" w:cs="Arial"/>
        </w:rPr>
        <w:t>onset</w:t>
      </w:r>
      <w:r w:rsidR="008F72F7" w:rsidRPr="003C7547">
        <w:rPr>
          <w:rFonts w:ascii="Arial" w:hAnsi="Arial" w:cs="Arial"/>
        </w:rPr>
        <w:t xml:space="preserve">. </w:t>
      </w:r>
      <w:r w:rsidR="00FC49F4" w:rsidRPr="003C7547">
        <w:rPr>
          <w:rFonts w:ascii="Arial" w:hAnsi="Arial" w:cs="Arial"/>
        </w:rPr>
        <w:t xml:space="preserve"> </w:t>
      </w:r>
      <w:r w:rsidR="00071234" w:rsidRPr="003C7547">
        <w:rPr>
          <w:rFonts w:ascii="Arial" w:hAnsi="Arial" w:cs="Arial"/>
        </w:rPr>
        <w:t xml:space="preserve"> </w:t>
      </w:r>
      <w:r w:rsidR="004270C9" w:rsidRPr="003C7547">
        <w:rPr>
          <w:rFonts w:ascii="Arial" w:hAnsi="Arial" w:cs="Arial"/>
        </w:rPr>
        <w:t>We propose that intracardiac and int</w:t>
      </w:r>
      <w:r w:rsidRPr="003C7547">
        <w:rPr>
          <w:rFonts w:ascii="Arial" w:hAnsi="Arial" w:cs="Arial"/>
        </w:rPr>
        <w:t xml:space="preserve">rapulmonary right-to-left shunting </w:t>
      </w:r>
      <w:r w:rsidR="00FC49F4" w:rsidRPr="003C7547">
        <w:rPr>
          <w:rFonts w:ascii="Arial" w:hAnsi="Arial" w:cs="Arial"/>
        </w:rPr>
        <w:t>is</w:t>
      </w:r>
      <w:r w:rsidRPr="003C7547">
        <w:rPr>
          <w:rFonts w:ascii="Arial" w:hAnsi="Arial" w:cs="Arial"/>
        </w:rPr>
        <w:t xml:space="preserve"> an overlooked, independent, and potentially modifiable risk factor for stroke in children with SCA.</w:t>
      </w:r>
      <w:r w:rsidR="00071234" w:rsidRPr="003C7547">
        <w:rPr>
          <w:rFonts w:ascii="Arial" w:hAnsi="Arial" w:cs="Arial"/>
        </w:rPr>
        <w:t xml:space="preserve"> </w:t>
      </w:r>
      <w:r w:rsidRPr="003C7547">
        <w:rPr>
          <w:rFonts w:ascii="Arial" w:hAnsi="Arial" w:cs="Arial"/>
        </w:rPr>
        <w:t xml:space="preserve"> </w:t>
      </w:r>
      <w:r w:rsidR="00FC49F4" w:rsidRPr="003C7547">
        <w:rPr>
          <w:rFonts w:ascii="Arial" w:hAnsi="Arial" w:cs="Arial"/>
        </w:rPr>
        <w:t>In addition to chronic transfusion</w:t>
      </w:r>
      <w:r w:rsidR="006A569C" w:rsidRPr="003C7547">
        <w:rPr>
          <w:rFonts w:ascii="Arial" w:hAnsi="Arial" w:cs="Arial"/>
        </w:rPr>
        <w:t xml:space="preserve"> or hydroxyurea</w:t>
      </w:r>
      <w:r w:rsidR="00FC49F4" w:rsidRPr="003C7547">
        <w:rPr>
          <w:rFonts w:ascii="Arial" w:hAnsi="Arial" w:cs="Arial"/>
        </w:rPr>
        <w:t xml:space="preserve"> therapy, additional methods to prevent stroke, such as anti-platelet therapy</w:t>
      </w:r>
      <w:r w:rsidR="00B411BA" w:rsidRPr="003C7547">
        <w:rPr>
          <w:rFonts w:ascii="Arial" w:hAnsi="Arial" w:cs="Arial"/>
        </w:rPr>
        <w:t>, anticoagulation,</w:t>
      </w:r>
      <w:r w:rsidR="00FC49F4" w:rsidRPr="003C7547">
        <w:rPr>
          <w:rFonts w:ascii="Arial" w:hAnsi="Arial" w:cs="Arial"/>
        </w:rPr>
        <w:t xml:space="preserve"> or shunt closure, need to be studied in children with SCA</w:t>
      </w:r>
      <w:r w:rsidR="00C95D2E" w:rsidRPr="003C7547">
        <w:rPr>
          <w:rFonts w:ascii="Arial" w:hAnsi="Arial" w:cs="Arial"/>
        </w:rPr>
        <w:t>.</w:t>
      </w:r>
    </w:p>
    <w:p w:rsidR="006559C8" w:rsidRPr="003C7547" w:rsidRDefault="006559C8" w:rsidP="003E4496">
      <w:pPr>
        <w:spacing w:line="480" w:lineRule="auto"/>
        <w:rPr>
          <w:rFonts w:ascii="Arial" w:hAnsi="Arial" w:cs="Arial"/>
          <w:b/>
        </w:rPr>
      </w:pPr>
      <w:r w:rsidRPr="003C7547">
        <w:rPr>
          <w:rFonts w:ascii="Arial" w:hAnsi="Arial" w:cs="Arial"/>
          <w:b/>
        </w:rPr>
        <w:t>Acknowledgements</w:t>
      </w:r>
    </w:p>
    <w:p w:rsidR="00FF07BC" w:rsidRPr="003C7547" w:rsidRDefault="00FF07BC" w:rsidP="003E4496">
      <w:pPr>
        <w:pStyle w:val="NormalWeb"/>
        <w:spacing w:before="0" w:beforeAutospacing="0" w:after="0" w:afterAutospacing="0" w:line="480" w:lineRule="auto"/>
        <w:jc w:val="both"/>
        <w:textAlignment w:val="baseline"/>
        <w:rPr>
          <w:sz w:val="22"/>
          <w:szCs w:val="22"/>
        </w:rPr>
      </w:pPr>
      <w:r w:rsidRPr="003C7547">
        <w:rPr>
          <w:rFonts w:ascii="Arial" w:eastAsiaTheme="minorEastAsia" w:hAnsi="Arial" w:cstheme="minorBidi"/>
          <w:kern w:val="24"/>
          <w:sz w:val="22"/>
          <w:szCs w:val="22"/>
        </w:rPr>
        <w:t>This study was funded by an “Innovations in Clinical Research Award” and</w:t>
      </w:r>
      <w:r w:rsidR="003F6ADA" w:rsidRPr="003C7547">
        <w:rPr>
          <w:rFonts w:ascii="Arial" w:eastAsiaTheme="minorEastAsia" w:hAnsi="Arial" w:cstheme="minorBidi"/>
          <w:kern w:val="24"/>
          <w:sz w:val="22"/>
          <w:szCs w:val="22"/>
        </w:rPr>
        <w:t xml:space="preserve"> a</w:t>
      </w:r>
      <w:r w:rsidRPr="003C7547">
        <w:rPr>
          <w:rFonts w:ascii="Arial" w:eastAsiaTheme="minorEastAsia" w:hAnsi="Arial" w:cstheme="minorBidi"/>
          <w:kern w:val="24"/>
          <w:sz w:val="22"/>
          <w:szCs w:val="22"/>
        </w:rPr>
        <w:t xml:space="preserve"> supplemental </w:t>
      </w:r>
      <w:r w:rsidR="003F6ADA" w:rsidRPr="003C7547">
        <w:rPr>
          <w:rFonts w:ascii="Arial" w:eastAsiaTheme="minorEastAsia" w:hAnsi="Arial" w:cstheme="minorBidi"/>
          <w:kern w:val="24"/>
          <w:sz w:val="22"/>
          <w:szCs w:val="22"/>
        </w:rPr>
        <w:t>research grant</w:t>
      </w:r>
      <w:r w:rsidRPr="003C7547">
        <w:rPr>
          <w:rFonts w:ascii="Arial" w:eastAsiaTheme="minorEastAsia" w:hAnsi="Arial" w:cstheme="minorBidi"/>
          <w:kern w:val="24"/>
          <w:sz w:val="22"/>
          <w:szCs w:val="22"/>
        </w:rPr>
        <w:t xml:space="preserve"> from the Doris Duke Charitable Foundation (MMD) with additional support from the Children's Clinical Research Advisory Committee and the Women’s Auxiliary to Children’s Medical Center.  </w:t>
      </w:r>
      <w:r w:rsidR="00EC30F5" w:rsidRPr="003C7547">
        <w:rPr>
          <w:rFonts w:ascii="Arial" w:eastAsiaTheme="minorEastAsia" w:hAnsi="Arial" w:cstheme="minorBidi"/>
          <w:kern w:val="24"/>
          <w:sz w:val="22"/>
          <w:szCs w:val="22"/>
        </w:rPr>
        <w:t xml:space="preserve">Research reported in this publication was supported by the National Center for Advancing Translational Sciences of the National Institutes of Health under award number UL1TR000003. The content is solely the responsibility of the authors and does not necessarily </w:t>
      </w:r>
      <w:r w:rsidR="00EC30F5" w:rsidRPr="003C7547">
        <w:rPr>
          <w:rFonts w:ascii="Arial" w:eastAsiaTheme="minorEastAsia" w:hAnsi="Arial" w:cstheme="minorBidi"/>
          <w:kern w:val="24"/>
          <w:sz w:val="22"/>
          <w:szCs w:val="22"/>
        </w:rPr>
        <w:lastRenderedPageBreak/>
        <w:t>represent the official views of the National Institutes of Health.</w:t>
      </w:r>
      <w:r w:rsidR="006D05E6" w:rsidRPr="003C7547">
        <w:rPr>
          <w:rFonts w:ascii="Arial" w:eastAsiaTheme="minorEastAsia" w:hAnsi="Arial" w:cstheme="minorBidi"/>
          <w:kern w:val="24"/>
          <w:sz w:val="22"/>
          <w:szCs w:val="22"/>
        </w:rPr>
        <w:t xml:space="preserve">  We would like to thank George Buchanan, MD, Zora Rogers, MD, and Milton Packer, MD for their contributions to this project.</w:t>
      </w:r>
    </w:p>
    <w:p w:rsidR="00F308D3" w:rsidRPr="003C7547" w:rsidRDefault="00F308D3" w:rsidP="003E4496">
      <w:pPr>
        <w:spacing w:line="480" w:lineRule="auto"/>
        <w:rPr>
          <w:rFonts w:ascii="Arial" w:hAnsi="Arial" w:cs="Arial"/>
        </w:rPr>
      </w:pPr>
    </w:p>
    <w:p w:rsidR="00FC49F4" w:rsidRPr="003C7547" w:rsidRDefault="00FC49F4" w:rsidP="006559C8">
      <w:pPr>
        <w:rPr>
          <w:rFonts w:ascii="Arial" w:hAnsi="Arial" w:cs="Arial"/>
          <w:b/>
        </w:rPr>
      </w:pPr>
      <w:r w:rsidRPr="003C7547">
        <w:rPr>
          <w:rFonts w:ascii="Arial" w:hAnsi="Arial" w:cs="Arial"/>
          <w:b/>
        </w:rPr>
        <w:t>Sites</w:t>
      </w:r>
      <w:r w:rsidR="00E4796A" w:rsidRPr="003C7547">
        <w:rPr>
          <w:rFonts w:ascii="Arial" w:hAnsi="Arial" w:cs="Arial"/>
          <w:b/>
        </w:rPr>
        <w:t xml:space="preserve"> and Collaborators</w:t>
      </w:r>
      <w:r w:rsidRPr="003C7547">
        <w:rPr>
          <w:rFonts w:ascii="Arial" w:hAnsi="Arial" w:cs="Arial"/>
          <w:b/>
        </w:rPr>
        <w:t>:</w:t>
      </w:r>
    </w:p>
    <w:p w:rsidR="00E4796A" w:rsidRPr="003C7547" w:rsidRDefault="00E4796A" w:rsidP="006559C8">
      <w:pPr>
        <w:rPr>
          <w:rFonts w:ascii="Arial" w:hAnsi="Arial" w:cs="Arial"/>
        </w:rPr>
      </w:pPr>
      <w:r w:rsidRPr="003C7547">
        <w:rPr>
          <w:rFonts w:ascii="Arial" w:hAnsi="Arial" w:cs="Arial"/>
        </w:rPr>
        <w:t>UT Southwes</w:t>
      </w:r>
      <w:r w:rsidR="00195D64" w:rsidRPr="003C7547">
        <w:rPr>
          <w:rFonts w:ascii="Arial" w:hAnsi="Arial" w:cs="Arial"/>
        </w:rPr>
        <w:t>tern Medical Center, Dallas, TX:</w:t>
      </w:r>
      <w:r w:rsidRPr="003C7547">
        <w:rPr>
          <w:rFonts w:ascii="Arial" w:hAnsi="Arial" w:cs="Arial"/>
        </w:rPr>
        <w:t xml:space="preserve">  Michael </w:t>
      </w:r>
      <w:r w:rsidR="00306410" w:rsidRPr="003C7547">
        <w:rPr>
          <w:rFonts w:ascii="Arial" w:hAnsi="Arial" w:cs="Arial"/>
        </w:rPr>
        <w:t xml:space="preserve"> M </w:t>
      </w:r>
      <w:r w:rsidR="008E7AA0" w:rsidRPr="003C7547">
        <w:rPr>
          <w:rFonts w:ascii="Arial" w:hAnsi="Arial" w:cs="Arial"/>
        </w:rPr>
        <w:t xml:space="preserve">Dowling, MD, PhD, MSCS; </w:t>
      </w:r>
      <w:r w:rsidRPr="003C7547">
        <w:rPr>
          <w:rFonts w:ascii="Arial" w:hAnsi="Arial" w:cs="Arial"/>
        </w:rPr>
        <w:t xml:space="preserve"> Patricia</w:t>
      </w:r>
      <w:r w:rsidR="00306410" w:rsidRPr="003C7547">
        <w:rPr>
          <w:rFonts w:ascii="Arial" w:hAnsi="Arial" w:cs="Arial"/>
        </w:rPr>
        <w:t xml:space="preserve"> A</w:t>
      </w:r>
      <w:r w:rsidRPr="003C7547">
        <w:rPr>
          <w:rFonts w:ascii="Arial" w:hAnsi="Arial" w:cs="Arial"/>
        </w:rPr>
        <w:t xml:space="preserve"> Plumb, RN, MSN</w:t>
      </w:r>
      <w:r w:rsidR="008E7AA0" w:rsidRPr="003C7547">
        <w:rPr>
          <w:rFonts w:ascii="Arial" w:hAnsi="Arial" w:cs="Arial"/>
        </w:rPr>
        <w:t>;</w:t>
      </w:r>
      <w:r w:rsidRPr="003C7547">
        <w:rPr>
          <w:rFonts w:ascii="Arial" w:hAnsi="Arial" w:cs="Arial"/>
        </w:rPr>
        <w:t xml:space="preserve"> Claudio Ramaciotti, MD</w:t>
      </w:r>
      <w:r w:rsidR="00717480" w:rsidRPr="003C7547">
        <w:rPr>
          <w:rFonts w:ascii="Arial" w:hAnsi="Arial" w:cs="Arial"/>
        </w:rPr>
        <w:t>; Linda</w:t>
      </w:r>
      <w:r w:rsidR="00653EA6" w:rsidRPr="003C7547">
        <w:rPr>
          <w:rFonts w:ascii="Arial" w:hAnsi="Arial" w:cs="Arial"/>
        </w:rPr>
        <w:t xml:space="preserve"> S</w:t>
      </w:r>
      <w:r w:rsidR="00717480" w:rsidRPr="003C7547">
        <w:rPr>
          <w:rFonts w:ascii="Arial" w:hAnsi="Arial" w:cs="Arial"/>
        </w:rPr>
        <w:t xml:space="preserve"> Hynan, PhD</w:t>
      </w:r>
    </w:p>
    <w:p w:rsidR="00E4796A" w:rsidRPr="003C7547" w:rsidRDefault="00E4796A" w:rsidP="006559C8">
      <w:pPr>
        <w:rPr>
          <w:rFonts w:ascii="Arial" w:hAnsi="Arial" w:cs="Arial"/>
        </w:rPr>
      </w:pPr>
      <w:r w:rsidRPr="003C7547">
        <w:rPr>
          <w:rFonts w:ascii="Arial" w:hAnsi="Arial" w:cs="Arial"/>
        </w:rPr>
        <w:t>Tulane Medical Center, New Orleans, LA:  Julie Kanter</w:t>
      </w:r>
      <w:r w:rsidR="008E7AA0" w:rsidRPr="003C7547">
        <w:rPr>
          <w:rFonts w:ascii="Arial" w:hAnsi="Arial" w:cs="Arial"/>
        </w:rPr>
        <w:t>, MD;</w:t>
      </w:r>
      <w:r w:rsidRPr="003C7547">
        <w:rPr>
          <w:rFonts w:ascii="Arial" w:hAnsi="Arial" w:cs="Arial"/>
        </w:rPr>
        <w:t xml:space="preserve"> Melody S. Benton</w:t>
      </w:r>
    </w:p>
    <w:p w:rsidR="00E4796A" w:rsidRPr="003C7547" w:rsidRDefault="00B411BA" w:rsidP="00E4796A">
      <w:pPr>
        <w:rPr>
          <w:rFonts w:ascii="Arial" w:hAnsi="Arial" w:cs="Arial"/>
        </w:rPr>
      </w:pPr>
      <w:r w:rsidRPr="003C7547">
        <w:rPr>
          <w:rFonts w:ascii="Arial" w:hAnsi="Arial" w:cs="Arial"/>
        </w:rPr>
        <w:t xml:space="preserve">Emory University Department of Pediatrics, </w:t>
      </w:r>
      <w:r w:rsidR="00E4796A" w:rsidRPr="003C7547">
        <w:rPr>
          <w:rFonts w:ascii="Arial" w:hAnsi="Arial" w:cs="Arial"/>
        </w:rPr>
        <w:t>Children's Hospital of Atlanta, Atlanta, GA</w:t>
      </w:r>
      <w:r w:rsidR="00195D64" w:rsidRPr="003C7547">
        <w:rPr>
          <w:rFonts w:ascii="Arial" w:hAnsi="Arial" w:cs="Arial"/>
        </w:rPr>
        <w:t>:</w:t>
      </w:r>
      <w:r w:rsidR="00E4796A" w:rsidRPr="003C7547">
        <w:rPr>
          <w:rFonts w:ascii="Arial" w:hAnsi="Arial" w:cs="Arial"/>
        </w:rPr>
        <w:t xml:space="preserve">  Ifeyinwa Osunkwo, MD</w:t>
      </w:r>
      <w:r w:rsidRPr="003C7547">
        <w:rPr>
          <w:rFonts w:ascii="Arial" w:hAnsi="Arial" w:cs="Arial"/>
        </w:rPr>
        <w:t>, MPH</w:t>
      </w:r>
      <w:r w:rsidR="00195D64" w:rsidRPr="003C7547">
        <w:rPr>
          <w:rFonts w:ascii="Arial" w:hAnsi="Arial" w:cs="Arial"/>
        </w:rPr>
        <w:t>;</w:t>
      </w:r>
      <w:r w:rsidR="00E4796A" w:rsidRPr="003C7547">
        <w:rPr>
          <w:rFonts w:ascii="Arial" w:hAnsi="Arial" w:cs="Arial"/>
        </w:rPr>
        <w:t xml:space="preserve"> Korin Cherry</w:t>
      </w:r>
      <w:r w:rsidRPr="003C7547">
        <w:rPr>
          <w:rFonts w:ascii="Arial" w:hAnsi="Arial" w:cs="Arial"/>
        </w:rPr>
        <w:t>, MPH</w:t>
      </w:r>
    </w:p>
    <w:p w:rsidR="00E4796A" w:rsidRPr="003C7547" w:rsidRDefault="00E4796A" w:rsidP="00E4796A">
      <w:pPr>
        <w:rPr>
          <w:rFonts w:ascii="Arial" w:hAnsi="Arial" w:cs="Arial"/>
        </w:rPr>
      </w:pPr>
      <w:r w:rsidRPr="003C7547">
        <w:rPr>
          <w:rFonts w:ascii="Arial" w:hAnsi="Arial" w:cs="Arial"/>
        </w:rPr>
        <w:t>Guy’s and St Thomas Hospit</w:t>
      </w:r>
      <w:r w:rsidR="00195D64" w:rsidRPr="003C7547">
        <w:rPr>
          <w:rFonts w:ascii="Arial" w:hAnsi="Arial" w:cs="Arial"/>
        </w:rPr>
        <w:t xml:space="preserve">al, London, UK:   Baba Inusa, </w:t>
      </w:r>
      <w:r w:rsidR="006D05E6" w:rsidRPr="003C7547">
        <w:rPr>
          <w:rFonts w:ascii="Arial" w:hAnsi="Arial" w:cs="Arial"/>
        </w:rPr>
        <w:t>MBBS, FMCPaed, FRCPCH, MRCP, DCP</w:t>
      </w:r>
      <w:r w:rsidR="00195D64" w:rsidRPr="003C7547">
        <w:rPr>
          <w:rFonts w:ascii="Arial" w:hAnsi="Arial" w:cs="Arial"/>
        </w:rPr>
        <w:t>;</w:t>
      </w:r>
      <w:r w:rsidRPr="003C7547">
        <w:rPr>
          <w:rFonts w:ascii="Arial" w:hAnsi="Arial" w:cs="Arial"/>
        </w:rPr>
        <w:t xml:space="preserve"> </w:t>
      </w:r>
      <w:r w:rsidR="006D05E6" w:rsidRPr="003C7547">
        <w:rPr>
          <w:rFonts w:ascii="Arial" w:hAnsi="Arial" w:cs="Arial"/>
        </w:rPr>
        <w:t xml:space="preserve">Nomazulu Dlamini </w:t>
      </w:r>
      <w:r w:rsidR="00B411BA" w:rsidRPr="003C7547">
        <w:rPr>
          <w:rFonts w:ascii="Arial" w:hAnsi="Arial" w:cs="Arial"/>
        </w:rPr>
        <w:t xml:space="preserve">MD, MRCPCH, </w:t>
      </w:r>
      <w:r w:rsidR="006D05E6" w:rsidRPr="003C7547">
        <w:rPr>
          <w:rFonts w:ascii="Arial" w:hAnsi="Arial" w:cs="Arial"/>
        </w:rPr>
        <w:t xml:space="preserve">MSc; </w:t>
      </w:r>
      <w:r w:rsidRPr="003C7547">
        <w:rPr>
          <w:rFonts w:ascii="Arial" w:hAnsi="Arial" w:cs="Arial"/>
        </w:rPr>
        <w:t>Sharon Ndoro, RN</w:t>
      </w:r>
      <w:r w:rsidR="00B411BA" w:rsidRPr="003C7547">
        <w:rPr>
          <w:rFonts w:ascii="Arial" w:hAnsi="Arial" w:cs="Arial"/>
        </w:rPr>
        <w:t>;</w:t>
      </w:r>
      <w:r w:rsidR="00A05445" w:rsidRPr="003C7547">
        <w:rPr>
          <w:rFonts w:ascii="Arial" w:hAnsi="Arial" w:cs="Arial"/>
        </w:rPr>
        <w:t xml:space="preserve"> </w:t>
      </w:r>
      <w:r w:rsidR="00B411BA" w:rsidRPr="003C7547">
        <w:rPr>
          <w:rFonts w:ascii="Arial" w:hAnsi="Arial" w:cs="Arial"/>
        </w:rPr>
        <w:t>Kuberan Pushparajah, MD</w:t>
      </w:r>
    </w:p>
    <w:p w:rsidR="00E4796A" w:rsidRPr="003C7547" w:rsidRDefault="00E4796A" w:rsidP="00E4796A">
      <w:pPr>
        <w:rPr>
          <w:rFonts w:ascii="Arial" w:hAnsi="Arial" w:cs="Arial"/>
        </w:rPr>
      </w:pPr>
      <w:r w:rsidRPr="003C7547">
        <w:rPr>
          <w:rFonts w:ascii="Arial" w:hAnsi="Arial" w:cs="Arial"/>
        </w:rPr>
        <w:t xml:space="preserve">University of Mississippi Medical </w:t>
      </w:r>
      <w:r w:rsidR="00717480" w:rsidRPr="003C7547">
        <w:rPr>
          <w:rFonts w:ascii="Arial" w:hAnsi="Arial" w:cs="Arial"/>
        </w:rPr>
        <w:t>C</w:t>
      </w:r>
      <w:r w:rsidRPr="003C7547">
        <w:rPr>
          <w:rFonts w:ascii="Arial" w:hAnsi="Arial" w:cs="Arial"/>
        </w:rPr>
        <w:t>enter</w:t>
      </w:r>
      <w:r w:rsidR="006B0129" w:rsidRPr="003C7547">
        <w:rPr>
          <w:rFonts w:ascii="Arial" w:hAnsi="Arial" w:cs="Arial"/>
        </w:rPr>
        <w:t>, Jackson, MS</w:t>
      </w:r>
      <w:r w:rsidR="00195D64" w:rsidRPr="003C7547">
        <w:rPr>
          <w:rFonts w:ascii="Arial" w:hAnsi="Arial" w:cs="Arial"/>
        </w:rPr>
        <w:t>:</w:t>
      </w:r>
      <w:r w:rsidR="006B0129" w:rsidRPr="003C7547">
        <w:rPr>
          <w:rFonts w:ascii="Arial" w:hAnsi="Arial" w:cs="Arial"/>
        </w:rPr>
        <w:t xml:space="preserve">   </w:t>
      </w:r>
      <w:r w:rsidRPr="003C7547">
        <w:rPr>
          <w:rFonts w:ascii="Arial" w:hAnsi="Arial" w:cs="Arial"/>
        </w:rPr>
        <w:t xml:space="preserve">Rathi </w:t>
      </w:r>
      <w:r w:rsidR="006B0129" w:rsidRPr="003C7547">
        <w:rPr>
          <w:rFonts w:ascii="Arial" w:hAnsi="Arial" w:cs="Arial"/>
        </w:rPr>
        <w:t>Iyer, MD; S</w:t>
      </w:r>
      <w:r w:rsidR="00195D64" w:rsidRPr="003C7547">
        <w:rPr>
          <w:rFonts w:ascii="Arial" w:hAnsi="Arial" w:cs="Arial"/>
        </w:rPr>
        <w:t>uvankar Majumder, MD;</w:t>
      </w:r>
      <w:r w:rsidR="006B0129" w:rsidRPr="003C7547">
        <w:rPr>
          <w:rFonts w:ascii="Arial" w:hAnsi="Arial" w:cs="Arial"/>
        </w:rPr>
        <w:t xml:space="preserve"> </w:t>
      </w:r>
      <w:r w:rsidRPr="003C7547">
        <w:rPr>
          <w:rFonts w:ascii="Arial" w:hAnsi="Arial" w:cs="Arial"/>
        </w:rPr>
        <w:t>Glenda O.Thomas</w:t>
      </w:r>
    </w:p>
    <w:p w:rsidR="00E4796A" w:rsidRPr="003C7547" w:rsidRDefault="006B0129" w:rsidP="00E4796A">
      <w:pPr>
        <w:rPr>
          <w:rFonts w:ascii="Arial" w:hAnsi="Arial" w:cs="Arial"/>
        </w:rPr>
      </w:pPr>
      <w:r w:rsidRPr="003C7547">
        <w:rPr>
          <w:rFonts w:ascii="Arial" w:hAnsi="Arial" w:cs="Arial"/>
        </w:rPr>
        <w:t>Children’s Hospital of Philadelphia, Philadelphia, PA</w:t>
      </w:r>
      <w:r w:rsidR="00195D64" w:rsidRPr="003C7547">
        <w:rPr>
          <w:rFonts w:ascii="Arial" w:hAnsi="Arial" w:cs="Arial"/>
        </w:rPr>
        <w:t>:</w:t>
      </w:r>
      <w:r w:rsidRPr="003C7547">
        <w:rPr>
          <w:rFonts w:ascii="Arial" w:hAnsi="Arial" w:cs="Arial"/>
        </w:rPr>
        <w:t xml:space="preserve">  </w:t>
      </w:r>
      <w:r w:rsidR="00E4796A" w:rsidRPr="003C7547">
        <w:rPr>
          <w:rFonts w:ascii="Arial" w:hAnsi="Arial" w:cs="Arial"/>
        </w:rPr>
        <w:t>Janet</w:t>
      </w:r>
      <w:r w:rsidR="004A75C8" w:rsidRPr="003C7547">
        <w:rPr>
          <w:rFonts w:ascii="Arial" w:hAnsi="Arial" w:cs="Arial"/>
        </w:rPr>
        <w:t xml:space="preserve"> L</w:t>
      </w:r>
      <w:r w:rsidR="00E4796A" w:rsidRPr="003C7547">
        <w:rPr>
          <w:rFonts w:ascii="Arial" w:hAnsi="Arial" w:cs="Arial"/>
        </w:rPr>
        <w:t xml:space="preserve"> Kwiatkowski, MD</w:t>
      </w:r>
      <w:r w:rsidR="00195D64" w:rsidRPr="003C7547">
        <w:rPr>
          <w:rFonts w:ascii="Arial" w:hAnsi="Arial" w:cs="Arial"/>
        </w:rPr>
        <w:t>;</w:t>
      </w:r>
      <w:r w:rsidRPr="003C7547">
        <w:rPr>
          <w:rFonts w:ascii="Arial" w:hAnsi="Arial" w:cs="Arial"/>
        </w:rPr>
        <w:t xml:space="preserve"> </w:t>
      </w:r>
      <w:r w:rsidR="00A05445" w:rsidRPr="003C7547">
        <w:rPr>
          <w:rFonts w:ascii="Arial" w:hAnsi="Arial" w:cs="Arial"/>
        </w:rPr>
        <w:t xml:space="preserve">Hannah Ware; </w:t>
      </w:r>
      <w:r w:rsidR="00E4796A" w:rsidRPr="003C7547">
        <w:rPr>
          <w:rFonts w:ascii="Arial" w:hAnsi="Arial" w:cs="Arial"/>
        </w:rPr>
        <w:t>Helen Stanley</w:t>
      </w:r>
    </w:p>
    <w:p w:rsidR="00E4796A" w:rsidRPr="003C7547" w:rsidRDefault="00E4796A" w:rsidP="00E4796A">
      <w:pPr>
        <w:rPr>
          <w:rFonts w:ascii="Arial" w:hAnsi="Arial" w:cs="Arial"/>
        </w:rPr>
      </w:pPr>
      <w:r w:rsidRPr="003C7547">
        <w:rPr>
          <w:rFonts w:ascii="Arial" w:hAnsi="Arial" w:cs="Arial"/>
        </w:rPr>
        <w:t>Cook Children's Health Care System</w:t>
      </w:r>
      <w:r w:rsidR="006B0129" w:rsidRPr="003C7547">
        <w:rPr>
          <w:rFonts w:ascii="Arial" w:hAnsi="Arial" w:cs="Arial"/>
        </w:rPr>
        <w:t>, Ft. Worth, TX</w:t>
      </w:r>
      <w:r w:rsidR="00195D64" w:rsidRPr="003C7547">
        <w:rPr>
          <w:rFonts w:ascii="Arial" w:hAnsi="Arial" w:cs="Arial"/>
        </w:rPr>
        <w:t>:</w:t>
      </w:r>
      <w:r w:rsidR="006B0129" w:rsidRPr="003C7547">
        <w:rPr>
          <w:rFonts w:ascii="Arial" w:hAnsi="Arial" w:cs="Arial"/>
        </w:rPr>
        <w:t xml:space="preserve">  </w:t>
      </w:r>
      <w:r w:rsidRPr="003C7547">
        <w:rPr>
          <w:rFonts w:ascii="Arial" w:hAnsi="Arial" w:cs="Arial"/>
        </w:rPr>
        <w:t>Clarissa Johnson, MD</w:t>
      </w:r>
      <w:r w:rsidR="00195D64" w:rsidRPr="003C7547">
        <w:rPr>
          <w:rFonts w:ascii="Arial" w:hAnsi="Arial" w:cs="Arial"/>
        </w:rPr>
        <w:t>;</w:t>
      </w:r>
      <w:r w:rsidR="006B0129" w:rsidRPr="003C7547">
        <w:rPr>
          <w:rFonts w:ascii="Arial" w:hAnsi="Arial" w:cs="Arial"/>
        </w:rPr>
        <w:t xml:space="preserve">  </w:t>
      </w:r>
      <w:r w:rsidRPr="003C7547">
        <w:rPr>
          <w:rFonts w:ascii="Arial" w:hAnsi="Arial" w:cs="Arial"/>
        </w:rPr>
        <w:t>Alane Wh</w:t>
      </w:r>
      <w:r w:rsidR="006B0129" w:rsidRPr="003C7547">
        <w:rPr>
          <w:rFonts w:ascii="Arial" w:hAnsi="Arial" w:cs="Arial"/>
        </w:rPr>
        <w:t>aley-Deshotels RN</w:t>
      </w:r>
      <w:r w:rsidR="00195D64" w:rsidRPr="003C7547">
        <w:rPr>
          <w:rFonts w:ascii="Arial" w:hAnsi="Arial" w:cs="Arial"/>
        </w:rPr>
        <w:t>;</w:t>
      </w:r>
      <w:r w:rsidR="006B0129" w:rsidRPr="003C7547">
        <w:rPr>
          <w:rFonts w:ascii="Arial" w:hAnsi="Arial" w:cs="Arial"/>
        </w:rPr>
        <w:t xml:space="preserve"> Patricia Burns, RN</w:t>
      </w:r>
    </w:p>
    <w:p w:rsidR="00E4796A" w:rsidRPr="003C7547" w:rsidRDefault="00E4796A" w:rsidP="00E4796A">
      <w:pPr>
        <w:rPr>
          <w:rFonts w:ascii="Arial" w:hAnsi="Arial" w:cs="Arial"/>
        </w:rPr>
      </w:pPr>
      <w:r w:rsidRPr="003C7547">
        <w:rPr>
          <w:rFonts w:ascii="Arial" w:hAnsi="Arial" w:cs="Arial"/>
        </w:rPr>
        <w:t>Nationwide Children's Hospital</w:t>
      </w:r>
      <w:r w:rsidR="006B0129" w:rsidRPr="003C7547">
        <w:rPr>
          <w:rFonts w:ascii="Arial" w:hAnsi="Arial" w:cs="Arial"/>
        </w:rPr>
        <w:t>, Columbus, OH</w:t>
      </w:r>
      <w:r w:rsidR="00195D64" w:rsidRPr="003C7547">
        <w:rPr>
          <w:rFonts w:ascii="Arial" w:hAnsi="Arial" w:cs="Arial"/>
        </w:rPr>
        <w:t>:</w:t>
      </w:r>
      <w:r w:rsidR="006B0129" w:rsidRPr="003C7547">
        <w:rPr>
          <w:rFonts w:ascii="Arial" w:hAnsi="Arial" w:cs="Arial"/>
        </w:rPr>
        <w:t xml:space="preserve">  </w:t>
      </w:r>
      <w:r w:rsidRPr="003C7547">
        <w:rPr>
          <w:rFonts w:ascii="Arial" w:hAnsi="Arial" w:cs="Arial"/>
        </w:rPr>
        <w:t>Melissa Rhodes, MD</w:t>
      </w:r>
      <w:r w:rsidR="00195D64" w:rsidRPr="003C7547">
        <w:rPr>
          <w:rFonts w:ascii="Arial" w:hAnsi="Arial" w:cs="Arial"/>
        </w:rPr>
        <w:t>;</w:t>
      </w:r>
      <w:r w:rsidR="006B0129" w:rsidRPr="003C7547">
        <w:rPr>
          <w:rFonts w:ascii="Arial" w:hAnsi="Arial" w:cs="Arial"/>
        </w:rPr>
        <w:t xml:space="preserve"> Cynthia Taylor</w:t>
      </w:r>
    </w:p>
    <w:p w:rsidR="00E4796A" w:rsidRPr="003C7547" w:rsidRDefault="006B0129" w:rsidP="00E4796A">
      <w:pPr>
        <w:rPr>
          <w:rFonts w:ascii="Arial" w:hAnsi="Arial" w:cs="Arial"/>
        </w:rPr>
      </w:pPr>
      <w:r w:rsidRPr="003C7547">
        <w:rPr>
          <w:rFonts w:ascii="Arial" w:hAnsi="Arial" w:cs="Arial"/>
        </w:rPr>
        <w:t xml:space="preserve">The </w:t>
      </w:r>
      <w:r w:rsidR="00E4796A" w:rsidRPr="003C7547">
        <w:rPr>
          <w:rFonts w:ascii="Arial" w:hAnsi="Arial" w:cs="Arial"/>
        </w:rPr>
        <w:t xml:space="preserve">Johns Hopkins </w:t>
      </w:r>
      <w:r w:rsidR="00A05445" w:rsidRPr="003C7547">
        <w:rPr>
          <w:rFonts w:ascii="Arial" w:hAnsi="Arial" w:cs="Arial"/>
        </w:rPr>
        <w:t>University School of Medicine</w:t>
      </w:r>
      <w:r w:rsidRPr="003C7547">
        <w:rPr>
          <w:rFonts w:ascii="Arial" w:hAnsi="Arial" w:cs="Arial"/>
        </w:rPr>
        <w:t>, Baltimore, MD</w:t>
      </w:r>
      <w:r w:rsidR="00195D64" w:rsidRPr="003C7547">
        <w:rPr>
          <w:rFonts w:ascii="Arial" w:hAnsi="Arial" w:cs="Arial"/>
        </w:rPr>
        <w:t>:</w:t>
      </w:r>
      <w:r w:rsidRPr="003C7547">
        <w:rPr>
          <w:rFonts w:ascii="Arial" w:hAnsi="Arial" w:cs="Arial"/>
        </w:rPr>
        <w:t xml:space="preserve">  </w:t>
      </w:r>
      <w:r w:rsidR="00E4796A" w:rsidRPr="003C7547">
        <w:rPr>
          <w:rFonts w:ascii="Arial" w:hAnsi="Arial" w:cs="Arial"/>
        </w:rPr>
        <w:t>John J Strouse, MD</w:t>
      </w:r>
      <w:r w:rsidR="00A05445" w:rsidRPr="003C7547">
        <w:rPr>
          <w:rFonts w:ascii="Arial" w:hAnsi="Arial" w:cs="Arial"/>
        </w:rPr>
        <w:t>, PhD</w:t>
      </w:r>
      <w:r w:rsidR="00195D64" w:rsidRPr="003C7547">
        <w:rPr>
          <w:rFonts w:ascii="Arial" w:hAnsi="Arial" w:cs="Arial"/>
        </w:rPr>
        <w:t>;</w:t>
      </w:r>
      <w:r w:rsidRPr="003C7547">
        <w:rPr>
          <w:rFonts w:ascii="Arial" w:hAnsi="Arial" w:cs="Arial"/>
        </w:rPr>
        <w:t xml:space="preserve">  </w:t>
      </w:r>
      <w:r w:rsidR="00E4796A" w:rsidRPr="003C7547">
        <w:rPr>
          <w:rFonts w:ascii="Arial" w:hAnsi="Arial" w:cs="Arial"/>
        </w:rPr>
        <w:t xml:space="preserve">Devin </w:t>
      </w:r>
      <w:r w:rsidR="008E7AA0" w:rsidRPr="003C7547">
        <w:rPr>
          <w:rFonts w:ascii="Arial" w:hAnsi="Arial" w:cs="Arial"/>
        </w:rPr>
        <w:t>Muntz</w:t>
      </w:r>
    </w:p>
    <w:p w:rsidR="00E4796A" w:rsidRPr="003C7547" w:rsidRDefault="006B0129" w:rsidP="00E4796A">
      <w:pPr>
        <w:rPr>
          <w:rFonts w:ascii="Arial" w:hAnsi="Arial" w:cs="Arial"/>
        </w:rPr>
      </w:pPr>
      <w:r w:rsidRPr="003C7547">
        <w:rPr>
          <w:rFonts w:ascii="Arial" w:hAnsi="Arial" w:cs="Arial"/>
        </w:rPr>
        <w:t>Wayne State University, Children's H</w:t>
      </w:r>
      <w:r w:rsidR="00E4796A" w:rsidRPr="003C7547">
        <w:rPr>
          <w:rFonts w:ascii="Arial" w:hAnsi="Arial" w:cs="Arial"/>
        </w:rPr>
        <w:t>ospital of Michigan</w:t>
      </w:r>
      <w:r w:rsidRPr="003C7547">
        <w:rPr>
          <w:rFonts w:ascii="Arial" w:hAnsi="Arial" w:cs="Arial"/>
        </w:rPr>
        <w:t>, Detroit, MI</w:t>
      </w:r>
      <w:r w:rsidR="00195D64" w:rsidRPr="003C7547">
        <w:rPr>
          <w:rFonts w:ascii="Arial" w:hAnsi="Arial" w:cs="Arial"/>
        </w:rPr>
        <w:t>:</w:t>
      </w:r>
      <w:r w:rsidRPr="003C7547">
        <w:rPr>
          <w:rFonts w:ascii="Arial" w:hAnsi="Arial" w:cs="Arial"/>
        </w:rPr>
        <w:t xml:space="preserve">  I</w:t>
      </w:r>
      <w:r w:rsidR="00E4796A" w:rsidRPr="003C7547">
        <w:rPr>
          <w:rFonts w:ascii="Arial" w:hAnsi="Arial" w:cs="Arial"/>
        </w:rPr>
        <w:t>ngrid Sarnaik, MD</w:t>
      </w:r>
      <w:r w:rsidR="008E7AA0" w:rsidRPr="003C7547">
        <w:rPr>
          <w:rFonts w:ascii="Arial" w:hAnsi="Arial" w:cs="Arial"/>
        </w:rPr>
        <w:t>;</w:t>
      </w:r>
      <w:r w:rsidRPr="003C7547">
        <w:rPr>
          <w:rFonts w:ascii="Arial" w:hAnsi="Arial" w:cs="Arial"/>
        </w:rPr>
        <w:t xml:space="preserve"> </w:t>
      </w:r>
      <w:r w:rsidR="00E4796A" w:rsidRPr="003C7547">
        <w:rPr>
          <w:rFonts w:ascii="Arial" w:hAnsi="Arial" w:cs="Arial"/>
        </w:rPr>
        <w:t>Mary Murphy ARNP; Theresa Spranger</w:t>
      </w:r>
      <w:r w:rsidR="00E4796A" w:rsidRPr="003C7547">
        <w:rPr>
          <w:rFonts w:ascii="Arial" w:hAnsi="Arial" w:cs="Arial"/>
        </w:rPr>
        <w:tab/>
      </w:r>
    </w:p>
    <w:p w:rsidR="00E4796A" w:rsidRPr="003C7547" w:rsidRDefault="00E4796A" w:rsidP="00E4796A">
      <w:pPr>
        <w:rPr>
          <w:rFonts w:ascii="Arial" w:hAnsi="Arial" w:cs="Arial"/>
        </w:rPr>
      </w:pPr>
      <w:r w:rsidRPr="003C7547">
        <w:rPr>
          <w:rFonts w:ascii="Arial" w:hAnsi="Arial" w:cs="Arial"/>
        </w:rPr>
        <w:t>Children's Hospital of the King's Daughters</w:t>
      </w:r>
      <w:r w:rsidR="006B0129" w:rsidRPr="003C7547">
        <w:rPr>
          <w:rFonts w:ascii="Arial" w:hAnsi="Arial" w:cs="Arial"/>
        </w:rPr>
        <w:t>, Norfolk, VA</w:t>
      </w:r>
      <w:r w:rsidR="00195D64" w:rsidRPr="003C7547">
        <w:rPr>
          <w:rFonts w:ascii="Arial" w:hAnsi="Arial" w:cs="Arial"/>
        </w:rPr>
        <w:t xml:space="preserve">: </w:t>
      </w:r>
      <w:r w:rsidR="006B0129" w:rsidRPr="003C7547">
        <w:rPr>
          <w:rFonts w:ascii="Arial" w:hAnsi="Arial" w:cs="Arial"/>
        </w:rPr>
        <w:t xml:space="preserve"> </w:t>
      </w:r>
      <w:r w:rsidRPr="003C7547">
        <w:rPr>
          <w:rFonts w:ascii="Arial" w:hAnsi="Arial" w:cs="Arial"/>
        </w:rPr>
        <w:t>William</w:t>
      </w:r>
      <w:r w:rsidR="008E7AA0" w:rsidRPr="003C7547">
        <w:rPr>
          <w:rFonts w:ascii="Arial" w:hAnsi="Arial" w:cs="Arial"/>
        </w:rPr>
        <w:t xml:space="preserve"> Owen, MD; </w:t>
      </w:r>
      <w:r w:rsidRPr="003C7547">
        <w:rPr>
          <w:rFonts w:ascii="Arial" w:hAnsi="Arial" w:cs="Arial"/>
        </w:rPr>
        <w:t>Sabrina Wigginton</w:t>
      </w:r>
      <w:r w:rsidR="003E2211" w:rsidRPr="003C7547">
        <w:rPr>
          <w:rFonts w:ascii="Arial" w:hAnsi="Arial" w:cs="Arial"/>
        </w:rPr>
        <w:t>, RN; Lorrie Coggsdale, RN</w:t>
      </w:r>
    </w:p>
    <w:p w:rsidR="006B0129" w:rsidRPr="003C7547" w:rsidRDefault="00E4796A" w:rsidP="00E4796A">
      <w:pPr>
        <w:rPr>
          <w:rFonts w:ascii="Arial" w:hAnsi="Arial" w:cs="Arial"/>
        </w:rPr>
      </w:pPr>
      <w:r w:rsidRPr="003C7547">
        <w:rPr>
          <w:rFonts w:ascii="Arial" w:hAnsi="Arial" w:cs="Arial"/>
        </w:rPr>
        <w:t>Cincinnati Children's Hospital Medical Center</w:t>
      </w:r>
      <w:r w:rsidR="006B0129" w:rsidRPr="003C7547">
        <w:rPr>
          <w:rFonts w:ascii="Arial" w:hAnsi="Arial" w:cs="Arial"/>
        </w:rPr>
        <w:t>, Cincinnati, OH</w:t>
      </w:r>
      <w:r w:rsidR="00195D64" w:rsidRPr="003C7547">
        <w:rPr>
          <w:rFonts w:ascii="Arial" w:hAnsi="Arial" w:cs="Arial"/>
        </w:rPr>
        <w:t>:</w:t>
      </w:r>
      <w:r w:rsidR="006B0129" w:rsidRPr="003C7547">
        <w:rPr>
          <w:rFonts w:ascii="Arial" w:hAnsi="Arial" w:cs="Arial"/>
        </w:rPr>
        <w:t xml:space="preserve"> </w:t>
      </w:r>
      <w:r w:rsidRPr="003C7547">
        <w:rPr>
          <w:rFonts w:ascii="Arial" w:hAnsi="Arial" w:cs="Arial"/>
        </w:rPr>
        <w:t>Charles Quinn</w:t>
      </w:r>
      <w:r w:rsidR="00195D64" w:rsidRPr="003C7547">
        <w:rPr>
          <w:rFonts w:ascii="Arial" w:hAnsi="Arial" w:cs="Arial"/>
        </w:rPr>
        <w:t>, MD, MS;</w:t>
      </w:r>
      <w:r w:rsidR="006B0129" w:rsidRPr="003C7547">
        <w:rPr>
          <w:rFonts w:ascii="Arial" w:hAnsi="Arial" w:cs="Arial"/>
        </w:rPr>
        <w:t xml:space="preserve"> A</w:t>
      </w:r>
      <w:r w:rsidRPr="003C7547">
        <w:rPr>
          <w:rFonts w:ascii="Arial" w:hAnsi="Arial" w:cs="Arial"/>
        </w:rPr>
        <w:t>my Shova</w:t>
      </w:r>
    </w:p>
    <w:p w:rsidR="00E4796A" w:rsidRPr="003C7547" w:rsidRDefault="00E4796A" w:rsidP="00E4796A">
      <w:pPr>
        <w:rPr>
          <w:rFonts w:ascii="Arial" w:hAnsi="Arial" w:cs="Arial"/>
        </w:rPr>
      </w:pPr>
      <w:r w:rsidRPr="003C7547">
        <w:rPr>
          <w:rFonts w:ascii="Arial" w:hAnsi="Arial" w:cs="Arial"/>
        </w:rPr>
        <w:t>Medical College of Wisconsin</w:t>
      </w:r>
      <w:r w:rsidR="00A05445" w:rsidRPr="003C7547">
        <w:rPr>
          <w:rFonts w:ascii="Arial" w:hAnsi="Arial" w:cs="Arial"/>
        </w:rPr>
        <w:t>, Children’s Hospital of Wisconsin</w:t>
      </w:r>
      <w:r w:rsidR="006B0129" w:rsidRPr="003C7547">
        <w:rPr>
          <w:rFonts w:ascii="Arial" w:hAnsi="Arial" w:cs="Arial"/>
        </w:rPr>
        <w:t>, Milwaukee, WI</w:t>
      </w:r>
      <w:r w:rsidR="00195D64" w:rsidRPr="003C7547">
        <w:rPr>
          <w:rFonts w:ascii="Arial" w:hAnsi="Arial" w:cs="Arial"/>
        </w:rPr>
        <w:t>:</w:t>
      </w:r>
      <w:r w:rsidR="006B0129" w:rsidRPr="003C7547">
        <w:rPr>
          <w:rFonts w:ascii="Arial" w:hAnsi="Arial" w:cs="Arial"/>
        </w:rPr>
        <w:t xml:space="preserve">  Julie Panepinto, MD</w:t>
      </w:r>
      <w:r w:rsidR="00A05445" w:rsidRPr="003C7547">
        <w:rPr>
          <w:rFonts w:ascii="Arial" w:hAnsi="Arial" w:cs="Arial"/>
        </w:rPr>
        <w:t>, MSPH</w:t>
      </w:r>
      <w:r w:rsidR="0010585F" w:rsidRPr="003C7547">
        <w:rPr>
          <w:rFonts w:ascii="Arial" w:hAnsi="Arial" w:cs="Arial"/>
        </w:rPr>
        <w:t>;</w:t>
      </w:r>
      <w:r w:rsidR="006B0129" w:rsidRPr="003C7547">
        <w:rPr>
          <w:rFonts w:ascii="Arial" w:hAnsi="Arial" w:cs="Arial"/>
        </w:rPr>
        <w:t xml:space="preserve"> Rebecca Farley</w:t>
      </w:r>
    </w:p>
    <w:p w:rsidR="00E4796A" w:rsidRPr="003C7547" w:rsidRDefault="00E4796A" w:rsidP="00E4796A">
      <w:pPr>
        <w:rPr>
          <w:rFonts w:ascii="Arial" w:hAnsi="Arial" w:cs="Arial"/>
        </w:rPr>
      </w:pPr>
      <w:r w:rsidRPr="003C7547">
        <w:rPr>
          <w:rFonts w:ascii="Arial" w:hAnsi="Arial" w:cs="Arial"/>
        </w:rPr>
        <w:t>Children's Hospital Oakland</w:t>
      </w:r>
      <w:r w:rsidR="006B0129" w:rsidRPr="003C7547">
        <w:rPr>
          <w:rFonts w:ascii="Arial" w:hAnsi="Arial" w:cs="Arial"/>
        </w:rPr>
        <w:t>, Oakland, CA</w:t>
      </w:r>
      <w:r w:rsidR="0010585F" w:rsidRPr="003C7547">
        <w:rPr>
          <w:rFonts w:ascii="Arial" w:hAnsi="Arial" w:cs="Arial"/>
        </w:rPr>
        <w:t>:</w:t>
      </w:r>
      <w:r w:rsidR="006B0129" w:rsidRPr="003C7547">
        <w:rPr>
          <w:rFonts w:ascii="Arial" w:hAnsi="Arial" w:cs="Arial"/>
        </w:rPr>
        <w:t xml:space="preserve"> </w:t>
      </w:r>
      <w:r w:rsidRPr="003C7547">
        <w:rPr>
          <w:rFonts w:ascii="Arial" w:hAnsi="Arial" w:cs="Arial"/>
        </w:rPr>
        <w:t>Lynne Neumayr, MD</w:t>
      </w:r>
      <w:r w:rsidR="0010585F" w:rsidRPr="003C7547">
        <w:rPr>
          <w:rFonts w:ascii="Arial" w:hAnsi="Arial" w:cs="Arial"/>
        </w:rPr>
        <w:t>;</w:t>
      </w:r>
      <w:r w:rsidR="006B0129" w:rsidRPr="003C7547">
        <w:rPr>
          <w:rFonts w:ascii="Arial" w:hAnsi="Arial" w:cs="Arial"/>
        </w:rPr>
        <w:t xml:space="preserve"> LaSandra Patterson</w:t>
      </w:r>
    </w:p>
    <w:p w:rsidR="00E4796A" w:rsidRPr="003C7547" w:rsidRDefault="006B0129" w:rsidP="00E4796A">
      <w:pPr>
        <w:rPr>
          <w:rFonts w:ascii="Arial" w:hAnsi="Arial" w:cs="Arial"/>
        </w:rPr>
      </w:pPr>
      <w:r w:rsidRPr="003C7547">
        <w:rPr>
          <w:rFonts w:ascii="Arial" w:hAnsi="Arial" w:cs="Arial"/>
        </w:rPr>
        <w:t>Great Ormond Street Hospital</w:t>
      </w:r>
      <w:r w:rsidR="00A05445" w:rsidRPr="003C7547">
        <w:rPr>
          <w:rFonts w:ascii="Arial" w:hAnsi="Arial" w:cs="Arial"/>
        </w:rPr>
        <w:t xml:space="preserve"> and UCL Institute of Child Health</w:t>
      </w:r>
      <w:r w:rsidRPr="003C7547">
        <w:rPr>
          <w:rFonts w:ascii="Arial" w:hAnsi="Arial" w:cs="Arial"/>
        </w:rPr>
        <w:t>, London, UK</w:t>
      </w:r>
      <w:r w:rsidR="0010585F" w:rsidRPr="003C7547">
        <w:rPr>
          <w:rFonts w:ascii="Arial" w:hAnsi="Arial" w:cs="Arial"/>
        </w:rPr>
        <w:t xml:space="preserve">: </w:t>
      </w:r>
      <w:r w:rsidRPr="003C7547">
        <w:rPr>
          <w:rFonts w:ascii="Arial" w:hAnsi="Arial" w:cs="Arial"/>
        </w:rPr>
        <w:t>Fenella Kirkham,</w:t>
      </w:r>
      <w:r w:rsidR="006D05E6" w:rsidRPr="003C7547">
        <w:t xml:space="preserve"> </w:t>
      </w:r>
      <w:r w:rsidR="006D05E6" w:rsidRPr="003C7547">
        <w:rPr>
          <w:rFonts w:ascii="Arial" w:hAnsi="Arial" w:cs="Arial"/>
        </w:rPr>
        <w:t>MD, FRCP, FRCP</w:t>
      </w:r>
      <w:r w:rsidR="00A05445" w:rsidRPr="003C7547">
        <w:rPr>
          <w:rFonts w:ascii="Arial" w:hAnsi="Arial" w:cs="Arial"/>
        </w:rPr>
        <w:t>CH</w:t>
      </w:r>
      <w:r w:rsidR="00E4796A" w:rsidRPr="003C7547">
        <w:rPr>
          <w:rFonts w:ascii="Arial" w:hAnsi="Arial" w:cs="Arial"/>
        </w:rPr>
        <w:tab/>
      </w:r>
      <w:r w:rsidR="00E4796A" w:rsidRPr="003C7547">
        <w:rPr>
          <w:rFonts w:ascii="Arial" w:hAnsi="Arial" w:cs="Arial"/>
        </w:rPr>
        <w:tab/>
      </w:r>
    </w:p>
    <w:p w:rsidR="00E4796A" w:rsidRPr="003C7547" w:rsidRDefault="00E4796A" w:rsidP="006559C8">
      <w:pPr>
        <w:rPr>
          <w:rFonts w:ascii="Arial" w:hAnsi="Arial" w:cs="Arial"/>
        </w:rPr>
      </w:pPr>
    </w:p>
    <w:p w:rsidR="006559C8" w:rsidRPr="003C7547" w:rsidRDefault="006559C8" w:rsidP="006559C8">
      <w:pPr>
        <w:rPr>
          <w:rFonts w:ascii="Arial" w:hAnsi="Arial" w:cs="Arial"/>
          <w:b/>
        </w:rPr>
      </w:pPr>
      <w:r w:rsidRPr="003C7547">
        <w:rPr>
          <w:rFonts w:ascii="Arial" w:hAnsi="Arial" w:cs="Arial"/>
          <w:b/>
        </w:rPr>
        <w:t>Authorship Contributions</w:t>
      </w:r>
    </w:p>
    <w:p w:rsidR="00E3411D" w:rsidRPr="003C7547" w:rsidRDefault="00F308D3" w:rsidP="006559C8">
      <w:pPr>
        <w:rPr>
          <w:rFonts w:ascii="Arial" w:hAnsi="Arial" w:cs="Arial"/>
        </w:rPr>
      </w:pPr>
      <w:r w:rsidRPr="003C7547">
        <w:rPr>
          <w:rFonts w:ascii="Arial" w:hAnsi="Arial" w:cs="Arial"/>
        </w:rPr>
        <w:t>MMD designed the study, obtained funding, conducted the analysis and wrote the first draft of the manuscript.</w:t>
      </w:r>
    </w:p>
    <w:p w:rsidR="00F308D3" w:rsidRPr="003C7547" w:rsidRDefault="00E3411D" w:rsidP="00E3411D">
      <w:pPr>
        <w:rPr>
          <w:rFonts w:ascii="Arial" w:hAnsi="Arial" w:cs="Arial"/>
        </w:rPr>
      </w:pPr>
      <w:r w:rsidRPr="003C7547">
        <w:rPr>
          <w:rFonts w:ascii="Arial" w:hAnsi="Arial" w:cs="Arial"/>
        </w:rPr>
        <w:t>CTQ participated in study design, wrote the first draft of the manuscript and participated as study committee member, and enrolled patients.</w:t>
      </w:r>
      <w:r w:rsidR="003D220B" w:rsidRPr="003C7547">
        <w:rPr>
          <w:rFonts w:ascii="Arial" w:hAnsi="Arial" w:cs="Arial"/>
        </w:rPr>
        <w:t xml:space="preserve"> </w:t>
      </w:r>
      <w:r w:rsidR="00B263FA" w:rsidRPr="003C7547">
        <w:rPr>
          <w:rFonts w:ascii="Arial" w:hAnsi="Arial" w:cs="Arial"/>
        </w:rPr>
        <w:t xml:space="preserve"> </w:t>
      </w:r>
    </w:p>
    <w:p w:rsidR="00F308D3" w:rsidRPr="003C7547" w:rsidRDefault="00F308D3" w:rsidP="006559C8">
      <w:pPr>
        <w:rPr>
          <w:rFonts w:ascii="Arial" w:hAnsi="Arial" w:cs="Arial"/>
        </w:rPr>
      </w:pPr>
      <w:r w:rsidRPr="003C7547">
        <w:rPr>
          <w:rFonts w:ascii="Arial" w:hAnsi="Arial" w:cs="Arial"/>
        </w:rPr>
        <w:t>PP was overall study coordinator</w:t>
      </w:r>
      <w:r w:rsidR="000E49CC" w:rsidRPr="003C7547">
        <w:rPr>
          <w:rFonts w:ascii="Arial" w:hAnsi="Arial" w:cs="Arial"/>
        </w:rPr>
        <w:t>.</w:t>
      </w:r>
    </w:p>
    <w:p w:rsidR="00F308D3" w:rsidRPr="003C7547" w:rsidRDefault="00F308D3" w:rsidP="006559C8">
      <w:pPr>
        <w:rPr>
          <w:rFonts w:ascii="Arial" w:hAnsi="Arial" w:cs="Arial"/>
        </w:rPr>
      </w:pPr>
      <w:r w:rsidRPr="003C7547">
        <w:rPr>
          <w:rFonts w:ascii="Arial" w:hAnsi="Arial" w:cs="Arial"/>
        </w:rPr>
        <w:t xml:space="preserve">CR was the main study cardiologist who participated in study design and reviewed all study echocardiograms and participated in data analysis. </w:t>
      </w:r>
    </w:p>
    <w:p w:rsidR="00F308D3" w:rsidRPr="003C7547" w:rsidRDefault="00F308D3" w:rsidP="006559C8">
      <w:pPr>
        <w:rPr>
          <w:rFonts w:ascii="Arial" w:hAnsi="Arial" w:cs="Arial"/>
        </w:rPr>
      </w:pPr>
      <w:r w:rsidRPr="003C7547">
        <w:rPr>
          <w:rFonts w:ascii="Arial" w:hAnsi="Arial" w:cs="Arial"/>
        </w:rPr>
        <w:t xml:space="preserve">FK served as study consultant and participated in study design, obtained Ethics approval for the UK and participated in study design and analysis. </w:t>
      </w:r>
    </w:p>
    <w:p w:rsidR="00E3411D" w:rsidRPr="003C7547" w:rsidRDefault="00E3411D" w:rsidP="006559C8">
      <w:pPr>
        <w:rPr>
          <w:rFonts w:ascii="Arial" w:hAnsi="Arial" w:cs="Arial"/>
        </w:rPr>
      </w:pPr>
      <w:r w:rsidRPr="003C7547">
        <w:rPr>
          <w:rFonts w:ascii="Arial" w:hAnsi="Arial" w:cs="Arial"/>
        </w:rPr>
        <w:t>LSH was the study biostatistician and performed the study analysis.</w:t>
      </w:r>
    </w:p>
    <w:p w:rsidR="00F308D3" w:rsidRPr="003C7547" w:rsidRDefault="00F308D3" w:rsidP="006559C8">
      <w:pPr>
        <w:rPr>
          <w:rFonts w:ascii="Arial" w:hAnsi="Arial" w:cs="Arial"/>
        </w:rPr>
      </w:pPr>
      <w:r w:rsidRPr="003C7547">
        <w:rPr>
          <w:rFonts w:ascii="Arial" w:hAnsi="Arial" w:cs="Arial"/>
        </w:rPr>
        <w:t xml:space="preserve">The above and other authors participated in study design at investigator meetings, enrolled patients, contributed to the analysis of the data, and critically reviewed the manuscript. </w:t>
      </w:r>
    </w:p>
    <w:p w:rsidR="00E3411D" w:rsidRPr="003C7547" w:rsidRDefault="00E3411D" w:rsidP="006559C8">
      <w:pPr>
        <w:rPr>
          <w:rFonts w:ascii="Arial" w:hAnsi="Arial" w:cs="Arial"/>
        </w:rPr>
      </w:pPr>
    </w:p>
    <w:p w:rsidR="006559C8" w:rsidRPr="003C7547" w:rsidRDefault="006559C8" w:rsidP="006559C8">
      <w:pPr>
        <w:rPr>
          <w:rFonts w:ascii="Arial" w:hAnsi="Arial" w:cs="Arial"/>
          <w:b/>
        </w:rPr>
      </w:pPr>
      <w:r w:rsidRPr="003C7547">
        <w:rPr>
          <w:rFonts w:ascii="Arial" w:hAnsi="Arial" w:cs="Arial"/>
          <w:b/>
        </w:rPr>
        <w:t>Disclosure of Conflicts of Interest</w:t>
      </w:r>
    </w:p>
    <w:p w:rsidR="00FC2FCB" w:rsidRPr="003C7547" w:rsidRDefault="00FC2FCB" w:rsidP="00E814C1">
      <w:pPr>
        <w:rPr>
          <w:rFonts w:ascii="Arial" w:hAnsi="Arial" w:cs="Arial"/>
        </w:rPr>
      </w:pPr>
      <w:r w:rsidRPr="003C7547">
        <w:rPr>
          <w:rFonts w:ascii="Arial" w:hAnsi="Arial" w:cs="Arial"/>
        </w:rPr>
        <w:t>WO is on the Novartis Speaker’s Bureau</w:t>
      </w:r>
      <w:r w:rsidR="00A05445" w:rsidRPr="003C7547">
        <w:rPr>
          <w:rFonts w:ascii="Arial" w:hAnsi="Arial" w:cs="Arial"/>
        </w:rPr>
        <w:t>, JAP reports research funding from the NIH and ASH.</w:t>
      </w:r>
    </w:p>
    <w:p w:rsidR="0010585F" w:rsidRPr="003C7547" w:rsidRDefault="00FC2FCB" w:rsidP="00E814C1">
      <w:pPr>
        <w:rPr>
          <w:rFonts w:ascii="Arial" w:hAnsi="Arial" w:cs="Arial"/>
        </w:rPr>
      </w:pPr>
      <w:r w:rsidRPr="003C7547">
        <w:rPr>
          <w:rFonts w:ascii="Arial" w:hAnsi="Arial" w:cs="Arial"/>
        </w:rPr>
        <w:t>The other authors have</w:t>
      </w:r>
      <w:r w:rsidR="003E4496" w:rsidRPr="003C7547">
        <w:rPr>
          <w:rFonts w:ascii="Arial" w:hAnsi="Arial" w:cs="Arial"/>
        </w:rPr>
        <w:t xml:space="preserve"> nothing to disclose.</w:t>
      </w:r>
    </w:p>
    <w:p w:rsidR="0010585F" w:rsidRPr="003C7547" w:rsidRDefault="0010585F" w:rsidP="00E814C1">
      <w:pPr>
        <w:rPr>
          <w:rFonts w:ascii="Arial" w:hAnsi="Arial" w:cs="Arial"/>
        </w:rPr>
      </w:pPr>
    </w:p>
    <w:p w:rsidR="00550924" w:rsidRPr="003C7547" w:rsidRDefault="006B7EEC" w:rsidP="00550924">
      <w:pPr>
        <w:rPr>
          <w:rFonts w:ascii="Arial" w:hAnsi="Arial" w:cs="Arial"/>
        </w:rPr>
      </w:pPr>
      <w:r w:rsidRPr="003C7547">
        <w:rPr>
          <w:rFonts w:ascii="Arial" w:hAnsi="Arial" w:cs="Arial"/>
          <w:b/>
        </w:rPr>
        <w:t>References</w:t>
      </w:r>
    </w:p>
    <w:p w:rsidR="00550924" w:rsidRPr="003C7547" w:rsidRDefault="00550924" w:rsidP="00550924">
      <w:pPr>
        <w:rPr>
          <w:rFonts w:ascii="Arial" w:hAnsi="Arial" w:cs="Arial"/>
        </w:rPr>
      </w:pPr>
      <w:r w:rsidRPr="003C7547">
        <w:rPr>
          <w:rFonts w:ascii="Arial" w:hAnsi="Arial" w:cs="Arial"/>
        </w:rPr>
        <w:t>Abushora MY, Bhatia N, Alnabki z, Shenoy M, Alshaher M, Stoddard MF,  Intrapulmonary shunt is a Potentially Unrecognized Cause of Ischemic Stroke and Transient Ischemic Attack, Journal of the American Society of Echocardiography 2013; 26(7):683-690.</w:t>
      </w:r>
    </w:p>
    <w:p w:rsidR="00550924" w:rsidRPr="003C7547" w:rsidRDefault="00550924" w:rsidP="00550924">
      <w:pPr>
        <w:rPr>
          <w:rFonts w:ascii="Arial" w:hAnsi="Arial" w:cs="Arial"/>
        </w:rPr>
      </w:pPr>
      <w:r w:rsidRPr="003C7547">
        <w:rPr>
          <w:rFonts w:ascii="Arial" w:hAnsi="Arial" w:cs="Arial"/>
        </w:rPr>
        <w:t xml:space="preserve">Ataga KI, Brittain JE, Desai P, May R, Jones S, Delaney J, Strayhorn D, Hinderliter A, Key NS. Association of coagulation activation with clinical complications in sickle cell disease. </w:t>
      </w:r>
      <w:r w:rsidRPr="003C7547">
        <w:rPr>
          <w:rFonts w:ascii="Arial" w:hAnsi="Arial" w:cs="Arial"/>
          <w:i/>
        </w:rPr>
        <w:t>PLoS One</w:t>
      </w:r>
      <w:r w:rsidRPr="003C7547">
        <w:rPr>
          <w:rFonts w:ascii="Arial" w:hAnsi="Arial" w:cs="Arial"/>
        </w:rPr>
        <w:t>. 2012;7(1):e29786.</w:t>
      </w:r>
    </w:p>
    <w:p w:rsidR="00550924" w:rsidRPr="003C7547" w:rsidRDefault="00550924" w:rsidP="00550924">
      <w:pPr>
        <w:rPr>
          <w:rFonts w:ascii="Arial" w:hAnsi="Arial" w:cs="Arial"/>
        </w:rPr>
      </w:pPr>
      <w:r w:rsidRPr="003C7547">
        <w:rPr>
          <w:rFonts w:ascii="Arial" w:hAnsi="Arial" w:cs="Arial"/>
        </w:rPr>
        <w:t xml:space="preserve">Ataga KI, Orringer ER. Hypercoagulability in sickle cell disease:  A curious paradox. </w:t>
      </w:r>
      <w:r w:rsidRPr="003C7547">
        <w:rPr>
          <w:rFonts w:ascii="Arial" w:hAnsi="Arial" w:cs="Arial"/>
          <w:i/>
          <w:iCs/>
        </w:rPr>
        <w:t>Am. J. Med</w:t>
      </w:r>
      <w:r w:rsidRPr="003C7547">
        <w:rPr>
          <w:rFonts w:ascii="Arial" w:hAnsi="Arial" w:cs="Arial"/>
          <w:iCs/>
        </w:rPr>
        <w:t>.</w:t>
      </w:r>
      <w:r w:rsidRPr="003C7547">
        <w:rPr>
          <w:rFonts w:ascii="Arial" w:hAnsi="Arial" w:cs="Arial"/>
        </w:rPr>
        <w:t xml:space="preserve">  2003;115:721-728.</w:t>
      </w:r>
    </w:p>
    <w:p w:rsidR="00550924" w:rsidRPr="003C7547" w:rsidRDefault="00550924" w:rsidP="00550924">
      <w:pPr>
        <w:rPr>
          <w:rFonts w:ascii="Arial" w:hAnsi="Arial" w:cs="Arial"/>
        </w:rPr>
      </w:pPr>
      <w:r w:rsidRPr="003C7547">
        <w:rPr>
          <w:rFonts w:ascii="Arial" w:hAnsi="Arial" w:cs="Arial"/>
        </w:rPr>
        <w:t xml:space="preserve">Benedik MP, Zaletel M, Megli NP, Podnar T. Patent foramen ovale and unexplained ischemic cerebrovascular events in children. </w:t>
      </w:r>
      <w:r w:rsidRPr="003C7547">
        <w:rPr>
          <w:rFonts w:ascii="Arial" w:hAnsi="Arial" w:cs="Arial"/>
          <w:i/>
        </w:rPr>
        <w:t>Catheter Cardiovasc Interv</w:t>
      </w:r>
      <w:r w:rsidRPr="003C7547">
        <w:rPr>
          <w:rFonts w:ascii="Arial" w:hAnsi="Arial" w:cs="Arial"/>
        </w:rPr>
        <w:t>.  2007;70:999-1007.</w:t>
      </w:r>
    </w:p>
    <w:p w:rsidR="005A4A1C" w:rsidRPr="003C7547" w:rsidRDefault="005A4A1C" w:rsidP="00550924">
      <w:pPr>
        <w:rPr>
          <w:rFonts w:ascii="Arial" w:hAnsi="Arial" w:cs="Arial"/>
        </w:rPr>
      </w:pPr>
      <w:r w:rsidRPr="003C7547">
        <w:rPr>
          <w:rFonts w:ascii="Arial" w:hAnsi="Arial" w:cs="Arial"/>
        </w:rPr>
        <w:lastRenderedPageBreak/>
        <w:t xml:space="preserve">Benedik MP, Zaletel M, Meglic NP, Podnar T. A right-to-left shunt in children with arterial ischemic stroke.  </w:t>
      </w:r>
      <w:r w:rsidRPr="003C7547">
        <w:rPr>
          <w:rFonts w:ascii="Arial" w:hAnsi="Arial" w:cs="Arial"/>
          <w:i/>
        </w:rPr>
        <w:t>Arch Dis Child</w:t>
      </w:r>
      <w:r w:rsidRPr="003C7547">
        <w:rPr>
          <w:rFonts w:ascii="Arial" w:hAnsi="Arial" w:cs="Arial"/>
        </w:rPr>
        <w:t>. 2011;96:461-467.</w:t>
      </w:r>
    </w:p>
    <w:p w:rsidR="00550924" w:rsidRPr="003C7547" w:rsidRDefault="00550924" w:rsidP="00550924">
      <w:pPr>
        <w:rPr>
          <w:rFonts w:ascii="Arial" w:hAnsi="Arial" w:cs="Arial"/>
        </w:rPr>
      </w:pPr>
      <w:r w:rsidRPr="003C7547">
        <w:rPr>
          <w:rFonts w:ascii="Arial" w:hAnsi="Arial" w:cs="Arial"/>
        </w:rPr>
        <w:t xml:space="preserve">Bogousslavsky, J., Garazi, S., Jeanrenaud, X., Aebischer, N., Melle, GV, et al.  Stroke Recurrence in patients with patent foramen ovale.  The Lausanne Study.  </w:t>
      </w:r>
      <w:r w:rsidRPr="003C7547">
        <w:rPr>
          <w:rFonts w:ascii="Arial" w:hAnsi="Arial" w:cs="Arial"/>
          <w:i/>
          <w:iCs/>
        </w:rPr>
        <w:t>Neurology.</w:t>
      </w:r>
      <w:r w:rsidRPr="003C7547">
        <w:rPr>
          <w:rFonts w:ascii="Arial" w:hAnsi="Arial" w:cs="Arial"/>
        </w:rPr>
        <w:t xml:space="preserve">  1996;46(5): 1301-1305.</w:t>
      </w:r>
    </w:p>
    <w:p w:rsidR="00550924" w:rsidRPr="003C7547" w:rsidRDefault="00550924" w:rsidP="00550924">
      <w:pPr>
        <w:rPr>
          <w:rFonts w:ascii="Arial" w:hAnsi="Arial" w:cs="Arial"/>
        </w:rPr>
      </w:pPr>
      <w:r w:rsidRPr="003C7547">
        <w:rPr>
          <w:rFonts w:ascii="Arial" w:hAnsi="Arial" w:cs="Arial"/>
        </w:rPr>
        <w:t>Calvet D, Bernaudin F, Gueguen A, Hosseini H, Habibi A, Galactéros F, Bartolucci P. First Ischemic Stroke in Sickle-Cell Disease: Are There Any Adult Specificities? Stroke. 2015;46(8):2315-7</w:t>
      </w:r>
    </w:p>
    <w:p w:rsidR="00550924" w:rsidRPr="003C7547" w:rsidRDefault="00550924" w:rsidP="00550924">
      <w:pPr>
        <w:rPr>
          <w:rFonts w:ascii="Arial" w:hAnsi="Arial" w:cs="Arial"/>
        </w:rPr>
      </w:pPr>
      <w:r w:rsidRPr="003C7547">
        <w:rPr>
          <w:rFonts w:ascii="Arial" w:hAnsi="Arial" w:cs="Arial"/>
        </w:rPr>
        <w:t>Clergeau, M-R, Hamon, M, Morello R, Saloux E, Viader F, Hamon M., Silent Cerebral Infarcts in Patients with Pulmonary Embolism and a Patent Foramen Ovale:  A Prospective Diffusion-Weighted MRI Study. Stroke.  2009;40:3758-3762.</w:t>
      </w:r>
    </w:p>
    <w:p w:rsidR="00550924" w:rsidRPr="003C7547" w:rsidRDefault="00550924" w:rsidP="00550924">
      <w:pPr>
        <w:rPr>
          <w:rFonts w:ascii="Arial" w:hAnsi="Arial" w:cs="Arial"/>
        </w:rPr>
      </w:pPr>
      <w:r w:rsidRPr="003C7547">
        <w:rPr>
          <w:rFonts w:ascii="Arial" w:hAnsi="Arial" w:cs="Arial"/>
        </w:rPr>
        <w:t>Colombatti R, De Bon E, Bertomoro A, Casonato A, Pontara E, Omenetto E, Saggiorato G, Steffan A, Damian T, Cella G, Teso S, Manara R, Rampazzo P, Meneghetti G, Basso G, Sartori MT, Sainati L. Coagulation activation in children with sickle cell disease is associated with cerebral small vessel vasculopathy. PLoS One. 2013 Oct 25;8(10):e78801.</w:t>
      </w:r>
    </w:p>
    <w:p w:rsidR="00550924" w:rsidRPr="003C7547" w:rsidRDefault="00550924" w:rsidP="00550924">
      <w:pPr>
        <w:rPr>
          <w:rFonts w:ascii="Arial" w:hAnsi="Arial" w:cs="Arial"/>
        </w:rPr>
      </w:pPr>
      <w:r w:rsidRPr="003C7547">
        <w:rPr>
          <w:rFonts w:ascii="Arial" w:hAnsi="Arial" w:cs="Arial"/>
        </w:rPr>
        <w:t>DeBaun MR, Gordon M, McKinstry RC, Noetzel MJ, White DA, Sarnaik SA, Meier ER, Howard TH, Majumdar S, Inusa BP, Telfer PT, Kirby-Allen M, McCavit TL, Kamdem A, Airewele G, Woods GM, Berman B, Panepinto JA, Fuh BR, Kwiatkowski JL, King AA, Fixler JM, Rhodes MM, Thompson AA, Heiny ME, Redding-Lallinger RC, Kirkham FJ, Dixon N, Gonzalez CE, Kalinyak KA, Quinn CT, Strouse JJ, Miller JP, Lehmann H, Kraut MA, Ball WS Jr, Hirtz D, Casella JF. Controlled trial of transfusions for silent cerebral infarcts in sickle cell anemia. N Engl J Med. 2014 Aug 21;371(8):699-710.</w:t>
      </w:r>
    </w:p>
    <w:p w:rsidR="00550924" w:rsidRPr="003C7547" w:rsidRDefault="00550924" w:rsidP="00550924">
      <w:pPr>
        <w:rPr>
          <w:rFonts w:ascii="Arial" w:hAnsi="Arial" w:cs="Arial"/>
        </w:rPr>
      </w:pPr>
      <w:r w:rsidRPr="003C7547">
        <w:rPr>
          <w:rFonts w:ascii="Arial" w:hAnsi="Arial" w:cs="Arial"/>
        </w:rPr>
        <w:t xml:space="preserve">Dowling MM and Ikemba CM, Intracardiac Shunting and Stroke in Children:  A Systematic Review.  </w:t>
      </w:r>
      <w:r w:rsidRPr="003C7547">
        <w:rPr>
          <w:rFonts w:ascii="Arial" w:hAnsi="Arial" w:cs="Arial"/>
          <w:i/>
        </w:rPr>
        <w:t>J Child Neurology</w:t>
      </w:r>
      <w:r w:rsidRPr="003C7547">
        <w:rPr>
          <w:rFonts w:ascii="Arial" w:hAnsi="Arial" w:cs="Arial"/>
        </w:rPr>
        <w:t xml:space="preserve">.  2011;26(1):72-82. </w:t>
      </w:r>
    </w:p>
    <w:p w:rsidR="00550924" w:rsidRPr="003C7547" w:rsidRDefault="00550924" w:rsidP="00550924">
      <w:pPr>
        <w:rPr>
          <w:rFonts w:ascii="Arial" w:hAnsi="Arial" w:cs="Arial"/>
        </w:rPr>
      </w:pPr>
      <w:r w:rsidRPr="003C7547">
        <w:rPr>
          <w:rFonts w:ascii="Arial" w:hAnsi="Arial" w:cs="Arial"/>
        </w:rPr>
        <w:t xml:space="preserve">Dowling MM, Lee N, Quinn CT, et al. Prevalence of Intracardiac Shunting in Children with Sickle Cell Disease and Stroke. </w:t>
      </w:r>
      <w:r w:rsidRPr="003C7547">
        <w:rPr>
          <w:rFonts w:ascii="Arial" w:hAnsi="Arial" w:cs="Arial"/>
          <w:i/>
        </w:rPr>
        <w:t>J Pediatrics</w:t>
      </w:r>
      <w:r w:rsidRPr="003C7547">
        <w:rPr>
          <w:rFonts w:ascii="Arial" w:hAnsi="Arial" w:cs="Arial"/>
        </w:rPr>
        <w:t xml:space="preserve">.  2010;156:645-50. </w:t>
      </w:r>
    </w:p>
    <w:p w:rsidR="00550924" w:rsidRPr="003C7547" w:rsidRDefault="00550924" w:rsidP="00550924">
      <w:pPr>
        <w:rPr>
          <w:rFonts w:ascii="Arial" w:hAnsi="Arial" w:cs="Arial"/>
        </w:rPr>
      </w:pPr>
      <w:r w:rsidRPr="003C7547">
        <w:rPr>
          <w:rFonts w:ascii="Arial" w:hAnsi="Arial" w:cs="Arial"/>
        </w:rPr>
        <w:t>Dowling MM, Quinn CT, Plumb P, Rogers ZR, Rollins NK, et al. Acute silent cerebral ischemia and infarction during acute anemia in children with and without sickle cell disease. Blood. 2012; 120(19):3891-7.</w:t>
      </w:r>
    </w:p>
    <w:p w:rsidR="00550924" w:rsidRPr="003C7547" w:rsidRDefault="00550924" w:rsidP="00550924">
      <w:pPr>
        <w:rPr>
          <w:rFonts w:ascii="Arial" w:hAnsi="Arial" w:cs="Arial"/>
        </w:rPr>
      </w:pPr>
      <w:r w:rsidRPr="003C7547">
        <w:rPr>
          <w:rFonts w:ascii="Arial" w:hAnsi="Arial" w:cs="Arial"/>
        </w:rPr>
        <w:t xml:space="preserve">Dowling MM, Quinn CT, Rogers ZR, Journeycake JM. Stroke in Sickle Cell Anemia:  Alternative Etiologies. </w:t>
      </w:r>
      <w:r w:rsidRPr="003C7547">
        <w:rPr>
          <w:rFonts w:ascii="Arial" w:hAnsi="Arial" w:cs="Arial"/>
          <w:i/>
        </w:rPr>
        <w:t>Ped Neurol</w:t>
      </w:r>
      <w:r w:rsidRPr="003C7547">
        <w:rPr>
          <w:rFonts w:ascii="Arial" w:hAnsi="Arial" w:cs="Arial"/>
        </w:rPr>
        <w:t>.  2009:41;124-126.</w:t>
      </w:r>
    </w:p>
    <w:p w:rsidR="00550924" w:rsidRPr="003C7547" w:rsidRDefault="00550924" w:rsidP="00550924">
      <w:pPr>
        <w:rPr>
          <w:rFonts w:ascii="Arial" w:hAnsi="Arial" w:cs="Arial"/>
        </w:rPr>
      </w:pPr>
      <w:r w:rsidRPr="003C7547">
        <w:rPr>
          <w:rFonts w:ascii="Arial" w:hAnsi="Arial" w:cs="Arial"/>
        </w:rPr>
        <w:t xml:space="preserve">Giardini A, Donti A, Formigari R, et al. Comparison of results of percutaneous closure of patent foramen ovale for paradoxical embolism in patients with versus without thrombophilia.  </w:t>
      </w:r>
      <w:r w:rsidRPr="003C7547">
        <w:rPr>
          <w:rFonts w:ascii="Arial" w:hAnsi="Arial" w:cs="Arial"/>
          <w:i/>
          <w:iCs/>
        </w:rPr>
        <w:t>Am J Cardiol</w:t>
      </w:r>
      <w:r w:rsidRPr="003C7547">
        <w:rPr>
          <w:rFonts w:ascii="Arial" w:hAnsi="Arial" w:cs="Arial"/>
          <w:iCs/>
        </w:rPr>
        <w:t>.</w:t>
      </w:r>
      <w:r w:rsidRPr="003C7547">
        <w:rPr>
          <w:rFonts w:ascii="Arial" w:hAnsi="Arial" w:cs="Arial"/>
        </w:rPr>
        <w:t xml:space="preserve">  2004;94:1012-1016.</w:t>
      </w:r>
    </w:p>
    <w:p w:rsidR="00C871D4" w:rsidRPr="003C7547" w:rsidRDefault="00C871D4" w:rsidP="00550924">
      <w:pPr>
        <w:rPr>
          <w:rFonts w:ascii="Arial" w:hAnsi="Arial" w:cs="Arial"/>
        </w:rPr>
      </w:pPr>
      <w:r w:rsidRPr="003C7547">
        <w:rPr>
          <w:rFonts w:ascii="Arial" w:hAnsi="Arial" w:cs="Arial"/>
        </w:rPr>
        <w:t xml:space="preserve">Hagen PT, Scholz DG, Edwards WD. Incidence and Size of Patent Foramen Ovale During First 10 Decades of Life:  An Autopsy Study of 965 Normal Hearts. </w:t>
      </w:r>
      <w:r w:rsidRPr="003C7547">
        <w:rPr>
          <w:rFonts w:ascii="Arial" w:hAnsi="Arial" w:cs="Arial"/>
          <w:i/>
        </w:rPr>
        <w:t>Mayo Clin Proc</w:t>
      </w:r>
      <w:r w:rsidRPr="003C7547">
        <w:rPr>
          <w:rFonts w:ascii="Arial" w:hAnsi="Arial" w:cs="Arial"/>
        </w:rPr>
        <w:t>.  1984;59:17-20.</w:t>
      </w:r>
    </w:p>
    <w:p w:rsidR="00550924" w:rsidRPr="003C7547" w:rsidRDefault="00550924" w:rsidP="00550924">
      <w:pPr>
        <w:rPr>
          <w:rFonts w:ascii="Arial" w:hAnsi="Arial" w:cs="Arial"/>
        </w:rPr>
      </w:pPr>
      <w:r w:rsidRPr="003C7547">
        <w:rPr>
          <w:rFonts w:ascii="Arial" w:hAnsi="Arial" w:cs="Arial"/>
        </w:rPr>
        <w:lastRenderedPageBreak/>
        <w:t xml:space="preserve">Hassell KL. Hematologic ramifications of patent foramen ovale-role of hypercoagulable state. </w:t>
      </w:r>
      <w:r w:rsidRPr="003C7547">
        <w:rPr>
          <w:rFonts w:ascii="Arial" w:hAnsi="Arial" w:cs="Arial"/>
          <w:i/>
          <w:iCs/>
        </w:rPr>
        <w:t>Cardiol Clin</w:t>
      </w:r>
      <w:r w:rsidRPr="003C7547">
        <w:rPr>
          <w:rFonts w:ascii="Arial" w:hAnsi="Arial" w:cs="Arial"/>
          <w:iCs/>
        </w:rPr>
        <w:t>.</w:t>
      </w:r>
      <w:r w:rsidRPr="003C7547">
        <w:rPr>
          <w:rFonts w:ascii="Arial" w:hAnsi="Arial" w:cs="Arial"/>
        </w:rPr>
        <w:t xml:space="preserve">  2005;23:65-71.</w:t>
      </w:r>
    </w:p>
    <w:p w:rsidR="00550924" w:rsidRPr="003C7547" w:rsidRDefault="00550924" w:rsidP="00550924">
      <w:pPr>
        <w:rPr>
          <w:rFonts w:ascii="Arial" w:hAnsi="Arial" w:cs="Arial"/>
        </w:rPr>
      </w:pPr>
      <w:r w:rsidRPr="003C7547">
        <w:rPr>
          <w:rFonts w:ascii="Arial" w:hAnsi="Arial" w:cs="Arial"/>
        </w:rPr>
        <w:t xml:space="preserve">Horton DP, Ferriero DM, Mentzer WC  Nontraumatic Fat Embolism Syndrome in Sickle Cell Anemia.  </w:t>
      </w:r>
      <w:r w:rsidRPr="003C7547">
        <w:rPr>
          <w:rFonts w:ascii="Arial" w:hAnsi="Arial" w:cs="Arial"/>
          <w:i/>
        </w:rPr>
        <w:t>Pediatr Neurol</w:t>
      </w:r>
      <w:r w:rsidRPr="003C7547">
        <w:rPr>
          <w:rFonts w:ascii="Arial" w:hAnsi="Arial" w:cs="Arial"/>
        </w:rPr>
        <w:t>.  1995; 12:77-80.</w:t>
      </w:r>
    </w:p>
    <w:p w:rsidR="00550924" w:rsidRPr="003C7547" w:rsidRDefault="00550924" w:rsidP="000642CD">
      <w:pPr>
        <w:rPr>
          <w:rFonts w:ascii="Arial" w:hAnsi="Arial" w:cs="Arial"/>
        </w:rPr>
      </w:pPr>
      <w:r w:rsidRPr="003C7547">
        <w:rPr>
          <w:rFonts w:ascii="Arial" w:hAnsi="Arial" w:cs="Arial"/>
        </w:rPr>
        <w:t xml:space="preserve">Hulbert ML, McKinstry RC, Lacey JL, Moran CJ, Panepinto JA, Thompson AA, Sarnaik SA, Woods GM, Casella JF, Inusa B, Howard J, Kirkham FJ, Anie KA, Mullin JE, Ichord R, Noetzel M, Yan Y, Rodeghier M, Debaun MR. Silent cerebral infarcts occur despite regular blood transfusion therapy after first strokes in children with sickle cell disease. Blood. 2011;117(3):772-779. </w:t>
      </w:r>
    </w:p>
    <w:p w:rsidR="00550924" w:rsidRPr="003C7547" w:rsidRDefault="00550924" w:rsidP="00550924">
      <w:pPr>
        <w:rPr>
          <w:rFonts w:ascii="Arial" w:hAnsi="Arial" w:cs="Arial"/>
        </w:rPr>
      </w:pPr>
      <w:r w:rsidRPr="003C7547">
        <w:rPr>
          <w:rFonts w:ascii="Arial" w:hAnsi="Arial" w:cs="Arial"/>
        </w:rPr>
        <w:t>Hyacinth HI, Adams RJ, Greenberg CS, Voeks JH, Hill A, Hibbert JM, Gee BE. Effect of Chronic Blood Transfusion on Biomarkers of Coagulation Activation and Thrombin Generation in Sickle Cell Patients at Risk for Stroke. PLoS One. 2015 Aug 25;10(8):e0134193.</w:t>
      </w:r>
    </w:p>
    <w:p w:rsidR="00C871D4" w:rsidRPr="003C7547" w:rsidRDefault="00C871D4" w:rsidP="00C871D4">
      <w:pPr>
        <w:rPr>
          <w:rFonts w:ascii="Arial" w:hAnsi="Arial" w:cs="Arial"/>
        </w:rPr>
      </w:pPr>
      <w:r w:rsidRPr="003C7547">
        <w:rPr>
          <w:rFonts w:ascii="Arial" w:hAnsi="Arial" w:cs="Arial"/>
        </w:rPr>
        <w:t xml:space="preserve">Karttunen, V, Hiltunen, L, Rasi, V, Vahtera, E, Hillbom, M.  Factor V Leiden and prothrombin gene mutation may predispose to paradoxical embolism in subjects with patent foramen ovale.  </w:t>
      </w:r>
      <w:r w:rsidRPr="003C7547">
        <w:rPr>
          <w:rFonts w:ascii="Arial" w:hAnsi="Arial" w:cs="Arial"/>
          <w:i/>
          <w:iCs/>
        </w:rPr>
        <w:t xml:space="preserve">Blood Coagul Fibrinolysis. </w:t>
      </w:r>
      <w:r w:rsidRPr="003C7547">
        <w:rPr>
          <w:rFonts w:ascii="Arial" w:hAnsi="Arial" w:cs="Arial"/>
        </w:rPr>
        <w:t xml:space="preserve"> 2003; 14(3): 261-8.</w:t>
      </w:r>
    </w:p>
    <w:p w:rsidR="00C871D4" w:rsidRPr="003C7547" w:rsidRDefault="00C871D4" w:rsidP="00C871D4">
      <w:pPr>
        <w:rPr>
          <w:rFonts w:ascii="Arial" w:hAnsi="Arial" w:cs="Arial"/>
        </w:rPr>
      </w:pPr>
      <w:r w:rsidRPr="003C7547">
        <w:rPr>
          <w:rFonts w:ascii="Arial" w:hAnsi="Arial" w:cs="Arial"/>
        </w:rPr>
        <w:t>Kirkham FJ.  Therapy Insight: stroke risk and its management in patients with sickle cell disease.  Nature Clinical Practice Neurology 2007:3(5):264-278.</w:t>
      </w:r>
    </w:p>
    <w:p w:rsidR="00C871D4" w:rsidRPr="003C7547" w:rsidRDefault="00C871D4" w:rsidP="00C871D4">
      <w:pPr>
        <w:rPr>
          <w:rFonts w:ascii="Arial" w:hAnsi="Arial" w:cs="Arial"/>
        </w:rPr>
      </w:pPr>
      <w:r w:rsidRPr="003C7547">
        <w:rPr>
          <w:rFonts w:ascii="Arial" w:hAnsi="Arial" w:cs="Arial"/>
        </w:rPr>
        <w:t>Langer N, O’Riodan M, Rao, SK, Little JA, Schilz R., right-To-Left Shunts (Extra-Cardiac Arterial-Venous Malformations) Are Highly Common in Adults with Sickle Cell Disease.  Blood.  2013;122:1004</w:t>
      </w:r>
    </w:p>
    <w:p w:rsidR="00550924" w:rsidRPr="003C7547" w:rsidRDefault="00C871D4" w:rsidP="000642CD">
      <w:pPr>
        <w:rPr>
          <w:rFonts w:ascii="Arial" w:hAnsi="Arial" w:cs="Arial"/>
        </w:rPr>
      </w:pPr>
      <w:r w:rsidRPr="003C7547">
        <w:rPr>
          <w:rFonts w:ascii="Arial" w:hAnsi="Arial" w:cs="Arial"/>
        </w:rPr>
        <w:t>Mackay MT, Wiznitzer M, Benedict SL, Lee KJ, deVeber GA, Ganesan V, International Pediatric Stroke Study Group.  Arterial Ischemic Stroke Risk Factors:  The International Pediatric Stroke Study.  Ann Neurol 2011;69:130-140.</w:t>
      </w:r>
    </w:p>
    <w:p w:rsidR="00C871D4" w:rsidRPr="003C7547" w:rsidRDefault="00C871D4" w:rsidP="00C871D4">
      <w:pPr>
        <w:rPr>
          <w:rFonts w:ascii="Arial" w:hAnsi="Arial" w:cs="Arial"/>
        </w:rPr>
      </w:pPr>
      <w:r w:rsidRPr="003C7547">
        <w:rPr>
          <w:rFonts w:ascii="Arial" w:hAnsi="Arial" w:cs="Arial"/>
        </w:rPr>
        <w:t xml:space="preserve">Mattle HP, Meier B, Nedeltchev K., Prevention of stroke in patients with patent foramen ovale.  Int J of Stroke, 2010;5:92-102. </w:t>
      </w:r>
    </w:p>
    <w:p w:rsidR="00C871D4" w:rsidRPr="003C7547" w:rsidRDefault="00C871D4" w:rsidP="00C871D4">
      <w:pPr>
        <w:rPr>
          <w:rFonts w:ascii="Arial" w:hAnsi="Arial" w:cs="Arial"/>
        </w:rPr>
      </w:pPr>
      <w:r w:rsidRPr="003C7547">
        <w:rPr>
          <w:rFonts w:ascii="Arial" w:hAnsi="Arial" w:cs="Arial"/>
        </w:rPr>
        <w:t>Ning MM, Lo EH, Ning P-C, Xu S-Y, McMullin D, Demirjian Z, Inglessis I, Dec GW, Palacios I, Buonanno FS.  The Brain’s Heart – Therapeutic Opportunities for Patent Foramen Ovale (PFO) and Neurovascular Disease.  Pharmacol Ther. 2013;139(2):111-123.</w:t>
      </w:r>
    </w:p>
    <w:p w:rsidR="00C871D4" w:rsidRPr="003C7547" w:rsidRDefault="00C871D4" w:rsidP="00C871D4">
      <w:pPr>
        <w:rPr>
          <w:rFonts w:ascii="Arial" w:hAnsi="Arial" w:cs="Arial"/>
        </w:rPr>
      </w:pPr>
      <w:r w:rsidRPr="003C7547">
        <w:rPr>
          <w:rFonts w:ascii="Arial" w:hAnsi="Arial" w:cs="Arial"/>
        </w:rPr>
        <w:t xml:space="preserve">Overell JR, Bone I, Lees KR. Interatrial septal abnormalities and stroke: a meta-analysis of case-control studies. </w:t>
      </w:r>
      <w:r w:rsidRPr="003C7547">
        <w:rPr>
          <w:rFonts w:ascii="Arial" w:hAnsi="Arial" w:cs="Arial"/>
          <w:i/>
        </w:rPr>
        <w:t>Neurology</w:t>
      </w:r>
      <w:r w:rsidRPr="003C7547">
        <w:rPr>
          <w:rFonts w:ascii="Arial" w:hAnsi="Arial" w:cs="Arial"/>
        </w:rPr>
        <w:t>.  2000;55:1172-1179.</w:t>
      </w:r>
    </w:p>
    <w:p w:rsidR="00C871D4" w:rsidRPr="003C7547" w:rsidRDefault="00C871D4" w:rsidP="00C871D4">
      <w:pPr>
        <w:rPr>
          <w:rFonts w:ascii="Arial" w:hAnsi="Arial" w:cs="Arial"/>
        </w:rPr>
      </w:pPr>
      <w:r w:rsidRPr="003C7547">
        <w:rPr>
          <w:rFonts w:ascii="Arial" w:hAnsi="Arial" w:cs="Arial"/>
        </w:rPr>
        <w:t xml:space="preserve">Pell ACH, Hughes D, Keating J, Christie J, Busuttil A, Sutherland GR. Fulminating Fat Embolism Syndrome Caused by Paradoxical Embolism through a Patent Foramen Ovale.  </w:t>
      </w:r>
      <w:r w:rsidRPr="003C7547">
        <w:rPr>
          <w:rFonts w:ascii="Arial" w:hAnsi="Arial" w:cs="Arial"/>
          <w:i/>
        </w:rPr>
        <w:t>NEJM</w:t>
      </w:r>
      <w:r w:rsidRPr="003C7547">
        <w:rPr>
          <w:rFonts w:ascii="Arial" w:hAnsi="Arial" w:cs="Arial"/>
        </w:rPr>
        <w:t>.  1993; 329:926-29.</w:t>
      </w:r>
    </w:p>
    <w:p w:rsidR="00C871D4" w:rsidRPr="003C7547" w:rsidRDefault="00C871D4" w:rsidP="00C871D4">
      <w:pPr>
        <w:rPr>
          <w:rFonts w:ascii="Arial" w:hAnsi="Arial" w:cs="Arial"/>
        </w:rPr>
      </w:pPr>
      <w:r w:rsidRPr="003C7547">
        <w:rPr>
          <w:rFonts w:ascii="Arial" w:hAnsi="Arial" w:cs="Arial"/>
        </w:rPr>
        <w:t>Quinn CT, Sargent JW. Daytime steady-state haemoglobin desaturation is a risk factor for overt stroke in children with sickle cell anaemia.  Br J Haematol. 2008 Feb;140(3):336-9.</w:t>
      </w:r>
    </w:p>
    <w:p w:rsidR="00515668" w:rsidRPr="003C7547" w:rsidRDefault="00515668" w:rsidP="000642CD">
      <w:pPr>
        <w:rPr>
          <w:rFonts w:ascii="Arial" w:hAnsi="Arial" w:cs="Arial"/>
        </w:rPr>
      </w:pPr>
      <w:r w:rsidRPr="003C7547">
        <w:rPr>
          <w:rFonts w:ascii="Arial" w:hAnsi="Arial" w:cs="Arial"/>
        </w:rPr>
        <w:lastRenderedPageBreak/>
        <w:t>Roach ES, Golomb MR, Adams R, Biller J, Daniels S, Deveber G, Ferriero D, Jones BV, Kirkham FJ, Scott RM, Smith ER; American Heart Association Stroke Council; Council on Cardiovascular Disease in the Young. Management of stroke in infants and children: a scientific statement from a Special Writing Group of the American Heart Association Stroke Council and the Council on Cardiovascular Disease in the Young. Stroke. 2008 Sep;39(9):2644-91 Erratum in: Stroke. 2009 Jan 1;40(1):e8-10.</w:t>
      </w:r>
    </w:p>
    <w:p w:rsidR="00C871D4" w:rsidRPr="003C7547" w:rsidRDefault="00C871D4" w:rsidP="00C871D4">
      <w:pPr>
        <w:rPr>
          <w:rFonts w:ascii="Arial" w:hAnsi="Arial" w:cs="Arial"/>
        </w:rPr>
      </w:pPr>
      <w:r w:rsidRPr="003C7547">
        <w:rPr>
          <w:rFonts w:ascii="Arial" w:hAnsi="Arial" w:cs="Arial"/>
        </w:rPr>
        <w:t>Schwedt TJ, Demaerschalk BM, Kodick DW., Patent foramen ovale and migraine: a quantitative systematic review.  Cephalalgia 2008;28:531-540.</w:t>
      </w:r>
    </w:p>
    <w:p w:rsidR="00C871D4" w:rsidRPr="003C7547" w:rsidRDefault="00C871D4" w:rsidP="00C871D4">
      <w:pPr>
        <w:rPr>
          <w:rFonts w:ascii="Arial" w:hAnsi="Arial" w:cs="Arial"/>
        </w:rPr>
      </w:pPr>
      <w:r w:rsidRPr="003C7547">
        <w:rPr>
          <w:rFonts w:ascii="Arial" w:hAnsi="Arial" w:cs="Arial"/>
        </w:rPr>
        <w:t>Scothorn DJ, Price C, Schwartz D, Terrill C, Buchanan GR, Shurney W, Sarniak I, Fallor R, Chu J-Y, Pegelow CH, Wang W, Casella JF, Resar LS, Berman B, Adamkiewicz T, Hsu LL, Ohene-Frempong K, smith-Whitley K, Mahoney D, Scott JP, Woods GM, Watanabe M, DeBaun MR  Risk of recurrent stroke in children with sickle cell disease receiving blood transfusion therapy for at least five years after initial stroke.  J Pediatr  2002;140:348-354.</w:t>
      </w:r>
    </w:p>
    <w:p w:rsidR="00C871D4" w:rsidRPr="003C7547" w:rsidRDefault="00C871D4" w:rsidP="00C871D4">
      <w:pPr>
        <w:rPr>
          <w:rFonts w:ascii="Arial" w:hAnsi="Arial" w:cs="Arial"/>
        </w:rPr>
      </w:pPr>
      <w:r w:rsidRPr="003C7547">
        <w:rPr>
          <w:rFonts w:ascii="Arial" w:hAnsi="Arial" w:cs="Arial"/>
        </w:rPr>
        <w:t>Shah N, Thornburg C, Telen MJ, Ortel TL. Characterization of the hypercoagulable state in patients with sickle cell disease. Thromb Res. 2012;130(5):e241-5</w:t>
      </w:r>
    </w:p>
    <w:p w:rsidR="00C871D4" w:rsidRPr="003C7547" w:rsidRDefault="00C871D4" w:rsidP="00C871D4">
      <w:pPr>
        <w:rPr>
          <w:rFonts w:ascii="Arial" w:hAnsi="Arial" w:cs="Arial"/>
        </w:rPr>
      </w:pPr>
      <w:r w:rsidRPr="003C7547">
        <w:rPr>
          <w:rFonts w:ascii="Arial" w:hAnsi="Arial" w:cs="Arial"/>
        </w:rPr>
        <w:t>Ueno Y, Shimada Y, Tanaka R, Miyamoto N, Tanaka Y, Hattori N, Urabe T., Patent Foramen Ovale with Atrial Septal Aneurysm May Contribute to White Matter Lesions in Stroke Patients.  Cerebrovasc Dis 2010;30;1-22.</w:t>
      </w:r>
    </w:p>
    <w:p w:rsidR="00C871D4" w:rsidRPr="003C7547" w:rsidRDefault="00C871D4" w:rsidP="00C871D4">
      <w:pPr>
        <w:rPr>
          <w:rFonts w:ascii="Arial" w:hAnsi="Arial" w:cs="Arial"/>
        </w:rPr>
      </w:pPr>
      <w:r w:rsidRPr="003C7547">
        <w:rPr>
          <w:rFonts w:ascii="Arial" w:hAnsi="Arial" w:cs="Arial"/>
        </w:rPr>
        <w:t xml:space="preserve">Vichinsky E, Williams R, Das M, Earles AN, Lewis N, Adler A, et al. Pulmonary fat embolism: a distinct cause of severe acute chest syndrome in sickle cell anemia.  </w:t>
      </w:r>
      <w:r w:rsidRPr="003C7547">
        <w:rPr>
          <w:rFonts w:ascii="Arial" w:hAnsi="Arial" w:cs="Arial"/>
          <w:i/>
        </w:rPr>
        <w:t>Blood</w:t>
      </w:r>
      <w:r w:rsidRPr="003C7547">
        <w:rPr>
          <w:rFonts w:ascii="Arial" w:hAnsi="Arial" w:cs="Arial"/>
        </w:rPr>
        <w:t>.  1994; 83: 3107-12.</w:t>
      </w:r>
    </w:p>
    <w:p w:rsidR="00C871D4" w:rsidRPr="003C7547" w:rsidRDefault="00C871D4" w:rsidP="000642CD">
      <w:pPr>
        <w:rPr>
          <w:rFonts w:ascii="Arial" w:hAnsi="Arial" w:cs="Arial"/>
        </w:rPr>
      </w:pPr>
      <w:r w:rsidRPr="003C7547">
        <w:rPr>
          <w:rFonts w:ascii="Arial" w:hAnsi="Arial" w:cs="Arial"/>
        </w:rPr>
        <w:t xml:space="preserve">Whelihan MF, Lim MY, Key NS. Red blood cells and thrombin generation in sickle cell disease. Thromb Res. 2014 May;133 Suppl 1:S52-3. </w:t>
      </w:r>
    </w:p>
    <w:p w:rsidR="00515668" w:rsidRPr="003C7547" w:rsidRDefault="00515668" w:rsidP="006559C8">
      <w:pPr>
        <w:rPr>
          <w:rFonts w:ascii="Arial" w:hAnsi="Arial" w:cs="Arial"/>
        </w:rPr>
      </w:pPr>
      <w:r w:rsidRPr="003C7547">
        <w:rPr>
          <w:rFonts w:ascii="Arial" w:hAnsi="Arial" w:cs="Arial"/>
        </w:rPr>
        <w:t xml:space="preserve">Woods, TD, Patel, A. A critical review of patent foramen ovale detection using saline contrast echocardiography: when bubbles lie.  </w:t>
      </w:r>
      <w:r w:rsidRPr="003C7547">
        <w:rPr>
          <w:rFonts w:ascii="Arial" w:hAnsi="Arial" w:cs="Arial"/>
          <w:i/>
        </w:rPr>
        <w:t>J Am Soc Echocardiogr</w:t>
      </w:r>
      <w:r w:rsidRPr="003C7547">
        <w:rPr>
          <w:rFonts w:ascii="Arial" w:hAnsi="Arial" w:cs="Arial"/>
        </w:rPr>
        <w:t>.  2006;19:215-22.</w:t>
      </w:r>
    </w:p>
    <w:p w:rsidR="00A9497B" w:rsidRPr="003C7547" w:rsidRDefault="00A9497B" w:rsidP="00A9497B">
      <w:pPr>
        <w:rPr>
          <w:rFonts w:ascii="Arial" w:hAnsi="Arial" w:cs="Arial"/>
        </w:rPr>
      </w:pPr>
    </w:p>
    <w:p w:rsidR="00A9497B" w:rsidRPr="003C7547" w:rsidRDefault="00A9497B" w:rsidP="00A9497B">
      <w:pPr>
        <w:rPr>
          <w:rFonts w:ascii="Arial" w:hAnsi="Arial" w:cs="Arial"/>
        </w:rPr>
      </w:pPr>
    </w:p>
    <w:p w:rsidR="007F5B91" w:rsidRPr="003C7547" w:rsidRDefault="007F5B91" w:rsidP="007F5B91">
      <w:pPr>
        <w:rPr>
          <w:rFonts w:ascii="Arial" w:hAnsi="Arial" w:cs="Arial"/>
        </w:rPr>
      </w:pPr>
    </w:p>
    <w:p w:rsidR="00DF0A80" w:rsidRPr="003C7547" w:rsidRDefault="00DF0A80" w:rsidP="007F5B91">
      <w:pPr>
        <w:rPr>
          <w:rFonts w:ascii="Arial" w:hAnsi="Arial" w:cs="Arial"/>
        </w:rPr>
      </w:pPr>
    </w:p>
    <w:p w:rsidR="00A9497B" w:rsidRPr="003C7547" w:rsidRDefault="00A9497B">
      <w:pPr>
        <w:rPr>
          <w:rFonts w:ascii="Arial" w:hAnsi="Arial" w:cs="Arial"/>
        </w:rPr>
      </w:pPr>
      <w:r w:rsidRPr="003C7547">
        <w:rPr>
          <w:rFonts w:ascii="Arial" w:hAnsi="Arial" w:cs="Arial"/>
        </w:rPr>
        <w:br w:type="page"/>
      </w:r>
    </w:p>
    <w:p w:rsidR="0055090A" w:rsidRPr="003C7547" w:rsidRDefault="0055090A" w:rsidP="006559C8">
      <w:pPr>
        <w:rPr>
          <w:rFonts w:ascii="Arial" w:hAnsi="Arial" w:cs="Arial"/>
        </w:rPr>
      </w:pPr>
    </w:p>
    <w:p w:rsidR="003D7C77" w:rsidRPr="003C7547" w:rsidRDefault="003D7C77" w:rsidP="003D7C77">
      <w:pPr>
        <w:spacing w:after="0"/>
        <w:rPr>
          <w:rFonts w:ascii="Arial" w:hAnsi="Arial" w:cs="Arial"/>
          <w:b/>
        </w:rPr>
      </w:pPr>
      <w:r w:rsidRPr="003C7547">
        <w:rPr>
          <w:rFonts w:ascii="Arial" w:hAnsi="Arial" w:cs="Arial"/>
          <w:b/>
        </w:rPr>
        <w:t>Table 1   Subjects</w:t>
      </w:r>
    </w:p>
    <w:tbl>
      <w:tblPr>
        <w:tblStyle w:val="TableGrid"/>
        <w:tblW w:w="0" w:type="auto"/>
        <w:tblLayout w:type="fixed"/>
        <w:tblLook w:val="04A0" w:firstRow="1" w:lastRow="0" w:firstColumn="1" w:lastColumn="0" w:noHBand="0" w:noVBand="1"/>
      </w:tblPr>
      <w:tblGrid>
        <w:gridCol w:w="3528"/>
        <w:gridCol w:w="2340"/>
        <w:gridCol w:w="2340"/>
        <w:gridCol w:w="1368"/>
      </w:tblGrid>
      <w:tr w:rsidR="003D7C77" w:rsidRPr="003C7547" w:rsidTr="00206349">
        <w:tc>
          <w:tcPr>
            <w:tcW w:w="3528" w:type="dxa"/>
          </w:tcPr>
          <w:p w:rsidR="003D7C77" w:rsidRPr="003C7547" w:rsidRDefault="003D7C77" w:rsidP="00E814C1">
            <w:pPr>
              <w:rPr>
                <w:rFonts w:ascii="Arial" w:hAnsi="Arial" w:cs="Arial"/>
              </w:rPr>
            </w:pPr>
          </w:p>
        </w:tc>
        <w:tc>
          <w:tcPr>
            <w:tcW w:w="2340" w:type="dxa"/>
            <w:vAlign w:val="center"/>
          </w:tcPr>
          <w:p w:rsidR="003D7C77" w:rsidRPr="003C7547" w:rsidRDefault="003D7C77" w:rsidP="00D93044">
            <w:pPr>
              <w:jc w:val="center"/>
              <w:rPr>
                <w:rFonts w:ascii="Arial" w:hAnsi="Arial" w:cs="Arial"/>
                <w:b/>
              </w:rPr>
            </w:pPr>
            <w:r w:rsidRPr="003C7547">
              <w:rPr>
                <w:rFonts w:ascii="Arial" w:hAnsi="Arial" w:cs="Arial"/>
                <w:b/>
              </w:rPr>
              <w:t>SC</w:t>
            </w:r>
            <w:r w:rsidR="00D93044" w:rsidRPr="003C7547">
              <w:rPr>
                <w:rFonts w:ascii="Arial" w:hAnsi="Arial" w:cs="Arial"/>
                <w:b/>
              </w:rPr>
              <w:t>A</w:t>
            </w:r>
            <w:r w:rsidR="005E35D6" w:rsidRPr="003C7547">
              <w:rPr>
                <w:rFonts w:ascii="Arial" w:hAnsi="Arial" w:cs="Arial"/>
                <w:b/>
              </w:rPr>
              <w:t>+</w:t>
            </w:r>
            <w:r w:rsidRPr="003C7547">
              <w:rPr>
                <w:rFonts w:ascii="Arial" w:hAnsi="Arial" w:cs="Arial"/>
                <w:b/>
              </w:rPr>
              <w:t>Stroke</w:t>
            </w:r>
            <w:r w:rsidR="00FD2FBC" w:rsidRPr="003C7547">
              <w:rPr>
                <w:rFonts w:ascii="Arial" w:hAnsi="Arial" w:cs="Arial"/>
                <w:b/>
              </w:rPr>
              <w:t xml:space="preserve"> </w:t>
            </w:r>
          </w:p>
        </w:tc>
        <w:tc>
          <w:tcPr>
            <w:tcW w:w="2340" w:type="dxa"/>
            <w:vAlign w:val="center"/>
          </w:tcPr>
          <w:p w:rsidR="003D7C77" w:rsidRPr="003C7547" w:rsidRDefault="003D7C77" w:rsidP="003D7C77">
            <w:pPr>
              <w:jc w:val="center"/>
              <w:rPr>
                <w:rFonts w:ascii="Arial" w:hAnsi="Arial" w:cs="Arial"/>
                <w:b/>
              </w:rPr>
            </w:pPr>
            <w:r w:rsidRPr="003C7547">
              <w:rPr>
                <w:rFonts w:ascii="Arial" w:hAnsi="Arial" w:cs="Arial"/>
                <w:b/>
              </w:rPr>
              <w:t>Control</w:t>
            </w:r>
          </w:p>
        </w:tc>
        <w:tc>
          <w:tcPr>
            <w:tcW w:w="1368" w:type="dxa"/>
            <w:vAlign w:val="center"/>
          </w:tcPr>
          <w:p w:rsidR="003D7C77" w:rsidRPr="003C7547" w:rsidRDefault="003D7C77" w:rsidP="003D7C77">
            <w:pPr>
              <w:jc w:val="center"/>
              <w:rPr>
                <w:rFonts w:ascii="Arial" w:hAnsi="Arial" w:cs="Arial"/>
                <w:b/>
              </w:rPr>
            </w:pPr>
            <w:r w:rsidRPr="003C7547">
              <w:rPr>
                <w:rFonts w:ascii="Arial" w:hAnsi="Arial" w:cs="Arial"/>
                <w:b/>
              </w:rPr>
              <w:t>P value</w:t>
            </w:r>
          </w:p>
        </w:tc>
      </w:tr>
      <w:tr w:rsidR="003D7C77" w:rsidRPr="003C7547" w:rsidTr="00FD2FBC">
        <w:tc>
          <w:tcPr>
            <w:tcW w:w="3528" w:type="dxa"/>
          </w:tcPr>
          <w:p w:rsidR="00FD2FBC" w:rsidRPr="003C7547" w:rsidRDefault="003D7C77" w:rsidP="00FD2FBC">
            <w:pPr>
              <w:rPr>
                <w:rFonts w:ascii="Arial" w:hAnsi="Arial" w:cs="Arial"/>
                <w:b/>
              </w:rPr>
            </w:pPr>
            <w:r w:rsidRPr="003C7547">
              <w:rPr>
                <w:rFonts w:ascii="Arial" w:hAnsi="Arial" w:cs="Arial"/>
                <w:b/>
              </w:rPr>
              <w:t>Age at Stroke Onset</w:t>
            </w:r>
            <w:r w:rsidR="00FD2FBC" w:rsidRPr="003C7547">
              <w:rPr>
                <w:rFonts w:ascii="Arial" w:hAnsi="Arial" w:cs="Arial"/>
                <w:b/>
              </w:rPr>
              <w:t xml:space="preserve"> </w:t>
            </w:r>
          </w:p>
          <w:p w:rsidR="003D7C77" w:rsidRPr="003C7547" w:rsidRDefault="00FD2FBC" w:rsidP="00FD2FBC">
            <w:pPr>
              <w:rPr>
                <w:rFonts w:ascii="Arial" w:hAnsi="Arial" w:cs="Arial"/>
                <w:b/>
              </w:rPr>
            </w:pPr>
            <w:r w:rsidRPr="003C7547">
              <w:rPr>
                <w:rFonts w:ascii="Arial" w:hAnsi="Arial" w:cs="Arial"/>
                <w:b/>
              </w:rPr>
              <w:t>(mean yr ± SD</w:t>
            </w:r>
            <w:r w:rsidR="003D7C77" w:rsidRPr="003C7547">
              <w:rPr>
                <w:rFonts w:ascii="Arial" w:hAnsi="Arial" w:cs="Arial"/>
                <w:b/>
              </w:rPr>
              <w:t>)</w:t>
            </w:r>
          </w:p>
        </w:tc>
        <w:tc>
          <w:tcPr>
            <w:tcW w:w="2340" w:type="dxa"/>
            <w:vAlign w:val="center"/>
          </w:tcPr>
          <w:p w:rsidR="003D7C77" w:rsidRPr="003C7547" w:rsidRDefault="00881C36" w:rsidP="00FD2FBC">
            <w:pPr>
              <w:jc w:val="center"/>
              <w:rPr>
                <w:rFonts w:ascii="Arial" w:hAnsi="Arial" w:cs="Arial"/>
              </w:rPr>
            </w:pPr>
            <w:r w:rsidRPr="003C7547">
              <w:rPr>
                <w:rFonts w:ascii="Arial" w:hAnsi="Arial" w:cs="Arial"/>
              </w:rPr>
              <w:t>6.2 ± 3.8</w:t>
            </w:r>
          </w:p>
        </w:tc>
        <w:tc>
          <w:tcPr>
            <w:tcW w:w="2340" w:type="dxa"/>
            <w:vAlign w:val="center"/>
          </w:tcPr>
          <w:p w:rsidR="003D7C77" w:rsidRPr="003C7547" w:rsidRDefault="00881C36" w:rsidP="00FD2FBC">
            <w:pPr>
              <w:jc w:val="center"/>
              <w:rPr>
                <w:rFonts w:ascii="Arial" w:hAnsi="Arial" w:cs="Arial"/>
              </w:rPr>
            </w:pPr>
            <w:r w:rsidRPr="003C7547">
              <w:rPr>
                <w:rFonts w:ascii="Arial" w:hAnsi="Arial" w:cs="Arial"/>
              </w:rPr>
              <w:t>-</w:t>
            </w:r>
          </w:p>
        </w:tc>
        <w:tc>
          <w:tcPr>
            <w:tcW w:w="1368" w:type="dxa"/>
            <w:vAlign w:val="center"/>
          </w:tcPr>
          <w:p w:rsidR="003D7C77" w:rsidRPr="003C7547" w:rsidRDefault="00881C36" w:rsidP="00FD2FBC">
            <w:pPr>
              <w:jc w:val="center"/>
              <w:rPr>
                <w:rFonts w:ascii="Arial" w:hAnsi="Arial" w:cs="Arial"/>
              </w:rPr>
            </w:pPr>
            <w:r w:rsidRPr="003C7547">
              <w:rPr>
                <w:rFonts w:ascii="Arial" w:hAnsi="Arial" w:cs="Arial"/>
              </w:rPr>
              <w:t>-</w:t>
            </w:r>
          </w:p>
        </w:tc>
      </w:tr>
      <w:tr w:rsidR="003D7C77" w:rsidRPr="003C7547" w:rsidTr="00FD2FBC">
        <w:tc>
          <w:tcPr>
            <w:tcW w:w="3528" w:type="dxa"/>
          </w:tcPr>
          <w:p w:rsidR="00FD2FBC" w:rsidRPr="003C7547" w:rsidRDefault="003D7C77" w:rsidP="00E814C1">
            <w:pPr>
              <w:rPr>
                <w:rFonts w:ascii="Arial" w:hAnsi="Arial" w:cs="Arial"/>
                <w:b/>
              </w:rPr>
            </w:pPr>
            <w:r w:rsidRPr="003C7547">
              <w:rPr>
                <w:rFonts w:ascii="Arial" w:hAnsi="Arial" w:cs="Arial"/>
                <w:b/>
              </w:rPr>
              <w:t xml:space="preserve">Age at Echocardiogram </w:t>
            </w:r>
          </w:p>
          <w:p w:rsidR="003D7C77" w:rsidRPr="003C7547" w:rsidRDefault="00FD2FBC" w:rsidP="00E814C1">
            <w:pPr>
              <w:rPr>
                <w:rFonts w:ascii="Arial" w:hAnsi="Arial" w:cs="Arial"/>
                <w:b/>
              </w:rPr>
            </w:pPr>
            <w:r w:rsidRPr="003C7547">
              <w:rPr>
                <w:rFonts w:ascii="Arial" w:hAnsi="Arial" w:cs="Arial"/>
                <w:b/>
              </w:rPr>
              <w:t>(mean yr ± SD)</w:t>
            </w:r>
          </w:p>
        </w:tc>
        <w:tc>
          <w:tcPr>
            <w:tcW w:w="2340" w:type="dxa"/>
            <w:vAlign w:val="center"/>
          </w:tcPr>
          <w:p w:rsidR="003D7C77" w:rsidRPr="003C7547" w:rsidRDefault="00881C36" w:rsidP="00FD2FBC">
            <w:pPr>
              <w:jc w:val="center"/>
              <w:rPr>
                <w:rFonts w:ascii="Arial" w:hAnsi="Arial" w:cs="Arial"/>
              </w:rPr>
            </w:pPr>
            <w:r w:rsidRPr="003C7547">
              <w:rPr>
                <w:rFonts w:ascii="Arial" w:hAnsi="Arial" w:cs="Arial"/>
              </w:rPr>
              <w:t>12.7 ± 4.8</w:t>
            </w:r>
          </w:p>
        </w:tc>
        <w:tc>
          <w:tcPr>
            <w:tcW w:w="2340" w:type="dxa"/>
            <w:vAlign w:val="center"/>
          </w:tcPr>
          <w:p w:rsidR="003D7C77" w:rsidRPr="003C7547" w:rsidRDefault="00881C36" w:rsidP="00FD2FBC">
            <w:pPr>
              <w:jc w:val="center"/>
              <w:rPr>
                <w:rFonts w:ascii="Arial" w:hAnsi="Arial" w:cs="Arial"/>
              </w:rPr>
            </w:pPr>
            <w:r w:rsidRPr="003C7547">
              <w:rPr>
                <w:rFonts w:ascii="Arial" w:hAnsi="Arial" w:cs="Arial"/>
              </w:rPr>
              <w:t>12.1 ± 4.9</w:t>
            </w:r>
          </w:p>
        </w:tc>
        <w:tc>
          <w:tcPr>
            <w:tcW w:w="1368" w:type="dxa"/>
            <w:vAlign w:val="center"/>
          </w:tcPr>
          <w:p w:rsidR="003D7C77" w:rsidRPr="003C7547" w:rsidRDefault="00FD2FBC" w:rsidP="00FD2FBC">
            <w:pPr>
              <w:jc w:val="center"/>
              <w:rPr>
                <w:rFonts w:ascii="Arial" w:hAnsi="Arial" w:cs="Arial"/>
              </w:rPr>
            </w:pPr>
            <w:r w:rsidRPr="003C7547">
              <w:rPr>
                <w:rFonts w:ascii="Arial" w:hAnsi="Arial" w:cs="Arial"/>
              </w:rPr>
              <w:t>0.326</w:t>
            </w:r>
            <w:r w:rsidR="00080E56" w:rsidRPr="003C7547">
              <w:rPr>
                <w:rFonts w:ascii="Arial" w:hAnsi="Arial" w:cs="Arial"/>
              </w:rPr>
              <w:t>*</w:t>
            </w:r>
          </w:p>
        </w:tc>
      </w:tr>
      <w:tr w:rsidR="003D7C77" w:rsidRPr="003C7547" w:rsidTr="00FD2FBC">
        <w:tc>
          <w:tcPr>
            <w:tcW w:w="3528" w:type="dxa"/>
          </w:tcPr>
          <w:p w:rsidR="00FD2FBC" w:rsidRPr="003C7547" w:rsidRDefault="003D7C77" w:rsidP="00E814C1">
            <w:pPr>
              <w:rPr>
                <w:rFonts w:ascii="Arial" w:hAnsi="Arial" w:cs="Arial"/>
                <w:b/>
              </w:rPr>
            </w:pPr>
            <w:r w:rsidRPr="003C7547">
              <w:rPr>
                <w:rFonts w:ascii="Arial" w:hAnsi="Arial" w:cs="Arial"/>
                <w:b/>
              </w:rPr>
              <w:t xml:space="preserve">Gender </w:t>
            </w:r>
          </w:p>
          <w:p w:rsidR="003D7C77" w:rsidRPr="003C7547" w:rsidRDefault="003D7C77" w:rsidP="00E814C1">
            <w:pPr>
              <w:rPr>
                <w:rFonts w:ascii="Arial" w:hAnsi="Arial" w:cs="Arial"/>
                <w:b/>
              </w:rPr>
            </w:pPr>
            <w:r w:rsidRPr="003C7547">
              <w:rPr>
                <w:rFonts w:ascii="Arial" w:hAnsi="Arial" w:cs="Arial"/>
                <w:b/>
              </w:rPr>
              <w:t>(% male)</w:t>
            </w:r>
          </w:p>
        </w:tc>
        <w:tc>
          <w:tcPr>
            <w:tcW w:w="2340" w:type="dxa"/>
            <w:vAlign w:val="center"/>
          </w:tcPr>
          <w:p w:rsidR="003D7C77" w:rsidRPr="003C7547" w:rsidRDefault="00FD2FBC" w:rsidP="00A940DC">
            <w:pPr>
              <w:jc w:val="center"/>
              <w:rPr>
                <w:rFonts w:ascii="Arial" w:hAnsi="Arial" w:cs="Arial"/>
              </w:rPr>
            </w:pPr>
            <w:r w:rsidRPr="003C7547">
              <w:rPr>
                <w:rFonts w:ascii="Arial" w:hAnsi="Arial" w:cs="Arial"/>
              </w:rPr>
              <w:t>54.</w:t>
            </w:r>
            <w:r w:rsidR="00A940DC" w:rsidRPr="003C7547">
              <w:rPr>
                <w:rFonts w:ascii="Arial" w:hAnsi="Arial" w:cs="Arial"/>
              </w:rPr>
              <w:t>4</w:t>
            </w:r>
          </w:p>
        </w:tc>
        <w:tc>
          <w:tcPr>
            <w:tcW w:w="2340" w:type="dxa"/>
            <w:vAlign w:val="center"/>
          </w:tcPr>
          <w:p w:rsidR="003D7C77" w:rsidRPr="003C7547" w:rsidRDefault="00FD2FBC" w:rsidP="00FD2FBC">
            <w:pPr>
              <w:jc w:val="center"/>
              <w:rPr>
                <w:rFonts w:ascii="Arial" w:hAnsi="Arial" w:cs="Arial"/>
              </w:rPr>
            </w:pPr>
            <w:r w:rsidRPr="003C7547">
              <w:rPr>
                <w:rFonts w:ascii="Arial" w:hAnsi="Arial" w:cs="Arial"/>
              </w:rPr>
              <w:t>53.3</w:t>
            </w:r>
          </w:p>
        </w:tc>
        <w:tc>
          <w:tcPr>
            <w:tcW w:w="1368" w:type="dxa"/>
            <w:vAlign w:val="center"/>
          </w:tcPr>
          <w:p w:rsidR="003D7C77" w:rsidRPr="003C7547" w:rsidRDefault="00A940DC" w:rsidP="00FD2FBC">
            <w:pPr>
              <w:jc w:val="center"/>
              <w:rPr>
                <w:rFonts w:ascii="Arial" w:hAnsi="Arial" w:cs="Arial"/>
              </w:rPr>
            </w:pPr>
            <w:r w:rsidRPr="003C7547">
              <w:rPr>
                <w:rFonts w:ascii="Arial" w:hAnsi="Arial" w:cs="Arial"/>
              </w:rPr>
              <w:t>0.851</w:t>
            </w:r>
            <w:r w:rsidR="00080E56" w:rsidRPr="003C7547">
              <w:rPr>
                <w:rFonts w:ascii="Arial" w:hAnsi="Arial" w:cs="Arial"/>
              </w:rPr>
              <w:t>*</w:t>
            </w:r>
          </w:p>
        </w:tc>
      </w:tr>
      <w:tr w:rsidR="003D7C77" w:rsidRPr="003C7547" w:rsidTr="00FD2FBC">
        <w:tc>
          <w:tcPr>
            <w:tcW w:w="3528" w:type="dxa"/>
          </w:tcPr>
          <w:p w:rsidR="003D7C77" w:rsidRPr="003C7547" w:rsidRDefault="00FD2FBC" w:rsidP="00E814C1">
            <w:pPr>
              <w:rPr>
                <w:rFonts w:ascii="Arial" w:hAnsi="Arial" w:cs="Arial"/>
                <w:b/>
              </w:rPr>
            </w:pPr>
            <w:r w:rsidRPr="003C7547">
              <w:rPr>
                <w:rFonts w:ascii="Arial" w:hAnsi="Arial" w:cs="Arial"/>
                <w:b/>
              </w:rPr>
              <w:t xml:space="preserve">Race  </w:t>
            </w:r>
            <w:r w:rsidR="003D7C77" w:rsidRPr="003C7547">
              <w:rPr>
                <w:rFonts w:ascii="Arial" w:hAnsi="Arial" w:cs="Arial"/>
                <w:b/>
              </w:rPr>
              <w:t>Black</w:t>
            </w:r>
            <w:r w:rsidRPr="003C7547">
              <w:rPr>
                <w:rFonts w:ascii="Arial" w:hAnsi="Arial" w:cs="Arial"/>
                <w:b/>
              </w:rPr>
              <w:t xml:space="preserve">   (%)</w:t>
            </w:r>
          </w:p>
          <w:p w:rsidR="003D7C77" w:rsidRPr="003C7547" w:rsidRDefault="003D7C77" w:rsidP="00E814C1">
            <w:pPr>
              <w:rPr>
                <w:rFonts w:ascii="Arial" w:hAnsi="Arial" w:cs="Arial"/>
                <w:b/>
              </w:rPr>
            </w:pPr>
            <w:r w:rsidRPr="003C7547">
              <w:rPr>
                <w:rFonts w:ascii="Arial" w:hAnsi="Arial" w:cs="Arial"/>
                <w:b/>
              </w:rPr>
              <w:t xml:space="preserve">          </w:t>
            </w:r>
            <w:r w:rsidR="00FD2FBC" w:rsidRPr="003C7547">
              <w:rPr>
                <w:rFonts w:ascii="Arial" w:hAnsi="Arial" w:cs="Arial"/>
                <w:b/>
              </w:rPr>
              <w:t xml:space="preserve"> </w:t>
            </w:r>
            <w:r w:rsidRPr="003C7547">
              <w:rPr>
                <w:rFonts w:ascii="Arial" w:hAnsi="Arial" w:cs="Arial"/>
                <w:b/>
              </w:rPr>
              <w:t>Caucasian</w:t>
            </w:r>
          </w:p>
          <w:p w:rsidR="003D7C77" w:rsidRPr="003C7547" w:rsidRDefault="003D7C77" w:rsidP="00E814C1">
            <w:pPr>
              <w:rPr>
                <w:rFonts w:ascii="Arial" w:hAnsi="Arial" w:cs="Arial"/>
                <w:b/>
              </w:rPr>
            </w:pPr>
            <w:r w:rsidRPr="003C7547">
              <w:rPr>
                <w:rFonts w:ascii="Arial" w:hAnsi="Arial" w:cs="Arial"/>
                <w:b/>
              </w:rPr>
              <w:t xml:space="preserve">          </w:t>
            </w:r>
            <w:r w:rsidR="00FD2FBC" w:rsidRPr="003C7547">
              <w:rPr>
                <w:rFonts w:ascii="Arial" w:hAnsi="Arial" w:cs="Arial"/>
                <w:b/>
              </w:rPr>
              <w:t xml:space="preserve"> </w:t>
            </w:r>
            <w:r w:rsidRPr="003C7547">
              <w:rPr>
                <w:rFonts w:ascii="Arial" w:hAnsi="Arial" w:cs="Arial"/>
                <w:b/>
              </w:rPr>
              <w:t>Asian</w:t>
            </w:r>
          </w:p>
          <w:p w:rsidR="003D7C77" w:rsidRPr="003C7547" w:rsidRDefault="003D7C77" w:rsidP="00E814C1">
            <w:pPr>
              <w:rPr>
                <w:rFonts w:ascii="Arial" w:hAnsi="Arial" w:cs="Arial"/>
                <w:b/>
              </w:rPr>
            </w:pPr>
            <w:r w:rsidRPr="003C7547">
              <w:rPr>
                <w:rFonts w:ascii="Arial" w:hAnsi="Arial" w:cs="Arial"/>
                <w:b/>
              </w:rPr>
              <w:t xml:space="preserve">          </w:t>
            </w:r>
            <w:r w:rsidR="00FD2FBC" w:rsidRPr="003C7547">
              <w:rPr>
                <w:rFonts w:ascii="Arial" w:hAnsi="Arial" w:cs="Arial"/>
                <w:b/>
              </w:rPr>
              <w:t xml:space="preserve"> </w:t>
            </w:r>
            <w:r w:rsidRPr="003C7547">
              <w:rPr>
                <w:rFonts w:ascii="Arial" w:hAnsi="Arial" w:cs="Arial"/>
                <w:b/>
              </w:rPr>
              <w:t>Other</w:t>
            </w:r>
          </w:p>
        </w:tc>
        <w:tc>
          <w:tcPr>
            <w:tcW w:w="2340" w:type="dxa"/>
            <w:vAlign w:val="center"/>
          </w:tcPr>
          <w:p w:rsidR="003D7C77" w:rsidRPr="003C7547" w:rsidRDefault="00D93044" w:rsidP="00FD2FBC">
            <w:pPr>
              <w:jc w:val="center"/>
              <w:rPr>
                <w:rFonts w:ascii="Arial" w:hAnsi="Arial" w:cs="Arial"/>
              </w:rPr>
            </w:pPr>
            <w:r w:rsidRPr="003C7547">
              <w:rPr>
                <w:rFonts w:ascii="Arial" w:hAnsi="Arial" w:cs="Arial"/>
              </w:rPr>
              <w:t xml:space="preserve"> </w:t>
            </w:r>
            <w:r w:rsidR="00FD2FBC" w:rsidRPr="003C7547">
              <w:rPr>
                <w:rFonts w:ascii="Arial" w:hAnsi="Arial" w:cs="Arial"/>
              </w:rPr>
              <w:t>99.3</w:t>
            </w:r>
          </w:p>
          <w:p w:rsidR="00FD2FBC" w:rsidRPr="003C7547" w:rsidRDefault="00FD2FBC" w:rsidP="00FD2FBC">
            <w:pPr>
              <w:jc w:val="center"/>
              <w:rPr>
                <w:rFonts w:ascii="Arial" w:hAnsi="Arial" w:cs="Arial"/>
              </w:rPr>
            </w:pPr>
            <w:r w:rsidRPr="003C7547">
              <w:rPr>
                <w:rFonts w:ascii="Arial" w:hAnsi="Arial" w:cs="Arial"/>
              </w:rPr>
              <w:t>0</w:t>
            </w:r>
            <w:r w:rsidR="00D93044" w:rsidRPr="003C7547">
              <w:rPr>
                <w:rFonts w:ascii="Arial" w:hAnsi="Arial" w:cs="Arial"/>
              </w:rPr>
              <w:t xml:space="preserve">  </w:t>
            </w:r>
          </w:p>
          <w:p w:rsidR="00FD2FBC" w:rsidRPr="003C7547" w:rsidRDefault="00FD2FBC" w:rsidP="00FD2FBC">
            <w:pPr>
              <w:jc w:val="center"/>
              <w:rPr>
                <w:rFonts w:ascii="Arial" w:hAnsi="Arial" w:cs="Arial"/>
              </w:rPr>
            </w:pPr>
            <w:r w:rsidRPr="003C7547">
              <w:rPr>
                <w:rFonts w:ascii="Arial" w:hAnsi="Arial" w:cs="Arial"/>
              </w:rPr>
              <w:t>0</w:t>
            </w:r>
          </w:p>
          <w:p w:rsidR="00FD2FBC" w:rsidRPr="003C7547" w:rsidRDefault="00D93044" w:rsidP="00FD2FBC">
            <w:pPr>
              <w:jc w:val="center"/>
              <w:rPr>
                <w:rFonts w:ascii="Arial" w:hAnsi="Arial" w:cs="Arial"/>
              </w:rPr>
            </w:pPr>
            <w:r w:rsidRPr="003C7547">
              <w:rPr>
                <w:rFonts w:ascii="Arial" w:hAnsi="Arial" w:cs="Arial"/>
              </w:rPr>
              <w:t xml:space="preserve">  </w:t>
            </w:r>
            <w:r w:rsidR="00FD2FBC" w:rsidRPr="003C7547">
              <w:rPr>
                <w:rFonts w:ascii="Arial" w:hAnsi="Arial" w:cs="Arial"/>
              </w:rPr>
              <w:t>0.7</w:t>
            </w:r>
          </w:p>
        </w:tc>
        <w:tc>
          <w:tcPr>
            <w:tcW w:w="2340" w:type="dxa"/>
            <w:vAlign w:val="center"/>
          </w:tcPr>
          <w:p w:rsidR="003D7C77" w:rsidRPr="003C7547" w:rsidRDefault="00FD2FBC" w:rsidP="00FD2FBC">
            <w:pPr>
              <w:jc w:val="center"/>
              <w:rPr>
                <w:rFonts w:ascii="Arial" w:hAnsi="Arial" w:cs="Arial"/>
              </w:rPr>
            </w:pPr>
            <w:r w:rsidRPr="003C7547">
              <w:rPr>
                <w:rFonts w:ascii="Arial" w:hAnsi="Arial" w:cs="Arial"/>
              </w:rPr>
              <w:t>25.7</w:t>
            </w:r>
          </w:p>
          <w:p w:rsidR="00FD2FBC" w:rsidRPr="003C7547" w:rsidRDefault="00FD2FBC" w:rsidP="00FD2FBC">
            <w:pPr>
              <w:jc w:val="center"/>
              <w:rPr>
                <w:rFonts w:ascii="Arial" w:hAnsi="Arial" w:cs="Arial"/>
              </w:rPr>
            </w:pPr>
            <w:r w:rsidRPr="003C7547">
              <w:rPr>
                <w:rFonts w:ascii="Arial" w:hAnsi="Arial" w:cs="Arial"/>
              </w:rPr>
              <w:t>64.6</w:t>
            </w:r>
          </w:p>
          <w:p w:rsidR="00FD2FBC" w:rsidRPr="003C7547" w:rsidRDefault="00D93044" w:rsidP="00FD2FBC">
            <w:pPr>
              <w:jc w:val="center"/>
              <w:rPr>
                <w:rFonts w:ascii="Arial" w:hAnsi="Arial" w:cs="Arial"/>
              </w:rPr>
            </w:pPr>
            <w:r w:rsidRPr="003C7547">
              <w:rPr>
                <w:rFonts w:ascii="Arial" w:hAnsi="Arial" w:cs="Arial"/>
              </w:rPr>
              <w:t xml:space="preserve">  </w:t>
            </w:r>
            <w:r w:rsidR="00FD2FBC" w:rsidRPr="003C7547">
              <w:rPr>
                <w:rFonts w:ascii="Arial" w:hAnsi="Arial" w:cs="Arial"/>
              </w:rPr>
              <w:t>4.4</w:t>
            </w:r>
          </w:p>
          <w:p w:rsidR="00FD2FBC" w:rsidRPr="003C7547" w:rsidRDefault="00D93044" w:rsidP="00FD2FBC">
            <w:pPr>
              <w:jc w:val="center"/>
              <w:rPr>
                <w:rFonts w:ascii="Arial" w:hAnsi="Arial" w:cs="Arial"/>
              </w:rPr>
            </w:pPr>
            <w:r w:rsidRPr="003C7547">
              <w:rPr>
                <w:rFonts w:ascii="Arial" w:hAnsi="Arial" w:cs="Arial"/>
              </w:rPr>
              <w:t xml:space="preserve">  </w:t>
            </w:r>
            <w:r w:rsidR="00FD2FBC" w:rsidRPr="003C7547">
              <w:rPr>
                <w:rFonts w:ascii="Arial" w:hAnsi="Arial" w:cs="Arial"/>
              </w:rPr>
              <w:t>5.3</w:t>
            </w:r>
          </w:p>
        </w:tc>
        <w:tc>
          <w:tcPr>
            <w:tcW w:w="1368" w:type="dxa"/>
            <w:vAlign w:val="center"/>
          </w:tcPr>
          <w:p w:rsidR="003D7C77" w:rsidRPr="003C7547" w:rsidRDefault="00FD2FBC" w:rsidP="00FD2FBC">
            <w:pPr>
              <w:jc w:val="center"/>
              <w:rPr>
                <w:rFonts w:ascii="Arial" w:hAnsi="Arial" w:cs="Arial"/>
              </w:rPr>
            </w:pPr>
            <w:r w:rsidRPr="003C7547">
              <w:rPr>
                <w:rFonts w:ascii="Arial" w:hAnsi="Arial" w:cs="Arial"/>
              </w:rPr>
              <w:t>&lt;0.001</w:t>
            </w:r>
            <w:r w:rsidR="00080E56" w:rsidRPr="003C7547">
              <w:rPr>
                <w:rFonts w:ascii="Arial" w:hAnsi="Arial" w:cs="Arial"/>
              </w:rPr>
              <w:t>†</w:t>
            </w:r>
          </w:p>
        </w:tc>
      </w:tr>
    </w:tbl>
    <w:p w:rsidR="00206349" w:rsidRPr="003C7547" w:rsidRDefault="00206349" w:rsidP="003D7C77">
      <w:pPr>
        <w:rPr>
          <w:rFonts w:ascii="Arial" w:hAnsi="Arial" w:cs="Arial"/>
        </w:rPr>
      </w:pPr>
      <w:r w:rsidRPr="003C7547">
        <w:rPr>
          <w:rFonts w:ascii="Arial" w:hAnsi="Arial" w:cs="Arial"/>
        </w:rPr>
        <w:t>*</w:t>
      </w:r>
      <w:r w:rsidR="00A940DC" w:rsidRPr="003C7547">
        <w:rPr>
          <w:rFonts w:ascii="Arial" w:hAnsi="Arial" w:cs="Arial"/>
        </w:rPr>
        <w:t>Student’s independent samples t-tes</w:t>
      </w:r>
      <w:r w:rsidR="005E35D6" w:rsidRPr="003C7547">
        <w:rPr>
          <w:rFonts w:ascii="Arial" w:hAnsi="Arial" w:cs="Arial"/>
        </w:rPr>
        <w:t>t</w:t>
      </w:r>
      <w:r w:rsidR="00A940DC" w:rsidRPr="003C7547">
        <w:rPr>
          <w:rFonts w:ascii="Arial" w:hAnsi="Arial" w:cs="Arial"/>
        </w:rPr>
        <w:t xml:space="preserve">.   </w:t>
      </w:r>
      <w:r w:rsidR="00080E56" w:rsidRPr="003C7547">
        <w:rPr>
          <w:rFonts w:ascii="Arial" w:hAnsi="Arial" w:cs="Arial"/>
        </w:rPr>
        <w:t xml:space="preserve">†Fisher’s Exact test </w:t>
      </w:r>
      <w:r w:rsidRPr="003C7547">
        <w:rPr>
          <w:rFonts w:ascii="Arial" w:hAnsi="Arial" w:cs="Arial"/>
        </w:rPr>
        <w:t>based on c</w:t>
      </w:r>
      <w:r w:rsidR="00A940DC" w:rsidRPr="003C7547">
        <w:rPr>
          <w:rFonts w:ascii="Arial" w:hAnsi="Arial" w:cs="Arial"/>
        </w:rPr>
        <w:t>omparison of Black vs all others</w:t>
      </w:r>
      <w:r w:rsidR="00C37776" w:rsidRPr="003C7547">
        <w:rPr>
          <w:rFonts w:ascii="Arial" w:hAnsi="Arial" w:cs="Arial"/>
        </w:rPr>
        <w:t xml:space="preserve">. </w:t>
      </w:r>
    </w:p>
    <w:p w:rsidR="00206349" w:rsidRPr="003C7547" w:rsidRDefault="00206349" w:rsidP="003D7C77">
      <w:pPr>
        <w:rPr>
          <w:rFonts w:ascii="Arial" w:hAnsi="Arial" w:cs="Arial"/>
        </w:rPr>
      </w:pPr>
    </w:p>
    <w:p w:rsidR="0010585F" w:rsidRPr="003C7547" w:rsidRDefault="0010585F" w:rsidP="003D7C77">
      <w:pPr>
        <w:rPr>
          <w:rFonts w:ascii="Arial" w:hAnsi="Arial" w:cs="Arial"/>
        </w:rPr>
      </w:pPr>
    </w:p>
    <w:p w:rsidR="0010585F" w:rsidRPr="003C7547" w:rsidRDefault="0010585F" w:rsidP="003D7C77">
      <w:pPr>
        <w:rPr>
          <w:rFonts w:ascii="Arial" w:hAnsi="Arial" w:cs="Arial"/>
        </w:rPr>
      </w:pPr>
    </w:p>
    <w:p w:rsidR="00206349" w:rsidRPr="003C7547" w:rsidRDefault="00206349" w:rsidP="003D7C77">
      <w:pPr>
        <w:rPr>
          <w:rFonts w:ascii="Arial" w:hAnsi="Arial" w:cs="Arial"/>
        </w:rPr>
      </w:pPr>
    </w:p>
    <w:p w:rsidR="003D7C77" w:rsidRPr="003C7547" w:rsidRDefault="003D7C77" w:rsidP="003D7C77">
      <w:pPr>
        <w:spacing w:after="0"/>
        <w:rPr>
          <w:rFonts w:ascii="Arial" w:hAnsi="Arial" w:cs="Arial"/>
          <w:b/>
        </w:rPr>
      </w:pPr>
      <w:r w:rsidRPr="003C7547">
        <w:rPr>
          <w:rFonts w:ascii="Arial" w:hAnsi="Arial" w:cs="Arial"/>
          <w:b/>
        </w:rPr>
        <w:t>Table 2   Prevalence of Potential Right-</w:t>
      </w:r>
      <w:r w:rsidR="00BF71E0" w:rsidRPr="003C7547">
        <w:rPr>
          <w:rFonts w:ascii="Arial" w:hAnsi="Arial" w:cs="Arial"/>
          <w:b/>
        </w:rPr>
        <w:t xml:space="preserve">to-Left Shunt </w:t>
      </w:r>
      <w:r w:rsidR="00D93044" w:rsidRPr="003C7547">
        <w:rPr>
          <w:rFonts w:ascii="Arial" w:hAnsi="Arial" w:cs="Arial"/>
          <w:b/>
        </w:rPr>
        <w:t>Detected in SCA</w:t>
      </w:r>
      <w:r w:rsidR="005E35D6" w:rsidRPr="003C7547">
        <w:rPr>
          <w:rFonts w:ascii="Arial" w:hAnsi="Arial" w:cs="Arial"/>
          <w:b/>
        </w:rPr>
        <w:t>+</w:t>
      </w:r>
      <w:r w:rsidRPr="003C7547">
        <w:rPr>
          <w:rFonts w:ascii="Arial" w:hAnsi="Arial" w:cs="Arial"/>
          <w:b/>
        </w:rPr>
        <w:t>Stroke and Control Subjects</w:t>
      </w:r>
    </w:p>
    <w:tbl>
      <w:tblPr>
        <w:tblStyle w:val="TableGrid"/>
        <w:tblW w:w="0" w:type="auto"/>
        <w:tblLook w:val="04A0" w:firstRow="1" w:lastRow="0" w:firstColumn="1" w:lastColumn="0" w:noHBand="0" w:noVBand="1"/>
      </w:tblPr>
      <w:tblGrid>
        <w:gridCol w:w="4158"/>
        <w:gridCol w:w="2115"/>
        <w:gridCol w:w="2115"/>
        <w:gridCol w:w="1188"/>
      </w:tblGrid>
      <w:tr w:rsidR="003D7C77" w:rsidRPr="003C7547" w:rsidTr="00BF71E0">
        <w:tc>
          <w:tcPr>
            <w:tcW w:w="4158" w:type="dxa"/>
            <w:vAlign w:val="center"/>
          </w:tcPr>
          <w:p w:rsidR="003D7C77" w:rsidRPr="003C7547" w:rsidRDefault="003D7C77" w:rsidP="00BF71E0">
            <w:pPr>
              <w:rPr>
                <w:rFonts w:ascii="Arial" w:hAnsi="Arial" w:cs="Arial"/>
                <w:b/>
              </w:rPr>
            </w:pPr>
            <w:r w:rsidRPr="003C7547">
              <w:rPr>
                <w:rFonts w:ascii="Arial" w:hAnsi="Arial" w:cs="Arial"/>
                <w:b/>
              </w:rPr>
              <w:t>Method of Shunt Detection</w:t>
            </w:r>
          </w:p>
        </w:tc>
        <w:tc>
          <w:tcPr>
            <w:tcW w:w="2115" w:type="dxa"/>
            <w:vAlign w:val="center"/>
          </w:tcPr>
          <w:p w:rsidR="003D7C77" w:rsidRPr="003C7547" w:rsidRDefault="00D93044" w:rsidP="00BF71E0">
            <w:pPr>
              <w:jc w:val="center"/>
              <w:rPr>
                <w:rFonts w:ascii="Arial" w:hAnsi="Arial" w:cs="Arial"/>
                <w:b/>
              </w:rPr>
            </w:pPr>
            <w:r w:rsidRPr="003C7547">
              <w:rPr>
                <w:rFonts w:ascii="Arial" w:hAnsi="Arial" w:cs="Arial"/>
                <w:b/>
              </w:rPr>
              <w:t>SCA</w:t>
            </w:r>
            <w:r w:rsidR="005E35D6" w:rsidRPr="003C7547">
              <w:rPr>
                <w:rFonts w:ascii="Arial" w:hAnsi="Arial" w:cs="Arial"/>
                <w:b/>
              </w:rPr>
              <w:t>+</w:t>
            </w:r>
            <w:r w:rsidR="003D7C77" w:rsidRPr="003C7547">
              <w:rPr>
                <w:rFonts w:ascii="Arial" w:hAnsi="Arial" w:cs="Arial"/>
                <w:b/>
              </w:rPr>
              <w:t>Stroke</w:t>
            </w:r>
          </w:p>
          <w:p w:rsidR="003D7C77" w:rsidRPr="003C7547" w:rsidRDefault="003D7C77" w:rsidP="00BF71E0">
            <w:pPr>
              <w:jc w:val="center"/>
              <w:rPr>
                <w:rFonts w:ascii="Arial" w:hAnsi="Arial" w:cs="Arial"/>
                <w:b/>
              </w:rPr>
            </w:pPr>
            <w:r w:rsidRPr="003C7547">
              <w:rPr>
                <w:rFonts w:ascii="Arial" w:hAnsi="Arial" w:cs="Arial"/>
                <w:b/>
              </w:rPr>
              <w:t># (%)</w:t>
            </w:r>
          </w:p>
        </w:tc>
        <w:tc>
          <w:tcPr>
            <w:tcW w:w="2115" w:type="dxa"/>
            <w:vAlign w:val="center"/>
          </w:tcPr>
          <w:p w:rsidR="003D7C77" w:rsidRPr="003C7547" w:rsidRDefault="003D7C77" w:rsidP="00BF71E0">
            <w:pPr>
              <w:jc w:val="center"/>
              <w:rPr>
                <w:rFonts w:ascii="Arial" w:hAnsi="Arial" w:cs="Arial"/>
                <w:b/>
              </w:rPr>
            </w:pPr>
            <w:r w:rsidRPr="003C7547">
              <w:rPr>
                <w:rFonts w:ascii="Arial" w:hAnsi="Arial" w:cs="Arial"/>
                <w:b/>
              </w:rPr>
              <w:t>Control</w:t>
            </w:r>
          </w:p>
          <w:p w:rsidR="003D7C77" w:rsidRPr="003C7547" w:rsidRDefault="003D7C77" w:rsidP="00BF71E0">
            <w:pPr>
              <w:jc w:val="center"/>
              <w:rPr>
                <w:rFonts w:ascii="Arial" w:hAnsi="Arial" w:cs="Arial"/>
                <w:b/>
              </w:rPr>
            </w:pPr>
            <w:r w:rsidRPr="003C7547">
              <w:rPr>
                <w:rFonts w:ascii="Arial" w:hAnsi="Arial" w:cs="Arial"/>
                <w:b/>
              </w:rPr>
              <w:t># (%)</w:t>
            </w:r>
          </w:p>
        </w:tc>
        <w:tc>
          <w:tcPr>
            <w:tcW w:w="1188" w:type="dxa"/>
            <w:vAlign w:val="center"/>
          </w:tcPr>
          <w:p w:rsidR="003D7C77" w:rsidRPr="003C7547" w:rsidRDefault="003D7C77" w:rsidP="00BF71E0">
            <w:pPr>
              <w:jc w:val="center"/>
              <w:rPr>
                <w:rFonts w:ascii="Arial" w:hAnsi="Arial" w:cs="Arial"/>
                <w:b/>
              </w:rPr>
            </w:pPr>
            <w:r w:rsidRPr="003C7547">
              <w:rPr>
                <w:rFonts w:ascii="Arial" w:hAnsi="Arial" w:cs="Arial"/>
                <w:b/>
              </w:rPr>
              <w:t>P value</w:t>
            </w:r>
            <w:r w:rsidR="00BB1F6C" w:rsidRPr="003C7547">
              <w:rPr>
                <w:rFonts w:ascii="Arial" w:hAnsi="Arial" w:cs="Arial"/>
                <w:b/>
              </w:rPr>
              <w:t>*</w:t>
            </w:r>
          </w:p>
        </w:tc>
      </w:tr>
      <w:tr w:rsidR="003D7C77" w:rsidRPr="003C7547" w:rsidTr="00D93044">
        <w:tc>
          <w:tcPr>
            <w:tcW w:w="4158" w:type="dxa"/>
          </w:tcPr>
          <w:p w:rsidR="003D7C77" w:rsidRPr="003C7547" w:rsidRDefault="003D7C77" w:rsidP="00E814C1">
            <w:pPr>
              <w:rPr>
                <w:rFonts w:ascii="Arial" w:hAnsi="Arial" w:cs="Arial"/>
                <w:b/>
              </w:rPr>
            </w:pPr>
            <w:r w:rsidRPr="003C7547">
              <w:rPr>
                <w:rFonts w:ascii="Arial" w:hAnsi="Arial" w:cs="Arial"/>
                <w:b/>
              </w:rPr>
              <w:t>2-D Imaging</w:t>
            </w:r>
          </w:p>
        </w:tc>
        <w:tc>
          <w:tcPr>
            <w:tcW w:w="2115" w:type="dxa"/>
            <w:vAlign w:val="center"/>
          </w:tcPr>
          <w:p w:rsidR="003D7C77" w:rsidRPr="003C7547" w:rsidRDefault="00CD18F6" w:rsidP="00CD18F6">
            <w:pPr>
              <w:jc w:val="center"/>
              <w:rPr>
                <w:rFonts w:ascii="Arial" w:hAnsi="Arial" w:cs="Arial"/>
              </w:rPr>
            </w:pPr>
            <w:r w:rsidRPr="003C7547">
              <w:rPr>
                <w:rFonts w:ascii="Arial" w:hAnsi="Arial" w:cs="Arial"/>
              </w:rPr>
              <w:t>3/139 (2.2</w:t>
            </w:r>
            <w:r w:rsidR="003D7C77" w:rsidRPr="003C7547">
              <w:rPr>
                <w:rFonts w:ascii="Arial" w:hAnsi="Arial" w:cs="Arial"/>
              </w:rPr>
              <w:t>%)</w:t>
            </w:r>
          </w:p>
        </w:tc>
        <w:tc>
          <w:tcPr>
            <w:tcW w:w="2115" w:type="dxa"/>
            <w:vAlign w:val="center"/>
          </w:tcPr>
          <w:p w:rsidR="003D7C77" w:rsidRPr="003C7547" w:rsidRDefault="00CD18F6" w:rsidP="00CD18F6">
            <w:pPr>
              <w:jc w:val="center"/>
              <w:rPr>
                <w:rFonts w:ascii="Arial" w:hAnsi="Arial" w:cs="Arial"/>
              </w:rPr>
            </w:pPr>
            <w:r w:rsidRPr="003C7547">
              <w:rPr>
                <w:rFonts w:ascii="Arial" w:hAnsi="Arial" w:cs="Arial"/>
              </w:rPr>
              <w:t>0/122</w:t>
            </w:r>
            <w:r w:rsidR="00BF71E0" w:rsidRPr="003C7547">
              <w:rPr>
                <w:rFonts w:ascii="Arial" w:hAnsi="Arial" w:cs="Arial"/>
              </w:rPr>
              <w:t xml:space="preserve"> </w:t>
            </w:r>
            <w:r w:rsidR="00D93044" w:rsidRPr="003C7547">
              <w:rPr>
                <w:rFonts w:ascii="Arial" w:hAnsi="Arial" w:cs="Arial"/>
              </w:rPr>
              <w:t xml:space="preserve"> </w:t>
            </w:r>
            <w:r w:rsidRPr="003C7547">
              <w:rPr>
                <w:rFonts w:ascii="Arial" w:hAnsi="Arial" w:cs="Arial"/>
              </w:rPr>
              <w:t>(0</w:t>
            </w:r>
            <w:r w:rsidR="003D7C77" w:rsidRPr="003C7547">
              <w:rPr>
                <w:rFonts w:ascii="Arial" w:hAnsi="Arial" w:cs="Arial"/>
              </w:rPr>
              <w:t>%)</w:t>
            </w:r>
          </w:p>
        </w:tc>
        <w:tc>
          <w:tcPr>
            <w:tcW w:w="1188" w:type="dxa"/>
            <w:vAlign w:val="center"/>
          </w:tcPr>
          <w:p w:rsidR="003D7C77" w:rsidRPr="003C7547" w:rsidRDefault="00BF71E0" w:rsidP="00CD18F6">
            <w:pPr>
              <w:jc w:val="center"/>
              <w:rPr>
                <w:rFonts w:ascii="Arial" w:hAnsi="Arial" w:cs="Arial"/>
              </w:rPr>
            </w:pPr>
            <w:r w:rsidRPr="003C7547">
              <w:rPr>
                <w:rFonts w:ascii="Arial" w:hAnsi="Arial" w:cs="Arial"/>
              </w:rPr>
              <w:t xml:space="preserve">  </w:t>
            </w:r>
            <w:r w:rsidR="00CD18F6" w:rsidRPr="003C7547">
              <w:rPr>
                <w:rFonts w:ascii="Arial" w:hAnsi="Arial" w:cs="Arial"/>
              </w:rPr>
              <w:t>0.250</w:t>
            </w:r>
            <w:r w:rsidR="005E35D6" w:rsidRPr="003C7547">
              <w:rPr>
                <w:rFonts w:ascii="Arial" w:hAnsi="Arial" w:cs="Arial"/>
              </w:rPr>
              <w:t>†</w:t>
            </w:r>
          </w:p>
        </w:tc>
      </w:tr>
      <w:tr w:rsidR="003D7C77" w:rsidRPr="003C7547" w:rsidTr="00D93044">
        <w:tc>
          <w:tcPr>
            <w:tcW w:w="4158" w:type="dxa"/>
          </w:tcPr>
          <w:p w:rsidR="003D7C77" w:rsidRPr="003C7547" w:rsidRDefault="003D7C77" w:rsidP="00E814C1">
            <w:pPr>
              <w:rPr>
                <w:rFonts w:ascii="Arial" w:hAnsi="Arial" w:cs="Arial"/>
                <w:b/>
              </w:rPr>
            </w:pPr>
            <w:r w:rsidRPr="003C7547">
              <w:rPr>
                <w:rFonts w:ascii="Arial" w:hAnsi="Arial" w:cs="Arial"/>
                <w:b/>
              </w:rPr>
              <w:t>Color Doppler</w:t>
            </w:r>
          </w:p>
        </w:tc>
        <w:tc>
          <w:tcPr>
            <w:tcW w:w="2115" w:type="dxa"/>
            <w:vAlign w:val="center"/>
          </w:tcPr>
          <w:p w:rsidR="003D7C77" w:rsidRPr="003C7547" w:rsidRDefault="00CD18F6" w:rsidP="00CD18F6">
            <w:pPr>
              <w:jc w:val="center"/>
              <w:rPr>
                <w:rFonts w:ascii="Arial" w:hAnsi="Arial" w:cs="Arial"/>
              </w:rPr>
            </w:pPr>
            <w:r w:rsidRPr="003C7547">
              <w:rPr>
                <w:rFonts w:ascii="Arial" w:hAnsi="Arial" w:cs="Arial"/>
              </w:rPr>
              <w:t>9/139 (6.5</w:t>
            </w:r>
            <w:r w:rsidR="003D7C77" w:rsidRPr="003C7547">
              <w:rPr>
                <w:rFonts w:ascii="Arial" w:hAnsi="Arial" w:cs="Arial"/>
              </w:rPr>
              <w:t>%)</w:t>
            </w:r>
          </w:p>
        </w:tc>
        <w:tc>
          <w:tcPr>
            <w:tcW w:w="2115" w:type="dxa"/>
            <w:vAlign w:val="center"/>
          </w:tcPr>
          <w:p w:rsidR="003D7C77" w:rsidRPr="003C7547" w:rsidRDefault="00D93044" w:rsidP="00CD18F6">
            <w:pPr>
              <w:jc w:val="center"/>
              <w:rPr>
                <w:rFonts w:ascii="Arial" w:hAnsi="Arial" w:cs="Arial"/>
              </w:rPr>
            </w:pPr>
            <w:r w:rsidRPr="003C7547">
              <w:rPr>
                <w:rFonts w:ascii="Arial" w:hAnsi="Arial" w:cs="Arial"/>
              </w:rPr>
              <w:t xml:space="preserve">  </w:t>
            </w:r>
            <w:r w:rsidR="00CD18F6" w:rsidRPr="003C7547">
              <w:rPr>
                <w:rFonts w:ascii="Arial" w:hAnsi="Arial" w:cs="Arial"/>
              </w:rPr>
              <w:t>8/122</w:t>
            </w:r>
            <w:r w:rsidR="00BF71E0" w:rsidRPr="003C7547">
              <w:rPr>
                <w:rFonts w:ascii="Arial" w:hAnsi="Arial" w:cs="Arial"/>
              </w:rPr>
              <w:t xml:space="preserve"> </w:t>
            </w:r>
            <w:r w:rsidR="00CD18F6" w:rsidRPr="003C7547">
              <w:rPr>
                <w:rFonts w:ascii="Arial" w:hAnsi="Arial" w:cs="Arial"/>
              </w:rPr>
              <w:t xml:space="preserve"> (6.6</w:t>
            </w:r>
            <w:r w:rsidR="003D7C77" w:rsidRPr="003C7547">
              <w:rPr>
                <w:rFonts w:ascii="Arial" w:hAnsi="Arial" w:cs="Arial"/>
              </w:rPr>
              <w:t>%)</w:t>
            </w:r>
          </w:p>
        </w:tc>
        <w:tc>
          <w:tcPr>
            <w:tcW w:w="1188" w:type="dxa"/>
            <w:vAlign w:val="center"/>
          </w:tcPr>
          <w:p w:rsidR="003D7C77" w:rsidRPr="003C7547" w:rsidRDefault="00CD18F6" w:rsidP="00CD18F6">
            <w:pPr>
              <w:jc w:val="center"/>
              <w:rPr>
                <w:rFonts w:ascii="Arial" w:hAnsi="Arial" w:cs="Arial"/>
              </w:rPr>
            </w:pPr>
            <w:r w:rsidRPr="003C7547">
              <w:rPr>
                <w:rFonts w:ascii="Arial" w:hAnsi="Arial" w:cs="Arial"/>
              </w:rPr>
              <w:t>0.978</w:t>
            </w:r>
          </w:p>
        </w:tc>
      </w:tr>
      <w:tr w:rsidR="003D7C77" w:rsidRPr="003C7547" w:rsidTr="00D93044">
        <w:tc>
          <w:tcPr>
            <w:tcW w:w="4158" w:type="dxa"/>
          </w:tcPr>
          <w:p w:rsidR="003D7C77" w:rsidRPr="003C7547" w:rsidRDefault="003D7C77" w:rsidP="00E814C1">
            <w:pPr>
              <w:rPr>
                <w:rFonts w:ascii="Arial" w:hAnsi="Arial" w:cs="Arial"/>
                <w:b/>
              </w:rPr>
            </w:pPr>
            <w:r w:rsidRPr="003C7547">
              <w:rPr>
                <w:rFonts w:ascii="Arial" w:hAnsi="Arial" w:cs="Arial"/>
                <w:b/>
              </w:rPr>
              <w:t>Contrast Injection without Valsalva</w:t>
            </w:r>
          </w:p>
        </w:tc>
        <w:tc>
          <w:tcPr>
            <w:tcW w:w="2115" w:type="dxa"/>
            <w:vAlign w:val="center"/>
          </w:tcPr>
          <w:p w:rsidR="003D7C77" w:rsidRPr="003C7547" w:rsidRDefault="00CD18F6" w:rsidP="00CD18F6">
            <w:pPr>
              <w:jc w:val="center"/>
              <w:rPr>
                <w:rFonts w:ascii="Arial" w:hAnsi="Arial" w:cs="Arial"/>
              </w:rPr>
            </w:pPr>
            <w:r w:rsidRPr="003C7547">
              <w:rPr>
                <w:rFonts w:ascii="Arial" w:hAnsi="Arial" w:cs="Arial"/>
              </w:rPr>
              <w:t>22/146 (15.1</w:t>
            </w:r>
            <w:r w:rsidR="003D7C77" w:rsidRPr="003C7547">
              <w:rPr>
                <w:rFonts w:ascii="Arial" w:hAnsi="Arial" w:cs="Arial"/>
              </w:rPr>
              <w:t>%)</w:t>
            </w:r>
          </w:p>
        </w:tc>
        <w:tc>
          <w:tcPr>
            <w:tcW w:w="2115" w:type="dxa"/>
            <w:vAlign w:val="center"/>
          </w:tcPr>
          <w:p w:rsidR="003D7C77" w:rsidRPr="003C7547" w:rsidRDefault="00D93044" w:rsidP="00CD18F6">
            <w:pPr>
              <w:jc w:val="center"/>
              <w:rPr>
                <w:rFonts w:ascii="Arial" w:hAnsi="Arial" w:cs="Arial"/>
              </w:rPr>
            </w:pPr>
            <w:r w:rsidRPr="003C7547">
              <w:rPr>
                <w:rFonts w:ascii="Arial" w:hAnsi="Arial" w:cs="Arial"/>
              </w:rPr>
              <w:t xml:space="preserve">  </w:t>
            </w:r>
            <w:r w:rsidR="00CD18F6" w:rsidRPr="003C7547">
              <w:rPr>
                <w:rFonts w:ascii="Arial" w:hAnsi="Arial" w:cs="Arial"/>
              </w:rPr>
              <w:t>19/122 (15.6</w:t>
            </w:r>
            <w:r w:rsidR="003D7C77" w:rsidRPr="003C7547">
              <w:rPr>
                <w:rFonts w:ascii="Arial" w:hAnsi="Arial" w:cs="Arial"/>
              </w:rPr>
              <w:t>%)</w:t>
            </w:r>
          </w:p>
        </w:tc>
        <w:tc>
          <w:tcPr>
            <w:tcW w:w="1188" w:type="dxa"/>
            <w:vAlign w:val="center"/>
          </w:tcPr>
          <w:p w:rsidR="003D7C77" w:rsidRPr="003C7547" w:rsidRDefault="00CD18F6" w:rsidP="00CD18F6">
            <w:pPr>
              <w:jc w:val="center"/>
              <w:rPr>
                <w:rFonts w:ascii="Arial" w:hAnsi="Arial" w:cs="Arial"/>
              </w:rPr>
            </w:pPr>
            <w:r w:rsidRPr="003C7547">
              <w:rPr>
                <w:rFonts w:ascii="Arial" w:hAnsi="Arial" w:cs="Arial"/>
              </w:rPr>
              <w:t>0.909</w:t>
            </w:r>
          </w:p>
        </w:tc>
      </w:tr>
      <w:tr w:rsidR="003D7C77" w:rsidRPr="003C7547" w:rsidTr="00D93044">
        <w:tc>
          <w:tcPr>
            <w:tcW w:w="4158" w:type="dxa"/>
          </w:tcPr>
          <w:p w:rsidR="003D7C77" w:rsidRPr="003C7547" w:rsidRDefault="003D7C77" w:rsidP="00E814C1">
            <w:pPr>
              <w:rPr>
                <w:rFonts w:ascii="Arial" w:hAnsi="Arial" w:cs="Arial"/>
                <w:b/>
              </w:rPr>
            </w:pPr>
            <w:r w:rsidRPr="003C7547">
              <w:rPr>
                <w:rFonts w:ascii="Arial" w:hAnsi="Arial" w:cs="Arial"/>
                <w:b/>
              </w:rPr>
              <w:t>Contrast Injection with Valsalva</w:t>
            </w:r>
          </w:p>
        </w:tc>
        <w:tc>
          <w:tcPr>
            <w:tcW w:w="2115" w:type="dxa"/>
            <w:vAlign w:val="center"/>
          </w:tcPr>
          <w:p w:rsidR="003D7C77" w:rsidRPr="003C7547" w:rsidRDefault="00CD18F6" w:rsidP="00CD18F6">
            <w:pPr>
              <w:jc w:val="center"/>
              <w:rPr>
                <w:rFonts w:ascii="Arial" w:hAnsi="Arial" w:cs="Arial"/>
              </w:rPr>
            </w:pPr>
            <w:r w:rsidRPr="003C7547">
              <w:rPr>
                <w:rFonts w:ascii="Arial" w:hAnsi="Arial" w:cs="Arial"/>
              </w:rPr>
              <w:t>24/145 (16.6</w:t>
            </w:r>
            <w:r w:rsidR="003D7C77" w:rsidRPr="003C7547">
              <w:rPr>
                <w:rFonts w:ascii="Arial" w:hAnsi="Arial" w:cs="Arial"/>
              </w:rPr>
              <w:t>%)</w:t>
            </w:r>
          </w:p>
        </w:tc>
        <w:tc>
          <w:tcPr>
            <w:tcW w:w="2115" w:type="dxa"/>
            <w:vAlign w:val="center"/>
          </w:tcPr>
          <w:p w:rsidR="003D7C77" w:rsidRPr="003C7547" w:rsidRDefault="00D93044" w:rsidP="00CD18F6">
            <w:pPr>
              <w:jc w:val="center"/>
              <w:rPr>
                <w:rFonts w:ascii="Arial" w:hAnsi="Arial" w:cs="Arial"/>
              </w:rPr>
            </w:pPr>
            <w:r w:rsidRPr="003C7547">
              <w:rPr>
                <w:rFonts w:ascii="Arial" w:hAnsi="Arial" w:cs="Arial"/>
              </w:rPr>
              <w:t xml:space="preserve">  </w:t>
            </w:r>
            <w:r w:rsidR="00CD18F6" w:rsidRPr="003C7547">
              <w:rPr>
                <w:rFonts w:ascii="Arial" w:hAnsi="Arial" w:cs="Arial"/>
              </w:rPr>
              <w:t>19/118 (16.1</w:t>
            </w:r>
            <w:r w:rsidR="003D7C77" w:rsidRPr="003C7547">
              <w:rPr>
                <w:rFonts w:ascii="Arial" w:hAnsi="Arial" w:cs="Arial"/>
              </w:rPr>
              <w:t>%)</w:t>
            </w:r>
          </w:p>
        </w:tc>
        <w:tc>
          <w:tcPr>
            <w:tcW w:w="1188" w:type="dxa"/>
            <w:vAlign w:val="center"/>
          </w:tcPr>
          <w:p w:rsidR="003D7C77" w:rsidRPr="003C7547" w:rsidRDefault="00CD18F6" w:rsidP="00CD18F6">
            <w:pPr>
              <w:jc w:val="center"/>
              <w:rPr>
                <w:rFonts w:ascii="Arial" w:hAnsi="Arial" w:cs="Arial"/>
              </w:rPr>
            </w:pPr>
            <w:r w:rsidRPr="003C7547">
              <w:rPr>
                <w:rFonts w:ascii="Arial" w:hAnsi="Arial" w:cs="Arial"/>
              </w:rPr>
              <w:t>0.922</w:t>
            </w:r>
          </w:p>
        </w:tc>
      </w:tr>
      <w:tr w:rsidR="003D7C77" w:rsidRPr="003C7547" w:rsidTr="00D93044">
        <w:tc>
          <w:tcPr>
            <w:tcW w:w="4158" w:type="dxa"/>
            <w:shd w:val="clear" w:color="auto" w:fill="DBE5F1" w:themeFill="accent1" w:themeFillTint="33"/>
          </w:tcPr>
          <w:p w:rsidR="003D7C77" w:rsidRPr="003C7547" w:rsidRDefault="003D7C77" w:rsidP="00E814C1">
            <w:pPr>
              <w:rPr>
                <w:rFonts w:ascii="Arial" w:hAnsi="Arial" w:cs="Arial"/>
                <w:b/>
              </w:rPr>
            </w:pPr>
            <w:r w:rsidRPr="003C7547">
              <w:rPr>
                <w:rFonts w:ascii="Arial" w:hAnsi="Arial" w:cs="Arial"/>
                <w:b/>
              </w:rPr>
              <w:t>Potential Intracardiac Shunting</w:t>
            </w:r>
          </w:p>
        </w:tc>
        <w:tc>
          <w:tcPr>
            <w:tcW w:w="2115" w:type="dxa"/>
            <w:shd w:val="clear" w:color="auto" w:fill="DBE5F1" w:themeFill="accent1" w:themeFillTint="33"/>
            <w:vAlign w:val="center"/>
          </w:tcPr>
          <w:p w:rsidR="003D7C77" w:rsidRPr="003C7547" w:rsidRDefault="00CD18F6" w:rsidP="00CD18F6">
            <w:pPr>
              <w:jc w:val="center"/>
              <w:rPr>
                <w:rFonts w:ascii="Arial" w:hAnsi="Arial" w:cs="Arial"/>
              </w:rPr>
            </w:pPr>
            <w:r w:rsidRPr="003C7547">
              <w:rPr>
                <w:rFonts w:ascii="Arial" w:hAnsi="Arial" w:cs="Arial"/>
              </w:rPr>
              <w:t>32/147 (21.8%)</w:t>
            </w:r>
          </w:p>
        </w:tc>
        <w:tc>
          <w:tcPr>
            <w:tcW w:w="2115" w:type="dxa"/>
            <w:shd w:val="clear" w:color="auto" w:fill="DBE5F1" w:themeFill="accent1" w:themeFillTint="33"/>
            <w:vAlign w:val="center"/>
          </w:tcPr>
          <w:p w:rsidR="003D7C77" w:rsidRPr="003C7547" w:rsidRDefault="00D93044" w:rsidP="00CD18F6">
            <w:pPr>
              <w:jc w:val="center"/>
              <w:rPr>
                <w:rFonts w:ascii="Arial" w:hAnsi="Arial" w:cs="Arial"/>
              </w:rPr>
            </w:pPr>
            <w:r w:rsidRPr="003C7547">
              <w:rPr>
                <w:rFonts w:ascii="Arial" w:hAnsi="Arial" w:cs="Arial"/>
              </w:rPr>
              <w:t xml:space="preserve">  </w:t>
            </w:r>
            <w:r w:rsidR="00CD18F6" w:rsidRPr="003C7547">
              <w:rPr>
                <w:rFonts w:ascii="Arial" w:hAnsi="Arial" w:cs="Arial"/>
              </w:rPr>
              <w:t>23/123 (18.7%)</w:t>
            </w:r>
          </w:p>
        </w:tc>
        <w:tc>
          <w:tcPr>
            <w:tcW w:w="1188" w:type="dxa"/>
            <w:shd w:val="clear" w:color="auto" w:fill="DBE5F1" w:themeFill="accent1" w:themeFillTint="33"/>
            <w:vAlign w:val="center"/>
          </w:tcPr>
          <w:p w:rsidR="003D7C77" w:rsidRPr="003C7547" w:rsidRDefault="00CD18F6" w:rsidP="00CD18F6">
            <w:pPr>
              <w:jc w:val="center"/>
              <w:rPr>
                <w:rFonts w:ascii="Arial" w:hAnsi="Arial" w:cs="Arial"/>
              </w:rPr>
            </w:pPr>
            <w:r w:rsidRPr="003C7547">
              <w:rPr>
                <w:rFonts w:ascii="Arial" w:hAnsi="Arial" w:cs="Arial"/>
              </w:rPr>
              <w:t>0.533</w:t>
            </w:r>
          </w:p>
        </w:tc>
      </w:tr>
      <w:tr w:rsidR="003D7C77" w:rsidRPr="003C7547" w:rsidTr="00D93044">
        <w:tc>
          <w:tcPr>
            <w:tcW w:w="4158" w:type="dxa"/>
          </w:tcPr>
          <w:p w:rsidR="00206349" w:rsidRPr="003C7547" w:rsidRDefault="003D7C77" w:rsidP="00E814C1">
            <w:pPr>
              <w:rPr>
                <w:rFonts w:ascii="Arial" w:hAnsi="Arial" w:cs="Arial"/>
                <w:b/>
              </w:rPr>
            </w:pPr>
            <w:r w:rsidRPr="003C7547">
              <w:rPr>
                <w:rFonts w:ascii="Arial" w:hAnsi="Arial" w:cs="Arial"/>
                <w:b/>
              </w:rPr>
              <w:t xml:space="preserve">Potential Intrapulmonary Shunting </w:t>
            </w:r>
          </w:p>
          <w:p w:rsidR="003D7C77" w:rsidRPr="003C7547" w:rsidRDefault="00206349" w:rsidP="00E814C1">
            <w:pPr>
              <w:rPr>
                <w:rFonts w:ascii="Arial" w:hAnsi="Arial" w:cs="Arial"/>
                <w:b/>
              </w:rPr>
            </w:pPr>
            <w:r w:rsidRPr="003C7547">
              <w:rPr>
                <w:rFonts w:ascii="Arial" w:hAnsi="Arial" w:cs="Arial"/>
                <w:b/>
              </w:rPr>
              <w:t xml:space="preserve">“Late Bubbles” </w:t>
            </w:r>
            <w:r w:rsidR="003D7C77" w:rsidRPr="003C7547">
              <w:rPr>
                <w:rFonts w:ascii="Arial" w:hAnsi="Arial" w:cs="Arial"/>
                <w:b/>
              </w:rPr>
              <w:t>only</w:t>
            </w:r>
          </w:p>
        </w:tc>
        <w:tc>
          <w:tcPr>
            <w:tcW w:w="2115" w:type="dxa"/>
            <w:vAlign w:val="center"/>
          </w:tcPr>
          <w:p w:rsidR="003D7C77" w:rsidRPr="003C7547" w:rsidRDefault="00CD18F6" w:rsidP="00CD18F6">
            <w:pPr>
              <w:jc w:val="center"/>
              <w:rPr>
                <w:rFonts w:ascii="Arial" w:hAnsi="Arial" w:cs="Arial"/>
              </w:rPr>
            </w:pPr>
            <w:r w:rsidRPr="003C7547">
              <w:rPr>
                <w:rFonts w:ascii="Arial" w:hAnsi="Arial" w:cs="Arial"/>
              </w:rPr>
              <w:t>35/147</w:t>
            </w:r>
            <w:r w:rsidR="003D7C77" w:rsidRPr="003C7547">
              <w:rPr>
                <w:rFonts w:ascii="Arial" w:hAnsi="Arial" w:cs="Arial"/>
              </w:rPr>
              <w:t xml:space="preserve"> (23.8%)</w:t>
            </w:r>
          </w:p>
        </w:tc>
        <w:tc>
          <w:tcPr>
            <w:tcW w:w="2115" w:type="dxa"/>
            <w:vAlign w:val="center"/>
          </w:tcPr>
          <w:p w:rsidR="003D7C77" w:rsidRPr="003C7547" w:rsidRDefault="00D93044" w:rsidP="00CD18F6">
            <w:pPr>
              <w:jc w:val="center"/>
              <w:rPr>
                <w:rFonts w:ascii="Arial" w:hAnsi="Arial" w:cs="Arial"/>
              </w:rPr>
            </w:pPr>
            <w:r w:rsidRPr="003C7547">
              <w:rPr>
                <w:rFonts w:ascii="Arial" w:hAnsi="Arial" w:cs="Arial"/>
              </w:rPr>
              <w:t xml:space="preserve"> </w:t>
            </w:r>
            <w:r w:rsidR="00CD18F6" w:rsidRPr="003C7547">
              <w:rPr>
                <w:rFonts w:ascii="Arial" w:hAnsi="Arial" w:cs="Arial"/>
              </w:rPr>
              <w:t>7/123</w:t>
            </w:r>
            <w:r w:rsidR="003D7C77" w:rsidRPr="003C7547">
              <w:rPr>
                <w:rFonts w:ascii="Arial" w:hAnsi="Arial" w:cs="Arial"/>
              </w:rPr>
              <w:t xml:space="preserve"> (</w:t>
            </w:r>
            <w:r w:rsidR="00CD18F6" w:rsidRPr="003C7547">
              <w:rPr>
                <w:rFonts w:ascii="Arial" w:hAnsi="Arial" w:cs="Arial"/>
              </w:rPr>
              <w:t>5.</w:t>
            </w:r>
            <w:r w:rsidR="003D7C77" w:rsidRPr="003C7547">
              <w:rPr>
                <w:rFonts w:ascii="Arial" w:hAnsi="Arial" w:cs="Arial"/>
              </w:rPr>
              <w:t>7%)</w:t>
            </w:r>
          </w:p>
        </w:tc>
        <w:tc>
          <w:tcPr>
            <w:tcW w:w="1188" w:type="dxa"/>
            <w:vAlign w:val="center"/>
          </w:tcPr>
          <w:p w:rsidR="003D7C77" w:rsidRPr="003C7547" w:rsidRDefault="003D7C77" w:rsidP="00CD18F6">
            <w:pPr>
              <w:jc w:val="center"/>
              <w:rPr>
                <w:rFonts w:ascii="Arial" w:hAnsi="Arial" w:cs="Arial"/>
              </w:rPr>
            </w:pPr>
            <w:r w:rsidRPr="003C7547">
              <w:rPr>
                <w:rFonts w:ascii="Arial" w:hAnsi="Arial" w:cs="Arial"/>
              </w:rPr>
              <w:t>&lt;0.001</w:t>
            </w:r>
          </w:p>
        </w:tc>
      </w:tr>
      <w:tr w:rsidR="003D7C77" w:rsidRPr="003C7547" w:rsidTr="00D93044">
        <w:tc>
          <w:tcPr>
            <w:tcW w:w="4158" w:type="dxa"/>
            <w:shd w:val="clear" w:color="auto" w:fill="DBE5F1" w:themeFill="accent1" w:themeFillTint="33"/>
          </w:tcPr>
          <w:p w:rsidR="00206349" w:rsidRPr="003C7547" w:rsidRDefault="003D7C77" w:rsidP="00206349">
            <w:pPr>
              <w:rPr>
                <w:rFonts w:ascii="Arial" w:hAnsi="Arial" w:cs="Arial"/>
                <w:b/>
              </w:rPr>
            </w:pPr>
            <w:r w:rsidRPr="003C7547">
              <w:rPr>
                <w:rFonts w:ascii="Arial" w:hAnsi="Arial" w:cs="Arial"/>
                <w:b/>
              </w:rPr>
              <w:t xml:space="preserve">Any Potential Shunting  </w:t>
            </w:r>
          </w:p>
          <w:p w:rsidR="003D7C77" w:rsidRPr="003C7547" w:rsidRDefault="00BF71E0" w:rsidP="00206349">
            <w:pPr>
              <w:rPr>
                <w:rFonts w:ascii="Arial" w:hAnsi="Arial" w:cs="Arial"/>
                <w:b/>
              </w:rPr>
            </w:pPr>
            <w:r w:rsidRPr="003C7547">
              <w:rPr>
                <w:rFonts w:ascii="Arial" w:hAnsi="Arial" w:cs="Arial"/>
                <w:b/>
              </w:rPr>
              <w:t>(Intracardiac or Intrap</w:t>
            </w:r>
            <w:r w:rsidR="003D7C77" w:rsidRPr="003C7547">
              <w:rPr>
                <w:rFonts w:ascii="Arial" w:hAnsi="Arial" w:cs="Arial"/>
                <w:b/>
              </w:rPr>
              <w:t>ulmonary)</w:t>
            </w:r>
          </w:p>
        </w:tc>
        <w:tc>
          <w:tcPr>
            <w:tcW w:w="2115" w:type="dxa"/>
            <w:shd w:val="clear" w:color="auto" w:fill="DBE5F1" w:themeFill="accent1" w:themeFillTint="33"/>
            <w:vAlign w:val="center"/>
          </w:tcPr>
          <w:p w:rsidR="003D7C77" w:rsidRPr="003C7547" w:rsidRDefault="00CD18F6" w:rsidP="00CD18F6">
            <w:pPr>
              <w:jc w:val="center"/>
              <w:rPr>
                <w:rFonts w:ascii="Arial" w:hAnsi="Arial" w:cs="Arial"/>
              </w:rPr>
            </w:pPr>
            <w:r w:rsidRPr="003C7547">
              <w:rPr>
                <w:rFonts w:ascii="Arial" w:hAnsi="Arial" w:cs="Arial"/>
              </w:rPr>
              <w:t>67/147 (45.6</w:t>
            </w:r>
            <w:r w:rsidR="003D7C77" w:rsidRPr="003C7547">
              <w:rPr>
                <w:rFonts w:ascii="Arial" w:hAnsi="Arial" w:cs="Arial"/>
              </w:rPr>
              <w:t>%)</w:t>
            </w:r>
          </w:p>
        </w:tc>
        <w:tc>
          <w:tcPr>
            <w:tcW w:w="2115" w:type="dxa"/>
            <w:shd w:val="clear" w:color="auto" w:fill="DBE5F1" w:themeFill="accent1" w:themeFillTint="33"/>
            <w:vAlign w:val="center"/>
          </w:tcPr>
          <w:p w:rsidR="003D7C77" w:rsidRPr="003C7547" w:rsidRDefault="00D93044" w:rsidP="00CD18F6">
            <w:pPr>
              <w:jc w:val="center"/>
              <w:rPr>
                <w:rFonts w:ascii="Arial" w:hAnsi="Arial" w:cs="Arial"/>
              </w:rPr>
            </w:pPr>
            <w:r w:rsidRPr="003C7547">
              <w:rPr>
                <w:rFonts w:ascii="Arial" w:hAnsi="Arial" w:cs="Arial"/>
              </w:rPr>
              <w:t xml:space="preserve">  </w:t>
            </w:r>
            <w:r w:rsidR="00CD18F6" w:rsidRPr="003C7547">
              <w:rPr>
                <w:rFonts w:ascii="Arial" w:hAnsi="Arial" w:cs="Arial"/>
              </w:rPr>
              <w:t>29/123 (23.6</w:t>
            </w:r>
            <w:r w:rsidR="003D7C77" w:rsidRPr="003C7547">
              <w:rPr>
                <w:rFonts w:ascii="Arial" w:hAnsi="Arial" w:cs="Arial"/>
              </w:rPr>
              <w:t>%)</w:t>
            </w:r>
          </w:p>
        </w:tc>
        <w:tc>
          <w:tcPr>
            <w:tcW w:w="1188" w:type="dxa"/>
            <w:shd w:val="clear" w:color="auto" w:fill="DBE5F1" w:themeFill="accent1" w:themeFillTint="33"/>
            <w:vAlign w:val="center"/>
          </w:tcPr>
          <w:p w:rsidR="003D7C77" w:rsidRPr="003C7547" w:rsidRDefault="003D7C77" w:rsidP="00CD18F6">
            <w:pPr>
              <w:jc w:val="center"/>
              <w:rPr>
                <w:rFonts w:ascii="Arial" w:hAnsi="Arial" w:cs="Arial"/>
              </w:rPr>
            </w:pPr>
            <w:r w:rsidRPr="003C7547">
              <w:rPr>
                <w:rFonts w:ascii="Arial" w:hAnsi="Arial" w:cs="Arial"/>
              </w:rPr>
              <w:t>&lt;0.001</w:t>
            </w:r>
          </w:p>
        </w:tc>
      </w:tr>
    </w:tbl>
    <w:p w:rsidR="003D7C77" w:rsidRPr="003C7547" w:rsidRDefault="00BB1F6C" w:rsidP="003D7C77">
      <w:pPr>
        <w:spacing w:after="0"/>
        <w:rPr>
          <w:rFonts w:ascii="Arial" w:hAnsi="Arial" w:cs="Arial"/>
        </w:rPr>
      </w:pPr>
      <w:r w:rsidRPr="003C7547">
        <w:rPr>
          <w:rFonts w:ascii="Arial" w:hAnsi="Arial" w:cs="Arial"/>
        </w:rPr>
        <w:t>*Chi-square test</w:t>
      </w:r>
      <w:r w:rsidR="005E35D6" w:rsidRPr="003C7547">
        <w:rPr>
          <w:rFonts w:ascii="Arial" w:hAnsi="Arial" w:cs="Arial"/>
        </w:rPr>
        <w:t>, with Fisher’s exact where indicated†</w:t>
      </w:r>
    </w:p>
    <w:p w:rsidR="003D7C77" w:rsidRPr="003C7547" w:rsidRDefault="003D7C77" w:rsidP="003D7C77">
      <w:pPr>
        <w:spacing w:after="0"/>
        <w:rPr>
          <w:rFonts w:ascii="Arial" w:hAnsi="Arial" w:cs="Arial"/>
        </w:rPr>
      </w:pPr>
    </w:p>
    <w:p w:rsidR="00206349" w:rsidRPr="003C7547" w:rsidRDefault="00206349" w:rsidP="003D7C77">
      <w:pPr>
        <w:spacing w:after="0"/>
        <w:rPr>
          <w:rFonts w:ascii="Arial" w:hAnsi="Arial" w:cs="Arial"/>
        </w:rPr>
      </w:pPr>
    </w:p>
    <w:p w:rsidR="00206349" w:rsidRPr="003C7547" w:rsidRDefault="00206349" w:rsidP="003D7C77">
      <w:pPr>
        <w:spacing w:after="0"/>
        <w:rPr>
          <w:rFonts w:ascii="Arial" w:hAnsi="Arial" w:cs="Arial"/>
        </w:rPr>
      </w:pPr>
    </w:p>
    <w:p w:rsidR="00206349" w:rsidRPr="003C7547" w:rsidRDefault="00206349" w:rsidP="003D7C77">
      <w:pPr>
        <w:spacing w:after="0"/>
        <w:rPr>
          <w:rFonts w:ascii="Arial" w:hAnsi="Arial" w:cs="Arial"/>
        </w:rPr>
      </w:pPr>
    </w:p>
    <w:p w:rsidR="00206349" w:rsidRPr="003C7547" w:rsidRDefault="00206349" w:rsidP="003D7C77">
      <w:pPr>
        <w:spacing w:after="0"/>
        <w:rPr>
          <w:rFonts w:ascii="Arial" w:hAnsi="Arial" w:cs="Arial"/>
          <w:b/>
        </w:rPr>
      </w:pPr>
    </w:p>
    <w:p w:rsidR="00206349" w:rsidRPr="003C7547" w:rsidRDefault="00206349" w:rsidP="003D7C77">
      <w:pPr>
        <w:spacing w:after="0"/>
        <w:rPr>
          <w:rFonts w:ascii="Arial" w:hAnsi="Arial" w:cs="Arial"/>
          <w:b/>
        </w:rPr>
      </w:pPr>
    </w:p>
    <w:p w:rsidR="00206349" w:rsidRPr="003C7547" w:rsidRDefault="00206349" w:rsidP="003D7C77">
      <w:pPr>
        <w:spacing w:after="0"/>
        <w:rPr>
          <w:rFonts w:ascii="Arial" w:hAnsi="Arial" w:cs="Arial"/>
          <w:b/>
        </w:rPr>
      </w:pPr>
    </w:p>
    <w:p w:rsidR="00206349" w:rsidRPr="003C7547" w:rsidRDefault="00206349" w:rsidP="003D7C77">
      <w:pPr>
        <w:spacing w:after="0"/>
        <w:rPr>
          <w:rFonts w:ascii="Arial" w:hAnsi="Arial" w:cs="Arial"/>
          <w:b/>
        </w:rPr>
      </w:pPr>
    </w:p>
    <w:p w:rsidR="00C37776" w:rsidRPr="003C7547" w:rsidRDefault="00C37776">
      <w:pPr>
        <w:rPr>
          <w:rFonts w:ascii="Arial" w:hAnsi="Arial" w:cs="Arial"/>
          <w:b/>
        </w:rPr>
      </w:pPr>
      <w:r w:rsidRPr="003C7547">
        <w:rPr>
          <w:rFonts w:ascii="Arial" w:hAnsi="Arial" w:cs="Arial"/>
          <w:b/>
        </w:rPr>
        <w:br w:type="page"/>
      </w:r>
    </w:p>
    <w:p w:rsidR="003D7C77" w:rsidRPr="003C7547" w:rsidRDefault="003D7C77" w:rsidP="003D7C77">
      <w:pPr>
        <w:spacing w:after="0"/>
        <w:rPr>
          <w:rFonts w:ascii="Arial" w:hAnsi="Arial" w:cs="Arial"/>
          <w:b/>
        </w:rPr>
      </w:pPr>
      <w:r w:rsidRPr="003C7547">
        <w:rPr>
          <w:rFonts w:ascii="Arial" w:hAnsi="Arial" w:cs="Arial"/>
          <w:b/>
        </w:rPr>
        <w:lastRenderedPageBreak/>
        <w:t xml:space="preserve">Table 3  </w:t>
      </w:r>
      <w:r w:rsidR="00D93044" w:rsidRPr="003C7547">
        <w:rPr>
          <w:rFonts w:ascii="Arial" w:hAnsi="Arial" w:cs="Arial"/>
          <w:b/>
        </w:rPr>
        <w:t xml:space="preserve"> Clinical Factors Present in SCA</w:t>
      </w:r>
      <w:r w:rsidR="00BF71E0" w:rsidRPr="003C7547">
        <w:rPr>
          <w:rFonts w:ascii="Arial" w:hAnsi="Arial" w:cs="Arial"/>
          <w:b/>
        </w:rPr>
        <w:t>+</w:t>
      </w:r>
      <w:r w:rsidRPr="003C7547">
        <w:rPr>
          <w:rFonts w:ascii="Arial" w:hAnsi="Arial" w:cs="Arial"/>
          <w:b/>
        </w:rPr>
        <w:t>Stroke Patients wit</w:t>
      </w:r>
      <w:r w:rsidR="00BF71E0" w:rsidRPr="003C7547">
        <w:rPr>
          <w:rFonts w:ascii="Arial" w:hAnsi="Arial" w:cs="Arial"/>
          <w:b/>
        </w:rPr>
        <w:t>h and without Potential Shunt</w:t>
      </w:r>
    </w:p>
    <w:tbl>
      <w:tblPr>
        <w:tblStyle w:val="TableGrid"/>
        <w:tblW w:w="0" w:type="auto"/>
        <w:tblLook w:val="04A0" w:firstRow="1" w:lastRow="0" w:firstColumn="1" w:lastColumn="0" w:noHBand="0" w:noVBand="1"/>
      </w:tblPr>
      <w:tblGrid>
        <w:gridCol w:w="4608"/>
        <w:gridCol w:w="1975"/>
        <w:gridCol w:w="1975"/>
        <w:gridCol w:w="1018"/>
      </w:tblGrid>
      <w:tr w:rsidR="003D7C77" w:rsidRPr="003C7547" w:rsidTr="00214F17">
        <w:tc>
          <w:tcPr>
            <w:tcW w:w="4608" w:type="dxa"/>
            <w:shd w:val="clear" w:color="auto" w:fill="auto"/>
            <w:vAlign w:val="center"/>
          </w:tcPr>
          <w:p w:rsidR="003D7C77" w:rsidRPr="003C7547" w:rsidRDefault="003D7C77" w:rsidP="00BF71E0">
            <w:pPr>
              <w:rPr>
                <w:rFonts w:ascii="Arial" w:hAnsi="Arial" w:cs="Arial"/>
                <w:b/>
              </w:rPr>
            </w:pPr>
            <w:r w:rsidRPr="003C7547">
              <w:rPr>
                <w:rFonts w:ascii="Arial" w:hAnsi="Arial" w:cs="Arial"/>
                <w:b/>
              </w:rPr>
              <w:t>Factor</w:t>
            </w:r>
          </w:p>
        </w:tc>
        <w:tc>
          <w:tcPr>
            <w:tcW w:w="1975" w:type="dxa"/>
            <w:shd w:val="clear" w:color="auto" w:fill="auto"/>
            <w:vAlign w:val="center"/>
          </w:tcPr>
          <w:p w:rsidR="003D7C77" w:rsidRPr="003C7547" w:rsidRDefault="003D7C77" w:rsidP="00206349">
            <w:pPr>
              <w:jc w:val="center"/>
              <w:rPr>
                <w:rFonts w:ascii="Arial" w:hAnsi="Arial" w:cs="Arial"/>
                <w:b/>
              </w:rPr>
            </w:pPr>
            <w:r w:rsidRPr="003C7547">
              <w:rPr>
                <w:rFonts w:ascii="Arial" w:hAnsi="Arial" w:cs="Arial"/>
                <w:b/>
              </w:rPr>
              <w:t>Any Shunt Absent</w:t>
            </w:r>
          </w:p>
          <w:p w:rsidR="003D7C77" w:rsidRPr="003C7547" w:rsidRDefault="003D7C77" w:rsidP="00206349">
            <w:pPr>
              <w:jc w:val="center"/>
              <w:rPr>
                <w:rFonts w:ascii="Arial" w:hAnsi="Arial" w:cs="Arial"/>
                <w:b/>
              </w:rPr>
            </w:pPr>
            <w:r w:rsidRPr="003C7547">
              <w:rPr>
                <w:rFonts w:ascii="Arial" w:hAnsi="Arial" w:cs="Arial"/>
                <w:b/>
              </w:rPr>
              <w:t># (%)</w:t>
            </w:r>
          </w:p>
        </w:tc>
        <w:tc>
          <w:tcPr>
            <w:tcW w:w="1975" w:type="dxa"/>
            <w:shd w:val="clear" w:color="auto" w:fill="auto"/>
            <w:vAlign w:val="center"/>
          </w:tcPr>
          <w:p w:rsidR="003D7C77" w:rsidRPr="003C7547" w:rsidRDefault="003D7C77" w:rsidP="00206349">
            <w:pPr>
              <w:jc w:val="center"/>
              <w:rPr>
                <w:rFonts w:ascii="Arial" w:hAnsi="Arial" w:cs="Arial"/>
                <w:b/>
              </w:rPr>
            </w:pPr>
            <w:r w:rsidRPr="003C7547">
              <w:rPr>
                <w:rFonts w:ascii="Arial" w:hAnsi="Arial" w:cs="Arial"/>
                <w:b/>
              </w:rPr>
              <w:t>Any Shunt Present</w:t>
            </w:r>
          </w:p>
          <w:p w:rsidR="003D7C77" w:rsidRPr="003C7547" w:rsidRDefault="003D7C77" w:rsidP="00206349">
            <w:pPr>
              <w:jc w:val="center"/>
              <w:rPr>
                <w:rFonts w:ascii="Arial" w:hAnsi="Arial" w:cs="Arial"/>
                <w:b/>
              </w:rPr>
            </w:pPr>
            <w:r w:rsidRPr="003C7547">
              <w:rPr>
                <w:rFonts w:ascii="Arial" w:hAnsi="Arial" w:cs="Arial"/>
                <w:b/>
              </w:rPr>
              <w:t># (%)</w:t>
            </w:r>
          </w:p>
        </w:tc>
        <w:tc>
          <w:tcPr>
            <w:tcW w:w="1018" w:type="dxa"/>
            <w:shd w:val="clear" w:color="auto" w:fill="auto"/>
            <w:vAlign w:val="center"/>
          </w:tcPr>
          <w:p w:rsidR="003D7C77" w:rsidRPr="003C7547" w:rsidRDefault="005E35D6" w:rsidP="00214F17">
            <w:pPr>
              <w:jc w:val="center"/>
              <w:rPr>
                <w:rFonts w:ascii="Arial" w:hAnsi="Arial" w:cs="Arial"/>
                <w:b/>
              </w:rPr>
            </w:pPr>
            <w:r w:rsidRPr="003C7547">
              <w:rPr>
                <w:rFonts w:ascii="Arial" w:hAnsi="Arial" w:cs="Arial"/>
                <w:b/>
              </w:rPr>
              <w:t>P value*</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Age at Stroke Onset</w:t>
            </w:r>
            <w:r w:rsidR="007D0C3A" w:rsidRPr="003C7547">
              <w:rPr>
                <w:rFonts w:ascii="Arial" w:hAnsi="Arial" w:cs="Arial"/>
              </w:rPr>
              <w:t xml:space="preserve">  (years, mean</w:t>
            </w:r>
            <w:r w:rsidR="009B6CF6" w:rsidRPr="003C7547">
              <w:rPr>
                <w:rFonts w:ascii="Arial" w:hAnsi="Arial" w:cs="Arial"/>
              </w:rPr>
              <w:t>±SD</w:t>
            </w:r>
            <w:r w:rsidR="007D0C3A" w:rsidRPr="003C7547">
              <w:rPr>
                <w:rFonts w:ascii="Arial" w:hAnsi="Arial" w:cs="Arial"/>
              </w:rPr>
              <w:t>)</w:t>
            </w:r>
          </w:p>
        </w:tc>
        <w:tc>
          <w:tcPr>
            <w:tcW w:w="1975" w:type="dxa"/>
            <w:shd w:val="clear" w:color="auto" w:fill="auto"/>
            <w:vAlign w:val="center"/>
          </w:tcPr>
          <w:p w:rsidR="003D7C77" w:rsidRPr="003C7547" w:rsidRDefault="00BF71E0" w:rsidP="00C42E78">
            <w:pPr>
              <w:jc w:val="center"/>
              <w:rPr>
                <w:rFonts w:ascii="Arial" w:hAnsi="Arial" w:cs="Arial"/>
              </w:rPr>
            </w:pPr>
            <w:r w:rsidRPr="003C7547">
              <w:rPr>
                <w:rFonts w:ascii="Arial" w:hAnsi="Arial" w:cs="Arial"/>
              </w:rPr>
              <w:t>5.9</w:t>
            </w:r>
            <w:r w:rsidR="009B6CF6" w:rsidRPr="003C7547">
              <w:rPr>
                <w:rFonts w:ascii="Arial" w:hAnsi="Arial" w:cs="Arial"/>
              </w:rPr>
              <w:t xml:space="preserve"> </w:t>
            </w:r>
            <w:r w:rsidRPr="003C7547">
              <w:rPr>
                <w:rFonts w:ascii="Arial" w:hAnsi="Arial" w:cs="Arial"/>
              </w:rPr>
              <w:t>±</w:t>
            </w:r>
            <w:r w:rsidR="009B6CF6" w:rsidRPr="003C7547">
              <w:rPr>
                <w:rFonts w:ascii="Arial" w:hAnsi="Arial" w:cs="Arial"/>
              </w:rPr>
              <w:t xml:space="preserve"> </w:t>
            </w:r>
            <w:r w:rsidRPr="003C7547">
              <w:rPr>
                <w:rFonts w:ascii="Arial" w:hAnsi="Arial" w:cs="Arial"/>
              </w:rPr>
              <w:t>3.5</w:t>
            </w:r>
          </w:p>
        </w:tc>
        <w:tc>
          <w:tcPr>
            <w:tcW w:w="1975" w:type="dxa"/>
            <w:shd w:val="clear" w:color="auto" w:fill="auto"/>
            <w:vAlign w:val="center"/>
          </w:tcPr>
          <w:p w:rsidR="003D7C77" w:rsidRPr="003C7547" w:rsidRDefault="00BF71E0" w:rsidP="00C42E78">
            <w:pPr>
              <w:jc w:val="center"/>
              <w:rPr>
                <w:rFonts w:ascii="Arial" w:hAnsi="Arial" w:cs="Arial"/>
              </w:rPr>
            </w:pPr>
            <w:r w:rsidRPr="003C7547">
              <w:rPr>
                <w:rFonts w:ascii="Arial" w:hAnsi="Arial" w:cs="Arial"/>
              </w:rPr>
              <w:t>6.6</w:t>
            </w:r>
            <w:r w:rsidR="009B6CF6" w:rsidRPr="003C7547">
              <w:rPr>
                <w:rFonts w:ascii="Arial" w:hAnsi="Arial" w:cs="Arial"/>
              </w:rPr>
              <w:t xml:space="preserve"> </w:t>
            </w:r>
            <w:r w:rsidRPr="003C7547">
              <w:rPr>
                <w:rFonts w:ascii="Arial" w:hAnsi="Arial" w:cs="Arial"/>
              </w:rPr>
              <w:t>±</w:t>
            </w:r>
            <w:r w:rsidR="009B6CF6" w:rsidRPr="003C7547">
              <w:rPr>
                <w:rFonts w:ascii="Arial" w:hAnsi="Arial" w:cs="Arial"/>
              </w:rPr>
              <w:t xml:space="preserve"> </w:t>
            </w:r>
            <w:r w:rsidRPr="003C7547">
              <w:rPr>
                <w:rFonts w:ascii="Arial" w:hAnsi="Arial" w:cs="Arial"/>
              </w:rPr>
              <w:t>4.2</w:t>
            </w:r>
          </w:p>
        </w:tc>
        <w:tc>
          <w:tcPr>
            <w:tcW w:w="1018" w:type="dxa"/>
            <w:shd w:val="clear" w:color="auto" w:fill="auto"/>
            <w:vAlign w:val="center"/>
          </w:tcPr>
          <w:p w:rsidR="003D7C77" w:rsidRPr="003C7547" w:rsidRDefault="007D0C3A" w:rsidP="00214F17">
            <w:pPr>
              <w:jc w:val="center"/>
              <w:rPr>
                <w:rFonts w:ascii="Arial" w:hAnsi="Arial" w:cs="Arial"/>
              </w:rPr>
            </w:pPr>
            <w:r w:rsidRPr="003C7547">
              <w:rPr>
                <w:rFonts w:ascii="Arial" w:hAnsi="Arial" w:cs="Arial"/>
              </w:rPr>
              <w:t>0.286</w:t>
            </w:r>
            <w:r w:rsidR="009B6CF6"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Age at Echocardiogram</w:t>
            </w:r>
            <w:r w:rsidR="009B6CF6" w:rsidRPr="003C7547">
              <w:rPr>
                <w:rFonts w:ascii="Arial" w:hAnsi="Arial" w:cs="Arial"/>
              </w:rPr>
              <w:t xml:space="preserve">  (years, mean±SD)</w:t>
            </w:r>
          </w:p>
        </w:tc>
        <w:tc>
          <w:tcPr>
            <w:tcW w:w="1975" w:type="dxa"/>
            <w:shd w:val="clear" w:color="auto" w:fill="auto"/>
            <w:vAlign w:val="center"/>
          </w:tcPr>
          <w:p w:rsidR="003D7C77" w:rsidRPr="003C7547" w:rsidRDefault="00BF71E0" w:rsidP="00C42E78">
            <w:pPr>
              <w:jc w:val="center"/>
              <w:rPr>
                <w:rFonts w:ascii="Arial" w:hAnsi="Arial" w:cs="Arial"/>
              </w:rPr>
            </w:pPr>
            <w:r w:rsidRPr="003C7547">
              <w:rPr>
                <w:rFonts w:ascii="Arial" w:hAnsi="Arial" w:cs="Arial"/>
              </w:rPr>
              <w:t>12.4</w:t>
            </w:r>
            <w:r w:rsidR="009B6CF6" w:rsidRPr="003C7547">
              <w:rPr>
                <w:rFonts w:ascii="Arial" w:hAnsi="Arial" w:cs="Arial"/>
              </w:rPr>
              <w:t xml:space="preserve"> </w:t>
            </w:r>
            <w:r w:rsidRPr="003C7547">
              <w:rPr>
                <w:rFonts w:ascii="Arial" w:hAnsi="Arial" w:cs="Arial"/>
              </w:rPr>
              <w:t>±</w:t>
            </w:r>
            <w:r w:rsidR="009B6CF6" w:rsidRPr="003C7547">
              <w:rPr>
                <w:rFonts w:ascii="Arial" w:hAnsi="Arial" w:cs="Arial"/>
              </w:rPr>
              <w:t xml:space="preserve"> </w:t>
            </w:r>
            <w:r w:rsidRPr="003C7547">
              <w:rPr>
                <w:rFonts w:ascii="Arial" w:hAnsi="Arial" w:cs="Arial"/>
              </w:rPr>
              <w:t>4.7</w:t>
            </w:r>
          </w:p>
        </w:tc>
        <w:tc>
          <w:tcPr>
            <w:tcW w:w="1975" w:type="dxa"/>
            <w:shd w:val="clear" w:color="auto" w:fill="auto"/>
            <w:vAlign w:val="center"/>
          </w:tcPr>
          <w:p w:rsidR="003D7C77" w:rsidRPr="003C7547" w:rsidRDefault="00BF71E0" w:rsidP="00C42E78">
            <w:pPr>
              <w:jc w:val="center"/>
              <w:rPr>
                <w:rFonts w:ascii="Arial" w:hAnsi="Arial" w:cs="Arial"/>
              </w:rPr>
            </w:pPr>
            <w:r w:rsidRPr="003C7547">
              <w:rPr>
                <w:rFonts w:ascii="Arial" w:hAnsi="Arial" w:cs="Arial"/>
              </w:rPr>
              <w:t>13.1</w:t>
            </w:r>
            <w:r w:rsidR="009B6CF6" w:rsidRPr="003C7547">
              <w:rPr>
                <w:rFonts w:ascii="Arial" w:hAnsi="Arial" w:cs="Arial"/>
              </w:rPr>
              <w:t xml:space="preserve"> </w:t>
            </w:r>
            <w:r w:rsidRPr="003C7547">
              <w:rPr>
                <w:rFonts w:ascii="Arial" w:hAnsi="Arial" w:cs="Arial"/>
              </w:rPr>
              <w:t>±</w:t>
            </w:r>
            <w:r w:rsidR="009B6CF6" w:rsidRPr="003C7547">
              <w:rPr>
                <w:rFonts w:ascii="Arial" w:hAnsi="Arial" w:cs="Arial"/>
              </w:rPr>
              <w:t xml:space="preserve"> </w:t>
            </w:r>
            <w:r w:rsidRPr="003C7547">
              <w:rPr>
                <w:rFonts w:ascii="Arial" w:hAnsi="Arial" w:cs="Arial"/>
              </w:rPr>
              <w:t>4.9</w:t>
            </w:r>
          </w:p>
        </w:tc>
        <w:tc>
          <w:tcPr>
            <w:tcW w:w="1018" w:type="dxa"/>
            <w:shd w:val="clear" w:color="auto" w:fill="auto"/>
            <w:vAlign w:val="center"/>
          </w:tcPr>
          <w:p w:rsidR="003D7C77" w:rsidRPr="003C7547" w:rsidRDefault="007D0C3A" w:rsidP="00214F17">
            <w:pPr>
              <w:jc w:val="center"/>
              <w:rPr>
                <w:rFonts w:ascii="Arial" w:hAnsi="Arial" w:cs="Arial"/>
              </w:rPr>
            </w:pPr>
            <w:r w:rsidRPr="003C7547">
              <w:rPr>
                <w:rFonts w:ascii="Arial" w:hAnsi="Arial" w:cs="Arial"/>
              </w:rPr>
              <w:t>0.336</w:t>
            </w:r>
            <w:r w:rsidR="009B6CF6"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Gender (% male)</w:t>
            </w:r>
          </w:p>
        </w:tc>
        <w:tc>
          <w:tcPr>
            <w:tcW w:w="1975" w:type="dxa"/>
            <w:shd w:val="clear" w:color="auto" w:fill="auto"/>
            <w:vAlign w:val="center"/>
          </w:tcPr>
          <w:p w:rsidR="003D7C77" w:rsidRPr="003C7547" w:rsidRDefault="007D0C3A" w:rsidP="00C42E78">
            <w:pPr>
              <w:jc w:val="center"/>
              <w:rPr>
                <w:rFonts w:ascii="Arial" w:hAnsi="Arial" w:cs="Arial"/>
              </w:rPr>
            </w:pPr>
            <w:r w:rsidRPr="003C7547">
              <w:rPr>
                <w:rFonts w:ascii="Arial" w:hAnsi="Arial" w:cs="Arial"/>
              </w:rPr>
              <w:t>42/80 (52.5%)</w:t>
            </w:r>
          </w:p>
        </w:tc>
        <w:tc>
          <w:tcPr>
            <w:tcW w:w="1975" w:type="dxa"/>
            <w:shd w:val="clear" w:color="auto" w:fill="auto"/>
            <w:vAlign w:val="center"/>
          </w:tcPr>
          <w:p w:rsidR="003D7C77" w:rsidRPr="003C7547" w:rsidRDefault="007D0C3A" w:rsidP="00C42E78">
            <w:pPr>
              <w:jc w:val="center"/>
              <w:rPr>
                <w:rFonts w:ascii="Arial" w:hAnsi="Arial" w:cs="Arial"/>
              </w:rPr>
            </w:pPr>
            <w:r w:rsidRPr="003C7547">
              <w:rPr>
                <w:rFonts w:ascii="Arial" w:hAnsi="Arial" w:cs="Arial"/>
              </w:rPr>
              <w:t>38/67 (</w:t>
            </w:r>
            <w:r w:rsidR="000A3F7C" w:rsidRPr="003C7547">
              <w:rPr>
                <w:rFonts w:ascii="Arial" w:hAnsi="Arial" w:cs="Arial"/>
              </w:rPr>
              <w:t>56.7%)</w:t>
            </w:r>
          </w:p>
        </w:tc>
        <w:tc>
          <w:tcPr>
            <w:tcW w:w="1018" w:type="dxa"/>
            <w:shd w:val="clear" w:color="auto" w:fill="auto"/>
            <w:vAlign w:val="center"/>
          </w:tcPr>
          <w:p w:rsidR="003D7C77" w:rsidRPr="003C7547" w:rsidRDefault="007D0C3A" w:rsidP="00214F17">
            <w:pPr>
              <w:jc w:val="center"/>
              <w:rPr>
                <w:rFonts w:ascii="Arial" w:hAnsi="Arial" w:cs="Arial"/>
              </w:rPr>
            </w:pPr>
            <w:r w:rsidRPr="003C7547">
              <w:rPr>
                <w:rFonts w:ascii="Arial" w:hAnsi="Arial" w:cs="Arial"/>
              </w:rPr>
              <w:t>0.609</w:t>
            </w:r>
            <w:r w:rsidR="009B6CF6" w:rsidRPr="003C7547">
              <w:rPr>
                <w:rFonts w:ascii="Arial" w:hAnsi="Arial" w:cs="Arial"/>
              </w:rPr>
              <w:t>*</w:t>
            </w:r>
          </w:p>
        </w:tc>
      </w:tr>
      <w:tr w:rsidR="003D7C77" w:rsidRPr="003C7547" w:rsidTr="00214F17">
        <w:tc>
          <w:tcPr>
            <w:tcW w:w="4608" w:type="dxa"/>
            <w:shd w:val="clear" w:color="auto" w:fill="auto"/>
          </w:tcPr>
          <w:p w:rsidR="003D7C77" w:rsidRPr="003C7547" w:rsidRDefault="003D7C77" w:rsidP="009B6CF6">
            <w:pPr>
              <w:rPr>
                <w:rFonts w:ascii="Arial" w:hAnsi="Arial" w:cs="Arial"/>
                <w:color w:val="000000" w:themeColor="text1"/>
              </w:rPr>
            </w:pPr>
            <w:r w:rsidRPr="003C7547">
              <w:rPr>
                <w:rFonts w:ascii="Arial" w:hAnsi="Arial" w:cs="Arial"/>
                <w:color w:val="000000" w:themeColor="text1"/>
              </w:rPr>
              <w:t>Acute Illness at Onset</w:t>
            </w:r>
            <w:r w:rsidR="009B6CF6" w:rsidRPr="003C7547">
              <w:rPr>
                <w:rFonts w:ascii="Arial" w:hAnsi="Arial" w:cs="Arial"/>
                <w:color w:val="000000" w:themeColor="text1"/>
              </w:rPr>
              <w:t xml:space="preserve"> or 2w </w:t>
            </w:r>
            <w:r w:rsidRPr="003C7547">
              <w:rPr>
                <w:rFonts w:ascii="Arial" w:hAnsi="Arial" w:cs="Arial"/>
                <w:color w:val="000000" w:themeColor="text1"/>
              </w:rPr>
              <w:t>prior to stroke</w:t>
            </w:r>
          </w:p>
        </w:tc>
        <w:tc>
          <w:tcPr>
            <w:tcW w:w="1975" w:type="dxa"/>
            <w:shd w:val="clear" w:color="auto" w:fill="auto"/>
            <w:vAlign w:val="center"/>
          </w:tcPr>
          <w:p w:rsidR="003D7C77" w:rsidRPr="003C7547" w:rsidRDefault="009B6CF6" w:rsidP="00C42E78">
            <w:pPr>
              <w:jc w:val="center"/>
              <w:rPr>
                <w:rFonts w:ascii="Arial" w:hAnsi="Arial" w:cs="Arial"/>
                <w:color w:val="000000" w:themeColor="text1"/>
              </w:rPr>
            </w:pPr>
            <w:r w:rsidRPr="003C7547">
              <w:rPr>
                <w:rFonts w:ascii="Arial" w:hAnsi="Arial" w:cs="Arial"/>
                <w:color w:val="000000" w:themeColor="text1"/>
              </w:rPr>
              <w:t>42/77 (54.5%)</w:t>
            </w:r>
          </w:p>
        </w:tc>
        <w:tc>
          <w:tcPr>
            <w:tcW w:w="1975" w:type="dxa"/>
            <w:shd w:val="clear" w:color="auto" w:fill="auto"/>
            <w:vAlign w:val="center"/>
          </w:tcPr>
          <w:p w:rsidR="003D7C77" w:rsidRPr="003C7547" w:rsidRDefault="009B6CF6" w:rsidP="00C42E78">
            <w:pPr>
              <w:jc w:val="center"/>
              <w:rPr>
                <w:rFonts w:ascii="Arial" w:hAnsi="Arial" w:cs="Arial"/>
                <w:color w:val="000000" w:themeColor="text1"/>
              </w:rPr>
            </w:pPr>
            <w:r w:rsidRPr="003C7547">
              <w:rPr>
                <w:rFonts w:ascii="Arial" w:hAnsi="Arial" w:cs="Arial"/>
                <w:color w:val="000000" w:themeColor="text1"/>
              </w:rPr>
              <w:t>33/63 (52.4%)</w:t>
            </w:r>
          </w:p>
        </w:tc>
        <w:tc>
          <w:tcPr>
            <w:tcW w:w="1018" w:type="dxa"/>
            <w:shd w:val="clear" w:color="auto" w:fill="auto"/>
            <w:vAlign w:val="center"/>
          </w:tcPr>
          <w:p w:rsidR="003D7C77" w:rsidRPr="003C7547" w:rsidRDefault="009B6CF6" w:rsidP="00214F17">
            <w:pPr>
              <w:jc w:val="center"/>
              <w:rPr>
                <w:rFonts w:ascii="Arial" w:hAnsi="Arial" w:cs="Arial"/>
                <w:color w:val="000000" w:themeColor="text1"/>
              </w:rPr>
            </w:pPr>
            <w:r w:rsidRPr="003C7547">
              <w:rPr>
                <w:rFonts w:ascii="Arial" w:hAnsi="Arial" w:cs="Arial"/>
                <w:color w:val="000000" w:themeColor="text1"/>
              </w:rPr>
              <w:t>0.798*</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TIA prior to onset</w:t>
            </w:r>
          </w:p>
        </w:tc>
        <w:tc>
          <w:tcPr>
            <w:tcW w:w="1975" w:type="dxa"/>
            <w:shd w:val="clear" w:color="auto" w:fill="auto"/>
            <w:vAlign w:val="center"/>
          </w:tcPr>
          <w:p w:rsidR="003D7C77" w:rsidRPr="003C7547" w:rsidRDefault="00C42E78" w:rsidP="00C42E78">
            <w:pPr>
              <w:jc w:val="center"/>
              <w:rPr>
                <w:rFonts w:ascii="Arial" w:hAnsi="Arial" w:cs="Arial"/>
              </w:rPr>
            </w:pPr>
            <w:r w:rsidRPr="003C7547">
              <w:rPr>
                <w:rFonts w:ascii="Arial" w:hAnsi="Arial" w:cs="Arial"/>
              </w:rPr>
              <w:t xml:space="preserve">  </w:t>
            </w:r>
            <w:r w:rsidR="000A3F7C" w:rsidRPr="003C7547">
              <w:rPr>
                <w:rFonts w:ascii="Arial" w:hAnsi="Arial" w:cs="Arial"/>
              </w:rPr>
              <w:t>1/80</w:t>
            </w:r>
            <w:r w:rsidR="003D7C77" w:rsidRPr="003C7547">
              <w:rPr>
                <w:rFonts w:ascii="Arial" w:hAnsi="Arial" w:cs="Arial"/>
              </w:rPr>
              <w:t xml:space="preserve"> </w:t>
            </w:r>
            <w:r w:rsidR="00996038" w:rsidRPr="003C7547">
              <w:rPr>
                <w:rFonts w:ascii="Arial" w:hAnsi="Arial" w:cs="Arial"/>
              </w:rPr>
              <w:t xml:space="preserve"> </w:t>
            </w:r>
            <w:r w:rsidR="00EE24C0" w:rsidRPr="003C7547">
              <w:rPr>
                <w:rFonts w:ascii="Arial" w:hAnsi="Arial" w:cs="Arial"/>
              </w:rPr>
              <w:t>(1.</w:t>
            </w:r>
            <w:r w:rsidR="003D7C77" w:rsidRPr="003C7547">
              <w:rPr>
                <w:rFonts w:ascii="Arial" w:hAnsi="Arial" w:cs="Arial"/>
              </w:rPr>
              <w:t>3%)</w:t>
            </w:r>
          </w:p>
        </w:tc>
        <w:tc>
          <w:tcPr>
            <w:tcW w:w="1975" w:type="dxa"/>
            <w:shd w:val="clear" w:color="auto" w:fill="auto"/>
            <w:vAlign w:val="center"/>
          </w:tcPr>
          <w:p w:rsidR="003D7C77" w:rsidRPr="003C7547" w:rsidRDefault="00C42E78" w:rsidP="00C42E78">
            <w:pPr>
              <w:jc w:val="center"/>
              <w:rPr>
                <w:rFonts w:ascii="Arial" w:hAnsi="Arial" w:cs="Arial"/>
              </w:rPr>
            </w:pPr>
            <w:r w:rsidRPr="003C7547">
              <w:rPr>
                <w:rFonts w:ascii="Arial" w:hAnsi="Arial" w:cs="Arial"/>
              </w:rPr>
              <w:t xml:space="preserve"> </w:t>
            </w:r>
            <w:r w:rsidR="000A3F7C" w:rsidRPr="003C7547">
              <w:rPr>
                <w:rFonts w:ascii="Arial" w:hAnsi="Arial" w:cs="Arial"/>
              </w:rPr>
              <w:t xml:space="preserve">2/67 </w:t>
            </w:r>
            <w:r w:rsidR="00996038" w:rsidRPr="003C7547">
              <w:rPr>
                <w:rFonts w:ascii="Arial" w:hAnsi="Arial" w:cs="Arial"/>
              </w:rPr>
              <w:t xml:space="preserve"> </w:t>
            </w:r>
            <w:r w:rsidR="000A3F7C" w:rsidRPr="003C7547">
              <w:rPr>
                <w:rFonts w:ascii="Arial" w:hAnsi="Arial" w:cs="Arial"/>
              </w:rPr>
              <w:t>(3.0</w:t>
            </w:r>
            <w:r w:rsidR="003D7C77" w:rsidRPr="003C7547">
              <w:rPr>
                <w:rFonts w:ascii="Arial" w:hAnsi="Arial" w:cs="Arial"/>
              </w:rPr>
              <w:t>%)</w:t>
            </w:r>
          </w:p>
        </w:tc>
        <w:tc>
          <w:tcPr>
            <w:tcW w:w="1018" w:type="dxa"/>
            <w:shd w:val="clear" w:color="auto" w:fill="auto"/>
            <w:vAlign w:val="center"/>
          </w:tcPr>
          <w:p w:rsidR="003D7C77" w:rsidRPr="003C7547" w:rsidRDefault="000A3F7C" w:rsidP="00214F17">
            <w:pPr>
              <w:jc w:val="center"/>
              <w:rPr>
                <w:rFonts w:ascii="Arial" w:hAnsi="Arial" w:cs="Arial"/>
              </w:rPr>
            </w:pPr>
            <w:r w:rsidRPr="003C7547">
              <w:rPr>
                <w:rFonts w:ascii="Arial" w:hAnsi="Arial" w:cs="Arial"/>
              </w:rPr>
              <w:t>0.592</w:t>
            </w:r>
            <w:r w:rsidR="00EE24C0" w:rsidRPr="003C7547">
              <w:rPr>
                <w:rFonts w:ascii="Arial" w:hAnsi="Arial" w:cs="Arial"/>
              </w:rPr>
              <w:t>†</w:t>
            </w:r>
          </w:p>
        </w:tc>
      </w:tr>
      <w:tr w:rsidR="003D7C77" w:rsidRPr="003C7547" w:rsidTr="00214F17">
        <w:tc>
          <w:tcPr>
            <w:tcW w:w="4608" w:type="dxa"/>
            <w:shd w:val="clear" w:color="auto" w:fill="auto"/>
          </w:tcPr>
          <w:p w:rsidR="003D7C77" w:rsidRPr="003C7547" w:rsidRDefault="000A3F7C" w:rsidP="00E814C1">
            <w:pPr>
              <w:rPr>
                <w:rFonts w:ascii="Arial" w:hAnsi="Arial" w:cs="Arial"/>
              </w:rPr>
            </w:pPr>
            <w:r w:rsidRPr="003C7547">
              <w:rPr>
                <w:rFonts w:ascii="Arial" w:hAnsi="Arial" w:cs="Arial"/>
              </w:rPr>
              <w:t>Headache at stroke presentation</w:t>
            </w:r>
          </w:p>
        </w:tc>
        <w:tc>
          <w:tcPr>
            <w:tcW w:w="1975" w:type="dxa"/>
            <w:shd w:val="clear" w:color="auto" w:fill="auto"/>
            <w:vAlign w:val="center"/>
          </w:tcPr>
          <w:p w:rsidR="003D7C77" w:rsidRPr="003C7547" w:rsidRDefault="000A3F7C" w:rsidP="00C42E78">
            <w:pPr>
              <w:jc w:val="center"/>
              <w:rPr>
                <w:rFonts w:ascii="Arial" w:hAnsi="Arial" w:cs="Arial"/>
              </w:rPr>
            </w:pPr>
            <w:r w:rsidRPr="003C7547">
              <w:rPr>
                <w:rFonts w:ascii="Arial" w:hAnsi="Arial" w:cs="Arial"/>
              </w:rPr>
              <w:t>17/63 (27.0%)</w:t>
            </w:r>
          </w:p>
        </w:tc>
        <w:tc>
          <w:tcPr>
            <w:tcW w:w="1975" w:type="dxa"/>
            <w:shd w:val="clear" w:color="auto" w:fill="auto"/>
            <w:vAlign w:val="center"/>
          </w:tcPr>
          <w:p w:rsidR="003D7C77" w:rsidRPr="003C7547" w:rsidRDefault="000A3F7C" w:rsidP="00C42E78">
            <w:pPr>
              <w:jc w:val="center"/>
              <w:rPr>
                <w:rFonts w:ascii="Arial" w:hAnsi="Arial" w:cs="Arial"/>
              </w:rPr>
            </w:pPr>
            <w:r w:rsidRPr="003C7547">
              <w:rPr>
                <w:rFonts w:ascii="Arial" w:hAnsi="Arial" w:cs="Arial"/>
              </w:rPr>
              <w:t>24/50 (48.0%)</w:t>
            </w:r>
          </w:p>
        </w:tc>
        <w:tc>
          <w:tcPr>
            <w:tcW w:w="1018" w:type="dxa"/>
            <w:shd w:val="clear" w:color="auto" w:fill="auto"/>
            <w:vAlign w:val="center"/>
          </w:tcPr>
          <w:p w:rsidR="003D7C77" w:rsidRPr="003C7547" w:rsidRDefault="000A3F7C" w:rsidP="00214F17">
            <w:pPr>
              <w:jc w:val="center"/>
              <w:rPr>
                <w:rFonts w:ascii="Arial" w:hAnsi="Arial" w:cs="Arial"/>
                <w:b/>
              </w:rPr>
            </w:pPr>
            <w:r w:rsidRPr="003C7547">
              <w:rPr>
                <w:rFonts w:ascii="Arial" w:hAnsi="Arial" w:cs="Arial"/>
                <w:b/>
              </w:rPr>
              <w:t>0.021</w:t>
            </w:r>
            <w:r w:rsidR="00EE24C0" w:rsidRPr="003C7547">
              <w:rPr>
                <w:rFonts w:ascii="Arial" w:hAnsi="Arial" w:cs="Arial"/>
                <w:b/>
              </w:rPr>
              <w:t>*</w:t>
            </w:r>
          </w:p>
        </w:tc>
      </w:tr>
      <w:tr w:rsidR="003D7C77" w:rsidRPr="003C7547" w:rsidTr="00214F17">
        <w:tc>
          <w:tcPr>
            <w:tcW w:w="4608" w:type="dxa"/>
            <w:shd w:val="clear" w:color="auto" w:fill="auto"/>
          </w:tcPr>
          <w:p w:rsidR="003D7C77" w:rsidRPr="003C7547" w:rsidRDefault="00EE24C0" w:rsidP="00EE24C0">
            <w:pPr>
              <w:rPr>
                <w:rFonts w:ascii="Arial" w:hAnsi="Arial" w:cs="Arial"/>
              </w:rPr>
            </w:pPr>
            <w:r w:rsidRPr="003C7547">
              <w:rPr>
                <w:rFonts w:ascii="Arial" w:hAnsi="Arial" w:cs="Arial"/>
              </w:rPr>
              <w:t xml:space="preserve">Ongoing </w:t>
            </w:r>
            <w:r w:rsidR="00A46C59" w:rsidRPr="003C7547">
              <w:rPr>
                <w:rFonts w:ascii="Arial" w:hAnsi="Arial" w:cs="Arial"/>
              </w:rPr>
              <w:t>Headache</w:t>
            </w:r>
            <w:r w:rsidRPr="003C7547">
              <w:rPr>
                <w:rFonts w:ascii="Arial" w:hAnsi="Arial" w:cs="Arial"/>
              </w:rPr>
              <w:t xml:space="preserve"> or Migraine</w:t>
            </w:r>
          </w:p>
        </w:tc>
        <w:tc>
          <w:tcPr>
            <w:tcW w:w="1975" w:type="dxa"/>
            <w:shd w:val="clear" w:color="auto" w:fill="auto"/>
            <w:vAlign w:val="center"/>
          </w:tcPr>
          <w:p w:rsidR="003D7C77" w:rsidRPr="003C7547" w:rsidRDefault="00EE24C0" w:rsidP="00C42E78">
            <w:pPr>
              <w:jc w:val="center"/>
              <w:rPr>
                <w:rFonts w:ascii="Arial" w:hAnsi="Arial" w:cs="Arial"/>
              </w:rPr>
            </w:pPr>
            <w:r w:rsidRPr="003C7547">
              <w:rPr>
                <w:rFonts w:ascii="Arial" w:hAnsi="Arial" w:cs="Arial"/>
              </w:rPr>
              <w:t>28/79 (35.4%)</w:t>
            </w:r>
          </w:p>
        </w:tc>
        <w:tc>
          <w:tcPr>
            <w:tcW w:w="1975" w:type="dxa"/>
            <w:shd w:val="clear" w:color="auto" w:fill="auto"/>
            <w:vAlign w:val="center"/>
          </w:tcPr>
          <w:p w:rsidR="003D7C77" w:rsidRPr="003C7547" w:rsidRDefault="00EE24C0" w:rsidP="00C42E78">
            <w:pPr>
              <w:jc w:val="center"/>
              <w:rPr>
                <w:rFonts w:ascii="Arial" w:hAnsi="Arial" w:cs="Arial"/>
              </w:rPr>
            </w:pPr>
            <w:r w:rsidRPr="003C7547">
              <w:rPr>
                <w:rFonts w:ascii="Arial" w:hAnsi="Arial" w:cs="Arial"/>
              </w:rPr>
              <w:t>23/67 (34.3%)</w:t>
            </w:r>
          </w:p>
        </w:tc>
        <w:tc>
          <w:tcPr>
            <w:tcW w:w="1018" w:type="dxa"/>
            <w:shd w:val="clear" w:color="auto" w:fill="auto"/>
            <w:vAlign w:val="center"/>
          </w:tcPr>
          <w:p w:rsidR="003D7C77" w:rsidRPr="003C7547" w:rsidRDefault="00EE24C0" w:rsidP="00214F17">
            <w:pPr>
              <w:jc w:val="center"/>
              <w:rPr>
                <w:rFonts w:ascii="Arial" w:hAnsi="Arial" w:cs="Arial"/>
              </w:rPr>
            </w:pPr>
            <w:r w:rsidRPr="003C7547">
              <w:rPr>
                <w:rFonts w:ascii="Arial" w:hAnsi="Arial" w:cs="Arial"/>
              </w:rPr>
              <w:t>0.888*</w:t>
            </w:r>
          </w:p>
        </w:tc>
      </w:tr>
      <w:tr w:rsidR="00A46C59" w:rsidRPr="003C7547" w:rsidTr="00214F17">
        <w:tc>
          <w:tcPr>
            <w:tcW w:w="4608" w:type="dxa"/>
            <w:shd w:val="clear" w:color="auto" w:fill="auto"/>
          </w:tcPr>
          <w:p w:rsidR="00A46C59" w:rsidRPr="003C7547" w:rsidRDefault="00EE24C0" w:rsidP="00E814C1">
            <w:pPr>
              <w:rPr>
                <w:rFonts w:ascii="Arial" w:hAnsi="Arial" w:cs="Arial"/>
              </w:rPr>
            </w:pPr>
            <w:r w:rsidRPr="003C7547">
              <w:rPr>
                <w:rFonts w:ascii="Arial" w:hAnsi="Arial" w:cs="Arial"/>
              </w:rPr>
              <w:t>Seizures (at presentation or subsequently)</w:t>
            </w:r>
          </w:p>
        </w:tc>
        <w:tc>
          <w:tcPr>
            <w:tcW w:w="1975" w:type="dxa"/>
            <w:shd w:val="clear" w:color="auto" w:fill="auto"/>
            <w:vAlign w:val="center"/>
          </w:tcPr>
          <w:p w:rsidR="00A46C59" w:rsidRPr="003C7547" w:rsidRDefault="00EE24C0" w:rsidP="00C42E78">
            <w:pPr>
              <w:jc w:val="center"/>
              <w:rPr>
                <w:rFonts w:ascii="Arial" w:hAnsi="Arial" w:cs="Arial"/>
              </w:rPr>
            </w:pPr>
            <w:r w:rsidRPr="003C7547">
              <w:rPr>
                <w:rFonts w:ascii="Arial" w:hAnsi="Arial" w:cs="Arial"/>
              </w:rPr>
              <w:t>19/80 (23.8%)</w:t>
            </w:r>
          </w:p>
        </w:tc>
        <w:tc>
          <w:tcPr>
            <w:tcW w:w="1975" w:type="dxa"/>
            <w:shd w:val="clear" w:color="auto" w:fill="auto"/>
            <w:vAlign w:val="center"/>
          </w:tcPr>
          <w:p w:rsidR="00A46C59" w:rsidRPr="003C7547" w:rsidRDefault="00EE24C0" w:rsidP="00C42E78">
            <w:pPr>
              <w:jc w:val="center"/>
              <w:rPr>
                <w:rFonts w:ascii="Arial" w:hAnsi="Arial" w:cs="Arial"/>
              </w:rPr>
            </w:pPr>
            <w:r w:rsidRPr="003C7547">
              <w:rPr>
                <w:rFonts w:ascii="Arial" w:hAnsi="Arial" w:cs="Arial"/>
              </w:rPr>
              <w:t>17/67 (25.4%)</w:t>
            </w:r>
          </w:p>
        </w:tc>
        <w:tc>
          <w:tcPr>
            <w:tcW w:w="1018" w:type="dxa"/>
            <w:shd w:val="clear" w:color="auto" w:fill="auto"/>
            <w:vAlign w:val="center"/>
          </w:tcPr>
          <w:p w:rsidR="00A46C59" w:rsidRPr="003C7547" w:rsidRDefault="00EE24C0" w:rsidP="00214F17">
            <w:pPr>
              <w:jc w:val="center"/>
              <w:rPr>
                <w:rFonts w:ascii="Arial" w:hAnsi="Arial" w:cs="Arial"/>
              </w:rPr>
            </w:pPr>
            <w:r w:rsidRPr="003C7547">
              <w:rPr>
                <w:rFonts w:ascii="Arial" w:hAnsi="Arial" w:cs="Arial"/>
              </w:rPr>
              <w:t>0.820*</w:t>
            </w:r>
          </w:p>
        </w:tc>
      </w:tr>
      <w:tr w:rsidR="003D7C77" w:rsidRPr="003C7547" w:rsidTr="00214F17">
        <w:tc>
          <w:tcPr>
            <w:tcW w:w="4608" w:type="dxa"/>
            <w:shd w:val="clear" w:color="auto" w:fill="auto"/>
          </w:tcPr>
          <w:p w:rsidR="003D7C77" w:rsidRPr="003C7547" w:rsidRDefault="00BF447D" w:rsidP="00E814C1">
            <w:pPr>
              <w:rPr>
                <w:rFonts w:ascii="Arial" w:hAnsi="Arial" w:cs="Arial"/>
              </w:rPr>
            </w:pPr>
            <w:r w:rsidRPr="003C7547">
              <w:rPr>
                <w:rFonts w:ascii="Arial" w:hAnsi="Arial" w:cs="Arial"/>
              </w:rPr>
              <w:t>Stroke Outcome, PSOM</w:t>
            </w:r>
            <w:r w:rsidR="00877BD6" w:rsidRPr="003C7547">
              <w:rPr>
                <w:rFonts w:ascii="Arial" w:hAnsi="Arial" w:cs="Arial"/>
              </w:rPr>
              <w:t xml:space="preserve"> (median, range)</w:t>
            </w:r>
          </w:p>
        </w:tc>
        <w:tc>
          <w:tcPr>
            <w:tcW w:w="1975" w:type="dxa"/>
            <w:shd w:val="clear" w:color="auto" w:fill="auto"/>
            <w:vAlign w:val="center"/>
          </w:tcPr>
          <w:p w:rsidR="003D7C77" w:rsidRPr="003C7547" w:rsidRDefault="00877BD6" w:rsidP="00C42E78">
            <w:pPr>
              <w:jc w:val="center"/>
              <w:rPr>
                <w:rFonts w:ascii="Arial" w:hAnsi="Arial" w:cs="Arial"/>
              </w:rPr>
            </w:pPr>
            <w:r w:rsidRPr="003C7547">
              <w:rPr>
                <w:rFonts w:ascii="Arial" w:hAnsi="Arial" w:cs="Arial"/>
              </w:rPr>
              <w:t>0.5 (0-8)</w:t>
            </w:r>
          </w:p>
        </w:tc>
        <w:tc>
          <w:tcPr>
            <w:tcW w:w="1975" w:type="dxa"/>
            <w:shd w:val="clear" w:color="auto" w:fill="auto"/>
            <w:vAlign w:val="center"/>
          </w:tcPr>
          <w:p w:rsidR="003D7C77" w:rsidRPr="003C7547" w:rsidRDefault="00877BD6" w:rsidP="00C42E78">
            <w:pPr>
              <w:jc w:val="center"/>
              <w:rPr>
                <w:rFonts w:ascii="Arial" w:hAnsi="Arial" w:cs="Arial"/>
              </w:rPr>
            </w:pPr>
            <w:r w:rsidRPr="003C7547">
              <w:rPr>
                <w:rFonts w:ascii="Arial" w:hAnsi="Arial" w:cs="Arial"/>
              </w:rPr>
              <w:t>0.5 (0-8)</w:t>
            </w:r>
          </w:p>
        </w:tc>
        <w:tc>
          <w:tcPr>
            <w:tcW w:w="1018" w:type="dxa"/>
            <w:shd w:val="clear" w:color="auto" w:fill="auto"/>
            <w:vAlign w:val="center"/>
          </w:tcPr>
          <w:p w:rsidR="003D7C77" w:rsidRPr="003C7547" w:rsidRDefault="00877BD6" w:rsidP="00214F17">
            <w:pPr>
              <w:jc w:val="center"/>
              <w:rPr>
                <w:rFonts w:ascii="Arial" w:hAnsi="Arial" w:cs="Arial"/>
              </w:rPr>
            </w:pPr>
            <w:r w:rsidRPr="003C7547">
              <w:rPr>
                <w:rFonts w:ascii="Arial" w:hAnsi="Arial" w:cs="Arial"/>
              </w:rPr>
              <w:t>0.943‡</w:t>
            </w:r>
          </w:p>
        </w:tc>
      </w:tr>
      <w:tr w:rsidR="003D7C77" w:rsidRPr="003C7547" w:rsidTr="00214F17">
        <w:tc>
          <w:tcPr>
            <w:tcW w:w="4608" w:type="dxa"/>
            <w:shd w:val="clear" w:color="auto" w:fill="auto"/>
          </w:tcPr>
          <w:p w:rsidR="003D7C77" w:rsidRPr="003C7547" w:rsidRDefault="00877BD6" w:rsidP="00996038">
            <w:pPr>
              <w:rPr>
                <w:rFonts w:ascii="Arial" w:hAnsi="Arial" w:cs="Arial"/>
              </w:rPr>
            </w:pPr>
            <w:r w:rsidRPr="003C7547">
              <w:rPr>
                <w:rFonts w:ascii="Arial" w:hAnsi="Arial" w:cs="Arial"/>
              </w:rPr>
              <w:t xml:space="preserve">Recurrent Stroke or </w:t>
            </w:r>
            <w:r w:rsidR="00996038" w:rsidRPr="003C7547">
              <w:rPr>
                <w:rFonts w:ascii="Arial" w:hAnsi="Arial" w:cs="Arial"/>
              </w:rPr>
              <w:t>TIA</w:t>
            </w:r>
          </w:p>
        </w:tc>
        <w:tc>
          <w:tcPr>
            <w:tcW w:w="1975" w:type="dxa"/>
            <w:shd w:val="clear" w:color="auto" w:fill="auto"/>
            <w:vAlign w:val="center"/>
          </w:tcPr>
          <w:p w:rsidR="003D7C77" w:rsidRPr="003C7547" w:rsidRDefault="00996038" w:rsidP="00C42E78">
            <w:pPr>
              <w:jc w:val="center"/>
              <w:rPr>
                <w:rFonts w:ascii="Arial" w:hAnsi="Arial" w:cs="Arial"/>
              </w:rPr>
            </w:pPr>
            <w:r w:rsidRPr="003C7547">
              <w:rPr>
                <w:rFonts w:ascii="Arial" w:hAnsi="Arial" w:cs="Arial"/>
              </w:rPr>
              <w:t>27/80 (33.8%)</w:t>
            </w:r>
          </w:p>
        </w:tc>
        <w:tc>
          <w:tcPr>
            <w:tcW w:w="1975" w:type="dxa"/>
            <w:shd w:val="clear" w:color="auto" w:fill="auto"/>
            <w:vAlign w:val="center"/>
          </w:tcPr>
          <w:p w:rsidR="003D7C77" w:rsidRPr="003C7547" w:rsidRDefault="00996038" w:rsidP="00C42E78">
            <w:pPr>
              <w:jc w:val="center"/>
              <w:rPr>
                <w:rFonts w:ascii="Arial" w:hAnsi="Arial" w:cs="Arial"/>
              </w:rPr>
            </w:pPr>
            <w:r w:rsidRPr="003C7547">
              <w:rPr>
                <w:rFonts w:ascii="Arial" w:hAnsi="Arial" w:cs="Arial"/>
              </w:rPr>
              <w:t>21/67 (31.3%)</w:t>
            </w:r>
          </w:p>
        </w:tc>
        <w:tc>
          <w:tcPr>
            <w:tcW w:w="1018" w:type="dxa"/>
            <w:shd w:val="clear" w:color="auto" w:fill="auto"/>
            <w:vAlign w:val="center"/>
          </w:tcPr>
          <w:p w:rsidR="003D7C77" w:rsidRPr="003C7547" w:rsidRDefault="00996038" w:rsidP="00214F17">
            <w:pPr>
              <w:jc w:val="center"/>
              <w:rPr>
                <w:rFonts w:ascii="Arial" w:hAnsi="Arial" w:cs="Arial"/>
              </w:rPr>
            </w:pPr>
            <w:r w:rsidRPr="003C7547">
              <w:rPr>
                <w:rFonts w:ascii="Arial" w:hAnsi="Arial" w:cs="Arial"/>
              </w:rPr>
              <w:t>0.757</w:t>
            </w:r>
            <w:r w:rsidR="00877BD6" w:rsidRPr="003C7547">
              <w:rPr>
                <w:rFonts w:ascii="Arial" w:hAnsi="Arial" w:cs="Arial"/>
              </w:rPr>
              <w:t>*</w:t>
            </w:r>
          </w:p>
        </w:tc>
      </w:tr>
      <w:tr w:rsidR="003D7C77" w:rsidRPr="003C7547" w:rsidTr="00214F17">
        <w:tc>
          <w:tcPr>
            <w:tcW w:w="4608" w:type="dxa"/>
            <w:shd w:val="clear" w:color="auto" w:fill="auto"/>
          </w:tcPr>
          <w:p w:rsidR="003D7C77" w:rsidRPr="003C7547" w:rsidRDefault="00BF447D" w:rsidP="00E814C1">
            <w:pPr>
              <w:rPr>
                <w:rFonts w:ascii="Arial" w:hAnsi="Arial" w:cs="Arial"/>
              </w:rPr>
            </w:pPr>
            <w:r w:rsidRPr="003C7547">
              <w:rPr>
                <w:rFonts w:ascii="Arial" w:hAnsi="Arial" w:cs="Arial"/>
              </w:rPr>
              <w:t>Hgb</w:t>
            </w:r>
            <w:r w:rsidR="00D434C8" w:rsidRPr="003C7547">
              <w:rPr>
                <w:rFonts w:ascii="Arial" w:hAnsi="Arial" w:cs="Arial"/>
              </w:rPr>
              <w:t xml:space="preserve"> Oxygen</w:t>
            </w:r>
            <w:r w:rsidR="003D7C77" w:rsidRPr="003C7547">
              <w:rPr>
                <w:rFonts w:ascii="Arial" w:hAnsi="Arial" w:cs="Arial"/>
              </w:rPr>
              <w:t xml:space="preserve"> Saturation</w:t>
            </w:r>
            <w:r w:rsidR="00D434C8" w:rsidRPr="003C7547">
              <w:rPr>
                <w:rFonts w:ascii="Arial" w:hAnsi="Arial" w:cs="Arial"/>
              </w:rPr>
              <w:t xml:space="preserve"> (median, range)</w:t>
            </w:r>
          </w:p>
        </w:tc>
        <w:tc>
          <w:tcPr>
            <w:tcW w:w="1975" w:type="dxa"/>
            <w:shd w:val="clear" w:color="auto" w:fill="auto"/>
            <w:vAlign w:val="center"/>
          </w:tcPr>
          <w:p w:rsidR="003D7C77" w:rsidRPr="003C7547" w:rsidRDefault="00D434C8" w:rsidP="00C42E78">
            <w:pPr>
              <w:jc w:val="center"/>
              <w:rPr>
                <w:rFonts w:ascii="Arial" w:hAnsi="Arial" w:cs="Arial"/>
              </w:rPr>
            </w:pPr>
            <w:r w:rsidRPr="003C7547">
              <w:rPr>
                <w:rFonts w:ascii="Arial" w:hAnsi="Arial" w:cs="Arial"/>
              </w:rPr>
              <w:t>99 (96-100)</w:t>
            </w:r>
          </w:p>
        </w:tc>
        <w:tc>
          <w:tcPr>
            <w:tcW w:w="1975" w:type="dxa"/>
            <w:shd w:val="clear" w:color="auto" w:fill="auto"/>
            <w:vAlign w:val="center"/>
          </w:tcPr>
          <w:p w:rsidR="003D7C77" w:rsidRPr="003C7547" w:rsidRDefault="00D434C8" w:rsidP="00C42E78">
            <w:pPr>
              <w:jc w:val="center"/>
              <w:rPr>
                <w:rFonts w:ascii="Arial" w:hAnsi="Arial" w:cs="Arial"/>
              </w:rPr>
            </w:pPr>
            <w:r w:rsidRPr="003C7547">
              <w:rPr>
                <w:rFonts w:ascii="Arial" w:hAnsi="Arial" w:cs="Arial"/>
              </w:rPr>
              <w:t>99 (93-100)</w:t>
            </w:r>
          </w:p>
        </w:tc>
        <w:tc>
          <w:tcPr>
            <w:tcW w:w="1018" w:type="dxa"/>
            <w:shd w:val="clear" w:color="auto" w:fill="auto"/>
            <w:vAlign w:val="center"/>
          </w:tcPr>
          <w:p w:rsidR="003D7C77" w:rsidRPr="003C7547" w:rsidRDefault="00D434C8" w:rsidP="00214F17">
            <w:pPr>
              <w:jc w:val="center"/>
              <w:rPr>
                <w:rFonts w:ascii="Arial" w:hAnsi="Arial" w:cs="Arial"/>
              </w:rPr>
            </w:pPr>
            <w:r w:rsidRPr="003C7547">
              <w:rPr>
                <w:rFonts w:ascii="Arial" w:hAnsi="Arial" w:cs="Arial"/>
              </w:rPr>
              <w:t>0.310‡</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Acute Chest Syndrome</w:t>
            </w:r>
          </w:p>
        </w:tc>
        <w:tc>
          <w:tcPr>
            <w:tcW w:w="1975" w:type="dxa"/>
            <w:shd w:val="clear" w:color="auto" w:fill="auto"/>
            <w:vAlign w:val="center"/>
          </w:tcPr>
          <w:p w:rsidR="003D7C77" w:rsidRPr="003C7547" w:rsidRDefault="00996038" w:rsidP="00C42E78">
            <w:pPr>
              <w:jc w:val="center"/>
              <w:rPr>
                <w:rFonts w:ascii="Arial" w:hAnsi="Arial" w:cs="Arial"/>
              </w:rPr>
            </w:pPr>
            <w:r w:rsidRPr="003C7547">
              <w:rPr>
                <w:rFonts w:ascii="Arial" w:hAnsi="Arial" w:cs="Arial"/>
              </w:rPr>
              <w:t>34/73 (46.6</w:t>
            </w:r>
            <w:r w:rsidR="003D7C77" w:rsidRPr="003C7547">
              <w:rPr>
                <w:rFonts w:ascii="Arial" w:hAnsi="Arial" w:cs="Arial"/>
              </w:rPr>
              <w:t>%)</w:t>
            </w:r>
          </w:p>
        </w:tc>
        <w:tc>
          <w:tcPr>
            <w:tcW w:w="1975" w:type="dxa"/>
            <w:shd w:val="clear" w:color="auto" w:fill="auto"/>
            <w:vAlign w:val="center"/>
          </w:tcPr>
          <w:p w:rsidR="003D7C77" w:rsidRPr="003C7547" w:rsidRDefault="00996038" w:rsidP="00C42E78">
            <w:pPr>
              <w:jc w:val="center"/>
              <w:rPr>
                <w:rFonts w:ascii="Arial" w:hAnsi="Arial" w:cs="Arial"/>
              </w:rPr>
            </w:pPr>
            <w:r w:rsidRPr="003C7547">
              <w:rPr>
                <w:rFonts w:ascii="Arial" w:hAnsi="Arial" w:cs="Arial"/>
              </w:rPr>
              <w:t>28/59 (47.5</w:t>
            </w:r>
            <w:r w:rsidR="003D7C77" w:rsidRPr="003C7547">
              <w:rPr>
                <w:rFonts w:ascii="Arial" w:hAnsi="Arial" w:cs="Arial"/>
              </w:rPr>
              <w:t>%)</w:t>
            </w:r>
          </w:p>
        </w:tc>
        <w:tc>
          <w:tcPr>
            <w:tcW w:w="1018" w:type="dxa"/>
            <w:shd w:val="clear" w:color="auto" w:fill="auto"/>
            <w:vAlign w:val="center"/>
          </w:tcPr>
          <w:p w:rsidR="003D7C77" w:rsidRPr="003C7547" w:rsidRDefault="00996038" w:rsidP="00214F17">
            <w:pPr>
              <w:jc w:val="center"/>
              <w:rPr>
                <w:rFonts w:ascii="Arial" w:hAnsi="Arial" w:cs="Arial"/>
              </w:rPr>
            </w:pPr>
            <w:r w:rsidRPr="003C7547">
              <w:rPr>
                <w:rFonts w:ascii="Arial" w:hAnsi="Arial" w:cs="Arial"/>
              </w:rPr>
              <w:t>0.9</w:t>
            </w:r>
            <w:r w:rsidR="003D7C77" w:rsidRPr="003C7547">
              <w:rPr>
                <w:rFonts w:ascii="Arial" w:hAnsi="Arial" w:cs="Arial"/>
              </w:rPr>
              <w:t>2</w:t>
            </w:r>
            <w:r w:rsidRPr="003C7547">
              <w:rPr>
                <w:rFonts w:ascii="Arial" w:hAnsi="Arial" w:cs="Arial"/>
              </w:rPr>
              <w:t>0</w:t>
            </w:r>
            <w:r w:rsidR="00967EB6"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frequent pain crises (&gt; 5)</w:t>
            </w:r>
          </w:p>
        </w:tc>
        <w:tc>
          <w:tcPr>
            <w:tcW w:w="1975" w:type="dxa"/>
            <w:shd w:val="clear" w:color="auto" w:fill="auto"/>
            <w:vAlign w:val="center"/>
          </w:tcPr>
          <w:p w:rsidR="003D7C77" w:rsidRPr="003C7547" w:rsidRDefault="00996038" w:rsidP="00C42E78">
            <w:pPr>
              <w:jc w:val="center"/>
              <w:rPr>
                <w:rFonts w:ascii="Arial" w:hAnsi="Arial" w:cs="Arial"/>
              </w:rPr>
            </w:pPr>
            <w:r w:rsidRPr="003C7547">
              <w:rPr>
                <w:rFonts w:ascii="Arial" w:hAnsi="Arial" w:cs="Arial"/>
              </w:rPr>
              <w:t>22/69 (31.9</w:t>
            </w:r>
            <w:r w:rsidR="003D7C77" w:rsidRPr="003C7547">
              <w:rPr>
                <w:rFonts w:ascii="Arial" w:hAnsi="Arial" w:cs="Arial"/>
              </w:rPr>
              <w:t>%)</w:t>
            </w:r>
          </w:p>
        </w:tc>
        <w:tc>
          <w:tcPr>
            <w:tcW w:w="1975" w:type="dxa"/>
            <w:shd w:val="clear" w:color="auto" w:fill="auto"/>
            <w:vAlign w:val="center"/>
          </w:tcPr>
          <w:p w:rsidR="003D7C77" w:rsidRPr="003C7547" w:rsidRDefault="00996038" w:rsidP="00C42E78">
            <w:pPr>
              <w:jc w:val="center"/>
              <w:rPr>
                <w:rFonts w:ascii="Arial" w:hAnsi="Arial" w:cs="Arial"/>
              </w:rPr>
            </w:pPr>
            <w:r w:rsidRPr="003C7547">
              <w:rPr>
                <w:rFonts w:ascii="Arial" w:hAnsi="Arial" w:cs="Arial"/>
              </w:rPr>
              <w:t>17/59 (28</w:t>
            </w:r>
            <w:r w:rsidR="003D7C77" w:rsidRPr="003C7547">
              <w:rPr>
                <w:rFonts w:ascii="Arial" w:hAnsi="Arial" w:cs="Arial"/>
              </w:rPr>
              <w:t>.8%)</w:t>
            </w:r>
          </w:p>
        </w:tc>
        <w:tc>
          <w:tcPr>
            <w:tcW w:w="1018" w:type="dxa"/>
            <w:shd w:val="clear" w:color="auto" w:fill="auto"/>
            <w:vAlign w:val="center"/>
          </w:tcPr>
          <w:p w:rsidR="003D7C77" w:rsidRPr="003C7547" w:rsidRDefault="00996038" w:rsidP="00214F17">
            <w:pPr>
              <w:jc w:val="center"/>
              <w:rPr>
                <w:rFonts w:ascii="Arial" w:hAnsi="Arial" w:cs="Arial"/>
              </w:rPr>
            </w:pPr>
            <w:r w:rsidRPr="003C7547">
              <w:rPr>
                <w:rFonts w:ascii="Arial" w:hAnsi="Arial" w:cs="Arial"/>
              </w:rPr>
              <w:t>0.707</w:t>
            </w:r>
            <w:r w:rsidR="008D0E9C"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Gallstones</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14/72 (19.4</w:t>
            </w:r>
            <w:r w:rsidR="003D7C77" w:rsidRPr="003C7547">
              <w:rPr>
                <w:rFonts w:ascii="Arial" w:hAnsi="Arial" w:cs="Arial"/>
              </w:rPr>
              <w:t>%)</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10/54 (18.5</w:t>
            </w:r>
            <w:r w:rsidR="003D7C77" w:rsidRPr="003C7547">
              <w:rPr>
                <w:rFonts w:ascii="Arial" w:hAnsi="Arial" w:cs="Arial"/>
              </w:rPr>
              <w:t>%)</w:t>
            </w:r>
          </w:p>
        </w:tc>
        <w:tc>
          <w:tcPr>
            <w:tcW w:w="1018" w:type="dxa"/>
            <w:shd w:val="clear" w:color="auto" w:fill="auto"/>
            <w:vAlign w:val="center"/>
          </w:tcPr>
          <w:p w:rsidR="003D7C77" w:rsidRPr="003C7547" w:rsidRDefault="003D7C77" w:rsidP="00214F17">
            <w:pPr>
              <w:jc w:val="center"/>
              <w:rPr>
                <w:rFonts w:ascii="Arial" w:hAnsi="Arial" w:cs="Arial"/>
              </w:rPr>
            </w:pPr>
            <w:r w:rsidRPr="003C7547">
              <w:rPr>
                <w:rFonts w:ascii="Arial" w:hAnsi="Arial" w:cs="Arial"/>
              </w:rPr>
              <w:t>0</w:t>
            </w:r>
            <w:r w:rsidR="00E15789" w:rsidRPr="003C7547">
              <w:rPr>
                <w:rFonts w:ascii="Arial" w:hAnsi="Arial" w:cs="Arial"/>
              </w:rPr>
              <w:t>.896</w:t>
            </w:r>
            <w:r w:rsidR="008D0E9C"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Priapism (for males)</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 xml:space="preserve">3/38 </w:t>
            </w:r>
            <w:r w:rsidR="00C42E78" w:rsidRPr="003C7547">
              <w:rPr>
                <w:rFonts w:ascii="Arial" w:hAnsi="Arial" w:cs="Arial"/>
              </w:rPr>
              <w:t xml:space="preserve"> </w:t>
            </w:r>
            <w:r w:rsidRPr="003C7547">
              <w:rPr>
                <w:rFonts w:ascii="Arial" w:hAnsi="Arial" w:cs="Arial"/>
              </w:rPr>
              <w:t>(7.9</w:t>
            </w:r>
            <w:r w:rsidR="003D7C77" w:rsidRPr="003C7547">
              <w:rPr>
                <w:rFonts w:ascii="Arial" w:hAnsi="Arial" w:cs="Arial"/>
              </w:rPr>
              <w:t>%)</w:t>
            </w:r>
          </w:p>
        </w:tc>
        <w:tc>
          <w:tcPr>
            <w:tcW w:w="1975" w:type="dxa"/>
            <w:shd w:val="clear" w:color="auto" w:fill="auto"/>
            <w:vAlign w:val="center"/>
          </w:tcPr>
          <w:p w:rsidR="003D7C77" w:rsidRPr="003C7547" w:rsidRDefault="00C42E78" w:rsidP="00C42E78">
            <w:pPr>
              <w:jc w:val="center"/>
              <w:rPr>
                <w:rFonts w:ascii="Arial" w:hAnsi="Arial" w:cs="Arial"/>
              </w:rPr>
            </w:pPr>
            <w:r w:rsidRPr="003C7547">
              <w:rPr>
                <w:rFonts w:ascii="Arial" w:hAnsi="Arial" w:cs="Arial"/>
              </w:rPr>
              <w:t xml:space="preserve"> </w:t>
            </w:r>
            <w:r w:rsidR="00E15789" w:rsidRPr="003C7547">
              <w:rPr>
                <w:rFonts w:ascii="Arial" w:hAnsi="Arial" w:cs="Arial"/>
              </w:rPr>
              <w:t>7/34 (20.6</w:t>
            </w:r>
            <w:r w:rsidR="003D7C77" w:rsidRPr="003C7547">
              <w:rPr>
                <w:rFonts w:ascii="Arial" w:hAnsi="Arial" w:cs="Arial"/>
              </w:rPr>
              <w:t>%)</w:t>
            </w:r>
          </w:p>
        </w:tc>
        <w:tc>
          <w:tcPr>
            <w:tcW w:w="1018" w:type="dxa"/>
            <w:shd w:val="clear" w:color="auto" w:fill="auto"/>
            <w:vAlign w:val="center"/>
          </w:tcPr>
          <w:p w:rsidR="003D7C77" w:rsidRPr="003C7547" w:rsidRDefault="008D0E9C" w:rsidP="00214F17">
            <w:pPr>
              <w:jc w:val="center"/>
              <w:rPr>
                <w:rFonts w:ascii="Arial" w:hAnsi="Arial" w:cs="Arial"/>
              </w:rPr>
            </w:pPr>
            <w:r w:rsidRPr="003C7547">
              <w:rPr>
                <w:rFonts w:ascii="Arial" w:hAnsi="Arial" w:cs="Arial"/>
              </w:rPr>
              <w:t>0.175†</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Splenic Sequestration</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13/72 (18.1</w:t>
            </w:r>
            <w:r w:rsidR="003D7C77" w:rsidRPr="003C7547">
              <w:rPr>
                <w:rFonts w:ascii="Arial" w:hAnsi="Arial" w:cs="Arial"/>
              </w:rPr>
              <w:t>%)</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17/58 (29.3</w:t>
            </w:r>
            <w:r w:rsidR="003D7C77" w:rsidRPr="003C7547">
              <w:rPr>
                <w:rFonts w:ascii="Arial" w:hAnsi="Arial" w:cs="Arial"/>
              </w:rPr>
              <w:t>%)</w:t>
            </w:r>
          </w:p>
        </w:tc>
        <w:tc>
          <w:tcPr>
            <w:tcW w:w="1018" w:type="dxa"/>
            <w:shd w:val="clear" w:color="auto" w:fill="auto"/>
            <w:vAlign w:val="center"/>
          </w:tcPr>
          <w:p w:rsidR="003D7C77" w:rsidRPr="003C7547" w:rsidRDefault="00E15789" w:rsidP="00214F17">
            <w:pPr>
              <w:jc w:val="center"/>
              <w:rPr>
                <w:rFonts w:ascii="Arial" w:hAnsi="Arial" w:cs="Arial"/>
              </w:rPr>
            </w:pPr>
            <w:r w:rsidRPr="003C7547">
              <w:rPr>
                <w:rFonts w:ascii="Arial" w:hAnsi="Arial" w:cs="Arial"/>
              </w:rPr>
              <w:t>0.130</w:t>
            </w:r>
            <w:r w:rsidR="008D0E9C"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Aplastic Crisis</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6/70 (8.6</w:t>
            </w:r>
            <w:r w:rsidR="003D7C77" w:rsidRPr="003C7547">
              <w:rPr>
                <w:rFonts w:ascii="Arial" w:hAnsi="Arial" w:cs="Arial"/>
              </w:rPr>
              <w:t>%)</w:t>
            </w:r>
          </w:p>
        </w:tc>
        <w:tc>
          <w:tcPr>
            <w:tcW w:w="1975" w:type="dxa"/>
            <w:shd w:val="clear" w:color="auto" w:fill="auto"/>
            <w:vAlign w:val="center"/>
          </w:tcPr>
          <w:p w:rsidR="003D7C77" w:rsidRPr="003C7547" w:rsidRDefault="00C42E78" w:rsidP="00C42E78">
            <w:pPr>
              <w:jc w:val="center"/>
              <w:rPr>
                <w:rFonts w:ascii="Arial" w:hAnsi="Arial" w:cs="Arial"/>
              </w:rPr>
            </w:pPr>
            <w:r w:rsidRPr="003C7547">
              <w:rPr>
                <w:rFonts w:ascii="Arial" w:hAnsi="Arial" w:cs="Arial"/>
              </w:rPr>
              <w:t xml:space="preserve">   </w:t>
            </w:r>
            <w:r w:rsidR="00E15789" w:rsidRPr="003C7547">
              <w:rPr>
                <w:rFonts w:ascii="Arial" w:hAnsi="Arial" w:cs="Arial"/>
              </w:rPr>
              <w:t>7/53</w:t>
            </w:r>
            <w:r w:rsidRPr="003C7547">
              <w:rPr>
                <w:rFonts w:ascii="Arial" w:hAnsi="Arial" w:cs="Arial"/>
              </w:rPr>
              <w:t xml:space="preserve"> </w:t>
            </w:r>
            <w:r w:rsidR="00E15789" w:rsidRPr="003C7547">
              <w:rPr>
                <w:rFonts w:ascii="Arial" w:hAnsi="Arial" w:cs="Arial"/>
              </w:rPr>
              <w:t xml:space="preserve"> (13.2</w:t>
            </w:r>
            <w:r w:rsidR="003D7C77" w:rsidRPr="003C7547">
              <w:rPr>
                <w:rFonts w:ascii="Arial" w:hAnsi="Arial" w:cs="Arial"/>
              </w:rPr>
              <w:t>%)</w:t>
            </w:r>
          </w:p>
        </w:tc>
        <w:tc>
          <w:tcPr>
            <w:tcW w:w="1018" w:type="dxa"/>
            <w:shd w:val="clear" w:color="auto" w:fill="auto"/>
            <w:vAlign w:val="center"/>
          </w:tcPr>
          <w:p w:rsidR="003D7C77" w:rsidRPr="003C7547" w:rsidRDefault="00E15789" w:rsidP="00214F17">
            <w:pPr>
              <w:jc w:val="center"/>
              <w:rPr>
                <w:rFonts w:ascii="Arial" w:hAnsi="Arial" w:cs="Arial"/>
              </w:rPr>
            </w:pPr>
            <w:r w:rsidRPr="003C7547">
              <w:rPr>
                <w:rFonts w:ascii="Arial" w:hAnsi="Arial" w:cs="Arial"/>
              </w:rPr>
              <w:t>0.408</w:t>
            </w:r>
            <w:r w:rsidR="008D0E9C" w:rsidRPr="003C7547">
              <w:rPr>
                <w:rFonts w:ascii="Arial" w:hAnsi="Arial" w:cs="Arial"/>
              </w:rPr>
              <w:t>*</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Hx of Aseptic Necrosis</w:t>
            </w:r>
          </w:p>
        </w:tc>
        <w:tc>
          <w:tcPr>
            <w:tcW w:w="1975" w:type="dxa"/>
            <w:shd w:val="clear" w:color="auto" w:fill="auto"/>
            <w:vAlign w:val="center"/>
          </w:tcPr>
          <w:p w:rsidR="003D7C77" w:rsidRPr="003C7547" w:rsidRDefault="00E15789" w:rsidP="00C42E78">
            <w:pPr>
              <w:jc w:val="center"/>
              <w:rPr>
                <w:rFonts w:ascii="Arial" w:hAnsi="Arial" w:cs="Arial"/>
              </w:rPr>
            </w:pPr>
            <w:r w:rsidRPr="003C7547">
              <w:rPr>
                <w:rFonts w:ascii="Arial" w:hAnsi="Arial" w:cs="Arial"/>
              </w:rPr>
              <w:t>1/72 (1.4</w:t>
            </w:r>
            <w:r w:rsidR="003D7C77" w:rsidRPr="003C7547">
              <w:rPr>
                <w:rFonts w:ascii="Arial" w:hAnsi="Arial" w:cs="Arial"/>
              </w:rPr>
              <w:t>%)</w:t>
            </w:r>
          </w:p>
        </w:tc>
        <w:tc>
          <w:tcPr>
            <w:tcW w:w="1975" w:type="dxa"/>
            <w:shd w:val="clear" w:color="auto" w:fill="auto"/>
            <w:vAlign w:val="center"/>
          </w:tcPr>
          <w:p w:rsidR="003D7C77" w:rsidRPr="003C7547" w:rsidRDefault="00C42E78" w:rsidP="00C42E78">
            <w:pPr>
              <w:jc w:val="center"/>
              <w:rPr>
                <w:rFonts w:ascii="Arial" w:hAnsi="Arial" w:cs="Arial"/>
              </w:rPr>
            </w:pPr>
            <w:r w:rsidRPr="003C7547">
              <w:rPr>
                <w:rFonts w:ascii="Arial" w:hAnsi="Arial" w:cs="Arial"/>
              </w:rPr>
              <w:t xml:space="preserve">  </w:t>
            </w:r>
            <w:r w:rsidR="00E15789" w:rsidRPr="003C7547">
              <w:rPr>
                <w:rFonts w:ascii="Arial" w:hAnsi="Arial" w:cs="Arial"/>
              </w:rPr>
              <w:t xml:space="preserve">3/59 </w:t>
            </w:r>
            <w:r w:rsidRPr="003C7547">
              <w:rPr>
                <w:rFonts w:ascii="Arial" w:hAnsi="Arial" w:cs="Arial"/>
              </w:rPr>
              <w:t xml:space="preserve"> </w:t>
            </w:r>
            <w:r w:rsidR="00E15789" w:rsidRPr="003C7547">
              <w:rPr>
                <w:rFonts w:ascii="Arial" w:hAnsi="Arial" w:cs="Arial"/>
              </w:rPr>
              <w:t>(5.1</w:t>
            </w:r>
            <w:r w:rsidR="003D7C77" w:rsidRPr="003C7547">
              <w:rPr>
                <w:rFonts w:ascii="Arial" w:hAnsi="Arial" w:cs="Arial"/>
              </w:rPr>
              <w:t>%)</w:t>
            </w:r>
          </w:p>
        </w:tc>
        <w:tc>
          <w:tcPr>
            <w:tcW w:w="1018" w:type="dxa"/>
            <w:shd w:val="clear" w:color="auto" w:fill="auto"/>
            <w:vAlign w:val="center"/>
          </w:tcPr>
          <w:p w:rsidR="003D7C77" w:rsidRPr="003C7547" w:rsidRDefault="008D0E9C" w:rsidP="00214F17">
            <w:pPr>
              <w:jc w:val="center"/>
              <w:rPr>
                <w:rFonts w:ascii="Arial" w:hAnsi="Arial" w:cs="Arial"/>
              </w:rPr>
            </w:pPr>
            <w:r w:rsidRPr="003C7547">
              <w:rPr>
                <w:rFonts w:ascii="Arial" w:hAnsi="Arial" w:cs="Arial"/>
              </w:rPr>
              <w:t>0.326†</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Dx of Pulmonary Hypertension</w:t>
            </w:r>
          </w:p>
        </w:tc>
        <w:tc>
          <w:tcPr>
            <w:tcW w:w="1975" w:type="dxa"/>
            <w:shd w:val="clear" w:color="auto" w:fill="auto"/>
            <w:vAlign w:val="center"/>
          </w:tcPr>
          <w:p w:rsidR="003D7C77" w:rsidRPr="003C7547" w:rsidRDefault="00442C84" w:rsidP="00C42E78">
            <w:pPr>
              <w:jc w:val="center"/>
              <w:rPr>
                <w:rFonts w:ascii="Arial" w:hAnsi="Arial" w:cs="Arial"/>
              </w:rPr>
            </w:pPr>
            <w:r w:rsidRPr="003C7547">
              <w:rPr>
                <w:rFonts w:ascii="Arial" w:hAnsi="Arial" w:cs="Arial"/>
              </w:rPr>
              <w:t>2/69 (2.9</w:t>
            </w:r>
            <w:r w:rsidR="003D7C77" w:rsidRPr="003C7547">
              <w:rPr>
                <w:rFonts w:ascii="Arial" w:hAnsi="Arial" w:cs="Arial"/>
              </w:rPr>
              <w:t>%)</w:t>
            </w:r>
          </w:p>
        </w:tc>
        <w:tc>
          <w:tcPr>
            <w:tcW w:w="1975" w:type="dxa"/>
            <w:shd w:val="clear" w:color="auto" w:fill="auto"/>
            <w:vAlign w:val="center"/>
          </w:tcPr>
          <w:p w:rsidR="003D7C77" w:rsidRPr="003C7547" w:rsidRDefault="00C42E78" w:rsidP="00C42E78">
            <w:pPr>
              <w:jc w:val="center"/>
              <w:rPr>
                <w:rFonts w:ascii="Arial" w:hAnsi="Arial" w:cs="Arial"/>
              </w:rPr>
            </w:pPr>
            <w:r w:rsidRPr="003C7547">
              <w:rPr>
                <w:rFonts w:ascii="Arial" w:hAnsi="Arial" w:cs="Arial"/>
              </w:rPr>
              <w:t xml:space="preserve">  </w:t>
            </w:r>
            <w:r w:rsidR="00442C84" w:rsidRPr="003C7547">
              <w:rPr>
                <w:rFonts w:ascii="Arial" w:hAnsi="Arial" w:cs="Arial"/>
              </w:rPr>
              <w:t xml:space="preserve">2/60 </w:t>
            </w:r>
            <w:r w:rsidRPr="003C7547">
              <w:rPr>
                <w:rFonts w:ascii="Arial" w:hAnsi="Arial" w:cs="Arial"/>
              </w:rPr>
              <w:t xml:space="preserve"> </w:t>
            </w:r>
            <w:r w:rsidR="00442C84" w:rsidRPr="003C7547">
              <w:rPr>
                <w:rFonts w:ascii="Arial" w:hAnsi="Arial" w:cs="Arial"/>
              </w:rPr>
              <w:t>(3.3</w:t>
            </w:r>
            <w:r w:rsidR="003D7C77" w:rsidRPr="003C7547">
              <w:rPr>
                <w:rFonts w:ascii="Arial" w:hAnsi="Arial" w:cs="Arial"/>
              </w:rPr>
              <w:t>%)</w:t>
            </w:r>
          </w:p>
        </w:tc>
        <w:tc>
          <w:tcPr>
            <w:tcW w:w="1018" w:type="dxa"/>
            <w:shd w:val="clear" w:color="auto" w:fill="auto"/>
            <w:vAlign w:val="center"/>
          </w:tcPr>
          <w:p w:rsidR="003D7C77" w:rsidRPr="003C7547" w:rsidRDefault="008D0E9C" w:rsidP="00214F17">
            <w:pPr>
              <w:jc w:val="center"/>
              <w:rPr>
                <w:rFonts w:ascii="Arial" w:hAnsi="Arial" w:cs="Arial"/>
              </w:rPr>
            </w:pPr>
            <w:r w:rsidRPr="003C7547">
              <w:rPr>
                <w:rFonts w:ascii="Arial" w:hAnsi="Arial" w:cs="Arial"/>
              </w:rPr>
              <w:t>&gt;0.999†</w:t>
            </w:r>
          </w:p>
        </w:tc>
      </w:tr>
      <w:tr w:rsidR="003D7C77" w:rsidRPr="003C7547" w:rsidTr="00214F17">
        <w:tc>
          <w:tcPr>
            <w:tcW w:w="4608" w:type="dxa"/>
            <w:shd w:val="clear" w:color="auto" w:fill="auto"/>
          </w:tcPr>
          <w:p w:rsidR="003D7C77" w:rsidRPr="003C7547" w:rsidRDefault="00206349" w:rsidP="00E814C1">
            <w:pPr>
              <w:rPr>
                <w:rFonts w:ascii="Arial" w:hAnsi="Arial" w:cs="Arial"/>
              </w:rPr>
            </w:pPr>
            <w:r w:rsidRPr="003C7547">
              <w:rPr>
                <w:rFonts w:ascii="Arial" w:hAnsi="Arial" w:cs="Arial"/>
              </w:rPr>
              <w:t>Hgb</w:t>
            </w:r>
            <w:r w:rsidR="00BF447D" w:rsidRPr="003C7547">
              <w:rPr>
                <w:rFonts w:ascii="Arial" w:hAnsi="Arial" w:cs="Arial"/>
              </w:rPr>
              <w:t xml:space="preserve"> Conc at</w:t>
            </w:r>
            <w:r w:rsidR="003D7C77" w:rsidRPr="003C7547">
              <w:rPr>
                <w:rFonts w:ascii="Arial" w:hAnsi="Arial" w:cs="Arial"/>
              </w:rPr>
              <w:t>/prior to stroke (median</w:t>
            </w:r>
            <w:r w:rsidR="009908DC" w:rsidRPr="003C7547">
              <w:rPr>
                <w:rFonts w:ascii="Arial" w:hAnsi="Arial" w:cs="Arial"/>
              </w:rPr>
              <w:t>, range</w:t>
            </w:r>
            <w:r w:rsidR="003D7C77" w:rsidRPr="003C7547">
              <w:rPr>
                <w:rFonts w:ascii="Arial" w:hAnsi="Arial" w:cs="Arial"/>
              </w:rPr>
              <w:t>)</w:t>
            </w:r>
          </w:p>
        </w:tc>
        <w:tc>
          <w:tcPr>
            <w:tcW w:w="1975" w:type="dxa"/>
            <w:shd w:val="clear" w:color="auto" w:fill="auto"/>
            <w:vAlign w:val="center"/>
          </w:tcPr>
          <w:p w:rsidR="003D7C77" w:rsidRPr="003C7547" w:rsidRDefault="008D0E9C" w:rsidP="009908DC">
            <w:pPr>
              <w:jc w:val="center"/>
              <w:rPr>
                <w:rFonts w:ascii="Arial" w:hAnsi="Arial" w:cs="Arial"/>
              </w:rPr>
            </w:pPr>
            <w:r w:rsidRPr="003C7547">
              <w:rPr>
                <w:rFonts w:ascii="Arial" w:hAnsi="Arial" w:cs="Arial"/>
              </w:rPr>
              <w:t>7.95</w:t>
            </w:r>
            <w:r w:rsidR="009908DC" w:rsidRPr="003C7547">
              <w:rPr>
                <w:rFonts w:ascii="Arial" w:hAnsi="Arial" w:cs="Arial"/>
              </w:rPr>
              <w:t xml:space="preserve"> (5.0-13.9)</w:t>
            </w:r>
          </w:p>
        </w:tc>
        <w:tc>
          <w:tcPr>
            <w:tcW w:w="1975" w:type="dxa"/>
            <w:shd w:val="clear" w:color="auto" w:fill="auto"/>
            <w:vAlign w:val="center"/>
          </w:tcPr>
          <w:p w:rsidR="003D7C77" w:rsidRPr="003C7547" w:rsidRDefault="009908DC" w:rsidP="009908DC">
            <w:pPr>
              <w:jc w:val="center"/>
              <w:rPr>
                <w:rFonts w:ascii="Arial" w:hAnsi="Arial" w:cs="Arial"/>
              </w:rPr>
            </w:pPr>
            <w:r w:rsidRPr="003C7547">
              <w:rPr>
                <w:rFonts w:ascii="Arial" w:hAnsi="Arial" w:cs="Arial"/>
              </w:rPr>
              <w:t>8.05 (2.4-13.7)</w:t>
            </w:r>
          </w:p>
        </w:tc>
        <w:tc>
          <w:tcPr>
            <w:tcW w:w="1018" w:type="dxa"/>
            <w:shd w:val="clear" w:color="auto" w:fill="auto"/>
            <w:vAlign w:val="center"/>
          </w:tcPr>
          <w:p w:rsidR="003D7C77" w:rsidRPr="003C7547" w:rsidRDefault="009908DC" w:rsidP="00214F17">
            <w:pPr>
              <w:jc w:val="center"/>
              <w:rPr>
                <w:rFonts w:ascii="Arial" w:hAnsi="Arial" w:cs="Arial"/>
              </w:rPr>
            </w:pPr>
            <w:r w:rsidRPr="003C7547">
              <w:rPr>
                <w:rFonts w:ascii="Arial" w:hAnsi="Arial" w:cs="Arial"/>
              </w:rPr>
              <w:t>0.972‡</w:t>
            </w:r>
          </w:p>
        </w:tc>
      </w:tr>
      <w:tr w:rsidR="003D7C77" w:rsidRPr="003C7547" w:rsidTr="00214F17">
        <w:tc>
          <w:tcPr>
            <w:tcW w:w="4608" w:type="dxa"/>
            <w:shd w:val="clear" w:color="auto" w:fill="auto"/>
          </w:tcPr>
          <w:p w:rsidR="003D7C77" w:rsidRPr="003C7547" w:rsidRDefault="00BF447D" w:rsidP="00E814C1">
            <w:pPr>
              <w:rPr>
                <w:rFonts w:ascii="Arial" w:hAnsi="Arial" w:cs="Arial"/>
              </w:rPr>
            </w:pPr>
            <w:r w:rsidRPr="003C7547">
              <w:rPr>
                <w:rFonts w:ascii="Arial" w:hAnsi="Arial" w:cs="Arial"/>
              </w:rPr>
              <w:t>WBC at</w:t>
            </w:r>
            <w:r w:rsidR="003D7C77" w:rsidRPr="003C7547">
              <w:rPr>
                <w:rFonts w:ascii="Arial" w:hAnsi="Arial" w:cs="Arial"/>
              </w:rPr>
              <w:t>/prior to stroke</w:t>
            </w:r>
            <w:r w:rsidRPr="003C7547">
              <w:rPr>
                <w:rFonts w:ascii="Arial" w:hAnsi="Arial" w:cs="Arial"/>
              </w:rPr>
              <w:t xml:space="preserve"> (x</w:t>
            </w:r>
            <w:r w:rsidR="00442C84" w:rsidRPr="003C7547">
              <w:rPr>
                <w:rFonts w:ascii="Arial" w:hAnsi="Arial" w:cs="Arial"/>
              </w:rPr>
              <w:t>10</w:t>
            </w:r>
            <w:r w:rsidR="00442C84" w:rsidRPr="003C7547">
              <w:rPr>
                <w:rFonts w:ascii="Arial" w:hAnsi="Arial" w:cs="Arial"/>
                <w:vertAlign w:val="superscript"/>
              </w:rPr>
              <w:t>3</w:t>
            </w:r>
            <w:r w:rsidRPr="003C7547">
              <w:rPr>
                <w:rFonts w:ascii="Arial" w:hAnsi="Arial" w:cs="Arial"/>
              </w:rPr>
              <w:t xml:space="preserve">, </w:t>
            </w:r>
            <w:r w:rsidR="009908DC" w:rsidRPr="003C7547">
              <w:rPr>
                <w:rFonts w:ascii="Arial" w:hAnsi="Arial" w:cs="Arial"/>
              </w:rPr>
              <w:t>median, range)</w:t>
            </w:r>
          </w:p>
        </w:tc>
        <w:tc>
          <w:tcPr>
            <w:tcW w:w="1975" w:type="dxa"/>
            <w:shd w:val="clear" w:color="auto" w:fill="auto"/>
            <w:vAlign w:val="center"/>
          </w:tcPr>
          <w:p w:rsidR="003D7C77" w:rsidRPr="003C7547" w:rsidRDefault="009908DC" w:rsidP="009908DC">
            <w:pPr>
              <w:jc w:val="center"/>
              <w:rPr>
                <w:rFonts w:ascii="Arial" w:hAnsi="Arial" w:cs="Arial"/>
              </w:rPr>
            </w:pPr>
            <w:r w:rsidRPr="003C7547">
              <w:rPr>
                <w:rFonts w:ascii="Arial" w:hAnsi="Arial" w:cs="Arial"/>
              </w:rPr>
              <w:t>15.52 (4.4-42.4)</w:t>
            </w:r>
          </w:p>
        </w:tc>
        <w:tc>
          <w:tcPr>
            <w:tcW w:w="1975" w:type="dxa"/>
            <w:shd w:val="clear" w:color="auto" w:fill="auto"/>
            <w:vAlign w:val="center"/>
          </w:tcPr>
          <w:p w:rsidR="003D7C77" w:rsidRPr="003C7547" w:rsidRDefault="009908DC" w:rsidP="009908DC">
            <w:pPr>
              <w:jc w:val="center"/>
              <w:rPr>
                <w:rFonts w:ascii="Arial" w:hAnsi="Arial" w:cs="Arial"/>
              </w:rPr>
            </w:pPr>
            <w:r w:rsidRPr="003C7547">
              <w:rPr>
                <w:rFonts w:ascii="Arial" w:hAnsi="Arial" w:cs="Arial"/>
              </w:rPr>
              <w:t>14.21 (4.7-41.3)</w:t>
            </w:r>
          </w:p>
        </w:tc>
        <w:tc>
          <w:tcPr>
            <w:tcW w:w="1018" w:type="dxa"/>
            <w:shd w:val="clear" w:color="auto" w:fill="auto"/>
            <w:vAlign w:val="center"/>
          </w:tcPr>
          <w:p w:rsidR="003D7C77" w:rsidRPr="003C7547" w:rsidRDefault="009908DC" w:rsidP="00214F17">
            <w:pPr>
              <w:jc w:val="center"/>
              <w:rPr>
                <w:rFonts w:ascii="Arial" w:hAnsi="Arial" w:cs="Arial"/>
              </w:rPr>
            </w:pPr>
            <w:r w:rsidRPr="003C7547">
              <w:rPr>
                <w:rFonts w:ascii="Arial" w:hAnsi="Arial" w:cs="Arial"/>
              </w:rPr>
              <w:t>0.359‡</w:t>
            </w:r>
          </w:p>
        </w:tc>
      </w:tr>
      <w:tr w:rsidR="003D7C77" w:rsidRPr="003C7547" w:rsidTr="00214F17">
        <w:tc>
          <w:tcPr>
            <w:tcW w:w="4608" w:type="dxa"/>
            <w:shd w:val="clear" w:color="auto" w:fill="auto"/>
          </w:tcPr>
          <w:p w:rsidR="003D7C77" w:rsidRPr="003C7547" w:rsidRDefault="00BF447D" w:rsidP="00BF447D">
            <w:pPr>
              <w:rPr>
                <w:rFonts w:ascii="Arial" w:hAnsi="Arial" w:cs="Arial"/>
              </w:rPr>
            </w:pPr>
            <w:r w:rsidRPr="003C7547">
              <w:rPr>
                <w:rFonts w:ascii="Arial" w:hAnsi="Arial" w:cs="Arial"/>
              </w:rPr>
              <w:t>Plt</w:t>
            </w:r>
            <w:r w:rsidR="003D7C77" w:rsidRPr="003C7547">
              <w:rPr>
                <w:rFonts w:ascii="Arial" w:hAnsi="Arial" w:cs="Arial"/>
              </w:rPr>
              <w:t xml:space="preserve"> at/prior to stroke</w:t>
            </w:r>
            <w:r w:rsidR="009908DC" w:rsidRPr="003C7547">
              <w:rPr>
                <w:rFonts w:ascii="Arial" w:hAnsi="Arial" w:cs="Arial"/>
              </w:rPr>
              <w:t xml:space="preserve"> </w:t>
            </w:r>
            <w:r w:rsidRPr="003C7547">
              <w:rPr>
                <w:rFonts w:ascii="Arial" w:hAnsi="Arial" w:cs="Arial"/>
              </w:rPr>
              <w:t>(x</w:t>
            </w:r>
            <w:r w:rsidR="009908DC" w:rsidRPr="003C7547">
              <w:rPr>
                <w:rFonts w:ascii="Arial" w:hAnsi="Arial" w:cs="Arial"/>
              </w:rPr>
              <w:t>10</w:t>
            </w:r>
            <w:r w:rsidR="009908DC" w:rsidRPr="003C7547">
              <w:rPr>
                <w:rFonts w:ascii="Arial" w:hAnsi="Arial" w:cs="Arial"/>
                <w:vertAlign w:val="superscript"/>
              </w:rPr>
              <w:t>3</w:t>
            </w:r>
            <w:r w:rsidRPr="003C7547">
              <w:rPr>
                <w:rFonts w:ascii="Arial" w:hAnsi="Arial" w:cs="Arial"/>
              </w:rPr>
              <w:t xml:space="preserve">, </w:t>
            </w:r>
            <w:r w:rsidR="009908DC" w:rsidRPr="003C7547">
              <w:rPr>
                <w:rFonts w:ascii="Arial" w:hAnsi="Arial" w:cs="Arial"/>
              </w:rPr>
              <w:t>median, range)</w:t>
            </w:r>
          </w:p>
        </w:tc>
        <w:tc>
          <w:tcPr>
            <w:tcW w:w="1975" w:type="dxa"/>
            <w:shd w:val="clear" w:color="auto" w:fill="auto"/>
            <w:vAlign w:val="center"/>
          </w:tcPr>
          <w:p w:rsidR="003D7C77" w:rsidRPr="003C7547" w:rsidRDefault="009908DC" w:rsidP="009908DC">
            <w:pPr>
              <w:jc w:val="center"/>
              <w:rPr>
                <w:rFonts w:ascii="Arial" w:hAnsi="Arial" w:cs="Arial"/>
              </w:rPr>
            </w:pPr>
            <w:r w:rsidRPr="003C7547">
              <w:rPr>
                <w:rFonts w:ascii="Arial" w:hAnsi="Arial" w:cs="Arial"/>
              </w:rPr>
              <w:t>3</w:t>
            </w:r>
            <w:r w:rsidR="00BF447D" w:rsidRPr="003C7547">
              <w:rPr>
                <w:rFonts w:ascii="Arial" w:hAnsi="Arial" w:cs="Arial"/>
              </w:rPr>
              <w:t>51.5 (114-763</w:t>
            </w:r>
            <w:r w:rsidRPr="003C7547">
              <w:rPr>
                <w:rFonts w:ascii="Arial" w:hAnsi="Arial" w:cs="Arial"/>
              </w:rPr>
              <w:t>)</w:t>
            </w:r>
          </w:p>
        </w:tc>
        <w:tc>
          <w:tcPr>
            <w:tcW w:w="1975" w:type="dxa"/>
            <w:shd w:val="clear" w:color="auto" w:fill="auto"/>
            <w:vAlign w:val="center"/>
          </w:tcPr>
          <w:p w:rsidR="003D7C77" w:rsidRPr="003C7547" w:rsidRDefault="009908DC" w:rsidP="009908DC">
            <w:pPr>
              <w:jc w:val="center"/>
              <w:rPr>
                <w:rFonts w:ascii="Arial" w:hAnsi="Arial" w:cs="Arial"/>
              </w:rPr>
            </w:pPr>
            <w:r w:rsidRPr="003C7547">
              <w:rPr>
                <w:rFonts w:ascii="Arial" w:hAnsi="Arial" w:cs="Arial"/>
              </w:rPr>
              <w:t>3</w:t>
            </w:r>
            <w:r w:rsidR="00BF447D" w:rsidRPr="003C7547">
              <w:rPr>
                <w:rFonts w:ascii="Arial" w:hAnsi="Arial" w:cs="Arial"/>
              </w:rPr>
              <w:t>95.0 (92</w:t>
            </w:r>
            <w:r w:rsidRPr="003C7547">
              <w:rPr>
                <w:rFonts w:ascii="Arial" w:hAnsi="Arial" w:cs="Arial"/>
              </w:rPr>
              <w:t>-109</w:t>
            </w:r>
            <w:r w:rsidR="00BF447D" w:rsidRPr="003C7547">
              <w:rPr>
                <w:rFonts w:ascii="Arial" w:hAnsi="Arial" w:cs="Arial"/>
              </w:rPr>
              <w:t>1</w:t>
            </w:r>
            <w:r w:rsidRPr="003C7547">
              <w:rPr>
                <w:rFonts w:ascii="Arial" w:hAnsi="Arial" w:cs="Arial"/>
              </w:rPr>
              <w:t>)</w:t>
            </w:r>
          </w:p>
        </w:tc>
        <w:tc>
          <w:tcPr>
            <w:tcW w:w="1018" w:type="dxa"/>
            <w:shd w:val="clear" w:color="auto" w:fill="auto"/>
            <w:vAlign w:val="center"/>
          </w:tcPr>
          <w:p w:rsidR="003D7C77" w:rsidRPr="003C7547" w:rsidRDefault="009908DC" w:rsidP="00214F17">
            <w:pPr>
              <w:jc w:val="center"/>
              <w:rPr>
                <w:rFonts w:ascii="Arial" w:hAnsi="Arial" w:cs="Arial"/>
              </w:rPr>
            </w:pPr>
            <w:r w:rsidRPr="003C7547">
              <w:rPr>
                <w:rFonts w:ascii="Arial" w:hAnsi="Arial" w:cs="Arial"/>
              </w:rPr>
              <w:t>0.833</w:t>
            </w:r>
            <w:r w:rsidR="00BF447D" w:rsidRPr="003C7547">
              <w:rPr>
                <w:rFonts w:ascii="Arial" w:hAnsi="Arial" w:cs="Arial"/>
              </w:rPr>
              <w:t>‡</w:t>
            </w:r>
          </w:p>
        </w:tc>
      </w:tr>
      <w:tr w:rsidR="003D7C77" w:rsidRPr="003C7547" w:rsidTr="00214F17">
        <w:tc>
          <w:tcPr>
            <w:tcW w:w="4608" w:type="dxa"/>
            <w:shd w:val="clear" w:color="auto" w:fill="auto"/>
          </w:tcPr>
          <w:p w:rsidR="003D7C77" w:rsidRPr="003C7547" w:rsidRDefault="00206349" w:rsidP="00E814C1">
            <w:pPr>
              <w:rPr>
                <w:rFonts w:ascii="Arial" w:hAnsi="Arial" w:cs="Arial"/>
              </w:rPr>
            </w:pPr>
            <w:r w:rsidRPr="003C7547">
              <w:rPr>
                <w:rFonts w:ascii="Arial" w:hAnsi="Arial" w:cs="Arial"/>
              </w:rPr>
              <w:t>Hgb</w:t>
            </w:r>
            <w:r w:rsidR="00BF447D" w:rsidRPr="003C7547">
              <w:rPr>
                <w:rFonts w:ascii="Arial" w:hAnsi="Arial" w:cs="Arial"/>
              </w:rPr>
              <w:t>S% at</w:t>
            </w:r>
            <w:r w:rsidR="003D7C77" w:rsidRPr="003C7547">
              <w:rPr>
                <w:rFonts w:ascii="Arial" w:hAnsi="Arial" w:cs="Arial"/>
              </w:rPr>
              <w:t>/prior to stroke</w:t>
            </w:r>
            <w:r w:rsidR="00BF447D" w:rsidRPr="003C7547">
              <w:rPr>
                <w:rFonts w:ascii="Arial" w:hAnsi="Arial" w:cs="Arial"/>
              </w:rPr>
              <w:t xml:space="preserve"> (median, range)</w:t>
            </w:r>
          </w:p>
        </w:tc>
        <w:tc>
          <w:tcPr>
            <w:tcW w:w="1975" w:type="dxa"/>
            <w:shd w:val="clear" w:color="auto" w:fill="auto"/>
            <w:vAlign w:val="center"/>
          </w:tcPr>
          <w:p w:rsidR="003D7C77" w:rsidRPr="003C7547" w:rsidRDefault="00BF447D" w:rsidP="00BF447D">
            <w:pPr>
              <w:jc w:val="center"/>
              <w:rPr>
                <w:rFonts w:ascii="Arial" w:hAnsi="Arial" w:cs="Arial"/>
              </w:rPr>
            </w:pPr>
            <w:r w:rsidRPr="003C7547">
              <w:rPr>
                <w:rFonts w:ascii="Arial" w:hAnsi="Arial" w:cs="Arial"/>
              </w:rPr>
              <w:t>57.8 (5-100)</w:t>
            </w:r>
          </w:p>
        </w:tc>
        <w:tc>
          <w:tcPr>
            <w:tcW w:w="1975" w:type="dxa"/>
            <w:shd w:val="clear" w:color="auto" w:fill="auto"/>
            <w:vAlign w:val="center"/>
          </w:tcPr>
          <w:p w:rsidR="003D7C77" w:rsidRPr="003C7547" w:rsidRDefault="00BF447D" w:rsidP="00BF447D">
            <w:pPr>
              <w:jc w:val="center"/>
              <w:rPr>
                <w:rFonts w:ascii="Arial" w:hAnsi="Arial" w:cs="Arial"/>
              </w:rPr>
            </w:pPr>
            <w:r w:rsidRPr="003C7547">
              <w:rPr>
                <w:rFonts w:ascii="Arial" w:hAnsi="Arial" w:cs="Arial"/>
              </w:rPr>
              <w:t>60.5 (6.3-100)</w:t>
            </w:r>
          </w:p>
        </w:tc>
        <w:tc>
          <w:tcPr>
            <w:tcW w:w="1018" w:type="dxa"/>
            <w:shd w:val="clear" w:color="auto" w:fill="auto"/>
            <w:vAlign w:val="center"/>
          </w:tcPr>
          <w:p w:rsidR="003D7C77" w:rsidRPr="003C7547" w:rsidRDefault="00BF447D" w:rsidP="00214F17">
            <w:pPr>
              <w:jc w:val="center"/>
              <w:rPr>
                <w:rFonts w:ascii="Arial" w:hAnsi="Arial" w:cs="Arial"/>
              </w:rPr>
            </w:pPr>
            <w:r w:rsidRPr="003C7547">
              <w:rPr>
                <w:rFonts w:ascii="Arial" w:hAnsi="Arial" w:cs="Arial"/>
              </w:rPr>
              <w:t>0.607‡</w:t>
            </w:r>
          </w:p>
        </w:tc>
      </w:tr>
      <w:tr w:rsidR="007B71DD" w:rsidRPr="003C7547" w:rsidTr="00214F17">
        <w:tc>
          <w:tcPr>
            <w:tcW w:w="4608" w:type="dxa"/>
            <w:shd w:val="clear" w:color="auto" w:fill="auto"/>
          </w:tcPr>
          <w:p w:rsidR="007B71DD" w:rsidRPr="003C7547" w:rsidRDefault="007B71DD" w:rsidP="00E814C1">
            <w:pPr>
              <w:rPr>
                <w:rFonts w:ascii="Arial" w:hAnsi="Arial" w:cs="Arial"/>
              </w:rPr>
            </w:pPr>
            <w:r w:rsidRPr="003C7547">
              <w:rPr>
                <w:rFonts w:ascii="Arial" w:hAnsi="Arial" w:cs="Arial"/>
              </w:rPr>
              <w:t>Retics % at/prior to stroke (median, range)</w:t>
            </w:r>
          </w:p>
        </w:tc>
        <w:tc>
          <w:tcPr>
            <w:tcW w:w="1975" w:type="dxa"/>
            <w:shd w:val="clear" w:color="auto" w:fill="auto"/>
            <w:vAlign w:val="center"/>
          </w:tcPr>
          <w:p w:rsidR="007B71DD" w:rsidRPr="003C7547" w:rsidRDefault="007B71DD" w:rsidP="00BF447D">
            <w:pPr>
              <w:jc w:val="center"/>
              <w:rPr>
                <w:rFonts w:ascii="Arial" w:hAnsi="Arial" w:cs="Arial"/>
              </w:rPr>
            </w:pPr>
            <w:r w:rsidRPr="003C7547">
              <w:rPr>
                <w:rFonts w:ascii="Arial" w:hAnsi="Arial" w:cs="Arial"/>
              </w:rPr>
              <w:t>13.6 (3-31.8)</w:t>
            </w:r>
          </w:p>
        </w:tc>
        <w:tc>
          <w:tcPr>
            <w:tcW w:w="1975" w:type="dxa"/>
            <w:shd w:val="clear" w:color="auto" w:fill="auto"/>
            <w:vAlign w:val="center"/>
          </w:tcPr>
          <w:p w:rsidR="007B71DD" w:rsidRPr="003C7547" w:rsidRDefault="007B71DD" w:rsidP="00BF447D">
            <w:pPr>
              <w:jc w:val="center"/>
              <w:rPr>
                <w:rFonts w:ascii="Arial" w:hAnsi="Arial" w:cs="Arial"/>
              </w:rPr>
            </w:pPr>
            <w:r w:rsidRPr="003C7547">
              <w:rPr>
                <w:rFonts w:ascii="Arial" w:hAnsi="Arial" w:cs="Arial"/>
              </w:rPr>
              <w:t>11.1 (1-20.1)</w:t>
            </w:r>
          </w:p>
        </w:tc>
        <w:tc>
          <w:tcPr>
            <w:tcW w:w="1018" w:type="dxa"/>
            <w:shd w:val="clear" w:color="auto" w:fill="auto"/>
            <w:vAlign w:val="center"/>
          </w:tcPr>
          <w:p w:rsidR="007B71DD" w:rsidRPr="003C7547" w:rsidRDefault="007B71DD" w:rsidP="00214F17">
            <w:pPr>
              <w:jc w:val="center"/>
              <w:rPr>
                <w:rFonts w:ascii="Arial" w:hAnsi="Arial" w:cs="Arial"/>
              </w:rPr>
            </w:pPr>
            <w:r w:rsidRPr="003C7547">
              <w:rPr>
                <w:rFonts w:ascii="Arial" w:hAnsi="Arial" w:cs="Arial"/>
              </w:rPr>
              <w:t>0.702‡</w:t>
            </w:r>
          </w:p>
        </w:tc>
      </w:tr>
      <w:tr w:rsidR="003D7C77" w:rsidRPr="003C7547" w:rsidTr="00214F17">
        <w:tc>
          <w:tcPr>
            <w:tcW w:w="4608" w:type="dxa"/>
            <w:shd w:val="clear" w:color="auto" w:fill="auto"/>
          </w:tcPr>
          <w:p w:rsidR="003D7C77" w:rsidRPr="003C7547" w:rsidRDefault="003D7C77" w:rsidP="00BF447D">
            <w:pPr>
              <w:rPr>
                <w:rFonts w:ascii="Arial" w:hAnsi="Arial" w:cs="Arial"/>
              </w:rPr>
            </w:pPr>
            <w:r w:rsidRPr="003C7547">
              <w:rPr>
                <w:rFonts w:ascii="Arial" w:hAnsi="Arial" w:cs="Arial"/>
              </w:rPr>
              <w:t>Any Family Hx of</w:t>
            </w:r>
            <w:r w:rsidR="00BF447D" w:rsidRPr="003C7547">
              <w:rPr>
                <w:rFonts w:ascii="Arial" w:hAnsi="Arial" w:cs="Arial"/>
              </w:rPr>
              <w:t xml:space="preserve"> Hypercoagulable S</w:t>
            </w:r>
            <w:r w:rsidRPr="003C7547">
              <w:rPr>
                <w:rFonts w:ascii="Arial" w:hAnsi="Arial" w:cs="Arial"/>
              </w:rPr>
              <w:t>tate</w:t>
            </w:r>
          </w:p>
        </w:tc>
        <w:tc>
          <w:tcPr>
            <w:tcW w:w="1975" w:type="dxa"/>
            <w:shd w:val="clear" w:color="auto" w:fill="auto"/>
            <w:vAlign w:val="center"/>
          </w:tcPr>
          <w:p w:rsidR="003D7C77" w:rsidRPr="003C7547" w:rsidRDefault="008D0E9C" w:rsidP="00C42E78">
            <w:pPr>
              <w:jc w:val="center"/>
              <w:rPr>
                <w:rFonts w:ascii="Arial" w:hAnsi="Arial" w:cs="Arial"/>
              </w:rPr>
            </w:pPr>
            <w:r w:rsidRPr="003C7547">
              <w:rPr>
                <w:rFonts w:ascii="Arial" w:hAnsi="Arial" w:cs="Arial"/>
              </w:rPr>
              <w:t>34/78 (43.6%)</w:t>
            </w:r>
          </w:p>
        </w:tc>
        <w:tc>
          <w:tcPr>
            <w:tcW w:w="1975" w:type="dxa"/>
            <w:shd w:val="clear" w:color="auto" w:fill="auto"/>
            <w:vAlign w:val="center"/>
          </w:tcPr>
          <w:p w:rsidR="003D7C77" w:rsidRPr="003C7547" w:rsidRDefault="008D0E9C" w:rsidP="00C42E78">
            <w:pPr>
              <w:jc w:val="center"/>
              <w:rPr>
                <w:rFonts w:ascii="Arial" w:hAnsi="Arial" w:cs="Arial"/>
              </w:rPr>
            </w:pPr>
            <w:r w:rsidRPr="003C7547">
              <w:rPr>
                <w:rFonts w:ascii="Arial" w:hAnsi="Arial" w:cs="Arial"/>
              </w:rPr>
              <w:t>35/65 (53.8%)</w:t>
            </w:r>
          </w:p>
        </w:tc>
        <w:tc>
          <w:tcPr>
            <w:tcW w:w="1018" w:type="dxa"/>
            <w:shd w:val="clear" w:color="auto" w:fill="auto"/>
            <w:vAlign w:val="center"/>
          </w:tcPr>
          <w:p w:rsidR="003D7C77" w:rsidRPr="003C7547" w:rsidRDefault="008D0E9C" w:rsidP="00214F17">
            <w:pPr>
              <w:jc w:val="center"/>
              <w:rPr>
                <w:rFonts w:ascii="Arial" w:hAnsi="Arial" w:cs="Arial"/>
              </w:rPr>
            </w:pPr>
            <w:r w:rsidRPr="003C7547">
              <w:rPr>
                <w:rFonts w:ascii="Arial" w:hAnsi="Arial" w:cs="Arial"/>
              </w:rPr>
              <w:t>0.222*</w:t>
            </w:r>
          </w:p>
        </w:tc>
      </w:tr>
      <w:tr w:rsidR="003D7C77" w:rsidRPr="003C7547" w:rsidTr="00214F17">
        <w:tc>
          <w:tcPr>
            <w:tcW w:w="4608" w:type="dxa"/>
            <w:shd w:val="clear" w:color="auto" w:fill="auto"/>
          </w:tcPr>
          <w:p w:rsidR="003D7C77" w:rsidRPr="003C7547" w:rsidRDefault="00442C84" w:rsidP="00E814C1">
            <w:pPr>
              <w:rPr>
                <w:rFonts w:ascii="Arial" w:hAnsi="Arial" w:cs="Arial"/>
              </w:rPr>
            </w:pPr>
            <w:r w:rsidRPr="003C7547">
              <w:rPr>
                <w:rFonts w:ascii="Arial" w:hAnsi="Arial" w:cs="Arial"/>
              </w:rPr>
              <w:t xml:space="preserve">Report of </w:t>
            </w:r>
            <w:r w:rsidR="003D7C77" w:rsidRPr="003C7547">
              <w:rPr>
                <w:rFonts w:ascii="Arial" w:hAnsi="Arial" w:cs="Arial"/>
              </w:rPr>
              <w:t xml:space="preserve">Snoring or </w:t>
            </w:r>
            <w:r w:rsidRPr="003C7547">
              <w:rPr>
                <w:rFonts w:ascii="Arial" w:hAnsi="Arial" w:cs="Arial"/>
              </w:rPr>
              <w:t xml:space="preserve">Diagnosis of </w:t>
            </w:r>
            <w:r w:rsidR="003D7C77" w:rsidRPr="003C7547">
              <w:rPr>
                <w:rFonts w:ascii="Arial" w:hAnsi="Arial" w:cs="Arial"/>
              </w:rPr>
              <w:t>OSA</w:t>
            </w:r>
          </w:p>
        </w:tc>
        <w:tc>
          <w:tcPr>
            <w:tcW w:w="1975" w:type="dxa"/>
            <w:shd w:val="clear" w:color="auto" w:fill="auto"/>
            <w:vAlign w:val="center"/>
          </w:tcPr>
          <w:p w:rsidR="003D7C77" w:rsidRPr="003C7547" w:rsidRDefault="00442C84" w:rsidP="00C42E78">
            <w:pPr>
              <w:jc w:val="center"/>
              <w:rPr>
                <w:rFonts w:ascii="Arial" w:hAnsi="Arial" w:cs="Arial"/>
              </w:rPr>
            </w:pPr>
            <w:r w:rsidRPr="003C7547">
              <w:rPr>
                <w:rFonts w:ascii="Arial" w:hAnsi="Arial" w:cs="Arial"/>
              </w:rPr>
              <w:t>21/78 (26.9%)</w:t>
            </w:r>
          </w:p>
        </w:tc>
        <w:tc>
          <w:tcPr>
            <w:tcW w:w="1975" w:type="dxa"/>
            <w:shd w:val="clear" w:color="auto" w:fill="auto"/>
            <w:vAlign w:val="center"/>
          </w:tcPr>
          <w:p w:rsidR="003D7C77" w:rsidRPr="003C7547" w:rsidRDefault="00BF447D" w:rsidP="00C42E78">
            <w:pPr>
              <w:jc w:val="center"/>
              <w:rPr>
                <w:rFonts w:ascii="Arial" w:hAnsi="Arial" w:cs="Arial"/>
              </w:rPr>
            </w:pPr>
            <w:r w:rsidRPr="003C7547">
              <w:rPr>
                <w:rFonts w:ascii="Arial" w:hAnsi="Arial" w:cs="Arial"/>
              </w:rPr>
              <w:t>22/67 (32.8</w:t>
            </w:r>
            <w:r w:rsidR="00442C84" w:rsidRPr="003C7547">
              <w:rPr>
                <w:rFonts w:ascii="Arial" w:hAnsi="Arial" w:cs="Arial"/>
              </w:rPr>
              <w:t>%)</w:t>
            </w:r>
          </w:p>
        </w:tc>
        <w:tc>
          <w:tcPr>
            <w:tcW w:w="1018" w:type="dxa"/>
            <w:shd w:val="clear" w:color="auto" w:fill="auto"/>
            <w:vAlign w:val="center"/>
          </w:tcPr>
          <w:p w:rsidR="003D7C77" w:rsidRPr="003C7547" w:rsidRDefault="00BF447D" w:rsidP="00214F17">
            <w:pPr>
              <w:jc w:val="center"/>
              <w:rPr>
                <w:rFonts w:ascii="Arial" w:hAnsi="Arial" w:cs="Arial"/>
              </w:rPr>
            </w:pPr>
            <w:r w:rsidRPr="003C7547">
              <w:rPr>
                <w:rFonts w:ascii="Arial" w:hAnsi="Arial" w:cs="Arial"/>
              </w:rPr>
              <w:t>0.437*</w:t>
            </w:r>
          </w:p>
        </w:tc>
      </w:tr>
      <w:tr w:rsidR="003D7C77" w:rsidRPr="003C7547" w:rsidTr="00214F17">
        <w:tc>
          <w:tcPr>
            <w:tcW w:w="4608" w:type="dxa"/>
            <w:shd w:val="clear" w:color="auto" w:fill="auto"/>
          </w:tcPr>
          <w:p w:rsidR="003D7C77" w:rsidRPr="003C7547" w:rsidRDefault="003D7C77" w:rsidP="00E814C1">
            <w:pPr>
              <w:rPr>
                <w:rFonts w:ascii="Arial" w:hAnsi="Arial" w:cs="Arial"/>
              </w:rPr>
            </w:pPr>
            <w:r w:rsidRPr="003C7547">
              <w:rPr>
                <w:rFonts w:ascii="Arial" w:hAnsi="Arial" w:cs="Arial"/>
              </w:rPr>
              <w:t>Asthma</w:t>
            </w:r>
          </w:p>
        </w:tc>
        <w:tc>
          <w:tcPr>
            <w:tcW w:w="1975" w:type="dxa"/>
            <w:shd w:val="clear" w:color="auto" w:fill="auto"/>
            <w:vAlign w:val="center"/>
          </w:tcPr>
          <w:p w:rsidR="003D7C77" w:rsidRPr="003C7547" w:rsidRDefault="00442C84" w:rsidP="00C42E78">
            <w:pPr>
              <w:jc w:val="center"/>
              <w:rPr>
                <w:rFonts w:ascii="Arial" w:hAnsi="Arial" w:cs="Arial"/>
              </w:rPr>
            </w:pPr>
            <w:r w:rsidRPr="003C7547">
              <w:rPr>
                <w:rFonts w:ascii="Arial" w:hAnsi="Arial" w:cs="Arial"/>
              </w:rPr>
              <w:t>25/79 (31.6%)</w:t>
            </w:r>
          </w:p>
        </w:tc>
        <w:tc>
          <w:tcPr>
            <w:tcW w:w="1975" w:type="dxa"/>
            <w:shd w:val="clear" w:color="auto" w:fill="auto"/>
            <w:vAlign w:val="center"/>
          </w:tcPr>
          <w:p w:rsidR="003D7C77" w:rsidRPr="003C7547" w:rsidRDefault="00442C84" w:rsidP="00C42E78">
            <w:pPr>
              <w:jc w:val="center"/>
              <w:rPr>
                <w:rFonts w:ascii="Arial" w:hAnsi="Arial" w:cs="Arial"/>
              </w:rPr>
            </w:pPr>
            <w:r w:rsidRPr="003C7547">
              <w:rPr>
                <w:rFonts w:ascii="Arial" w:hAnsi="Arial" w:cs="Arial"/>
              </w:rPr>
              <w:t>20/66 (30.3%)</w:t>
            </w:r>
          </w:p>
        </w:tc>
        <w:tc>
          <w:tcPr>
            <w:tcW w:w="1018" w:type="dxa"/>
            <w:shd w:val="clear" w:color="auto" w:fill="auto"/>
            <w:vAlign w:val="center"/>
          </w:tcPr>
          <w:p w:rsidR="003D7C77" w:rsidRPr="003C7547" w:rsidRDefault="00442C84" w:rsidP="00214F17">
            <w:pPr>
              <w:jc w:val="center"/>
              <w:rPr>
                <w:rFonts w:ascii="Arial" w:hAnsi="Arial" w:cs="Arial"/>
              </w:rPr>
            </w:pPr>
            <w:r w:rsidRPr="003C7547">
              <w:rPr>
                <w:rFonts w:ascii="Arial" w:hAnsi="Arial" w:cs="Arial"/>
              </w:rPr>
              <w:t>0.862</w:t>
            </w:r>
            <w:r w:rsidR="00BF447D" w:rsidRPr="003C7547">
              <w:rPr>
                <w:rFonts w:ascii="Arial" w:hAnsi="Arial" w:cs="Arial"/>
              </w:rPr>
              <w:t>*</w:t>
            </w:r>
          </w:p>
        </w:tc>
      </w:tr>
    </w:tbl>
    <w:p w:rsidR="00442C84" w:rsidRDefault="00BF71E0" w:rsidP="005E35D6">
      <w:pPr>
        <w:spacing w:after="0"/>
        <w:rPr>
          <w:rFonts w:ascii="Arial" w:hAnsi="Arial" w:cs="Arial"/>
        </w:rPr>
      </w:pPr>
      <w:r w:rsidRPr="003C7547">
        <w:rPr>
          <w:rFonts w:ascii="Arial" w:hAnsi="Arial" w:cs="Arial"/>
        </w:rPr>
        <w:t>•Student’s independent samples t-test</w:t>
      </w:r>
      <w:r w:rsidR="009B6CF6" w:rsidRPr="003C7547">
        <w:rPr>
          <w:rFonts w:ascii="Arial" w:hAnsi="Arial" w:cs="Arial"/>
        </w:rPr>
        <w:t>,</w:t>
      </w:r>
      <w:r w:rsidRPr="003C7547">
        <w:rPr>
          <w:rFonts w:ascii="Arial" w:hAnsi="Arial" w:cs="Arial"/>
        </w:rPr>
        <w:t xml:space="preserve"> ‡Mann-Whitney U test</w:t>
      </w:r>
      <w:r w:rsidR="009B6CF6" w:rsidRPr="003C7547">
        <w:rPr>
          <w:rFonts w:ascii="Arial" w:hAnsi="Arial" w:cs="Arial"/>
        </w:rPr>
        <w:t>,</w:t>
      </w:r>
      <w:r w:rsidRPr="003C7547">
        <w:rPr>
          <w:rFonts w:ascii="Arial" w:hAnsi="Arial" w:cs="Arial"/>
        </w:rPr>
        <w:t xml:space="preserve"> </w:t>
      </w:r>
      <w:r w:rsidR="005E35D6" w:rsidRPr="003C7547">
        <w:rPr>
          <w:rFonts w:ascii="Arial" w:hAnsi="Arial" w:cs="Arial"/>
        </w:rPr>
        <w:t>*Chi-square test</w:t>
      </w:r>
      <w:r w:rsidRPr="003C7547">
        <w:rPr>
          <w:rFonts w:ascii="Arial" w:hAnsi="Arial" w:cs="Arial"/>
        </w:rPr>
        <w:t>, or †</w:t>
      </w:r>
      <w:r w:rsidR="005E35D6" w:rsidRPr="003C7547">
        <w:rPr>
          <w:rFonts w:ascii="Arial" w:hAnsi="Arial" w:cs="Arial"/>
        </w:rPr>
        <w:t>Fisher’s exact where indicated</w:t>
      </w:r>
      <w:r w:rsidR="009B6CF6" w:rsidRPr="003C7547">
        <w:rPr>
          <w:rFonts w:ascii="Arial" w:hAnsi="Arial" w:cs="Arial"/>
        </w:rPr>
        <w:t>.</w:t>
      </w:r>
      <w:r w:rsidR="005E35D6" w:rsidRPr="003C7547">
        <w:rPr>
          <w:rFonts w:ascii="Arial" w:hAnsi="Arial" w:cs="Arial"/>
        </w:rPr>
        <w:t xml:space="preserve">    </w:t>
      </w:r>
      <w:r w:rsidR="00C42E78" w:rsidRPr="003C7547">
        <w:rPr>
          <w:rFonts w:ascii="Arial" w:hAnsi="Arial" w:cs="Arial"/>
        </w:rPr>
        <w:t xml:space="preserve">Abbreviations:  TIA= transient ischemic attack, WBC=white blood cell, </w:t>
      </w:r>
      <w:r w:rsidR="00BF447D" w:rsidRPr="003C7547">
        <w:rPr>
          <w:rFonts w:ascii="Arial" w:hAnsi="Arial" w:cs="Arial"/>
        </w:rPr>
        <w:t xml:space="preserve">Plt=Platelet, </w:t>
      </w:r>
      <w:r w:rsidR="007B71DD" w:rsidRPr="003C7547">
        <w:rPr>
          <w:rFonts w:ascii="Arial" w:hAnsi="Arial" w:cs="Arial"/>
        </w:rPr>
        <w:t xml:space="preserve">Retics = Reticulocytes, </w:t>
      </w:r>
      <w:r w:rsidR="00C42E78" w:rsidRPr="003C7547">
        <w:rPr>
          <w:rFonts w:ascii="Arial" w:hAnsi="Arial" w:cs="Arial"/>
        </w:rPr>
        <w:t>OSA= obstructive sleep apnea</w:t>
      </w:r>
      <w:r w:rsidR="00D56CB1" w:rsidRPr="003C7547">
        <w:rPr>
          <w:rFonts w:ascii="Arial" w:hAnsi="Arial" w:cs="Arial"/>
        </w:rPr>
        <w:t>,</w:t>
      </w:r>
      <w:r w:rsidR="00C42E78" w:rsidRPr="003C7547">
        <w:rPr>
          <w:rFonts w:ascii="Arial" w:hAnsi="Arial" w:cs="Arial"/>
        </w:rPr>
        <w:t xml:space="preserve"> </w:t>
      </w:r>
      <w:r w:rsidR="00D56CB1" w:rsidRPr="003C7547">
        <w:rPr>
          <w:rFonts w:ascii="Arial" w:hAnsi="Arial" w:cs="Arial"/>
        </w:rPr>
        <w:t xml:space="preserve">Hx=History, </w:t>
      </w:r>
      <w:r w:rsidR="00C42E78" w:rsidRPr="003C7547">
        <w:rPr>
          <w:rFonts w:ascii="Arial" w:hAnsi="Arial" w:cs="Arial"/>
        </w:rPr>
        <w:t xml:space="preserve">Hgb= hemoglobin.  PSOM= </w:t>
      </w:r>
      <w:r w:rsidR="00877BD6" w:rsidRPr="003C7547">
        <w:rPr>
          <w:rFonts w:ascii="Arial" w:hAnsi="Arial" w:cs="Arial"/>
        </w:rPr>
        <w:t>Pedi Stroke Outcome M</w:t>
      </w:r>
      <w:r w:rsidR="00C42E78" w:rsidRPr="003C7547">
        <w:rPr>
          <w:rFonts w:ascii="Arial" w:hAnsi="Arial" w:cs="Arial"/>
        </w:rPr>
        <w:t>easure (0= no</w:t>
      </w:r>
      <w:r w:rsidR="00877BD6" w:rsidRPr="003C7547">
        <w:rPr>
          <w:rFonts w:ascii="Arial" w:hAnsi="Arial" w:cs="Arial"/>
        </w:rPr>
        <w:t xml:space="preserve"> deficit, 10= severe deficit)</w:t>
      </w:r>
      <w:bookmarkStart w:id="0" w:name="_GoBack"/>
      <w:bookmarkEnd w:id="0"/>
      <w:r w:rsidR="00C42E78">
        <w:rPr>
          <w:rFonts w:ascii="Arial" w:hAnsi="Arial" w:cs="Arial"/>
        </w:rPr>
        <w:t xml:space="preserve"> </w:t>
      </w:r>
    </w:p>
    <w:p w:rsidR="004D4F10" w:rsidRPr="003D7C77" w:rsidRDefault="004D4F10" w:rsidP="006559C8">
      <w:pPr>
        <w:rPr>
          <w:rFonts w:ascii="Arial" w:hAnsi="Arial" w:cs="Arial"/>
        </w:rPr>
      </w:pPr>
    </w:p>
    <w:sectPr w:rsidR="004D4F10" w:rsidRPr="003D7C77" w:rsidSect="00690A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0F" w:rsidRDefault="00E3570F" w:rsidP="00DB3E81">
      <w:pPr>
        <w:spacing w:after="0" w:line="240" w:lineRule="auto"/>
      </w:pPr>
      <w:r>
        <w:separator/>
      </w:r>
    </w:p>
  </w:endnote>
  <w:endnote w:type="continuationSeparator" w:id="0">
    <w:p w:rsidR="00E3570F" w:rsidRDefault="00E3570F" w:rsidP="00DB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0F" w:rsidRDefault="00E3570F" w:rsidP="00DB3E81">
      <w:pPr>
        <w:spacing w:after="0" w:line="240" w:lineRule="auto"/>
      </w:pPr>
      <w:r>
        <w:separator/>
      </w:r>
    </w:p>
  </w:footnote>
  <w:footnote w:type="continuationSeparator" w:id="0">
    <w:p w:rsidR="00E3570F" w:rsidRDefault="00E3570F" w:rsidP="00DB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48575"/>
      <w:docPartObj>
        <w:docPartGallery w:val="Page Numbers (Top of Page)"/>
        <w:docPartUnique/>
      </w:docPartObj>
    </w:sdtPr>
    <w:sdtEndPr>
      <w:rPr>
        <w:noProof/>
      </w:rPr>
    </w:sdtEndPr>
    <w:sdtContent>
      <w:p w:rsidR="00550924" w:rsidRDefault="00D815DD">
        <w:pPr>
          <w:pStyle w:val="Header"/>
          <w:jc w:val="right"/>
        </w:pPr>
        <w:r>
          <w:fldChar w:fldCharType="begin"/>
        </w:r>
        <w:r>
          <w:instrText xml:space="preserve"> PAGE   \* MERGEFORMAT </w:instrText>
        </w:r>
        <w:r>
          <w:fldChar w:fldCharType="separate"/>
        </w:r>
        <w:r w:rsidR="003C7547">
          <w:rPr>
            <w:noProof/>
          </w:rPr>
          <w:t>22</w:t>
        </w:r>
        <w:r>
          <w:rPr>
            <w:noProof/>
          </w:rPr>
          <w:fldChar w:fldCharType="end"/>
        </w:r>
      </w:p>
    </w:sdtContent>
  </w:sdt>
  <w:p w:rsidR="00550924" w:rsidRDefault="00550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1FF9"/>
    <w:multiLevelType w:val="hybridMultilevel"/>
    <w:tmpl w:val="3EF6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C8"/>
    <w:rsid w:val="0001570B"/>
    <w:rsid w:val="00016CB3"/>
    <w:rsid w:val="00017359"/>
    <w:rsid w:val="00022588"/>
    <w:rsid w:val="00036233"/>
    <w:rsid w:val="00037246"/>
    <w:rsid w:val="00037A26"/>
    <w:rsid w:val="000642CD"/>
    <w:rsid w:val="00071234"/>
    <w:rsid w:val="00073317"/>
    <w:rsid w:val="00080E56"/>
    <w:rsid w:val="000817B4"/>
    <w:rsid w:val="00095AA7"/>
    <w:rsid w:val="000A3F7C"/>
    <w:rsid w:val="000A7540"/>
    <w:rsid w:val="000B6032"/>
    <w:rsid w:val="000C0F96"/>
    <w:rsid w:val="000C2AFF"/>
    <w:rsid w:val="000C3B4B"/>
    <w:rsid w:val="000E49CC"/>
    <w:rsid w:val="000F37FE"/>
    <w:rsid w:val="0010312F"/>
    <w:rsid w:val="00104E21"/>
    <w:rsid w:val="0010585F"/>
    <w:rsid w:val="00113CE5"/>
    <w:rsid w:val="001141C7"/>
    <w:rsid w:val="0011488D"/>
    <w:rsid w:val="0013473A"/>
    <w:rsid w:val="00144F4A"/>
    <w:rsid w:val="001526D7"/>
    <w:rsid w:val="001577A4"/>
    <w:rsid w:val="0016383A"/>
    <w:rsid w:val="00170501"/>
    <w:rsid w:val="00171556"/>
    <w:rsid w:val="001743FC"/>
    <w:rsid w:val="00184EC9"/>
    <w:rsid w:val="00195D64"/>
    <w:rsid w:val="001A08B7"/>
    <w:rsid w:val="001C18B1"/>
    <w:rsid w:val="001D50E8"/>
    <w:rsid w:val="001D5E00"/>
    <w:rsid w:val="001E060B"/>
    <w:rsid w:val="001E43BE"/>
    <w:rsid w:val="001E7855"/>
    <w:rsid w:val="001F724C"/>
    <w:rsid w:val="00206086"/>
    <w:rsid w:val="00206349"/>
    <w:rsid w:val="00214F17"/>
    <w:rsid w:val="00217A59"/>
    <w:rsid w:val="00221DE7"/>
    <w:rsid w:val="00225F55"/>
    <w:rsid w:val="00232C23"/>
    <w:rsid w:val="0023706E"/>
    <w:rsid w:val="00262958"/>
    <w:rsid w:val="0027294F"/>
    <w:rsid w:val="002737BB"/>
    <w:rsid w:val="00277BC2"/>
    <w:rsid w:val="00285876"/>
    <w:rsid w:val="00286545"/>
    <w:rsid w:val="002D71CB"/>
    <w:rsid w:val="002E103A"/>
    <w:rsid w:val="002E6A82"/>
    <w:rsid w:val="002F0264"/>
    <w:rsid w:val="00306410"/>
    <w:rsid w:val="00323D42"/>
    <w:rsid w:val="003276F6"/>
    <w:rsid w:val="003638FF"/>
    <w:rsid w:val="0036614A"/>
    <w:rsid w:val="00370839"/>
    <w:rsid w:val="00371CEC"/>
    <w:rsid w:val="00390D03"/>
    <w:rsid w:val="003A61E1"/>
    <w:rsid w:val="003B3F1C"/>
    <w:rsid w:val="003C7547"/>
    <w:rsid w:val="003D220B"/>
    <w:rsid w:val="003D7C77"/>
    <w:rsid w:val="003E2211"/>
    <w:rsid w:val="003E4165"/>
    <w:rsid w:val="003E4496"/>
    <w:rsid w:val="003E59E9"/>
    <w:rsid w:val="003E6BF2"/>
    <w:rsid w:val="003F6ADA"/>
    <w:rsid w:val="00400FE9"/>
    <w:rsid w:val="00406BC9"/>
    <w:rsid w:val="0041689A"/>
    <w:rsid w:val="0042183F"/>
    <w:rsid w:val="004270C9"/>
    <w:rsid w:val="00442C84"/>
    <w:rsid w:val="00443144"/>
    <w:rsid w:val="004508FD"/>
    <w:rsid w:val="0045321D"/>
    <w:rsid w:val="00490319"/>
    <w:rsid w:val="00493F61"/>
    <w:rsid w:val="004A5FD7"/>
    <w:rsid w:val="004A75C8"/>
    <w:rsid w:val="004B22A0"/>
    <w:rsid w:val="004D4F10"/>
    <w:rsid w:val="004E0265"/>
    <w:rsid w:val="004F1F7B"/>
    <w:rsid w:val="004F731A"/>
    <w:rsid w:val="00515668"/>
    <w:rsid w:val="0053678F"/>
    <w:rsid w:val="00543ED7"/>
    <w:rsid w:val="0055090A"/>
    <w:rsid w:val="00550924"/>
    <w:rsid w:val="005648FD"/>
    <w:rsid w:val="00564EAE"/>
    <w:rsid w:val="005A4A1C"/>
    <w:rsid w:val="005B7FED"/>
    <w:rsid w:val="005C1034"/>
    <w:rsid w:val="005C3788"/>
    <w:rsid w:val="005C7BDA"/>
    <w:rsid w:val="005D08E8"/>
    <w:rsid w:val="005D2221"/>
    <w:rsid w:val="005D41E8"/>
    <w:rsid w:val="005E12D9"/>
    <w:rsid w:val="005E35D6"/>
    <w:rsid w:val="005E66BD"/>
    <w:rsid w:val="0060343D"/>
    <w:rsid w:val="006421A3"/>
    <w:rsid w:val="00645220"/>
    <w:rsid w:val="00653EA6"/>
    <w:rsid w:val="0065577D"/>
    <w:rsid w:val="006558EC"/>
    <w:rsid w:val="006559C8"/>
    <w:rsid w:val="0066365B"/>
    <w:rsid w:val="00680A46"/>
    <w:rsid w:val="00684789"/>
    <w:rsid w:val="00690AE9"/>
    <w:rsid w:val="006A569C"/>
    <w:rsid w:val="006B0129"/>
    <w:rsid w:val="006B7EEC"/>
    <w:rsid w:val="006D05E6"/>
    <w:rsid w:val="0070009C"/>
    <w:rsid w:val="00717480"/>
    <w:rsid w:val="00723EEF"/>
    <w:rsid w:val="007401A0"/>
    <w:rsid w:val="00756B57"/>
    <w:rsid w:val="007709BB"/>
    <w:rsid w:val="00776301"/>
    <w:rsid w:val="00777C15"/>
    <w:rsid w:val="0079094A"/>
    <w:rsid w:val="007B1D7A"/>
    <w:rsid w:val="007B32E4"/>
    <w:rsid w:val="007B3D66"/>
    <w:rsid w:val="007B581A"/>
    <w:rsid w:val="007B71DD"/>
    <w:rsid w:val="007C510E"/>
    <w:rsid w:val="007C563C"/>
    <w:rsid w:val="007D0C3A"/>
    <w:rsid w:val="007D5734"/>
    <w:rsid w:val="007E01D3"/>
    <w:rsid w:val="007F48D4"/>
    <w:rsid w:val="007F59BF"/>
    <w:rsid w:val="007F5B91"/>
    <w:rsid w:val="00807B8C"/>
    <w:rsid w:val="008209CA"/>
    <w:rsid w:val="00822649"/>
    <w:rsid w:val="00833387"/>
    <w:rsid w:val="00837F81"/>
    <w:rsid w:val="008408EB"/>
    <w:rsid w:val="008545AA"/>
    <w:rsid w:val="008559A7"/>
    <w:rsid w:val="00862C57"/>
    <w:rsid w:val="00877BD6"/>
    <w:rsid w:val="00881C36"/>
    <w:rsid w:val="00883E59"/>
    <w:rsid w:val="008950DF"/>
    <w:rsid w:val="008D0E9C"/>
    <w:rsid w:val="008D7BBB"/>
    <w:rsid w:val="008E5C8E"/>
    <w:rsid w:val="008E7AA0"/>
    <w:rsid w:val="008F72F7"/>
    <w:rsid w:val="00904874"/>
    <w:rsid w:val="00923ACF"/>
    <w:rsid w:val="00946012"/>
    <w:rsid w:val="0095099C"/>
    <w:rsid w:val="00966480"/>
    <w:rsid w:val="00967E7B"/>
    <w:rsid w:val="00967EB6"/>
    <w:rsid w:val="00970B96"/>
    <w:rsid w:val="009901C7"/>
    <w:rsid w:val="009908DC"/>
    <w:rsid w:val="00996038"/>
    <w:rsid w:val="009A2801"/>
    <w:rsid w:val="009A42F2"/>
    <w:rsid w:val="009A60E8"/>
    <w:rsid w:val="009A6809"/>
    <w:rsid w:val="009B6CF6"/>
    <w:rsid w:val="009D6A51"/>
    <w:rsid w:val="009E4837"/>
    <w:rsid w:val="009F3B4B"/>
    <w:rsid w:val="009F7A6B"/>
    <w:rsid w:val="00A05445"/>
    <w:rsid w:val="00A40CF0"/>
    <w:rsid w:val="00A46C59"/>
    <w:rsid w:val="00A46F56"/>
    <w:rsid w:val="00A802FB"/>
    <w:rsid w:val="00A81AA7"/>
    <w:rsid w:val="00A940DC"/>
    <w:rsid w:val="00A9497B"/>
    <w:rsid w:val="00AB07B3"/>
    <w:rsid w:val="00AB2DFD"/>
    <w:rsid w:val="00AB2F30"/>
    <w:rsid w:val="00AC4301"/>
    <w:rsid w:val="00AC4D96"/>
    <w:rsid w:val="00AC752B"/>
    <w:rsid w:val="00AF21EE"/>
    <w:rsid w:val="00B02BF4"/>
    <w:rsid w:val="00B059F2"/>
    <w:rsid w:val="00B06A28"/>
    <w:rsid w:val="00B263FA"/>
    <w:rsid w:val="00B40BBA"/>
    <w:rsid w:val="00B411BA"/>
    <w:rsid w:val="00B47E56"/>
    <w:rsid w:val="00B82DA4"/>
    <w:rsid w:val="00B91025"/>
    <w:rsid w:val="00B9712D"/>
    <w:rsid w:val="00BB1F6C"/>
    <w:rsid w:val="00BC7BCB"/>
    <w:rsid w:val="00BD1B52"/>
    <w:rsid w:val="00BE2A9D"/>
    <w:rsid w:val="00BF447D"/>
    <w:rsid w:val="00BF71E0"/>
    <w:rsid w:val="00C01854"/>
    <w:rsid w:val="00C1133F"/>
    <w:rsid w:val="00C145B3"/>
    <w:rsid w:val="00C23219"/>
    <w:rsid w:val="00C37776"/>
    <w:rsid w:val="00C405CE"/>
    <w:rsid w:val="00C42E78"/>
    <w:rsid w:val="00C46DF0"/>
    <w:rsid w:val="00C529B1"/>
    <w:rsid w:val="00C73D78"/>
    <w:rsid w:val="00C75931"/>
    <w:rsid w:val="00C8068E"/>
    <w:rsid w:val="00C871D4"/>
    <w:rsid w:val="00C90397"/>
    <w:rsid w:val="00C94366"/>
    <w:rsid w:val="00C95D2E"/>
    <w:rsid w:val="00CA08AB"/>
    <w:rsid w:val="00CA755E"/>
    <w:rsid w:val="00CC352B"/>
    <w:rsid w:val="00CD105D"/>
    <w:rsid w:val="00CD18F6"/>
    <w:rsid w:val="00CE0122"/>
    <w:rsid w:val="00CE6776"/>
    <w:rsid w:val="00CF71AB"/>
    <w:rsid w:val="00D33B8C"/>
    <w:rsid w:val="00D34CD8"/>
    <w:rsid w:val="00D405B7"/>
    <w:rsid w:val="00D434C8"/>
    <w:rsid w:val="00D56CB1"/>
    <w:rsid w:val="00D57DB1"/>
    <w:rsid w:val="00D616E6"/>
    <w:rsid w:val="00D63B55"/>
    <w:rsid w:val="00D653B9"/>
    <w:rsid w:val="00D71F9A"/>
    <w:rsid w:val="00D73C9A"/>
    <w:rsid w:val="00D815DD"/>
    <w:rsid w:val="00D92EE9"/>
    <w:rsid w:val="00D93044"/>
    <w:rsid w:val="00DB3E81"/>
    <w:rsid w:val="00DB6D83"/>
    <w:rsid w:val="00DC0538"/>
    <w:rsid w:val="00DD11EF"/>
    <w:rsid w:val="00DD414B"/>
    <w:rsid w:val="00DE19AB"/>
    <w:rsid w:val="00DE1F81"/>
    <w:rsid w:val="00DF0A80"/>
    <w:rsid w:val="00DF366F"/>
    <w:rsid w:val="00E1384C"/>
    <w:rsid w:val="00E15789"/>
    <w:rsid w:val="00E2413C"/>
    <w:rsid w:val="00E3411D"/>
    <w:rsid w:val="00E3570F"/>
    <w:rsid w:val="00E37BDE"/>
    <w:rsid w:val="00E42A97"/>
    <w:rsid w:val="00E43077"/>
    <w:rsid w:val="00E4796A"/>
    <w:rsid w:val="00E56147"/>
    <w:rsid w:val="00E665BD"/>
    <w:rsid w:val="00E6741D"/>
    <w:rsid w:val="00E72C98"/>
    <w:rsid w:val="00E808D6"/>
    <w:rsid w:val="00E814C1"/>
    <w:rsid w:val="00E857E7"/>
    <w:rsid w:val="00E90721"/>
    <w:rsid w:val="00E90765"/>
    <w:rsid w:val="00EA762D"/>
    <w:rsid w:val="00EB1D34"/>
    <w:rsid w:val="00EB46F4"/>
    <w:rsid w:val="00EC30F5"/>
    <w:rsid w:val="00EE24C0"/>
    <w:rsid w:val="00EE52C6"/>
    <w:rsid w:val="00EF0A0E"/>
    <w:rsid w:val="00EF4E0F"/>
    <w:rsid w:val="00F01718"/>
    <w:rsid w:val="00F02201"/>
    <w:rsid w:val="00F24D39"/>
    <w:rsid w:val="00F25867"/>
    <w:rsid w:val="00F308D3"/>
    <w:rsid w:val="00F31240"/>
    <w:rsid w:val="00F32C71"/>
    <w:rsid w:val="00F41899"/>
    <w:rsid w:val="00F50C51"/>
    <w:rsid w:val="00F51BB4"/>
    <w:rsid w:val="00F62010"/>
    <w:rsid w:val="00F81681"/>
    <w:rsid w:val="00F81FBB"/>
    <w:rsid w:val="00F95226"/>
    <w:rsid w:val="00FA497B"/>
    <w:rsid w:val="00FA4C27"/>
    <w:rsid w:val="00FA7C74"/>
    <w:rsid w:val="00FB037B"/>
    <w:rsid w:val="00FC2FCB"/>
    <w:rsid w:val="00FC49F4"/>
    <w:rsid w:val="00FD2FBC"/>
    <w:rsid w:val="00FE4929"/>
    <w:rsid w:val="00FE61BA"/>
    <w:rsid w:val="00FF07BC"/>
    <w:rsid w:val="00FF29E5"/>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4E8E1-7BA7-4971-AE51-3AB20F80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3044"/>
  </w:style>
  <w:style w:type="paragraph" w:styleId="Heading1">
    <w:name w:val="heading 1"/>
    <w:basedOn w:val="Normal"/>
    <w:next w:val="Normal"/>
    <w:link w:val="Heading1Char"/>
    <w:uiPriority w:val="9"/>
    <w:qFormat/>
    <w:rsid w:val="00E72C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2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72C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2C9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7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07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E81"/>
  </w:style>
  <w:style w:type="paragraph" w:styleId="Footer">
    <w:name w:val="footer"/>
    <w:basedOn w:val="Normal"/>
    <w:link w:val="FooterChar"/>
    <w:uiPriority w:val="99"/>
    <w:unhideWhenUsed/>
    <w:rsid w:val="00DB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E81"/>
  </w:style>
  <w:style w:type="paragraph" w:styleId="BalloonText">
    <w:name w:val="Balloon Text"/>
    <w:basedOn w:val="Normal"/>
    <w:link w:val="BalloonTextChar"/>
    <w:uiPriority w:val="99"/>
    <w:semiHidden/>
    <w:unhideWhenUsed/>
    <w:rsid w:val="00DB3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E81"/>
    <w:rPr>
      <w:rFonts w:ascii="Tahoma" w:hAnsi="Tahoma" w:cs="Tahoma"/>
      <w:sz w:val="16"/>
      <w:szCs w:val="16"/>
    </w:rPr>
  </w:style>
  <w:style w:type="character" w:styleId="CommentReference">
    <w:name w:val="annotation reference"/>
    <w:basedOn w:val="DefaultParagraphFont"/>
    <w:uiPriority w:val="99"/>
    <w:semiHidden/>
    <w:unhideWhenUsed/>
    <w:rsid w:val="00F50C51"/>
    <w:rPr>
      <w:sz w:val="18"/>
      <w:szCs w:val="18"/>
    </w:rPr>
  </w:style>
  <w:style w:type="paragraph" w:styleId="CommentText">
    <w:name w:val="annotation text"/>
    <w:basedOn w:val="Normal"/>
    <w:link w:val="CommentTextChar"/>
    <w:uiPriority w:val="99"/>
    <w:semiHidden/>
    <w:unhideWhenUsed/>
    <w:rsid w:val="00F50C51"/>
    <w:pPr>
      <w:spacing w:line="240" w:lineRule="auto"/>
    </w:pPr>
    <w:rPr>
      <w:sz w:val="24"/>
      <w:szCs w:val="24"/>
    </w:rPr>
  </w:style>
  <w:style w:type="character" w:customStyle="1" w:styleId="CommentTextChar">
    <w:name w:val="Comment Text Char"/>
    <w:basedOn w:val="DefaultParagraphFont"/>
    <w:link w:val="CommentText"/>
    <w:uiPriority w:val="99"/>
    <w:semiHidden/>
    <w:rsid w:val="00F50C51"/>
    <w:rPr>
      <w:sz w:val="24"/>
      <w:szCs w:val="24"/>
    </w:rPr>
  </w:style>
  <w:style w:type="paragraph" w:styleId="CommentSubject">
    <w:name w:val="annotation subject"/>
    <w:basedOn w:val="CommentText"/>
    <w:next w:val="CommentText"/>
    <w:link w:val="CommentSubjectChar"/>
    <w:uiPriority w:val="99"/>
    <w:semiHidden/>
    <w:unhideWhenUsed/>
    <w:rsid w:val="00F50C51"/>
    <w:rPr>
      <w:b/>
      <w:bCs/>
      <w:sz w:val="20"/>
      <w:szCs w:val="20"/>
    </w:rPr>
  </w:style>
  <w:style w:type="character" w:customStyle="1" w:styleId="CommentSubjectChar">
    <w:name w:val="Comment Subject Char"/>
    <w:basedOn w:val="CommentTextChar"/>
    <w:link w:val="CommentSubject"/>
    <w:uiPriority w:val="99"/>
    <w:semiHidden/>
    <w:rsid w:val="00F50C51"/>
    <w:rPr>
      <w:b/>
      <w:bCs/>
      <w:sz w:val="20"/>
      <w:szCs w:val="20"/>
    </w:rPr>
  </w:style>
  <w:style w:type="character" w:customStyle="1" w:styleId="Heading1Char">
    <w:name w:val="Heading 1 Char"/>
    <w:basedOn w:val="DefaultParagraphFont"/>
    <w:link w:val="Heading1"/>
    <w:uiPriority w:val="9"/>
    <w:rsid w:val="00E72C9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72C9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72C9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72C98"/>
    <w:rPr>
      <w:rFonts w:asciiTheme="majorHAnsi" w:eastAsiaTheme="majorEastAsia" w:hAnsiTheme="majorHAnsi" w:cstheme="majorBidi"/>
      <w:i/>
      <w:iCs/>
      <w:color w:val="365F91" w:themeColor="accent1" w:themeShade="BF"/>
    </w:rPr>
  </w:style>
  <w:style w:type="paragraph" w:styleId="List">
    <w:name w:val="List"/>
    <w:basedOn w:val="Normal"/>
    <w:uiPriority w:val="99"/>
    <w:unhideWhenUsed/>
    <w:rsid w:val="00E72C98"/>
    <w:pPr>
      <w:ind w:left="360" w:hanging="360"/>
      <w:contextualSpacing/>
    </w:pPr>
  </w:style>
  <w:style w:type="paragraph" w:styleId="Caption">
    <w:name w:val="caption"/>
    <w:basedOn w:val="Normal"/>
    <w:next w:val="Normal"/>
    <w:uiPriority w:val="35"/>
    <w:unhideWhenUsed/>
    <w:qFormat/>
    <w:rsid w:val="00E72C98"/>
    <w:pPr>
      <w:spacing w:line="240" w:lineRule="auto"/>
    </w:pPr>
    <w:rPr>
      <w:i/>
      <w:iCs/>
      <w:color w:val="1F497D" w:themeColor="text2"/>
      <w:sz w:val="18"/>
      <w:szCs w:val="18"/>
    </w:rPr>
  </w:style>
  <w:style w:type="paragraph" w:styleId="BodyText">
    <w:name w:val="Body Text"/>
    <w:basedOn w:val="Normal"/>
    <w:link w:val="BodyTextChar"/>
    <w:uiPriority w:val="99"/>
    <w:unhideWhenUsed/>
    <w:rsid w:val="00E72C98"/>
    <w:pPr>
      <w:spacing w:after="120"/>
    </w:pPr>
  </w:style>
  <w:style w:type="character" w:customStyle="1" w:styleId="BodyTextChar">
    <w:name w:val="Body Text Char"/>
    <w:basedOn w:val="DefaultParagraphFont"/>
    <w:link w:val="BodyText"/>
    <w:uiPriority w:val="99"/>
    <w:rsid w:val="00E72C98"/>
  </w:style>
  <w:style w:type="character" w:styleId="Hyperlink">
    <w:name w:val="Hyperlink"/>
    <w:basedOn w:val="DefaultParagraphFont"/>
    <w:uiPriority w:val="99"/>
    <w:unhideWhenUsed/>
    <w:rsid w:val="00E4796A"/>
    <w:rPr>
      <w:color w:val="0000FF" w:themeColor="hyperlink"/>
      <w:u w:val="single"/>
    </w:rPr>
  </w:style>
  <w:style w:type="paragraph" w:styleId="Revision">
    <w:name w:val="Revision"/>
    <w:hidden/>
    <w:uiPriority w:val="99"/>
    <w:semiHidden/>
    <w:rsid w:val="00FC2FCB"/>
    <w:pPr>
      <w:spacing w:after="0" w:line="240" w:lineRule="auto"/>
    </w:pPr>
  </w:style>
  <w:style w:type="paragraph" w:styleId="ListParagraph">
    <w:name w:val="List Paragraph"/>
    <w:basedOn w:val="Normal"/>
    <w:uiPriority w:val="34"/>
    <w:qFormat/>
    <w:rsid w:val="00B82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4708">
      <w:bodyDiv w:val="1"/>
      <w:marLeft w:val="0"/>
      <w:marRight w:val="0"/>
      <w:marTop w:val="0"/>
      <w:marBottom w:val="0"/>
      <w:divBdr>
        <w:top w:val="none" w:sz="0" w:space="0" w:color="auto"/>
        <w:left w:val="none" w:sz="0" w:space="0" w:color="auto"/>
        <w:bottom w:val="none" w:sz="0" w:space="0" w:color="auto"/>
        <w:right w:val="none" w:sz="0" w:space="0" w:color="auto"/>
      </w:divBdr>
    </w:div>
    <w:div w:id="974944751">
      <w:bodyDiv w:val="1"/>
      <w:marLeft w:val="0"/>
      <w:marRight w:val="0"/>
      <w:marTop w:val="0"/>
      <w:marBottom w:val="0"/>
      <w:divBdr>
        <w:top w:val="none" w:sz="0" w:space="0" w:color="auto"/>
        <w:left w:val="none" w:sz="0" w:space="0" w:color="auto"/>
        <w:bottom w:val="none" w:sz="0" w:space="0" w:color="auto"/>
        <w:right w:val="none" w:sz="0" w:space="0" w:color="auto"/>
      </w:divBdr>
    </w:div>
    <w:div w:id="13115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9410B-D61E-43EA-A7B7-7A214B2D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6613</Words>
  <Characters>37697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Children's Medical Center</Company>
  <LinksUpToDate>false</LinksUpToDate>
  <CharactersWithSpaces>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Dowling</dc:creator>
  <cp:lastModifiedBy>Fenella Kirkham</cp:lastModifiedBy>
  <cp:revision>2</cp:revision>
  <cp:lastPrinted>2016-05-26T18:34:00Z</cp:lastPrinted>
  <dcterms:created xsi:type="dcterms:W3CDTF">2016-12-31T08:23:00Z</dcterms:created>
  <dcterms:modified xsi:type="dcterms:W3CDTF">2016-12-31T08:23:00Z</dcterms:modified>
</cp:coreProperties>
</file>