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3A" w:rsidRPr="00DC0CAF" w:rsidRDefault="00CD4F3A" w:rsidP="00CD4F3A">
      <w:pPr>
        <w:spacing w:line="480" w:lineRule="auto"/>
        <w:outlineLvl w:val="0"/>
        <w:rPr>
          <w:rFonts w:ascii="Arial" w:hAnsi="Arial" w:cs="Arial"/>
        </w:rPr>
      </w:pPr>
      <w:bookmarkStart w:id="0" w:name="_GoBack"/>
      <w:bookmarkEnd w:id="0"/>
      <w:r>
        <w:rPr>
          <w:rFonts w:ascii="Arial" w:hAnsi="Arial" w:cs="Arial"/>
        </w:rPr>
        <w:t xml:space="preserve">ANNEX 1: </w:t>
      </w:r>
      <w:r w:rsidRPr="00DC0CAF">
        <w:rPr>
          <w:rFonts w:ascii="Arial" w:hAnsi="Arial" w:cs="Arial"/>
        </w:rPr>
        <w:t>METHOD</w:t>
      </w:r>
      <w:r>
        <w:rPr>
          <w:rFonts w:ascii="Arial" w:hAnsi="Arial" w:cs="Arial"/>
        </w:rPr>
        <w:t>OLOGY</w:t>
      </w:r>
    </w:p>
    <w:p w:rsidR="00CD4F3A" w:rsidRPr="00DC0CAF" w:rsidRDefault="00CD4F3A" w:rsidP="00CD4F3A">
      <w:pPr>
        <w:spacing w:line="480" w:lineRule="auto"/>
        <w:rPr>
          <w:rFonts w:ascii="Arial" w:hAnsi="Arial" w:cs="Arial"/>
        </w:rPr>
      </w:pPr>
      <w:r w:rsidRPr="00DC0CAF">
        <w:rPr>
          <w:rFonts w:ascii="Arial" w:hAnsi="Arial" w:cs="Arial"/>
        </w:rPr>
        <w:t>DESIGN</w:t>
      </w:r>
    </w:p>
    <w:p w:rsidR="00CD4F3A" w:rsidRPr="00DC0CAF" w:rsidRDefault="00CD4F3A" w:rsidP="00CD4F3A">
      <w:pPr>
        <w:spacing w:line="480" w:lineRule="auto"/>
        <w:rPr>
          <w:rFonts w:ascii="Arial" w:eastAsia="Times New Roman" w:hAnsi="Arial" w:cs="Arial"/>
          <w:lang w:eastAsia="en-GB"/>
        </w:rPr>
      </w:pPr>
      <w:r w:rsidRPr="00DC0CAF">
        <w:rPr>
          <w:rFonts w:ascii="Arial" w:eastAsia="Times New Roman" w:hAnsi="Arial" w:cs="Arial"/>
          <w:lang w:eastAsia="en-GB"/>
        </w:rPr>
        <w:t xml:space="preserve">The present study used a </w:t>
      </w:r>
      <w:r>
        <w:rPr>
          <w:rFonts w:ascii="Arial" w:eastAsia="Times New Roman" w:hAnsi="Arial" w:cs="Arial"/>
          <w:lang w:eastAsia="en-GB"/>
        </w:rPr>
        <w:t>‘</w:t>
      </w:r>
      <w:r w:rsidRPr="00DC0CAF">
        <w:rPr>
          <w:rFonts w:ascii="Arial" w:eastAsia="Times New Roman" w:hAnsi="Arial" w:cs="Arial"/>
          <w:lang w:eastAsia="en-GB"/>
        </w:rPr>
        <w:t>rapid review</w:t>
      </w:r>
      <w:r>
        <w:rPr>
          <w:rFonts w:ascii="Arial" w:eastAsia="Times New Roman" w:hAnsi="Arial" w:cs="Arial"/>
          <w:lang w:eastAsia="en-GB"/>
        </w:rPr>
        <w:t xml:space="preserve"> methodology’</w:t>
      </w:r>
      <w:r w:rsidRPr="00DC0CAF">
        <w:rPr>
          <w:rFonts w:ascii="Arial" w:eastAsia="Times New Roman" w:hAnsi="Arial" w:cs="Arial"/>
          <w:lang w:eastAsia="en-GB"/>
        </w:rPr>
        <w:t xml:space="preserve"> to search and evaluate published evidence used by universities, UK government departments</w:t>
      </w:r>
      <w:r>
        <w:rPr>
          <w:rFonts w:ascii="Arial" w:eastAsia="Times New Roman" w:hAnsi="Arial" w:cs="Arial"/>
          <w:lang w:eastAsia="en-GB"/>
        </w:rPr>
        <w:t>,</w:t>
      </w:r>
      <w:r w:rsidRPr="00DC0CAF">
        <w:rPr>
          <w:rFonts w:ascii="Arial" w:eastAsia="Times New Roman" w:hAnsi="Arial" w:cs="Arial"/>
          <w:lang w:eastAsia="en-GB"/>
        </w:rPr>
        <w:t xml:space="preserve"> and allied agencies. Definitions, methods and applications of rapid reviews vary from traditional systematic review methods by utilising more stringent search strategies with stricter eligibility criteria centring around year of publication, search databases, language</w:t>
      </w:r>
      <w:r>
        <w:rPr>
          <w:rFonts w:ascii="Arial" w:eastAsia="Times New Roman" w:hAnsi="Arial" w:cs="Arial"/>
          <w:lang w:eastAsia="en-GB"/>
        </w:rPr>
        <w:t>,</w:t>
      </w:r>
      <w:r w:rsidRPr="00DC0CAF">
        <w:rPr>
          <w:rFonts w:ascii="Arial" w:eastAsia="Times New Roman" w:hAnsi="Arial" w:cs="Arial"/>
          <w:lang w:eastAsia="en-GB"/>
        </w:rPr>
        <w:t xml:space="preserve"> and sources beyond electronic searches</w:t>
      </w:r>
      <w:r>
        <w:rPr>
          <w:rFonts w:ascii="Arial" w:eastAsia="Times New Roman" w:hAnsi="Arial" w:cs="Arial"/>
          <w:lang w:eastAsia="en-GB"/>
        </w:rPr>
        <w:t>.</w:t>
      </w:r>
      <w:r w:rsidR="00CC12BC" w:rsidRPr="00CC12BC">
        <w:rPr>
          <w:rFonts w:ascii="Arial" w:hAnsi="Arial" w:cs="Arial"/>
          <w:szCs w:val="24"/>
          <w:vertAlign w:val="superscript"/>
        </w:rPr>
        <w:t>1,2</w:t>
      </w:r>
      <w:r w:rsidRPr="00DC0CAF">
        <w:rPr>
          <w:rFonts w:ascii="Arial" w:eastAsia="Times New Roman" w:hAnsi="Arial" w:cs="Arial"/>
          <w:lang w:eastAsia="en-GB"/>
        </w:rPr>
        <w:t xml:space="preserve"> Rapid reviews involve the same level of rigour employed for a systematic review,</w:t>
      </w:r>
      <w:r>
        <w:rPr>
          <w:rFonts w:ascii="Arial" w:eastAsia="Times New Roman" w:hAnsi="Arial" w:cs="Arial"/>
          <w:lang w:eastAsia="en-GB"/>
        </w:rPr>
        <w:t xml:space="preserve"> but by </w:t>
      </w:r>
      <w:r w:rsidRPr="00DC0CAF">
        <w:rPr>
          <w:rFonts w:ascii="Arial" w:eastAsia="Times New Roman" w:hAnsi="Arial" w:cs="Arial"/>
          <w:lang w:eastAsia="en-GB"/>
        </w:rPr>
        <w:t>agreeing sharply focused search parameters and limiting the searches and databases used, the process can be accelerated to deliver robust results within a limited time or resource framework</w:t>
      </w:r>
      <w:r>
        <w:rPr>
          <w:rFonts w:ascii="Arial" w:eastAsia="Times New Roman" w:hAnsi="Arial" w:cs="Arial"/>
          <w:lang w:eastAsia="en-GB"/>
        </w:rPr>
        <w:t>.</w:t>
      </w:r>
      <w:r w:rsidR="00CC12BC" w:rsidRPr="00CC12BC">
        <w:rPr>
          <w:rFonts w:ascii="Arial" w:hAnsi="Arial" w:cs="Arial"/>
          <w:szCs w:val="24"/>
          <w:vertAlign w:val="superscript"/>
        </w:rPr>
        <w:t>2</w:t>
      </w:r>
    </w:p>
    <w:p w:rsidR="00CD4F3A" w:rsidRPr="00DC0CAF" w:rsidRDefault="00CD4F3A" w:rsidP="00CD4F3A">
      <w:pPr>
        <w:spacing w:line="480" w:lineRule="auto"/>
        <w:rPr>
          <w:rFonts w:ascii="Arial" w:hAnsi="Arial" w:cs="Arial"/>
          <w:lang w:val="en-CA"/>
        </w:rPr>
      </w:pPr>
      <w:r w:rsidRPr="00DC0CAF">
        <w:rPr>
          <w:rFonts w:ascii="Arial" w:hAnsi="Arial" w:cs="Arial"/>
          <w:lang w:val="en-CA"/>
        </w:rPr>
        <w:t>PROCEDURE</w:t>
      </w:r>
    </w:p>
    <w:p w:rsidR="00CD4F3A" w:rsidRPr="00DC0CAF" w:rsidRDefault="00CD4F3A" w:rsidP="00CD4F3A">
      <w:pPr>
        <w:spacing w:line="480" w:lineRule="auto"/>
        <w:rPr>
          <w:rFonts w:ascii="Arial" w:hAnsi="Arial" w:cs="Arial"/>
        </w:rPr>
      </w:pPr>
      <w:r w:rsidRPr="00DC0CAF">
        <w:rPr>
          <w:rFonts w:ascii="Arial" w:hAnsi="Arial" w:cs="Arial"/>
          <w:lang w:val="en-US"/>
        </w:rPr>
        <w:t xml:space="preserve">The review </w:t>
      </w:r>
      <w:r w:rsidRPr="00DC0CAF">
        <w:rPr>
          <w:rFonts w:ascii="Arial" w:hAnsi="Arial" w:cs="Arial"/>
        </w:rPr>
        <w:t>was implemented in the following stages: policy identification, literature search and evidence selection, data extraction, study quality rating</w:t>
      </w:r>
      <w:r>
        <w:rPr>
          <w:rFonts w:ascii="Arial" w:hAnsi="Arial" w:cs="Arial"/>
        </w:rPr>
        <w:t>,</w:t>
      </w:r>
      <w:r w:rsidRPr="00DC0CAF">
        <w:rPr>
          <w:rFonts w:ascii="Arial" w:hAnsi="Arial" w:cs="Arial"/>
        </w:rPr>
        <w:t xml:space="preserve"> and synthesis of evidence.</w:t>
      </w:r>
    </w:p>
    <w:p w:rsidR="00CD4F3A" w:rsidRPr="00DC0CAF" w:rsidRDefault="00CD4F3A" w:rsidP="00CD4F3A">
      <w:pPr>
        <w:spacing w:line="480" w:lineRule="auto"/>
        <w:rPr>
          <w:rFonts w:ascii="Arial" w:hAnsi="Arial" w:cs="Arial"/>
          <w:b/>
          <w:i/>
        </w:rPr>
      </w:pPr>
      <w:r w:rsidRPr="00DC0CAF">
        <w:rPr>
          <w:rFonts w:ascii="Arial" w:hAnsi="Arial" w:cs="Arial"/>
        </w:rPr>
        <w:t>POLICY IDENTIFICATION</w:t>
      </w:r>
    </w:p>
    <w:p w:rsidR="00CD4F3A" w:rsidRDefault="00CD4F3A" w:rsidP="00CD4F3A">
      <w:pPr>
        <w:spacing w:line="480" w:lineRule="auto"/>
        <w:rPr>
          <w:rFonts w:ascii="Arial" w:eastAsia="Times New Roman" w:hAnsi="Arial" w:cs="Arial"/>
          <w:lang w:eastAsia="en-GB"/>
        </w:rPr>
      </w:pPr>
      <w:r>
        <w:rPr>
          <w:rFonts w:ascii="Arial" w:eastAsia="Times New Roman" w:hAnsi="Arial" w:cs="Arial"/>
          <w:lang w:eastAsia="en-GB"/>
        </w:rPr>
        <w:t>Seven broad p</w:t>
      </w:r>
      <w:r w:rsidRPr="00DC0CAF">
        <w:rPr>
          <w:rFonts w:ascii="Arial" w:eastAsia="Times New Roman" w:hAnsi="Arial" w:cs="Arial"/>
          <w:lang w:eastAsia="en-GB"/>
        </w:rPr>
        <w:t xml:space="preserve">olicy areas and 34 specific policies </w:t>
      </w:r>
      <w:r>
        <w:rPr>
          <w:rFonts w:ascii="Arial" w:eastAsia="Times New Roman" w:hAnsi="Arial" w:cs="Arial"/>
          <w:lang w:eastAsia="en-GB"/>
        </w:rPr>
        <w:t xml:space="preserve">or interventions </w:t>
      </w:r>
      <w:r w:rsidRPr="00DC0CAF">
        <w:rPr>
          <w:rFonts w:ascii="Arial" w:eastAsia="Times New Roman" w:hAnsi="Arial" w:cs="Arial"/>
          <w:lang w:eastAsia="en-GB"/>
        </w:rPr>
        <w:t>were identified and informed by previous expert reviews</w:t>
      </w:r>
      <w:r w:rsidR="00CC12BC" w:rsidRPr="00CC12BC">
        <w:rPr>
          <w:rFonts w:ascii="Arial" w:hAnsi="Arial" w:cs="Arial"/>
          <w:szCs w:val="24"/>
          <w:vertAlign w:val="superscript"/>
        </w:rPr>
        <w:t>3–8</w:t>
      </w:r>
      <w:r w:rsidRPr="00DC0CAF">
        <w:rPr>
          <w:rFonts w:ascii="Arial" w:eastAsia="Times New Roman" w:hAnsi="Arial" w:cs="Arial"/>
          <w:lang w:eastAsia="en-GB"/>
        </w:rPr>
        <w:t xml:space="preserve"> and guided discussion with an expert advisory group setup at the outset of this work (Table </w:t>
      </w:r>
      <w:r>
        <w:rPr>
          <w:rFonts w:ascii="Arial" w:eastAsia="Times New Roman" w:hAnsi="Arial" w:cs="Arial"/>
          <w:lang w:eastAsia="en-GB"/>
        </w:rPr>
        <w:t>1</w:t>
      </w:r>
      <w:r w:rsidRPr="00DC0CAF">
        <w:rPr>
          <w:rFonts w:ascii="Arial" w:eastAsia="Times New Roman" w:hAnsi="Arial" w:cs="Arial"/>
          <w:lang w:eastAsia="en-GB"/>
        </w:rPr>
        <w:t xml:space="preserve">, Annex </w:t>
      </w:r>
      <w:r w:rsidR="00E26D49">
        <w:rPr>
          <w:rFonts w:ascii="Arial" w:eastAsia="Times New Roman" w:hAnsi="Arial" w:cs="Arial"/>
          <w:lang w:eastAsia="en-GB"/>
        </w:rPr>
        <w:t>3</w:t>
      </w:r>
      <w:r w:rsidRPr="00DC0CAF">
        <w:rPr>
          <w:rFonts w:ascii="Arial" w:eastAsia="Times New Roman" w:hAnsi="Arial" w:cs="Arial"/>
          <w:lang w:eastAsia="en-GB"/>
        </w:rPr>
        <w:t>).</w:t>
      </w:r>
    </w:p>
    <w:p w:rsidR="00CD4F3A" w:rsidRPr="00753066" w:rsidRDefault="00CD4F3A" w:rsidP="00CD4F3A">
      <w:pPr>
        <w:spacing w:line="480" w:lineRule="auto"/>
        <w:rPr>
          <w:rFonts w:ascii="Arial" w:eastAsia="Times New Roman" w:hAnsi="Arial" w:cs="Arial"/>
          <w:lang w:eastAsia="en-GB"/>
        </w:rPr>
      </w:pPr>
      <w:r w:rsidRPr="00753066">
        <w:rPr>
          <w:rFonts w:ascii="Arial" w:eastAsia="Times New Roman" w:hAnsi="Arial" w:cs="Arial"/>
          <w:lang w:eastAsia="en-GB"/>
        </w:rPr>
        <w:t>[TABLE 1 HERE]</w:t>
      </w:r>
    </w:p>
    <w:p w:rsidR="00CD4F3A" w:rsidRPr="00DC0CAF" w:rsidRDefault="00CD4F3A" w:rsidP="00CD4F3A">
      <w:pPr>
        <w:spacing w:line="480" w:lineRule="auto"/>
        <w:rPr>
          <w:rFonts w:ascii="Arial" w:hAnsi="Arial" w:cs="Arial"/>
        </w:rPr>
      </w:pPr>
      <w:r w:rsidRPr="00DC0CAF">
        <w:rPr>
          <w:rFonts w:ascii="Arial" w:hAnsi="Arial" w:cs="Arial"/>
        </w:rPr>
        <w:t>SEARCH STRATEGY</w:t>
      </w:r>
    </w:p>
    <w:p w:rsidR="00CD4F3A" w:rsidRPr="00DC0CAF" w:rsidRDefault="00CD4F3A" w:rsidP="00CD4F3A">
      <w:pPr>
        <w:spacing w:line="480" w:lineRule="auto"/>
        <w:rPr>
          <w:rFonts w:ascii="Arial" w:eastAsia="Times New Roman" w:hAnsi="Arial" w:cs="Arial"/>
          <w:lang w:eastAsia="en-GB"/>
        </w:rPr>
      </w:pPr>
      <w:r>
        <w:rPr>
          <w:rFonts w:ascii="Arial" w:eastAsia="Times New Roman" w:hAnsi="Arial" w:cs="Arial"/>
          <w:lang w:eastAsia="en-GB"/>
        </w:rPr>
        <w:t>RB searched e</w:t>
      </w:r>
      <w:r w:rsidRPr="00DC0CAF">
        <w:rPr>
          <w:rFonts w:ascii="Arial" w:eastAsia="Times New Roman" w:hAnsi="Arial" w:cs="Arial"/>
          <w:lang w:eastAsia="en-GB"/>
        </w:rPr>
        <w:t xml:space="preserve">lectronic databases </w:t>
      </w:r>
      <w:r>
        <w:rPr>
          <w:rFonts w:ascii="Arial" w:eastAsia="Times New Roman" w:hAnsi="Arial" w:cs="Arial"/>
          <w:lang w:eastAsia="en-GB"/>
        </w:rPr>
        <w:t xml:space="preserve">(MEDLINE; Pubmed) </w:t>
      </w:r>
      <w:r w:rsidRPr="00DC0CAF">
        <w:rPr>
          <w:rFonts w:ascii="Arial" w:eastAsia="Times New Roman" w:hAnsi="Arial" w:cs="Arial"/>
          <w:lang w:eastAsia="en-GB"/>
        </w:rPr>
        <w:t xml:space="preserve">for studies assessing the effectiveness of alcohol control policies </w:t>
      </w:r>
      <w:r>
        <w:rPr>
          <w:rFonts w:ascii="Arial" w:eastAsia="Times New Roman" w:hAnsi="Arial" w:cs="Arial"/>
          <w:lang w:eastAsia="en-GB"/>
        </w:rPr>
        <w:t>for reducing</w:t>
      </w:r>
      <w:r w:rsidRPr="00DC0CAF">
        <w:rPr>
          <w:rFonts w:ascii="Arial" w:eastAsia="Times New Roman" w:hAnsi="Arial" w:cs="Arial"/>
          <w:lang w:eastAsia="en-GB"/>
        </w:rPr>
        <w:t xml:space="preserve"> alcohol consumption or harm</w:t>
      </w:r>
      <w:r>
        <w:rPr>
          <w:rFonts w:ascii="Arial" w:eastAsia="Times New Roman" w:hAnsi="Arial" w:cs="Arial"/>
          <w:lang w:eastAsia="en-GB"/>
        </w:rPr>
        <w:t xml:space="preserve">. Supplementary search strategies included hand searches of references from key </w:t>
      </w:r>
      <w:r>
        <w:rPr>
          <w:rFonts w:ascii="Arial" w:eastAsia="Times New Roman" w:hAnsi="Arial" w:cs="Arial"/>
          <w:lang w:eastAsia="en-GB"/>
        </w:rPr>
        <w:lastRenderedPageBreak/>
        <w:t>publications and input from an expert advisory group. Inclusion periods ranged from 2000 to 2016 and varied across policy areas.</w:t>
      </w:r>
    </w:p>
    <w:p w:rsidR="00CD4F3A" w:rsidRPr="00DC0CAF" w:rsidRDefault="00CD4F3A" w:rsidP="00CD4F3A">
      <w:pPr>
        <w:spacing w:line="480" w:lineRule="auto"/>
        <w:rPr>
          <w:rFonts w:ascii="Arial" w:eastAsia="Times New Roman" w:hAnsi="Arial" w:cs="Arial"/>
          <w:lang w:eastAsia="en-GB"/>
        </w:rPr>
      </w:pPr>
      <w:r w:rsidRPr="00DC0CAF">
        <w:rPr>
          <w:rFonts w:ascii="Arial" w:eastAsia="Times New Roman" w:hAnsi="Arial" w:cs="Arial"/>
          <w:lang w:eastAsia="en-GB"/>
        </w:rPr>
        <w:t xml:space="preserve">Keywords and phrases used in the literature search were selected in an attempt to balance sensitivity with specificity in line with the </w:t>
      </w:r>
      <w:r>
        <w:rPr>
          <w:rFonts w:ascii="Arial" w:eastAsia="Times New Roman" w:hAnsi="Arial" w:cs="Arial"/>
          <w:lang w:eastAsia="en-GB"/>
        </w:rPr>
        <w:t>rapid review</w:t>
      </w:r>
      <w:r w:rsidRPr="00DC0CAF">
        <w:rPr>
          <w:rFonts w:ascii="Arial" w:eastAsia="Times New Roman" w:hAnsi="Arial" w:cs="Arial"/>
          <w:lang w:eastAsia="en-GB"/>
        </w:rPr>
        <w:t xml:space="preserve"> approach.</w:t>
      </w:r>
      <w:r>
        <w:rPr>
          <w:rFonts w:ascii="Arial" w:eastAsia="Times New Roman" w:hAnsi="Arial" w:cs="Arial"/>
          <w:lang w:eastAsia="en-GB"/>
        </w:rPr>
        <w:t xml:space="preserve"> In practice, this meant the search terms used were more focussed than those typically used in a full systematic review.</w:t>
      </w:r>
      <w:r w:rsidRPr="00DC0CAF">
        <w:rPr>
          <w:rFonts w:ascii="Arial" w:eastAsia="Times New Roman" w:hAnsi="Arial" w:cs="Arial"/>
          <w:lang w:eastAsia="en-GB"/>
        </w:rPr>
        <w:t xml:space="preserve"> An overview of the search terms used in this review can be seen </w:t>
      </w:r>
      <w:r w:rsidRPr="00150624">
        <w:rPr>
          <w:rFonts w:ascii="Arial" w:eastAsia="Times New Roman" w:hAnsi="Arial" w:cs="Arial"/>
          <w:lang w:eastAsia="en-GB"/>
        </w:rPr>
        <w:t xml:space="preserve">in Annex </w:t>
      </w:r>
      <w:r w:rsidR="002F762A">
        <w:rPr>
          <w:rFonts w:ascii="Arial" w:eastAsia="Times New Roman" w:hAnsi="Arial" w:cs="Arial"/>
          <w:lang w:eastAsia="en-GB"/>
        </w:rPr>
        <w:t>3</w:t>
      </w:r>
      <w:r w:rsidRPr="00150624">
        <w:rPr>
          <w:rFonts w:ascii="Arial" w:eastAsia="Times New Roman" w:hAnsi="Arial" w:cs="Arial"/>
          <w:lang w:eastAsia="en-GB"/>
        </w:rPr>
        <w:t>.</w:t>
      </w:r>
    </w:p>
    <w:p w:rsidR="00CD4F3A" w:rsidRPr="00DC0CAF" w:rsidRDefault="00CD4F3A" w:rsidP="00CD4F3A">
      <w:pPr>
        <w:spacing w:line="480" w:lineRule="auto"/>
        <w:rPr>
          <w:rFonts w:ascii="Arial" w:eastAsia="Times New Roman" w:hAnsi="Arial" w:cs="Arial"/>
          <w:lang w:eastAsia="en-GB"/>
        </w:rPr>
      </w:pPr>
      <w:r w:rsidRPr="00DC0CAF">
        <w:rPr>
          <w:rFonts w:ascii="Arial" w:hAnsi="Arial" w:cs="Arial"/>
        </w:rPr>
        <w:t>STUDY SELECTION</w:t>
      </w:r>
    </w:p>
    <w:p w:rsidR="00CD4F3A" w:rsidRDefault="00CD4F3A" w:rsidP="00CD4F3A">
      <w:pPr>
        <w:spacing w:line="480" w:lineRule="auto"/>
        <w:rPr>
          <w:rFonts w:ascii="Arial" w:hAnsi="Arial" w:cs="Arial"/>
          <w:iCs/>
        </w:rPr>
      </w:pPr>
      <w:r w:rsidRPr="00DC0CAF">
        <w:rPr>
          <w:rFonts w:ascii="Arial" w:eastAsia="Times New Roman" w:hAnsi="Arial" w:cs="Arial"/>
          <w:lang w:eastAsia="en-GB"/>
        </w:rPr>
        <w:t xml:space="preserve">Papers identified from the literature search were preferentially selected according to a hierarchy of evidence (Figure </w:t>
      </w:r>
      <w:r w:rsidR="00150624">
        <w:rPr>
          <w:rFonts w:ascii="Arial" w:eastAsia="Times New Roman" w:hAnsi="Arial" w:cs="Arial"/>
          <w:lang w:eastAsia="en-GB"/>
        </w:rPr>
        <w:t>1</w:t>
      </w:r>
      <w:r w:rsidRPr="00DC0CAF">
        <w:rPr>
          <w:rFonts w:ascii="Arial" w:eastAsia="Times New Roman" w:hAnsi="Arial" w:cs="Arial"/>
          <w:lang w:eastAsia="en-GB"/>
        </w:rPr>
        <w:t>). This was operationalised as selecting the most recent review, including meta-analyses, and eligible studies published after this review. Where two or more reviews existed, preferential selection was given to higher-quality reviews</w:t>
      </w:r>
      <w:r>
        <w:rPr>
          <w:rFonts w:ascii="Arial" w:eastAsia="Times New Roman" w:hAnsi="Arial" w:cs="Arial"/>
          <w:lang w:eastAsia="en-GB"/>
        </w:rPr>
        <w:t>,</w:t>
      </w:r>
      <w:r w:rsidRPr="00DC0CAF">
        <w:rPr>
          <w:rFonts w:ascii="Arial" w:eastAsia="Times New Roman" w:hAnsi="Arial" w:cs="Arial"/>
          <w:lang w:eastAsia="en-GB"/>
        </w:rPr>
        <w:t xml:space="preserve"> or those with most relevance to the English context. </w:t>
      </w:r>
      <w:r>
        <w:rPr>
          <w:rFonts w:ascii="Arial" w:eastAsia="Times New Roman" w:hAnsi="Arial" w:cs="Arial"/>
          <w:lang w:eastAsia="en-GB"/>
        </w:rPr>
        <w:t xml:space="preserve">Higher quality reviews were defined as those which included studies which sat higher up the evidence hierarchy. </w:t>
      </w:r>
      <w:r w:rsidR="003A6094">
        <w:rPr>
          <w:rFonts w:ascii="Arial" w:eastAsia="Times New Roman" w:hAnsi="Arial" w:cs="Arial"/>
          <w:lang w:eastAsia="en-GB"/>
        </w:rPr>
        <w:t xml:space="preserve">Relevance to the English context was </w:t>
      </w:r>
      <w:r w:rsidR="00731D7F">
        <w:rPr>
          <w:rFonts w:ascii="Arial" w:eastAsia="Times New Roman" w:hAnsi="Arial" w:cs="Arial"/>
          <w:lang w:eastAsia="en-GB"/>
        </w:rPr>
        <w:t>hierarchical, selecting first studies from</w:t>
      </w:r>
      <w:r w:rsidR="003A6094">
        <w:rPr>
          <w:rFonts w:ascii="Arial" w:eastAsia="Times New Roman" w:hAnsi="Arial" w:cs="Arial"/>
          <w:lang w:eastAsia="en-GB"/>
        </w:rPr>
        <w:t xml:space="preserve"> England</w:t>
      </w:r>
      <w:r w:rsidR="00143BA6">
        <w:rPr>
          <w:rFonts w:ascii="Arial" w:eastAsia="Times New Roman" w:hAnsi="Arial" w:cs="Arial"/>
          <w:lang w:eastAsia="en-GB"/>
        </w:rPr>
        <w:t xml:space="preserve">, Great Britain </w:t>
      </w:r>
      <w:r w:rsidR="003A6094">
        <w:rPr>
          <w:rFonts w:ascii="Arial" w:eastAsia="Times New Roman" w:hAnsi="Arial" w:cs="Arial"/>
          <w:lang w:eastAsia="en-GB"/>
        </w:rPr>
        <w:t xml:space="preserve">or the UK, then Western </w:t>
      </w:r>
      <w:r w:rsidR="00731D7F">
        <w:rPr>
          <w:rFonts w:ascii="Arial" w:eastAsia="Times New Roman" w:hAnsi="Arial" w:cs="Arial"/>
          <w:lang w:eastAsia="en-GB"/>
        </w:rPr>
        <w:t xml:space="preserve">Europe, followed by the </w:t>
      </w:r>
      <w:r w:rsidR="003A6094">
        <w:rPr>
          <w:rFonts w:ascii="Arial" w:eastAsia="Times New Roman" w:hAnsi="Arial" w:cs="Arial"/>
          <w:lang w:eastAsia="en-GB"/>
        </w:rPr>
        <w:t>rest of Europe</w:t>
      </w:r>
      <w:r w:rsidR="00143BA6">
        <w:rPr>
          <w:rFonts w:ascii="Arial" w:eastAsia="Times New Roman" w:hAnsi="Arial" w:cs="Arial"/>
          <w:lang w:eastAsia="en-GB"/>
        </w:rPr>
        <w:t>,</w:t>
      </w:r>
      <w:r w:rsidR="00731D7F">
        <w:rPr>
          <w:rFonts w:ascii="Arial" w:eastAsia="Times New Roman" w:hAnsi="Arial" w:cs="Arial"/>
          <w:lang w:eastAsia="en-GB"/>
        </w:rPr>
        <w:t xml:space="preserve"> and other </w:t>
      </w:r>
      <w:r w:rsidR="002E6A03">
        <w:rPr>
          <w:rFonts w:ascii="Arial" w:eastAsia="Times New Roman" w:hAnsi="Arial" w:cs="Arial"/>
          <w:lang w:eastAsia="en-GB"/>
        </w:rPr>
        <w:t>OECD countries</w:t>
      </w:r>
      <w:r w:rsidR="003A6094">
        <w:rPr>
          <w:rFonts w:ascii="Arial" w:eastAsia="Times New Roman" w:hAnsi="Arial" w:cs="Arial"/>
          <w:lang w:eastAsia="en-GB"/>
        </w:rPr>
        <w:t xml:space="preserve">. </w:t>
      </w:r>
      <w:r w:rsidRPr="00DC0CAF">
        <w:rPr>
          <w:rFonts w:ascii="Arial" w:eastAsia="Times New Roman" w:hAnsi="Arial" w:cs="Arial"/>
          <w:lang w:eastAsia="en-GB"/>
        </w:rPr>
        <w:t>If the reviews evaluated different outcomes</w:t>
      </w:r>
      <w:r>
        <w:rPr>
          <w:rFonts w:ascii="Arial" w:eastAsia="Times New Roman" w:hAnsi="Arial" w:cs="Arial"/>
          <w:lang w:eastAsia="en-GB"/>
        </w:rPr>
        <w:t>,</w:t>
      </w:r>
      <w:r w:rsidRPr="00DC0CAF">
        <w:rPr>
          <w:rFonts w:ascii="Arial" w:eastAsia="Times New Roman" w:hAnsi="Arial" w:cs="Arial"/>
          <w:lang w:eastAsia="en-GB"/>
        </w:rPr>
        <w:t xml:space="preserve"> or there were a large number of high-quality reviews, all were included. In the case of policies where no reviews were identified, evidence was drawn only from single studies in accordance with the eligibility criteria with preferential selection given to studies </w:t>
      </w:r>
      <w:r>
        <w:rPr>
          <w:rFonts w:ascii="Arial" w:eastAsia="Times New Roman" w:hAnsi="Arial" w:cs="Arial"/>
          <w:lang w:eastAsia="en-GB"/>
        </w:rPr>
        <w:t xml:space="preserve">higher up the evidence hierarchy, </w:t>
      </w:r>
      <w:r w:rsidRPr="00DC0CAF">
        <w:rPr>
          <w:rFonts w:ascii="Arial" w:eastAsia="Times New Roman" w:hAnsi="Arial" w:cs="Arial"/>
          <w:lang w:eastAsia="en-GB"/>
        </w:rPr>
        <w:t>and relevance to the English context. Some studies were considered outside the scope of this time-limited review such as papers which evaluated narrow outcomes. The exclusion of these papers was agreed by the projec</w:t>
      </w:r>
      <w:r>
        <w:rPr>
          <w:rFonts w:ascii="Arial" w:eastAsia="Times New Roman" w:hAnsi="Arial" w:cs="Arial"/>
          <w:lang w:eastAsia="en-GB"/>
        </w:rPr>
        <w:t xml:space="preserve">t team (RB, CH, DL, NS, </w:t>
      </w:r>
      <w:proofErr w:type="gramStart"/>
      <w:r>
        <w:rPr>
          <w:rFonts w:ascii="Arial" w:eastAsia="Times New Roman" w:hAnsi="Arial" w:cs="Arial"/>
          <w:lang w:eastAsia="en-GB"/>
        </w:rPr>
        <w:t>JM</w:t>
      </w:r>
      <w:proofErr w:type="gramEnd"/>
      <w:r>
        <w:rPr>
          <w:rFonts w:ascii="Arial" w:eastAsia="Times New Roman" w:hAnsi="Arial" w:cs="Arial"/>
          <w:lang w:eastAsia="en-GB"/>
        </w:rPr>
        <w:t>) on a case-by-case basis. RB filtered i</w:t>
      </w:r>
      <w:r w:rsidRPr="003D3E8C">
        <w:rPr>
          <w:rFonts w:ascii="Arial" w:eastAsia="Times New Roman" w:hAnsi="Arial" w:cs="Arial"/>
          <w:lang w:eastAsia="en-GB"/>
        </w:rPr>
        <w:t xml:space="preserve">dentified abstracts against the following inclusion criteria: </w:t>
      </w:r>
      <w:r>
        <w:rPr>
          <w:rFonts w:ascii="Arial" w:eastAsia="Times New Roman" w:hAnsi="Arial" w:cs="Arial"/>
          <w:lang w:eastAsia="en-GB"/>
        </w:rPr>
        <w:t>s</w:t>
      </w:r>
      <w:r w:rsidRPr="003D3E8C">
        <w:rPr>
          <w:rFonts w:ascii="Arial" w:eastAsia="Times New Roman" w:hAnsi="Arial" w:cs="Arial"/>
          <w:lang w:eastAsia="en-GB"/>
        </w:rPr>
        <w:t>tudy had a stated aim to evaluate interventions to reduce alcohol consumption and/or alcohol-related harm</w:t>
      </w:r>
      <w:r>
        <w:rPr>
          <w:rFonts w:ascii="Arial" w:eastAsia="Times New Roman" w:hAnsi="Arial" w:cs="Arial"/>
          <w:lang w:eastAsia="en-GB"/>
        </w:rPr>
        <w:t>,</w:t>
      </w:r>
      <w:r w:rsidRPr="003D3E8C">
        <w:rPr>
          <w:rFonts w:ascii="Arial" w:eastAsia="Times New Roman" w:hAnsi="Arial" w:cs="Arial"/>
          <w:lang w:eastAsia="en-GB"/>
        </w:rPr>
        <w:t xml:space="preserve"> </w:t>
      </w:r>
      <w:r>
        <w:rPr>
          <w:rFonts w:ascii="Arial" w:eastAsia="Times New Roman" w:hAnsi="Arial" w:cs="Arial"/>
          <w:lang w:eastAsia="en-GB"/>
        </w:rPr>
        <w:t>study presents</w:t>
      </w:r>
      <w:r w:rsidRPr="003D3E8C">
        <w:rPr>
          <w:rFonts w:ascii="Arial" w:eastAsia="Times New Roman" w:hAnsi="Arial" w:cs="Arial"/>
          <w:lang w:eastAsia="en-GB"/>
        </w:rPr>
        <w:t xml:space="preserve"> a dose-response relationship</w:t>
      </w:r>
      <w:r>
        <w:rPr>
          <w:rFonts w:ascii="Arial" w:eastAsia="Times New Roman" w:hAnsi="Arial" w:cs="Arial"/>
          <w:lang w:eastAsia="en-GB"/>
        </w:rPr>
        <w:t>, s</w:t>
      </w:r>
      <w:r w:rsidRPr="00DC0CAF">
        <w:rPr>
          <w:rFonts w:ascii="Arial" w:eastAsia="Times New Roman" w:hAnsi="Arial" w:cs="Arial"/>
          <w:lang w:eastAsia="en-GB"/>
        </w:rPr>
        <w:t>tudy report</w:t>
      </w:r>
      <w:r>
        <w:rPr>
          <w:rFonts w:ascii="Arial" w:eastAsia="Times New Roman" w:hAnsi="Arial" w:cs="Arial"/>
          <w:lang w:eastAsia="en-GB"/>
        </w:rPr>
        <w:t>ed</w:t>
      </w:r>
      <w:r w:rsidRPr="00DC0CAF">
        <w:rPr>
          <w:rFonts w:ascii="Arial" w:eastAsia="Times New Roman" w:hAnsi="Arial" w:cs="Arial"/>
          <w:lang w:eastAsia="en-GB"/>
        </w:rPr>
        <w:t xml:space="preserve"> outcome </w:t>
      </w:r>
      <w:r w:rsidRPr="00C83848">
        <w:rPr>
          <w:rFonts w:ascii="Arial" w:eastAsia="Times New Roman" w:hAnsi="Arial" w:cs="Arial"/>
          <w:lang w:eastAsia="en-GB"/>
        </w:rPr>
        <w:t>data on alcohol consumption and/or alcohol-related harm</w:t>
      </w:r>
      <w:r>
        <w:rPr>
          <w:rFonts w:ascii="Arial" w:eastAsia="Times New Roman" w:hAnsi="Arial" w:cs="Arial"/>
          <w:lang w:eastAsia="en-GB"/>
        </w:rPr>
        <w:t>,</w:t>
      </w:r>
      <w:r w:rsidRPr="00C83848">
        <w:rPr>
          <w:rFonts w:ascii="Arial" w:eastAsia="Times New Roman" w:hAnsi="Arial" w:cs="Arial"/>
          <w:lang w:eastAsia="en-GB"/>
        </w:rPr>
        <w:t xml:space="preserve"> </w:t>
      </w:r>
      <w:r>
        <w:rPr>
          <w:rFonts w:ascii="Arial" w:eastAsia="Times New Roman" w:hAnsi="Arial" w:cs="Arial"/>
          <w:lang w:eastAsia="en-GB"/>
        </w:rPr>
        <w:t xml:space="preserve">or </w:t>
      </w:r>
      <w:r w:rsidRPr="00C83848">
        <w:rPr>
          <w:rFonts w:ascii="Arial" w:eastAsia="Times New Roman" w:hAnsi="Arial" w:cs="Arial"/>
          <w:lang w:eastAsia="en-GB"/>
        </w:rPr>
        <w:t xml:space="preserve">study predominantly conducted in an OECD country. OECD countries were chosen to have the </w:t>
      </w:r>
      <w:r w:rsidRPr="00C83848">
        <w:rPr>
          <w:rFonts w:ascii="Arial" w:eastAsia="Times New Roman" w:hAnsi="Arial" w:cs="Arial"/>
          <w:lang w:eastAsia="en-GB"/>
        </w:rPr>
        <w:lastRenderedPageBreak/>
        <w:t>same level of income and similar government structure. A review or pooled analysis which included some non-OECD countries was included if the majority of findings were derived from an OECD country. Exclusion criteria were as follows: study used an animal sample</w:t>
      </w:r>
      <w:r>
        <w:rPr>
          <w:rFonts w:ascii="Arial" w:eastAsia="Times New Roman" w:hAnsi="Arial" w:cs="Arial"/>
          <w:lang w:eastAsia="en-GB"/>
        </w:rPr>
        <w:t>,</w:t>
      </w:r>
      <w:r w:rsidRPr="00C83848">
        <w:rPr>
          <w:rFonts w:ascii="Arial" w:eastAsia="Times New Roman" w:hAnsi="Arial" w:cs="Arial"/>
          <w:lang w:eastAsia="en-GB"/>
        </w:rPr>
        <w:t xml:space="preserve"> study was not published in the English language</w:t>
      </w:r>
      <w:r>
        <w:rPr>
          <w:rFonts w:ascii="Arial" w:eastAsia="Times New Roman" w:hAnsi="Arial" w:cs="Arial"/>
          <w:lang w:eastAsia="en-GB"/>
        </w:rPr>
        <w:t>,</w:t>
      </w:r>
      <w:r w:rsidRPr="00C83848">
        <w:rPr>
          <w:rFonts w:ascii="Arial" w:eastAsia="Times New Roman" w:hAnsi="Arial" w:cs="Arial"/>
          <w:lang w:eastAsia="en-GB"/>
        </w:rPr>
        <w:t xml:space="preserve"> </w:t>
      </w:r>
      <w:r>
        <w:rPr>
          <w:rFonts w:ascii="Arial" w:eastAsia="Times New Roman" w:hAnsi="Arial" w:cs="Arial"/>
          <w:lang w:eastAsia="en-GB"/>
        </w:rPr>
        <w:t>or evaluation</w:t>
      </w:r>
      <w:r w:rsidRPr="00C83848">
        <w:rPr>
          <w:rFonts w:ascii="Arial" w:eastAsia="Times New Roman" w:hAnsi="Arial" w:cs="Arial"/>
          <w:lang w:eastAsia="en-GB"/>
        </w:rPr>
        <w:t xml:space="preserve"> was reported to be </w:t>
      </w:r>
      <w:r>
        <w:rPr>
          <w:rFonts w:ascii="Arial" w:eastAsia="Times New Roman" w:hAnsi="Arial" w:cs="Arial"/>
          <w:lang w:eastAsia="en-GB"/>
        </w:rPr>
        <w:t>carried out</w:t>
      </w:r>
      <w:r w:rsidRPr="00C83848">
        <w:rPr>
          <w:rFonts w:ascii="Arial" w:eastAsia="Times New Roman" w:hAnsi="Arial" w:cs="Arial"/>
          <w:lang w:eastAsia="en-GB"/>
        </w:rPr>
        <w:t xml:space="preserve"> </w:t>
      </w:r>
      <w:r>
        <w:rPr>
          <w:rFonts w:ascii="Arial" w:eastAsia="Times New Roman" w:hAnsi="Arial" w:cs="Arial"/>
          <w:lang w:eastAsia="en-GB"/>
        </w:rPr>
        <w:t xml:space="preserve">or directly funded </w:t>
      </w:r>
      <w:r w:rsidRPr="00C83848">
        <w:rPr>
          <w:rFonts w:ascii="Arial" w:eastAsia="Times New Roman" w:hAnsi="Arial" w:cs="Arial"/>
          <w:lang w:eastAsia="en-GB"/>
        </w:rPr>
        <w:t xml:space="preserve">by the alcohol industry. </w:t>
      </w:r>
      <w:r w:rsidRPr="00C83848">
        <w:rPr>
          <w:rFonts w:ascii="Arial" w:hAnsi="Arial" w:cs="Arial"/>
          <w:iCs/>
        </w:rPr>
        <w:t>Several studies have shown that conflicts of interest in health research are associated with biased research findings that favour commercial interests at the expense of public health and patient welfare. The decision to exclude industry funded evidence was based on ensuring the review was completely independent of possible conflicts of interests.</w:t>
      </w:r>
    </w:p>
    <w:p w:rsidR="00CD4F3A" w:rsidRPr="00C83848" w:rsidRDefault="00CD4F3A" w:rsidP="00CD4F3A">
      <w:pPr>
        <w:spacing w:line="480" w:lineRule="auto"/>
        <w:rPr>
          <w:rFonts w:ascii="Arial" w:eastAsia="Times New Roman" w:hAnsi="Arial" w:cs="Arial"/>
          <w:lang w:eastAsia="en-GB"/>
        </w:rPr>
      </w:pPr>
      <w:r>
        <w:rPr>
          <w:rFonts w:ascii="Arial" w:hAnsi="Arial" w:cs="Arial"/>
          <w:iCs/>
        </w:rPr>
        <w:t>The evidence for the effectiveness of treatment for alcohol dependence was entirely derived from the National Institute for Health and Care Excellence (NICE) guidelines.</w:t>
      </w:r>
      <w:r w:rsidR="00CC12BC" w:rsidRPr="00CC12BC">
        <w:rPr>
          <w:rFonts w:ascii="Arial" w:hAnsi="Arial" w:cs="Arial"/>
          <w:szCs w:val="24"/>
          <w:vertAlign w:val="superscript"/>
        </w:rPr>
        <w:t>9</w:t>
      </w:r>
    </w:p>
    <w:p w:rsidR="00CD4F3A" w:rsidRPr="00A876CF" w:rsidRDefault="00CD4F3A" w:rsidP="00CD4F3A">
      <w:pPr>
        <w:spacing w:line="480" w:lineRule="auto"/>
        <w:rPr>
          <w:rFonts w:ascii="Arial" w:eastAsia="Times New Roman" w:hAnsi="Arial" w:cs="Arial"/>
          <w:lang w:eastAsia="en-GB"/>
        </w:rPr>
      </w:pPr>
      <w:r w:rsidRPr="00C83848">
        <w:rPr>
          <w:rFonts w:ascii="Arial" w:eastAsia="Times New Roman" w:hAnsi="Arial" w:cs="Arial"/>
          <w:lang w:eastAsia="en-GB"/>
        </w:rPr>
        <w:t>Following the literature search, all included references were sent</w:t>
      </w:r>
      <w:r w:rsidRPr="00A876CF">
        <w:rPr>
          <w:rFonts w:ascii="Arial" w:eastAsia="Times New Roman" w:hAnsi="Arial" w:cs="Arial"/>
          <w:lang w:eastAsia="en-GB"/>
        </w:rPr>
        <w:t xml:space="preserve"> to nominated members of the advisory group assigned by speciality who </w:t>
      </w:r>
      <w:r w:rsidRPr="00DC0CAF">
        <w:rPr>
          <w:rFonts w:ascii="Arial" w:eastAsia="Times New Roman" w:hAnsi="Arial" w:cs="Arial"/>
          <w:lang w:eastAsia="en-GB"/>
        </w:rPr>
        <w:t>advised on material</w:t>
      </w:r>
      <w:r>
        <w:rPr>
          <w:rFonts w:ascii="Arial" w:eastAsia="Times New Roman" w:hAnsi="Arial" w:cs="Arial"/>
          <w:lang w:eastAsia="en-GB"/>
        </w:rPr>
        <w:t xml:space="preserve"> that may have been overlooked</w:t>
      </w:r>
      <w:r w:rsidRPr="00DC0CAF">
        <w:rPr>
          <w:rFonts w:ascii="Arial" w:eastAsia="Times New Roman" w:hAnsi="Arial" w:cs="Arial"/>
          <w:lang w:eastAsia="en-GB"/>
        </w:rPr>
        <w:t>.</w:t>
      </w:r>
      <w:r>
        <w:rPr>
          <w:rFonts w:ascii="Arial" w:eastAsia="Times New Roman" w:hAnsi="Arial" w:cs="Arial"/>
          <w:lang w:eastAsia="en-GB"/>
        </w:rPr>
        <w:t xml:space="preserve"> </w:t>
      </w:r>
      <w:r w:rsidRPr="00A876CF">
        <w:rPr>
          <w:rFonts w:ascii="Arial" w:eastAsia="Times New Roman" w:hAnsi="Arial" w:cs="Arial"/>
          <w:lang w:eastAsia="en-GB"/>
        </w:rPr>
        <w:t xml:space="preserve">An overview of the screening process can be seen in Figure </w:t>
      </w:r>
      <w:r w:rsidR="00150624">
        <w:rPr>
          <w:rFonts w:ascii="Arial" w:eastAsia="Times New Roman" w:hAnsi="Arial" w:cs="Arial"/>
          <w:lang w:eastAsia="en-GB"/>
        </w:rPr>
        <w:t>2</w:t>
      </w:r>
      <w:r w:rsidRPr="00A876CF">
        <w:rPr>
          <w:rFonts w:ascii="Arial" w:eastAsia="Times New Roman" w:hAnsi="Arial" w:cs="Arial"/>
          <w:lang w:eastAsia="en-GB"/>
        </w:rPr>
        <w:t>.</w:t>
      </w:r>
    </w:p>
    <w:p w:rsidR="00CD4F3A" w:rsidRPr="00D14132" w:rsidRDefault="00CD4F3A" w:rsidP="00CD4F3A">
      <w:pPr>
        <w:spacing w:line="480" w:lineRule="auto"/>
        <w:rPr>
          <w:rFonts w:ascii="Arial" w:eastAsia="Times New Roman" w:hAnsi="Arial" w:cs="Arial"/>
          <w:lang w:eastAsia="en-GB"/>
        </w:rPr>
      </w:pPr>
      <w:r w:rsidRPr="00D14132">
        <w:rPr>
          <w:rFonts w:ascii="Arial" w:eastAsia="Times New Roman" w:hAnsi="Arial" w:cs="Arial"/>
          <w:lang w:eastAsia="en-GB"/>
        </w:rPr>
        <w:t xml:space="preserve">[FIGURE </w:t>
      </w:r>
      <w:r w:rsidR="00150624">
        <w:rPr>
          <w:rFonts w:ascii="Arial" w:eastAsia="Times New Roman" w:hAnsi="Arial" w:cs="Arial"/>
          <w:lang w:eastAsia="en-GB"/>
        </w:rPr>
        <w:t>1</w:t>
      </w:r>
      <w:r w:rsidRPr="00D14132">
        <w:rPr>
          <w:rFonts w:ascii="Arial" w:eastAsia="Times New Roman" w:hAnsi="Arial" w:cs="Arial"/>
          <w:lang w:eastAsia="en-GB"/>
        </w:rPr>
        <w:t xml:space="preserve"> HERE]</w:t>
      </w:r>
    </w:p>
    <w:p w:rsidR="00CD4F3A" w:rsidRPr="00D14132" w:rsidRDefault="00CD4F3A" w:rsidP="00CD4F3A">
      <w:pPr>
        <w:spacing w:line="480" w:lineRule="auto"/>
        <w:rPr>
          <w:rFonts w:ascii="Arial" w:hAnsi="Arial" w:cs="Arial"/>
        </w:rPr>
      </w:pPr>
      <w:r w:rsidRPr="00D14132">
        <w:rPr>
          <w:rFonts w:ascii="Arial" w:hAnsi="Arial" w:cs="Arial"/>
        </w:rPr>
        <w:t xml:space="preserve">[FIGURE </w:t>
      </w:r>
      <w:r w:rsidR="00150624">
        <w:rPr>
          <w:rFonts w:ascii="Arial" w:hAnsi="Arial" w:cs="Arial"/>
        </w:rPr>
        <w:t>2</w:t>
      </w:r>
      <w:r w:rsidRPr="00D14132">
        <w:rPr>
          <w:rFonts w:ascii="Arial" w:hAnsi="Arial" w:cs="Arial"/>
        </w:rPr>
        <w:t xml:space="preserve"> HERE]</w:t>
      </w:r>
    </w:p>
    <w:p w:rsidR="00CD4F3A" w:rsidRPr="00A876CF" w:rsidRDefault="00CD4F3A" w:rsidP="00CD4F3A">
      <w:pPr>
        <w:spacing w:line="480" w:lineRule="auto"/>
        <w:rPr>
          <w:rFonts w:ascii="Arial" w:hAnsi="Arial" w:cs="Arial"/>
          <w:b/>
          <w:i/>
        </w:rPr>
      </w:pPr>
      <w:r w:rsidRPr="00A876CF">
        <w:rPr>
          <w:rFonts w:ascii="Arial" w:hAnsi="Arial" w:cs="Arial"/>
        </w:rPr>
        <w:t>DATA EXTRACTION</w:t>
      </w:r>
    </w:p>
    <w:p w:rsidR="00CD4F3A" w:rsidRPr="00DC0CAF" w:rsidRDefault="00CD4F3A" w:rsidP="00CD4F3A">
      <w:pPr>
        <w:spacing w:line="480" w:lineRule="auto"/>
        <w:rPr>
          <w:rFonts w:ascii="Arial" w:eastAsia="Times New Roman" w:hAnsi="Arial" w:cs="Arial"/>
          <w:lang w:eastAsia="en-GB"/>
        </w:rPr>
      </w:pPr>
      <w:r w:rsidRPr="00DC0CAF">
        <w:rPr>
          <w:rFonts w:ascii="Arial" w:eastAsia="Times New Roman" w:hAnsi="Arial" w:cs="Arial"/>
          <w:lang w:eastAsia="en-GB"/>
        </w:rPr>
        <w:t xml:space="preserve">Data were extracted from included studies using a standardised template (Table </w:t>
      </w:r>
      <w:r>
        <w:rPr>
          <w:rFonts w:ascii="Arial" w:eastAsia="Times New Roman" w:hAnsi="Arial" w:cs="Arial"/>
          <w:lang w:eastAsia="en-GB"/>
        </w:rPr>
        <w:t>2</w:t>
      </w:r>
      <w:r w:rsidRPr="00DC0CAF">
        <w:rPr>
          <w:rFonts w:ascii="Arial" w:eastAsia="Times New Roman" w:hAnsi="Arial" w:cs="Arial"/>
          <w:lang w:eastAsia="en-GB"/>
        </w:rPr>
        <w:t xml:space="preserve">). Data extraction was </w:t>
      </w:r>
      <w:r>
        <w:rPr>
          <w:rFonts w:ascii="Arial" w:eastAsia="Times New Roman" w:hAnsi="Arial" w:cs="Arial"/>
          <w:lang w:eastAsia="en-GB"/>
        </w:rPr>
        <w:t xml:space="preserve">split between five researchers </w:t>
      </w:r>
      <w:r w:rsidRPr="00DC0CAF">
        <w:rPr>
          <w:rFonts w:ascii="Arial" w:eastAsia="Times New Roman" w:hAnsi="Arial" w:cs="Arial"/>
          <w:lang w:eastAsia="en-GB"/>
        </w:rPr>
        <w:t>and a random sample was checked for accuracy by a second</w:t>
      </w:r>
      <w:r>
        <w:rPr>
          <w:rFonts w:ascii="Arial" w:eastAsia="Times New Roman" w:hAnsi="Arial" w:cs="Arial"/>
          <w:lang w:eastAsia="en-GB"/>
        </w:rPr>
        <w:t xml:space="preserve"> (RB, CB, HW, VM, RW)</w:t>
      </w:r>
      <w:r w:rsidRPr="00DC0CAF">
        <w:rPr>
          <w:rFonts w:ascii="Arial" w:eastAsia="Times New Roman" w:hAnsi="Arial" w:cs="Arial"/>
          <w:lang w:eastAsia="en-GB"/>
        </w:rPr>
        <w:t xml:space="preserve">. Completed templates, alongside original research articles, were used by five reviewers </w:t>
      </w:r>
      <w:r>
        <w:rPr>
          <w:rFonts w:ascii="Arial" w:eastAsia="Times New Roman" w:hAnsi="Arial" w:cs="Arial"/>
          <w:lang w:eastAsia="en-GB"/>
        </w:rPr>
        <w:t xml:space="preserve">(RB, CB, HW, BE, KR) </w:t>
      </w:r>
      <w:r w:rsidRPr="00DC0CAF">
        <w:rPr>
          <w:rFonts w:ascii="Arial" w:eastAsia="Times New Roman" w:hAnsi="Arial" w:cs="Arial"/>
          <w:lang w:eastAsia="en-GB"/>
        </w:rPr>
        <w:t>to assign quality ratings using the Grading of Recommendations Assessment, Development and Evaluation (GRADE)</w:t>
      </w:r>
      <w:r>
        <w:rPr>
          <w:rFonts w:ascii="Arial" w:eastAsia="Times New Roman" w:hAnsi="Arial" w:cs="Arial"/>
          <w:lang w:eastAsia="en-GB"/>
        </w:rPr>
        <w:t>.</w:t>
      </w:r>
      <w:r w:rsidR="00CC12BC" w:rsidRPr="00CC12BC">
        <w:rPr>
          <w:rFonts w:ascii="Arial" w:hAnsi="Arial" w:cs="Arial"/>
          <w:szCs w:val="24"/>
          <w:vertAlign w:val="superscript"/>
        </w:rPr>
        <w:t>10</w:t>
      </w:r>
      <w:proofErr w:type="gramStart"/>
      <w:r w:rsidR="00CC12BC" w:rsidRPr="00CC12BC">
        <w:rPr>
          <w:rFonts w:ascii="Arial" w:hAnsi="Arial" w:cs="Arial"/>
          <w:szCs w:val="24"/>
          <w:vertAlign w:val="superscript"/>
        </w:rPr>
        <w:t>,11</w:t>
      </w:r>
      <w:proofErr w:type="gramEnd"/>
    </w:p>
    <w:p w:rsidR="00CD4F3A" w:rsidRPr="00AF1D14" w:rsidRDefault="00CD4F3A" w:rsidP="00CD4F3A">
      <w:pPr>
        <w:spacing w:line="480" w:lineRule="auto"/>
        <w:rPr>
          <w:rFonts w:ascii="Arial" w:eastAsia="Times New Roman" w:hAnsi="Arial" w:cs="Arial"/>
          <w:lang w:eastAsia="en-GB"/>
        </w:rPr>
      </w:pPr>
      <w:r w:rsidRPr="00AF1D14">
        <w:rPr>
          <w:rFonts w:ascii="Arial" w:eastAsia="Times New Roman" w:hAnsi="Arial" w:cs="Arial"/>
          <w:lang w:eastAsia="en-GB"/>
        </w:rPr>
        <w:t>[TABLE 2]</w:t>
      </w:r>
    </w:p>
    <w:p w:rsidR="00CD4F3A" w:rsidRPr="00DC0CAF" w:rsidRDefault="00CD4F3A" w:rsidP="00CD4F3A">
      <w:pPr>
        <w:spacing w:line="480" w:lineRule="auto"/>
        <w:rPr>
          <w:rFonts w:ascii="Arial" w:hAnsi="Arial" w:cs="Arial"/>
          <w:b/>
          <w:i/>
        </w:rPr>
      </w:pPr>
      <w:r w:rsidRPr="00DC0CAF">
        <w:rPr>
          <w:rFonts w:ascii="Arial" w:hAnsi="Arial" w:cs="Arial"/>
        </w:rPr>
        <w:lastRenderedPageBreak/>
        <w:t>STUDY QUALITY RATING</w:t>
      </w:r>
    </w:p>
    <w:p w:rsidR="00CD4F3A" w:rsidRDefault="00CD4F3A" w:rsidP="00CD4F3A">
      <w:pPr>
        <w:pStyle w:val="PHEBodycopy"/>
        <w:spacing w:line="480" w:lineRule="auto"/>
        <w:rPr>
          <w:rFonts w:cs="Arial"/>
          <w:sz w:val="22"/>
          <w:szCs w:val="22"/>
        </w:rPr>
      </w:pPr>
      <w:r w:rsidRPr="00DC0CAF">
        <w:rPr>
          <w:rFonts w:cs="Arial"/>
          <w:sz w:val="22"/>
          <w:szCs w:val="22"/>
        </w:rPr>
        <w:t>The study used the</w:t>
      </w:r>
      <w:r>
        <w:rPr>
          <w:rFonts w:cs="Arial"/>
          <w:sz w:val="22"/>
          <w:szCs w:val="22"/>
        </w:rPr>
        <w:t xml:space="preserve"> </w:t>
      </w:r>
      <w:r w:rsidRPr="00DC0CAF">
        <w:rPr>
          <w:rFonts w:cs="Arial"/>
          <w:sz w:val="22"/>
          <w:szCs w:val="22"/>
        </w:rPr>
        <w:t xml:space="preserve">GRADE method to rate the quality of the evidence identified by the search procedure (Table </w:t>
      </w:r>
      <w:r>
        <w:rPr>
          <w:rFonts w:cs="Arial"/>
          <w:sz w:val="22"/>
          <w:szCs w:val="22"/>
        </w:rPr>
        <w:t>3</w:t>
      </w:r>
      <w:r w:rsidRPr="00DC0CAF">
        <w:rPr>
          <w:rFonts w:cs="Arial"/>
          <w:sz w:val="22"/>
          <w:szCs w:val="22"/>
        </w:rPr>
        <w:t>)</w:t>
      </w:r>
      <w:r>
        <w:rPr>
          <w:rFonts w:cs="Arial"/>
          <w:sz w:val="22"/>
          <w:szCs w:val="22"/>
        </w:rPr>
        <w:t>.</w:t>
      </w:r>
      <w:r w:rsidR="00CC12BC" w:rsidRPr="00CC12BC">
        <w:rPr>
          <w:rFonts w:cs="Arial"/>
          <w:sz w:val="22"/>
          <w:szCs w:val="24"/>
          <w:vertAlign w:val="superscript"/>
        </w:rPr>
        <w:t>11</w:t>
      </w:r>
      <w:r w:rsidRPr="00DC0CAF">
        <w:rPr>
          <w:rFonts w:cs="Arial"/>
          <w:sz w:val="22"/>
          <w:szCs w:val="22"/>
        </w:rPr>
        <w:t xml:space="preserve"> </w:t>
      </w:r>
      <w:r w:rsidRPr="00DC0CAF">
        <w:rPr>
          <w:rFonts w:cs="Arial"/>
          <w:sz w:val="22"/>
          <w:szCs w:val="22"/>
          <w:shd w:val="clear" w:color="auto" w:fill="FFFFFF"/>
        </w:rPr>
        <w:t>Evidence based on randomised controlled trials (RCTs) begins as high quality evidence, but the confidence in the evidence may be decreased for several reasons</w:t>
      </w:r>
      <w:r>
        <w:rPr>
          <w:rFonts w:cs="Arial"/>
          <w:sz w:val="22"/>
          <w:szCs w:val="22"/>
          <w:shd w:val="clear" w:color="auto" w:fill="FFFFFF"/>
        </w:rPr>
        <w:t>,</w:t>
      </w:r>
      <w:r w:rsidRPr="00DC0CAF">
        <w:rPr>
          <w:rFonts w:cs="Arial"/>
          <w:sz w:val="22"/>
          <w:szCs w:val="22"/>
          <w:shd w:val="clear" w:color="auto" w:fill="FFFFFF"/>
        </w:rPr>
        <w:t xml:space="preserve"> such as study limitations or reporting bias. </w:t>
      </w:r>
      <w:r w:rsidRPr="00DC0CAF">
        <w:rPr>
          <w:rFonts w:cs="Arial"/>
          <w:sz w:val="22"/>
          <w:szCs w:val="22"/>
        </w:rPr>
        <w:t xml:space="preserve">Conversely the low rating of a cohort or case-control study might be upwardly </w:t>
      </w:r>
      <w:r>
        <w:rPr>
          <w:rFonts w:cs="Arial"/>
          <w:sz w:val="22"/>
          <w:szCs w:val="22"/>
        </w:rPr>
        <w:t xml:space="preserve">revised if the study is of high </w:t>
      </w:r>
      <w:r w:rsidRPr="00DC0CAF">
        <w:rPr>
          <w:rFonts w:cs="Arial"/>
          <w:sz w:val="22"/>
          <w:szCs w:val="22"/>
        </w:rPr>
        <w:t>quality with adequate control of confounders or evidence for a dose-response relationship.</w:t>
      </w:r>
    </w:p>
    <w:p w:rsidR="00CD4F3A" w:rsidRPr="00B12ADB" w:rsidRDefault="00CD4F3A" w:rsidP="00CD4F3A">
      <w:pPr>
        <w:pStyle w:val="PHEBodycopy"/>
        <w:spacing w:line="480" w:lineRule="auto"/>
        <w:rPr>
          <w:rFonts w:cs="Arial"/>
          <w:sz w:val="22"/>
          <w:szCs w:val="22"/>
        </w:rPr>
      </w:pPr>
      <w:r w:rsidRPr="00B12ADB">
        <w:rPr>
          <w:rFonts w:cs="Arial"/>
          <w:sz w:val="22"/>
          <w:szCs w:val="22"/>
        </w:rPr>
        <w:t>[TABLE 3 HERE]</w:t>
      </w:r>
    </w:p>
    <w:p w:rsidR="00CD4F3A" w:rsidRDefault="00CD4F3A" w:rsidP="00CD4F3A">
      <w:pPr>
        <w:pStyle w:val="PHEBodycopy"/>
        <w:spacing w:line="480" w:lineRule="auto"/>
        <w:rPr>
          <w:rFonts w:cs="Arial"/>
          <w:sz w:val="22"/>
          <w:szCs w:val="22"/>
        </w:rPr>
      </w:pPr>
      <w:r w:rsidRPr="00DC0CAF">
        <w:rPr>
          <w:rFonts w:cs="Arial"/>
          <w:sz w:val="22"/>
          <w:szCs w:val="22"/>
        </w:rPr>
        <w:t xml:space="preserve">Most alcohol policies cannot be directly manipulated and subjected to experimental methods such as an RCT. Their evaluation has to rely on other research methods, namely natural experiments. Where natural experiments </w:t>
      </w:r>
      <w:r>
        <w:rPr>
          <w:rFonts w:cs="Arial"/>
          <w:sz w:val="22"/>
          <w:szCs w:val="22"/>
        </w:rPr>
        <w:t>cannot</w:t>
      </w:r>
      <w:r w:rsidRPr="00DC0CAF">
        <w:rPr>
          <w:rFonts w:cs="Arial"/>
          <w:sz w:val="22"/>
          <w:szCs w:val="22"/>
        </w:rPr>
        <w:t xml:space="preserve"> be done, or when predicting long-term outcomes, modelling studies are used. On these occasions, natural experiments were considered the highest level of evidence followed by modelling studies (Figure </w:t>
      </w:r>
      <w:r w:rsidR="001E7106">
        <w:rPr>
          <w:rFonts w:cs="Arial"/>
          <w:sz w:val="22"/>
          <w:szCs w:val="22"/>
        </w:rPr>
        <w:t>1</w:t>
      </w:r>
      <w:r w:rsidRPr="00DC0CAF">
        <w:rPr>
          <w:rFonts w:cs="Arial"/>
          <w:sz w:val="22"/>
          <w:szCs w:val="22"/>
        </w:rPr>
        <w:t>). For reviews, the rating reflected the quality of the constituent primary studies.</w:t>
      </w:r>
    </w:p>
    <w:p w:rsidR="00CD4F3A" w:rsidRDefault="00CD4F3A" w:rsidP="00CD4F3A">
      <w:pPr>
        <w:pStyle w:val="PHEBodycopy"/>
        <w:spacing w:line="480" w:lineRule="auto"/>
        <w:rPr>
          <w:rFonts w:cs="Arial"/>
          <w:sz w:val="22"/>
          <w:szCs w:val="22"/>
        </w:rPr>
      </w:pPr>
      <w:r w:rsidRPr="00DC0CAF">
        <w:rPr>
          <w:rFonts w:cs="Arial"/>
          <w:sz w:val="22"/>
          <w:szCs w:val="22"/>
        </w:rPr>
        <w:t xml:space="preserve">Each study was independently rated according to GRADE by two </w:t>
      </w:r>
      <w:r w:rsidRPr="007D35EB">
        <w:rPr>
          <w:rFonts w:cs="Arial"/>
          <w:sz w:val="22"/>
          <w:szCs w:val="22"/>
        </w:rPr>
        <w:t>researchers (RB, CB, HW, BE</w:t>
      </w:r>
      <w:r w:rsidRPr="00C83848">
        <w:rPr>
          <w:rFonts w:cs="Arial"/>
          <w:sz w:val="22"/>
          <w:szCs w:val="22"/>
        </w:rPr>
        <w:t>, KR). Discordant ratings were defined as a one point difference, (</w:t>
      </w:r>
      <w:r>
        <w:rPr>
          <w:rFonts w:cs="Arial"/>
          <w:sz w:val="22"/>
          <w:szCs w:val="22"/>
        </w:rPr>
        <w:t>f</w:t>
      </w:r>
      <w:r w:rsidRPr="00C83848">
        <w:rPr>
          <w:rFonts w:cs="Arial"/>
          <w:sz w:val="22"/>
          <w:szCs w:val="22"/>
        </w:rPr>
        <w:t>or example, one study is rated ‘very low’ by </w:t>
      </w:r>
      <w:proofErr w:type="spellStart"/>
      <w:r w:rsidRPr="00C83848">
        <w:rPr>
          <w:rFonts w:cs="Arial"/>
          <w:sz w:val="22"/>
          <w:szCs w:val="22"/>
        </w:rPr>
        <w:t>rater</w:t>
      </w:r>
      <w:proofErr w:type="spellEnd"/>
      <w:r w:rsidRPr="00C83848">
        <w:rPr>
          <w:rFonts w:cs="Arial"/>
          <w:sz w:val="22"/>
          <w:szCs w:val="22"/>
        </w:rPr>
        <w:t xml:space="preserve"> A and ‘low’ by </w:t>
      </w:r>
      <w:proofErr w:type="spellStart"/>
      <w:r w:rsidRPr="00C83848">
        <w:rPr>
          <w:rFonts w:cs="Arial"/>
          <w:sz w:val="22"/>
          <w:szCs w:val="22"/>
        </w:rPr>
        <w:t>rater</w:t>
      </w:r>
      <w:proofErr w:type="spellEnd"/>
      <w:r w:rsidRPr="00C83848">
        <w:rPr>
          <w:rFonts w:cs="Arial"/>
          <w:sz w:val="22"/>
          <w:szCs w:val="22"/>
        </w:rPr>
        <w:t xml:space="preserve"> B</w:t>
      </w:r>
      <w:r>
        <w:rPr>
          <w:rFonts w:cs="Arial"/>
          <w:sz w:val="22"/>
          <w:szCs w:val="22"/>
        </w:rPr>
        <w:t>)</w:t>
      </w:r>
      <w:r w:rsidRPr="00C83848">
        <w:rPr>
          <w:rFonts w:cs="Arial"/>
          <w:sz w:val="22"/>
          <w:szCs w:val="22"/>
        </w:rPr>
        <w:t xml:space="preserve"> and were resolved by local discussion resolution regarding the methodological rigour of the</w:t>
      </w:r>
      <w:r>
        <w:rPr>
          <w:rFonts w:cs="Arial"/>
          <w:sz w:val="22"/>
          <w:szCs w:val="22"/>
        </w:rPr>
        <w:t xml:space="preserve"> studies</w:t>
      </w:r>
      <w:r w:rsidRPr="00DC0CAF">
        <w:rPr>
          <w:rFonts w:cs="Arial"/>
          <w:sz w:val="22"/>
          <w:szCs w:val="22"/>
        </w:rPr>
        <w:t>.</w:t>
      </w:r>
      <w:r>
        <w:rPr>
          <w:rFonts w:cs="Arial"/>
          <w:sz w:val="22"/>
          <w:szCs w:val="22"/>
        </w:rPr>
        <w:t xml:space="preserve"> </w:t>
      </w:r>
      <w:r w:rsidRPr="00DC0CAF">
        <w:rPr>
          <w:rFonts w:cs="Arial"/>
          <w:sz w:val="22"/>
          <w:szCs w:val="22"/>
        </w:rPr>
        <w:t>GRADE ratings were considered alongside wider evidence and contextual factors</w:t>
      </w:r>
      <w:r>
        <w:rPr>
          <w:rFonts w:cs="Arial"/>
          <w:sz w:val="22"/>
          <w:szCs w:val="22"/>
        </w:rPr>
        <w:t xml:space="preserve"> </w:t>
      </w:r>
      <w:r w:rsidRPr="00DC0CAF">
        <w:rPr>
          <w:rFonts w:cs="Arial"/>
          <w:sz w:val="22"/>
          <w:szCs w:val="22"/>
        </w:rPr>
        <w:t xml:space="preserve">to arrive at a consensus </w:t>
      </w:r>
      <w:r>
        <w:rPr>
          <w:rFonts w:cs="Arial"/>
          <w:sz w:val="22"/>
          <w:szCs w:val="22"/>
        </w:rPr>
        <w:t xml:space="preserve">summary </w:t>
      </w:r>
      <w:r w:rsidRPr="00DC0CAF">
        <w:rPr>
          <w:rFonts w:cs="Arial"/>
          <w:sz w:val="22"/>
          <w:szCs w:val="22"/>
        </w:rPr>
        <w:t>statement for each policy</w:t>
      </w:r>
      <w:r>
        <w:rPr>
          <w:rFonts w:cs="Arial"/>
          <w:sz w:val="22"/>
          <w:szCs w:val="22"/>
        </w:rPr>
        <w:t xml:space="preserve"> (AB, BF, RB, CH, DL, JM, KS and NS). These factors included:</w:t>
      </w:r>
    </w:p>
    <w:p w:rsidR="00CD4F3A" w:rsidRDefault="00CD4F3A" w:rsidP="00CD4F3A">
      <w:pPr>
        <w:pStyle w:val="PHEBodycopy"/>
        <w:numPr>
          <w:ilvl w:val="0"/>
          <w:numId w:val="1"/>
        </w:numPr>
        <w:spacing w:line="480" w:lineRule="auto"/>
        <w:rPr>
          <w:rFonts w:cs="Arial"/>
          <w:sz w:val="22"/>
          <w:szCs w:val="22"/>
        </w:rPr>
      </w:pPr>
      <w:r>
        <w:rPr>
          <w:rFonts w:cs="Arial"/>
          <w:sz w:val="22"/>
          <w:szCs w:val="22"/>
        </w:rPr>
        <w:t>n</w:t>
      </w:r>
      <w:r w:rsidRPr="00CC0B8A">
        <w:rPr>
          <w:rFonts w:cs="Arial"/>
          <w:sz w:val="22"/>
          <w:szCs w:val="22"/>
        </w:rPr>
        <w:t>ature of evidence</w:t>
      </w:r>
      <w:r>
        <w:rPr>
          <w:rFonts w:cs="Arial"/>
          <w:sz w:val="22"/>
          <w:szCs w:val="22"/>
        </w:rPr>
        <w:t xml:space="preserve">: </w:t>
      </w:r>
      <w:r w:rsidRPr="00CC0B8A">
        <w:rPr>
          <w:rFonts w:cs="Arial"/>
          <w:sz w:val="22"/>
          <w:szCs w:val="22"/>
        </w:rPr>
        <w:t>research designs used by the retrieved literature</w:t>
      </w:r>
      <w:r>
        <w:rPr>
          <w:rFonts w:cs="Arial"/>
          <w:sz w:val="22"/>
          <w:szCs w:val="22"/>
        </w:rPr>
        <w:t>;</w:t>
      </w:r>
    </w:p>
    <w:p w:rsidR="00CD4F3A" w:rsidRDefault="00CD4F3A" w:rsidP="00CD4F3A">
      <w:pPr>
        <w:pStyle w:val="PHEBodycopy"/>
        <w:numPr>
          <w:ilvl w:val="0"/>
          <w:numId w:val="1"/>
        </w:numPr>
        <w:spacing w:line="480" w:lineRule="auto"/>
        <w:rPr>
          <w:rFonts w:cs="Arial"/>
          <w:sz w:val="22"/>
          <w:szCs w:val="22"/>
        </w:rPr>
      </w:pPr>
      <w:r>
        <w:rPr>
          <w:rFonts w:cs="Arial"/>
          <w:sz w:val="22"/>
          <w:szCs w:val="22"/>
        </w:rPr>
        <w:t>GRADE rating: very low quality, low quality, moderate quality, high quality;</w:t>
      </w:r>
    </w:p>
    <w:p w:rsidR="00CD4F3A" w:rsidRPr="00DC0CAF" w:rsidRDefault="00CD4F3A" w:rsidP="00CD4F3A">
      <w:pPr>
        <w:pStyle w:val="PHEBodycopy"/>
        <w:numPr>
          <w:ilvl w:val="0"/>
          <w:numId w:val="1"/>
        </w:numPr>
        <w:spacing w:line="480" w:lineRule="auto"/>
        <w:rPr>
          <w:rFonts w:cs="Arial"/>
          <w:sz w:val="22"/>
          <w:szCs w:val="22"/>
        </w:rPr>
      </w:pPr>
      <w:r>
        <w:rPr>
          <w:rFonts w:cs="Arial"/>
          <w:sz w:val="22"/>
          <w:szCs w:val="22"/>
        </w:rPr>
        <w:t>l</w:t>
      </w:r>
      <w:r w:rsidRPr="00DC0CAF">
        <w:rPr>
          <w:rFonts w:cs="Arial"/>
          <w:sz w:val="22"/>
          <w:szCs w:val="22"/>
        </w:rPr>
        <w:t>imitations</w:t>
      </w:r>
      <w:r>
        <w:rPr>
          <w:rFonts w:cs="Arial"/>
          <w:sz w:val="22"/>
          <w:szCs w:val="22"/>
        </w:rPr>
        <w:t>: notable limitations above and beyond those reflected in GRADE;</w:t>
      </w:r>
    </w:p>
    <w:p w:rsidR="00CD4F3A" w:rsidRPr="00DC0CAF" w:rsidRDefault="00CD4F3A" w:rsidP="00CD4F3A">
      <w:pPr>
        <w:pStyle w:val="PHEBodycopy"/>
        <w:numPr>
          <w:ilvl w:val="0"/>
          <w:numId w:val="1"/>
        </w:numPr>
        <w:spacing w:line="480" w:lineRule="auto"/>
        <w:rPr>
          <w:rFonts w:cs="Arial"/>
          <w:sz w:val="22"/>
          <w:szCs w:val="22"/>
        </w:rPr>
      </w:pPr>
      <w:r w:rsidRPr="00DC0CAF">
        <w:rPr>
          <w:rFonts w:cs="Arial"/>
          <w:sz w:val="22"/>
          <w:szCs w:val="22"/>
        </w:rPr>
        <w:lastRenderedPageBreak/>
        <w:t>effect</w:t>
      </w:r>
      <w:r>
        <w:rPr>
          <w:rFonts w:cs="Arial"/>
          <w:sz w:val="22"/>
          <w:szCs w:val="22"/>
        </w:rPr>
        <w:t>: impact of the intervention on outcome measures stated in the primary research;</w:t>
      </w:r>
    </w:p>
    <w:p w:rsidR="00CD4F3A" w:rsidRPr="00DC0CAF" w:rsidRDefault="00CD4F3A" w:rsidP="00CD4F3A">
      <w:pPr>
        <w:pStyle w:val="PHEBodycopy"/>
        <w:numPr>
          <w:ilvl w:val="0"/>
          <w:numId w:val="1"/>
        </w:numPr>
        <w:spacing w:line="480" w:lineRule="auto"/>
        <w:rPr>
          <w:rFonts w:cs="Arial"/>
          <w:sz w:val="22"/>
          <w:szCs w:val="22"/>
        </w:rPr>
      </w:pPr>
      <w:r>
        <w:rPr>
          <w:rFonts w:cs="Arial"/>
          <w:sz w:val="22"/>
          <w:szCs w:val="22"/>
        </w:rPr>
        <w:t>coverage: likely reach of an intervention such as a population, product or place;</w:t>
      </w:r>
    </w:p>
    <w:p w:rsidR="00CD4F3A" w:rsidRDefault="00CD4F3A" w:rsidP="00CD4F3A">
      <w:pPr>
        <w:pStyle w:val="PHEBodycopy"/>
        <w:numPr>
          <w:ilvl w:val="0"/>
          <w:numId w:val="1"/>
        </w:numPr>
        <w:spacing w:line="480" w:lineRule="auto"/>
        <w:rPr>
          <w:rFonts w:cs="Arial"/>
          <w:sz w:val="22"/>
          <w:szCs w:val="22"/>
        </w:rPr>
      </w:pPr>
      <w:r>
        <w:rPr>
          <w:rFonts w:cs="Arial"/>
          <w:sz w:val="22"/>
          <w:szCs w:val="22"/>
        </w:rPr>
        <w:t>e</w:t>
      </w:r>
      <w:r w:rsidRPr="00CC0B8A">
        <w:rPr>
          <w:rFonts w:cs="Arial"/>
          <w:sz w:val="22"/>
          <w:szCs w:val="22"/>
        </w:rPr>
        <w:t>conomic impact</w:t>
      </w:r>
      <w:r>
        <w:rPr>
          <w:rFonts w:cs="Arial"/>
          <w:sz w:val="22"/>
          <w:szCs w:val="22"/>
        </w:rPr>
        <w:t>:</w:t>
      </w:r>
      <w:r w:rsidRPr="00CC0B8A">
        <w:rPr>
          <w:rFonts w:cs="Arial"/>
          <w:sz w:val="22"/>
          <w:szCs w:val="22"/>
        </w:rPr>
        <w:t xml:space="preserve"> cost-effective, cost-saving, </w:t>
      </w:r>
      <w:r>
        <w:rPr>
          <w:rFonts w:cs="Arial"/>
          <w:sz w:val="22"/>
          <w:szCs w:val="22"/>
        </w:rPr>
        <w:t>not cost-effective</w:t>
      </w:r>
      <w:r w:rsidRPr="00CC0B8A">
        <w:rPr>
          <w:rFonts w:cs="Arial"/>
          <w:sz w:val="22"/>
          <w:szCs w:val="22"/>
        </w:rPr>
        <w:t xml:space="preserve"> or inconsistent</w:t>
      </w:r>
      <w:r>
        <w:rPr>
          <w:rFonts w:cs="Arial"/>
          <w:sz w:val="22"/>
          <w:szCs w:val="22"/>
        </w:rPr>
        <w:t>;</w:t>
      </w:r>
    </w:p>
    <w:p w:rsidR="00CD4F3A" w:rsidRPr="00DC0CAF" w:rsidRDefault="00CD4F3A" w:rsidP="00CD4F3A">
      <w:pPr>
        <w:pStyle w:val="PHEBodycopy"/>
        <w:numPr>
          <w:ilvl w:val="0"/>
          <w:numId w:val="1"/>
        </w:numPr>
        <w:spacing w:line="480" w:lineRule="auto"/>
        <w:rPr>
          <w:rFonts w:cs="Arial"/>
          <w:sz w:val="22"/>
          <w:szCs w:val="22"/>
        </w:rPr>
      </w:pPr>
      <w:r>
        <w:rPr>
          <w:rFonts w:cs="Arial"/>
          <w:sz w:val="22"/>
          <w:szCs w:val="22"/>
        </w:rPr>
        <w:t>implementation: any known or assumed barriers to implementation; and</w:t>
      </w:r>
    </w:p>
    <w:p w:rsidR="00CD4F3A" w:rsidRDefault="00CD4F3A" w:rsidP="00CD4F3A">
      <w:pPr>
        <w:pStyle w:val="PHEBodycopy"/>
        <w:numPr>
          <w:ilvl w:val="0"/>
          <w:numId w:val="1"/>
        </w:numPr>
        <w:spacing w:line="480" w:lineRule="auto"/>
        <w:rPr>
          <w:rFonts w:cs="Arial"/>
          <w:sz w:val="22"/>
          <w:szCs w:val="22"/>
        </w:rPr>
      </w:pPr>
      <w:r w:rsidRPr="00CC0B8A">
        <w:rPr>
          <w:rFonts w:cs="Arial"/>
          <w:sz w:val="22"/>
          <w:szCs w:val="22"/>
        </w:rPr>
        <w:t>inequalities</w:t>
      </w:r>
      <w:r>
        <w:rPr>
          <w:rFonts w:cs="Arial"/>
          <w:sz w:val="22"/>
          <w:szCs w:val="22"/>
        </w:rPr>
        <w:t xml:space="preserve">: </w:t>
      </w:r>
      <w:r w:rsidRPr="00CC0B8A">
        <w:rPr>
          <w:rFonts w:cs="Arial"/>
          <w:sz w:val="22"/>
          <w:szCs w:val="22"/>
        </w:rPr>
        <w:t xml:space="preserve">the impact of an intervention on an inequality group as defined by the </w:t>
      </w:r>
      <w:r w:rsidRPr="008D66A8">
        <w:rPr>
          <w:rFonts w:cs="Arial"/>
          <w:i/>
          <w:sz w:val="22"/>
          <w:szCs w:val="22"/>
        </w:rPr>
        <w:t>Equality Act 2010</w:t>
      </w:r>
    </w:p>
    <w:p w:rsidR="00CD4F3A" w:rsidRPr="00CC0B8A" w:rsidRDefault="00CD4F3A" w:rsidP="00CD4F3A">
      <w:pPr>
        <w:pStyle w:val="PHEBodycopy"/>
        <w:spacing w:line="480" w:lineRule="auto"/>
        <w:rPr>
          <w:rFonts w:cs="Arial"/>
          <w:sz w:val="22"/>
          <w:szCs w:val="22"/>
        </w:rPr>
      </w:pPr>
      <w:r>
        <w:rPr>
          <w:rFonts w:cs="Arial"/>
          <w:sz w:val="22"/>
          <w:szCs w:val="22"/>
        </w:rPr>
        <w:t>The GRADE rating, limitations, coverage and economic impact are all derived from the evidence included in the nature of evidence. Implementation issues and the impact on inequalities are derived from a combination of the nature of evidence but also from pragmatic judgements. For example, taxation is a government budgetary measure (implementation) and mass media campaigns can be designed to target and appeal to specific socioeconomic groups (inequalities).</w:t>
      </w:r>
    </w:p>
    <w:p w:rsidR="00CD4F3A" w:rsidRPr="006F2B57" w:rsidRDefault="00CD4F3A" w:rsidP="00CD4F3A">
      <w:pPr>
        <w:spacing w:line="480" w:lineRule="auto"/>
        <w:rPr>
          <w:rFonts w:ascii="Arial" w:eastAsia="Times New Roman" w:hAnsi="Arial" w:cs="Arial"/>
          <w:lang w:eastAsia="en-GB"/>
        </w:rPr>
      </w:pPr>
      <w:r>
        <w:rPr>
          <w:rFonts w:ascii="Arial" w:hAnsi="Arial" w:cs="Arial"/>
        </w:rPr>
        <w:t>STRENGTHS AND LIMITATIONS</w:t>
      </w:r>
    </w:p>
    <w:p w:rsidR="00047C0B" w:rsidRDefault="00CD4F3A" w:rsidP="00CD4F3A">
      <w:pPr>
        <w:spacing w:line="480" w:lineRule="auto"/>
        <w:rPr>
          <w:rFonts w:ascii="Arial" w:hAnsi="Arial" w:cs="Arial"/>
        </w:rPr>
      </w:pPr>
      <w:r w:rsidRPr="00316F7F">
        <w:rPr>
          <w:rFonts w:ascii="Arial" w:hAnsi="Arial" w:cs="Arial"/>
        </w:rPr>
        <w:t xml:space="preserve">Strengths of </w:t>
      </w:r>
      <w:r>
        <w:rPr>
          <w:rFonts w:ascii="Arial" w:hAnsi="Arial" w:cs="Arial"/>
        </w:rPr>
        <w:t>this</w:t>
      </w:r>
      <w:r w:rsidRPr="00316F7F">
        <w:rPr>
          <w:rFonts w:ascii="Arial" w:hAnsi="Arial" w:cs="Arial"/>
        </w:rPr>
        <w:t xml:space="preserve"> review include the use of a pragmatic approach to reviewing scientific evidence for policy decisions in a Government environment</w:t>
      </w:r>
      <w:r>
        <w:rPr>
          <w:rFonts w:ascii="Arial" w:hAnsi="Arial" w:cs="Arial"/>
        </w:rPr>
        <w:t>,</w:t>
      </w:r>
      <w:r w:rsidRPr="00316F7F">
        <w:rPr>
          <w:rFonts w:ascii="Arial" w:hAnsi="Arial" w:cs="Arial"/>
        </w:rPr>
        <w:t xml:space="preserve"> which has presented conclusions similar to those </w:t>
      </w:r>
      <w:r>
        <w:rPr>
          <w:rFonts w:ascii="Arial" w:hAnsi="Arial" w:cs="Arial"/>
        </w:rPr>
        <w:t>that</w:t>
      </w:r>
      <w:r w:rsidRPr="00316F7F">
        <w:rPr>
          <w:rFonts w:ascii="Arial" w:hAnsi="Arial" w:cs="Arial"/>
        </w:rPr>
        <w:t xml:space="preserve"> have been reported previously</w:t>
      </w:r>
      <w:r>
        <w:rPr>
          <w:rFonts w:ascii="Arial" w:hAnsi="Arial" w:cs="Arial"/>
        </w:rPr>
        <w:t>.</w:t>
      </w:r>
      <w:r w:rsidR="00CC12BC" w:rsidRPr="00CC12BC">
        <w:rPr>
          <w:rFonts w:ascii="Arial" w:hAnsi="Arial" w:cs="Arial"/>
          <w:szCs w:val="24"/>
          <w:vertAlign w:val="superscript"/>
        </w:rPr>
        <w:t>6–8</w:t>
      </w:r>
      <w:proofErr w:type="gramStart"/>
      <w:r w:rsidR="00CC12BC" w:rsidRPr="00CC12BC">
        <w:rPr>
          <w:rFonts w:ascii="Arial" w:hAnsi="Arial" w:cs="Arial"/>
          <w:szCs w:val="24"/>
          <w:vertAlign w:val="superscript"/>
        </w:rPr>
        <w:t>,12,13</w:t>
      </w:r>
      <w:proofErr w:type="gramEnd"/>
      <w:r w:rsidRPr="00316F7F">
        <w:rPr>
          <w:rFonts w:ascii="Arial" w:hAnsi="Arial" w:cs="Arial"/>
        </w:rPr>
        <w:t xml:space="preserve"> The review has also identified and assessed novel policy interventions that, to our knowledge, have not been subject to previous review.</w:t>
      </w:r>
      <w:r>
        <w:rPr>
          <w:rFonts w:ascii="Arial" w:hAnsi="Arial" w:cs="Arial"/>
        </w:rPr>
        <w:t xml:space="preserve"> Limitations include the use of a deliberately constrained search methodology, which prioritised reviews, and the most recent primary research studies</w:t>
      </w:r>
      <w:r w:rsidR="00047C0B" w:rsidRPr="0044092A">
        <w:rPr>
          <w:rFonts w:ascii="Arial" w:hAnsi="Arial" w:cs="Arial"/>
        </w:rPr>
        <w:t xml:space="preserve"> and the focus on medical databases which may have biased the results towards medical outcomes</w:t>
      </w:r>
      <w:r w:rsidRPr="0044092A">
        <w:rPr>
          <w:rFonts w:ascii="Arial" w:hAnsi="Arial" w:cs="Arial"/>
        </w:rPr>
        <w:t xml:space="preserve">. </w:t>
      </w:r>
      <w:r>
        <w:rPr>
          <w:rFonts w:ascii="Arial" w:hAnsi="Arial" w:cs="Arial"/>
        </w:rPr>
        <w:t>This was mitigated by the presence of an expert advisory group.</w:t>
      </w:r>
    </w:p>
    <w:p w:rsidR="00CD4F3A" w:rsidRPr="00316F7F" w:rsidRDefault="00CD4F3A" w:rsidP="00CD4F3A">
      <w:pPr>
        <w:spacing w:line="480" w:lineRule="auto"/>
        <w:rPr>
          <w:rFonts w:ascii="Arial" w:hAnsi="Arial" w:cs="Arial"/>
        </w:rPr>
      </w:pPr>
      <w:r w:rsidRPr="0086343C">
        <w:rPr>
          <w:rFonts w:ascii="Arial" w:hAnsi="Arial" w:cs="Arial"/>
        </w:rPr>
        <w:t xml:space="preserve">The benefits of synthesising such a </w:t>
      </w:r>
      <w:r>
        <w:rPr>
          <w:rFonts w:ascii="Arial" w:hAnsi="Arial" w:cs="Arial"/>
        </w:rPr>
        <w:t xml:space="preserve">variable </w:t>
      </w:r>
      <w:r w:rsidRPr="0086343C">
        <w:rPr>
          <w:rFonts w:ascii="Arial" w:hAnsi="Arial" w:cs="Arial"/>
        </w:rPr>
        <w:t xml:space="preserve">body of </w:t>
      </w:r>
      <w:r>
        <w:rPr>
          <w:rFonts w:ascii="Arial" w:hAnsi="Arial" w:cs="Arial"/>
        </w:rPr>
        <w:t xml:space="preserve">evidence </w:t>
      </w:r>
      <w:r w:rsidRPr="0086343C">
        <w:rPr>
          <w:rFonts w:ascii="Arial" w:hAnsi="Arial" w:cs="Arial"/>
        </w:rPr>
        <w:t>must be weighed against the corresponding loss of detail</w:t>
      </w:r>
      <w:r>
        <w:rPr>
          <w:rFonts w:ascii="Arial" w:hAnsi="Arial" w:cs="Arial"/>
        </w:rPr>
        <w:t>. Further, i</w:t>
      </w:r>
      <w:r w:rsidRPr="0086343C">
        <w:rPr>
          <w:rFonts w:ascii="Arial" w:hAnsi="Arial" w:cs="Arial"/>
        </w:rPr>
        <w:t xml:space="preserve">ncluding </w:t>
      </w:r>
      <w:r>
        <w:rPr>
          <w:rFonts w:ascii="Arial" w:hAnsi="Arial" w:cs="Arial"/>
        </w:rPr>
        <w:t xml:space="preserve">evidence that has been published only within the last ten years </w:t>
      </w:r>
      <w:r w:rsidRPr="0086343C">
        <w:rPr>
          <w:rFonts w:ascii="Arial" w:hAnsi="Arial" w:cs="Arial"/>
        </w:rPr>
        <w:t xml:space="preserve">may exclude </w:t>
      </w:r>
      <w:r>
        <w:rPr>
          <w:rFonts w:ascii="Arial" w:hAnsi="Arial" w:cs="Arial"/>
        </w:rPr>
        <w:t xml:space="preserve">important evidence or </w:t>
      </w:r>
      <w:r w:rsidRPr="0086343C">
        <w:rPr>
          <w:rFonts w:ascii="Arial" w:hAnsi="Arial" w:cs="Arial"/>
        </w:rPr>
        <w:t xml:space="preserve">long-established interventions that </w:t>
      </w:r>
      <w:r w:rsidRPr="0086343C">
        <w:rPr>
          <w:rFonts w:ascii="Arial" w:hAnsi="Arial" w:cs="Arial"/>
        </w:rPr>
        <w:lastRenderedPageBreak/>
        <w:t xml:space="preserve">have not been recently </w:t>
      </w:r>
      <w:r>
        <w:rPr>
          <w:rFonts w:ascii="Arial" w:hAnsi="Arial" w:cs="Arial"/>
        </w:rPr>
        <w:t>studied</w:t>
      </w:r>
      <w:r w:rsidRPr="0086343C">
        <w:rPr>
          <w:rFonts w:ascii="Arial" w:hAnsi="Arial" w:cs="Arial"/>
        </w:rPr>
        <w:t xml:space="preserve">. </w:t>
      </w:r>
      <w:r>
        <w:rPr>
          <w:rFonts w:ascii="Arial" w:hAnsi="Arial" w:cs="Arial"/>
        </w:rPr>
        <w:t xml:space="preserve">It is possible that the selection of policies considered were not exhaustive. Nonetheless, </w:t>
      </w:r>
      <w:r w:rsidRPr="00316F7F">
        <w:rPr>
          <w:rFonts w:ascii="Arial" w:hAnsi="Arial" w:cs="Arial"/>
        </w:rPr>
        <w:t xml:space="preserve">all </w:t>
      </w:r>
      <w:r>
        <w:rPr>
          <w:rFonts w:ascii="Arial" w:hAnsi="Arial" w:cs="Arial"/>
        </w:rPr>
        <w:t xml:space="preserve">evidence identified by the search process was </w:t>
      </w:r>
      <w:r w:rsidRPr="00316F7F">
        <w:rPr>
          <w:rFonts w:ascii="Arial" w:hAnsi="Arial" w:cs="Arial"/>
        </w:rPr>
        <w:t>circulated to an expert advisory group with the purpose that any key omissions relevant to the English policy setting would have been identified.</w:t>
      </w:r>
    </w:p>
    <w:p w:rsidR="00CD4F3A" w:rsidRDefault="00CD4F3A" w:rsidP="00CD4F3A">
      <w:pPr>
        <w:spacing w:line="480" w:lineRule="auto"/>
        <w:rPr>
          <w:rFonts w:ascii="Arial" w:hAnsi="Arial" w:cs="Arial"/>
        </w:rPr>
      </w:pPr>
      <w:r>
        <w:rPr>
          <w:rFonts w:ascii="Arial" w:hAnsi="Arial" w:cs="Arial"/>
        </w:rPr>
        <w:t>This report has been subject to extensive internal and external peer review throughout its genesis comprising leading UK and global experts. T</w:t>
      </w:r>
      <w:r w:rsidRPr="00316F7F">
        <w:rPr>
          <w:rFonts w:ascii="Arial" w:hAnsi="Arial" w:cs="Arial"/>
        </w:rPr>
        <w:t xml:space="preserve">here </w:t>
      </w:r>
      <w:r>
        <w:rPr>
          <w:rFonts w:ascii="Arial" w:hAnsi="Arial" w:cs="Arial"/>
        </w:rPr>
        <w:t xml:space="preserve">is </w:t>
      </w:r>
      <w:r w:rsidRPr="00316F7F">
        <w:rPr>
          <w:rFonts w:ascii="Arial" w:hAnsi="Arial" w:cs="Arial"/>
        </w:rPr>
        <w:t xml:space="preserve">strong agreement in the </w:t>
      </w:r>
      <w:r>
        <w:rPr>
          <w:rFonts w:ascii="Arial" w:hAnsi="Arial" w:cs="Arial"/>
        </w:rPr>
        <w:t xml:space="preserve">outcome of this review with </w:t>
      </w:r>
      <w:r w:rsidRPr="00316F7F">
        <w:rPr>
          <w:rFonts w:ascii="Arial" w:hAnsi="Arial" w:cs="Arial"/>
        </w:rPr>
        <w:t xml:space="preserve">other </w:t>
      </w:r>
      <w:r>
        <w:rPr>
          <w:rFonts w:ascii="Arial" w:hAnsi="Arial" w:cs="Arial"/>
        </w:rPr>
        <w:t xml:space="preserve">expert </w:t>
      </w:r>
      <w:r w:rsidRPr="00316F7F">
        <w:rPr>
          <w:rFonts w:ascii="Arial" w:hAnsi="Arial" w:cs="Arial"/>
        </w:rPr>
        <w:t xml:space="preserve">reviews, particularly when the </w:t>
      </w:r>
      <w:r>
        <w:rPr>
          <w:rFonts w:ascii="Arial" w:hAnsi="Arial" w:cs="Arial"/>
        </w:rPr>
        <w:t xml:space="preserve">quality of </w:t>
      </w:r>
      <w:r w:rsidRPr="00316F7F">
        <w:rPr>
          <w:rFonts w:ascii="Arial" w:hAnsi="Arial" w:cs="Arial"/>
        </w:rPr>
        <w:t xml:space="preserve">evidence was judged to be </w:t>
      </w:r>
      <w:r>
        <w:rPr>
          <w:rFonts w:ascii="Arial" w:hAnsi="Arial" w:cs="Arial"/>
        </w:rPr>
        <w:t>high</w:t>
      </w:r>
      <w:r w:rsidRPr="00316F7F">
        <w:rPr>
          <w:rFonts w:ascii="Arial" w:hAnsi="Arial" w:cs="Arial"/>
        </w:rPr>
        <w:t>.</w:t>
      </w:r>
    </w:p>
    <w:p w:rsidR="00CD4F3A" w:rsidRPr="00C56CD0" w:rsidRDefault="00CD4F3A" w:rsidP="00CD4F3A">
      <w:pPr>
        <w:spacing w:line="480" w:lineRule="auto"/>
        <w:rPr>
          <w:rFonts w:ascii="Arial" w:eastAsia="Times New Roman" w:hAnsi="Arial" w:cs="Arial"/>
          <w:lang w:eastAsia="en-GB"/>
        </w:rPr>
      </w:pPr>
      <w:r w:rsidRPr="00C56CD0">
        <w:rPr>
          <w:rFonts w:ascii="Arial" w:eastAsia="Times New Roman" w:hAnsi="Arial" w:cs="Arial"/>
          <w:lang w:eastAsia="en-GB"/>
        </w:rPr>
        <w:t>ROLE OF THE FUNDING SOURCE</w:t>
      </w:r>
    </w:p>
    <w:p w:rsidR="00CD4F3A" w:rsidRPr="00C56CD0" w:rsidRDefault="00CD4F3A" w:rsidP="00CD4F3A">
      <w:pPr>
        <w:spacing w:line="480" w:lineRule="auto"/>
        <w:rPr>
          <w:rFonts w:ascii="Arial" w:eastAsia="Times New Roman" w:hAnsi="Arial" w:cs="Arial"/>
          <w:lang w:eastAsia="en-GB"/>
        </w:rPr>
      </w:pPr>
      <w:r w:rsidRPr="00C56CD0">
        <w:rPr>
          <w:rFonts w:ascii="Arial" w:eastAsia="Times New Roman" w:hAnsi="Arial" w:cs="Arial"/>
          <w:lang w:eastAsia="en-GB"/>
        </w:rPr>
        <w:t>The work was commissioned by the Department of Health. Resources were provided by PHE. The Department of Health had no role in study design, the synthesis and interpretation, or the writing of this report. The views expressed in this review may not reflect the stated position or policy of the Department of Health.</w:t>
      </w:r>
    </w:p>
    <w:p w:rsidR="00CC12BC" w:rsidRDefault="00CC12BC" w:rsidP="00150624">
      <w:pPr>
        <w:outlineLvl w:val="0"/>
        <w:rPr>
          <w:rFonts w:ascii="Arial" w:hAnsi="Arial" w:cs="Arial"/>
        </w:rPr>
      </w:pPr>
      <w:r>
        <w:rPr>
          <w:rFonts w:ascii="Arial" w:hAnsi="Arial" w:cs="Arial"/>
        </w:rPr>
        <w:t>REFERENCES</w:t>
      </w:r>
    </w:p>
    <w:p w:rsidR="00113CBB" w:rsidRPr="00113CBB" w:rsidRDefault="00113CBB" w:rsidP="00113CBB">
      <w:pPr>
        <w:pStyle w:val="Bibliography"/>
        <w:rPr>
          <w:rFonts w:ascii="Arial" w:hAnsi="Arial" w:cs="Arial"/>
        </w:rPr>
      </w:pPr>
      <w:r w:rsidRPr="00113CBB">
        <w:rPr>
          <w:rFonts w:ascii="Arial" w:hAnsi="Arial" w:cs="Arial"/>
        </w:rPr>
        <w:t>1</w:t>
      </w:r>
      <w:r w:rsidRPr="00113CBB">
        <w:rPr>
          <w:rFonts w:ascii="Arial" w:hAnsi="Arial" w:cs="Arial"/>
        </w:rPr>
        <w:tab/>
      </w:r>
      <w:proofErr w:type="spellStart"/>
      <w:r w:rsidRPr="00113CBB">
        <w:rPr>
          <w:rFonts w:ascii="Arial" w:hAnsi="Arial" w:cs="Arial"/>
        </w:rPr>
        <w:t>Ganann</w:t>
      </w:r>
      <w:proofErr w:type="spellEnd"/>
      <w:r w:rsidRPr="00113CBB">
        <w:rPr>
          <w:rFonts w:ascii="Arial" w:hAnsi="Arial" w:cs="Arial"/>
        </w:rPr>
        <w:t xml:space="preserve"> R, </w:t>
      </w:r>
      <w:proofErr w:type="spellStart"/>
      <w:r w:rsidRPr="00113CBB">
        <w:rPr>
          <w:rFonts w:ascii="Arial" w:hAnsi="Arial" w:cs="Arial"/>
        </w:rPr>
        <w:t>Ciliska</w:t>
      </w:r>
      <w:proofErr w:type="spellEnd"/>
      <w:r w:rsidRPr="00113CBB">
        <w:rPr>
          <w:rFonts w:ascii="Arial" w:hAnsi="Arial" w:cs="Arial"/>
        </w:rPr>
        <w:t xml:space="preserve"> D, Thomas H. Expediting systematic reviews: methods and implications of rapid reviews. </w:t>
      </w:r>
      <w:r w:rsidRPr="00113CBB">
        <w:rPr>
          <w:rFonts w:ascii="Arial" w:hAnsi="Arial" w:cs="Arial"/>
          <w:i/>
          <w:iCs/>
        </w:rPr>
        <w:t xml:space="preserve">Implement </w:t>
      </w:r>
      <w:proofErr w:type="spellStart"/>
      <w:r w:rsidRPr="00113CBB">
        <w:rPr>
          <w:rFonts w:ascii="Arial" w:hAnsi="Arial" w:cs="Arial"/>
          <w:i/>
          <w:iCs/>
        </w:rPr>
        <w:t>Sci</w:t>
      </w:r>
      <w:proofErr w:type="spellEnd"/>
      <w:r w:rsidRPr="00113CBB">
        <w:rPr>
          <w:rFonts w:ascii="Arial" w:hAnsi="Arial" w:cs="Arial"/>
        </w:rPr>
        <w:t xml:space="preserve"> 2010; </w:t>
      </w:r>
      <w:r w:rsidRPr="00113CBB">
        <w:rPr>
          <w:rFonts w:ascii="Arial" w:hAnsi="Arial" w:cs="Arial"/>
          <w:b/>
          <w:bCs/>
        </w:rPr>
        <w:t>5</w:t>
      </w:r>
      <w:r w:rsidRPr="00113CBB">
        <w:rPr>
          <w:rFonts w:ascii="Arial" w:hAnsi="Arial" w:cs="Arial"/>
        </w:rPr>
        <w:t>: 56.</w:t>
      </w:r>
    </w:p>
    <w:p w:rsidR="00113CBB" w:rsidRPr="00113CBB" w:rsidRDefault="00113CBB" w:rsidP="00113CBB">
      <w:pPr>
        <w:pStyle w:val="Bibliography"/>
        <w:rPr>
          <w:rFonts w:ascii="Arial" w:hAnsi="Arial" w:cs="Arial"/>
        </w:rPr>
      </w:pPr>
      <w:r w:rsidRPr="00113CBB">
        <w:rPr>
          <w:rFonts w:ascii="Arial" w:hAnsi="Arial" w:cs="Arial"/>
        </w:rPr>
        <w:t>2</w:t>
      </w:r>
      <w:r w:rsidRPr="00113CBB">
        <w:rPr>
          <w:rFonts w:ascii="Arial" w:hAnsi="Arial" w:cs="Arial"/>
        </w:rPr>
        <w:tab/>
        <w:t xml:space="preserve">Featherstone RM, Dryden DM, </w:t>
      </w:r>
      <w:proofErr w:type="spellStart"/>
      <w:proofErr w:type="gramStart"/>
      <w:r w:rsidRPr="00113CBB">
        <w:rPr>
          <w:rFonts w:ascii="Arial" w:hAnsi="Arial" w:cs="Arial"/>
        </w:rPr>
        <w:t>Foisy</w:t>
      </w:r>
      <w:proofErr w:type="spellEnd"/>
      <w:proofErr w:type="gramEnd"/>
      <w:r w:rsidRPr="00113CBB">
        <w:rPr>
          <w:rFonts w:ascii="Arial" w:hAnsi="Arial" w:cs="Arial"/>
        </w:rPr>
        <w:t xml:space="preserve"> M, </w:t>
      </w:r>
      <w:r w:rsidRPr="00113CBB">
        <w:rPr>
          <w:rFonts w:ascii="Arial" w:hAnsi="Arial" w:cs="Arial"/>
          <w:i/>
          <w:iCs/>
        </w:rPr>
        <w:t>et al.</w:t>
      </w:r>
      <w:r w:rsidRPr="00113CBB">
        <w:rPr>
          <w:rFonts w:ascii="Arial" w:hAnsi="Arial" w:cs="Arial"/>
        </w:rPr>
        <w:t xml:space="preserve"> Advancing knowledge of rapid reviews: an analysis of results, conclusions and recommendations from published review articles examining rapid reviews. </w:t>
      </w:r>
      <w:proofErr w:type="spellStart"/>
      <w:proofErr w:type="gramStart"/>
      <w:r w:rsidRPr="00113CBB">
        <w:rPr>
          <w:rFonts w:ascii="Arial" w:hAnsi="Arial" w:cs="Arial"/>
          <w:i/>
          <w:iCs/>
        </w:rPr>
        <w:t>Syst</w:t>
      </w:r>
      <w:proofErr w:type="spellEnd"/>
      <w:r w:rsidRPr="00113CBB">
        <w:rPr>
          <w:rFonts w:ascii="Arial" w:hAnsi="Arial" w:cs="Arial"/>
          <w:i/>
          <w:iCs/>
        </w:rPr>
        <w:t xml:space="preserve"> Rev</w:t>
      </w:r>
      <w:r w:rsidRPr="00113CBB">
        <w:rPr>
          <w:rFonts w:ascii="Arial" w:hAnsi="Arial" w:cs="Arial"/>
        </w:rPr>
        <w:t xml:space="preserve"> 2015; </w:t>
      </w:r>
      <w:r w:rsidRPr="00113CBB">
        <w:rPr>
          <w:rFonts w:ascii="Arial" w:hAnsi="Arial" w:cs="Arial"/>
          <w:b/>
          <w:bCs/>
        </w:rPr>
        <w:t>4</w:t>
      </w:r>
      <w:r w:rsidRPr="00113CBB">
        <w:rPr>
          <w:rFonts w:ascii="Arial" w:hAnsi="Arial" w:cs="Arial"/>
        </w:rPr>
        <w:t>: 50.</w:t>
      </w:r>
      <w:proofErr w:type="gramEnd"/>
    </w:p>
    <w:p w:rsidR="00113CBB" w:rsidRPr="00113CBB" w:rsidRDefault="00113CBB" w:rsidP="00113CBB">
      <w:pPr>
        <w:pStyle w:val="Bibliography"/>
        <w:rPr>
          <w:rFonts w:ascii="Arial" w:hAnsi="Arial" w:cs="Arial"/>
        </w:rPr>
      </w:pPr>
      <w:r w:rsidRPr="00113CBB">
        <w:rPr>
          <w:rFonts w:ascii="Arial" w:hAnsi="Arial" w:cs="Arial"/>
        </w:rPr>
        <w:t>3</w:t>
      </w:r>
      <w:r w:rsidRPr="00113CBB">
        <w:rPr>
          <w:rFonts w:ascii="Arial" w:hAnsi="Arial" w:cs="Arial"/>
        </w:rPr>
        <w:tab/>
        <w:t xml:space="preserve">Calling time: the nation’s drinking as a major health issue. </w:t>
      </w:r>
      <w:proofErr w:type="gramStart"/>
      <w:r w:rsidRPr="00113CBB">
        <w:rPr>
          <w:rFonts w:ascii="Arial" w:hAnsi="Arial" w:cs="Arial"/>
        </w:rPr>
        <w:t>The Academy of Medical Sciences, 2004 http://www.acmedsci.ac.uk/policy/policy/calling-time-the-nations-drinking-as-a-major-health-issue/.</w:t>
      </w:r>
      <w:proofErr w:type="gramEnd"/>
    </w:p>
    <w:p w:rsidR="00113CBB" w:rsidRPr="00113CBB" w:rsidRDefault="00113CBB" w:rsidP="00113CBB">
      <w:pPr>
        <w:pStyle w:val="Bibliography"/>
        <w:rPr>
          <w:rFonts w:ascii="Arial" w:hAnsi="Arial" w:cs="Arial"/>
        </w:rPr>
      </w:pPr>
      <w:r w:rsidRPr="00113CBB">
        <w:rPr>
          <w:rFonts w:ascii="Arial" w:hAnsi="Arial" w:cs="Arial"/>
        </w:rPr>
        <w:t>4</w:t>
      </w:r>
      <w:r w:rsidRPr="00113CBB">
        <w:rPr>
          <w:rFonts w:ascii="Arial" w:hAnsi="Arial" w:cs="Arial"/>
        </w:rPr>
        <w:tab/>
      </w:r>
      <w:proofErr w:type="spellStart"/>
      <w:r w:rsidRPr="00113CBB">
        <w:rPr>
          <w:rFonts w:ascii="Arial" w:hAnsi="Arial" w:cs="Arial"/>
        </w:rPr>
        <w:t>Bruun</w:t>
      </w:r>
      <w:proofErr w:type="spellEnd"/>
      <w:r w:rsidRPr="00113CBB">
        <w:rPr>
          <w:rFonts w:ascii="Arial" w:hAnsi="Arial" w:cs="Arial"/>
        </w:rPr>
        <w:t xml:space="preserve"> K. Alcohol control policies in public health perspective. New Brunswick</w:t>
      </w:r>
      <w:proofErr w:type="gramStart"/>
      <w:r w:rsidRPr="00113CBB">
        <w:rPr>
          <w:rFonts w:ascii="Arial" w:hAnsi="Arial" w:cs="Arial"/>
        </w:rPr>
        <w:t>,:</w:t>
      </w:r>
      <w:proofErr w:type="gramEnd"/>
      <w:r w:rsidRPr="00113CBB">
        <w:rPr>
          <w:rFonts w:ascii="Arial" w:hAnsi="Arial" w:cs="Arial"/>
        </w:rPr>
        <w:t xml:space="preserve"> The Finnish Foundation for Alcohol Studies, 1975.</w:t>
      </w:r>
    </w:p>
    <w:p w:rsidR="00113CBB" w:rsidRPr="00113CBB" w:rsidRDefault="00113CBB" w:rsidP="00113CBB">
      <w:pPr>
        <w:pStyle w:val="Bibliography"/>
        <w:rPr>
          <w:rFonts w:ascii="Arial" w:hAnsi="Arial" w:cs="Arial"/>
        </w:rPr>
      </w:pPr>
      <w:r w:rsidRPr="00113CBB">
        <w:rPr>
          <w:rFonts w:ascii="Arial" w:hAnsi="Arial" w:cs="Arial"/>
        </w:rPr>
        <w:t>5</w:t>
      </w:r>
      <w:r w:rsidRPr="00113CBB">
        <w:rPr>
          <w:rFonts w:ascii="Arial" w:hAnsi="Arial" w:cs="Arial"/>
        </w:rPr>
        <w:tab/>
        <w:t xml:space="preserve">Edwards G. Alcohol policy and the public good. </w:t>
      </w:r>
      <w:r w:rsidRPr="00113CBB">
        <w:rPr>
          <w:rFonts w:ascii="Arial" w:hAnsi="Arial" w:cs="Arial"/>
          <w:i/>
          <w:iCs/>
        </w:rPr>
        <w:t>Addiction</w:t>
      </w:r>
      <w:r w:rsidRPr="00113CBB">
        <w:rPr>
          <w:rFonts w:ascii="Arial" w:hAnsi="Arial" w:cs="Arial"/>
        </w:rPr>
        <w:t xml:space="preserve"> 1997</w:t>
      </w:r>
      <w:proofErr w:type="gramStart"/>
      <w:r w:rsidRPr="00113CBB">
        <w:rPr>
          <w:rFonts w:ascii="Arial" w:hAnsi="Arial" w:cs="Arial"/>
        </w:rPr>
        <w:t>; :</w:t>
      </w:r>
      <w:proofErr w:type="gramEnd"/>
      <w:r w:rsidRPr="00113CBB">
        <w:rPr>
          <w:rFonts w:ascii="Arial" w:hAnsi="Arial" w:cs="Arial"/>
        </w:rPr>
        <w:t xml:space="preserve"> S73-79.</w:t>
      </w:r>
    </w:p>
    <w:p w:rsidR="00113CBB" w:rsidRPr="00113CBB" w:rsidRDefault="00113CBB" w:rsidP="00113CBB">
      <w:pPr>
        <w:pStyle w:val="Bibliography"/>
        <w:rPr>
          <w:rFonts w:ascii="Arial" w:hAnsi="Arial" w:cs="Arial"/>
        </w:rPr>
      </w:pPr>
      <w:r w:rsidRPr="00113CBB">
        <w:rPr>
          <w:rFonts w:ascii="Arial" w:hAnsi="Arial" w:cs="Arial"/>
        </w:rPr>
        <w:t>6</w:t>
      </w:r>
      <w:r w:rsidRPr="00113CBB">
        <w:rPr>
          <w:rFonts w:ascii="Arial" w:hAnsi="Arial" w:cs="Arial"/>
        </w:rPr>
        <w:tab/>
        <w:t xml:space="preserve">Babor T, Caetano R, </w:t>
      </w:r>
      <w:proofErr w:type="spellStart"/>
      <w:proofErr w:type="gramStart"/>
      <w:r w:rsidRPr="00113CBB">
        <w:rPr>
          <w:rFonts w:ascii="Arial" w:hAnsi="Arial" w:cs="Arial"/>
        </w:rPr>
        <w:t>Casswell</w:t>
      </w:r>
      <w:proofErr w:type="spellEnd"/>
      <w:proofErr w:type="gramEnd"/>
      <w:r w:rsidRPr="00113CBB">
        <w:rPr>
          <w:rFonts w:ascii="Arial" w:hAnsi="Arial" w:cs="Arial"/>
        </w:rPr>
        <w:t xml:space="preserve"> S, </w:t>
      </w:r>
      <w:r w:rsidRPr="00113CBB">
        <w:rPr>
          <w:rFonts w:ascii="Arial" w:hAnsi="Arial" w:cs="Arial"/>
          <w:i/>
          <w:iCs/>
        </w:rPr>
        <w:t>et al.</w:t>
      </w:r>
      <w:r w:rsidRPr="00113CBB">
        <w:rPr>
          <w:rFonts w:ascii="Arial" w:hAnsi="Arial" w:cs="Arial"/>
        </w:rPr>
        <w:t xml:space="preserve"> Alcohol: no ordinary commodity: research and public policy. Oxford University </w:t>
      </w:r>
      <w:proofErr w:type="gramStart"/>
      <w:r w:rsidRPr="00113CBB">
        <w:rPr>
          <w:rFonts w:ascii="Arial" w:hAnsi="Arial" w:cs="Arial"/>
        </w:rPr>
        <w:t>Press.,</w:t>
      </w:r>
      <w:proofErr w:type="gramEnd"/>
      <w:r w:rsidRPr="00113CBB">
        <w:rPr>
          <w:rFonts w:ascii="Arial" w:hAnsi="Arial" w:cs="Arial"/>
        </w:rPr>
        <w:t xml:space="preserve"> 2010.</w:t>
      </w:r>
    </w:p>
    <w:p w:rsidR="00113CBB" w:rsidRPr="00113CBB" w:rsidRDefault="00113CBB" w:rsidP="00113CBB">
      <w:pPr>
        <w:pStyle w:val="Bibliography"/>
        <w:rPr>
          <w:rFonts w:ascii="Arial" w:hAnsi="Arial" w:cs="Arial"/>
        </w:rPr>
      </w:pPr>
      <w:r w:rsidRPr="00113CBB">
        <w:rPr>
          <w:rFonts w:ascii="Arial" w:hAnsi="Arial" w:cs="Arial"/>
        </w:rPr>
        <w:t>7</w:t>
      </w:r>
      <w:r w:rsidRPr="00113CBB">
        <w:rPr>
          <w:rFonts w:ascii="Arial" w:hAnsi="Arial" w:cs="Arial"/>
        </w:rPr>
        <w:tab/>
        <w:t xml:space="preserve">Global status report on alcohol and health 2014. </w:t>
      </w:r>
      <w:proofErr w:type="gramStart"/>
      <w:r w:rsidRPr="00113CBB">
        <w:rPr>
          <w:rFonts w:ascii="Arial" w:hAnsi="Arial" w:cs="Arial"/>
        </w:rPr>
        <w:t>World Health Organisation, 2014 http://apps.who.int/iris/bitstream/10665/112736/1/9789240692763_eng.pdf?ua=1.</w:t>
      </w:r>
      <w:proofErr w:type="gramEnd"/>
    </w:p>
    <w:p w:rsidR="00113CBB" w:rsidRPr="00113CBB" w:rsidRDefault="00113CBB" w:rsidP="00113CBB">
      <w:pPr>
        <w:pStyle w:val="Bibliography"/>
        <w:rPr>
          <w:rFonts w:ascii="Arial" w:hAnsi="Arial" w:cs="Arial"/>
        </w:rPr>
      </w:pPr>
      <w:r w:rsidRPr="00113CBB">
        <w:rPr>
          <w:rFonts w:ascii="Arial" w:hAnsi="Arial" w:cs="Arial"/>
        </w:rPr>
        <w:lastRenderedPageBreak/>
        <w:t>8</w:t>
      </w:r>
      <w:r w:rsidRPr="00113CBB">
        <w:rPr>
          <w:rFonts w:ascii="Arial" w:hAnsi="Arial" w:cs="Arial"/>
        </w:rPr>
        <w:tab/>
        <w:t xml:space="preserve">Tackling Harmful Alcohol Use. </w:t>
      </w:r>
      <w:proofErr w:type="gramStart"/>
      <w:r w:rsidRPr="00113CBB">
        <w:rPr>
          <w:rFonts w:ascii="Arial" w:hAnsi="Arial" w:cs="Arial"/>
        </w:rPr>
        <w:t>Organisation for Economic Co-operation and Development, 2015 http://www.keepeek.com/Digital-Asset-Management/oecd/social-issues-migration-health/tackling-harmful-alcohol-use_9789264181069-en#page1.</w:t>
      </w:r>
      <w:proofErr w:type="gramEnd"/>
    </w:p>
    <w:p w:rsidR="00113CBB" w:rsidRPr="00113CBB" w:rsidRDefault="00113CBB" w:rsidP="00113CBB">
      <w:pPr>
        <w:pStyle w:val="Bibliography"/>
        <w:rPr>
          <w:rFonts w:ascii="Arial" w:hAnsi="Arial" w:cs="Arial"/>
        </w:rPr>
      </w:pPr>
      <w:r w:rsidRPr="00113CBB">
        <w:rPr>
          <w:rFonts w:ascii="Arial" w:hAnsi="Arial" w:cs="Arial"/>
        </w:rPr>
        <w:t>9</w:t>
      </w:r>
      <w:r w:rsidRPr="00113CBB">
        <w:rPr>
          <w:rFonts w:ascii="Arial" w:hAnsi="Arial" w:cs="Arial"/>
        </w:rPr>
        <w:tab/>
        <w:t xml:space="preserve">The British Psychological Society, </w:t>
      </w:r>
      <w:proofErr w:type="gramStart"/>
      <w:r w:rsidRPr="00113CBB">
        <w:rPr>
          <w:rFonts w:ascii="Arial" w:hAnsi="Arial" w:cs="Arial"/>
        </w:rPr>
        <w:t>The</w:t>
      </w:r>
      <w:proofErr w:type="gramEnd"/>
      <w:r w:rsidRPr="00113CBB">
        <w:rPr>
          <w:rFonts w:ascii="Arial" w:hAnsi="Arial" w:cs="Arial"/>
        </w:rPr>
        <w:t xml:space="preserve"> Royal College of Psychiatrists. Alcohol-use disorders: The NICE guideline on diagnosis, assessment and management of harmful drinking and alcohol guidance. </w:t>
      </w:r>
      <w:proofErr w:type="gramStart"/>
      <w:r w:rsidRPr="00113CBB">
        <w:rPr>
          <w:rFonts w:ascii="Arial" w:hAnsi="Arial" w:cs="Arial"/>
        </w:rPr>
        <w:t>National Clinical Practice Guideline 115.</w:t>
      </w:r>
      <w:proofErr w:type="gramEnd"/>
      <w:r w:rsidRPr="00113CBB">
        <w:rPr>
          <w:rFonts w:ascii="Arial" w:hAnsi="Arial" w:cs="Arial"/>
        </w:rPr>
        <w:t xml:space="preserve"> NICE, 2011 https://www.nice.org.uk/guidance/cg115/evidence/full-guideline-136423405 (accessed Nov 9, 2016).</w:t>
      </w:r>
    </w:p>
    <w:p w:rsidR="00113CBB" w:rsidRPr="00113CBB" w:rsidRDefault="00113CBB" w:rsidP="00113CBB">
      <w:pPr>
        <w:pStyle w:val="Bibliography"/>
        <w:rPr>
          <w:rFonts w:ascii="Arial" w:hAnsi="Arial" w:cs="Arial"/>
        </w:rPr>
      </w:pPr>
      <w:r w:rsidRPr="00113CBB">
        <w:rPr>
          <w:rFonts w:ascii="Arial" w:hAnsi="Arial" w:cs="Arial"/>
        </w:rPr>
        <w:t>10</w:t>
      </w:r>
      <w:r w:rsidRPr="00113CBB">
        <w:rPr>
          <w:rFonts w:ascii="Arial" w:hAnsi="Arial" w:cs="Arial"/>
        </w:rPr>
        <w:tab/>
      </w:r>
      <w:proofErr w:type="spellStart"/>
      <w:r w:rsidRPr="00113CBB">
        <w:rPr>
          <w:rFonts w:ascii="Arial" w:hAnsi="Arial" w:cs="Arial"/>
        </w:rPr>
        <w:t>Guyatt</w:t>
      </w:r>
      <w:proofErr w:type="spellEnd"/>
      <w:r w:rsidRPr="00113CBB">
        <w:rPr>
          <w:rFonts w:ascii="Arial" w:hAnsi="Arial" w:cs="Arial"/>
        </w:rPr>
        <w:t xml:space="preserve"> GH, </w:t>
      </w:r>
      <w:proofErr w:type="spellStart"/>
      <w:r w:rsidRPr="00113CBB">
        <w:rPr>
          <w:rFonts w:ascii="Arial" w:hAnsi="Arial" w:cs="Arial"/>
        </w:rPr>
        <w:t>Oxman</w:t>
      </w:r>
      <w:proofErr w:type="spellEnd"/>
      <w:r w:rsidRPr="00113CBB">
        <w:rPr>
          <w:rFonts w:ascii="Arial" w:hAnsi="Arial" w:cs="Arial"/>
        </w:rPr>
        <w:t xml:space="preserve"> AD, </w:t>
      </w:r>
      <w:proofErr w:type="spellStart"/>
      <w:r w:rsidRPr="00113CBB">
        <w:rPr>
          <w:rFonts w:ascii="Arial" w:hAnsi="Arial" w:cs="Arial"/>
        </w:rPr>
        <w:t>Vist</w:t>
      </w:r>
      <w:proofErr w:type="spellEnd"/>
      <w:r w:rsidRPr="00113CBB">
        <w:rPr>
          <w:rFonts w:ascii="Arial" w:hAnsi="Arial" w:cs="Arial"/>
        </w:rPr>
        <w:t xml:space="preserve"> GE, </w:t>
      </w:r>
      <w:r w:rsidRPr="00113CBB">
        <w:rPr>
          <w:rFonts w:ascii="Arial" w:hAnsi="Arial" w:cs="Arial"/>
          <w:i/>
          <w:iCs/>
        </w:rPr>
        <w:t>et al.</w:t>
      </w:r>
      <w:r w:rsidRPr="00113CBB">
        <w:rPr>
          <w:rFonts w:ascii="Arial" w:hAnsi="Arial" w:cs="Arial"/>
        </w:rPr>
        <w:t xml:space="preserve"> GRADE: an emerging consensus on rating quality of evidence and strength of recommendations. </w:t>
      </w:r>
      <w:r w:rsidRPr="00113CBB">
        <w:rPr>
          <w:rFonts w:ascii="Arial" w:hAnsi="Arial" w:cs="Arial"/>
          <w:i/>
          <w:iCs/>
        </w:rPr>
        <w:t>BMJ</w:t>
      </w:r>
      <w:r w:rsidRPr="00113CBB">
        <w:rPr>
          <w:rFonts w:ascii="Arial" w:hAnsi="Arial" w:cs="Arial"/>
        </w:rPr>
        <w:t xml:space="preserve"> 2008; </w:t>
      </w:r>
      <w:r w:rsidRPr="00113CBB">
        <w:rPr>
          <w:rFonts w:ascii="Arial" w:hAnsi="Arial" w:cs="Arial"/>
          <w:b/>
          <w:bCs/>
        </w:rPr>
        <w:t>336</w:t>
      </w:r>
      <w:r w:rsidRPr="00113CBB">
        <w:rPr>
          <w:rFonts w:ascii="Arial" w:hAnsi="Arial" w:cs="Arial"/>
        </w:rPr>
        <w:t>: 924–6.</w:t>
      </w:r>
    </w:p>
    <w:p w:rsidR="00113CBB" w:rsidRPr="00113CBB" w:rsidRDefault="00113CBB" w:rsidP="00113CBB">
      <w:pPr>
        <w:pStyle w:val="Bibliography"/>
        <w:rPr>
          <w:rFonts w:ascii="Arial" w:hAnsi="Arial" w:cs="Arial"/>
        </w:rPr>
      </w:pPr>
      <w:r w:rsidRPr="00113CBB">
        <w:rPr>
          <w:rFonts w:ascii="Arial" w:hAnsi="Arial" w:cs="Arial"/>
        </w:rPr>
        <w:t>11</w:t>
      </w:r>
      <w:r w:rsidRPr="00113CBB">
        <w:rPr>
          <w:rFonts w:ascii="Arial" w:hAnsi="Arial" w:cs="Arial"/>
        </w:rPr>
        <w:tab/>
      </w:r>
      <w:proofErr w:type="spellStart"/>
      <w:r w:rsidRPr="00113CBB">
        <w:rPr>
          <w:rFonts w:ascii="Arial" w:hAnsi="Arial" w:cs="Arial"/>
        </w:rPr>
        <w:t>Guyatt</w:t>
      </w:r>
      <w:proofErr w:type="spellEnd"/>
      <w:r w:rsidRPr="00113CBB">
        <w:rPr>
          <w:rFonts w:ascii="Arial" w:hAnsi="Arial" w:cs="Arial"/>
        </w:rPr>
        <w:t xml:space="preserve"> GH, </w:t>
      </w:r>
      <w:proofErr w:type="spellStart"/>
      <w:r w:rsidRPr="00113CBB">
        <w:rPr>
          <w:rFonts w:ascii="Arial" w:hAnsi="Arial" w:cs="Arial"/>
        </w:rPr>
        <w:t>Oxman</w:t>
      </w:r>
      <w:proofErr w:type="spellEnd"/>
      <w:r w:rsidRPr="00113CBB">
        <w:rPr>
          <w:rFonts w:ascii="Arial" w:hAnsi="Arial" w:cs="Arial"/>
        </w:rPr>
        <w:t xml:space="preserve"> AD, </w:t>
      </w:r>
      <w:proofErr w:type="spellStart"/>
      <w:r w:rsidRPr="00113CBB">
        <w:rPr>
          <w:rFonts w:ascii="Arial" w:hAnsi="Arial" w:cs="Arial"/>
        </w:rPr>
        <w:t>Vist</w:t>
      </w:r>
      <w:proofErr w:type="spellEnd"/>
      <w:r w:rsidRPr="00113CBB">
        <w:rPr>
          <w:rFonts w:ascii="Arial" w:hAnsi="Arial" w:cs="Arial"/>
        </w:rPr>
        <w:t xml:space="preserve"> G, </w:t>
      </w:r>
      <w:r w:rsidRPr="00113CBB">
        <w:rPr>
          <w:rFonts w:ascii="Arial" w:hAnsi="Arial" w:cs="Arial"/>
          <w:i/>
          <w:iCs/>
        </w:rPr>
        <w:t>et al.</w:t>
      </w:r>
      <w:r w:rsidRPr="00113CBB">
        <w:rPr>
          <w:rFonts w:ascii="Arial" w:hAnsi="Arial" w:cs="Arial"/>
        </w:rPr>
        <w:t xml:space="preserve"> GRADE guidelines: 4. </w:t>
      </w:r>
      <w:proofErr w:type="gramStart"/>
      <w:r w:rsidRPr="00113CBB">
        <w:rPr>
          <w:rFonts w:ascii="Arial" w:hAnsi="Arial" w:cs="Arial"/>
        </w:rPr>
        <w:t>Rating</w:t>
      </w:r>
      <w:proofErr w:type="gramEnd"/>
      <w:r w:rsidRPr="00113CBB">
        <w:rPr>
          <w:rFonts w:ascii="Arial" w:hAnsi="Arial" w:cs="Arial"/>
        </w:rPr>
        <w:t xml:space="preserve"> the quality of evidence--study limitations (risk of bias). </w:t>
      </w:r>
      <w:r w:rsidRPr="00113CBB">
        <w:rPr>
          <w:rFonts w:ascii="Arial" w:hAnsi="Arial" w:cs="Arial"/>
          <w:i/>
          <w:iCs/>
        </w:rPr>
        <w:t xml:space="preserve">J </w:t>
      </w:r>
      <w:proofErr w:type="spellStart"/>
      <w:r w:rsidRPr="00113CBB">
        <w:rPr>
          <w:rFonts w:ascii="Arial" w:hAnsi="Arial" w:cs="Arial"/>
          <w:i/>
          <w:iCs/>
        </w:rPr>
        <w:t>Clin</w:t>
      </w:r>
      <w:proofErr w:type="spellEnd"/>
      <w:r w:rsidRPr="00113CBB">
        <w:rPr>
          <w:rFonts w:ascii="Arial" w:hAnsi="Arial" w:cs="Arial"/>
          <w:i/>
          <w:iCs/>
        </w:rPr>
        <w:t xml:space="preserve"> </w:t>
      </w:r>
      <w:proofErr w:type="spellStart"/>
      <w:r w:rsidRPr="00113CBB">
        <w:rPr>
          <w:rFonts w:ascii="Arial" w:hAnsi="Arial" w:cs="Arial"/>
          <w:i/>
          <w:iCs/>
        </w:rPr>
        <w:t>Epidemiol</w:t>
      </w:r>
      <w:proofErr w:type="spellEnd"/>
      <w:r w:rsidRPr="00113CBB">
        <w:rPr>
          <w:rFonts w:ascii="Arial" w:hAnsi="Arial" w:cs="Arial"/>
        </w:rPr>
        <w:t xml:space="preserve"> 2011; </w:t>
      </w:r>
      <w:r w:rsidRPr="00113CBB">
        <w:rPr>
          <w:rFonts w:ascii="Arial" w:hAnsi="Arial" w:cs="Arial"/>
          <w:b/>
          <w:bCs/>
        </w:rPr>
        <w:t>64</w:t>
      </w:r>
      <w:r w:rsidRPr="00113CBB">
        <w:rPr>
          <w:rFonts w:ascii="Arial" w:hAnsi="Arial" w:cs="Arial"/>
        </w:rPr>
        <w:t>: 407–15.</w:t>
      </w:r>
    </w:p>
    <w:p w:rsidR="00113CBB" w:rsidRPr="00113CBB" w:rsidRDefault="00113CBB" w:rsidP="00113CBB">
      <w:pPr>
        <w:pStyle w:val="Bibliography"/>
        <w:rPr>
          <w:rFonts w:ascii="Arial" w:hAnsi="Arial" w:cs="Arial"/>
        </w:rPr>
      </w:pPr>
      <w:r w:rsidRPr="00113CBB">
        <w:rPr>
          <w:rFonts w:ascii="Arial" w:hAnsi="Arial" w:cs="Arial"/>
        </w:rPr>
        <w:t>12</w:t>
      </w:r>
      <w:r w:rsidRPr="00113CBB">
        <w:rPr>
          <w:rFonts w:ascii="Arial" w:hAnsi="Arial" w:cs="Arial"/>
        </w:rPr>
        <w:tab/>
        <w:t xml:space="preserve">Nelson TF, Xuan Z, Babor TF, </w:t>
      </w:r>
      <w:r w:rsidRPr="00113CBB">
        <w:rPr>
          <w:rFonts w:ascii="Arial" w:hAnsi="Arial" w:cs="Arial"/>
          <w:i/>
          <w:iCs/>
        </w:rPr>
        <w:t>et al.</w:t>
      </w:r>
      <w:r w:rsidRPr="00113CBB">
        <w:rPr>
          <w:rFonts w:ascii="Arial" w:hAnsi="Arial" w:cs="Arial"/>
        </w:rPr>
        <w:t xml:space="preserve"> Efficacy and the strength of evidence of U.S. alcohol control policies. </w:t>
      </w:r>
      <w:r w:rsidRPr="00113CBB">
        <w:rPr>
          <w:rFonts w:ascii="Arial" w:hAnsi="Arial" w:cs="Arial"/>
          <w:i/>
          <w:iCs/>
        </w:rPr>
        <w:t xml:space="preserve">Am J </w:t>
      </w:r>
      <w:proofErr w:type="spellStart"/>
      <w:r w:rsidRPr="00113CBB">
        <w:rPr>
          <w:rFonts w:ascii="Arial" w:hAnsi="Arial" w:cs="Arial"/>
          <w:i/>
          <w:iCs/>
        </w:rPr>
        <w:t>Prev</w:t>
      </w:r>
      <w:proofErr w:type="spellEnd"/>
      <w:r w:rsidRPr="00113CBB">
        <w:rPr>
          <w:rFonts w:ascii="Arial" w:hAnsi="Arial" w:cs="Arial"/>
          <w:i/>
          <w:iCs/>
        </w:rPr>
        <w:t xml:space="preserve"> Med</w:t>
      </w:r>
      <w:r w:rsidRPr="00113CBB">
        <w:rPr>
          <w:rFonts w:ascii="Arial" w:hAnsi="Arial" w:cs="Arial"/>
        </w:rPr>
        <w:t xml:space="preserve"> 2013; </w:t>
      </w:r>
      <w:r w:rsidRPr="00113CBB">
        <w:rPr>
          <w:rFonts w:ascii="Arial" w:hAnsi="Arial" w:cs="Arial"/>
          <w:b/>
          <w:bCs/>
        </w:rPr>
        <w:t>45</w:t>
      </w:r>
      <w:r w:rsidRPr="00113CBB">
        <w:rPr>
          <w:rFonts w:ascii="Arial" w:hAnsi="Arial" w:cs="Arial"/>
        </w:rPr>
        <w:t>: 19–</w:t>
      </w:r>
      <w:proofErr w:type="gramStart"/>
      <w:r w:rsidRPr="00113CBB">
        <w:rPr>
          <w:rFonts w:ascii="Arial" w:hAnsi="Arial" w:cs="Arial"/>
        </w:rPr>
        <w:t>28.</w:t>
      </w:r>
      <w:proofErr w:type="gramEnd"/>
    </w:p>
    <w:p w:rsidR="00113CBB" w:rsidRPr="00113CBB" w:rsidRDefault="00113CBB" w:rsidP="00113CBB">
      <w:pPr>
        <w:pStyle w:val="Bibliography"/>
        <w:rPr>
          <w:rFonts w:ascii="Arial" w:hAnsi="Arial" w:cs="Arial"/>
        </w:rPr>
      </w:pPr>
      <w:r w:rsidRPr="00113CBB">
        <w:rPr>
          <w:rFonts w:ascii="Arial" w:hAnsi="Arial" w:cs="Arial"/>
        </w:rPr>
        <w:t>13</w:t>
      </w:r>
      <w:r w:rsidRPr="00113CBB">
        <w:rPr>
          <w:rFonts w:ascii="Arial" w:hAnsi="Arial" w:cs="Arial"/>
        </w:rPr>
        <w:tab/>
        <w:t xml:space="preserve">Anderson P, Chisholm D, </w:t>
      </w:r>
      <w:proofErr w:type="spellStart"/>
      <w:r w:rsidRPr="00113CBB">
        <w:rPr>
          <w:rFonts w:ascii="Arial" w:hAnsi="Arial" w:cs="Arial"/>
        </w:rPr>
        <w:t>Fuhr</w:t>
      </w:r>
      <w:proofErr w:type="spellEnd"/>
      <w:r w:rsidRPr="00113CBB">
        <w:rPr>
          <w:rFonts w:ascii="Arial" w:hAnsi="Arial" w:cs="Arial"/>
        </w:rPr>
        <w:t xml:space="preserve"> D. Effectiveness and cost-effectiveness of policies and programmes to reduce the harm caused by alcohol. </w:t>
      </w:r>
      <w:r w:rsidRPr="00113CBB">
        <w:rPr>
          <w:rFonts w:ascii="Arial" w:hAnsi="Arial" w:cs="Arial"/>
          <w:i/>
          <w:iCs/>
        </w:rPr>
        <w:t>Lancet</w:t>
      </w:r>
      <w:r w:rsidRPr="00113CBB">
        <w:rPr>
          <w:rFonts w:ascii="Arial" w:hAnsi="Arial" w:cs="Arial"/>
        </w:rPr>
        <w:t xml:space="preserve"> 2009; </w:t>
      </w:r>
      <w:r w:rsidRPr="00113CBB">
        <w:rPr>
          <w:rFonts w:ascii="Arial" w:hAnsi="Arial" w:cs="Arial"/>
          <w:b/>
          <w:bCs/>
        </w:rPr>
        <w:t>373</w:t>
      </w:r>
      <w:r w:rsidRPr="00113CBB">
        <w:rPr>
          <w:rFonts w:ascii="Arial" w:hAnsi="Arial" w:cs="Arial"/>
        </w:rPr>
        <w:t>: 2234–46.</w:t>
      </w:r>
    </w:p>
    <w:p w:rsidR="00CC12BC" w:rsidRDefault="00CC12BC" w:rsidP="00150624">
      <w:pPr>
        <w:outlineLvl w:val="0"/>
        <w:rPr>
          <w:rFonts w:ascii="Arial" w:hAnsi="Arial" w:cs="Arial"/>
        </w:rPr>
      </w:pPr>
    </w:p>
    <w:p w:rsidR="00CC12BC" w:rsidRDefault="00CC12BC" w:rsidP="00150624">
      <w:pPr>
        <w:outlineLvl w:val="0"/>
        <w:rPr>
          <w:rFonts w:ascii="Arial" w:hAnsi="Arial" w:cs="Arial"/>
        </w:rPr>
      </w:pPr>
    </w:p>
    <w:p w:rsidR="00CC12BC" w:rsidRDefault="00CC12BC" w:rsidP="00150624">
      <w:pPr>
        <w:outlineLvl w:val="0"/>
        <w:rPr>
          <w:rFonts w:ascii="Arial" w:hAnsi="Arial" w:cs="Arial"/>
        </w:rPr>
        <w:sectPr w:rsidR="00CC12BC">
          <w:pgSz w:w="11906" w:h="16838"/>
          <w:pgMar w:top="1440" w:right="1440" w:bottom="1440" w:left="1440" w:header="708" w:footer="708" w:gutter="0"/>
          <w:cols w:space="708"/>
          <w:docGrid w:linePitch="360"/>
        </w:sectPr>
      </w:pPr>
    </w:p>
    <w:p w:rsidR="00150624" w:rsidRPr="003D7200" w:rsidRDefault="00150624" w:rsidP="00150624">
      <w:pPr>
        <w:outlineLvl w:val="0"/>
        <w:rPr>
          <w:rFonts w:ascii="Arial" w:hAnsi="Arial" w:cs="Arial"/>
        </w:rPr>
      </w:pPr>
      <w:r>
        <w:rPr>
          <w:rFonts w:ascii="Arial" w:hAnsi="Arial" w:cs="Arial"/>
        </w:rPr>
        <w:lastRenderedPageBreak/>
        <w:t>ANNEX 2</w:t>
      </w:r>
      <w:r w:rsidRPr="003D7200">
        <w:rPr>
          <w:rFonts w:ascii="Arial" w:hAnsi="Arial" w:cs="Arial"/>
        </w:rPr>
        <w:t>: MEMBERS OF THE EXPERT ADVISORY GROUP (AFFILIATION)</w:t>
      </w:r>
    </w:p>
    <w:p w:rsidR="00150624" w:rsidRPr="0061101A" w:rsidRDefault="00150624" w:rsidP="00150624">
      <w:pPr>
        <w:rPr>
          <w:rFonts w:ascii="Arial" w:hAnsi="Arial" w:cs="Arial"/>
          <w:lang w:eastAsia="en-GB"/>
        </w:rPr>
      </w:pPr>
      <w:r w:rsidRPr="0061101A">
        <w:rPr>
          <w:rFonts w:ascii="Arial" w:hAnsi="Arial" w:cs="Arial"/>
          <w:lang w:eastAsia="en-GB"/>
        </w:rPr>
        <w:t>Crispin Acton (Department of Health-England, UK)</w:t>
      </w:r>
    </w:p>
    <w:p w:rsidR="00150624" w:rsidRPr="0061101A" w:rsidRDefault="00150624" w:rsidP="00150624">
      <w:pPr>
        <w:rPr>
          <w:rFonts w:ascii="Arial" w:hAnsi="Arial" w:cs="Arial"/>
          <w:lang w:eastAsia="en-GB"/>
        </w:rPr>
      </w:pPr>
      <w:r w:rsidRPr="0061101A">
        <w:rPr>
          <w:rFonts w:ascii="Arial" w:hAnsi="Arial" w:cs="Arial"/>
          <w:lang w:eastAsia="en-GB"/>
        </w:rPr>
        <w:t>Professor Joe Barry (Trinity College</w:t>
      </w:r>
      <w:r w:rsidRPr="0061101A">
        <w:rPr>
          <w:rFonts w:ascii="Arial" w:hAnsi="Arial" w:cs="Arial"/>
          <w:color w:val="1F497D"/>
          <w:lang w:eastAsia="en-GB"/>
        </w:rPr>
        <w:t>,</w:t>
      </w:r>
      <w:r w:rsidRPr="0061101A">
        <w:rPr>
          <w:rFonts w:ascii="Arial" w:hAnsi="Arial" w:cs="Arial"/>
          <w:lang w:eastAsia="en-GB"/>
        </w:rPr>
        <w:t xml:space="preserve"> Republic of Ireland)</w:t>
      </w:r>
    </w:p>
    <w:p w:rsidR="00150624" w:rsidRPr="0061101A" w:rsidRDefault="00150624" w:rsidP="00150624">
      <w:pPr>
        <w:rPr>
          <w:rFonts w:ascii="Arial" w:hAnsi="Arial" w:cs="Arial"/>
          <w:lang w:eastAsia="en-GB"/>
        </w:rPr>
      </w:pPr>
      <w:r w:rsidRPr="0061101A">
        <w:rPr>
          <w:rFonts w:ascii="Arial" w:hAnsi="Arial" w:cs="Arial"/>
          <w:lang w:eastAsia="en-GB"/>
        </w:rPr>
        <w:t>Clare Beeston (NHS Scotland, UK)</w:t>
      </w:r>
    </w:p>
    <w:p w:rsidR="00150624" w:rsidRPr="0061101A" w:rsidRDefault="00150624" w:rsidP="00150624">
      <w:pPr>
        <w:rPr>
          <w:rFonts w:ascii="Arial" w:hAnsi="Arial" w:cs="Arial"/>
          <w:lang w:eastAsia="en-GB"/>
        </w:rPr>
      </w:pPr>
      <w:r w:rsidRPr="0061101A">
        <w:rPr>
          <w:rFonts w:ascii="Arial" w:hAnsi="Arial" w:cs="Arial"/>
          <w:lang w:eastAsia="en-GB"/>
        </w:rPr>
        <w:t>Professor Mark Bellis (Public Health Wales, UK)</w:t>
      </w:r>
    </w:p>
    <w:p w:rsidR="00150624" w:rsidRPr="0061101A" w:rsidRDefault="00150624" w:rsidP="00150624">
      <w:pPr>
        <w:rPr>
          <w:rFonts w:ascii="Arial" w:hAnsi="Arial" w:cs="Arial"/>
          <w:lang w:eastAsia="en-GB"/>
        </w:rPr>
      </w:pPr>
      <w:r w:rsidRPr="0061101A">
        <w:rPr>
          <w:rFonts w:ascii="Arial" w:hAnsi="Arial" w:cs="Arial"/>
          <w:lang w:eastAsia="en-GB"/>
        </w:rPr>
        <w:t>Katherine Brown (Institute of Alcohol Studies, UK)</w:t>
      </w:r>
    </w:p>
    <w:p w:rsidR="00150624" w:rsidRPr="0061101A" w:rsidRDefault="00150624" w:rsidP="00150624">
      <w:pPr>
        <w:rPr>
          <w:rFonts w:ascii="Arial" w:hAnsi="Arial" w:cs="Arial"/>
          <w:lang w:eastAsia="en-GB"/>
        </w:rPr>
      </w:pPr>
      <w:r w:rsidRPr="0061101A">
        <w:rPr>
          <w:rFonts w:ascii="Arial" w:hAnsi="Arial" w:cs="Arial"/>
          <w:lang w:eastAsia="en-GB"/>
        </w:rPr>
        <w:t>Stephen Cummins (Home Office-England and Wales, UK)</w:t>
      </w:r>
    </w:p>
    <w:p w:rsidR="00150624" w:rsidRPr="0061101A" w:rsidRDefault="00150624" w:rsidP="00150624">
      <w:pPr>
        <w:rPr>
          <w:rFonts w:ascii="Arial" w:hAnsi="Arial" w:cs="Arial"/>
          <w:lang w:eastAsia="en-GB"/>
        </w:rPr>
      </w:pPr>
      <w:r w:rsidRPr="0061101A">
        <w:rPr>
          <w:rFonts w:ascii="Arial" w:hAnsi="Arial" w:cs="Arial"/>
          <w:lang w:eastAsia="en-GB"/>
        </w:rPr>
        <w:t>Professor Colin Drummond (Kings College London, UK)</w:t>
      </w:r>
    </w:p>
    <w:p w:rsidR="00150624" w:rsidRPr="0061101A" w:rsidRDefault="00150624" w:rsidP="00150624">
      <w:pPr>
        <w:rPr>
          <w:rFonts w:ascii="Arial" w:hAnsi="Arial" w:cs="Arial"/>
          <w:lang w:eastAsia="en-GB"/>
        </w:rPr>
      </w:pPr>
      <w:r w:rsidRPr="0061101A">
        <w:rPr>
          <w:rFonts w:ascii="Arial" w:hAnsi="Arial" w:cs="Arial"/>
          <w:lang w:eastAsia="en-GB"/>
        </w:rPr>
        <w:t>Professor Sir Ian Gilmore (Liverpool University, UK)</w:t>
      </w:r>
    </w:p>
    <w:p w:rsidR="00150624" w:rsidRPr="0061101A" w:rsidRDefault="00150624" w:rsidP="00150624">
      <w:pPr>
        <w:rPr>
          <w:rFonts w:ascii="Arial" w:hAnsi="Arial" w:cs="Arial"/>
          <w:lang w:eastAsia="en-GB"/>
        </w:rPr>
      </w:pPr>
      <w:r w:rsidRPr="0061101A">
        <w:rPr>
          <w:rFonts w:ascii="Arial" w:hAnsi="Arial" w:cs="Arial"/>
          <w:lang w:eastAsia="en-GB"/>
        </w:rPr>
        <w:t xml:space="preserve">Professor Karen Hughes (Liverpool John </w:t>
      </w:r>
      <w:proofErr w:type="spellStart"/>
      <w:r w:rsidRPr="0061101A">
        <w:rPr>
          <w:rFonts w:ascii="Arial" w:hAnsi="Arial" w:cs="Arial"/>
          <w:lang w:eastAsia="en-GB"/>
        </w:rPr>
        <w:t>Moores</w:t>
      </w:r>
      <w:proofErr w:type="spellEnd"/>
      <w:r w:rsidRPr="0061101A">
        <w:rPr>
          <w:rFonts w:ascii="Arial" w:hAnsi="Arial" w:cs="Arial"/>
          <w:lang w:eastAsia="en-GB"/>
        </w:rPr>
        <w:t xml:space="preserve"> University, UK)</w:t>
      </w:r>
    </w:p>
    <w:p w:rsidR="00150624" w:rsidRPr="0061101A" w:rsidRDefault="00150624" w:rsidP="00150624">
      <w:pPr>
        <w:rPr>
          <w:rFonts w:ascii="Arial" w:hAnsi="Arial" w:cs="Arial"/>
          <w:lang w:eastAsia="en-GB"/>
        </w:rPr>
      </w:pPr>
      <w:r w:rsidRPr="0061101A">
        <w:rPr>
          <w:rFonts w:ascii="Arial" w:hAnsi="Arial" w:cs="Arial"/>
          <w:lang w:eastAsia="en-GB"/>
        </w:rPr>
        <w:t>Dr David Humphreys (University of Oxford, UK)</w:t>
      </w:r>
    </w:p>
    <w:p w:rsidR="00150624" w:rsidRPr="0061101A" w:rsidRDefault="00150624" w:rsidP="00150624">
      <w:pPr>
        <w:rPr>
          <w:rFonts w:ascii="Arial" w:hAnsi="Arial" w:cs="Arial"/>
          <w:lang w:eastAsia="en-GB"/>
        </w:rPr>
      </w:pPr>
      <w:r w:rsidRPr="0061101A">
        <w:rPr>
          <w:rFonts w:ascii="Arial" w:hAnsi="Arial" w:cs="Arial"/>
          <w:lang w:eastAsia="en-GB"/>
        </w:rPr>
        <w:t>Dr Sarah Jones (Public Health Wales, UK)</w:t>
      </w:r>
    </w:p>
    <w:p w:rsidR="00150624" w:rsidRPr="0061101A" w:rsidRDefault="00150624" w:rsidP="00150624">
      <w:pPr>
        <w:rPr>
          <w:rFonts w:ascii="Arial" w:hAnsi="Arial" w:cs="Arial"/>
          <w:lang w:eastAsia="en-GB"/>
        </w:rPr>
      </w:pPr>
      <w:r w:rsidRPr="0061101A">
        <w:rPr>
          <w:rFonts w:ascii="Arial" w:hAnsi="Arial" w:cs="Arial"/>
          <w:lang w:eastAsia="en-GB"/>
        </w:rPr>
        <w:t>Professor Eileen Kaner (University of Newcastle, UK)</w:t>
      </w:r>
    </w:p>
    <w:p w:rsidR="00150624" w:rsidRPr="0061101A" w:rsidRDefault="00150624" w:rsidP="00150624">
      <w:pPr>
        <w:rPr>
          <w:rFonts w:ascii="Arial" w:hAnsi="Arial" w:cs="Arial"/>
          <w:lang w:eastAsia="en-GB"/>
        </w:rPr>
      </w:pPr>
      <w:r w:rsidRPr="0061101A">
        <w:rPr>
          <w:rFonts w:ascii="Arial" w:hAnsi="Arial" w:cs="Arial"/>
          <w:lang w:eastAsia="en-GB"/>
        </w:rPr>
        <w:t xml:space="preserve">Dr Mike Kelleher (South London and the </w:t>
      </w:r>
      <w:proofErr w:type="spellStart"/>
      <w:r w:rsidRPr="0061101A">
        <w:rPr>
          <w:rFonts w:ascii="Arial" w:hAnsi="Arial" w:cs="Arial"/>
          <w:lang w:eastAsia="en-GB"/>
        </w:rPr>
        <w:t>Maudsley</w:t>
      </w:r>
      <w:proofErr w:type="spellEnd"/>
      <w:r w:rsidRPr="0061101A">
        <w:rPr>
          <w:rFonts w:ascii="Arial" w:hAnsi="Arial" w:cs="Arial"/>
          <w:lang w:eastAsia="en-GB"/>
        </w:rPr>
        <w:t xml:space="preserve"> NHS Mental Health Trust, UK)</w:t>
      </w:r>
    </w:p>
    <w:p w:rsidR="00150624" w:rsidRPr="0061101A" w:rsidRDefault="00150624" w:rsidP="00150624">
      <w:pPr>
        <w:rPr>
          <w:rFonts w:ascii="Arial" w:hAnsi="Arial" w:cs="Arial"/>
          <w:lang w:eastAsia="en-GB"/>
        </w:rPr>
      </w:pPr>
      <w:r w:rsidRPr="0061101A">
        <w:rPr>
          <w:rFonts w:ascii="Arial" w:hAnsi="Arial" w:cs="Arial"/>
          <w:lang w:eastAsia="en-GB"/>
        </w:rPr>
        <w:t xml:space="preserve">Iain </w:t>
      </w:r>
      <w:proofErr w:type="spellStart"/>
      <w:r w:rsidRPr="0061101A">
        <w:rPr>
          <w:rFonts w:ascii="Arial" w:hAnsi="Arial" w:cs="Arial"/>
          <w:lang w:eastAsia="en-GB"/>
        </w:rPr>
        <w:t>MacAllister</w:t>
      </w:r>
      <w:proofErr w:type="spellEnd"/>
      <w:r w:rsidRPr="0061101A">
        <w:rPr>
          <w:rFonts w:ascii="Arial" w:hAnsi="Arial" w:cs="Arial"/>
          <w:lang w:eastAsia="en-GB"/>
        </w:rPr>
        <w:t> (Scottish Government, UK)</w:t>
      </w:r>
    </w:p>
    <w:p w:rsidR="00150624" w:rsidRPr="0061101A" w:rsidRDefault="00150624" w:rsidP="00150624">
      <w:pPr>
        <w:rPr>
          <w:rFonts w:ascii="Arial" w:hAnsi="Arial" w:cs="Arial"/>
          <w:lang w:eastAsia="en-GB"/>
        </w:rPr>
      </w:pPr>
      <w:r w:rsidRPr="0061101A">
        <w:rPr>
          <w:rFonts w:ascii="Arial" w:hAnsi="Arial" w:cs="Arial"/>
          <w:lang w:eastAsia="en-GB"/>
        </w:rPr>
        <w:t>Gary Maxwell (Department of Health, Social Security and Public Safety</w:t>
      </w:r>
      <w:r w:rsidRPr="0061101A">
        <w:rPr>
          <w:rFonts w:ascii="Arial" w:hAnsi="Arial" w:cs="Arial"/>
          <w:color w:val="1F497D"/>
          <w:lang w:eastAsia="en-GB"/>
        </w:rPr>
        <w:t>-</w:t>
      </w:r>
      <w:r w:rsidRPr="0061101A">
        <w:rPr>
          <w:rFonts w:ascii="Arial" w:hAnsi="Arial" w:cs="Arial"/>
          <w:lang w:eastAsia="en-GB"/>
        </w:rPr>
        <w:t>Northern Ireland, UK)</w:t>
      </w:r>
    </w:p>
    <w:p w:rsidR="00150624" w:rsidRPr="0061101A" w:rsidRDefault="00150624" w:rsidP="00150624">
      <w:pPr>
        <w:rPr>
          <w:rFonts w:ascii="Arial" w:hAnsi="Arial" w:cs="Arial"/>
          <w:lang w:eastAsia="en-GB"/>
        </w:rPr>
      </w:pPr>
      <w:r w:rsidRPr="0061101A">
        <w:rPr>
          <w:rFonts w:ascii="Arial" w:hAnsi="Arial" w:cs="Arial"/>
          <w:lang w:eastAsia="en-GB"/>
        </w:rPr>
        <w:t>Maureen McCartney (Department of Health, Social Security and Public Safety</w:t>
      </w:r>
      <w:r w:rsidRPr="0061101A">
        <w:rPr>
          <w:rFonts w:ascii="Arial" w:hAnsi="Arial" w:cs="Arial"/>
          <w:color w:val="1F497D"/>
          <w:lang w:eastAsia="en-GB"/>
        </w:rPr>
        <w:t>-</w:t>
      </w:r>
      <w:r w:rsidRPr="0061101A">
        <w:rPr>
          <w:rFonts w:ascii="Arial" w:hAnsi="Arial" w:cs="Arial"/>
          <w:lang w:eastAsia="en-GB"/>
        </w:rPr>
        <w:t>Northern Ireland, UK)</w:t>
      </w:r>
    </w:p>
    <w:p w:rsidR="00150624" w:rsidRPr="0061101A" w:rsidRDefault="00150624" w:rsidP="00150624">
      <w:pPr>
        <w:rPr>
          <w:rFonts w:ascii="Arial" w:hAnsi="Arial" w:cs="Arial"/>
          <w:lang w:eastAsia="en-GB"/>
        </w:rPr>
      </w:pPr>
      <w:r w:rsidRPr="0061101A">
        <w:rPr>
          <w:rFonts w:ascii="Arial" w:hAnsi="Arial" w:cs="Arial"/>
          <w:lang w:eastAsia="en-GB"/>
        </w:rPr>
        <w:t>Professor Petra Meier (University of Sheffield, UK)</w:t>
      </w:r>
    </w:p>
    <w:p w:rsidR="00150624" w:rsidRPr="0061101A" w:rsidRDefault="00150624" w:rsidP="00150624">
      <w:pPr>
        <w:rPr>
          <w:rFonts w:ascii="Arial" w:hAnsi="Arial" w:cs="Arial"/>
          <w:lang w:eastAsia="en-GB"/>
        </w:rPr>
      </w:pPr>
      <w:r w:rsidRPr="0061101A">
        <w:rPr>
          <w:rFonts w:ascii="Arial" w:hAnsi="Arial" w:cs="Arial"/>
          <w:lang w:eastAsia="en-GB"/>
        </w:rPr>
        <w:t>Dr James Nicholls (Alcohol Research UK, UK)</w:t>
      </w:r>
    </w:p>
    <w:p w:rsidR="00150624" w:rsidRPr="0061101A" w:rsidRDefault="00150624" w:rsidP="00150624">
      <w:pPr>
        <w:rPr>
          <w:rFonts w:ascii="Arial" w:hAnsi="Arial" w:cs="Arial"/>
          <w:lang w:eastAsia="en-GB"/>
        </w:rPr>
      </w:pPr>
      <w:r w:rsidRPr="0061101A">
        <w:rPr>
          <w:rFonts w:ascii="Arial" w:hAnsi="Arial" w:cs="Arial"/>
          <w:lang w:eastAsia="en-GB"/>
        </w:rPr>
        <w:t>Owen O Neil (Public Health Agency-Northern Ireland, UK)</w:t>
      </w:r>
    </w:p>
    <w:p w:rsidR="00150624" w:rsidRPr="0061101A" w:rsidRDefault="00150624" w:rsidP="00150624">
      <w:pPr>
        <w:rPr>
          <w:rFonts w:ascii="Arial" w:hAnsi="Arial" w:cs="Arial"/>
          <w:lang w:eastAsia="en-GB"/>
        </w:rPr>
      </w:pPr>
      <w:r w:rsidRPr="0061101A">
        <w:rPr>
          <w:rFonts w:ascii="Arial" w:hAnsi="Arial" w:cs="Arial"/>
          <w:lang w:eastAsia="en-GB"/>
        </w:rPr>
        <w:t>David Ryan-Mills (Home Office-England and Wales, UK)</w:t>
      </w:r>
    </w:p>
    <w:p w:rsidR="00150624" w:rsidRPr="0061101A" w:rsidRDefault="00150624" w:rsidP="00150624">
      <w:pPr>
        <w:rPr>
          <w:rFonts w:ascii="Arial" w:hAnsi="Arial" w:cs="Arial"/>
          <w:lang w:eastAsia="en-GB"/>
        </w:rPr>
      </w:pPr>
      <w:r w:rsidRPr="0061101A">
        <w:rPr>
          <w:rFonts w:ascii="Arial" w:hAnsi="Arial" w:cs="Arial"/>
          <w:lang w:eastAsia="en-GB"/>
        </w:rPr>
        <w:t>Dr Bobby Smyth (Alcohol Action Ireland, Republic of Ireland)</w:t>
      </w:r>
    </w:p>
    <w:p w:rsidR="00150624" w:rsidRDefault="00150624" w:rsidP="00150624">
      <w:pPr>
        <w:rPr>
          <w:rFonts w:ascii="Arial" w:hAnsi="Arial" w:cs="Arial"/>
          <w:lang w:eastAsia="en-GB"/>
        </w:rPr>
      </w:pPr>
      <w:r w:rsidRPr="0061101A">
        <w:rPr>
          <w:rFonts w:ascii="Arial" w:hAnsi="Arial" w:cs="Arial"/>
          <w:lang w:eastAsia="en-GB"/>
        </w:rPr>
        <w:t>Tom Smith (Alcohol Concern England, UK)</w:t>
      </w:r>
    </w:p>
    <w:p w:rsidR="00150624" w:rsidRDefault="00150624" w:rsidP="00150624">
      <w:pPr>
        <w:outlineLvl w:val="0"/>
        <w:rPr>
          <w:rFonts w:ascii="Arial" w:hAnsi="Arial" w:cs="Arial"/>
        </w:rPr>
        <w:sectPr w:rsidR="00150624">
          <w:pgSz w:w="11906" w:h="16838"/>
          <w:pgMar w:top="1440" w:right="1440" w:bottom="1440" w:left="1440" w:header="708" w:footer="708" w:gutter="0"/>
          <w:cols w:space="708"/>
          <w:docGrid w:linePitch="360"/>
        </w:sectPr>
      </w:pPr>
    </w:p>
    <w:p w:rsidR="00150624" w:rsidRPr="003D7200" w:rsidRDefault="00150624" w:rsidP="00150624">
      <w:pPr>
        <w:outlineLvl w:val="0"/>
        <w:rPr>
          <w:rFonts w:ascii="Arial" w:hAnsi="Arial" w:cs="Arial"/>
        </w:rPr>
      </w:pPr>
      <w:r w:rsidRPr="003D7200">
        <w:rPr>
          <w:rFonts w:ascii="Arial" w:hAnsi="Arial" w:cs="Arial"/>
        </w:rPr>
        <w:lastRenderedPageBreak/>
        <w:t xml:space="preserve">ANNEX </w:t>
      </w:r>
      <w:r w:rsidR="002F762A">
        <w:rPr>
          <w:rFonts w:ascii="Arial" w:hAnsi="Arial" w:cs="Arial"/>
        </w:rPr>
        <w:t>3</w:t>
      </w:r>
      <w:r w:rsidRPr="003D7200">
        <w:rPr>
          <w:rFonts w:ascii="Arial" w:hAnsi="Arial" w:cs="Arial"/>
        </w:rPr>
        <w:t>: FULL SEARCH TERMS USED IN THIS REVIEW</w:t>
      </w:r>
    </w:p>
    <w:tbl>
      <w:tblPr>
        <w:tblStyle w:val="TableGrid"/>
        <w:tblW w:w="0" w:type="auto"/>
        <w:tblLook w:val="04A0" w:firstRow="1" w:lastRow="0" w:firstColumn="1" w:lastColumn="0" w:noHBand="0" w:noVBand="1"/>
      </w:tblPr>
      <w:tblGrid>
        <w:gridCol w:w="9242"/>
      </w:tblGrid>
      <w:tr w:rsidR="00150624" w:rsidRPr="003D7200" w:rsidTr="00410BC5">
        <w:tc>
          <w:tcPr>
            <w:tcW w:w="9242" w:type="dxa"/>
          </w:tcPr>
          <w:p w:rsidR="00150624" w:rsidRPr="003D7200" w:rsidRDefault="00150624" w:rsidP="00410BC5">
            <w:pPr>
              <w:spacing w:line="276" w:lineRule="auto"/>
              <w:rPr>
                <w:rFonts w:ascii="Arial" w:eastAsiaTheme="minorEastAsia" w:hAnsi="Arial" w:cs="Arial"/>
                <w:kern w:val="24"/>
                <w:sz w:val="22"/>
                <w:szCs w:val="22"/>
              </w:rPr>
            </w:pPr>
            <w:r w:rsidRPr="003D7200">
              <w:rPr>
                <w:rFonts w:ascii="Arial" w:hAnsi="Arial" w:cs="Arial"/>
                <w:sz w:val="22"/>
                <w:szCs w:val="22"/>
              </w:rPr>
              <w:t>{alcohol} AND {pric\*} OR {tax} OR {cost} AND {review} OR {meta};</w:t>
            </w:r>
          </w:p>
          <w:p w:rsidR="00150624" w:rsidRPr="003D7200" w:rsidRDefault="00150624" w:rsidP="00410BC5">
            <w:pPr>
              <w:spacing w:line="276" w:lineRule="auto"/>
              <w:rPr>
                <w:rFonts w:ascii="Arial" w:hAnsi="Arial" w:cs="Arial"/>
                <w:sz w:val="22"/>
                <w:szCs w:val="22"/>
              </w:rPr>
            </w:pPr>
            <w:r w:rsidRPr="003D7200">
              <w:rPr>
                <w:rFonts w:ascii="Arial" w:eastAsiaTheme="minorEastAsia" w:hAnsi="Arial" w:cs="Arial"/>
                <w:kern w:val="24"/>
                <w:sz w:val="22"/>
                <w:szCs w:val="22"/>
              </w:rPr>
              <w:t xml:space="preserve">OR </w:t>
            </w:r>
            <w:r w:rsidRPr="003D7200">
              <w:rPr>
                <w:rFonts w:ascii="Arial" w:hAnsi="Arial" w:cs="Arial"/>
                <w:sz w:val="22"/>
                <w:szCs w:val="22"/>
              </w:rPr>
              <w:t>{alcohol} AND {density} OR {hours} OR {days} OR {spatial} OR {temporal} OR {</w:t>
            </w:r>
            <w:proofErr w:type="spellStart"/>
            <w:r w:rsidRPr="003D7200">
              <w:rPr>
                <w:rFonts w:ascii="Arial" w:hAnsi="Arial" w:cs="Arial"/>
                <w:sz w:val="22"/>
                <w:szCs w:val="22"/>
              </w:rPr>
              <w:t>licen</w:t>
            </w:r>
            <w:proofErr w:type="spellEnd"/>
            <w:r w:rsidRPr="003D7200">
              <w:rPr>
                <w:rFonts w:ascii="Arial" w:hAnsi="Arial" w:cs="Arial"/>
                <w:sz w:val="22"/>
                <w:szCs w:val="22"/>
              </w:rPr>
              <w:t>\*} OR {street drinking} OR {drinking ban} OR {server} AND {review} OR {meta};</w:t>
            </w:r>
          </w:p>
          <w:p w:rsidR="00150624" w:rsidRPr="003D7200" w:rsidRDefault="00150624" w:rsidP="00410BC5">
            <w:pPr>
              <w:spacing w:line="276" w:lineRule="auto"/>
              <w:rPr>
                <w:rFonts w:ascii="Arial" w:hAnsi="Arial" w:cs="Arial"/>
                <w:sz w:val="22"/>
                <w:szCs w:val="22"/>
              </w:rPr>
            </w:pPr>
            <w:r w:rsidRPr="003D7200">
              <w:rPr>
                <w:rFonts w:ascii="Arial" w:hAnsi="Arial" w:cs="Arial"/>
                <w:sz w:val="22"/>
                <w:szCs w:val="22"/>
              </w:rPr>
              <w:t>OR {alcohol} AND {marketing} OR {advert\*} OR {</w:t>
            </w:r>
            <w:proofErr w:type="spellStart"/>
            <w:r w:rsidRPr="003D7200">
              <w:rPr>
                <w:rFonts w:ascii="Arial" w:hAnsi="Arial" w:cs="Arial"/>
                <w:sz w:val="22"/>
                <w:szCs w:val="22"/>
              </w:rPr>
              <w:t>promot</w:t>
            </w:r>
            <w:proofErr w:type="spellEnd"/>
            <w:r w:rsidRPr="003D7200">
              <w:rPr>
                <w:rFonts w:ascii="Arial" w:hAnsi="Arial" w:cs="Arial"/>
                <w:sz w:val="22"/>
                <w:szCs w:val="22"/>
              </w:rPr>
              <w:t>\*} OR {campaigns} OR {mass media} OR {education} OR {label\*} OR {responsibility deal} AND {review} OR {meta};</w:t>
            </w:r>
          </w:p>
          <w:p w:rsidR="00150624" w:rsidRPr="003D7200" w:rsidRDefault="00150624" w:rsidP="00410BC5">
            <w:pPr>
              <w:spacing w:line="276" w:lineRule="auto"/>
              <w:rPr>
                <w:rFonts w:ascii="Arial" w:hAnsi="Arial" w:cs="Arial"/>
                <w:sz w:val="22"/>
                <w:szCs w:val="22"/>
              </w:rPr>
            </w:pPr>
            <w:r w:rsidRPr="003D7200">
              <w:rPr>
                <w:rFonts w:ascii="Arial" w:hAnsi="Arial" w:cs="Arial"/>
                <w:sz w:val="22"/>
                <w:szCs w:val="22"/>
              </w:rPr>
              <w:t>OR {alcohol} AND {identification} OR {screening} OR {intervention} OR {brief} OR {advice} OR {information} AND {review} OR {meta};</w:t>
            </w:r>
          </w:p>
          <w:p w:rsidR="00150624" w:rsidRPr="003D7200" w:rsidRDefault="00150624" w:rsidP="00410BC5">
            <w:pPr>
              <w:spacing w:line="276" w:lineRule="auto"/>
              <w:rPr>
                <w:rFonts w:ascii="Arial" w:hAnsi="Arial" w:cs="Arial"/>
                <w:sz w:val="22"/>
                <w:szCs w:val="22"/>
              </w:rPr>
            </w:pPr>
            <w:r w:rsidRPr="003D7200">
              <w:rPr>
                <w:rFonts w:ascii="Arial" w:hAnsi="Arial" w:cs="Arial"/>
                <w:sz w:val="22"/>
                <w:szCs w:val="22"/>
              </w:rPr>
              <w:t xml:space="preserve">{alcohol} AND {blood} OR {breath} OR {enforce\*}  OR {graduated} OR {designated} OR {interlock} OR {licence revocation} OR {licence </w:t>
            </w:r>
            <w:proofErr w:type="spellStart"/>
            <w:r w:rsidRPr="003D7200">
              <w:rPr>
                <w:rFonts w:ascii="Arial" w:hAnsi="Arial" w:cs="Arial"/>
                <w:sz w:val="22"/>
                <w:szCs w:val="22"/>
              </w:rPr>
              <w:t>suspens</w:t>
            </w:r>
            <w:proofErr w:type="spellEnd"/>
            <w:r w:rsidRPr="003D7200">
              <w:rPr>
                <w:rFonts w:ascii="Arial" w:hAnsi="Arial" w:cs="Arial"/>
                <w:sz w:val="22"/>
                <w:szCs w:val="22"/>
              </w:rPr>
              <w:t>\*} AND {</w:t>
            </w:r>
            <w:proofErr w:type="spellStart"/>
            <w:r w:rsidRPr="003D7200">
              <w:rPr>
                <w:rFonts w:ascii="Arial" w:hAnsi="Arial" w:cs="Arial"/>
                <w:sz w:val="22"/>
                <w:szCs w:val="22"/>
              </w:rPr>
              <w:t>driv</w:t>
            </w:r>
            <w:proofErr w:type="spellEnd"/>
            <w:r w:rsidRPr="003D7200">
              <w:rPr>
                <w:rFonts w:ascii="Arial" w:hAnsi="Arial" w:cs="Arial"/>
                <w:sz w:val="22"/>
                <w:szCs w:val="22"/>
              </w:rPr>
              <w:t>\*} AND {review} OR {meta};</w:t>
            </w:r>
          </w:p>
          <w:p w:rsidR="00150624" w:rsidRPr="003D7200" w:rsidRDefault="00150624" w:rsidP="00410BC5">
            <w:pPr>
              <w:spacing w:line="276" w:lineRule="auto"/>
              <w:rPr>
                <w:rFonts w:ascii="Arial" w:hAnsi="Arial" w:cs="Arial"/>
                <w:sz w:val="22"/>
                <w:szCs w:val="22"/>
              </w:rPr>
            </w:pPr>
            <w:r w:rsidRPr="003D7200">
              <w:rPr>
                <w:rFonts w:ascii="Arial" w:hAnsi="Arial" w:cs="Arial"/>
                <w:sz w:val="22"/>
                <w:szCs w:val="22"/>
              </w:rPr>
              <w:t>AND {econom\*} OR {cost\*} OR {pric\*} OR {cost-effectiveness} OR {cost-utility} OR {cost-benefit} OR {budget\*} OR {qaly} OR {daly} OR {value for money} OR {return on investment}</w:t>
            </w:r>
            <w:r w:rsidRPr="003D7200">
              <w:rPr>
                <w:rFonts w:ascii="Arial" w:eastAsiaTheme="minorEastAsia" w:hAnsi="Arial" w:cs="Arial"/>
                <w:kern w:val="24"/>
                <w:sz w:val="22"/>
                <w:szCs w:val="22"/>
              </w:rPr>
              <w:t>;</w:t>
            </w:r>
          </w:p>
        </w:tc>
      </w:tr>
    </w:tbl>
    <w:p w:rsidR="00150624" w:rsidRPr="003D7200" w:rsidRDefault="00150624" w:rsidP="00150624">
      <w:pPr>
        <w:rPr>
          <w:rFonts w:ascii="Arial" w:eastAsia="Times New Roman" w:hAnsi="Arial" w:cs="Arial"/>
          <w:color w:val="FF0000"/>
          <w:lang w:eastAsia="en-GB"/>
        </w:rPr>
      </w:pPr>
    </w:p>
    <w:p w:rsidR="00150624" w:rsidRDefault="00150624"/>
    <w:sectPr w:rsidR="00150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278A1"/>
    <w:multiLevelType w:val="hybridMultilevel"/>
    <w:tmpl w:val="0E1A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3A"/>
    <w:rsid w:val="00047C0B"/>
    <w:rsid w:val="00113CBB"/>
    <w:rsid w:val="00143BA6"/>
    <w:rsid w:val="00150624"/>
    <w:rsid w:val="001E7106"/>
    <w:rsid w:val="00266725"/>
    <w:rsid w:val="002E6A03"/>
    <w:rsid w:val="002F762A"/>
    <w:rsid w:val="003A6094"/>
    <w:rsid w:val="0044092A"/>
    <w:rsid w:val="0045347C"/>
    <w:rsid w:val="00731D7F"/>
    <w:rsid w:val="008119E6"/>
    <w:rsid w:val="00822E9F"/>
    <w:rsid w:val="008D0670"/>
    <w:rsid w:val="00AB3473"/>
    <w:rsid w:val="00AF1D14"/>
    <w:rsid w:val="00AF7691"/>
    <w:rsid w:val="00CC12BC"/>
    <w:rsid w:val="00CD4F3A"/>
    <w:rsid w:val="00CF21FA"/>
    <w:rsid w:val="00E2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rsid w:val="00CD4F3A"/>
    <w:pPr>
      <w:spacing w:after="0" w:line="320" w:lineRule="exact"/>
      <w:ind w:right="794"/>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04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0B"/>
    <w:rPr>
      <w:rFonts w:ascii="Tahoma" w:hAnsi="Tahoma" w:cs="Tahoma"/>
      <w:sz w:val="16"/>
      <w:szCs w:val="16"/>
    </w:rPr>
  </w:style>
  <w:style w:type="table" w:styleId="TableGrid">
    <w:name w:val="Table Grid"/>
    <w:basedOn w:val="TableNormal"/>
    <w:uiPriority w:val="59"/>
    <w:rsid w:val="0015062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C12BC"/>
    <w:pPr>
      <w:tabs>
        <w:tab w:val="left" w:pos="264"/>
      </w:tabs>
      <w:spacing w:after="240" w:line="240" w:lineRule="auto"/>
      <w:ind w:left="264" w:hanging="2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rsid w:val="00CD4F3A"/>
    <w:pPr>
      <w:spacing w:after="0" w:line="320" w:lineRule="exact"/>
      <w:ind w:right="794"/>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04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0B"/>
    <w:rPr>
      <w:rFonts w:ascii="Tahoma" w:hAnsi="Tahoma" w:cs="Tahoma"/>
      <w:sz w:val="16"/>
      <w:szCs w:val="16"/>
    </w:rPr>
  </w:style>
  <w:style w:type="table" w:styleId="TableGrid">
    <w:name w:val="Table Grid"/>
    <w:basedOn w:val="TableNormal"/>
    <w:uiPriority w:val="59"/>
    <w:rsid w:val="0015062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C12BC"/>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E0F3-DC5A-4E84-92E5-8751FB77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Burton</dc:creator>
  <cp:lastModifiedBy>Robyn Burton</cp:lastModifiedBy>
  <cp:revision>2</cp:revision>
  <dcterms:created xsi:type="dcterms:W3CDTF">2016-11-14T16:44:00Z</dcterms:created>
  <dcterms:modified xsi:type="dcterms:W3CDTF">2016-11-14T16:44:00Z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id="kCE7AyW7"/&gt;&lt;style id="http://www.zotero.org/styles/the-lancet"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value=""/&gt;&lt;/prefs&gt;&lt;/data&gt;</vt:lpwstr>
  </property>
</Properties>
</file>