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53" w:rsidRPr="00712C24" w:rsidRDefault="006E5353" w:rsidP="006E5353">
      <w:pPr>
        <w:rPr>
          <w:rFonts w:ascii="Times New Roman" w:hAnsi="Times New Roman" w:cs="Times New Roman"/>
          <w:b/>
          <w:sz w:val="24"/>
          <w:szCs w:val="24"/>
        </w:rPr>
      </w:pPr>
      <w:bookmarkStart w:id="0" w:name="_GoBack"/>
      <w:bookmarkEnd w:id="0"/>
      <w:r w:rsidRPr="00712C24">
        <w:rPr>
          <w:rFonts w:ascii="Times New Roman" w:hAnsi="Times New Roman" w:cs="Times New Roman"/>
          <w:b/>
          <w:sz w:val="24"/>
          <w:szCs w:val="24"/>
        </w:rPr>
        <w:t>Frailty, pre-frailty and employment outcomes in the Health and Employment after Fifty (HEAF) study</w:t>
      </w:r>
    </w:p>
    <w:p w:rsidR="006E5353" w:rsidRPr="00712C24" w:rsidRDefault="006E5353" w:rsidP="006E5353">
      <w:pPr>
        <w:rPr>
          <w:rFonts w:ascii="Times New Roman" w:hAnsi="Times New Roman" w:cs="Times New Roman"/>
          <w:sz w:val="24"/>
          <w:szCs w:val="24"/>
        </w:rPr>
      </w:pPr>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Professor Keith T Palmer, Professor of Occupational Medicine</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,2</w:t>
      </w:r>
      <w:proofErr w:type="gramEnd"/>
    </w:p>
    <w:p w:rsidR="006E5353" w:rsidRPr="00A22114" w:rsidRDefault="006E5353" w:rsidP="006E5353">
      <w:pPr>
        <w:widowControl w:val="0"/>
        <w:rPr>
          <w:rFonts w:ascii="Times New Roman" w:hAnsi="Times New Roman" w:cs="Times New Roman"/>
          <w:sz w:val="24"/>
          <w:szCs w:val="24"/>
        </w:rPr>
      </w:pPr>
      <w:r w:rsidRPr="00A22114">
        <w:rPr>
          <w:rFonts w:ascii="Times New Roman" w:hAnsi="Times New Roman" w:cs="Times New Roman"/>
          <w:sz w:val="24"/>
          <w:szCs w:val="24"/>
        </w:rPr>
        <w:t>Stefania D’Angelo, Statistician</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,2</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Dr E Clare Harris, Research Fellow</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,2</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Dr Cathy Linaker, Research Fellow</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,2</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Professor Catharine R Gale, Professor of Cognitive Epidemiology</w:t>
      </w:r>
      <w:r w:rsidRPr="00A22114">
        <w:rPr>
          <w:rFonts w:ascii="Times New Roman" w:hAnsi="Times New Roman" w:cs="Times New Roman"/>
          <w:sz w:val="24"/>
          <w:szCs w:val="24"/>
          <w:vertAlign w:val="superscript"/>
        </w:rPr>
        <w:t xml:space="preserve"> 1</w:t>
      </w:r>
      <w:proofErr w:type="gramStart"/>
      <w:r w:rsidRPr="00A22114">
        <w:rPr>
          <w:rFonts w:ascii="Times New Roman" w:hAnsi="Times New Roman" w:cs="Times New Roman"/>
          <w:sz w:val="24"/>
          <w:szCs w:val="24"/>
          <w:vertAlign w:val="superscript"/>
        </w:rPr>
        <w:t>,6</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 xml:space="preserve">Professor Maria </w:t>
      </w:r>
      <w:proofErr w:type="spellStart"/>
      <w:r w:rsidRPr="00A22114">
        <w:rPr>
          <w:rFonts w:ascii="Times New Roman" w:hAnsi="Times New Roman" w:cs="Times New Roman"/>
          <w:sz w:val="24"/>
          <w:szCs w:val="24"/>
        </w:rPr>
        <w:t>Evandrou</w:t>
      </w:r>
      <w:proofErr w:type="spellEnd"/>
      <w:r w:rsidRPr="00A22114">
        <w:rPr>
          <w:rFonts w:ascii="Times New Roman" w:hAnsi="Times New Roman" w:cs="Times New Roman"/>
          <w:sz w:val="24"/>
          <w:szCs w:val="24"/>
        </w:rPr>
        <w:t>, Professor of Gerontology</w:t>
      </w:r>
      <w:r w:rsidRPr="00A22114">
        <w:rPr>
          <w:rFonts w:ascii="Times New Roman" w:hAnsi="Times New Roman" w:cs="Times New Roman"/>
          <w:sz w:val="24"/>
          <w:szCs w:val="24"/>
          <w:vertAlign w:val="superscript"/>
        </w:rPr>
        <w:t>7</w:t>
      </w:r>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Dr Holly Syddall, Statistician</w:t>
      </w:r>
      <w:r w:rsidRPr="00A22114">
        <w:rPr>
          <w:rFonts w:ascii="Times New Roman" w:hAnsi="Times New Roman" w:cs="Times New Roman"/>
          <w:sz w:val="24"/>
          <w:szCs w:val="24"/>
          <w:vertAlign w:val="superscript"/>
        </w:rPr>
        <w:t>1</w:t>
      </w:r>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 xml:space="preserve">Professor </w:t>
      </w:r>
      <w:proofErr w:type="spellStart"/>
      <w:r w:rsidRPr="00A22114">
        <w:rPr>
          <w:rFonts w:ascii="Times New Roman" w:hAnsi="Times New Roman" w:cs="Times New Roman"/>
          <w:sz w:val="24"/>
          <w:szCs w:val="24"/>
        </w:rPr>
        <w:t>Tjeerd</w:t>
      </w:r>
      <w:proofErr w:type="spellEnd"/>
      <w:r w:rsidRPr="00A22114">
        <w:rPr>
          <w:rFonts w:ascii="Times New Roman" w:hAnsi="Times New Roman" w:cs="Times New Roman"/>
          <w:sz w:val="24"/>
          <w:szCs w:val="24"/>
        </w:rPr>
        <w:t xml:space="preserve"> van Staa, Professor of Health eResearch</w:t>
      </w:r>
      <w:r w:rsidRPr="00A22114">
        <w:rPr>
          <w:rFonts w:ascii="Times New Roman" w:hAnsi="Times New Roman" w:cs="Times New Roman"/>
          <w:sz w:val="24"/>
          <w:szCs w:val="24"/>
          <w:vertAlign w:val="superscript"/>
        </w:rPr>
        <w:t>8</w:t>
      </w:r>
      <w:proofErr w:type="gramStart"/>
      <w:r w:rsidRPr="00A22114">
        <w:rPr>
          <w:rFonts w:ascii="Times New Roman" w:hAnsi="Times New Roman" w:cs="Times New Roman"/>
          <w:sz w:val="24"/>
          <w:szCs w:val="24"/>
          <w:vertAlign w:val="superscript"/>
        </w:rPr>
        <w:t>,9</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Professor Cyrus Cooper, Professor of Rheumatology</w:t>
      </w:r>
      <w:r w:rsidRPr="00A22114">
        <w:rPr>
          <w:rFonts w:ascii="Times New Roman" w:hAnsi="Times New Roman" w:cs="Times New Roman"/>
          <w:sz w:val="24"/>
          <w:szCs w:val="24"/>
          <w:vertAlign w:val="superscript"/>
        </w:rPr>
        <w:t xml:space="preserve"> 1</w:t>
      </w:r>
      <w:proofErr w:type="gramStart"/>
      <w:r w:rsidRPr="00A22114">
        <w:rPr>
          <w:rFonts w:ascii="Times New Roman" w:hAnsi="Times New Roman" w:cs="Times New Roman"/>
          <w:sz w:val="24"/>
          <w:szCs w:val="24"/>
          <w:vertAlign w:val="superscript"/>
        </w:rPr>
        <w:t>,2</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 xml:space="preserve">Professor </w:t>
      </w:r>
      <w:proofErr w:type="spellStart"/>
      <w:r w:rsidRPr="00A22114">
        <w:rPr>
          <w:rFonts w:ascii="Times New Roman" w:hAnsi="Times New Roman" w:cs="Times New Roman"/>
          <w:sz w:val="24"/>
          <w:szCs w:val="24"/>
        </w:rPr>
        <w:t>Avan</w:t>
      </w:r>
      <w:proofErr w:type="spellEnd"/>
      <w:r w:rsidRPr="00A22114">
        <w:rPr>
          <w:rFonts w:ascii="Times New Roman" w:hAnsi="Times New Roman" w:cs="Times New Roman"/>
          <w:sz w:val="24"/>
          <w:szCs w:val="24"/>
        </w:rPr>
        <w:t xml:space="preserve"> Aihie Sayer, Professor of Geriatric Medicine</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,3,4,5</w:t>
      </w:r>
      <w:proofErr w:type="gramEnd"/>
    </w:p>
    <w:p w:rsidR="006E5353" w:rsidRPr="00A22114" w:rsidRDefault="006E5353" w:rsidP="006E5353">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Professor David Coggon, Emeritus Professor of Occupational and Environmental Medicine</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,2</w:t>
      </w:r>
      <w:proofErr w:type="gramEnd"/>
    </w:p>
    <w:p w:rsidR="00316AF7" w:rsidRPr="00712C24" w:rsidRDefault="00316AF7" w:rsidP="00316AF7">
      <w:pPr>
        <w:widowControl w:val="0"/>
        <w:rPr>
          <w:rFonts w:ascii="Times New Roman" w:hAnsi="Times New Roman" w:cs="Times New Roman"/>
          <w:sz w:val="24"/>
          <w:szCs w:val="24"/>
          <w:vertAlign w:val="superscript"/>
        </w:rPr>
      </w:pPr>
      <w:r w:rsidRPr="00A22114">
        <w:rPr>
          <w:rFonts w:ascii="Times New Roman" w:hAnsi="Times New Roman" w:cs="Times New Roman"/>
          <w:sz w:val="24"/>
          <w:szCs w:val="24"/>
        </w:rPr>
        <w:t>Professor Karen Walker-Bone, Professor of Occupational Rheumatology</w:t>
      </w:r>
      <w:r w:rsidRPr="00A22114">
        <w:rPr>
          <w:rFonts w:ascii="Times New Roman" w:hAnsi="Times New Roman" w:cs="Times New Roman"/>
          <w:sz w:val="24"/>
          <w:szCs w:val="24"/>
          <w:vertAlign w:val="superscript"/>
        </w:rPr>
        <w:t>1</w:t>
      </w:r>
      <w:proofErr w:type="gramStart"/>
      <w:r w:rsidRPr="00A22114">
        <w:rPr>
          <w:rFonts w:ascii="Times New Roman" w:hAnsi="Times New Roman" w:cs="Times New Roman"/>
          <w:sz w:val="24"/>
          <w:szCs w:val="24"/>
          <w:vertAlign w:val="superscript"/>
        </w:rPr>
        <w:t>,2</w:t>
      </w:r>
      <w:proofErr w:type="gramEnd"/>
    </w:p>
    <w:p w:rsidR="006E5353" w:rsidRPr="00712C24" w:rsidRDefault="006E5353" w:rsidP="006E5353">
      <w:pPr>
        <w:widowControl w:val="0"/>
        <w:rPr>
          <w:rFonts w:ascii="Times New Roman" w:hAnsi="Times New Roman" w:cs="Times New Roman"/>
          <w:b/>
          <w:bCs/>
          <w:sz w:val="24"/>
          <w:szCs w:val="24"/>
        </w:rPr>
      </w:pP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MRC Lifecourse Epidemiology Unit, University of Southampton</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Arthritis Research UK/MRC Centre for Musculoskeletal Health and Work, University of Southampton</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NIHR Collaboration for Leadership in Applied Health Research and Care Wessex</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Institute of Neuroscience, Newcastle University</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NIHR Newcastle Biomedical Research Centre, Newcastle University and Newcastle upon Tyne Hospitals NHS Foundation Trust</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Centre for Cognitive Ageing and Cognitive Epidemiology, Department of Psychology, University of Edinburgh</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Centre for Research on Ageing, University of Southampton</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Farr Institute, University of Manchester</w:t>
      </w:r>
    </w:p>
    <w:p w:rsidR="006E5353" w:rsidRPr="00712C24" w:rsidRDefault="006E5353" w:rsidP="006E5353">
      <w:pPr>
        <w:pStyle w:val="ListParagraph"/>
        <w:widowControl w:val="0"/>
        <w:numPr>
          <w:ilvl w:val="0"/>
          <w:numId w:val="1"/>
        </w:numPr>
        <w:ind w:left="1353"/>
        <w:rPr>
          <w:rFonts w:ascii="Times New Roman" w:hAnsi="Times New Roman" w:cs="Times New Roman"/>
          <w:sz w:val="24"/>
          <w:szCs w:val="24"/>
        </w:rPr>
      </w:pPr>
      <w:r w:rsidRPr="00712C24">
        <w:rPr>
          <w:rFonts w:ascii="Times New Roman" w:hAnsi="Times New Roman" w:cs="Times New Roman"/>
          <w:sz w:val="24"/>
          <w:szCs w:val="24"/>
        </w:rPr>
        <w:t>Utrecht Institute for Pharmaceutical Sciences, Utrecht University</w:t>
      </w:r>
    </w:p>
    <w:p w:rsidR="006E5353" w:rsidRPr="00712C24" w:rsidRDefault="006E5353" w:rsidP="006E5353">
      <w:pPr>
        <w:widowControl w:val="0"/>
        <w:rPr>
          <w:rFonts w:ascii="Times New Roman" w:hAnsi="Times New Roman" w:cs="Times New Roman"/>
          <w:sz w:val="24"/>
          <w:szCs w:val="24"/>
        </w:rPr>
      </w:pPr>
    </w:p>
    <w:p w:rsidR="006E5353" w:rsidRPr="00712C24" w:rsidRDefault="006E5353" w:rsidP="006E5353">
      <w:pPr>
        <w:widowControl w:val="0"/>
        <w:rPr>
          <w:rFonts w:ascii="Times New Roman" w:hAnsi="Times New Roman" w:cs="Times New Roman"/>
          <w:sz w:val="24"/>
          <w:szCs w:val="24"/>
        </w:rPr>
      </w:pPr>
      <w:r w:rsidRPr="00712C24">
        <w:rPr>
          <w:rFonts w:ascii="Times New Roman" w:hAnsi="Times New Roman" w:cs="Times New Roman"/>
          <w:sz w:val="24"/>
          <w:szCs w:val="24"/>
        </w:rPr>
        <w:t>Correspondence to: Professor Keith Palmer, Medical Research Council Lifecourse Epidemiology Unit, University of Southampton, Southampton General Hospital, Southampton SO16 6YD, UK</w:t>
      </w:r>
    </w:p>
    <w:p w:rsidR="006E5353" w:rsidRPr="00712C24" w:rsidRDefault="006E5353" w:rsidP="00D64E4B">
      <w:pPr>
        <w:widowControl w:val="0"/>
        <w:rPr>
          <w:rFonts w:ascii="Times New Roman" w:hAnsi="Times New Roman" w:cs="Times New Roman"/>
          <w:sz w:val="24"/>
          <w:szCs w:val="24"/>
        </w:rPr>
      </w:pPr>
      <w:r w:rsidRPr="00712C24">
        <w:rPr>
          <w:rFonts w:ascii="Times New Roman" w:hAnsi="Times New Roman" w:cs="Times New Roman"/>
          <w:sz w:val="24"/>
          <w:szCs w:val="24"/>
        </w:rPr>
        <w:t>Tel: (023) 80777624, Fax no: (023) 80704021</w:t>
      </w:r>
      <w:r w:rsidR="00316AF7" w:rsidRPr="00712C24">
        <w:rPr>
          <w:rFonts w:ascii="Times New Roman" w:hAnsi="Times New Roman" w:cs="Times New Roman"/>
          <w:sz w:val="24"/>
          <w:szCs w:val="24"/>
        </w:rPr>
        <w:t>,</w:t>
      </w:r>
      <w:r w:rsidRPr="00712C24">
        <w:rPr>
          <w:rFonts w:ascii="Times New Roman" w:hAnsi="Times New Roman" w:cs="Times New Roman"/>
          <w:sz w:val="24"/>
          <w:szCs w:val="24"/>
        </w:rPr>
        <w:t xml:space="preserve"> </w:t>
      </w:r>
      <w:r w:rsidR="00316AF7" w:rsidRPr="00712C24">
        <w:rPr>
          <w:rFonts w:ascii="Times New Roman" w:hAnsi="Times New Roman" w:cs="Times New Roman"/>
          <w:szCs w:val="24"/>
        </w:rPr>
        <w:t>e</w:t>
      </w:r>
      <w:r w:rsidRPr="00712C24">
        <w:rPr>
          <w:rFonts w:ascii="Times New Roman" w:hAnsi="Times New Roman" w:cs="Times New Roman"/>
          <w:szCs w:val="24"/>
        </w:rPr>
        <w:t xml:space="preserve">-mail: </w:t>
      </w:r>
      <w:hyperlink r:id="rId9" w:history="1">
        <w:r w:rsidRPr="00712C24">
          <w:rPr>
            <w:rStyle w:val="Hyperlink"/>
            <w:rFonts w:ascii="Times New Roman" w:hAnsi="Times New Roman" w:cs="Times New Roman"/>
            <w:szCs w:val="24"/>
          </w:rPr>
          <w:t>ktp@mrc.soton.ac.uk</w:t>
        </w:r>
      </w:hyperlink>
      <w:r w:rsidR="00D64E4B" w:rsidRPr="00712C24">
        <w:rPr>
          <w:rFonts w:ascii="Times New Roman" w:hAnsi="Times New Roman" w:cs="Times New Roman"/>
          <w:sz w:val="24"/>
          <w:szCs w:val="24"/>
        </w:rPr>
        <w:t xml:space="preserve"> </w:t>
      </w:r>
      <w:r w:rsidRPr="00712C24">
        <w:rPr>
          <w:rFonts w:ascii="Times New Roman" w:hAnsi="Times New Roman" w:cs="Times New Roman"/>
          <w:b/>
          <w:sz w:val="24"/>
          <w:szCs w:val="24"/>
        </w:rPr>
        <w:br w:type="page"/>
      </w:r>
    </w:p>
    <w:p w:rsidR="00D64E4B" w:rsidRPr="00712C24" w:rsidRDefault="00D64E4B" w:rsidP="00D64E4B">
      <w:pPr>
        <w:rPr>
          <w:rFonts w:ascii="Times New Roman" w:hAnsi="Times New Roman" w:cs="Times New Roman"/>
          <w:sz w:val="24"/>
          <w:szCs w:val="24"/>
        </w:rPr>
      </w:pPr>
      <w:r w:rsidRPr="00712C24">
        <w:rPr>
          <w:rFonts w:ascii="Times New Roman" w:hAnsi="Times New Roman" w:cs="Times New Roman"/>
          <w:sz w:val="24"/>
          <w:szCs w:val="24"/>
        </w:rPr>
        <w:lastRenderedPageBreak/>
        <w:t>The Corresponding Author has the right to grant on behalf of all authors and does grant on behalf of all authors, an exclusive licence (or non-exclusive licence for UK Crown and US Federal Government employees) on a worldwide basis to the BMJ Publishing Group Ltd, and its Licensees to permit this article (if accepted) to be published in Occupational and Environmental Medicine and any other BMJPGL products and to exploit all subsidiary rights, as set out in the licence.</w:t>
      </w:r>
    </w:p>
    <w:p w:rsidR="00D64E4B" w:rsidRPr="00712C24" w:rsidRDefault="00D64E4B" w:rsidP="006E5353">
      <w:pPr>
        <w:rPr>
          <w:rFonts w:ascii="Times New Roman" w:hAnsi="Times New Roman" w:cs="Times New Roman"/>
          <w:b/>
          <w:sz w:val="24"/>
          <w:szCs w:val="24"/>
        </w:rPr>
      </w:pPr>
    </w:p>
    <w:p w:rsidR="00D64E4B" w:rsidRPr="00712C24" w:rsidRDefault="00D64E4B" w:rsidP="00D64E4B">
      <w:pPr>
        <w:rPr>
          <w:rFonts w:ascii="Times New Roman" w:hAnsi="Times New Roman" w:cs="Times New Roman"/>
          <w:sz w:val="24"/>
          <w:szCs w:val="24"/>
        </w:rPr>
      </w:pPr>
      <w:r w:rsidRPr="00712C24">
        <w:rPr>
          <w:rFonts w:ascii="Times New Roman" w:hAnsi="Times New Roman" w:cs="Times New Roman"/>
          <w:b/>
          <w:sz w:val="24"/>
          <w:szCs w:val="24"/>
        </w:rPr>
        <w:t>Key words:</w:t>
      </w:r>
      <w:r w:rsidRPr="00712C24">
        <w:rPr>
          <w:rFonts w:ascii="Times New Roman" w:hAnsi="Times New Roman" w:cs="Times New Roman"/>
          <w:sz w:val="24"/>
          <w:szCs w:val="24"/>
        </w:rPr>
        <w:t xml:space="preserve"> work, frail, job loss, sickness absence, work limitations</w:t>
      </w:r>
    </w:p>
    <w:p w:rsidR="00D64E4B" w:rsidRPr="00712C24" w:rsidRDefault="00D64E4B" w:rsidP="006E5353">
      <w:pPr>
        <w:rPr>
          <w:rFonts w:ascii="Times New Roman" w:hAnsi="Times New Roman" w:cs="Times New Roman"/>
          <w:b/>
          <w:sz w:val="24"/>
          <w:szCs w:val="24"/>
        </w:rPr>
      </w:pPr>
    </w:p>
    <w:p w:rsidR="00D64E4B" w:rsidRPr="00712C24" w:rsidRDefault="00D64E4B" w:rsidP="00D64E4B">
      <w:pPr>
        <w:rPr>
          <w:rFonts w:ascii="Times New Roman" w:hAnsi="Times New Roman" w:cs="Times New Roman"/>
          <w:sz w:val="24"/>
          <w:szCs w:val="24"/>
        </w:rPr>
      </w:pPr>
      <w:r w:rsidRPr="00712C24">
        <w:rPr>
          <w:rFonts w:ascii="Times New Roman" w:hAnsi="Times New Roman" w:cs="Times New Roman"/>
          <w:b/>
          <w:sz w:val="24"/>
          <w:szCs w:val="24"/>
        </w:rPr>
        <w:t>Word count</w:t>
      </w:r>
      <w:r w:rsidRPr="00712C24">
        <w:rPr>
          <w:rFonts w:ascii="Times New Roman" w:hAnsi="Times New Roman" w:cs="Times New Roman"/>
          <w:sz w:val="24"/>
          <w:szCs w:val="24"/>
        </w:rPr>
        <w:t>: main text excluding references, 3,</w:t>
      </w:r>
      <w:r w:rsidR="00E14A2C">
        <w:rPr>
          <w:rFonts w:ascii="Times New Roman" w:hAnsi="Times New Roman" w:cs="Times New Roman"/>
          <w:sz w:val="24"/>
          <w:szCs w:val="24"/>
        </w:rPr>
        <w:t>398</w:t>
      </w:r>
      <w:r w:rsidRPr="00712C24">
        <w:rPr>
          <w:rFonts w:ascii="Times New Roman" w:hAnsi="Times New Roman" w:cs="Times New Roman"/>
          <w:sz w:val="24"/>
          <w:szCs w:val="24"/>
        </w:rPr>
        <w:t>; abstract, 250.  Tables: 5 (plus 2 online supplementary tables)</w:t>
      </w:r>
    </w:p>
    <w:p w:rsidR="00D64E4B" w:rsidRPr="00712C24" w:rsidRDefault="00D64E4B" w:rsidP="00D64E4B">
      <w:pPr>
        <w:rPr>
          <w:rFonts w:ascii="Times New Roman" w:hAnsi="Times New Roman" w:cs="Times New Roman"/>
          <w:sz w:val="24"/>
          <w:szCs w:val="24"/>
        </w:rPr>
      </w:pPr>
    </w:p>
    <w:p w:rsidR="00D64E4B" w:rsidRPr="00712C24" w:rsidRDefault="00D64E4B" w:rsidP="00D64E4B">
      <w:pPr>
        <w:rPr>
          <w:rFonts w:ascii="Times New Roman" w:hAnsi="Times New Roman" w:cs="Times New Roman"/>
          <w:b/>
          <w:sz w:val="24"/>
          <w:szCs w:val="24"/>
        </w:rPr>
      </w:pPr>
      <w:r w:rsidRPr="00712C24">
        <w:rPr>
          <w:rFonts w:ascii="Times New Roman" w:hAnsi="Times New Roman" w:cs="Times New Roman"/>
          <w:b/>
          <w:sz w:val="24"/>
          <w:szCs w:val="24"/>
        </w:rPr>
        <w:t>What this paper adds</w:t>
      </w:r>
    </w:p>
    <w:p w:rsidR="00D64E4B" w:rsidRPr="00712C24" w:rsidRDefault="00D64E4B" w:rsidP="005B7A9A">
      <w:pPr>
        <w:pStyle w:val="ListParagraph"/>
        <w:numPr>
          <w:ilvl w:val="0"/>
          <w:numId w:val="3"/>
        </w:numPr>
        <w:rPr>
          <w:rFonts w:ascii="Times New Roman" w:hAnsi="Times New Roman" w:cs="Times New Roman"/>
          <w:sz w:val="24"/>
          <w:szCs w:val="24"/>
        </w:rPr>
      </w:pPr>
      <w:r w:rsidRPr="00712C24">
        <w:rPr>
          <w:rFonts w:ascii="Times New Roman" w:hAnsi="Times New Roman" w:cs="Times New Roman"/>
          <w:sz w:val="24"/>
          <w:szCs w:val="24"/>
        </w:rPr>
        <w:t>In elderly care medicine, a phenotype of physical ‘frailty’ has been found to predict many adverse</w:t>
      </w:r>
      <w:r w:rsidR="005B7A9A" w:rsidRPr="00712C24">
        <w:rPr>
          <w:rFonts w:ascii="Times New Roman" w:hAnsi="Times New Roman" w:cs="Times New Roman"/>
          <w:sz w:val="24"/>
          <w:szCs w:val="24"/>
        </w:rPr>
        <w:t xml:space="preserve"> health</w:t>
      </w:r>
      <w:r w:rsidRPr="00712C24">
        <w:rPr>
          <w:rFonts w:ascii="Times New Roman" w:hAnsi="Times New Roman" w:cs="Times New Roman"/>
          <w:sz w:val="24"/>
          <w:szCs w:val="24"/>
        </w:rPr>
        <w:t xml:space="preserve"> outcomes and has proved a target for intervention</w:t>
      </w:r>
    </w:p>
    <w:p w:rsidR="00D64E4B" w:rsidRPr="00712C24" w:rsidRDefault="00D64E4B" w:rsidP="005B7A9A">
      <w:pPr>
        <w:pStyle w:val="ListParagraph"/>
        <w:numPr>
          <w:ilvl w:val="0"/>
          <w:numId w:val="3"/>
        </w:numPr>
        <w:rPr>
          <w:rFonts w:ascii="Times New Roman" w:hAnsi="Times New Roman" w:cs="Times New Roman"/>
          <w:sz w:val="24"/>
          <w:szCs w:val="24"/>
        </w:rPr>
      </w:pPr>
      <w:r w:rsidRPr="00712C24">
        <w:rPr>
          <w:rFonts w:ascii="Times New Roman" w:hAnsi="Times New Roman" w:cs="Times New Roman"/>
          <w:sz w:val="24"/>
          <w:szCs w:val="24"/>
        </w:rPr>
        <w:t xml:space="preserve">The </w:t>
      </w:r>
      <w:r w:rsidR="005B7A9A" w:rsidRPr="00712C24">
        <w:rPr>
          <w:rFonts w:ascii="Times New Roman" w:hAnsi="Times New Roman" w:cs="Times New Roman"/>
          <w:sz w:val="24"/>
          <w:szCs w:val="24"/>
        </w:rPr>
        <w:t xml:space="preserve">potential impact of the </w:t>
      </w:r>
      <w:r w:rsidRPr="00712C24">
        <w:rPr>
          <w:rFonts w:ascii="Times New Roman" w:hAnsi="Times New Roman" w:cs="Times New Roman"/>
          <w:sz w:val="24"/>
          <w:szCs w:val="24"/>
        </w:rPr>
        <w:t xml:space="preserve">phenotype on </w:t>
      </w:r>
      <w:r w:rsidR="005B7A9A" w:rsidRPr="00712C24">
        <w:rPr>
          <w:rFonts w:ascii="Times New Roman" w:hAnsi="Times New Roman" w:cs="Times New Roman"/>
          <w:sz w:val="24"/>
          <w:szCs w:val="24"/>
        </w:rPr>
        <w:t>employment</w:t>
      </w:r>
      <w:r w:rsidRPr="00712C24">
        <w:rPr>
          <w:rFonts w:ascii="Times New Roman" w:hAnsi="Times New Roman" w:cs="Times New Roman"/>
          <w:sz w:val="24"/>
          <w:szCs w:val="24"/>
        </w:rPr>
        <w:t xml:space="preserve"> has not been studied previously</w:t>
      </w:r>
      <w:r w:rsidR="005B7A9A" w:rsidRPr="00712C24">
        <w:rPr>
          <w:rFonts w:ascii="Times New Roman" w:hAnsi="Times New Roman" w:cs="Times New Roman"/>
          <w:sz w:val="24"/>
          <w:szCs w:val="24"/>
        </w:rPr>
        <w:t xml:space="preserve"> however</w:t>
      </w:r>
    </w:p>
    <w:p w:rsidR="005B7A9A" w:rsidRPr="00712C24" w:rsidRDefault="00D64E4B" w:rsidP="005B7A9A">
      <w:pPr>
        <w:pStyle w:val="ListParagraph"/>
        <w:numPr>
          <w:ilvl w:val="0"/>
          <w:numId w:val="3"/>
        </w:numPr>
        <w:rPr>
          <w:rFonts w:ascii="Times New Roman" w:hAnsi="Times New Roman" w:cs="Times New Roman"/>
          <w:sz w:val="24"/>
          <w:szCs w:val="24"/>
        </w:rPr>
      </w:pPr>
      <w:r w:rsidRPr="00712C24">
        <w:rPr>
          <w:rFonts w:ascii="Times New Roman" w:hAnsi="Times New Roman" w:cs="Times New Roman"/>
          <w:sz w:val="24"/>
          <w:szCs w:val="24"/>
        </w:rPr>
        <w:t>Using a symptom checklist adapted from previous research, we have found that ‘frailty’ symptoms are not uncommon in people aged 50-65 years in the English general population</w:t>
      </w:r>
      <w:r w:rsidR="005B7A9A" w:rsidRPr="00712C24">
        <w:rPr>
          <w:rFonts w:ascii="Times New Roman" w:hAnsi="Times New Roman" w:cs="Times New Roman"/>
          <w:sz w:val="24"/>
          <w:szCs w:val="24"/>
        </w:rPr>
        <w:t xml:space="preserve"> and are very strongly associated </w:t>
      </w:r>
      <w:r w:rsidR="002851F2" w:rsidRPr="00712C24">
        <w:rPr>
          <w:rFonts w:ascii="Times New Roman" w:hAnsi="Times New Roman" w:cs="Times New Roman"/>
          <w:sz w:val="24"/>
          <w:szCs w:val="24"/>
        </w:rPr>
        <w:t>cross-</w:t>
      </w:r>
      <w:proofErr w:type="spellStart"/>
      <w:r w:rsidR="002851F2" w:rsidRPr="00712C24">
        <w:rPr>
          <w:rFonts w:ascii="Times New Roman" w:hAnsi="Times New Roman" w:cs="Times New Roman"/>
          <w:sz w:val="24"/>
          <w:szCs w:val="24"/>
        </w:rPr>
        <w:t>sectionally</w:t>
      </w:r>
      <w:proofErr w:type="spellEnd"/>
      <w:r w:rsidR="002851F2" w:rsidRPr="00712C24">
        <w:rPr>
          <w:rFonts w:ascii="Times New Roman" w:hAnsi="Times New Roman" w:cs="Times New Roman"/>
          <w:sz w:val="24"/>
          <w:szCs w:val="24"/>
        </w:rPr>
        <w:t xml:space="preserve"> </w:t>
      </w:r>
      <w:r w:rsidR="005B7A9A" w:rsidRPr="00712C24">
        <w:rPr>
          <w:rFonts w:ascii="Times New Roman" w:hAnsi="Times New Roman" w:cs="Times New Roman"/>
          <w:sz w:val="24"/>
          <w:szCs w:val="24"/>
        </w:rPr>
        <w:t xml:space="preserve">with </w:t>
      </w:r>
      <w:proofErr w:type="spellStart"/>
      <w:r w:rsidR="005B7A9A" w:rsidRPr="00712C24">
        <w:rPr>
          <w:rFonts w:ascii="Times New Roman" w:hAnsi="Times New Roman" w:cs="Times New Roman"/>
          <w:sz w:val="24"/>
          <w:szCs w:val="24"/>
        </w:rPr>
        <w:t>worklessness</w:t>
      </w:r>
      <w:proofErr w:type="spellEnd"/>
      <w:r w:rsidR="005B7A9A" w:rsidRPr="00712C24">
        <w:rPr>
          <w:rFonts w:ascii="Times New Roman" w:hAnsi="Times New Roman" w:cs="Times New Roman"/>
          <w:sz w:val="24"/>
          <w:szCs w:val="24"/>
        </w:rPr>
        <w:t>, health-related job loss, sickness absence and not coping at work</w:t>
      </w:r>
    </w:p>
    <w:p w:rsidR="00D64E4B" w:rsidRPr="00712C24" w:rsidRDefault="005B7A9A" w:rsidP="005B7A9A">
      <w:pPr>
        <w:pStyle w:val="ListParagraph"/>
        <w:numPr>
          <w:ilvl w:val="0"/>
          <w:numId w:val="3"/>
        </w:numPr>
        <w:rPr>
          <w:rFonts w:ascii="Times New Roman" w:hAnsi="Times New Roman" w:cs="Times New Roman"/>
          <w:sz w:val="24"/>
          <w:szCs w:val="24"/>
        </w:rPr>
      </w:pPr>
      <w:r w:rsidRPr="00712C24">
        <w:rPr>
          <w:rFonts w:ascii="Times New Roman" w:hAnsi="Times New Roman" w:cs="Times New Roman"/>
          <w:sz w:val="24"/>
          <w:szCs w:val="24"/>
        </w:rPr>
        <w:t xml:space="preserve">Our findings need to be corroborated longitudinally, and the physical function and clinical </w:t>
      </w:r>
      <w:r w:rsidR="00CA16F0" w:rsidRPr="00712C24">
        <w:rPr>
          <w:rFonts w:ascii="Times New Roman" w:hAnsi="Times New Roman" w:cs="Times New Roman"/>
          <w:sz w:val="24"/>
          <w:szCs w:val="24"/>
        </w:rPr>
        <w:t>features</w:t>
      </w:r>
      <w:r w:rsidRPr="00712C24">
        <w:rPr>
          <w:rFonts w:ascii="Times New Roman" w:hAnsi="Times New Roman" w:cs="Times New Roman"/>
          <w:sz w:val="24"/>
          <w:szCs w:val="24"/>
        </w:rPr>
        <w:t xml:space="preserve"> of those with multiple symptoms characterised</w:t>
      </w:r>
      <w:r w:rsidR="00F913F3" w:rsidRPr="00712C24">
        <w:rPr>
          <w:rFonts w:ascii="Times New Roman" w:hAnsi="Times New Roman" w:cs="Times New Roman"/>
          <w:sz w:val="24"/>
          <w:szCs w:val="24"/>
        </w:rPr>
        <w:t>,</w:t>
      </w:r>
      <w:r w:rsidR="00AC7707" w:rsidRPr="00712C24">
        <w:rPr>
          <w:rFonts w:ascii="Times New Roman" w:hAnsi="Times New Roman" w:cs="Times New Roman"/>
          <w:sz w:val="24"/>
          <w:szCs w:val="24"/>
        </w:rPr>
        <w:t xml:space="preserve"> as a possible prelude to developing instruments to screen for frailty in employment</w:t>
      </w:r>
    </w:p>
    <w:p w:rsidR="00D64E4B" w:rsidRPr="00712C24" w:rsidRDefault="00D64E4B">
      <w:pPr>
        <w:rPr>
          <w:rFonts w:ascii="Times New Roman" w:hAnsi="Times New Roman" w:cs="Times New Roman"/>
          <w:b/>
          <w:sz w:val="24"/>
          <w:szCs w:val="24"/>
        </w:rPr>
      </w:pPr>
      <w:r w:rsidRPr="00712C24">
        <w:rPr>
          <w:rFonts w:ascii="Times New Roman" w:hAnsi="Times New Roman" w:cs="Times New Roman"/>
          <w:b/>
          <w:sz w:val="24"/>
          <w:szCs w:val="24"/>
        </w:rPr>
        <w:br w:type="page"/>
      </w:r>
    </w:p>
    <w:p w:rsidR="006E5353" w:rsidRPr="00712C24" w:rsidRDefault="006E5353" w:rsidP="006E5353">
      <w:pPr>
        <w:rPr>
          <w:rFonts w:ascii="Times New Roman" w:hAnsi="Times New Roman" w:cs="Times New Roman"/>
          <w:b/>
          <w:sz w:val="24"/>
          <w:szCs w:val="24"/>
        </w:rPr>
      </w:pPr>
      <w:r w:rsidRPr="00712C24">
        <w:rPr>
          <w:rFonts w:ascii="Times New Roman" w:hAnsi="Times New Roman" w:cs="Times New Roman"/>
          <w:b/>
          <w:sz w:val="24"/>
          <w:szCs w:val="24"/>
        </w:rPr>
        <w:lastRenderedPageBreak/>
        <w:t>Abstract</w:t>
      </w:r>
    </w:p>
    <w:p w:rsidR="006E5353" w:rsidRPr="00712C24" w:rsidRDefault="006F4710" w:rsidP="006E5353">
      <w:pPr>
        <w:rPr>
          <w:rFonts w:ascii="Times New Roman" w:hAnsi="Times New Roman" w:cs="Times New Roman"/>
          <w:sz w:val="24"/>
          <w:szCs w:val="24"/>
        </w:rPr>
      </w:pPr>
      <w:r w:rsidRPr="00712C24">
        <w:rPr>
          <w:rFonts w:ascii="Times New Roman" w:hAnsi="Times New Roman" w:cs="Times New Roman"/>
          <w:b/>
          <w:sz w:val="24"/>
          <w:szCs w:val="24"/>
        </w:rPr>
        <w:t>Objectives</w:t>
      </w:r>
      <w:r w:rsidR="006E5353" w:rsidRPr="00712C24">
        <w:rPr>
          <w:rFonts w:ascii="Times New Roman" w:hAnsi="Times New Roman" w:cs="Times New Roman"/>
          <w:b/>
          <w:sz w:val="24"/>
          <w:szCs w:val="24"/>
        </w:rPr>
        <w:t>:</w:t>
      </w:r>
      <w:r w:rsidR="006E5353" w:rsidRPr="00712C24">
        <w:rPr>
          <w:rFonts w:ascii="Times New Roman" w:hAnsi="Times New Roman" w:cs="Times New Roman"/>
          <w:sz w:val="24"/>
          <w:szCs w:val="24"/>
        </w:rPr>
        <w:t xml:space="preserve"> </w:t>
      </w:r>
      <w:r w:rsidRPr="00712C24">
        <w:rPr>
          <w:rFonts w:ascii="Times New Roman" w:hAnsi="Times New Roman" w:cs="Times New Roman"/>
          <w:sz w:val="24"/>
          <w:szCs w:val="24"/>
        </w:rPr>
        <w:t>Demographic changes are requiring people to work longer. No previous studies, however</w:t>
      </w:r>
      <w:r w:rsidR="00DE29A2" w:rsidRPr="00712C24">
        <w:rPr>
          <w:rFonts w:ascii="Times New Roman" w:hAnsi="Times New Roman" w:cs="Times New Roman"/>
          <w:sz w:val="24"/>
          <w:szCs w:val="24"/>
        </w:rPr>
        <w:t>, have focussed on whether the ‘frailty’</w:t>
      </w:r>
      <w:r w:rsidRPr="00712C24">
        <w:rPr>
          <w:rFonts w:ascii="Times New Roman" w:hAnsi="Times New Roman" w:cs="Times New Roman"/>
          <w:sz w:val="24"/>
          <w:szCs w:val="24"/>
        </w:rPr>
        <w:t xml:space="preserve"> phenotype (which predicts </w:t>
      </w:r>
      <w:r w:rsidR="00914448" w:rsidRPr="00712C24">
        <w:rPr>
          <w:rFonts w:ascii="Times New Roman" w:hAnsi="Times New Roman" w:cs="Times New Roman"/>
          <w:sz w:val="24"/>
          <w:szCs w:val="24"/>
        </w:rPr>
        <w:t>adverse events</w:t>
      </w:r>
      <w:r w:rsidRPr="00712C24">
        <w:rPr>
          <w:rFonts w:ascii="Times New Roman" w:hAnsi="Times New Roman" w:cs="Times New Roman"/>
          <w:sz w:val="24"/>
          <w:szCs w:val="24"/>
        </w:rPr>
        <w:t xml:space="preserve"> in the elderly) </w:t>
      </w:r>
      <w:r w:rsidR="00914448" w:rsidRPr="00712C24">
        <w:rPr>
          <w:rFonts w:ascii="Times New Roman" w:hAnsi="Times New Roman" w:cs="Times New Roman"/>
          <w:sz w:val="24"/>
          <w:szCs w:val="24"/>
        </w:rPr>
        <w:t>is</w:t>
      </w:r>
      <w:r w:rsidRPr="00712C24">
        <w:rPr>
          <w:rFonts w:ascii="Times New Roman" w:hAnsi="Times New Roman" w:cs="Times New Roman"/>
          <w:sz w:val="24"/>
          <w:szCs w:val="24"/>
        </w:rPr>
        <w:t xml:space="preserve"> associated with </w:t>
      </w:r>
      <w:r w:rsidR="00914448" w:rsidRPr="00712C24">
        <w:rPr>
          <w:rFonts w:ascii="Times New Roman" w:hAnsi="Times New Roman" w:cs="Times New Roman"/>
          <w:sz w:val="24"/>
          <w:szCs w:val="24"/>
        </w:rPr>
        <w:t>employment difficulties</w:t>
      </w:r>
      <w:r w:rsidRPr="00712C24">
        <w:rPr>
          <w:rFonts w:ascii="Times New Roman" w:hAnsi="Times New Roman" w:cs="Times New Roman"/>
          <w:sz w:val="24"/>
          <w:szCs w:val="24"/>
        </w:rPr>
        <w:t>. To provide information, we assessed</w:t>
      </w:r>
      <w:r w:rsidR="00E14A2C">
        <w:rPr>
          <w:rFonts w:ascii="Times New Roman" w:hAnsi="Times New Roman" w:cs="Times New Roman"/>
          <w:sz w:val="24"/>
          <w:szCs w:val="24"/>
        </w:rPr>
        <w:t xml:space="preserve"> associations</w:t>
      </w:r>
      <w:r w:rsidRPr="00712C24">
        <w:rPr>
          <w:rFonts w:ascii="Times New Roman" w:hAnsi="Times New Roman" w:cs="Times New Roman"/>
          <w:sz w:val="24"/>
          <w:szCs w:val="24"/>
        </w:rPr>
        <w:t xml:space="preserve"> in</w:t>
      </w:r>
      <w:r w:rsidR="00E14A2C">
        <w:rPr>
          <w:rFonts w:ascii="Times New Roman" w:hAnsi="Times New Roman" w:cs="Times New Roman"/>
          <w:sz w:val="24"/>
          <w:szCs w:val="24"/>
        </w:rPr>
        <w:t xml:space="preserve"> the HEAF study,</w:t>
      </w:r>
      <w:r w:rsidRPr="00712C24">
        <w:rPr>
          <w:rFonts w:ascii="Times New Roman" w:hAnsi="Times New Roman" w:cs="Times New Roman"/>
          <w:sz w:val="24"/>
          <w:szCs w:val="24"/>
        </w:rPr>
        <w:t xml:space="preserve"> a population-based cohort of 50-65 year-olds.</w:t>
      </w:r>
    </w:p>
    <w:p w:rsidR="006F4710" w:rsidRPr="00712C24" w:rsidRDefault="006F4710" w:rsidP="006E5353">
      <w:pPr>
        <w:rPr>
          <w:rFonts w:ascii="Times New Roman" w:hAnsi="Times New Roman" w:cs="Times New Roman"/>
          <w:b/>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b/>
          <w:sz w:val="24"/>
          <w:szCs w:val="24"/>
        </w:rPr>
        <w:t>Methods:</w:t>
      </w:r>
      <w:r w:rsidRPr="00712C24">
        <w:rPr>
          <w:rFonts w:ascii="Times New Roman" w:hAnsi="Times New Roman" w:cs="Times New Roman"/>
          <w:sz w:val="24"/>
          <w:szCs w:val="24"/>
        </w:rPr>
        <w:t xml:space="preserve"> Subjects, who were recruited from 24 English general practices, completed a baseline questionnaire on </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pre-frailty</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 xml:space="preserve"> and </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frailty</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 xml:space="preserve"> (adapted Fried criteria) and several work outcomes, including health-related job loss (HRJL), prolonged sickness absence (&gt;20 days vs. less, past 12 months), having to cut down </w:t>
      </w:r>
      <w:r w:rsidR="00914448" w:rsidRPr="00712C24">
        <w:rPr>
          <w:rFonts w:ascii="Times New Roman" w:hAnsi="Times New Roman" w:cs="Times New Roman"/>
          <w:sz w:val="24"/>
          <w:szCs w:val="24"/>
        </w:rPr>
        <w:t xml:space="preserve">substantially </w:t>
      </w:r>
      <w:r w:rsidRPr="00712C24">
        <w:rPr>
          <w:rFonts w:ascii="Times New Roman" w:hAnsi="Times New Roman" w:cs="Times New Roman"/>
          <w:sz w:val="24"/>
          <w:szCs w:val="24"/>
        </w:rPr>
        <w:t>at work and difficulty coping with work’s demands.</w:t>
      </w:r>
      <w:r w:rsidRPr="00712C24">
        <w:t xml:space="preserve"> </w:t>
      </w:r>
      <w:r w:rsidRPr="00712C24">
        <w:rPr>
          <w:rFonts w:ascii="Times New Roman" w:hAnsi="Times New Roman" w:cs="Times New Roman"/>
          <w:sz w:val="24"/>
          <w:szCs w:val="24"/>
        </w:rPr>
        <w:t>Associations were assessed using logistic regression and</w:t>
      </w:r>
      <w:r w:rsidRPr="00712C24">
        <w:t xml:space="preserve"> </w:t>
      </w:r>
      <w:r w:rsidRPr="00712C24">
        <w:rPr>
          <w:rFonts w:ascii="Times New Roman" w:hAnsi="Times New Roman" w:cs="Times New Roman"/>
          <w:sz w:val="24"/>
          <w:szCs w:val="24"/>
        </w:rPr>
        <w:t>population attributable fractions (PAFs) were calculated.</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b/>
          <w:sz w:val="24"/>
          <w:szCs w:val="24"/>
        </w:rPr>
        <w:t>Results:</w:t>
      </w:r>
      <w:r w:rsidRPr="00712C24">
        <w:rPr>
          <w:rFonts w:ascii="Times New Roman" w:hAnsi="Times New Roman" w:cs="Times New Roman"/>
          <w:sz w:val="24"/>
          <w:szCs w:val="24"/>
        </w:rPr>
        <w:t xml:space="preserve"> In all, 3.9% of 8,095 respondents were classed as </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frail</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 xml:space="preserve"> and 31.6% as </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pre-frail</w:t>
      </w:r>
      <w:r w:rsidR="006F4710" w:rsidRPr="00712C24">
        <w:rPr>
          <w:rFonts w:ascii="Times New Roman" w:hAnsi="Times New Roman" w:cs="Times New Roman"/>
          <w:sz w:val="24"/>
          <w:szCs w:val="24"/>
        </w:rPr>
        <w:t>’</w:t>
      </w:r>
      <w:r w:rsidRPr="00712C24">
        <w:rPr>
          <w:rFonts w:ascii="Times New Roman" w:hAnsi="Times New Roman" w:cs="Times New Roman"/>
          <w:sz w:val="24"/>
          <w:szCs w:val="24"/>
        </w:rPr>
        <w:t>. Three-quarters of the former were not in work, while 60% had left their last job on health grounds (odds ratio (OR) for HRJL, vs. non-frail subjects, 30.0 (95% Confidence Interval</w:t>
      </w:r>
      <w:r w:rsidR="006F4710" w:rsidRPr="00712C24">
        <w:rPr>
          <w:rFonts w:ascii="Times New Roman" w:hAnsi="Times New Roman" w:cs="Times New Roman"/>
          <w:sz w:val="24"/>
          <w:szCs w:val="24"/>
        </w:rPr>
        <w:t xml:space="preserve"> </w:t>
      </w:r>
      <w:r w:rsidRPr="00712C24">
        <w:rPr>
          <w:rFonts w:ascii="Times New Roman" w:hAnsi="Times New Roman" w:cs="Times New Roman"/>
          <w:sz w:val="24"/>
          <w:szCs w:val="24"/>
        </w:rPr>
        <w:t xml:space="preserve">23.0-39.2). Among those in work, </w:t>
      </w:r>
      <w:r w:rsidR="00914448" w:rsidRPr="00712C24">
        <w:rPr>
          <w:rFonts w:ascii="Times New Roman" w:hAnsi="Times New Roman" w:cs="Times New Roman"/>
          <w:sz w:val="24"/>
          <w:szCs w:val="24"/>
        </w:rPr>
        <w:t>ORs for</w:t>
      </w:r>
      <w:r w:rsidRPr="00712C24">
        <w:rPr>
          <w:rFonts w:ascii="Times New Roman" w:hAnsi="Times New Roman" w:cs="Times New Roman"/>
          <w:sz w:val="24"/>
          <w:szCs w:val="24"/>
        </w:rPr>
        <w:t xml:space="preserve"> prolonged sickness absence, cutting down substantially at work and struggling with work’s physical demands </w:t>
      </w:r>
      <w:r w:rsidR="00914448" w:rsidRPr="00712C24">
        <w:rPr>
          <w:rFonts w:ascii="Times New Roman" w:hAnsi="Times New Roman" w:cs="Times New Roman"/>
          <w:sz w:val="24"/>
          <w:szCs w:val="24"/>
        </w:rPr>
        <w:t>ranged from 10.7 to 17.2.</w:t>
      </w:r>
      <w:r w:rsidRPr="00712C24">
        <w:rPr>
          <w:rFonts w:ascii="Times New Roman" w:hAnsi="Times New Roman" w:cs="Times New Roman"/>
          <w:sz w:val="24"/>
          <w:szCs w:val="24"/>
        </w:rPr>
        <w:t xml:space="preserve"> The PAF for HRJL when any frailty marker was present was 51.8% and that for prolonged sickness absence was 32.5%. Associations were strongest with slow reported walking speed. Several associations were stronger in manual workers than in managers. </w:t>
      </w:r>
    </w:p>
    <w:p w:rsidR="006E5353" w:rsidRPr="00712C24" w:rsidRDefault="006E5353" w:rsidP="006E5353">
      <w:pPr>
        <w:rPr>
          <w:rFonts w:ascii="Times New Roman" w:hAnsi="Times New Roman" w:cs="Times New Roman"/>
          <w:sz w:val="24"/>
          <w:szCs w:val="24"/>
        </w:rPr>
      </w:pPr>
    </w:p>
    <w:p w:rsidR="006F4710" w:rsidRPr="00712C24" w:rsidRDefault="006E5353" w:rsidP="006F4710">
      <w:pPr>
        <w:rPr>
          <w:rFonts w:ascii="Times New Roman" w:hAnsi="Times New Roman" w:cs="Times New Roman"/>
          <w:sz w:val="24"/>
          <w:szCs w:val="24"/>
        </w:rPr>
      </w:pPr>
      <w:r w:rsidRPr="00712C24">
        <w:rPr>
          <w:rFonts w:ascii="Times New Roman" w:hAnsi="Times New Roman" w:cs="Times New Roman"/>
          <w:b/>
          <w:sz w:val="24"/>
          <w:szCs w:val="24"/>
        </w:rPr>
        <w:t>Conclusions:</w:t>
      </w:r>
      <w:r w:rsidRPr="00712C24">
        <w:rPr>
          <w:rFonts w:ascii="Times New Roman" w:hAnsi="Times New Roman" w:cs="Times New Roman"/>
          <w:sz w:val="24"/>
          <w:szCs w:val="24"/>
        </w:rPr>
        <w:t xml:space="preserve"> </w:t>
      </w:r>
      <w:r w:rsidR="006F4710" w:rsidRPr="00712C24">
        <w:rPr>
          <w:rFonts w:ascii="Times New Roman" w:hAnsi="Times New Roman" w:cs="Times New Roman"/>
          <w:sz w:val="24"/>
          <w:szCs w:val="24"/>
        </w:rPr>
        <w:t xml:space="preserve">Fried frailty symptoms are not uncommon in </w:t>
      </w:r>
      <w:r w:rsidR="00914448" w:rsidRPr="00712C24">
        <w:rPr>
          <w:rFonts w:ascii="Times New Roman" w:hAnsi="Times New Roman" w:cs="Times New Roman"/>
          <w:sz w:val="24"/>
          <w:szCs w:val="24"/>
        </w:rPr>
        <w:t>mid-life</w:t>
      </w:r>
      <w:r w:rsidR="006F4710" w:rsidRPr="00712C24">
        <w:rPr>
          <w:rFonts w:ascii="Times New Roman" w:hAnsi="Times New Roman" w:cs="Times New Roman"/>
          <w:sz w:val="24"/>
          <w:szCs w:val="24"/>
        </w:rPr>
        <w:t xml:space="preserve"> and are strongly linked with economically important </w:t>
      </w:r>
      <w:r w:rsidR="00D64E4B" w:rsidRPr="00712C24">
        <w:rPr>
          <w:rFonts w:ascii="Times New Roman" w:hAnsi="Times New Roman" w:cs="Times New Roman"/>
          <w:sz w:val="24"/>
          <w:szCs w:val="24"/>
        </w:rPr>
        <w:t xml:space="preserve">adverse </w:t>
      </w:r>
      <w:r w:rsidR="006F4710" w:rsidRPr="00712C24">
        <w:rPr>
          <w:rFonts w:ascii="Times New Roman" w:hAnsi="Times New Roman" w:cs="Times New Roman"/>
          <w:sz w:val="24"/>
          <w:szCs w:val="24"/>
        </w:rPr>
        <w:t xml:space="preserve">employment outcomes. Frailty </w:t>
      </w:r>
      <w:r w:rsidR="00914448" w:rsidRPr="00712C24">
        <w:rPr>
          <w:rFonts w:ascii="Times New Roman" w:hAnsi="Times New Roman" w:cs="Times New Roman"/>
          <w:sz w:val="24"/>
          <w:szCs w:val="24"/>
        </w:rPr>
        <w:t>could</w:t>
      </w:r>
      <w:r w:rsidR="006F4710" w:rsidRPr="00712C24">
        <w:rPr>
          <w:rFonts w:ascii="Times New Roman" w:hAnsi="Times New Roman" w:cs="Times New Roman"/>
          <w:sz w:val="24"/>
          <w:szCs w:val="24"/>
        </w:rPr>
        <w:t xml:space="preserve"> represent </w:t>
      </w:r>
      <w:r w:rsidR="00914448" w:rsidRPr="00712C24">
        <w:rPr>
          <w:rFonts w:ascii="Times New Roman" w:hAnsi="Times New Roman" w:cs="Times New Roman"/>
          <w:sz w:val="24"/>
          <w:szCs w:val="24"/>
        </w:rPr>
        <w:t>an important target</w:t>
      </w:r>
      <w:r w:rsidR="006F4710" w:rsidRPr="00712C24">
        <w:rPr>
          <w:rFonts w:ascii="Times New Roman" w:hAnsi="Times New Roman" w:cs="Times New Roman"/>
          <w:sz w:val="24"/>
          <w:szCs w:val="24"/>
        </w:rPr>
        <w:t xml:space="preserve"> for prevention.</w:t>
      </w:r>
    </w:p>
    <w:p w:rsidR="006E5353" w:rsidRPr="00712C24" w:rsidRDefault="006E5353" w:rsidP="006E5353">
      <w:pPr>
        <w:rPr>
          <w:rFonts w:ascii="Times New Roman" w:hAnsi="Times New Roman" w:cs="Times New Roman"/>
          <w:b/>
          <w:sz w:val="24"/>
          <w:szCs w:val="24"/>
        </w:rPr>
      </w:pPr>
    </w:p>
    <w:p w:rsidR="006E5353" w:rsidRPr="00712C24" w:rsidRDefault="006E5353" w:rsidP="006E5353">
      <w:pPr>
        <w:rPr>
          <w:rFonts w:ascii="Times New Roman" w:hAnsi="Times New Roman" w:cs="Times New Roman"/>
          <w:b/>
          <w:sz w:val="24"/>
          <w:szCs w:val="24"/>
        </w:rPr>
      </w:pPr>
    </w:p>
    <w:p w:rsidR="006E5353" w:rsidRPr="00712C24" w:rsidRDefault="006E5353">
      <w:pPr>
        <w:rPr>
          <w:rFonts w:ascii="Times New Roman" w:hAnsi="Times New Roman" w:cs="Times New Roman"/>
          <w:sz w:val="24"/>
          <w:szCs w:val="24"/>
        </w:rPr>
      </w:pPr>
      <w:r w:rsidRPr="00712C24">
        <w:rPr>
          <w:rFonts w:ascii="Times New Roman" w:hAnsi="Times New Roman" w:cs="Times New Roman"/>
          <w:sz w:val="24"/>
          <w:szCs w:val="24"/>
        </w:rPr>
        <w:br w:type="page"/>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lastRenderedPageBreak/>
        <w:t xml:space="preserve">By 2060, 30% of the European population will be aged over 65 years. Increasingly, therefore, western governments have been implementing policies to encourage people to remain in work longer, to support themselves and others [1]. However, for people with chronic disease extended working life may be infeasible, particularly if their jobs require </w:t>
      </w:r>
      <w:r w:rsidR="002E13A3" w:rsidRPr="00712C24">
        <w:rPr>
          <w:rFonts w:ascii="Times New Roman" w:hAnsi="Times New Roman" w:cs="Times New Roman"/>
          <w:sz w:val="24"/>
          <w:szCs w:val="24"/>
        </w:rPr>
        <w:t>substantial</w:t>
      </w:r>
      <w:r w:rsidRPr="00712C24">
        <w:rPr>
          <w:rFonts w:ascii="Times New Roman" w:hAnsi="Times New Roman" w:cs="Times New Roman"/>
          <w:sz w:val="24"/>
          <w:szCs w:val="24"/>
        </w:rPr>
        <w:t xml:space="preserve"> physical effort.  Strategies may be needed to identify workers at </w:t>
      </w:r>
      <w:r w:rsidR="002E13A3" w:rsidRPr="00712C24">
        <w:rPr>
          <w:rFonts w:ascii="Times New Roman" w:hAnsi="Times New Roman" w:cs="Times New Roman"/>
          <w:sz w:val="24"/>
          <w:szCs w:val="24"/>
        </w:rPr>
        <w:t>particular</w:t>
      </w:r>
      <w:r w:rsidRPr="00712C24">
        <w:rPr>
          <w:rFonts w:ascii="Times New Roman" w:hAnsi="Times New Roman" w:cs="Times New Roman"/>
          <w:sz w:val="24"/>
          <w:szCs w:val="24"/>
        </w:rPr>
        <w:t xml:space="preserve"> risk of health-related job loss when older, and to assist them – for example through interventions to promote their fitness in middle and later life. </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In elderly care medicine, a phenotype of physical frailty has been found to be a useful target for interventions [2</w:t>
      </w:r>
      <w:proofErr w:type="gramStart"/>
      <w:r w:rsidRPr="00712C24">
        <w:rPr>
          <w:rFonts w:ascii="Times New Roman" w:hAnsi="Times New Roman" w:cs="Times New Roman"/>
          <w:sz w:val="24"/>
          <w:szCs w:val="24"/>
        </w:rPr>
        <w:t>,3</w:t>
      </w:r>
      <w:proofErr w:type="gramEnd"/>
      <w:r w:rsidRPr="00712C24">
        <w:rPr>
          <w:rFonts w:ascii="Times New Roman" w:hAnsi="Times New Roman" w:cs="Times New Roman"/>
          <w:sz w:val="24"/>
          <w:szCs w:val="24"/>
        </w:rPr>
        <w:t>]. ‘Frailty’ thus defined is characterized by age-related declines in functional reserves across a range of physiological systems. Frail elderly people are at heightened risk of many adverse outcomes including dependency, institutionalization, falls, fractures, hospitalization, and mortality, and they have higher rates of comorbidity and disability</w:t>
      </w:r>
      <w:r w:rsidR="000024B7" w:rsidRPr="00712C24">
        <w:rPr>
          <w:rFonts w:ascii="Times New Roman" w:hAnsi="Times New Roman" w:cs="Times New Roman"/>
          <w:sz w:val="24"/>
          <w:szCs w:val="24"/>
        </w:rPr>
        <w:t xml:space="preserve"> [2-7</w:t>
      </w:r>
      <w:r w:rsidR="008509D7" w:rsidRPr="00712C24">
        <w:rPr>
          <w:rFonts w:ascii="Times New Roman" w:hAnsi="Times New Roman" w:cs="Times New Roman"/>
          <w:sz w:val="24"/>
          <w:szCs w:val="24"/>
        </w:rPr>
        <w:t>]. C</w:t>
      </w:r>
      <w:r w:rsidRPr="00712C24">
        <w:rPr>
          <w:rFonts w:ascii="Times New Roman" w:hAnsi="Times New Roman" w:cs="Times New Roman"/>
          <w:sz w:val="24"/>
          <w:szCs w:val="24"/>
        </w:rPr>
        <w:t>linical trials have suggested that the frailty status may be reversible and that some of these ev</w:t>
      </w:r>
      <w:r w:rsidR="000024B7" w:rsidRPr="00712C24">
        <w:rPr>
          <w:rFonts w:ascii="Times New Roman" w:hAnsi="Times New Roman" w:cs="Times New Roman"/>
          <w:sz w:val="24"/>
          <w:szCs w:val="24"/>
        </w:rPr>
        <w:t>ents may thereby be avoidable [8</w:t>
      </w:r>
      <w:r w:rsidRPr="00712C24">
        <w:rPr>
          <w:rFonts w:ascii="Times New Roman" w:hAnsi="Times New Roman" w:cs="Times New Roman"/>
          <w:sz w:val="24"/>
          <w:szCs w:val="24"/>
        </w:rPr>
        <w:t xml:space="preserve">-10]. </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Whilst frailty</w:t>
      </w:r>
      <w:r w:rsidR="002E13A3" w:rsidRPr="00712C24">
        <w:rPr>
          <w:rFonts w:ascii="Times New Roman" w:hAnsi="Times New Roman" w:cs="Times New Roman"/>
          <w:sz w:val="24"/>
          <w:szCs w:val="24"/>
        </w:rPr>
        <w:t xml:space="preserve"> </w:t>
      </w:r>
      <w:r w:rsidRPr="00712C24">
        <w:rPr>
          <w:rFonts w:ascii="Times New Roman" w:hAnsi="Times New Roman" w:cs="Times New Roman"/>
          <w:sz w:val="24"/>
          <w:szCs w:val="24"/>
        </w:rPr>
        <w:t xml:space="preserve">is generally regarded as </w:t>
      </w:r>
      <w:proofErr w:type="gramStart"/>
      <w:r w:rsidRPr="00712C24">
        <w:rPr>
          <w:rFonts w:ascii="Times New Roman" w:hAnsi="Times New Roman" w:cs="Times New Roman"/>
          <w:sz w:val="24"/>
          <w:szCs w:val="24"/>
        </w:rPr>
        <w:t xml:space="preserve">a </w:t>
      </w:r>
      <w:r w:rsidR="000024B7" w:rsidRPr="00712C24">
        <w:rPr>
          <w:rFonts w:ascii="Times New Roman" w:hAnsi="Times New Roman" w:cs="Times New Roman"/>
          <w:sz w:val="24"/>
          <w:szCs w:val="24"/>
        </w:rPr>
        <w:t>problem</w:t>
      </w:r>
      <w:proofErr w:type="gramEnd"/>
      <w:r w:rsidRPr="00712C24">
        <w:rPr>
          <w:rFonts w:ascii="Times New Roman" w:hAnsi="Times New Roman" w:cs="Times New Roman"/>
          <w:sz w:val="24"/>
          <w:szCs w:val="24"/>
        </w:rPr>
        <w:t xml:space="preserve"> of old age, the symptoms by which </w:t>
      </w:r>
      <w:r w:rsidR="002E13A3" w:rsidRPr="00712C24">
        <w:rPr>
          <w:rFonts w:ascii="Times New Roman" w:hAnsi="Times New Roman" w:cs="Times New Roman"/>
          <w:sz w:val="24"/>
          <w:szCs w:val="24"/>
        </w:rPr>
        <w:t xml:space="preserve">the phenotype </w:t>
      </w:r>
      <w:r w:rsidRPr="00712C24">
        <w:rPr>
          <w:rFonts w:ascii="Times New Roman" w:hAnsi="Times New Roman" w:cs="Times New Roman"/>
          <w:sz w:val="24"/>
          <w:szCs w:val="24"/>
        </w:rPr>
        <w:t xml:space="preserve">is identified can also occur in younger people. However, </w:t>
      </w:r>
      <w:r w:rsidR="0034086E" w:rsidRPr="00712C24">
        <w:rPr>
          <w:rFonts w:ascii="Times New Roman" w:hAnsi="Times New Roman" w:cs="Times New Roman"/>
          <w:sz w:val="24"/>
          <w:szCs w:val="24"/>
        </w:rPr>
        <w:t>‘frailty’</w:t>
      </w:r>
      <w:r w:rsidR="002E13A3" w:rsidRPr="00712C24">
        <w:rPr>
          <w:rFonts w:ascii="Times New Roman" w:hAnsi="Times New Roman" w:cs="Times New Roman"/>
          <w:sz w:val="24"/>
          <w:szCs w:val="24"/>
        </w:rPr>
        <w:t xml:space="preserve"> has seldom been studied in people of working age [11] and never to our knowledge investigated in relation to work incapacity. </w:t>
      </w:r>
      <w:r w:rsidRPr="00712C24">
        <w:rPr>
          <w:rFonts w:ascii="Times New Roman" w:hAnsi="Times New Roman" w:cs="Times New Roman"/>
          <w:sz w:val="24"/>
          <w:szCs w:val="24"/>
        </w:rPr>
        <w:t>Conceivably, symptoms of frailty could be</w:t>
      </w:r>
      <w:r w:rsidRPr="00712C24">
        <w:t xml:space="preserve"> </w:t>
      </w:r>
      <w:r w:rsidRPr="00712C24">
        <w:rPr>
          <w:rFonts w:ascii="Times New Roman" w:hAnsi="Times New Roman" w:cs="Times New Roman"/>
          <w:sz w:val="24"/>
          <w:szCs w:val="24"/>
        </w:rPr>
        <w:t>useful markers for employment difficulties in late middle age, in which case, by analogy with advances in elderly care, there could be scope to intervene to prevent health-related job loss and premature retirement.</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 xml:space="preserve">To provide initial information in this area, we used baseline data on people aged 50-65 years who were enrolled into the Health and Employment </w:t>
      </w:r>
      <w:proofErr w:type="gramStart"/>
      <w:r w:rsidRPr="00712C24">
        <w:rPr>
          <w:rFonts w:ascii="Times New Roman" w:hAnsi="Times New Roman" w:cs="Times New Roman"/>
          <w:sz w:val="24"/>
          <w:szCs w:val="24"/>
        </w:rPr>
        <w:t>After</w:t>
      </w:r>
      <w:proofErr w:type="gramEnd"/>
      <w:r w:rsidRPr="00712C24">
        <w:rPr>
          <w:rFonts w:ascii="Times New Roman" w:hAnsi="Times New Roman" w:cs="Times New Roman"/>
          <w:sz w:val="24"/>
          <w:szCs w:val="24"/>
        </w:rPr>
        <w:t xml:space="preserve"> Fifty (HEAF) study [12] to assess the prevalence and interrelationship of </w:t>
      </w:r>
      <w:r w:rsidR="002E13A3" w:rsidRPr="00712C24">
        <w:rPr>
          <w:rFonts w:ascii="Times New Roman" w:hAnsi="Times New Roman" w:cs="Times New Roman"/>
          <w:sz w:val="24"/>
          <w:szCs w:val="24"/>
        </w:rPr>
        <w:t>symptoms</w:t>
      </w:r>
      <w:r w:rsidRPr="00712C24">
        <w:rPr>
          <w:rFonts w:ascii="Times New Roman" w:hAnsi="Times New Roman" w:cs="Times New Roman"/>
          <w:sz w:val="24"/>
          <w:szCs w:val="24"/>
        </w:rPr>
        <w:t xml:space="preserve"> of physical frailty, and to explore their associations with various adverse employment outcomes. </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 xml:space="preserve">In previous research ‘frailty’ has been defined in more than 20 separate ways [13], among which the criteria of Fried </w:t>
      </w:r>
      <w:r w:rsidRPr="00712C24">
        <w:rPr>
          <w:rFonts w:ascii="Times New Roman" w:hAnsi="Times New Roman" w:cs="Times New Roman"/>
          <w:i/>
          <w:sz w:val="24"/>
          <w:szCs w:val="24"/>
        </w:rPr>
        <w:t>et al</w:t>
      </w:r>
      <w:r w:rsidRPr="00712C24">
        <w:rPr>
          <w:rFonts w:ascii="Times New Roman" w:hAnsi="Times New Roman" w:cs="Times New Roman"/>
          <w:sz w:val="24"/>
          <w:szCs w:val="24"/>
        </w:rPr>
        <w:t xml:space="preserve"> [2] are widely used.  These comprise five items of unintentional weight loss, self-reported exhaustion, slow walking speed, low physical activity levels and weakness of grip. </w:t>
      </w:r>
      <w:r w:rsidR="003B1875">
        <w:rPr>
          <w:rFonts w:ascii="Times New Roman" w:hAnsi="Times New Roman" w:cs="Times New Roman"/>
          <w:sz w:val="24"/>
          <w:szCs w:val="24"/>
        </w:rPr>
        <w:t>We assessed</w:t>
      </w:r>
      <w:r w:rsidR="00E31245">
        <w:rPr>
          <w:rFonts w:ascii="Times New Roman" w:hAnsi="Times New Roman" w:cs="Times New Roman"/>
          <w:sz w:val="24"/>
          <w:szCs w:val="24"/>
        </w:rPr>
        <w:t xml:space="preserve">: (1) </w:t>
      </w:r>
      <w:r w:rsidR="003B1875">
        <w:rPr>
          <w:rFonts w:ascii="Times New Roman" w:hAnsi="Times New Roman" w:cs="Times New Roman"/>
          <w:sz w:val="24"/>
          <w:szCs w:val="24"/>
        </w:rPr>
        <w:t xml:space="preserve">whether </w:t>
      </w:r>
      <w:r w:rsidR="003B1875" w:rsidRPr="00712C24">
        <w:rPr>
          <w:rFonts w:ascii="Times New Roman" w:hAnsi="Times New Roman" w:cs="Times New Roman"/>
          <w:sz w:val="24"/>
          <w:szCs w:val="24"/>
        </w:rPr>
        <w:t>‘frailty’</w:t>
      </w:r>
      <w:r w:rsidR="003B1875">
        <w:rPr>
          <w:rFonts w:ascii="Times New Roman" w:hAnsi="Times New Roman" w:cs="Times New Roman"/>
          <w:sz w:val="24"/>
          <w:szCs w:val="24"/>
        </w:rPr>
        <w:t>,</w:t>
      </w:r>
      <w:r w:rsidR="003B1875" w:rsidRPr="00712C24">
        <w:rPr>
          <w:rFonts w:ascii="Times New Roman" w:hAnsi="Times New Roman" w:cs="Times New Roman"/>
          <w:sz w:val="24"/>
          <w:szCs w:val="24"/>
        </w:rPr>
        <w:t xml:space="preserve"> defined by these criteria</w:t>
      </w:r>
      <w:r w:rsidR="003B1875">
        <w:rPr>
          <w:rFonts w:ascii="Times New Roman" w:hAnsi="Times New Roman" w:cs="Times New Roman"/>
          <w:sz w:val="24"/>
          <w:szCs w:val="24"/>
        </w:rPr>
        <w:t>, was associated with</w:t>
      </w:r>
      <w:r w:rsidR="003B1875" w:rsidRPr="003B1875">
        <w:rPr>
          <w:rFonts w:ascii="Times New Roman" w:hAnsi="Times New Roman" w:cs="Times New Roman"/>
          <w:sz w:val="24"/>
          <w:szCs w:val="24"/>
        </w:rPr>
        <w:t xml:space="preserve"> </w:t>
      </w:r>
      <w:r w:rsidR="003B1875">
        <w:rPr>
          <w:rFonts w:ascii="Times New Roman" w:hAnsi="Times New Roman" w:cs="Times New Roman"/>
          <w:sz w:val="24"/>
          <w:szCs w:val="24"/>
        </w:rPr>
        <w:t xml:space="preserve">adverse </w:t>
      </w:r>
      <w:r w:rsidR="003B1875" w:rsidRPr="00712C24">
        <w:rPr>
          <w:rFonts w:ascii="Times New Roman" w:hAnsi="Times New Roman" w:cs="Times New Roman"/>
          <w:sz w:val="24"/>
          <w:szCs w:val="24"/>
        </w:rPr>
        <w:t xml:space="preserve">employment </w:t>
      </w:r>
      <w:r w:rsidR="003B1875">
        <w:rPr>
          <w:rFonts w:ascii="Times New Roman" w:hAnsi="Times New Roman" w:cs="Times New Roman"/>
          <w:sz w:val="24"/>
          <w:szCs w:val="24"/>
        </w:rPr>
        <w:t>outcomes (</w:t>
      </w:r>
      <w:proofErr w:type="spellStart"/>
      <w:r w:rsidR="003B1875">
        <w:rPr>
          <w:rFonts w:ascii="Times New Roman" w:hAnsi="Times New Roman" w:cs="Times New Roman"/>
          <w:sz w:val="24"/>
          <w:szCs w:val="24"/>
        </w:rPr>
        <w:t>worklessness</w:t>
      </w:r>
      <w:proofErr w:type="spellEnd"/>
      <w:r w:rsidR="003B1875">
        <w:rPr>
          <w:rFonts w:ascii="Times New Roman" w:hAnsi="Times New Roman" w:cs="Times New Roman"/>
          <w:sz w:val="24"/>
          <w:szCs w:val="24"/>
        </w:rPr>
        <w:t>, health-related job loss, prolonged sick leave, having to cut down a lot and failing to cope</w:t>
      </w:r>
      <w:r w:rsidR="00EB4F21">
        <w:rPr>
          <w:rFonts w:ascii="Times New Roman" w:hAnsi="Times New Roman" w:cs="Times New Roman"/>
          <w:sz w:val="24"/>
          <w:szCs w:val="24"/>
        </w:rPr>
        <w:t xml:space="preserve"> at work</w:t>
      </w:r>
      <w:r w:rsidR="003B1875">
        <w:rPr>
          <w:rFonts w:ascii="Times New Roman" w:hAnsi="Times New Roman" w:cs="Times New Roman"/>
          <w:sz w:val="24"/>
          <w:szCs w:val="24"/>
        </w:rPr>
        <w:t>); (2)</w:t>
      </w:r>
      <w:r w:rsidRPr="00712C24">
        <w:rPr>
          <w:rFonts w:ascii="Times New Roman" w:hAnsi="Times New Roman" w:cs="Times New Roman"/>
          <w:sz w:val="24"/>
          <w:szCs w:val="24"/>
        </w:rPr>
        <w:t xml:space="preserve"> </w:t>
      </w:r>
      <w:r w:rsidR="003B1875">
        <w:rPr>
          <w:rFonts w:ascii="Times New Roman" w:hAnsi="Times New Roman" w:cs="Times New Roman"/>
          <w:sz w:val="24"/>
          <w:szCs w:val="24"/>
        </w:rPr>
        <w:t xml:space="preserve">how much it </w:t>
      </w:r>
      <w:r w:rsidR="003B1875">
        <w:rPr>
          <w:rFonts w:ascii="Times New Roman" w:hAnsi="Times New Roman" w:cs="Times New Roman"/>
          <w:sz w:val="24"/>
          <w:szCs w:val="24"/>
        </w:rPr>
        <w:lastRenderedPageBreak/>
        <w:t xml:space="preserve">contributed to the population burden of such  </w:t>
      </w:r>
      <w:r w:rsidR="003B1875" w:rsidRPr="00712C24">
        <w:rPr>
          <w:rFonts w:ascii="Times New Roman" w:hAnsi="Times New Roman" w:cs="Times New Roman"/>
          <w:sz w:val="24"/>
          <w:szCs w:val="24"/>
        </w:rPr>
        <w:t>outcomes</w:t>
      </w:r>
      <w:r w:rsidR="003B1875">
        <w:rPr>
          <w:rFonts w:ascii="Times New Roman" w:hAnsi="Times New Roman" w:cs="Times New Roman"/>
          <w:sz w:val="24"/>
          <w:szCs w:val="24"/>
        </w:rPr>
        <w:t>;</w:t>
      </w:r>
      <w:r w:rsidR="003B1875" w:rsidRPr="00712C24" w:rsidDel="003B1875">
        <w:rPr>
          <w:rFonts w:ascii="Times New Roman" w:hAnsi="Times New Roman" w:cs="Times New Roman"/>
          <w:sz w:val="24"/>
          <w:szCs w:val="24"/>
        </w:rPr>
        <w:t xml:space="preserve"> </w:t>
      </w:r>
      <w:r w:rsidR="003B1875">
        <w:rPr>
          <w:rFonts w:ascii="Times New Roman" w:hAnsi="Times New Roman" w:cs="Times New Roman"/>
          <w:sz w:val="24"/>
          <w:szCs w:val="24"/>
        </w:rPr>
        <w:t xml:space="preserve">(3) </w:t>
      </w:r>
      <w:r w:rsidRPr="00712C24">
        <w:rPr>
          <w:rFonts w:ascii="Times New Roman" w:hAnsi="Times New Roman" w:cs="Times New Roman"/>
          <w:sz w:val="24"/>
          <w:szCs w:val="24"/>
        </w:rPr>
        <w:t>whether</w:t>
      </w:r>
      <w:r w:rsidR="003B1875">
        <w:rPr>
          <w:rFonts w:ascii="Times New Roman" w:hAnsi="Times New Roman" w:cs="Times New Roman"/>
          <w:sz w:val="24"/>
          <w:szCs w:val="24"/>
        </w:rPr>
        <w:t xml:space="preserve"> findings</w:t>
      </w:r>
      <w:r w:rsidRPr="00712C24">
        <w:rPr>
          <w:rFonts w:ascii="Times New Roman" w:hAnsi="Times New Roman" w:cs="Times New Roman"/>
          <w:sz w:val="24"/>
          <w:szCs w:val="24"/>
        </w:rPr>
        <w:t xml:space="preserve"> </w:t>
      </w:r>
      <w:r w:rsidR="008509D7" w:rsidRPr="00712C24">
        <w:rPr>
          <w:rFonts w:ascii="Times New Roman" w:hAnsi="Times New Roman" w:cs="Times New Roman"/>
          <w:sz w:val="24"/>
          <w:szCs w:val="24"/>
        </w:rPr>
        <w:t>varied by the nature of a person’s occupation</w:t>
      </w:r>
      <w:r w:rsidR="003B1875">
        <w:rPr>
          <w:rFonts w:ascii="Times New Roman" w:hAnsi="Times New Roman" w:cs="Times New Roman"/>
          <w:sz w:val="24"/>
          <w:szCs w:val="24"/>
        </w:rPr>
        <w:t>;</w:t>
      </w:r>
      <w:r w:rsidR="008509D7" w:rsidRPr="00712C24">
        <w:rPr>
          <w:rFonts w:ascii="Times New Roman" w:hAnsi="Times New Roman" w:cs="Times New Roman"/>
          <w:sz w:val="24"/>
          <w:szCs w:val="24"/>
        </w:rPr>
        <w:t xml:space="preserve"> and </w:t>
      </w:r>
      <w:r w:rsidR="003B1875">
        <w:rPr>
          <w:rFonts w:ascii="Times New Roman" w:hAnsi="Times New Roman" w:cs="Times New Roman"/>
          <w:sz w:val="24"/>
          <w:szCs w:val="24"/>
        </w:rPr>
        <w:t xml:space="preserve">(4) </w:t>
      </w:r>
      <w:r w:rsidR="008509D7" w:rsidRPr="00712C24">
        <w:rPr>
          <w:rFonts w:ascii="Times New Roman" w:hAnsi="Times New Roman" w:cs="Times New Roman"/>
          <w:sz w:val="24"/>
          <w:szCs w:val="24"/>
        </w:rPr>
        <w:t xml:space="preserve">whether </w:t>
      </w:r>
      <w:r w:rsidRPr="00712C24">
        <w:rPr>
          <w:rFonts w:ascii="Times New Roman" w:hAnsi="Times New Roman" w:cs="Times New Roman"/>
          <w:sz w:val="24"/>
          <w:szCs w:val="24"/>
        </w:rPr>
        <w:t xml:space="preserve">different elements of the case definition were more importantly associated with </w:t>
      </w:r>
      <w:r w:rsidR="003B1875">
        <w:rPr>
          <w:rFonts w:ascii="Times New Roman" w:hAnsi="Times New Roman" w:cs="Times New Roman"/>
          <w:sz w:val="24"/>
          <w:szCs w:val="24"/>
        </w:rPr>
        <w:t>work difficulties</w:t>
      </w:r>
      <w:r w:rsidR="003B1875" w:rsidRPr="00712C24">
        <w:rPr>
          <w:rFonts w:ascii="Times New Roman" w:hAnsi="Times New Roman" w:cs="Times New Roman"/>
          <w:sz w:val="24"/>
          <w:szCs w:val="24"/>
        </w:rPr>
        <w:t xml:space="preserve"> </w:t>
      </w:r>
      <w:r w:rsidRPr="00712C24">
        <w:rPr>
          <w:rFonts w:ascii="Times New Roman" w:hAnsi="Times New Roman" w:cs="Times New Roman"/>
          <w:sz w:val="24"/>
          <w:szCs w:val="24"/>
        </w:rPr>
        <w:t>than others</w:t>
      </w:r>
      <w:r w:rsidR="00BD7B6F" w:rsidRPr="00712C24">
        <w:rPr>
          <w:rFonts w:ascii="Times New Roman" w:hAnsi="Times New Roman" w:cs="Times New Roman"/>
          <w:sz w:val="24"/>
          <w:szCs w:val="24"/>
        </w:rPr>
        <w:t>.</w:t>
      </w:r>
    </w:p>
    <w:p w:rsidR="006E5353" w:rsidRPr="00712C24" w:rsidRDefault="006E5353" w:rsidP="006E5353"/>
    <w:p w:rsidR="006E5353" w:rsidRPr="00712C24" w:rsidRDefault="006E5353" w:rsidP="006E5353"/>
    <w:p w:rsidR="006E5353" w:rsidRPr="00712C24" w:rsidRDefault="006E5353" w:rsidP="006E5353">
      <w:pPr>
        <w:rPr>
          <w:rFonts w:ascii="Times New Roman" w:hAnsi="Times New Roman" w:cs="Times New Roman"/>
          <w:b/>
          <w:sz w:val="24"/>
          <w:szCs w:val="24"/>
        </w:rPr>
      </w:pPr>
      <w:r w:rsidRPr="00712C24">
        <w:rPr>
          <w:rFonts w:ascii="Times New Roman" w:hAnsi="Times New Roman" w:cs="Times New Roman"/>
          <w:b/>
          <w:sz w:val="24"/>
          <w:szCs w:val="24"/>
        </w:rPr>
        <w:t>Methods</w:t>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 xml:space="preserve">The HEAF cohort is nested within the Clinical Practice Research Datalink (CPRD), a British primary care research database. Details of recruitment and data collection have been published elsewhere [12]. In brief, in 2013-14, a sampling frame was drawn up of patients born between 1948 and 1962 (target ages 50-64 years) who were registered with 24 English general practices contributing data to the CPRD. Questionnaires were mailed to 39,359 people (97.5% of those identified, and excluding those who had illness or recent bereavement, or had de-registered during the interval between sampling and mailing). In all 8,134 subjects returned a valid questionnaire (some of whom were aged 65 by the time they completed the form). </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 xml:space="preserve">Relevant to this analysis were a panel of questions about physical function, health and employment outcomes. To assess frailty we adapted the Fried criteria using questionnaire items on: </w:t>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 xml:space="preserve">(1) Weight loss: in the past 12 months, weight loss of more than 10lbs (4.5 kg) unintentionally, i.e. without dieting and exercise (yes vs. no); </w:t>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(2) Exhaustion: in the past seven days, everything being an effort or not being able to “get going" (either or both, for most or all of the time);</w:t>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(3) Slowness: normal walking speed described as “unable to walk” or “very slow”;</w:t>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(4) Weakness of grip strength: moderate or severe difficulty in opening jars that had never previously been opened;</w:t>
      </w: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(5) Inactivity: in an average week, and outside any paid jobs, doing no physical activity sufficient to make the respondent hot or sweaty.</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 xml:space="preserve">Questions 1 and 2 were those used by Fried </w:t>
      </w:r>
      <w:r w:rsidRPr="00712C24">
        <w:rPr>
          <w:rFonts w:ascii="Times New Roman" w:hAnsi="Times New Roman" w:cs="Times New Roman"/>
          <w:i/>
          <w:sz w:val="24"/>
          <w:szCs w:val="24"/>
        </w:rPr>
        <w:t>et al</w:t>
      </w:r>
      <w:r w:rsidRPr="00712C24">
        <w:rPr>
          <w:rFonts w:ascii="Times New Roman" w:hAnsi="Times New Roman" w:cs="Times New Roman"/>
          <w:sz w:val="24"/>
          <w:szCs w:val="24"/>
        </w:rPr>
        <w:t xml:space="preserve"> [2]. Questions 3 to 5 approximated the corresponding criteria, which were originally based on the bottom fifths of measured walking speed, measured grip strength, and self-reported weekly physical activity.</w:t>
      </w:r>
      <w:r w:rsidRPr="00712C24">
        <w:t xml:space="preserve"> </w:t>
      </w:r>
      <w:r w:rsidR="00BD7B6F" w:rsidRPr="00712C24">
        <w:rPr>
          <w:rFonts w:ascii="Times New Roman" w:hAnsi="Times New Roman" w:cs="Times New Roman"/>
          <w:sz w:val="24"/>
          <w:szCs w:val="24"/>
        </w:rPr>
        <w:t>According to</w:t>
      </w:r>
      <w:r w:rsidRPr="00712C24">
        <w:rPr>
          <w:rFonts w:ascii="Times New Roman" w:hAnsi="Times New Roman" w:cs="Times New Roman"/>
          <w:sz w:val="24"/>
          <w:szCs w:val="24"/>
        </w:rPr>
        <w:t xml:space="preserve"> the Fried case definition, a</w:t>
      </w:r>
      <w:r w:rsidR="00BD7B6F" w:rsidRPr="00712C24">
        <w:rPr>
          <w:rFonts w:ascii="Times New Roman" w:hAnsi="Times New Roman" w:cs="Times New Roman"/>
          <w:sz w:val="24"/>
          <w:szCs w:val="24"/>
        </w:rPr>
        <w:t>n elderly</w:t>
      </w:r>
      <w:r w:rsidRPr="00712C24">
        <w:rPr>
          <w:rFonts w:ascii="Times New Roman" w:hAnsi="Times New Roman" w:cs="Times New Roman"/>
          <w:sz w:val="24"/>
          <w:szCs w:val="24"/>
        </w:rPr>
        <w:t xml:space="preserve"> person meeting three or more of the five criteria </w:t>
      </w:r>
      <w:r w:rsidR="00BD7B6F" w:rsidRPr="00712C24">
        <w:rPr>
          <w:rFonts w:ascii="Times New Roman" w:hAnsi="Times New Roman" w:cs="Times New Roman"/>
          <w:sz w:val="24"/>
          <w:szCs w:val="24"/>
        </w:rPr>
        <w:t>would be</w:t>
      </w:r>
      <w:r w:rsidRPr="00712C24">
        <w:rPr>
          <w:rFonts w:ascii="Times New Roman" w:hAnsi="Times New Roman" w:cs="Times New Roman"/>
          <w:sz w:val="24"/>
          <w:szCs w:val="24"/>
        </w:rPr>
        <w:t xml:space="preserve"> counted as ‘frail’, while a person meeting one or two of the criteria </w:t>
      </w:r>
      <w:r w:rsidR="00BD7B6F" w:rsidRPr="00712C24">
        <w:rPr>
          <w:rFonts w:ascii="Times New Roman" w:hAnsi="Times New Roman" w:cs="Times New Roman"/>
          <w:sz w:val="24"/>
          <w:szCs w:val="24"/>
        </w:rPr>
        <w:t>would be</w:t>
      </w:r>
      <w:r w:rsidRPr="00712C24">
        <w:rPr>
          <w:rFonts w:ascii="Times New Roman" w:hAnsi="Times New Roman" w:cs="Times New Roman"/>
          <w:sz w:val="24"/>
          <w:szCs w:val="24"/>
        </w:rPr>
        <w:t xml:space="preserve"> classed as ‘pre-</w:t>
      </w:r>
      <w:r w:rsidRPr="00712C24">
        <w:rPr>
          <w:rFonts w:ascii="Times New Roman" w:hAnsi="Times New Roman" w:cs="Times New Roman"/>
          <w:sz w:val="24"/>
          <w:szCs w:val="24"/>
        </w:rPr>
        <w:lastRenderedPageBreak/>
        <w:t xml:space="preserve">frail’.  As in </w:t>
      </w:r>
      <w:proofErr w:type="spellStart"/>
      <w:r w:rsidRPr="00712C24">
        <w:rPr>
          <w:rFonts w:ascii="Times New Roman" w:hAnsi="Times New Roman" w:cs="Times New Roman"/>
          <w:sz w:val="24"/>
          <w:szCs w:val="24"/>
        </w:rPr>
        <w:t>Fried’s</w:t>
      </w:r>
      <w:proofErr w:type="spellEnd"/>
      <w:r w:rsidRPr="00712C24">
        <w:rPr>
          <w:rFonts w:ascii="Times New Roman" w:hAnsi="Times New Roman" w:cs="Times New Roman"/>
          <w:sz w:val="24"/>
          <w:szCs w:val="24"/>
        </w:rPr>
        <w:t xml:space="preserve"> original report, we excluded subjects with three or more missing responses to the frailty items (39 subjects), leaving 8095 people in the analysis.</w:t>
      </w:r>
    </w:p>
    <w:p w:rsidR="006E5353" w:rsidRPr="00712C24" w:rsidRDefault="006E5353" w:rsidP="006E5353">
      <w:pPr>
        <w:rPr>
          <w:rFonts w:ascii="Times New Roman" w:hAnsi="Times New Roman" w:cs="Times New Roman"/>
          <w:sz w:val="24"/>
          <w:szCs w:val="24"/>
        </w:rPr>
      </w:pPr>
    </w:p>
    <w:p w:rsidR="006E5353" w:rsidRPr="00712C24"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Employment-related questions in the HEAF baseline questionnaire included</w:t>
      </w:r>
      <w:r w:rsidRPr="00712C24">
        <w:t xml:space="preserve"> </w:t>
      </w:r>
      <w:r w:rsidRPr="00712C24">
        <w:rPr>
          <w:rFonts w:ascii="Times New Roman" w:hAnsi="Times New Roman" w:cs="Times New Roman"/>
          <w:sz w:val="24"/>
          <w:szCs w:val="24"/>
        </w:rPr>
        <w:t>current employment status and, if not working, whether the previous job had been surrendered for a health reason (analysed as not in work vs. in work and left for a health reason vs. not); occupation or last held occupation (used to classify subjects’ jobs according to the Standard Occupational Classification 2010 (SOC 2010)</w:t>
      </w:r>
      <w:r w:rsidR="00532AF2" w:rsidRPr="00712C24">
        <w:rPr>
          <w:rFonts w:ascii="Times New Roman" w:hAnsi="Times New Roman" w:cs="Times New Roman"/>
          <w:sz w:val="24"/>
          <w:szCs w:val="24"/>
        </w:rPr>
        <w:t xml:space="preserve"> [14]</w:t>
      </w:r>
      <w:r w:rsidRPr="00712C24">
        <w:rPr>
          <w:rFonts w:ascii="Times New Roman" w:hAnsi="Times New Roman" w:cs="Times New Roman"/>
          <w:sz w:val="24"/>
          <w:szCs w:val="24"/>
        </w:rPr>
        <w:t xml:space="preserve">  as higher managerial, intermediate occupation or routine/manual occupation); and for those in work: total sickness absence in the past 12 months (0, &lt;5, 5-20, or &gt;20 days, analysed as ‘any absence vs. none’ and ‘&gt;20 vs. </w:t>
      </w:r>
      <w:r w:rsidRPr="00712C24">
        <w:rPr>
          <w:rFonts w:ascii="Times New Roman" w:hAnsi="Times New Roman" w:cs="Times New Roman"/>
          <w:sz w:val="24"/>
          <w:szCs w:val="24"/>
          <w:u w:val="single"/>
        </w:rPr>
        <w:t>&lt;</w:t>
      </w:r>
      <w:r w:rsidRPr="00712C24">
        <w:rPr>
          <w:rFonts w:ascii="Times New Roman" w:hAnsi="Times New Roman" w:cs="Times New Roman"/>
          <w:sz w:val="24"/>
          <w:szCs w:val="24"/>
        </w:rPr>
        <w:t xml:space="preserve">20 days of absence’); needing to cut down at work in the past 12 months because of health (not at all, a little or a lot, analysed as ‘any vs. none’ and ‘a lot vs. not’); current coping with work’s physical and mental demands (with some/great difficulty vs. easily); expecting to be physically and mentally able still to carry out the same kind of work in two years’ time (no/not sure vs. yes); perceived job security (rather/very insecure vs. secure/very secure); ever lying awake at night, worrying or angry about work (often vs. sometimes/rarely/never). </w:t>
      </w:r>
      <w:r w:rsidR="00CE6613">
        <w:rPr>
          <w:rFonts w:ascii="Times New Roman" w:hAnsi="Times New Roman" w:cs="Times New Roman"/>
          <w:sz w:val="24"/>
          <w:szCs w:val="24"/>
        </w:rPr>
        <w:t>The</w:t>
      </w:r>
      <w:r w:rsidR="00F21E92">
        <w:rPr>
          <w:rFonts w:ascii="Times New Roman" w:hAnsi="Times New Roman" w:cs="Times New Roman"/>
          <w:sz w:val="24"/>
          <w:szCs w:val="24"/>
        </w:rPr>
        <w:t>se</w:t>
      </w:r>
      <w:r w:rsidR="00CE6613">
        <w:rPr>
          <w:rFonts w:ascii="Times New Roman" w:hAnsi="Times New Roman" w:cs="Times New Roman"/>
          <w:sz w:val="24"/>
          <w:szCs w:val="24"/>
        </w:rPr>
        <w:t xml:space="preserve"> items</w:t>
      </w:r>
      <w:r w:rsidR="00F21E92">
        <w:rPr>
          <w:rFonts w:ascii="Times New Roman" w:hAnsi="Times New Roman" w:cs="Times New Roman"/>
          <w:sz w:val="24"/>
          <w:szCs w:val="24"/>
        </w:rPr>
        <w:t xml:space="preserve"> (other than social class)</w:t>
      </w:r>
      <w:r w:rsidR="00CE6613">
        <w:rPr>
          <w:rFonts w:ascii="Times New Roman" w:hAnsi="Times New Roman" w:cs="Times New Roman"/>
          <w:sz w:val="24"/>
          <w:szCs w:val="24"/>
        </w:rPr>
        <w:t xml:space="preserve"> </w:t>
      </w:r>
      <w:r w:rsidR="00F21E92">
        <w:rPr>
          <w:rFonts w:ascii="Times New Roman" w:hAnsi="Times New Roman" w:cs="Times New Roman"/>
          <w:sz w:val="24"/>
          <w:szCs w:val="24"/>
        </w:rPr>
        <w:t>were assessed as outcomes in relation to markers of frailty.</w:t>
      </w:r>
    </w:p>
    <w:p w:rsidR="006E5353" w:rsidRPr="00712C24" w:rsidRDefault="006E5353" w:rsidP="006E5353">
      <w:pPr>
        <w:rPr>
          <w:rFonts w:ascii="Times New Roman" w:hAnsi="Times New Roman" w:cs="Times New Roman"/>
          <w:sz w:val="24"/>
          <w:szCs w:val="24"/>
        </w:rPr>
      </w:pPr>
    </w:p>
    <w:p w:rsidR="006E5353" w:rsidRDefault="006E5353" w:rsidP="006E5353">
      <w:pPr>
        <w:rPr>
          <w:rFonts w:ascii="Times New Roman" w:hAnsi="Times New Roman" w:cs="Times New Roman"/>
          <w:sz w:val="24"/>
          <w:szCs w:val="24"/>
        </w:rPr>
      </w:pPr>
      <w:r w:rsidRPr="00712C24">
        <w:rPr>
          <w:rFonts w:ascii="Times New Roman" w:hAnsi="Times New Roman" w:cs="Times New Roman"/>
          <w:sz w:val="24"/>
          <w:szCs w:val="24"/>
        </w:rPr>
        <w:t>Also, information was collected on</w:t>
      </w:r>
      <w:r w:rsidR="00F21E92">
        <w:rPr>
          <w:rFonts w:ascii="Times New Roman" w:hAnsi="Times New Roman" w:cs="Times New Roman"/>
          <w:sz w:val="24"/>
          <w:szCs w:val="24"/>
        </w:rPr>
        <w:t xml:space="preserve"> several potential confounders of associations, namely:</w:t>
      </w:r>
      <w:r w:rsidRPr="00712C24">
        <w:t xml:space="preserve"> </w:t>
      </w:r>
      <w:r w:rsidRPr="00712C24">
        <w:rPr>
          <w:rFonts w:ascii="Times New Roman" w:hAnsi="Times New Roman" w:cs="Times New Roman"/>
          <w:sz w:val="24"/>
          <w:szCs w:val="24"/>
        </w:rPr>
        <w:t>low well-being, according to the 14-item Warwick-Edinburgh Mental Well-being Scale (WEMWBS) [1</w:t>
      </w:r>
      <w:r w:rsidR="00532AF2" w:rsidRPr="00712C24">
        <w:rPr>
          <w:rFonts w:ascii="Times New Roman" w:hAnsi="Times New Roman" w:cs="Times New Roman"/>
          <w:sz w:val="24"/>
          <w:szCs w:val="24"/>
        </w:rPr>
        <w:t>5</w:t>
      </w:r>
      <w:r w:rsidRPr="00712C24">
        <w:rPr>
          <w:rFonts w:ascii="Times New Roman" w:hAnsi="Times New Roman" w:cs="Times New Roman"/>
          <w:sz w:val="24"/>
          <w:szCs w:val="24"/>
        </w:rPr>
        <w:t>] (bottom fifth of scores vs. the rest); and pain for a month or longer in the past 12 months which affected back or neck, arms or shoulders, or legs and which made it difficult or impossible to get washed or dressed or do household chores (‘persistent’ pain at 0, 1, 2-3 sites, analysed as pain at least at one site vs. no pain).</w:t>
      </w:r>
      <w:r w:rsidR="00F21E92">
        <w:rPr>
          <w:rFonts w:ascii="Times New Roman" w:hAnsi="Times New Roman" w:cs="Times New Roman"/>
          <w:sz w:val="24"/>
          <w:szCs w:val="24"/>
        </w:rPr>
        <w:t xml:space="preserve"> </w:t>
      </w:r>
    </w:p>
    <w:p w:rsidR="00F21E92" w:rsidRPr="00712C24" w:rsidRDefault="00F21E92" w:rsidP="006E5353">
      <w:pPr>
        <w:rPr>
          <w:rFonts w:ascii="Times New Roman" w:hAnsi="Times New Roman" w:cs="Times New Roman"/>
          <w:sz w:val="24"/>
          <w:szCs w:val="24"/>
        </w:rPr>
      </w:pPr>
    </w:p>
    <w:p w:rsidR="00BD7B6F" w:rsidRPr="00712C24" w:rsidRDefault="00BD7B6F" w:rsidP="00BD7B6F">
      <w:pPr>
        <w:rPr>
          <w:rFonts w:ascii="Times New Roman" w:hAnsi="Times New Roman" w:cs="Times New Roman"/>
          <w:sz w:val="24"/>
          <w:szCs w:val="24"/>
        </w:rPr>
      </w:pPr>
      <w:r w:rsidRPr="00712C24">
        <w:rPr>
          <w:rFonts w:ascii="Times New Roman" w:hAnsi="Times New Roman" w:cs="Times New Roman"/>
          <w:sz w:val="24"/>
          <w:szCs w:val="24"/>
        </w:rPr>
        <w:t>Data were described using basic summary statistics and</w:t>
      </w:r>
      <w:r w:rsidRPr="00712C24">
        <w:t xml:space="preserve"> </w:t>
      </w:r>
      <w:r w:rsidRPr="00712C24">
        <w:rPr>
          <w:rFonts w:ascii="Times New Roman" w:hAnsi="Times New Roman" w:cs="Times New Roman"/>
          <w:sz w:val="24"/>
          <w:szCs w:val="24"/>
        </w:rPr>
        <w:t>cross-tabulations</w:t>
      </w:r>
      <w:r w:rsidR="00F21E92">
        <w:rPr>
          <w:rFonts w:ascii="Times New Roman" w:hAnsi="Times New Roman" w:cs="Times New Roman"/>
          <w:sz w:val="24"/>
          <w:szCs w:val="24"/>
        </w:rPr>
        <w:t xml:space="preserve"> were</w:t>
      </w:r>
      <w:r w:rsidRPr="00712C24">
        <w:rPr>
          <w:rFonts w:ascii="Times New Roman" w:hAnsi="Times New Roman" w:cs="Times New Roman"/>
          <w:sz w:val="24"/>
          <w:szCs w:val="24"/>
        </w:rPr>
        <w:t xml:space="preserve"> used to assess their overlap and </w:t>
      </w:r>
      <w:r w:rsidR="00F21E92">
        <w:rPr>
          <w:rFonts w:ascii="Times New Roman" w:hAnsi="Times New Roman" w:cs="Times New Roman"/>
          <w:sz w:val="24"/>
          <w:szCs w:val="24"/>
        </w:rPr>
        <w:t>association</w:t>
      </w:r>
      <w:r w:rsidRPr="00712C24">
        <w:rPr>
          <w:rFonts w:ascii="Times New Roman" w:hAnsi="Times New Roman" w:cs="Times New Roman"/>
          <w:sz w:val="24"/>
          <w:szCs w:val="24"/>
        </w:rPr>
        <w:t xml:space="preserve"> </w:t>
      </w:r>
      <w:r w:rsidR="00E14A2C">
        <w:rPr>
          <w:rFonts w:ascii="Times New Roman" w:hAnsi="Times New Roman" w:cs="Times New Roman"/>
          <w:sz w:val="24"/>
          <w:szCs w:val="24"/>
        </w:rPr>
        <w:t>with</w:t>
      </w:r>
      <w:r w:rsidR="00E14A2C" w:rsidRPr="00712C24">
        <w:rPr>
          <w:rFonts w:ascii="Times New Roman" w:hAnsi="Times New Roman" w:cs="Times New Roman"/>
          <w:sz w:val="24"/>
          <w:szCs w:val="24"/>
        </w:rPr>
        <w:t xml:space="preserve"> </w:t>
      </w:r>
      <w:r w:rsidRPr="00712C24">
        <w:rPr>
          <w:rFonts w:ascii="Times New Roman" w:hAnsi="Times New Roman" w:cs="Times New Roman"/>
          <w:sz w:val="24"/>
          <w:szCs w:val="24"/>
        </w:rPr>
        <w:t xml:space="preserve">one another.  Associations between components of the Fried frailty criteria and employment variables were assessed by logistic regression and summarised by odds ratios (ORs) with 95% confidence intervals (95%CIs). Analyses were repeated separately for strata of social class defined from current or last held occupation. For measures of work loss, we also estimated the population attributable fractions (PAFs) associated with the presence of different numbers of Fried </w:t>
      </w:r>
      <w:r w:rsidR="00532AF2" w:rsidRPr="00712C24">
        <w:rPr>
          <w:rFonts w:ascii="Times New Roman" w:hAnsi="Times New Roman" w:cs="Times New Roman"/>
          <w:sz w:val="24"/>
          <w:szCs w:val="24"/>
        </w:rPr>
        <w:t>symptom</w:t>
      </w:r>
      <w:r w:rsidRPr="00712C24">
        <w:rPr>
          <w:rFonts w:ascii="Times New Roman" w:hAnsi="Times New Roman" w:cs="Times New Roman"/>
          <w:sz w:val="24"/>
          <w:szCs w:val="24"/>
        </w:rPr>
        <w:t xml:space="preserve">s. A PAF represents the proportion of cases in a population that would be eliminated if all people had the same risk as </w:t>
      </w:r>
      <w:r w:rsidRPr="00712C24">
        <w:rPr>
          <w:rFonts w:ascii="Times New Roman" w:hAnsi="Times New Roman" w:cs="Times New Roman"/>
          <w:sz w:val="24"/>
          <w:szCs w:val="24"/>
        </w:rPr>
        <w:lastRenderedPageBreak/>
        <w:t xml:space="preserve">those in the reference category. Finally, </w:t>
      </w:r>
      <w:r w:rsidR="002E13A3" w:rsidRPr="00712C24">
        <w:rPr>
          <w:rFonts w:ascii="Times New Roman" w:hAnsi="Times New Roman" w:cs="Times New Roman"/>
          <w:sz w:val="24"/>
          <w:szCs w:val="24"/>
        </w:rPr>
        <w:t xml:space="preserve">in a sensitivity analysis, we assessed the further impact of adjustment for low well-being and persistent musculoskeletal pain, these being other markers of ill-health that might confound associations of frailty with the work outcomes. </w:t>
      </w:r>
      <w:r w:rsidRPr="00712C24">
        <w:rPr>
          <w:rFonts w:ascii="Times New Roman" w:hAnsi="Times New Roman" w:cs="Times New Roman"/>
          <w:sz w:val="24"/>
          <w:szCs w:val="24"/>
        </w:rPr>
        <w:t xml:space="preserve">All analyses were conducted for men and women combined with adjustment for age (as a continuous measure) and </w:t>
      </w:r>
      <w:r w:rsidR="0061058C">
        <w:rPr>
          <w:rFonts w:ascii="Times New Roman" w:hAnsi="Times New Roman" w:cs="Times New Roman"/>
          <w:sz w:val="24"/>
          <w:szCs w:val="24"/>
        </w:rPr>
        <w:t>gender</w:t>
      </w:r>
      <w:r w:rsidR="0061058C" w:rsidRPr="00712C24">
        <w:rPr>
          <w:rFonts w:ascii="Times New Roman" w:hAnsi="Times New Roman" w:cs="Times New Roman"/>
          <w:sz w:val="24"/>
          <w:szCs w:val="24"/>
        </w:rPr>
        <w:t xml:space="preserve"> </w:t>
      </w:r>
      <w:r w:rsidRPr="00712C24">
        <w:rPr>
          <w:rFonts w:ascii="Times New Roman" w:hAnsi="Times New Roman" w:cs="Times New Roman"/>
          <w:sz w:val="24"/>
          <w:szCs w:val="24"/>
        </w:rPr>
        <w:t xml:space="preserve">and using Stata statistical software, release 14. </w:t>
      </w:r>
    </w:p>
    <w:p w:rsidR="00BD7B6F" w:rsidRPr="00712C24" w:rsidRDefault="00BD7B6F" w:rsidP="00BD7B6F">
      <w:pPr>
        <w:rPr>
          <w:rFonts w:ascii="Times New Roman" w:hAnsi="Times New Roman" w:cs="Times New Roman"/>
          <w:sz w:val="24"/>
          <w:szCs w:val="24"/>
        </w:rPr>
      </w:pPr>
    </w:p>
    <w:p w:rsidR="002E13A3" w:rsidRPr="00712C24" w:rsidRDefault="002E13A3" w:rsidP="00BD7B6F">
      <w:pPr>
        <w:rPr>
          <w:rFonts w:ascii="Times New Roman" w:hAnsi="Times New Roman" w:cs="Times New Roman"/>
          <w:b/>
          <w:sz w:val="24"/>
          <w:szCs w:val="24"/>
        </w:rPr>
      </w:pPr>
    </w:p>
    <w:p w:rsidR="00BD7B6F" w:rsidRPr="00712C24" w:rsidRDefault="00BD7B6F" w:rsidP="00BD7B6F">
      <w:pPr>
        <w:rPr>
          <w:rFonts w:ascii="Times New Roman" w:hAnsi="Times New Roman" w:cs="Times New Roman"/>
          <w:b/>
          <w:sz w:val="24"/>
          <w:szCs w:val="24"/>
        </w:rPr>
      </w:pPr>
      <w:r w:rsidRPr="00712C24">
        <w:rPr>
          <w:rFonts w:ascii="Times New Roman" w:hAnsi="Times New Roman" w:cs="Times New Roman"/>
          <w:b/>
          <w:sz w:val="24"/>
          <w:szCs w:val="24"/>
        </w:rPr>
        <w:t>Results</w:t>
      </w:r>
    </w:p>
    <w:p w:rsidR="00BD7B6F" w:rsidRPr="00712C24" w:rsidRDefault="00BD7B6F" w:rsidP="00BD7B6F">
      <w:pPr>
        <w:rPr>
          <w:rFonts w:ascii="Times New Roman" w:hAnsi="Times New Roman" w:cs="Times New Roman"/>
          <w:sz w:val="24"/>
          <w:szCs w:val="24"/>
        </w:rPr>
      </w:pPr>
      <w:r w:rsidRPr="00712C24">
        <w:rPr>
          <w:rFonts w:ascii="Times New Roman" w:hAnsi="Times New Roman" w:cs="Times New Roman"/>
          <w:sz w:val="24"/>
          <w:szCs w:val="24"/>
        </w:rPr>
        <w:t xml:space="preserve">The characteristics of the study participants are summarised in Table 1: 46% were male, </w:t>
      </w:r>
      <w:r w:rsidR="00532AF2" w:rsidRPr="00712C24">
        <w:rPr>
          <w:rFonts w:ascii="Times New Roman" w:hAnsi="Times New Roman" w:cs="Times New Roman"/>
          <w:sz w:val="24"/>
          <w:szCs w:val="24"/>
        </w:rPr>
        <w:t>the average age was</w:t>
      </w:r>
      <w:r w:rsidRPr="00712C24">
        <w:rPr>
          <w:rFonts w:ascii="Times New Roman" w:hAnsi="Times New Roman" w:cs="Times New Roman"/>
          <w:sz w:val="24"/>
          <w:szCs w:val="24"/>
        </w:rPr>
        <w:t xml:space="preserve"> 58.7 years (standard deviation 4.4 years, range 50 to 65), and 27.3% of men and 36.4% of women reported that they were no longer working. Among those not </w:t>
      </w:r>
      <w:r w:rsidR="00BC34D6" w:rsidRPr="00712C24">
        <w:rPr>
          <w:rFonts w:ascii="Times New Roman" w:hAnsi="Times New Roman" w:cs="Times New Roman"/>
          <w:sz w:val="24"/>
          <w:szCs w:val="24"/>
        </w:rPr>
        <w:t>in</w:t>
      </w:r>
      <w:r w:rsidRPr="00712C24">
        <w:rPr>
          <w:rFonts w:ascii="Times New Roman" w:hAnsi="Times New Roman" w:cs="Times New Roman"/>
          <w:sz w:val="24"/>
          <w:szCs w:val="24"/>
        </w:rPr>
        <w:t xml:space="preserve"> work, 37.6% of men and 32.6% of women reported that they had left their last employment wholly or partly because of a health problem. Musculoskeletal disorders and mental illness were the most commonly cited health reasons for stopping work. In addition, many of the 2</w:t>
      </w:r>
      <w:r w:rsidR="00A419CC" w:rsidRPr="00712C24">
        <w:rPr>
          <w:rFonts w:ascii="Times New Roman" w:hAnsi="Times New Roman" w:cs="Times New Roman"/>
          <w:sz w:val="24"/>
          <w:szCs w:val="24"/>
        </w:rPr>
        <w:t>,</w:t>
      </w:r>
      <w:r w:rsidRPr="00712C24">
        <w:rPr>
          <w:rFonts w:ascii="Times New Roman" w:hAnsi="Times New Roman" w:cs="Times New Roman"/>
          <w:sz w:val="24"/>
          <w:szCs w:val="24"/>
        </w:rPr>
        <w:t>682 men and 2</w:t>
      </w:r>
      <w:r w:rsidR="00A419CC" w:rsidRPr="00712C24">
        <w:rPr>
          <w:rFonts w:ascii="Times New Roman" w:hAnsi="Times New Roman" w:cs="Times New Roman"/>
          <w:sz w:val="24"/>
          <w:szCs w:val="24"/>
        </w:rPr>
        <w:t>,</w:t>
      </w:r>
      <w:r w:rsidRPr="00712C24">
        <w:rPr>
          <w:rFonts w:ascii="Times New Roman" w:hAnsi="Times New Roman" w:cs="Times New Roman"/>
          <w:sz w:val="24"/>
          <w:szCs w:val="24"/>
        </w:rPr>
        <w:t xml:space="preserve">804 women who were still in work reported reduced participation in, or difficulties with, their employment. For example, 6.2% of the men and 7.2% of the women had taken 20 or more days sick leave in the past </w:t>
      </w:r>
      <w:r w:rsidR="00532AF2" w:rsidRPr="00712C24">
        <w:rPr>
          <w:rFonts w:ascii="Times New Roman" w:hAnsi="Times New Roman" w:cs="Times New Roman"/>
          <w:sz w:val="24"/>
          <w:szCs w:val="24"/>
        </w:rPr>
        <w:t>12 months</w:t>
      </w:r>
      <w:r w:rsidRPr="00712C24">
        <w:rPr>
          <w:rFonts w:ascii="Times New Roman" w:hAnsi="Times New Roman" w:cs="Times New Roman"/>
          <w:sz w:val="24"/>
          <w:szCs w:val="24"/>
        </w:rPr>
        <w:t xml:space="preserve">, and 28.9% of the men and 30.2% of the women reported some or great difficulty in coping with work’s physical demands. </w:t>
      </w:r>
      <w:r w:rsidR="00532AF2" w:rsidRPr="00712C24">
        <w:rPr>
          <w:rFonts w:ascii="Times New Roman" w:hAnsi="Times New Roman" w:cs="Times New Roman"/>
          <w:sz w:val="24"/>
          <w:szCs w:val="24"/>
        </w:rPr>
        <w:t>About one in five reported their job to be insecure or very insecure.</w:t>
      </w:r>
      <w:r w:rsidRPr="00712C24">
        <w:rPr>
          <w:rFonts w:ascii="Times New Roman" w:hAnsi="Times New Roman" w:cs="Times New Roman"/>
          <w:sz w:val="24"/>
          <w:szCs w:val="24"/>
        </w:rPr>
        <w:t xml:space="preserve"> </w:t>
      </w:r>
    </w:p>
    <w:p w:rsidR="00BA3B78" w:rsidRDefault="00BA3B78" w:rsidP="00BD7B6F">
      <w:pPr>
        <w:rPr>
          <w:rFonts w:ascii="Times New Roman" w:hAnsi="Times New Roman" w:cs="Times New Roman"/>
          <w:sz w:val="24"/>
          <w:szCs w:val="24"/>
        </w:rPr>
      </w:pPr>
    </w:p>
    <w:p w:rsidR="00B13504" w:rsidRDefault="00B13504">
      <w:pPr>
        <w:rPr>
          <w:rFonts w:ascii="Times New Roman" w:hAnsi="Times New Roman" w:cs="Times New Roman"/>
          <w:b/>
          <w:sz w:val="24"/>
          <w:szCs w:val="24"/>
        </w:rPr>
      </w:pPr>
      <w:r>
        <w:rPr>
          <w:rFonts w:ascii="Times New Roman" w:hAnsi="Times New Roman" w:cs="Times New Roman"/>
          <w:b/>
          <w:sz w:val="24"/>
          <w:szCs w:val="24"/>
        </w:rPr>
        <w:br w:type="page"/>
      </w:r>
    </w:p>
    <w:p w:rsidR="00B13504" w:rsidRPr="00712C24" w:rsidRDefault="00B13504" w:rsidP="00B13504">
      <w:pPr>
        <w:rPr>
          <w:rFonts w:ascii="Times New Roman" w:hAnsi="Times New Roman" w:cs="Times New Roman"/>
          <w:b/>
          <w:sz w:val="24"/>
          <w:szCs w:val="24"/>
        </w:rPr>
      </w:pPr>
      <w:r w:rsidRPr="00712C24">
        <w:rPr>
          <w:rFonts w:ascii="Times New Roman" w:hAnsi="Times New Roman" w:cs="Times New Roman"/>
          <w:b/>
          <w:sz w:val="24"/>
          <w:szCs w:val="24"/>
        </w:rPr>
        <w:lastRenderedPageBreak/>
        <w:t>Table</w:t>
      </w:r>
      <w:r>
        <w:rPr>
          <w:rFonts w:ascii="Times New Roman" w:hAnsi="Times New Roman" w:cs="Times New Roman"/>
          <w:b/>
          <w:sz w:val="24"/>
          <w:szCs w:val="24"/>
        </w:rPr>
        <w:t xml:space="preserve"> 1</w:t>
      </w:r>
      <w:r w:rsidRPr="00712C24">
        <w:rPr>
          <w:rFonts w:ascii="Times New Roman" w:hAnsi="Times New Roman" w:cs="Times New Roman"/>
          <w:b/>
          <w:sz w:val="24"/>
          <w:szCs w:val="24"/>
        </w:rPr>
        <w:t>: Characteristics of the participants</w:t>
      </w:r>
    </w:p>
    <w:p w:rsidR="00B13504" w:rsidRPr="00712C24" w:rsidRDefault="00B13504" w:rsidP="00B13504">
      <w:pPr>
        <w:rPr>
          <w:rFonts w:ascii="Times New Roman" w:hAnsi="Times New Roman" w:cs="Times New Roman"/>
          <w:b/>
          <w:sz w:val="24"/>
          <w:szCs w:val="24"/>
        </w:rPr>
      </w:pPr>
    </w:p>
    <w:tbl>
      <w:tblPr>
        <w:tblW w:w="8675" w:type="dxa"/>
        <w:tblInd w:w="93" w:type="dxa"/>
        <w:tblLook w:val="04A0" w:firstRow="1" w:lastRow="0" w:firstColumn="1" w:lastColumn="0" w:noHBand="0" w:noVBand="1"/>
      </w:tblPr>
      <w:tblGrid>
        <w:gridCol w:w="4835"/>
        <w:gridCol w:w="712"/>
        <w:gridCol w:w="1208"/>
        <w:gridCol w:w="712"/>
        <w:gridCol w:w="1208"/>
      </w:tblGrid>
      <w:tr w:rsidR="00B13504" w:rsidRPr="00712C24" w:rsidTr="00AA5BCC">
        <w:trPr>
          <w:trHeight w:val="300"/>
        </w:trPr>
        <w:tc>
          <w:tcPr>
            <w:tcW w:w="4835"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920" w:type="dxa"/>
            <w:gridSpan w:val="2"/>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Men</w:t>
            </w:r>
          </w:p>
        </w:tc>
        <w:tc>
          <w:tcPr>
            <w:tcW w:w="1920" w:type="dxa"/>
            <w:gridSpan w:val="2"/>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Women</w:t>
            </w:r>
          </w:p>
        </w:tc>
      </w:tr>
      <w:tr w:rsidR="00B13504" w:rsidRPr="00712C24" w:rsidTr="00AA5BCC">
        <w:trPr>
          <w:trHeight w:val="360"/>
        </w:trPr>
        <w:tc>
          <w:tcPr>
            <w:tcW w:w="4835"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w:t>
            </w:r>
          </w:p>
        </w:tc>
        <w:tc>
          <w:tcPr>
            <w:tcW w:w="712" w:type="dxa"/>
            <w:tcBorders>
              <w:top w:val="nil"/>
              <w:left w:val="nil"/>
              <w:bottom w:val="single" w:sz="4" w:space="0" w:color="auto"/>
              <w:right w:val="nil"/>
            </w:tcBorders>
            <w:shd w:val="clear" w:color="auto" w:fill="auto"/>
            <w:noWrap/>
            <w:vAlign w:val="bottom"/>
            <w:hideMark/>
          </w:tcPr>
          <w:p w:rsidR="00B13504" w:rsidRPr="00B9539C" w:rsidRDefault="00B13504" w:rsidP="00AA5BCC">
            <w:pPr>
              <w:spacing w:line="240" w:lineRule="auto"/>
              <w:jc w:val="center"/>
              <w:rPr>
                <w:rFonts w:ascii="Times New Roman" w:eastAsia="Times New Roman" w:hAnsi="Times New Roman" w:cs="Times New Roman"/>
                <w:color w:val="000000"/>
                <w:sz w:val="20"/>
                <w:szCs w:val="20"/>
                <w:vertAlign w:val="superscript"/>
                <w:lang w:eastAsia="en-GB"/>
              </w:rPr>
            </w:pPr>
            <w:r w:rsidRPr="00712C24">
              <w:rPr>
                <w:rFonts w:ascii="Times New Roman" w:eastAsia="Times New Roman" w:hAnsi="Times New Roman" w:cs="Times New Roman"/>
                <w:color w:val="000000"/>
                <w:sz w:val="20"/>
                <w:szCs w:val="20"/>
                <w:lang w:eastAsia="en-GB"/>
              </w:rPr>
              <w:t>N</w:t>
            </w:r>
          </w:p>
        </w:tc>
        <w:tc>
          <w:tcPr>
            <w:tcW w:w="1208"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w:t>
            </w:r>
            <w:r w:rsidRPr="00712C24">
              <w:rPr>
                <w:rFonts w:ascii="Times New Roman" w:eastAsia="Times New Roman" w:hAnsi="Times New Roman" w:cs="Times New Roman"/>
                <w:color w:val="000000"/>
                <w:vertAlign w:val="superscript"/>
                <w:lang w:eastAsia="en-GB"/>
              </w:rPr>
              <w:t>a</w:t>
            </w:r>
          </w:p>
        </w:tc>
        <w:tc>
          <w:tcPr>
            <w:tcW w:w="712"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w:t>
            </w:r>
          </w:p>
        </w:tc>
        <w:tc>
          <w:tcPr>
            <w:tcW w:w="1208"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w:t>
            </w:r>
            <w:r w:rsidRPr="00712C24">
              <w:rPr>
                <w:rFonts w:ascii="Times New Roman" w:eastAsia="Times New Roman" w:hAnsi="Times New Roman" w:cs="Times New Roman"/>
                <w:color w:val="000000"/>
                <w:vertAlign w:val="superscript"/>
                <w:lang w:eastAsia="en-GB"/>
              </w:rPr>
              <w:t>a</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i/>
                <w:iCs/>
                <w:color w:val="000000"/>
                <w:sz w:val="20"/>
                <w:szCs w:val="20"/>
                <w:lang w:eastAsia="en-GB"/>
              </w:rPr>
            </w:pPr>
            <w:r w:rsidRPr="00712C24">
              <w:rPr>
                <w:rFonts w:ascii="Times New Roman" w:eastAsia="Times New Roman" w:hAnsi="Times New Roman" w:cs="Times New Roman"/>
                <w:i/>
                <w:iCs/>
                <w:color w:val="000000"/>
                <w:sz w:val="20"/>
                <w:szCs w:val="20"/>
                <w:lang w:eastAsia="en-GB"/>
              </w:rPr>
              <w:t>Whole sample</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3,689</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4,406</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Age (mean (SD))</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58.7 (4.4)</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58.6 (4.4)</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Social class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Higher managerial</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1,543</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42.5</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1,699</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39.1</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Intermediate occupations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795</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21.9</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1,437</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33.0</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Routine and manual occupations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1,291</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35.6</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1,215</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27.9</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Employment status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3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In work</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2,682</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72.7</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2,804</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63.6</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Not in work</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1,007</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27.3</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1,602</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36.4</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Retired (not for health reason)</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517</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14.0</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927</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21.0</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Unemployed (not for health reason)</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111</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152</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3.4</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ind w:firstLineChars="200" w:firstLine="400"/>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Left for health reason (unemployed or retired)</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379</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10.3</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523</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11.9</w:t>
            </w:r>
          </w:p>
        </w:tc>
      </w:tr>
      <w:tr w:rsidR="00B13504" w:rsidRPr="00712C24" w:rsidTr="00AA5BCC">
        <w:trPr>
          <w:trHeight w:val="55"/>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r>
      <w:tr w:rsidR="00B13504" w:rsidRPr="00712C24" w:rsidTr="00AA5BCC">
        <w:trPr>
          <w:trHeight w:val="36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i/>
                <w:iCs/>
                <w:color w:val="000000"/>
                <w:sz w:val="20"/>
                <w:szCs w:val="20"/>
                <w:lang w:eastAsia="en-GB"/>
              </w:rPr>
            </w:pPr>
            <w:r w:rsidRPr="00712C24">
              <w:rPr>
                <w:rFonts w:ascii="Times New Roman" w:eastAsia="Times New Roman" w:hAnsi="Times New Roman" w:cs="Times New Roman"/>
                <w:i/>
                <w:iCs/>
                <w:color w:val="000000"/>
                <w:sz w:val="20"/>
                <w:szCs w:val="20"/>
                <w:lang w:eastAsia="en-GB"/>
              </w:rPr>
              <w:t>Current workers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lang w:eastAsia="en-GB"/>
              </w:rPr>
            </w:pP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lang w:eastAsia="en-GB"/>
              </w:rPr>
            </w:pP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Any sick leave, past 12 months </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1,003</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37.8</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1,346</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48.4</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20 days sick leave, past 12 months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163</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6.2</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200</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7.2</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Cutting down at work to any extent, past 12 months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669</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25.1</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770</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27.6</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Cutting down at work a lot, past 12 months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142</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5.3</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170</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6.1</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Not coping with work’s physical demands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763</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28.9</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837</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30.2</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Not coping with work’s mental demands</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779</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29.5</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937</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33.8</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Expecting not to be able to cope at work in 2 years’ time</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551</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21.0</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791</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28.5</w:t>
            </w:r>
          </w:p>
        </w:tc>
      </w:tr>
      <w:tr w:rsidR="00B13504" w:rsidRPr="00712C24" w:rsidTr="00AA5BCC">
        <w:trPr>
          <w:trHeight w:val="300"/>
        </w:trPr>
        <w:tc>
          <w:tcPr>
            <w:tcW w:w="4835"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Often lying awake worrying about work</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291</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11.0</w:t>
            </w:r>
          </w:p>
        </w:tc>
        <w:tc>
          <w:tcPr>
            <w:tcW w:w="712"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412</w:t>
            </w:r>
          </w:p>
        </w:tc>
        <w:tc>
          <w:tcPr>
            <w:tcW w:w="120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14.8</w:t>
            </w:r>
          </w:p>
        </w:tc>
      </w:tr>
      <w:tr w:rsidR="00B13504" w:rsidRPr="00712C24" w:rsidTr="00AA5BCC">
        <w:trPr>
          <w:trHeight w:val="300"/>
        </w:trPr>
        <w:tc>
          <w:tcPr>
            <w:tcW w:w="4835"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Job insecure/very insecure</w:t>
            </w:r>
          </w:p>
        </w:tc>
        <w:tc>
          <w:tcPr>
            <w:tcW w:w="712"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532</w:t>
            </w:r>
          </w:p>
        </w:tc>
        <w:tc>
          <w:tcPr>
            <w:tcW w:w="1208"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20.2</w:t>
            </w:r>
          </w:p>
        </w:tc>
        <w:tc>
          <w:tcPr>
            <w:tcW w:w="712"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509</w:t>
            </w:r>
          </w:p>
        </w:tc>
        <w:tc>
          <w:tcPr>
            <w:tcW w:w="1208" w:type="dxa"/>
            <w:tcBorders>
              <w:top w:val="nil"/>
              <w:left w:val="nil"/>
              <w:bottom w:val="single" w:sz="4"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18.4</w:t>
            </w:r>
          </w:p>
        </w:tc>
      </w:tr>
    </w:tbl>
    <w:p w:rsidR="00B13504" w:rsidRPr="00712C24" w:rsidRDefault="00B13504" w:rsidP="00B13504">
      <w:pPr>
        <w:rPr>
          <w:rFonts w:ascii="Times New Roman" w:eastAsia="Times New Roman" w:hAnsi="Times New Roman" w:cs="Times New Roman"/>
          <w:color w:val="000000"/>
          <w:sz w:val="20"/>
          <w:szCs w:val="20"/>
          <w:lang w:eastAsia="en-GB"/>
        </w:rPr>
      </w:pPr>
    </w:p>
    <w:p w:rsidR="00B13504" w:rsidRPr="00712C24" w:rsidRDefault="00B13504" w:rsidP="00B13504">
      <w:pP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a - for current workers, percentages relate to those in work</w:t>
      </w:r>
    </w:p>
    <w:p w:rsidR="00B13504" w:rsidRPr="00712C24" w:rsidRDefault="00B13504" w:rsidP="00BD7B6F">
      <w:pPr>
        <w:rPr>
          <w:rFonts w:ascii="Times New Roman" w:hAnsi="Times New Roman" w:cs="Times New Roman"/>
          <w:sz w:val="24"/>
          <w:szCs w:val="24"/>
        </w:rPr>
      </w:pPr>
    </w:p>
    <w:p w:rsidR="00A419CC" w:rsidRPr="00712C24" w:rsidRDefault="00BD7B6F" w:rsidP="00BA3B78">
      <w:pPr>
        <w:rPr>
          <w:rFonts w:ascii="Times New Roman" w:hAnsi="Times New Roman" w:cs="Times New Roman"/>
          <w:sz w:val="24"/>
          <w:szCs w:val="24"/>
        </w:rPr>
      </w:pPr>
      <w:r w:rsidRPr="00712C24">
        <w:rPr>
          <w:rFonts w:ascii="Times New Roman" w:hAnsi="Times New Roman" w:cs="Times New Roman"/>
          <w:sz w:val="24"/>
          <w:szCs w:val="24"/>
        </w:rPr>
        <w:t xml:space="preserve">Table 2 shows the prevalence of </w:t>
      </w:r>
      <w:r w:rsidR="00BC34D6" w:rsidRPr="00712C24">
        <w:rPr>
          <w:rFonts w:ascii="Times New Roman" w:hAnsi="Times New Roman" w:cs="Times New Roman"/>
          <w:sz w:val="24"/>
          <w:szCs w:val="24"/>
        </w:rPr>
        <w:t>symptoms</w:t>
      </w:r>
      <w:r w:rsidRPr="00712C24">
        <w:rPr>
          <w:rFonts w:ascii="Times New Roman" w:hAnsi="Times New Roman" w:cs="Times New Roman"/>
          <w:sz w:val="24"/>
          <w:szCs w:val="24"/>
        </w:rPr>
        <w:t xml:space="preserve"> </w:t>
      </w:r>
      <w:r w:rsidR="00BC34D6" w:rsidRPr="00712C24">
        <w:rPr>
          <w:rFonts w:ascii="Times New Roman" w:hAnsi="Times New Roman" w:cs="Times New Roman"/>
          <w:sz w:val="24"/>
          <w:szCs w:val="24"/>
        </w:rPr>
        <w:t>used to define</w:t>
      </w:r>
      <w:r w:rsidRPr="00712C24">
        <w:rPr>
          <w:rFonts w:ascii="Times New Roman" w:hAnsi="Times New Roman" w:cs="Times New Roman"/>
          <w:sz w:val="24"/>
          <w:szCs w:val="24"/>
        </w:rPr>
        <w:t xml:space="preserve"> </w:t>
      </w:r>
      <w:r w:rsidR="00BC34D6" w:rsidRPr="00712C24">
        <w:rPr>
          <w:rFonts w:ascii="Times New Roman" w:hAnsi="Times New Roman" w:cs="Times New Roman"/>
          <w:sz w:val="24"/>
          <w:szCs w:val="24"/>
        </w:rPr>
        <w:t xml:space="preserve">frailty, overall and by </w:t>
      </w:r>
      <w:r w:rsidR="0061058C">
        <w:rPr>
          <w:rFonts w:ascii="Times New Roman" w:hAnsi="Times New Roman" w:cs="Times New Roman"/>
          <w:sz w:val="24"/>
          <w:szCs w:val="24"/>
        </w:rPr>
        <w:t>gender</w:t>
      </w:r>
      <w:r w:rsidRPr="00712C24">
        <w:rPr>
          <w:rFonts w:ascii="Times New Roman" w:hAnsi="Times New Roman" w:cs="Times New Roman"/>
          <w:sz w:val="24"/>
          <w:szCs w:val="24"/>
        </w:rPr>
        <w:t xml:space="preserve">. </w:t>
      </w:r>
      <w:r w:rsidR="00A419CC" w:rsidRPr="00712C24">
        <w:rPr>
          <w:rFonts w:ascii="Times New Roman" w:hAnsi="Times New Roman" w:cs="Times New Roman"/>
          <w:sz w:val="24"/>
          <w:szCs w:val="24"/>
        </w:rPr>
        <w:t xml:space="preserve">By </w:t>
      </w:r>
      <w:r w:rsidR="00E7234D" w:rsidRPr="00712C24">
        <w:rPr>
          <w:rFonts w:ascii="Times New Roman" w:hAnsi="Times New Roman" w:cs="Times New Roman"/>
          <w:sz w:val="24"/>
          <w:szCs w:val="24"/>
        </w:rPr>
        <w:t>our</w:t>
      </w:r>
      <w:r w:rsidR="00A419CC" w:rsidRPr="00712C24">
        <w:rPr>
          <w:rFonts w:ascii="Times New Roman" w:hAnsi="Times New Roman" w:cs="Times New Roman"/>
          <w:sz w:val="24"/>
          <w:szCs w:val="24"/>
        </w:rPr>
        <w:t xml:space="preserve"> </w:t>
      </w:r>
      <w:r w:rsidR="00E7234D" w:rsidRPr="00712C24">
        <w:rPr>
          <w:rFonts w:ascii="Times New Roman" w:hAnsi="Times New Roman" w:cs="Times New Roman"/>
          <w:sz w:val="24"/>
          <w:szCs w:val="24"/>
        </w:rPr>
        <w:t xml:space="preserve">adapted case </w:t>
      </w:r>
      <w:r w:rsidR="00A419CC" w:rsidRPr="00712C24">
        <w:rPr>
          <w:rFonts w:ascii="Times New Roman" w:hAnsi="Times New Roman" w:cs="Times New Roman"/>
          <w:sz w:val="24"/>
          <w:szCs w:val="24"/>
        </w:rPr>
        <w:t>definition, 313 (3.9%) of the 8,095 eligible respondents were classified as ‘frail’ (3-5 symptoms present) and, within this subgroup, low physical activity, weakness of grip, and slow walking speed were reported by 77%, 87% and 82%</w:t>
      </w:r>
      <w:r w:rsidR="00E7234D" w:rsidRPr="00712C24">
        <w:rPr>
          <w:rFonts w:ascii="Times New Roman" w:hAnsi="Times New Roman" w:cs="Times New Roman"/>
          <w:sz w:val="24"/>
          <w:szCs w:val="24"/>
        </w:rPr>
        <w:t xml:space="preserve"> of subjects respectively. S</w:t>
      </w:r>
      <w:r w:rsidR="00A419CC" w:rsidRPr="00712C24">
        <w:rPr>
          <w:rFonts w:ascii="Times New Roman" w:hAnsi="Times New Roman" w:cs="Times New Roman"/>
          <w:sz w:val="24"/>
          <w:szCs w:val="24"/>
        </w:rPr>
        <w:t xml:space="preserve">ome 2,560 (31.6%) subjects </w:t>
      </w:r>
      <w:r w:rsidR="00E7234D" w:rsidRPr="00712C24">
        <w:rPr>
          <w:rFonts w:ascii="Times New Roman" w:hAnsi="Times New Roman" w:cs="Times New Roman"/>
          <w:sz w:val="24"/>
          <w:szCs w:val="24"/>
        </w:rPr>
        <w:t>were counted as ‘pre-frail’ (</w:t>
      </w:r>
      <w:r w:rsidR="00A419CC" w:rsidRPr="00712C24">
        <w:rPr>
          <w:rFonts w:ascii="Times New Roman" w:hAnsi="Times New Roman" w:cs="Times New Roman"/>
          <w:sz w:val="24"/>
          <w:szCs w:val="24"/>
        </w:rPr>
        <w:t>1 or 2 symptoms present</w:t>
      </w:r>
      <w:r w:rsidR="00E7234D" w:rsidRPr="00712C24">
        <w:rPr>
          <w:rFonts w:ascii="Times New Roman" w:hAnsi="Times New Roman" w:cs="Times New Roman"/>
          <w:sz w:val="24"/>
          <w:szCs w:val="24"/>
        </w:rPr>
        <w:t>)</w:t>
      </w:r>
      <w:r w:rsidR="00A419CC" w:rsidRPr="00712C24">
        <w:rPr>
          <w:rFonts w:ascii="Times New Roman" w:hAnsi="Times New Roman" w:cs="Times New Roman"/>
          <w:sz w:val="24"/>
          <w:szCs w:val="24"/>
        </w:rPr>
        <w:t xml:space="preserve"> by our adapted Fried criteria.</w:t>
      </w:r>
      <w:r w:rsidR="00E7234D" w:rsidRPr="00712C24">
        <w:t xml:space="preserve"> </w:t>
      </w:r>
      <w:r w:rsidR="00E7234D" w:rsidRPr="00712C24">
        <w:rPr>
          <w:rFonts w:ascii="Times New Roman" w:hAnsi="Times New Roman" w:cs="Times New Roman"/>
          <w:sz w:val="24"/>
          <w:szCs w:val="24"/>
        </w:rPr>
        <w:t xml:space="preserve">Women were more likely than men to report symptoms, both individually and in combination, with 4.9% of women but 2.7% of men reporting </w:t>
      </w:r>
      <w:r w:rsidR="00E7234D" w:rsidRPr="00712C24">
        <w:rPr>
          <w:rFonts w:ascii="Times New Roman" w:hAnsi="Times New Roman" w:cs="Times New Roman"/>
          <w:sz w:val="24"/>
          <w:szCs w:val="24"/>
          <w:u w:val="single"/>
        </w:rPr>
        <w:t>&gt;</w:t>
      </w:r>
      <w:r w:rsidR="00E7234D" w:rsidRPr="00712C24">
        <w:rPr>
          <w:rFonts w:ascii="Times New Roman" w:hAnsi="Times New Roman" w:cs="Times New Roman"/>
          <w:sz w:val="24"/>
          <w:szCs w:val="24"/>
        </w:rPr>
        <w:t>3 symptoms.</w:t>
      </w:r>
    </w:p>
    <w:p w:rsidR="00BA3B78" w:rsidRPr="00712C24" w:rsidRDefault="00BA3B78" w:rsidP="00BA3B78">
      <w:pPr>
        <w:rPr>
          <w:rFonts w:ascii="Times New Roman" w:hAnsi="Times New Roman" w:cs="Times New Roman"/>
          <w:sz w:val="24"/>
          <w:szCs w:val="24"/>
        </w:rPr>
      </w:pPr>
    </w:p>
    <w:p w:rsidR="00B13504" w:rsidRDefault="00B13504">
      <w:pPr>
        <w:rPr>
          <w:rFonts w:ascii="Times New Roman" w:hAnsi="Times New Roman" w:cs="Times New Roman"/>
          <w:sz w:val="24"/>
          <w:szCs w:val="24"/>
        </w:rPr>
      </w:pPr>
      <w:r>
        <w:rPr>
          <w:rFonts w:ascii="Times New Roman" w:hAnsi="Times New Roman" w:cs="Times New Roman"/>
          <w:sz w:val="24"/>
          <w:szCs w:val="24"/>
        </w:rPr>
        <w:br w:type="page"/>
      </w:r>
    </w:p>
    <w:p w:rsidR="00B13504" w:rsidRPr="00712C24" w:rsidRDefault="00B13504" w:rsidP="00B13504">
      <w:pPr>
        <w:rPr>
          <w:rFonts w:ascii="Times New Roman" w:hAnsi="Times New Roman" w:cs="Times New Roman"/>
          <w:b/>
          <w:sz w:val="24"/>
          <w:szCs w:val="24"/>
        </w:rPr>
      </w:pPr>
      <w:proofErr w:type="gramStart"/>
      <w:r w:rsidRPr="00712C24">
        <w:rPr>
          <w:rFonts w:ascii="Times New Roman" w:hAnsi="Times New Roman" w:cs="Times New Roman"/>
          <w:b/>
          <w:sz w:val="24"/>
          <w:szCs w:val="24"/>
        </w:rPr>
        <w:lastRenderedPageBreak/>
        <w:t>Table 2.</w:t>
      </w:r>
      <w:proofErr w:type="gramEnd"/>
      <w:r w:rsidRPr="00712C24">
        <w:rPr>
          <w:rFonts w:ascii="Times New Roman" w:hAnsi="Times New Roman" w:cs="Times New Roman"/>
          <w:b/>
          <w:sz w:val="24"/>
          <w:szCs w:val="24"/>
        </w:rPr>
        <w:t xml:space="preserve"> Prevalence of Fried symptoms</w:t>
      </w:r>
    </w:p>
    <w:p w:rsidR="00B13504" w:rsidRPr="00712C24" w:rsidRDefault="00B13504" w:rsidP="00B13504">
      <w:pPr>
        <w:rPr>
          <w:rFonts w:ascii="Times New Roman" w:hAnsi="Times New Roman" w:cs="Times New Roman"/>
          <w:b/>
          <w:sz w:val="24"/>
          <w:szCs w:val="24"/>
        </w:rPr>
      </w:pPr>
    </w:p>
    <w:tbl>
      <w:tblPr>
        <w:tblW w:w="0" w:type="auto"/>
        <w:tblInd w:w="93" w:type="dxa"/>
        <w:tblLayout w:type="fixed"/>
        <w:tblLook w:val="04A0" w:firstRow="1" w:lastRow="0" w:firstColumn="1" w:lastColumn="0" w:noHBand="0" w:noVBand="1"/>
      </w:tblPr>
      <w:tblGrid>
        <w:gridCol w:w="2567"/>
        <w:gridCol w:w="1276"/>
        <w:gridCol w:w="236"/>
        <w:gridCol w:w="1150"/>
        <w:gridCol w:w="1150"/>
        <w:gridCol w:w="236"/>
        <w:gridCol w:w="1284"/>
        <w:gridCol w:w="1409"/>
      </w:tblGrid>
      <w:tr w:rsidR="00B13504" w:rsidRPr="00712C24" w:rsidTr="00AA5BCC">
        <w:trPr>
          <w:trHeight w:val="345"/>
        </w:trPr>
        <w:tc>
          <w:tcPr>
            <w:tcW w:w="2567"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 xml:space="preserve">Symptoms </w:t>
            </w:r>
          </w:p>
        </w:tc>
        <w:tc>
          <w:tcPr>
            <w:tcW w:w="1276"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All</w:t>
            </w:r>
          </w:p>
        </w:tc>
        <w:tc>
          <w:tcPr>
            <w:tcW w:w="236"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Men</w:t>
            </w:r>
          </w:p>
        </w:tc>
        <w:tc>
          <w:tcPr>
            <w:tcW w:w="1150"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Women</w:t>
            </w:r>
          </w:p>
        </w:tc>
        <w:tc>
          <w:tcPr>
            <w:tcW w:w="236"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‘Pre-</w:t>
            </w:r>
            <w:proofErr w:type="spellStart"/>
            <w:r w:rsidRPr="00712C24">
              <w:rPr>
                <w:rFonts w:ascii="Times New Roman" w:eastAsia="Times New Roman" w:hAnsi="Times New Roman" w:cs="Times New Roman"/>
                <w:b/>
                <w:bCs/>
                <w:color w:val="000000"/>
                <w:sz w:val="20"/>
                <w:szCs w:val="20"/>
                <w:lang w:eastAsia="en-GB"/>
              </w:rPr>
              <w:t>frail’</w:t>
            </w:r>
            <w:r w:rsidRPr="00712C24">
              <w:rPr>
                <w:rFonts w:ascii="Times New Roman" w:eastAsia="Times New Roman" w:hAnsi="Times New Roman" w:cs="Times New Roman"/>
                <w:b/>
                <w:bCs/>
                <w:color w:val="000000"/>
                <w:sz w:val="20"/>
                <w:szCs w:val="20"/>
                <w:vertAlign w:val="superscript"/>
                <w:lang w:eastAsia="en-GB"/>
              </w:rPr>
              <w:t>a</w:t>
            </w:r>
            <w:proofErr w:type="spellEnd"/>
            <w:r w:rsidRPr="00712C24">
              <w:rPr>
                <w:rFonts w:ascii="Times New Roman" w:eastAsia="Times New Roman" w:hAnsi="Times New Roman" w:cs="Times New Roman"/>
                <w:b/>
                <w:bCs/>
                <w:color w:val="000000"/>
                <w:sz w:val="20"/>
                <w:szCs w:val="20"/>
                <w:lang w:eastAsia="en-GB"/>
              </w:rPr>
              <w:t xml:space="preserve"> individuals</w:t>
            </w:r>
          </w:p>
        </w:tc>
        <w:tc>
          <w:tcPr>
            <w:tcW w:w="1409" w:type="dxa"/>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w:t>
            </w:r>
            <w:proofErr w:type="spellStart"/>
            <w:r w:rsidRPr="00712C24">
              <w:rPr>
                <w:rFonts w:ascii="Times New Roman" w:eastAsia="Times New Roman" w:hAnsi="Times New Roman" w:cs="Times New Roman"/>
                <w:b/>
                <w:bCs/>
                <w:color w:val="000000"/>
                <w:sz w:val="20"/>
                <w:szCs w:val="20"/>
                <w:lang w:eastAsia="en-GB"/>
              </w:rPr>
              <w:t>Frail’</w:t>
            </w:r>
            <w:r w:rsidRPr="00712C24">
              <w:rPr>
                <w:rFonts w:ascii="Times New Roman" w:eastAsia="Times New Roman" w:hAnsi="Times New Roman" w:cs="Times New Roman"/>
                <w:b/>
                <w:bCs/>
                <w:color w:val="000000"/>
                <w:sz w:val="20"/>
                <w:szCs w:val="20"/>
                <w:vertAlign w:val="superscript"/>
                <w:lang w:eastAsia="en-GB"/>
              </w:rPr>
              <w:t>a</w:t>
            </w:r>
            <w:proofErr w:type="spellEnd"/>
            <w:r w:rsidRPr="00712C24">
              <w:rPr>
                <w:rFonts w:ascii="Times New Roman" w:eastAsia="Times New Roman" w:hAnsi="Times New Roman" w:cs="Times New Roman"/>
                <w:b/>
                <w:bCs/>
                <w:color w:val="000000"/>
                <w:sz w:val="20"/>
                <w:szCs w:val="20"/>
                <w:lang w:eastAsia="en-GB"/>
              </w:rPr>
              <w:t xml:space="preserve"> individuals</w:t>
            </w:r>
          </w:p>
        </w:tc>
      </w:tr>
      <w:tr w:rsidR="00B13504" w:rsidRPr="00712C24" w:rsidTr="00AA5BCC">
        <w:trPr>
          <w:trHeight w:val="345"/>
        </w:trPr>
        <w:tc>
          <w:tcPr>
            <w:tcW w:w="2567" w:type="dxa"/>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 </w:t>
            </w:r>
          </w:p>
        </w:tc>
        <w:tc>
          <w:tcPr>
            <w:tcW w:w="1276" w:type="dxa"/>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c>
          <w:tcPr>
            <w:tcW w:w="1150" w:type="dxa"/>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c>
          <w:tcPr>
            <w:tcW w:w="1409" w:type="dxa"/>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Low physical activity</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1,355 (18.8)</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589 (17.5)</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766 (20.0)</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1,161 (51.5)</w:t>
            </w: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194 (77.0)</w:t>
            </w: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Weakness of grip</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1,001 (12.5)</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192 (5.3)</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809 (18.6)</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730 (28.8)</w:t>
            </w: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271 (87.1)</w:t>
            </w: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Unintentional weight loss</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753 (9.4)</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327 (8.9)</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426 (9.7)</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605 (23.7)</w:t>
            </w: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148 (47.7)</w:t>
            </w: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Slow walking speed</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536 (6.6)</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233 (6.3)</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303 (6.9)</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278 (10.9)</w:t>
            </w: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258 (82.4)</w:t>
            </w: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Exhaustion</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526 (6.5)</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194 (5.3)</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332 (7.6)</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333 (13.1)</w:t>
            </w: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193 (61.7)</w:t>
            </w: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Number of frailty symptoms:</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None</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5,222 (64.5)</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2597 (70.4)</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2625 (59.6)</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 symptoms (‘pre-frail’)</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2,560 (31.6)</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993 (26.9)</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1567 (35.5)</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5"/>
        </w:trPr>
        <w:tc>
          <w:tcPr>
            <w:tcW w:w="2567"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u w:val="single"/>
                <w:lang w:eastAsia="en-GB"/>
              </w:rPr>
              <w:t>&gt;</w:t>
            </w:r>
            <w:r w:rsidRPr="00712C24">
              <w:rPr>
                <w:rFonts w:ascii="Times New Roman" w:eastAsia="Times New Roman" w:hAnsi="Times New Roman" w:cs="Times New Roman"/>
                <w:color w:val="000000"/>
                <w:sz w:val="20"/>
                <w:szCs w:val="20"/>
                <w:lang w:eastAsia="en-GB"/>
              </w:rPr>
              <w:t>3 symptoms (‘frail’)</w:t>
            </w:r>
          </w:p>
        </w:tc>
        <w:tc>
          <w:tcPr>
            <w:tcW w:w="127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313 (3.9)</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99 (2.7)</w:t>
            </w:r>
          </w:p>
        </w:tc>
        <w:tc>
          <w:tcPr>
            <w:tcW w:w="115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214 (4.9)</w:t>
            </w:r>
          </w:p>
        </w:tc>
        <w:tc>
          <w:tcPr>
            <w:tcW w:w="236"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09"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5"/>
        </w:trPr>
        <w:tc>
          <w:tcPr>
            <w:tcW w:w="2567"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rPr>
                <w:rFonts w:ascii="Times New Roman" w:eastAsia="Times New Roman" w:hAnsi="Times New Roman" w:cs="Times New Roman"/>
                <w:color w:val="000000"/>
                <w:sz w:val="20"/>
                <w:szCs w:val="20"/>
                <w:u w:val="single"/>
                <w:lang w:eastAsia="en-GB"/>
              </w:rPr>
            </w:pPr>
          </w:p>
        </w:tc>
        <w:tc>
          <w:tcPr>
            <w:tcW w:w="1276"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236"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50"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236"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4"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09" w:type="dxa"/>
            <w:tcBorders>
              <w:top w:val="nil"/>
              <w:left w:val="nil"/>
              <w:bottom w:val="single" w:sz="8" w:space="0" w:color="auto"/>
              <w:right w:val="nil"/>
            </w:tcBorders>
            <w:shd w:val="clear" w:color="auto" w:fill="auto"/>
            <w:noWrap/>
            <w:vAlign w:val="bottom"/>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bl>
    <w:p w:rsidR="00B13504" w:rsidRPr="00712C24" w:rsidRDefault="00B13504" w:rsidP="00B13504">
      <w:pPr>
        <w:rPr>
          <w:rFonts w:ascii="Times New Roman" w:hAnsi="Times New Roman" w:cs="Times New Roman"/>
          <w:sz w:val="24"/>
          <w:szCs w:val="24"/>
        </w:rPr>
      </w:pPr>
    </w:p>
    <w:p w:rsidR="00B13504" w:rsidRPr="00712C24" w:rsidRDefault="00B13504" w:rsidP="00B13504">
      <w:pPr>
        <w:rPr>
          <w:rFonts w:ascii="Times New Roman" w:eastAsia="Times New Roman" w:hAnsi="Times New Roman" w:cs="Times New Roman"/>
          <w:color w:val="000000"/>
          <w:sz w:val="20"/>
          <w:szCs w:val="20"/>
          <w:lang w:eastAsia="en-GB"/>
        </w:rPr>
      </w:pPr>
      <w:proofErr w:type="gramStart"/>
      <w:r w:rsidRPr="00712C24">
        <w:rPr>
          <w:rFonts w:ascii="Times New Roman" w:eastAsia="Times New Roman" w:hAnsi="Times New Roman" w:cs="Times New Roman"/>
          <w:color w:val="000000"/>
          <w:sz w:val="20"/>
          <w:szCs w:val="20"/>
          <w:lang w:eastAsia="en-GB"/>
        </w:rPr>
        <w:t>a</w:t>
      </w:r>
      <w:proofErr w:type="gramEnd"/>
      <w:r w:rsidRPr="00712C24">
        <w:rPr>
          <w:rFonts w:ascii="Times New Roman" w:eastAsia="Times New Roman" w:hAnsi="Times New Roman" w:cs="Times New Roman"/>
          <w:color w:val="000000"/>
          <w:sz w:val="20"/>
          <w:szCs w:val="20"/>
          <w:lang w:eastAsia="en-GB"/>
        </w:rPr>
        <w:t xml:space="preserve"> ‘Pre-frail’, 1-2 symptoms; ‘frail’, 3-5 symptoms</w:t>
      </w:r>
    </w:p>
    <w:p w:rsidR="00B13504" w:rsidRDefault="00B13504">
      <w:pPr>
        <w:rPr>
          <w:rFonts w:ascii="Times New Roman" w:hAnsi="Times New Roman" w:cs="Times New Roman"/>
          <w:sz w:val="24"/>
          <w:szCs w:val="24"/>
        </w:rPr>
      </w:pPr>
    </w:p>
    <w:p w:rsidR="00BA3B78" w:rsidRPr="00712C24" w:rsidRDefault="00BA3B78" w:rsidP="00BA3B78">
      <w:pPr>
        <w:rPr>
          <w:rFonts w:ascii="Times New Roman" w:hAnsi="Times New Roman" w:cs="Times New Roman"/>
          <w:sz w:val="24"/>
          <w:szCs w:val="24"/>
        </w:rPr>
      </w:pPr>
      <w:r w:rsidRPr="00712C24">
        <w:rPr>
          <w:rFonts w:ascii="Times New Roman" w:hAnsi="Times New Roman" w:cs="Times New Roman"/>
          <w:sz w:val="24"/>
          <w:szCs w:val="24"/>
        </w:rPr>
        <w:t>Certain symptoms associated with one another particularly strongly, notably slow walking speed with weak grip (OR 11.9) and exhaustion (OR 10.5), but also slow walking speed with low physical activity (OR 6.1) and weak grip with exhaustion (OR 6.1). By contrast, associations of unintentional weight loss and low physical activity with other frailty indicators tended to b</w:t>
      </w:r>
      <w:r w:rsidR="002A262E">
        <w:rPr>
          <w:rFonts w:ascii="Times New Roman" w:hAnsi="Times New Roman" w:cs="Times New Roman"/>
          <w:sz w:val="24"/>
          <w:szCs w:val="24"/>
        </w:rPr>
        <w:t>e weaker (online supplementary T</w:t>
      </w:r>
      <w:r w:rsidRPr="00712C24">
        <w:rPr>
          <w:rFonts w:ascii="Times New Roman" w:hAnsi="Times New Roman" w:cs="Times New Roman"/>
          <w:sz w:val="24"/>
          <w:szCs w:val="24"/>
        </w:rPr>
        <w:t xml:space="preserve">able 1). </w:t>
      </w:r>
    </w:p>
    <w:p w:rsidR="00BA3B78" w:rsidRPr="00712C24" w:rsidRDefault="00BA3B78" w:rsidP="00BA3B78">
      <w:pPr>
        <w:rPr>
          <w:rFonts w:ascii="Times New Roman" w:hAnsi="Times New Roman" w:cs="Times New Roman"/>
          <w:sz w:val="24"/>
          <w:szCs w:val="24"/>
        </w:rPr>
      </w:pPr>
    </w:p>
    <w:p w:rsidR="00BA3B78" w:rsidRPr="00712C24" w:rsidRDefault="00BA3B78" w:rsidP="00BA3B78">
      <w:pPr>
        <w:rPr>
          <w:rFonts w:ascii="Times New Roman" w:hAnsi="Times New Roman" w:cs="Times New Roman"/>
          <w:sz w:val="24"/>
          <w:szCs w:val="24"/>
        </w:rPr>
      </w:pPr>
      <w:r w:rsidRPr="00712C24">
        <w:rPr>
          <w:rFonts w:ascii="Times New Roman" w:hAnsi="Times New Roman" w:cs="Times New Roman"/>
          <w:sz w:val="24"/>
          <w:szCs w:val="24"/>
        </w:rPr>
        <w:t xml:space="preserve">Table 3 </w:t>
      </w:r>
      <w:r w:rsidR="00E7234D" w:rsidRPr="00712C24">
        <w:rPr>
          <w:rFonts w:ascii="Times New Roman" w:hAnsi="Times New Roman" w:cs="Times New Roman"/>
          <w:sz w:val="24"/>
          <w:szCs w:val="24"/>
        </w:rPr>
        <w:t xml:space="preserve">presents the associations between </w:t>
      </w:r>
      <w:r w:rsidR="00532AF2" w:rsidRPr="00712C24">
        <w:rPr>
          <w:rFonts w:ascii="Times New Roman" w:hAnsi="Times New Roman" w:cs="Times New Roman"/>
          <w:sz w:val="24"/>
          <w:szCs w:val="24"/>
        </w:rPr>
        <w:t xml:space="preserve">number of </w:t>
      </w:r>
      <w:r w:rsidRPr="00712C24">
        <w:rPr>
          <w:rFonts w:ascii="Times New Roman" w:hAnsi="Times New Roman" w:cs="Times New Roman"/>
          <w:sz w:val="24"/>
          <w:szCs w:val="24"/>
        </w:rPr>
        <w:t>frailty</w:t>
      </w:r>
      <w:r w:rsidR="00E7234D" w:rsidRPr="00712C24">
        <w:rPr>
          <w:rFonts w:ascii="Times New Roman" w:hAnsi="Times New Roman" w:cs="Times New Roman"/>
          <w:sz w:val="24"/>
          <w:szCs w:val="24"/>
        </w:rPr>
        <w:t xml:space="preserve"> symptoms</w:t>
      </w:r>
      <w:r w:rsidRPr="00712C24">
        <w:rPr>
          <w:rFonts w:ascii="Times New Roman" w:hAnsi="Times New Roman" w:cs="Times New Roman"/>
          <w:sz w:val="24"/>
          <w:szCs w:val="24"/>
        </w:rPr>
        <w:t xml:space="preserve"> </w:t>
      </w:r>
      <w:r w:rsidR="00E7234D" w:rsidRPr="00712C24">
        <w:rPr>
          <w:rFonts w:ascii="Times New Roman" w:hAnsi="Times New Roman" w:cs="Times New Roman"/>
          <w:sz w:val="24"/>
          <w:szCs w:val="24"/>
        </w:rPr>
        <w:t>and</w:t>
      </w:r>
      <w:r w:rsidRPr="00712C24">
        <w:rPr>
          <w:rFonts w:ascii="Times New Roman" w:hAnsi="Times New Roman" w:cs="Times New Roman"/>
          <w:sz w:val="24"/>
          <w:szCs w:val="24"/>
        </w:rPr>
        <w:t xml:space="preserve"> work outcomes, and </w:t>
      </w:r>
      <w:r w:rsidR="00532AF2" w:rsidRPr="00712C24">
        <w:rPr>
          <w:rFonts w:ascii="Times New Roman" w:hAnsi="Times New Roman" w:cs="Times New Roman"/>
          <w:sz w:val="24"/>
          <w:szCs w:val="24"/>
        </w:rPr>
        <w:t>provides</w:t>
      </w:r>
      <w:r w:rsidRPr="00712C24">
        <w:rPr>
          <w:rFonts w:ascii="Times New Roman" w:hAnsi="Times New Roman" w:cs="Times New Roman"/>
          <w:sz w:val="24"/>
          <w:szCs w:val="24"/>
        </w:rPr>
        <w:t xml:space="preserve"> estimates of the relevant PAFs. Relationships with employment status, including whether the previous job was surrendered for a health reason, were explored in all subjects, whereas those with sickness absence, needing to cut down a lot at work, and various perceptions about work (e.g. self-reported coping, future expectations, worry over work, job dissatisfaction) were restricted to the 5,486 respondents in paid work.  </w:t>
      </w:r>
    </w:p>
    <w:p w:rsidR="00BA3B78" w:rsidRPr="00712C24" w:rsidRDefault="00BA3B78" w:rsidP="00BA3B78">
      <w:pPr>
        <w:rPr>
          <w:rFonts w:ascii="Times New Roman" w:hAnsi="Times New Roman" w:cs="Times New Roman"/>
          <w:sz w:val="24"/>
          <w:szCs w:val="24"/>
        </w:rPr>
      </w:pPr>
    </w:p>
    <w:p w:rsidR="00B13504" w:rsidRDefault="00B13504">
      <w:pPr>
        <w:rPr>
          <w:rFonts w:ascii="Times New Roman" w:hAnsi="Times New Roman" w:cs="Times New Roman"/>
          <w:sz w:val="24"/>
          <w:szCs w:val="24"/>
        </w:rPr>
        <w:sectPr w:rsidR="00B13504" w:rsidSect="00D64E4B">
          <w:footerReference w:type="default" r:id="rId10"/>
          <w:pgSz w:w="11906" w:h="16838"/>
          <w:pgMar w:top="1361" w:right="1440" w:bottom="1361" w:left="1440" w:header="709" w:footer="709" w:gutter="0"/>
          <w:cols w:space="708"/>
          <w:docGrid w:linePitch="360"/>
        </w:sectPr>
      </w:pPr>
    </w:p>
    <w:p w:rsidR="00B13504" w:rsidRPr="00712C24" w:rsidRDefault="00B13504" w:rsidP="00B13504">
      <w:pPr>
        <w:rPr>
          <w:rFonts w:ascii="Times New Roman" w:hAnsi="Times New Roman" w:cs="Times New Roman"/>
          <w:b/>
          <w:sz w:val="24"/>
          <w:szCs w:val="24"/>
        </w:rPr>
      </w:pPr>
      <w:proofErr w:type="gramStart"/>
      <w:r w:rsidRPr="00712C24">
        <w:rPr>
          <w:rFonts w:ascii="Times New Roman" w:hAnsi="Times New Roman" w:cs="Times New Roman"/>
          <w:b/>
          <w:sz w:val="24"/>
          <w:szCs w:val="24"/>
        </w:rPr>
        <w:lastRenderedPageBreak/>
        <w:t>Table 3.</w:t>
      </w:r>
      <w:proofErr w:type="gramEnd"/>
      <w:r w:rsidRPr="00712C24">
        <w:rPr>
          <w:rFonts w:ascii="Times New Roman" w:hAnsi="Times New Roman" w:cs="Times New Roman"/>
          <w:b/>
          <w:sz w:val="24"/>
          <w:szCs w:val="24"/>
        </w:rPr>
        <w:t xml:space="preserve"> Associations between number of frailty symptoms and employment outcomes and perceptions</w:t>
      </w:r>
    </w:p>
    <w:tbl>
      <w:tblPr>
        <w:tblW w:w="0" w:type="auto"/>
        <w:tblInd w:w="93" w:type="dxa"/>
        <w:tblLook w:val="04A0" w:firstRow="1" w:lastRow="0" w:firstColumn="1" w:lastColumn="0" w:noHBand="0" w:noVBand="1"/>
      </w:tblPr>
      <w:tblGrid>
        <w:gridCol w:w="3176"/>
        <w:gridCol w:w="1939"/>
        <w:gridCol w:w="266"/>
        <w:gridCol w:w="1050"/>
        <w:gridCol w:w="1372"/>
        <w:gridCol w:w="733"/>
        <w:gridCol w:w="1050"/>
        <w:gridCol w:w="1500"/>
        <w:gridCol w:w="733"/>
      </w:tblGrid>
      <w:tr w:rsidR="00B13504" w:rsidRPr="00712C24" w:rsidTr="00AA5BCC">
        <w:trPr>
          <w:trHeight w:val="285"/>
        </w:trPr>
        <w:tc>
          <w:tcPr>
            <w:tcW w:w="0" w:type="auto"/>
            <w:tcBorders>
              <w:top w:val="single" w:sz="4" w:space="0" w:color="auto"/>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single" w:sz="4"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 with work</w:t>
            </w:r>
          </w:p>
        </w:tc>
        <w:tc>
          <w:tcPr>
            <w:tcW w:w="0" w:type="auto"/>
            <w:gridSpan w:val="6"/>
            <w:tcBorders>
              <w:top w:val="single" w:sz="4" w:space="0" w:color="auto"/>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Risk factor</w:t>
            </w:r>
          </w:p>
        </w:tc>
        <w:tc>
          <w:tcPr>
            <w:tcW w:w="0" w:type="auto"/>
            <w:tcBorders>
              <w:top w:val="single" w:sz="4" w:space="0" w:color="auto"/>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p>
        </w:tc>
      </w:tr>
      <w:tr w:rsidR="00B13504" w:rsidRPr="00712C24" w:rsidTr="00AA5BCC">
        <w:trPr>
          <w:trHeight w:val="315"/>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outcome among</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gridSpan w:val="3"/>
            <w:tcBorders>
              <w:top w:val="nil"/>
              <w:left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‘Pre-frail’</w:t>
            </w:r>
          </w:p>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(1-2 vs. 0 symptoms)</w:t>
            </w:r>
          </w:p>
        </w:tc>
        <w:tc>
          <w:tcPr>
            <w:tcW w:w="0" w:type="auto"/>
            <w:gridSpan w:val="3"/>
            <w:tcBorders>
              <w:top w:val="nil"/>
              <w:left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‘Frail’</w:t>
            </w:r>
          </w:p>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(3-5 vs. 0 symptoms)</w:t>
            </w:r>
          </w:p>
        </w:tc>
      </w:tr>
      <w:tr w:rsidR="00B13504" w:rsidRPr="00712C24" w:rsidTr="00AA5BCC">
        <w:trPr>
          <w:trHeight w:val="255"/>
        </w:trPr>
        <w:tc>
          <w:tcPr>
            <w:tcW w:w="0" w:type="auto"/>
            <w:vMerge w:val="restart"/>
            <w:tcBorders>
              <w:top w:val="nil"/>
              <w:left w:val="nil"/>
              <w:bottom w:val="single" w:sz="8" w:space="0" w:color="000000"/>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Outcomes</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participants with no</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OR (95% CI)</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PAF</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N (%)</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OR (95% CI)</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PAF</w:t>
            </w:r>
          </w:p>
        </w:tc>
      </w:tr>
      <w:tr w:rsidR="00B13504" w:rsidRPr="00712C24" w:rsidTr="00AA5BCC">
        <w:trPr>
          <w:trHeight w:val="270"/>
        </w:trPr>
        <w:tc>
          <w:tcPr>
            <w:tcW w:w="0" w:type="auto"/>
            <w:vMerge/>
            <w:tcBorders>
              <w:top w:val="nil"/>
              <w:left w:val="nil"/>
              <w:bottom w:val="single" w:sz="8" w:space="0" w:color="000000"/>
              <w:right w:val="nil"/>
            </w:tcBorders>
            <w:vAlign w:val="center"/>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frailty symptoms</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positive</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 </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 </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positive</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 </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 </w:t>
            </w: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i/>
                <w:iCs/>
                <w:color w:val="000000"/>
                <w:sz w:val="20"/>
                <w:szCs w:val="20"/>
                <w:lang w:eastAsia="en-GB"/>
              </w:rPr>
            </w:pPr>
            <w:r w:rsidRPr="00712C24">
              <w:rPr>
                <w:rFonts w:ascii="Times New Roman" w:eastAsia="Times New Roman" w:hAnsi="Times New Roman" w:cs="Times New Roman"/>
                <w:b/>
                <w:bCs/>
                <w:i/>
                <w:iCs/>
                <w:color w:val="000000"/>
                <w:sz w:val="20"/>
                <w:szCs w:val="20"/>
                <w:lang w:eastAsia="en-GB"/>
              </w:rPr>
              <w:t>Entire Sample (n =8,095 )</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Not in work vs. in work</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1468 (28.1)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906 (35.4)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 (1.2,1.6)</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9.7%</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235 (75.1)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10.5 (7.9,14.1)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8.2%</w:t>
            </w: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Left for a health reason vs. not</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280 (5.4)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433 (16.9)</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3.7 (3.1,4.3)</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34.9%</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189 (60.4)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30.0 (23.0,39.2)</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20.3%</w:t>
            </w: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i/>
                <w:iCs/>
                <w:color w:val="000000"/>
                <w:sz w:val="20"/>
                <w:szCs w:val="20"/>
                <w:lang w:eastAsia="en-GB"/>
              </w:rPr>
            </w:pPr>
            <w:r w:rsidRPr="00712C24">
              <w:rPr>
                <w:rFonts w:ascii="Times New Roman" w:eastAsia="Times New Roman" w:hAnsi="Times New Roman" w:cs="Times New Roman"/>
                <w:b/>
                <w:bCs/>
                <w:i/>
                <w:iCs/>
                <w:color w:val="000000"/>
                <w:sz w:val="20"/>
                <w:szCs w:val="20"/>
                <w:lang w:eastAsia="en-GB"/>
              </w:rPr>
              <w:t>Those in work (n=5,486)</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Sick leave, days past 12 months (max n=5,457):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Any vs. none</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1468 (39.4)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827 (50.8)</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 (1.4,1.7)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12.2%</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54 (70.1)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3.4 (2.1,5.5)</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w:t>
            </w: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&gt;20 days vs. </w:t>
            </w:r>
            <w:r w:rsidRPr="00712C24">
              <w:rPr>
                <w:rFonts w:ascii="Times New Roman" w:eastAsia="Times New Roman" w:hAnsi="Times New Roman" w:cs="Times New Roman"/>
                <w:color w:val="000000"/>
                <w:sz w:val="20"/>
                <w:szCs w:val="20"/>
                <w:u w:val="single"/>
                <w:lang w:eastAsia="en-GB"/>
              </w:rPr>
              <w:t>&lt;</w:t>
            </w:r>
            <w:r w:rsidRPr="00712C24">
              <w:rPr>
                <w:rFonts w:ascii="Times New Roman" w:eastAsia="Times New Roman" w:hAnsi="Times New Roman" w:cs="Times New Roman"/>
                <w:color w:val="000000"/>
                <w:sz w:val="20"/>
                <w:szCs w:val="20"/>
                <w:lang w:eastAsia="en-GB"/>
              </w:rPr>
              <w:t>20 days</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168 (4.5)</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169 (10.4)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2.5 (2.0,3.1)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27.6%</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26 (33.8)</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10.7 (6.5,17.7)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6.5%</w:t>
            </w: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Cut down on work, past 12 months:</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Any vs. none</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787 (21.1)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596 (36.5)</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2.2 (1.9,2.4)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22.2%</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56 (72.7)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w:t>
            </w:r>
            <w:r w:rsidR="00A71722">
              <w:rPr>
                <w:rFonts w:ascii="Times New Roman" w:eastAsia="Times New Roman" w:hAnsi="Times New Roman" w:cs="Times New Roman"/>
                <w:color w:val="000000"/>
                <w:sz w:val="20"/>
                <w:szCs w:val="20"/>
                <w:lang w:eastAsia="en-GB"/>
              </w:rPr>
              <w:t>.0</w:t>
            </w:r>
            <w:r w:rsidRPr="00712C24">
              <w:rPr>
                <w:rFonts w:ascii="Times New Roman" w:eastAsia="Times New Roman" w:hAnsi="Times New Roman" w:cs="Times New Roman"/>
                <w:color w:val="000000"/>
                <w:sz w:val="20"/>
                <w:szCs w:val="20"/>
                <w:lang w:eastAsia="en-GB"/>
              </w:rPr>
              <w:t xml:space="preserve"> (6.0,16.6)</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3.5%</w:t>
            </w: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A lot vs. not a lot (none/a little)</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128 (3.4)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155 (9.5)</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w:t>
            </w:r>
            <w:r w:rsidR="00A71722">
              <w:rPr>
                <w:rFonts w:ascii="Times New Roman" w:eastAsia="Times New Roman" w:hAnsi="Times New Roman" w:cs="Times New Roman"/>
                <w:color w:val="000000"/>
                <w:sz w:val="20"/>
                <w:szCs w:val="20"/>
                <w:lang w:eastAsia="en-GB"/>
              </w:rPr>
              <w:t>.0</w:t>
            </w:r>
            <w:r w:rsidRPr="00712C24">
              <w:rPr>
                <w:rFonts w:ascii="Times New Roman" w:eastAsia="Times New Roman" w:hAnsi="Times New Roman" w:cs="Times New Roman"/>
                <w:color w:val="000000"/>
                <w:sz w:val="20"/>
                <w:szCs w:val="20"/>
                <w:lang w:eastAsia="en-GB"/>
              </w:rPr>
              <w:t xml:space="preserve"> (2.3,3.8)</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33.0%</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 (37.7)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17.2 (10.5,28.4)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8.8%</w:t>
            </w: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Coping with work’s physical demands (vs. easily):</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With some/great difficulty</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848 (22.9)</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691 (42.0)</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2.4 (2.2,2.8)</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25.5%</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61 (81.3)</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14.8 (8.2,26.6)</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3.6%</w:t>
            </w: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Coping with work’s mental demands (vs. easily):</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With some/great difficulty</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1029 (27.9)</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640 (38.9)</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1.7 (1.5,1.9)</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14.8%</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47 (62.7)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4.5 (2.8,7.3)</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2.1%</w:t>
            </w:r>
          </w:p>
        </w:tc>
      </w:tr>
      <w:tr w:rsidR="00B13504" w:rsidRPr="00712C24" w:rsidTr="00AA5BCC">
        <w:trPr>
          <w:trHeight w:val="346"/>
        </w:trPr>
        <w:tc>
          <w:tcPr>
            <w:tcW w:w="0" w:type="auto"/>
            <w:gridSpan w:val="2"/>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Expecting to be able to cope in 2 years’ time (vs. yes):</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No/not sure</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717 (19.4)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566 (34.6)</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2.1 (1.9,2.4)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22.3%</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59 (78.7)</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14.5 (8.2,25.4)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4.1%</w:t>
            </w:r>
          </w:p>
        </w:tc>
      </w:tr>
      <w:tr w:rsidR="00B13504" w:rsidRPr="00712C24" w:rsidTr="00AA5BCC">
        <w:trPr>
          <w:trHeight w:val="346"/>
        </w:trPr>
        <w:tc>
          <w:tcPr>
            <w:tcW w:w="0" w:type="auto"/>
            <w:gridSpan w:val="4"/>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Lying awake at night worrying about work (vs. sometimes/rarely/never):</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Often</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375 (10.1)</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300 (18.2)</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w:t>
            </w:r>
            <w:r w:rsidR="00A71722">
              <w:rPr>
                <w:rFonts w:ascii="Times New Roman" w:eastAsia="Times New Roman" w:hAnsi="Times New Roman" w:cs="Times New Roman"/>
                <w:color w:val="000000"/>
                <w:sz w:val="20"/>
                <w:szCs w:val="20"/>
                <w:lang w:eastAsia="en-GB"/>
              </w:rPr>
              <w:t>.0</w:t>
            </w:r>
            <w:r w:rsidRPr="00712C24">
              <w:rPr>
                <w:rFonts w:ascii="Times New Roman" w:eastAsia="Times New Roman" w:hAnsi="Times New Roman" w:cs="Times New Roman"/>
                <w:color w:val="000000"/>
                <w:sz w:val="20"/>
                <w:szCs w:val="20"/>
                <w:lang w:eastAsia="en-GB"/>
              </w:rPr>
              <w:t xml:space="preserve"> (1.7,2.3)</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20.8%</w:t>
            </w: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28 (36.8)</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 (1.0,1.4)</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3.2%</w:t>
            </w:r>
          </w:p>
        </w:tc>
      </w:tr>
      <w:tr w:rsidR="00B13504" w:rsidRPr="00712C24" w:rsidTr="00AA5BCC">
        <w:trPr>
          <w:trHeight w:val="346"/>
        </w:trPr>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Job security (vs. secure/very secure):</w:t>
            </w: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0" w:type="auto"/>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trHeight w:val="346"/>
        </w:trPr>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Insecure/very insecure</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671 (18.2)</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341 (20.8)</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5.1 (3.2,8.3)</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5.6%</w:t>
            </w:r>
          </w:p>
        </w:tc>
        <w:tc>
          <w:tcPr>
            <w:tcW w:w="0" w:type="auto"/>
            <w:tcBorders>
              <w:top w:val="nil"/>
              <w:left w:val="nil"/>
              <w:bottom w:val="single" w:sz="8"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 (38.7)</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w:t>
            </w:r>
            <w:r w:rsidR="00A71722">
              <w:rPr>
                <w:rFonts w:ascii="Times New Roman" w:eastAsia="Times New Roman" w:hAnsi="Times New Roman" w:cs="Times New Roman"/>
                <w:color w:val="000000"/>
                <w:sz w:val="20"/>
                <w:szCs w:val="20"/>
                <w:lang w:eastAsia="en-GB"/>
              </w:rPr>
              <w:t>.0</w:t>
            </w:r>
            <w:r w:rsidRPr="00712C24">
              <w:rPr>
                <w:rFonts w:ascii="Times New Roman" w:eastAsia="Times New Roman" w:hAnsi="Times New Roman" w:cs="Times New Roman"/>
                <w:color w:val="000000"/>
                <w:sz w:val="20"/>
                <w:szCs w:val="20"/>
                <w:lang w:eastAsia="en-GB"/>
              </w:rPr>
              <w:t xml:space="preserve"> (1.9,4.8)</w:t>
            </w:r>
          </w:p>
        </w:tc>
        <w:tc>
          <w:tcPr>
            <w:tcW w:w="0" w:type="auto"/>
            <w:tcBorders>
              <w:top w:val="nil"/>
              <w:left w:val="nil"/>
              <w:bottom w:val="single" w:sz="8"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1.9%</w:t>
            </w:r>
          </w:p>
        </w:tc>
      </w:tr>
    </w:tbl>
    <w:p w:rsidR="00B13504" w:rsidRDefault="00B13504">
      <w:pPr>
        <w:rPr>
          <w:rFonts w:ascii="Times New Roman" w:eastAsia="Times New Roman" w:hAnsi="Times New Roman" w:cs="Times New Roman"/>
          <w:color w:val="000000"/>
          <w:sz w:val="20"/>
          <w:szCs w:val="20"/>
          <w:lang w:eastAsia="en-GB"/>
        </w:rPr>
        <w:sectPr w:rsidR="00B13504" w:rsidSect="00B13504">
          <w:pgSz w:w="16838" w:h="11906" w:orient="landscape"/>
          <w:pgMar w:top="1440" w:right="1361" w:bottom="1440" w:left="1361" w:header="709" w:footer="709" w:gutter="0"/>
          <w:cols w:space="708"/>
          <w:docGrid w:linePitch="360"/>
        </w:sectPr>
      </w:pPr>
      <w:r w:rsidRPr="00712C24">
        <w:rPr>
          <w:rFonts w:ascii="Times New Roman" w:eastAsia="Times New Roman" w:hAnsi="Times New Roman" w:cs="Times New Roman"/>
          <w:color w:val="000000"/>
          <w:sz w:val="20"/>
          <w:szCs w:val="20"/>
          <w:lang w:eastAsia="en-GB"/>
        </w:rPr>
        <w:t xml:space="preserve">PAF – population attributable fraction; all estimates are adjusted for age and </w:t>
      </w:r>
      <w:r w:rsidR="0061058C">
        <w:rPr>
          <w:rFonts w:ascii="Times New Roman" w:eastAsia="Times New Roman" w:hAnsi="Times New Roman" w:cs="Times New Roman"/>
          <w:color w:val="000000"/>
          <w:sz w:val="20"/>
          <w:szCs w:val="20"/>
          <w:lang w:eastAsia="en-GB"/>
        </w:rPr>
        <w:t>gender</w:t>
      </w:r>
    </w:p>
    <w:p w:rsidR="00E7234D" w:rsidRPr="00712C24" w:rsidRDefault="00E7234D" w:rsidP="00BA3B78">
      <w:pPr>
        <w:rPr>
          <w:rFonts w:ascii="Times New Roman" w:hAnsi="Times New Roman" w:cs="Times New Roman"/>
          <w:sz w:val="24"/>
          <w:szCs w:val="24"/>
        </w:rPr>
      </w:pPr>
      <w:r w:rsidRPr="00712C24">
        <w:rPr>
          <w:rFonts w:ascii="Times New Roman" w:hAnsi="Times New Roman" w:cs="Times New Roman"/>
          <w:sz w:val="24"/>
          <w:szCs w:val="24"/>
        </w:rPr>
        <w:lastRenderedPageBreak/>
        <w:t xml:space="preserve">Three-quarters of those </w:t>
      </w:r>
      <w:r w:rsidR="00660D73" w:rsidRPr="00712C24">
        <w:rPr>
          <w:rFonts w:ascii="Times New Roman" w:hAnsi="Times New Roman" w:cs="Times New Roman"/>
          <w:sz w:val="24"/>
          <w:szCs w:val="24"/>
        </w:rPr>
        <w:t>classed as ‘frail’</w:t>
      </w:r>
      <w:r w:rsidRPr="00712C24">
        <w:rPr>
          <w:rFonts w:ascii="Times New Roman" w:hAnsi="Times New Roman" w:cs="Times New Roman"/>
          <w:sz w:val="24"/>
          <w:szCs w:val="24"/>
        </w:rPr>
        <w:t xml:space="preserve"> </w:t>
      </w:r>
      <w:r w:rsidR="00532AF2" w:rsidRPr="00712C24">
        <w:rPr>
          <w:rFonts w:ascii="Times New Roman" w:hAnsi="Times New Roman" w:cs="Times New Roman"/>
          <w:sz w:val="24"/>
          <w:szCs w:val="24"/>
        </w:rPr>
        <w:t>were no longer working</w:t>
      </w:r>
      <w:r w:rsidRPr="00712C24">
        <w:rPr>
          <w:rFonts w:ascii="Times New Roman" w:hAnsi="Times New Roman" w:cs="Times New Roman"/>
          <w:sz w:val="24"/>
          <w:szCs w:val="24"/>
        </w:rPr>
        <w:t xml:space="preserve">, and 60% </w:t>
      </w:r>
      <w:r w:rsidR="00532AF2" w:rsidRPr="00712C24">
        <w:rPr>
          <w:rFonts w:ascii="Times New Roman" w:hAnsi="Times New Roman" w:cs="Times New Roman"/>
          <w:sz w:val="24"/>
          <w:szCs w:val="24"/>
        </w:rPr>
        <w:t>reported leaving</w:t>
      </w:r>
      <w:r w:rsidRPr="00712C24">
        <w:rPr>
          <w:rFonts w:ascii="Times New Roman" w:hAnsi="Times New Roman" w:cs="Times New Roman"/>
          <w:sz w:val="24"/>
          <w:szCs w:val="24"/>
        </w:rPr>
        <w:t xml:space="preserve"> their last job for a health reason; corresponding proportions among </w:t>
      </w:r>
      <w:r w:rsidR="00532AF2" w:rsidRPr="00712C24">
        <w:rPr>
          <w:rFonts w:ascii="Times New Roman" w:hAnsi="Times New Roman" w:cs="Times New Roman"/>
          <w:sz w:val="24"/>
          <w:szCs w:val="24"/>
        </w:rPr>
        <w:t xml:space="preserve">the </w:t>
      </w:r>
      <w:r w:rsidR="00505568" w:rsidRPr="00712C24">
        <w:rPr>
          <w:rFonts w:ascii="Times New Roman" w:hAnsi="Times New Roman" w:cs="Times New Roman"/>
          <w:sz w:val="24"/>
          <w:szCs w:val="24"/>
        </w:rPr>
        <w:t>‘</w:t>
      </w:r>
      <w:r w:rsidR="00532AF2" w:rsidRPr="00712C24">
        <w:rPr>
          <w:rFonts w:ascii="Times New Roman" w:hAnsi="Times New Roman" w:cs="Times New Roman"/>
          <w:sz w:val="24"/>
          <w:szCs w:val="24"/>
        </w:rPr>
        <w:t>non-frail</w:t>
      </w:r>
      <w:r w:rsidR="00505568" w:rsidRPr="00712C24">
        <w:rPr>
          <w:rFonts w:ascii="Times New Roman" w:hAnsi="Times New Roman" w:cs="Times New Roman"/>
          <w:sz w:val="24"/>
          <w:szCs w:val="24"/>
        </w:rPr>
        <w:t>’</w:t>
      </w:r>
      <w:r w:rsidR="00532AF2" w:rsidRPr="00712C24">
        <w:rPr>
          <w:rFonts w:ascii="Times New Roman" w:hAnsi="Times New Roman" w:cs="Times New Roman"/>
          <w:sz w:val="24"/>
          <w:szCs w:val="24"/>
        </w:rPr>
        <w:t xml:space="preserve"> (</w:t>
      </w:r>
      <w:r w:rsidRPr="00712C24">
        <w:rPr>
          <w:rFonts w:ascii="Times New Roman" w:hAnsi="Times New Roman" w:cs="Times New Roman"/>
          <w:sz w:val="24"/>
          <w:szCs w:val="24"/>
        </w:rPr>
        <w:t xml:space="preserve">those </w:t>
      </w:r>
      <w:r w:rsidR="00532AF2" w:rsidRPr="00712C24">
        <w:rPr>
          <w:rFonts w:ascii="Times New Roman" w:hAnsi="Times New Roman" w:cs="Times New Roman"/>
          <w:sz w:val="24"/>
          <w:szCs w:val="24"/>
        </w:rPr>
        <w:t>with no</w:t>
      </w:r>
      <w:r w:rsidR="00660D73" w:rsidRPr="00712C24">
        <w:rPr>
          <w:rFonts w:ascii="Times New Roman" w:hAnsi="Times New Roman" w:cs="Times New Roman"/>
          <w:sz w:val="24"/>
          <w:szCs w:val="24"/>
        </w:rPr>
        <w:t xml:space="preserve"> Fried</w:t>
      </w:r>
      <w:r w:rsidRPr="00712C24">
        <w:rPr>
          <w:rFonts w:ascii="Times New Roman" w:hAnsi="Times New Roman" w:cs="Times New Roman"/>
          <w:sz w:val="24"/>
          <w:szCs w:val="24"/>
        </w:rPr>
        <w:t xml:space="preserve"> symptoms</w:t>
      </w:r>
      <w:r w:rsidR="00532AF2" w:rsidRPr="00712C24">
        <w:rPr>
          <w:rFonts w:ascii="Times New Roman" w:hAnsi="Times New Roman" w:cs="Times New Roman"/>
          <w:sz w:val="24"/>
          <w:szCs w:val="24"/>
        </w:rPr>
        <w:t>)</w:t>
      </w:r>
      <w:r w:rsidRPr="00712C24">
        <w:rPr>
          <w:rFonts w:ascii="Times New Roman" w:hAnsi="Times New Roman" w:cs="Times New Roman"/>
          <w:sz w:val="24"/>
          <w:szCs w:val="24"/>
        </w:rPr>
        <w:t xml:space="preserve"> were 28% and 5%</w:t>
      </w:r>
      <w:r w:rsidR="00505568" w:rsidRPr="00712C24">
        <w:rPr>
          <w:rFonts w:ascii="Times New Roman" w:hAnsi="Times New Roman" w:cs="Times New Roman"/>
          <w:sz w:val="24"/>
          <w:szCs w:val="24"/>
        </w:rPr>
        <w:t xml:space="preserve"> respectively</w:t>
      </w:r>
      <w:r w:rsidRPr="00712C24">
        <w:rPr>
          <w:rFonts w:ascii="Times New Roman" w:hAnsi="Times New Roman" w:cs="Times New Roman"/>
          <w:sz w:val="24"/>
          <w:szCs w:val="24"/>
        </w:rPr>
        <w:t xml:space="preserve"> (p≤0.001 for differences). </w:t>
      </w:r>
      <w:r w:rsidR="00505568" w:rsidRPr="00712C24">
        <w:rPr>
          <w:rFonts w:ascii="Times New Roman" w:hAnsi="Times New Roman" w:cs="Times New Roman"/>
          <w:sz w:val="24"/>
          <w:szCs w:val="24"/>
        </w:rPr>
        <w:t>The o</w:t>
      </w:r>
      <w:r w:rsidRPr="00712C24">
        <w:rPr>
          <w:rFonts w:ascii="Times New Roman" w:hAnsi="Times New Roman" w:cs="Times New Roman"/>
          <w:sz w:val="24"/>
          <w:szCs w:val="24"/>
        </w:rPr>
        <w:t xml:space="preserve">dds of not being in paid work were elevated 10.5-fold </w:t>
      </w:r>
      <w:r w:rsidR="00505568" w:rsidRPr="00712C24">
        <w:rPr>
          <w:rFonts w:ascii="Times New Roman" w:hAnsi="Times New Roman" w:cs="Times New Roman"/>
          <w:sz w:val="24"/>
          <w:szCs w:val="24"/>
        </w:rPr>
        <w:t xml:space="preserve">in ‘frail’ vs. ‘non-frail’ subjects, </w:t>
      </w:r>
      <w:r w:rsidR="00660D73" w:rsidRPr="00712C24">
        <w:rPr>
          <w:rFonts w:ascii="Times New Roman" w:hAnsi="Times New Roman" w:cs="Times New Roman"/>
          <w:sz w:val="24"/>
          <w:szCs w:val="24"/>
        </w:rPr>
        <w:t xml:space="preserve">and </w:t>
      </w:r>
      <w:r w:rsidR="00505568" w:rsidRPr="00712C24">
        <w:rPr>
          <w:rFonts w:ascii="Times New Roman" w:hAnsi="Times New Roman" w:cs="Times New Roman"/>
          <w:sz w:val="24"/>
          <w:szCs w:val="24"/>
        </w:rPr>
        <w:t xml:space="preserve">the OR </w:t>
      </w:r>
      <w:r w:rsidR="00660D73" w:rsidRPr="00712C24">
        <w:rPr>
          <w:rFonts w:ascii="Times New Roman" w:hAnsi="Times New Roman" w:cs="Times New Roman"/>
          <w:sz w:val="24"/>
          <w:szCs w:val="24"/>
        </w:rPr>
        <w:t>f</w:t>
      </w:r>
      <w:r w:rsidRPr="00712C24">
        <w:rPr>
          <w:rFonts w:ascii="Times New Roman" w:hAnsi="Times New Roman" w:cs="Times New Roman"/>
          <w:sz w:val="24"/>
          <w:szCs w:val="24"/>
        </w:rPr>
        <w:t xml:space="preserve">or health-related job </w:t>
      </w:r>
      <w:r w:rsidR="00660D73" w:rsidRPr="00712C24">
        <w:rPr>
          <w:rFonts w:ascii="Times New Roman" w:hAnsi="Times New Roman" w:cs="Times New Roman"/>
          <w:sz w:val="24"/>
          <w:szCs w:val="24"/>
        </w:rPr>
        <w:t>loss</w:t>
      </w:r>
      <w:r w:rsidRPr="00712C24">
        <w:rPr>
          <w:rFonts w:ascii="Times New Roman" w:hAnsi="Times New Roman" w:cs="Times New Roman"/>
          <w:sz w:val="24"/>
          <w:szCs w:val="24"/>
        </w:rPr>
        <w:t xml:space="preserve"> was even higher (OR 30.0, 95%CI 23.0-39.2).  </w:t>
      </w:r>
      <w:r w:rsidR="00505568" w:rsidRPr="00712C24">
        <w:rPr>
          <w:rFonts w:ascii="Times New Roman" w:hAnsi="Times New Roman" w:cs="Times New Roman"/>
          <w:sz w:val="24"/>
          <w:szCs w:val="24"/>
        </w:rPr>
        <w:t>Adverse work outcomes were also more frequent in those classed as ‘pre</w:t>
      </w:r>
      <w:r w:rsidR="00660D73" w:rsidRPr="00712C24">
        <w:rPr>
          <w:rFonts w:ascii="Times New Roman" w:hAnsi="Times New Roman" w:cs="Times New Roman"/>
          <w:sz w:val="24"/>
          <w:szCs w:val="24"/>
        </w:rPr>
        <w:t>-frail’</w:t>
      </w:r>
      <w:r w:rsidR="00505568" w:rsidRPr="00712C24">
        <w:rPr>
          <w:rFonts w:ascii="Times New Roman" w:hAnsi="Times New Roman" w:cs="Times New Roman"/>
          <w:sz w:val="24"/>
          <w:szCs w:val="24"/>
        </w:rPr>
        <w:t>, although associations were weaker</w:t>
      </w:r>
      <w:r w:rsidRPr="00712C24">
        <w:rPr>
          <w:rFonts w:ascii="Times New Roman" w:hAnsi="Times New Roman" w:cs="Times New Roman"/>
          <w:sz w:val="24"/>
          <w:szCs w:val="24"/>
        </w:rPr>
        <w:t xml:space="preserve"> (ORs </w:t>
      </w:r>
      <w:r w:rsidR="00505568" w:rsidRPr="00712C24">
        <w:rPr>
          <w:rFonts w:ascii="Times New Roman" w:hAnsi="Times New Roman" w:cs="Times New Roman"/>
          <w:sz w:val="24"/>
          <w:szCs w:val="24"/>
        </w:rPr>
        <w:t xml:space="preserve">vs. ‘non-frail’, </w:t>
      </w:r>
      <w:r w:rsidRPr="00712C24">
        <w:rPr>
          <w:rFonts w:ascii="Times New Roman" w:hAnsi="Times New Roman" w:cs="Times New Roman"/>
          <w:sz w:val="24"/>
          <w:szCs w:val="24"/>
        </w:rPr>
        <w:t>1.4 and 3.7 respectively).</w:t>
      </w:r>
    </w:p>
    <w:p w:rsidR="00BA3B78" w:rsidRPr="00712C24" w:rsidRDefault="00BA3B78" w:rsidP="00BA3B78">
      <w:pPr>
        <w:rPr>
          <w:rFonts w:ascii="Times New Roman" w:hAnsi="Times New Roman" w:cs="Times New Roman"/>
          <w:sz w:val="24"/>
          <w:szCs w:val="24"/>
        </w:rPr>
      </w:pPr>
    </w:p>
    <w:p w:rsidR="00BA3B78" w:rsidRDefault="00660D73" w:rsidP="00BA3B78">
      <w:pPr>
        <w:rPr>
          <w:rFonts w:ascii="Times New Roman" w:hAnsi="Times New Roman" w:cs="Times New Roman"/>
          <w:sz w:val="24"/>
          <w:szCs w:val="24"/>
        </w:rPr>
      </w:pPr>
      <w:r w:rsidRPr="00712C24">
        <w:rPr>
          <w:rFonts w:ascii="Times New Roman" w:hAnsi="Times New Roman" w:cs="Times New Roman"/>
          <w:sz w:val="24"/>
          <w:szCs w:val="24"/>
        </w:rPr>
        <w:t xml:space="preserve">Among the 5,486 people in paid work, 78 (1.4%) met our criteria for </w:t>
      </w:r>
      <w:r w:rsidR="00B427C2" w:rsidRPr="00712C24">
        <w:rPr>
          <w:rFonts w:ascii="Times New Roman" w:hAnsi="Times New Roman" w:cs="Times New Roman"/>
          <w:sz w:val="24"/>
          <w:szCs w:val="24"/>
        </w:rPr>
        <w:t>‘</w:t>
      </w:r>
      <w:r w:rsidRPr="00712C24">
        <w:rPr>
          <w:rFonts w:ascii="Times New Roman" w:hAnsi="Times New Roman" w:cs="Times New Roman"/>
          <w:sz w:val="24"/>
          <w:szCs w:val="24"/>
        </w:rPr>
        <w:t>frailty</w:t>
      </w:r>
      <w:r w:rsidR="00B427C2" w:rsidRPr="00712C24">
        <w:rPr>
          <w:rFonts w:ascii="Times New Roman" w:hAnsi="Times New Roman" w:cs="Times New Roman"/>
          <w:sz w:val="24"/>
          <w:szCs w:val="24"/>
        </w:rPr>
        <w:t>’</w:t>
      </w:r>
      <w:r w:rsidRPr="00712C24">
        <w:rPr>
          <w:rFonts w:ascii="Times New Roman" w:hAnsi="Times New Roman" w:cs="Times New Roman"/>
          <w:sz w:val="24"/>
          <w:szCs w:val="24"/>
        </w:rPr>
        <w:t xml:space="preserve"> while 1,654 (30.2%) were classed as </w:t>
      </w:r>
      <w:r w:rsidR="00B427C2" w:rsidRPr="00712C24">
        <w:rPr>
          <w:rFonts w:ascii="Times New Roman" w:hAnsi="Times New Roman" w:cs="Times New Roman"/>
          <w:sz w:val="24"/>
          <w:szCs w:val="24"/>
        </w:rPr>
        <w:t>‘</w:t>
      </w:r>
      <w:r w:rsidRPr="00712C24">
        <w:rPr>
          <w:rFonts w:ascii="Times New Roman" w:hAnsi="Times New Roman" w:cs="Times New Roman"/>
          <w:sz w:val="24"/>
          <w:szCs w:val="24"/>
        </w:rPr>
        <w:t>pre-frail</w:t>
      </w:r>
      <w:r w:rsidR="00B427C2" w:rsidRPr="00712C24">
        <w:rPr>
          <w:rFonts w:ascii="Times New Roman" w:hAnsi="Times New Roman" w:cs="Times New Roman"/>
          <w:sz w:val="24"/>
          <w:szCs w:val="24"/>
        </w:rPr>
        <w:t>’</w:t>
      </w:r>
      <w:r w:rsidRPr="00712C24">
        <w:rPr>
          <w:rFonts w:ascii="Times New Roman" w:hAnsi="Times New Roman" w:cs="Times New Roman"/>
          <w:sz w:val="24"/>
          <w:szCs w:val="24"/>
        </w:rPr>
        <w:t xml:space="preserve">. Relative to those with no Fried symptoms, the former group had much higher </w:t>
      </w:r>
      <w:r w:rsidR="00B427C2" w:rsidRPr="00712C24">
        <w:rPr>
          <w:rFonts w:ascii="Times New Roman" w:hAnsi="Times New Roman" w:cs="Times New Roman"/>
          <w:sz w:val="24"/>
          <w:szCs w:val="24"/>
        </w:rPr>
        <w:t>odds of</w:t>
      </w:r>
      <w:r w:rsidRPr="00712C24">
        <w:rPr>
          <w:rFonts w:ascii="Times New Roman" w:hAnsi="Times New Roman" w:cs="Times New Roman"/>
          <w:sz w:val="24"/>
          <w:szCs w:val="24"/>
        </w:rPr>
        <w:t xml:space="preserve"> prolonged sickness absence in the past</w:t>
      </w:r>
      <w:r w:rsidR="00B427C2" w:rsidRPr="00712C24">
        <w:rPr>
          <w:rFonts w:ascii="Times New Roman" w:hAnsi="Times New Roman" w:cs="Times New Roman"/>
          <w:sz w:val="24"/>
          <w:szCs w:val="24"/>
        </w:rPr>
        <w:t xml:space="preserve"> year (OR 10.7, 95%CI 6.5-17.7),</w:t>
      </w:r>
      <w:r w:rsidRPr="00712C24">
        <w:rPr>
          <w:rFonts w:ascii="Times New Roman" w:hAnsi="Times New Roman" w:cs="Times New Roman"/>
          <w:sz w:val="24"/>
          <w:szCs w:val="24"/>
        </w:rPr>
        <w:t xml:space="preserve"> needing to cut down a lot on work in the past 12 mo</w:t>
      </w:r>
      <w:r w:rsidR="00B427C2" w:rsidRPr="00712C24">
        <w:rPr>
          <w:rFonts w:ascii="Times New Roman" w:hAnsi="Times New Roman" w:cs="Times New Roman"/>
          <w:sz w:val="24"/>
          <w:szCs w:val="24"/>
        </w:rPr>
        <w:t>nths (OR 17.2, 95%CI 10.5-28.4),</w:t>
      </w:r>
      <w:r w:rsidRPr="00712C24">
        <w:rPr>
          <w:rFonts w:ascii="Times New Roman" w:hAnsi="Times New Roman" w:cs="Times New Roman"/>
          <w:sz w:val="24"/>
          <w:szCs w:val="24"/>
        </w:rPr>
        <w:t xml:space="preserve"> difficulty coping with work’s physical demands (OR 14.8, 95%CI 8</w:t>
      </w:r>
      <w:r w:rsidR="00B427C2" w:rsidRPr="00712C24">
        <w:rPr>
          <w:rFonts w:ascii="Times New Roman" w:hAnsi="Times New Roman" w:cs="Times New Roman"/>
          <w:sz w:val="24"/>
          <w:szCs w:val="24"/>
        </w:rPr>
        <w:t>.2-26.6),</w:t>
      </w:r>
      <w:r w:rsidRPr="00712C24">
        <w:rPr>
          <w:rFonts w:ascii="Times New Roman" w:hAnsi="Times New Roman" w:cs="Times New Roman"/>
          <w:sz w:val="24"/>
          <w:szCs w:val="24"/>
        </w:rPr>
        <w:t xml:space="preserve"> and being unsure whether they would be able to cope with work in two years’ time (OR 14.5, 95%CI 8.2-25.4).  </w:t>
      </w:r>
      <w:r w:rsidR="00B427C2" w:rsidRPr="00712C24">
        <w:rPr>
          <w:rFonts w:ascii="Times New Roman" w:hAnsi="Times New Roman" w:cs="Times New Roman"/>
          <w:sz w:val="24"/>
          <w:szCs w:val="24"/>
        </w:rPr>
        <w:t>Even for ‘pre-frailty’, many ORs were of the order of 2 to 3 (p&lt;0.001).</w:t>
      </w:r>
      <w:r w:rsidR="00EF7EEA">
        <w:rPr>
          <w:rFonts w:ascii="Times New Roman" w:hAnsi="Times New Roman" w:cs="Times New Roman"/>
          <w:sz w:val="24"/>
          <w:szCs w:val="24"/>
        </w:rPr>
        <w:t xml:space="preserve"> </w:t>
      </w:r>
    </w:p>
    <w:p w:rsidR="0085526E" w:rsidRDefault="0085526E" w:rsidP="00BA3B78">
      <w:pPr>
        <w:rPr>
          <w:rFonts w:ascii="Times New Roman" w:hAnsi="Times New Roman" w:cs="Times New Roman"/>
          <w:sz w:val="24"/>
          <w:szCs w:val="24"/>
        </w:rPr>
      </w:pPr>
    </w:p>
    <w:p w:rsidR="0085526E" w:rsidRPr="00712C24" w:rsidRDefault="0085526E" w:rsidP="00BA3B78">
      <w:pPr>
        <w:rPr>
          <w:rFonts w:ascii="Times New Roman" w:hAnsi="Times New Roman" w:cs="Times New Roman"/>
          <w:sz w:val="24"/>
          <w:szCs w:val="24"/>
        </w:rPr>
      </w:pPr>
      <w:r>
        <w:rPr>
          <w:rFonts w:ascii="Times New Roman" w:hAnsi="Times New Roman" w:cs="Times New Roman"/>
          <w:sz w:val="24"/>
          <w:szCs w:val="24"/>
        </w:rPr>
        <w:t xml:space="preserve">A total of 873 ‘pre-frail’ subjects were classed as such solely because they did </w:t>
      </w:r>
      <w:r w:rsidRPr="0085526E">
        <w:rPr>
          <w:rFonts w:ascii="Times New Roman" w:hAnsi="Times New Roman" w:cs="Times New Roman"/>
          <w:sz w:val="24"/>
          <w:szCs w:val="24"/>
        </w:rPr>
        <w:t xml:space="preserve">not </w:t>
      </w:r>
      <w:r w:rsidR="00E14A2C">
        <w:rPr>
          <w:rFonts w:ascii="Times New Roman" w:hAnsi="Times New Roman" w:cs="Times New Roman"/>
          <w:sz w:val="24"/>
          <w:szCs w:val="24"/>
        </w:rPr>
        <w:t>report</w:t>
      </w:r>
      <w:r w:rsidRPr="0085526E">
        <w:rPr>
          <w:rFonts w:ascii="Times New Roman" w:hAnsi="Times New Roman" w:cs="Times New Roman"/>
          <w:sz w:val="24"/>
          <w:szCs w:val="24"/>
        </w:rPr>
        <w:t xml:space="preserve"> physical exerci</w:t>
      </w:r>
      <w:r>
        <w:rPr>
          <w:rFonts w:ascii="Times New Roman" w:hAnsi="Times New Roman" w:cs="Times New Roman"/>
          <w:sz w:val="24"/>
          <w:szCs w:val="24"/>
        </w:rPr>
        <w:t>se or sports in an average week</w:t>
      </w:r>
      <w:r w:rsidRPr="0085526E">
        <w:rPr>
          <w:rFonts w:ascii="Times New Roman" w:hAnsi="Times New Roman" w:cs="Times New Roman"/>
          <w:sz w:val="24"/>
          <w:szCs w:val="24"/>
        </w:rPr>
        <w:t xml:space="preserve"> sufficient to make </w:t>
      </w:r>
      <w:r>
        <w:rPr>
          <w:rFonts w:ascii="Times New Roman" w:hAnsi="Times New Roman" w:cs="Times New Roman"/>
          <w:sz w:val="24"/>
          <w:szCs w:val="24"/>
        </w:rPr>
        <w:t>them</w:t>
      </w:r>
      <w:r w:rsidRPr="0085526E">
        <w:rPr>
          <w:rFonts w:ascii="Times New Roman" w:hAnsi="Times New Roman" w:cs="Times New Roman"/>
          <w:sz w:val="24"/>
          <w:szCs w:val="24"/>
        </w:rPr>
        <w:t xml:space="preserve"> hot or sweaty</w:t>
      </w:r>
      <w:r>
        <w:rPr>
          <w:rFonts w:ascii="Times New Roman" w:hAnsi="Times New Roman" w:cs="Times New Roman"/>
          <w:sz w:val="24"/>
          <w:szCs w:val="24"/>
        </w:rPr>
        <w:t xml:space="preserve">. In case this criterion lacked specificity, we repeated the analyses </w:t>
      </w:r>
      <w:r w:rsidR="00E14A2C">
        <w:rPr>
          <w:rFonts w:ascii="Times New Roman" w:hAnsi="Times New Roman" w:cs="Times New Roman"/>
          <w:sz w:val="24"/>
          <w:szCs w:val="24"/>
        </w:rPr>
        <w:t>for</w:t>
      </w:r>
      <w:r>
        <w:rPr>
          <w:rFonts w:ascii="Times New Roman" w:hAnsi="Times New Roman" w:cs="Times New Roman"/>
          <w:sz w:val="24"/>
          <w:szCs w:val="24"/>
        </w:rPr>
        <w:t xml:space="preserve"> Table 3 </w:t>
      </w:r>
      <w:r w:rsidR="00E14A2C">
        <w:rPr>
          <w:rFonts w:ascii="Times New Roman" w:hAnsi="Times New Roman" w:cs="Times New Roman"/>
          <w:sz w:val="24"/>
          <w:szCs w:val="24"/>
        </w:rPr>
        <w:t>for</w:t>
      </w:r>
      <w:r>
        <w:rPr>
          <w:rFonts w:ascii="Times New Roman" w:hAnsi="Times New Roman" w:cs="Times New Roman"/>
          <w:sz w:val="24"/>
          <w:szCs w:val="24"/>
        </w:rPr>
        <w:t xml:space="preserve"> an alternative case definition of pre-frailty requiring the presence of two symptoms. In this sensitivity analysis, ORs for adverse work outcomes were strengthened, although below those for frailty (e.g. the OR for health-related job loss was 9.6 (95%CI 7.6-12.0, vs. </w:t>
      </w:r>
      <w:r w:rsidR="003B1249">
        <w:rPr>
          <w:rFonts w:ascii="Times New Roman" w:hAnsi="Times New Roman" w:cs="Times New Roman"/>
          <w:sz w:val="24"/>
          <w:szCs w:val="24"/>
        </w:rPr>
        <w:t>3.7</w:t>
      </w:r>
      <w:r>
        <w:rPr>
          <w:rFonts w:ascii="Times New Roman" w:hAnsi="Times New Roman" w:cs="Times New Roman"/>
          <w:sz w:val="24"/>
          <w:szCs w:val="24"/>
        </w:rPr>
        <w:t xml:space="preserve">) and that for sick leave &gt;20 days in the past 12 months was 6.2 </w:t>
      </w:r>
      <w:r w:rsidR="003B1249">
        <w:rPr>
          <w:rFonts w:ascii="Times New Roman" w:hAnsi="Times New Roman" w:cs="Times New Roman"/>
          <w:sz w:val="24"/>
          <w:szCs w:val="24"/>
        </w:rPr>
        <w:t>(95%CI 4.5-8.6 vs. 2.5</w:t>
      </w:r>
      <w:r>
        <w:rPr>
          <w:rFonts w:ascii="Times New Roman" w:hAnsi="Times New Roman" w:cs="Times New Roman"/>
          <w:sz w:val="24"/>
          <w:szCs w:val="24"/>
        </w:rPr>
        <w:t>)</w:t>
      </w:r>
      <w:r w:rsidR="00D7441E">
        <w:rPr>
          <w:rFonts w:ascii="Times New Roman" w:hAnsi="Times New Roman" w:cs="Times New Roman"/>
          <w:sz w:val="24"/>
          <w:szCs w:val="24"/>
        </w:rPr>
        <w:t>)</w:t>
      </w:r>
      <w:r>
        <w:rPr>
          <w:rFonts w:ascii="Times New Roman" w:hAnsi="Times New Roman" w:cs="Times New Roman"/>
          <w:sz w:val="24"/>
          <w:szCs w:val="24"/>
        </w:rPr>
        <w:t xml:space="preserve">. </w:t>
      </w:r>
    </w:p>
    <w:p w:rsidR="00660D73" w:rsidRPr="00712C24" w:rsidRDefault="00660D73" w:rsidP="00BA3B78">
      <w:pPr>
        <w:rPr>
          <w:rFonts w:ascii="Times New Roman" w:hAnsi="Times New Roman" w:cs="Times New Roman"/>
          <w:sz w:val="24"/>
          <w:szCs w:val="24"/>
        </w:rPr>
      </w:pPr>
    </w:p>
    <w:p w:rsidR="00B427C2" w:rsidRPr="00712C24" w:rsidRDefault="00B427C2" w:rsidP="00B427C2">
      <w:pPr>
        <w:rPr>
          <w:rFonts w:ascii="Times New Roman" w:hAnsi="Times New Roman" w:cs="Times New Roman"/>
          <w:sz w:val="24"/>
          <w:szCs w:val="24"/>
        </w:rPr>
      </w:pPr>
      <w:r w:rsidRPr="00712C24">
        <w:rPr>
          <w:rFonts w:ascii="Times New Roman" w:hAnsi="Times New Roman" w:cs="Times New Roman"/>
          <w:sz w:val="24"/>
          <w:szCs w:val="24"/>
        </w:rPr>
        <w:t xml:space="preserve">Assuming causal relationships, PAFs for health-related job loss were 20.3% for the presence of </w:t>
      </w:r>
      <w:r w:rsidRPr="00712C24">
        <w:rPr>
          <w:rFonts w:ascii="Times New Roman" w:hAnsi="Times New Roman" w:cs="Times New Roman"/>
          <w:sz w:val="24"/>
          <w:szCs w:val="24"/>
          <w:u w:val="single"/>
        </w:rPr>
        <w:t>&gt;</w:t>
      </w:r>
      <w:r w:rsidRPr="00712C24">
        <w:rPr>
          <w:rFonts w:ascii="Times New Roman" w:hAnsi="Times New Roman" w:cs="Times New Roman"/>
          <w:sz w:val="24"/>
          <w:szCs w:val="24"/>
        </w:rPr>
        <w:t>3 Fried symptoms and 34.9</w:t>
      </w:r>
      <w:r w:rsidR="00505568" w:rsidRPr="00712C24">
        <w:rPr>
          <w:rFonts w:ascii="Times New Roman" w:hAnsi="Times New Roman" w:cs="Times New Roman"/>
          <w:sz w:val="24"/>
          <w:szCs w:val="24"/>
        </w:rPr>
        <w:t>% for 1-2 symptoms (T</w:t>
      </w:r>
      <w:r w:rsidRPr="00712C24">
        <w:rPr>
          <w:rFonts w:ascii="Times New Roman" w:hAnsi="Times New Roman" w:cs="Times New Roman"/>
          <w:sz w:val="24"/>
          <w:szCs w:val="24"/>
        </w:rPr>
        <w:t xml:space="preserve">able 3),  while among those in paid work, 6.2% and 26.3% of prolonged sickness absence would be attributable to these factors on the same basis.  PAFs for other employment outcomes are recorded in Table 3. </w:t>
      </w:r>
    </w:p>
    <w:p w:rsidR="00B427C2" w:rsidRPr="00712C24" w:rsidRDefault="00B427C2" w:rsidP="00B427C2">
      <w:pPr>
        <w:rPr>
          <w:rFonts w:ascii="Times New Roman" w:hAnsi="Times New Roman" w:cs="Times New Roman"/>
          <w:sz w:val="24"/>
          <w:szCs w:val="24"/>
        </w:rPr>
      </w:pPr>
    </w:p>
    <w:p w:rsidR="00B427C2" w:rsidRPr="00712C24" w:rsidRDefault="00B427C2" w:rsidP="00B427C2">
      <w:pPr>
        <w:rPr>
          <w:rFonts w:ascii="Times New Roman" w:hAnsi="Times New Roman" w:cs="Times New Roman"/>
          <w:sz w:val="24"/>
          <w:szCs w:val="24"/>
        </w:rPr>
      </w:pPr>
      <w:r w:rsidRPr="00712C24">
        <w:rPr>
          <w:rFonts w:ascii="Times New Roman" w:hAnsi="Times New Roman" w:cs="Times New Roman"/>
          <w:sz w:val="24"/>
          <w:szCs w:val="24"/>
        </w:rPr>
        <w:t xml:space="preserve">Further adjustment for low well-being and persistent musculoskeletal pain, in addition to age and </w:t>
      </w:r>
      <w:r w:rsidR="0061058C">
        <w:rPr>
          <w:rFonts w:ascii="Times New Roman" w:hAnsi="Times New Roman" w:cs="Times New Roman"/>
          <w:sz w:val="24"/>
          <w:szCs w:val="24"/>
        </w:rPr>
        <w:t>gender</w:t>
      </w:r>
      <w:r w:rsidRPr="00712C24">
        <w:rPr>
          <w:rFonts w:ascii="Times New Roman" w:hAnsi="Times New Roman" w:cs="Times New Roman"/>
          <w:sz w:val="24"/>
          <w:szCs w:val="24"/>
        </w:rPr>
        <w:t>, reduced these risk estimates somewhat. However, those for ‘frailty’ all remained significantly and in most cases substantially elevated, and the OR for health-related job loss was still greater than 14 (online Supplementary Table 2).</w:t>
      </w:r>
    </w:p>
    <w:p w:rsidR="00B427C2" w:rsidRPr="00712C24" w:rsidRDefault="00B427C2" w:rsidP="00B427C2">
      <w:pPr>
        <w:rPr>
          <w:rFonts w:ascii="Times New Roman" w:hAnsi="Times New Roman" w:cs="Times New Roman"/>
          <w:sz w:val="24"/>
          <w:szCs w:val="24"/>
        </w:rPr>
      </w:pPr>
    </w:p>
    <w:p w:rsidR="00B427C2" w:rsidRDefault="00B427C2" w:rsidP="00B427C2">
      <w:pPr>
        <w:rPr>
          <w:rFonts w:ascii="Times New Roman" w:hAnsi="Times New Roman" w:cs="Times New Roman"/>
          <w:sz w:val="24"/>
          <w:szCs w:val="24"/>
        </w:rPr>
      </w:pPr>
      <w:r w:rsidRPr="00712C24">
        <w:rPr>
          <w:rFonts w:ascii="Times New Roman" w:hAnsi="Times New Roman" w:cs="Times New Roman"/>
          <w:sz w:val="24"/>
          <w:szCs w:val="24"/>
        </w:rPr>
        <w:lastRenderedPageBreak/>
        <w:t xml:space="preserve">To explore whether the associations presented in Table 3 differed by socio-economic status, the analyses were repeated within strata of social class determined from the current or last held job (higher managerial, intermediate, or manual/routine). Associations with not being in work, taking any sick leave, and not coping with work’s demands were about 2-3 times greater amongst those from the lowest versus the highest social class, but no differential was apparent for health-related job loss, prolonged sick leave, cutting down at work, or perceived job insecurity (Table 4). </w:t>
      </w:r>
      <w:r w:rsidR="00505568" w:rsidRPr="00712C24">
        <w:rPr>
          <w:rFonts w:ascii="Times New Roman" w:hAnsi="Times New Roman" w:cs="Times New Roman"/>
          <w:sz w:val="24"/>
          <w:szCs w:val="24"/>
        </w:rPr>
        <w:t>However, ‘frailty’ was strongly associated with these adverse outcomes, even in higher managerial workers (e.g. OR for health-related job loss, 29.4 (95%CI 17.5-49.3)).</w:t>
      </w:r>
    </w:p>
    <w:p w:rsidR="00B13504" w:rsidRDefault="00B13504" w:rsidP="00B427C2">
      <w:pPr>
        <w:rPr>
          <w:rFonts w:ascii="Times New Roman" w:hAnsi="Times New Roman" w:cs="Times New Roman"/>
          <w:sz w:val="24"/>
          <w:szCs w:val="24"/>
        </w:rPr>
        <w:sectPr w:rsidR="00B13504" w:rsidSect="00E04ABC">
          <w:pgSz w:w="11906" w:h="16838"/>
          <w:pgMar w:top="1134" w:right="1440" w:bottom="1134" w:left="1440" w:header="709" w:footer="709" w:gutter="0"/>
          <w:cols w:space="708"/>
          <w:docGrid w:linePitch="360"/>
        </w:sectPr>
      </w:pPr>
    </w:p>
    <w:p w:rsidR="00B13504" w:rsidRPr="00712C24" w:rsidRDefault="00B13504" w:rsidP="00B13504">
      <w:pPr>
        <w:rPr>
          <w:rFonts w:ascii="Times New Roman" w:hAnsi="Times New Roman" w:cs="Times New Roman"/>
          <w:b/>
          <w:sz w:val="24"/>
          <w:szCs w:val="24"/>
        </w:rPr>
      </w:pPr>
      <w:proofErr w:type="gramStart"/>
      <w:r w:rsidRPr="00712C24">
        <w:rPr>
          <w:rFonts w:ascii="Times New Roman" w:hAnsi="Times New Roman" w:cs="Times New Roman"/>
          <w:b/>
          <w:sz w:val="24"/>
          <w:szCs w:val="24"/>
        </w:rPr>
        <w:lastRenderedPageBreak/>
        <w:t>Table 4.</w:t>
      </w:r>
      <w:proofErr w:type="gramEnd"/>
      <w:r w:rsidRPr="00712C24">
        <w:rPr>
          <w:rFonts w:ascii="Times New Roman" w:hAnsi="Times New Roman" w:cs="Times New Roman"/>
          <w:b/>
          <w:sz w:val="24"/>
          <w:szCs w:val="24"/>
        </w:rPr>
        <w:t xml:space="preserve"> Associations between number of frailty symptoms and employment outcomes and perceptions, by social class</w:t>
      </w:r>
    </w:p>
    <w:p w:rsidR="00B13504" w:rsidRPr="00712C24" w:rsidRDefault="00B13504" w:rsidP="00B13504">
      <w:pPr>
        <w:rPr>
          <w:rFonts w:ascii="Times New Roman" w:hAnsi="Times New Roman"/>
        </w:rPr>
      </w:pPr>
    </w:p>
    <w:tbl>
      <w:tblPr>
        <w:tblW w:w="12477" w:type="dxa"/>
        <w:tblInd w:w="93" w:type="dxa"/>
        <w:tblLook w:val="04A0" w:firstRow="1" w:lastRow="0" w:firstColumn="1" w:lastColumn="0" w:noHBand="0" w:noVBand="1"/>
      </w:tblPr>
      <w:tblGrid>
        <w:gridCol w:w="3701"/>
        <w:gridCol w:w="340"/>
        <w:gridCol w:w="1060"/>
        <w:gridCol w:w="1460"/>
        <w:gridCol w:w="1420"/>
        <w:gridCol w:w="1188"/>
        <w:gridCol w:w="840"/>
        <w:gridCol w:w="1199"/>
        <w:gridCol w:w="81"/>
        <w:gridCol w:w="1084"/>
        <w:gridCol w:w="104"/>
      </w:tblGrid>
      <w:tr w:rsidR="00B13504" w:rsidRPr="00712C24" w:rsidTr="00AA5BCC">
        <w:trPr>
          <w:gridAfter w:val="1"/>
          <w:wAfter w:w="104" w:type="dxa"/>
          <w:trHeight w:val="255"/>
        </w:trPr>
        <w:tc>
          <w:tcPr>
            <w:tcW w:w="3701" w:type="dxa"/>
            <w:tcBorders>
              <w:top w:val="single" w:sz="12" w:space="0" w:color="auto"/>
              <w:left w:val="nil"/>
              <w:right w:val="nil"/>
            </w:tcBorders>
            <w:shd w:val="clear" w:color="auto" w:fill="auto"/>
            <w:noWrap/>
            <w:vAlign w:val="bottom"/>
          </w:tcPr>
          <w:p w:rsidR="00B13504" w:rsidRPr="00712C24" w:rsidRDefault="00B13504" w:rsidP="00AA5BCC">
            <w:pPr>
              <w:spacing w:after="120" w:line="240" w:lineRule="auto"/>
              <w:rPr>
                <w:rFonts w:ascii="Times New Roman" w:eastAsia="Times New Roman" w:hAnsi="Times New Roman" w:cs="Times New Roman"/>
                <w:color w:val="000000"/>
                <w:sz w:val="20"/>
                <w:szCs w:val="20"/>
                <w:lang w:eastAsia="en-GB"/>
              </w:rPr>
            </w:pPr>
          </w:p>
        </w:tc>
        <w:tc>
          <w:tcPr>
            <w:tcW w:w="7507" w:type="dxa"/>
            <w:gridSpan w:val="7"/>
            <w:tcBorders>
              <w:top w:val="single" w:sz="12" w:space="0" w:color="auto"/>
              <w:left w:val="nil"/>
              <w:bottom w:val="nil"/>
            </w:tcBorders>
            <w:shd w:val="clear" w:color="auto" w:fill="auto"/>
            <w:noWrap/>
            <w:vAlign w:val="bottom"/>
          </w:tcPr>
          <w:p w:rsidR="00B13504" w:rsidRPr="00712C24" w:rsidRDefault="00B13504" w:rsidP="00AA5BCC">
            <w:pPr>
              <w:spacing w:after="120" w:line="240" w:lineRule="auto"/>
              <w:jc w:val="center"/>
              <w:rPr>
                <w:rFonts w:ascii="Times New Roman" w:eastAsia="Times New Roman" w:hAnsi="Times New Roman" w:cs="Times New Roman"/>
                <w:b/>
                <w:color w:val="000000"/>
                <w:sz w:val="20"/>
                <w:szCs w:val="20"/>
                <w:lang w:eastAsia="en-GB"/>
              </w:rPr>
            </w:pPr>
            <w:r w:rsidRPr="00712C24">
              <w:rPr>
                <w:rFonts w:ascii="Times New Roman" w:eastAsia="Times New Roman" w:hAnsi="Times New Roman" w:cs="Times New Roman"/>
                <w:b/>
                <w:color w:val="000000"/>
                <w:sz w:val="20"/>
                <w:szCs w:val="20"/>
                <w:lang w:eastAsia="en-GB"/>
              </w:rPr>
              <w:t>Frail vs. not (</w:t>
            </w:r>
            <w:r w:rsidRPr="00712C24">
              <w:rPr>
                <w:rFonts w:ascii="Times New Roman" w:eastAsia="Times New Roman" w:hAnsi="Times New Roman" w:cs="Times New Roman"/>
                <w:b/>
                <w:color w:val="000000"/>
                <w:sz w:val="20"/>
                <w:szCs w:val="20"/>
                <w:u w:val="single"/>
                <w:lang w:eastAsia="en-GB"/>
              </w:rPr>
              <w:t>&gt;</w:t>
            </w:r>
            <w:r w:rsidRPr="00712C24">
              <w:rPr>
                <w:rFonts w:ascii="Times New Roman" w:eastAsia="Times New Roman" w:hAnsi="Times New Roman" w:cs="Times New Roman"/>
                <w:b/>
                <w:color w:val="000000"/>
                <w:sz w:val="20"/>
                <w:szCs w:val="20"/>
                <w:lang w:eastAsia="en-GB"/>
              </w:rPr>
              <w:t xml:space="preserve">3 vs. 0 symptoms) </w:t>
            </w:r>
          </w:p>
        </w:tc>
        <w:tc>
          <w:tcPr>
            <w:tcW w:w="1165" w:type="dxa"/>
            <w:gridSpan w:val="2"/>
            <w:vMerge w:val="restart"/>
            <w:tcBorders>
              <w:top w:val="single" w:sz="12" w:space="0" w:color="auto"/>
            </w:tcBorders>
            <w:shd w:val="clear" w:color="auto" w:fill="auto"/>
            <w:vAlign w:val="bottom"/>
          </w:tcPr>
          <w:p w:rsidR="00B13504" w:rsidRPr="00712C24" w:rsidRDefault="00B13504" w:rsidP="00AA5BCC">
            <w:pPr>
              <w:spacing w:after="120" w:line="240" w:lineRule="auto"/>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340" w:type="dxa"/>
            <w:tcBorders>
              <w:top w:val="single" w:sz="12" w:space="0" w:color="auto"/>
              <w:left w:val="nil"/>
              <w:bottom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color w:val="000000"/>
                <w:sz w:val="20"/>
                <w:szCs w:val="20"/>
                <w:lang w:eastAsia="en-GB"/>
              </w:rPr>
            </w:pPr>
          </w:p>
        </w:tc>
        <w:tc>
          <w:tcPr>
            <w:tcW w:w="2520" w:type="dxa"/>
            <w:gridSpan w:val="2"/>
            <w:tcBorders>
              <w:top w:val="single" w:sz="12" w:space="0" w:color="auto"/>
              <w:bottom w:val="nil"/>
              <w:right w:val="nil"/>
            </w:tcBorders>
            <w:shd w:val="clear" w:color="auto" w:fill="auto"/>
            <w:vAlign w:val="bottom"/>
          </w:tcPr>
          <w:p w:rsidR="00B13504" w:rsidRPr="00712C24" w:rsidRDefault="00B13504" w:rsidP="00AA5BCC">
            <w:pPr>
              <w:spacing w:line="240" w:lineRule="auto"/>
              <w:jc w:val="center"/>
              <w:rPr>
                <w:rFonts w:ascii="Times New Roman" w:eastAsia="Times New Roman" w:hAnsi="Times New Roman" w:cs="Times New Roman"/>
                <w:b/>
                <w:color w:val="000000"/>
                <w:sz w:val="20"/>
                <w:szCs w:val="20"/>
                <w:lang w:eastAsia="en-GB"/>
              </w:rPr>
            </w:pPr>
            <w:r w:rsidRPr="00712C24">
              <w:rPr>
                <w:rFonts w:ascii="Times New Roman" w:eastAsia="Times New Roman" w:hAnsi="Times New Roman" w:cs="Times New Roman"/>
                <w:b/>
                <w:color w:val="000000"/>
                <w:sz w:val="20"/>
                <w:szCs w:val="20"/>
                <w:lang w:eastAsia="en-GB"/>
              </w:rPr>
              <w:t>Higher managerial</w:t>
            </w:r>
          </w:p>
        </w:tc>
        <w:tc>
          <w:tcPr>
            <w:tcW w:w="2608" w:type="dxa"/>
            <w:gridSpan w:val="2"/>
            <w:tcBorders>
              <w:top w:val="single" w:sz="12" w:space="0" w:color="auto"/>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color w:val="000000"/>
                <w:sz w:val="20"/>
                <w:szCs w:val="20"/>
                <w:lang w:eastAsia="en-GB"/>
              </w:rPr>
            </w:pPr>
            <w:r w:rsidRPr="00712C24">
              <w:rPr>
                <w:rFonts w:ascii="Times New Roman" w:eastAsia="Times New Roman" w:hAnsi="Times New Roman" w:cs="Times New Roman"/>
                <w:b/>
                <w:color w:val="000000"/>
                <w:sz w:val="20"/>
                <w:szCs w:val="20"/>
                <w:lang w:eastAsia="en-GB"/>
              </w:rPr>
              <w:t>Intermediate occupations</w:t>
            </w:r>
          </w:p>
        </w:tc>
        <w:tc>
          <w:tcPr>
            <w:tcW w:w="2039" w:type="dxa"/>
            <w:gridSpan w:val="2"/>
            <w:tcBorders>
              <w:top w:val="single" w:sz="12" w:space="0" w:color="auto"/>
              <w:left w:val="nil"/>
              <w:bottom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b/>
                <w:color w:val="000000"/>
                <w:sz w:val="20"/>
                <w:szCs w:val="20"/>
                <w:lang w:eastAsia="en-GB"/>
              </w:rPr>
            </w:pPr>
            <w:r w:rsidRPr="00712C24">
              <w:rPr>
                <w:rFonts w:ascii="Times New Roman" w:eastAsia="Times New Roman" w:hAnsi="Times New Roman" w:cs="Times New Roman"/>
                <w:b/>
                <w:color w:val="000000"/>
                <w:sz w:val="20"/>
                <w:szCs w:val="20"/>
                <w:lang w:eastAsia="en-GB"/>
              </w:rPr>
              <w:t>Routine and manual occupations</w:t>
            </w:r>
          </w:p>
        </w:tc>
        <w:tc>
          <w:tcPr>
            <w:tcW w:w="1165" w:type="dxa"/>
            <w:gridSpan w:val="2"/>
            <w:vMerge/>
            <w:tcBorders>
              <w:bottom w:val="nil"/>
            </w:tcBorders>
            <w:shd w:val="clear" w:color="auto" w:fill="auto"/>
            <w:vAlign w:val="bottom"/>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r>
      <w:tr w:rsidR="00B13504" w:rsidRPr="00712C24" w:rsidTr="00AA5BCC">
        <w:trPr>
          <w:trHeight w:val="255"/>
        </w:trPr>
        <w:tc>
          <w:tcPr>
            <w:tcW w:w="3701" w:type="dxa"/>
            <w:tcBorders>
              <w:top w:val="nil"/>
              <w:left w:val="nil"/>
              <w:bottom w:val="single" w:sz="12"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Outcomes</w:t>
            </w:r>
          </w:p>
        </w:tc>
        <w:tc>
          <w:tcPr>
            <w:tcW w:w="340" w:type="dxa"/>
            <w:tcBorders>
              <w:top w:val="nil"/>
              <w:left w:val="nil"/>
              <w:bottom w:val="single" w:sz="12" w:space="0" w:color="auto"/>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p>
        </w:tc>
        <w:tc>
          <w:tcPr>
            <w:tcW w:w="1060" w:type="dxa"/>
            <w:tcBorders>
              <w:top w:val="nil"/>
              <w:bottom w:val="single" w:sz="12" w:space="0" w:color="auto"/>
              <w:right w:val="nil"/>
            </w:tcBorders>
            <w:shd w:val="clear" w:color="auto" w:fill="auto"/>
            <w:vAlign w:val="bottom"/>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OR</w:t>
            </w:r>
          </w:p>
        </w:tc>
        <w:tc>
          <w:tcPr>
            <w:tcW w:w="1460" w:type="dxa"/>
            <w:tcBorders>
              <w:top w:val="nil"/>
              <w:left w:val="nil"/>
              <w:bottom w:val="single" w:sz="12"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(95% CI)</w:t>
            </w:r>
          </w:p>
        </w:tc>
        <w:tc>
          <w:tcPr>
            <w:tcW w:w="1420" w:type="dxa"/>
            <w:tcBorders>
              <w:top w:val="nil"/>
              <w:left w:val="nil"/>
              <w:bottom w:val="single" w:sz="12"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OR</w:t>
            </w:r>
          </w:p>
        </w:tc>
        <w:tc>
          <w:tcPr>
            <w:tcW w:w="1188" w:type="dxa"/>
            <w:tcBorders>
              <w:top w:val="nil"/>
              <w:left w:val="nil"/>
              <w:bottom w:val="single" w:sz="12"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(95% CI)</w:t>
            </w:r>
          </w:p>
        </w:tc>
        <w:tc>
          <w:tcPr>
            <w:tcW w:w="840" w:type="dxa"/>
            <w:tcBorders>
              <w:top w:val="nil"/>
              <w:left w:val="nil"/>
              <w:bottom w:val="single" w:sz="12" w:space="0" w:color="auto"/>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OR</w:t>
            </w:r>
          </w:p>
        </w:tc>
        <w:tc>
          <w:tcPr>
            <w:tcW w:w="1199" w:type="dxa"/>
            <w:tcBorders>
              <w:top w:val="nil"/>
              <w:left w:val="nil"/>
              <w:bottom w:val="single" w:sz="12" w:space="0" w:color="auto"/>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(95% CI)</w:t>
            </w:r>
          </w:p>
        </w:tc>
        <w:tc>
          <w:tcPr>
            <w:tcW w:w="1269" w:type="dxa"/>
            <w:gridSpan w:val="3"/>
            <w:tcBorders>
              <w:top w:val="nil"/>
              <w:bottom w:val="single" w:sz="12" w:space="0" w:color="auto"/>
            </w:tcBorders>
            <w:shd w:val="clear" w:color="auto" w:fill="auto"/>
            <w:vAlign w:val="bottom"/>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color w:val="000000"/>
                <w:sz w:val="20"/>
                <w:szCs w:val="20"/>
                <w:lang w:eastAsia="en-GB"/>
              </w:rPr>
              <w:t>P-value for interaction</w:t>
            </w:r>
          </w:p>
        </w:tc>
      </w:tr>
      <w:tr w:rsidR="00B13504" w:rsidRPr="00712C24" w:rsidTr="00AA5BCC">
        <w:trPr>
          <w:gridAfter w:val="1"/>
          <w:wAfter w:w="104" w:type="dxa"/>
          <w:trHeight w:val="255"/>
        </w:trPr>
        <w:tc>
          <w:tcPr>
            <w:tcW w:w="3701" w:type="dxa"/>
            <w:tcBorders>
              <w:top w:val="single" w:sz="12" w:space="0" w:color="auto"/>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i/>
                <w:color w:val="000000"/>
                <w:sz w:val="20"/>
                <w:szCs w:val="20"/>
                <w:lang w:eastAsia="en-GB"/>
              </w:rPr>
            </w:pPr>
            <w:r w:rsidRPr="00712C24">
              <w:rPr>
                <w:rFonts w:ascii="Times New Roman" w:eastAsia="Times New Roman" w:hAnsi="Times New Roman" w:cs="Times New Roman"/>
                <w:b/>
                <w:bCs/>
                <w:i/>
                <w:color w:val="000000"/>
                <w:sz w:val="20"/>
                <w:szCs w:val="20"/>
                <w:lang w:eastAsia="en-GB"/>
              </w:rPr>
              <w:t>Entire Sample (n =8,095 )</w:t>
            </w:r>
          </w:p>
        </w:tc>
        <w:tc>
          <w:tcPr>
            <w:tcW w:w="1400" w:type="dxa"/>
            <w:gridSpan w:val="2"/>
            <w:tcBorders>
              <w:top w:val="single" w:sz="12"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460" w:type="dxa"/>
            <w:tcBorders>
              <w:top w:val="single" w:sz="12"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420" w:type="dxa"/>
            <w:tcBorders>
              <w:top w:val="single" w:sz="12" w:space="0" w:color="auto"/>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single" w:sz="12" w:space="0" w:color="auto"/>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single" w:sz="12"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280" w:type="dxa"/>
            <w:gridSpan w:val="2"/>
            <w:tcBorders>
              <w:top w:val="single" w:sz="12"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084" w:type="dxa"/>
            <w:tcBorders>
              <w:top w:val="single" w:sz="12" w:space="0" w:color="auto"/>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Not in work vs. in work</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7.8</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(4.3,14.2)</w:t>
            </w: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5.2</w:t>
            </w: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(3.0,9.0)</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15.9</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(10.2,24.8)</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&lt;0.001</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Left for a health reason vs. not</w:t>
            </w:r>
          </w:p>
        </w:tc>
        <w:tc>
          <w:tcPr>
            <w:tcW w:w="1400" w:type="dxa"/>
            <w:gridSpan w:val="2"/>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29.4</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(17.5,49.3)</w:t>
            </w:r>
          </w:p>
        </w:tc>
        <w:tc>
          <w:tcPr>
            <w:tcW w:w="142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26.1</w:t>
            </w:r>
          </w:p>
        </w:tc>
        <w:tc>
          <w:tcPr>
            <w:tcW w:w="1188"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(15.2,44.8)</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27.4</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(18.3,41.1)</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0.14</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b/>
                <w:bCs/>
                <w:color w:val="000000"/>
                <w:sz w:val="20"/>
                <w:szCs w:val="20"/>
                <w:lang w:eastAsia="en-GB"/>
              </w:rPr>
            </w:pPr>
            <w:r w:rsidRPr="00712C24">
              <w:rPr>
                <w:rFonts w:ascii="Times New Roman" w:eastAsia="Times New Roman" w:hAnsi="Times New Roman" w:cs="Times New Roman"/>
                <w:b/>
                <w:bCs/>
                <w:i/>
                <w:color w:val="000000"/>
                <w:sz w:val="20"/>
                <w:szCs w:val="20"/>
                <w:lang w:eastAsia="en-GB"/>
              </w:rPr>
              <w:t>Those in work</w:t>
            </w:r>
            <w:r w:rsidRPr="00712C24">
              <w:rPr>
                <w:rFonts w:ascii="Times New Roman" w:eastAsia="Times New Roman" w:hAnsi="Times New Roman" w:cs="Times New Roman"/>
                <w:b/>
                <w:bCs/>
                <w:color w:val="000000"/>
                <w:sz w:val="20"/>
                <w:szCs w:val="20"/>
                <w:lang w:eastAsia="en-GB"/>
              </w:rPr>
              <w:t xml:space="preserve"> </w:t>
            </w:r>
            <w:r w:rsidRPr="00712C24">
              <w:rPr>
                <w:rFonts w:ascii="Times New Roman" w:eastAsia="Times New Roman" w:hAnsi="Times New Roman" w:cs="Times New Roman"/>
                <w:b/>
                <w:bCs/>
                <w:i/>
                <w:iCs/>
                <w:color w:val="000000"/>
                <w:sz w:val="20"/>
                <w:szCs w:val="20"/>
                <w:lang w:eastAsia="en-GB"/>
              </w:rPr>
              <w:t>(maximum n=5,486)</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Sick leave, days past 12 months :</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Any vs. none</w:t>
            </w:r>
          </w:p>
        </w:tc>
        <w:tc>
          <w:tcPr>
            <w:tcW w:w="1400" w:type="dxa"/>
            <w:gridSpan w:val="2"/>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2.3</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(0.9,5.8)</w:t>
            </w:r>
          </w:p>
        </w:tc>
        <w:tc>
          <w:tcPr>
            <w:tcW w:w="142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w:t>
            </w:r>
          </w:p>
        </w:tc>
        <w:tc>
          <w:tcPr>
            <w:tcW w:w="1188"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(1.2,6.7)</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5.1</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(2.2,12.0)</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0.52</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&gt;20 days vs. </w:t>
            </w:r>
            <w:r w:rsidRPr="00712C24">
              <w:rPr>
                <w:rFonts w:ascii="Times New Roman" w:eastAsia="Times New Roman" w:hAnsi="Times New Roman" w:cs="Times New Roman"/>
                <w:color w:val="000000"/>
                <w:sz w:val="20"/>
                <w:szCs w:val="20"/>
                <w:u w:val="single"/>
                <w:lang w:eastAsia="en-GB"/>
              </w:rPr>
              <w:t>&lt;</w:t>
            </w:r>
            <w:r w:rsidRPr="00712C24">
              <w:rPr>
                <w:rFonts w:ascii="Times New Roman" w:eastAsia="Times New Roman" w:hAnsi="Times New Roman" w:cs="Times New Roman"/>
                <w:color w:val="000000"/>
                <w:sz w:val="20"/>
                <w:szCs w:val="20"/>
                <w:lang w:eastAsia="en-GB"/>
              </w:rPr>
              <w:t>20 days</w:t>
            </w:r>
          </w:p>
        </w:tc>
        <w:tc>
          <w:tcPr>
            <w:tcW w:w="1400" w:type="dxa"/>
            <w:gridSpan w:val="2"/>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13.3</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(5.1,34.8)</w:t>
            </w:r>
          </w:p>
        </w:tc>
        <w:tc>
          <w:tcPr>
            <w:tcW w:w="142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5.1</w:t>
            </w:r>
          </w:p>
        </w:tc>
        <w:tc>
          <w:tcPr>
            <w:tcW w:w="1188"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(2.0,13.3)</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15.6</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(7.1,34.1)</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0.44</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Cut down on work, past 12 months:</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Any vs. none</w:t>
            </w:r>
          </w:p>
        </w:tc>
        <w:tc>
          <w:tcPr>
            <w:tcW w:w="1400" w:type="dxa"/>
            <w:gridSpan w:val="2"/>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12.2</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(4.4,33.9)</w:t>
            </w:r>
          </w:p>
        </w:tc>
        <w:tc>
          <w:tcPr>
            <w:tcW w:w="142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6.0</w:t>
            </w:r>
          </w:p>
        </w:tc>
        <w:tc>
          <w:tcPr>
            <w:tcW w:w="1188"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(2.7,13.4)</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14.4</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(5.8,35.7)</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0.48</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A lot vs. not a lot (none/a little)</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21.7</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(8.4,56.2)</w:t>
            </w: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13.2</w:t>
            </w: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(5.5,31.6)</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23.1</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(10.1,52.7)</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0.92</w:t>
            </w:r>
          </w:p>
        </w:tc>
      </w:tr>
      <w:tr w:rsidR="00B13504" w:rsidRPr="00712C24" w:rsidTr="00AA5BCC">
        <w:trPr>
          <w:gridAfter w:val="1"/>
          <w:wAfter w:w="104" w:type="dxa"/>
          <w:trHeight w:val="510"/>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Coping with work’s physical demands (vs. easily):</w:t>
            </w:r>
          </w:p>
        </w:tc>
        <w:tc>
          <w:tcPr>
            <w:tcW w:w="1400" w:type="dxa"/>
            <w:gridSpan w:val="2"/>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With some/great difficulty</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17.8</w:t>
            </w:r>
          </w:p>
        </w:tc>
        <w:tc>
          <w:tcPr>
            <w:tcW w:w="1460" w:type="dxa"/>
            <w:tcBorders>
              <w:top w:val="nil"/>
              <w:left w:val="nil"/>
              <w:bottom w:val="nil"/>
              <w:right w:val="nil"/>
            </w:tcBorders>
            <w:shd w:val="clear" w:color="auto" w:fill="auto"/>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(5.8,54.6)</w:t>
            </w: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7.8</w:t>
            </w: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(3.3,18.4)</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31.9</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(7.5,134.6)</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0.07</w:t>
            </w:r>
          </w:p>
        </w:tc>
      </w:tr>
      <w:tr w:rsidR="00B13504" w:rsidRPr="00712C24" w:rsidTr="00AA5BCC">
        <w:trPr>
          <w:gridAfter w:val="1"/>
          <w:wAfter w:w="104" w:type="dxa"/>
          <w:trHeight w:val="510"/>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Coping with work’s mental demands (vs. easily):</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With some/great difficulty</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3.5</w:t>
            </w: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(1.4,8.9)</w:t>
            </w: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w:t>
            </w: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(1.2,6.1)</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10.1</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(4.4,23.0)</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0.01</w:t>
            </w:r>
          </w:p>
        </w:tc>
      </w:tr>
      <w:tr w:rsidR="00B13504" w:rsidRPr="00712C24" w:rsidTr="00AA5BCC">
        <w:trPr>
          <w:gridAfter w:val="1"/>
          <w:wAfter w:w="104" w:type="dxa"/>
          <w:trHeight w:val="510"/>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Expecting to be able to cope in 2 years’ time (vs. yes):</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No/not sure</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10.9</w:t>
            </w: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(3.8,31.2)</w:t>
            </w: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9.9</w:t>
            </w: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(4.2,23.6)</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30.1</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(9.0,100.2)</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0.38</w:t>
            </w:r>
          </w:p>
        </w:tc>
      </w:tr>
      <w:tr w:rsidR="00B13504" w:rsidRPr="00712C24" w:rsidTr="00AA5BCC">
        <w:trPr>
          <w:gridAfter w:val="1"/>
          <w:wAfter w:w="104" w:type="dxa"/>
          <w:trHeight w:val="510"/>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Lying awake at night worrying about work (vs. sometimes/rarely/never):</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Often</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6.7</w:t>
            </w: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(2.7,16.7)</w:t>
            </w: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4.1</w:t>
            </w: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(1.7,10.2)</w:t>
            </w: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8.9</w:t>
            </w: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(4.1,19.7)</w:t>
            </w: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0.24</w:t>
            </w:r>
          </w:p>
        </w:tc>
      </w:tr>
      <w:tr w:rsidR="00B13504" w:rsidRPr="00712C24" w:rsidTr="00AA5BCC">
        <w:trPr>
          <w:gridAfter w:val="1"/>
          <w:wAfter w:w="104" w:type="dxa"/>
          <w:trHeight w:val="255"/>
        </w:trPr>
        <w:tc>
          <w:tcPr>
            <w:tcW w:w="3701" w:type="dxa"/>
            <w:tcBorders>
              <w:top w:val="nil"/>
              <w:left w:val="nil"/>
              <w:bottom w:val="nil"/>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Job security (vs. secure/very secure):</w:t>
            </w:r>
          </w:p>
        </w:tc>
        <w:tc>
          <w:tcPr>
            <w:tcW w:w="140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6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42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188"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840"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280" w:type="dxa"/>
            <w:gridSpan w:val="2"/>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c>
          <w:tcPr>
            <w:tcW w:w="1084" w:type="dxa"/>
            <w:tcBorders>
              <w:top w:val="nil"/>
              <w:left w:val="nil"/>
              <w:bottom w:val="nil"/>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p>
        </w:tc>
      </w:tr>
      <w:tr w:rsidR="00B13504" w:rsidRPr="00712C24" w:rsidTr="00AA5BCC">
        <w:trPr>
          <w:gridAfter w:val="1"/>
          <w:wAfter w:w="104" w:type="dxa"/>
          <w:trHeight w:val="255"/>
        </w:trPr>
        <w:tc>
          <w:tcPr>
            <w:tcW w:w="3701" w:type="dxa"/>
            <w:tcBorders>
              <w:top w:val="nil"/>
              <w:left w:val="nil"/>
              <w:bottom w:val="single" w:sz="12" w:space="0" w:color="auto"/>
              <w:right w:val="nil"/>
            </w:tcBorders>
            <w:shd w:val="clear" w:color="auto" w:fill="auto"/>
            <w:vAlign w:val="bottom"/>
            <w:hideMark/>
          </w:tcPr>
          <w:p w:rsidR="00B13504" w:rsidRPr="00712C24" w:rsidRDefault="00B13504" w:rsidP="00AA5BCC">
            <w:pPr>
              <w:spacing w:line="240" w:lineRule="auto"/>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 xml:space="preserve">   Insecure/very insecure</w:t>
            </w:r>
          </w:p>
        </w:tc>
        <w:tc>
          <w:tcPr>
            <w:tcW w:w="1400" w:type="dxa"/>
            <w:gridSpan w:val="2"/>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w:t>
            </w:r>
          </w:p>
        </w:tc>
        <w:tc>
          <w:tcPr>
            <w:tcW w:w="1460" w:type="dxa"/>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(1.3,8.4)</w:t>
            </w:r>
          </w:p>
        </w:tc>
        <w:tc>
          <w:tcPr>
            <w:tcW w:w="1420" w:type="dxa"/>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2.9</w:t>
            </w:r>
          </w:p>
        </w:tc>
        <w:tc>
          <w:tcPr>
            <w:tcW w:w="1188" w:type="dxa"/>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(1.3,6.6)</w:t>
            </w:r>
          </w:p>
        </w:tc>
        <w:tc>
          <w:tcPr>
            <w:tcW w:w="840" w:type="dxa"/>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3.3</w:t>
            </w:r>
          </w:p>
        </w:tc>
        <w:tc>
          <w:tcPr>
            <w:tcW w:w="1280" w:type="dxa"/>
            <w:gridSpan w:val="2"/>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(1.6,7.2)</w:t>
            </w:r>
          </w:p>
        </w:tc>
        <w:tc>
          <w:tcPr>
            <w:tcW w:w="1084" w:type="dxa"/>
            <w:tcBorders>
              <w:top w:val="nil"/>
              <w:left w:val="nil"/>
              <w:bottom w:val="single" w:sz="12" w:space="0" w:color="auto"/>
              <w:right w:val="nil"/>
            </w:tcBorders>
            <w:shd w:val="clear" w:color="auto" w:fill="auto"/>
            <w:noWrap/>
            <w:vAlign w:val="bottom"/>
            <w:hideMark/>
          </w:tcPr>
          <w:p w:rsidR="00B13504" w:rsidRPr="00712C24" w:rsidRDefault="00B13504" w:rsidP="00AA5BCC">
            <w:pPr>
              <w:spacing w:line="240" w:lineRule="auto"/>
              <w:jc w:val="center"/>
              <w:rPr>
                <w:rFonts w:ascii="Times New Roman" w:eastAsia="Times New Roman" w:hAnsi="Times New Roman" w:cs="Times New Roman"/>
                <w:color w:val="000000"/>
                <w:sz w:val="20"/>
                <w:szCs w:val="20"/>
                <w:lang w:eastAsia="en-GB"/>
              </w:rPr>
            </w:pPr>
            <w:r w:rsidRPr="00712C24">
              <w:rPr>
                <w:rFonts w:ascii="Times New Roman" w:eastAsia="Times New Roman" w:hAnsi="Times New Roman" w:cs="Times New Roman"/>
                <w:color w:val="000000"/>
                <w:sz w:val="20"/>
                <w:szCs w:val="20"/>
                <w:lang w:eastAsia="en-GB"/>
              </w:rPr>
              <w:t>0.90</w:t>
            </w:r>
          </w:p>
        </w:tc>
      </w:tr>
    </w:tbl>
    <w:p w:rsidR="00B13504" w:rsidRPr="00712C24" w:rsidRDefault="00B13504" w:rsidP="00B13504">
      <w:pPr>
        <w:rPr>
          <w:rFonts w:ascii="Times New Roman" w:eastAsia="Times New Roman" w:hAnsi="Times New Roman" w:cs="Times New Roman"/>
          <w:b/>
          <w:bCs/>
          <w:color w:val="000000"/>
          <w:sz w:val="20"/>
          <w:szCs w:val="20"/>
          <w:lang w:eastAsia="en-GB"/>
        </w:rPr>
      </w:pPr>
    </w:p>
    <w:p w:rsidR="00B13504" w:rsidRPr="00712C24" w:rsidRDefault="00B13504" w:rsidP="00B13504">
      <w:pPr>
        <w:rPr>
          <w:rFonts w:ascii="Times New Roman" w:hAnsi="Times New Roman" w:cs="Times New Roman"/>
        </w:rPr>
      </w:pPr>
      <w:r w:rsidRPr="00712C24">
        <w:rPr>
          <w:rFonts w:ascii="Times New Roman" w:hAnsi="Times New Roman" w:cs="Times New Roman"/>
        </w:rPr>
        <w:t xml:space="preserve">Odds ratios (OR) are adjusted for age and </w:t>
      </w:r>
      <w:r w:rsidR="0061058C">
        <w:rPr>
          <w:rFonts w:ascii="Times New Roman" w:hAnsi="Times New Roman" w:cs="Times New Roman"/>
        </w:rPr>
        <w:t>gender</w:t>
      </w:r>
    </w:p>
    <w:p w:rsidR="00B13504" w:rsidRDefault="00B13504" w:rsidP="00B427C2">
      <w:pPr>
        <w:rPr>
          <w:rFonts w:ascii="Times New Roman" w:hAnsi="Times New Roman" w:cs="Times New Roman"/>
          <w:sz w:val="24"/>
          <w:szCs w:val="24"/>
        </w:rPr>
        <w:sectPr w:rsidR="00B13504" w:rsidSect="00B13504">
          <w:pgSz w:w="16838" w:h="11906" w:orient="landscape"/>
          <w:pgMar w:top="1440" w:right="1361" w:bottom="1440" w:left="1361" w:header="709" w:footer="709" w:gutter="0"/>
          <w:cols w:space="708"/>
          <w:docGrid w:linePitch="360"/>
        </w:sectPr>
      </w:pPr>
    </w:p>
    <w:p w:rsidR="00B427C2" w:rsidRPr="00712C24" w:rsidRDefault="00B427C2" w:rsidP="00B427C2">
      <w:pPr>
        <w:rPr>
          <w:rFonts w:ascii="Times New Roman" w:hAnsi="Times New Roman" w:cs="Times New Roman"/>
          <w:sz w:val="24"/>
          <w:szCs w:val="24"/>
        </w:rPr>
      </w:pPr>
      <w:r w:rsidRPr="00712C24">
        <w:rPr>
          <w:rFonts w:ascii="Times New Roman" w:hAnsi="Times New Roman" w:cs="Times New Roman"/>
          <w:sz w:val="24"/>
          <w:szCs w:val="24"/>
        </w:rPr>
        <w:lastRenderedPageBreak/>
        <w:t xml:space="preserve">Finally, Table 5 considers the same employment outcomes but with symptoms of </w:t>
      </w:r>
      <w:r w:rsidR="00505568" w:rsidRPr="00712C24">
        <w:rPr>
          <w:rFonts w:ascii="Times New Roman" w:hAnsi="Times New Roman" w:cs="Times New Roman"/>
          <w:sz w:val="24"/>
          <w:szCs w:val="24"/>
        </w:rPr>
        <w:t>‘</w:t>
      </w:r>
      <w:r w:rsidRPr="00712C24">
        <w:rPr>
          <w:rFonts w:ascii="Times New Roman" w:hAnsi="Times New Roman" w:cs="Times New Roman"/>
          <w:sz w:val="24"/>
          <w:szCs w:val="24"/>
        </w:rPr>
        <w:t>frailty</w:t>
      </w:r>
      <w:r w:rsidR="00505568" w:rsidRPr="00712C24">
        <w:rPr>
          <w:rFonts w:ascii="Times New Roman" w:hAnsi="Times New Roman" w:cs="Times New Roman"/>
          <w:sz w:val="24"/>
          <w:szCs w:val="24"/>
        </w:rPr>
        <w:t>’</w:t>
      </w:r>
      <w:r w:rsidRPr="00712C24">
        <w:rPr>
          <w:rFonts w:ascii="Times New Roman" w:hAnsi="Times New Roman" w:cs="Times New Roman"/>
          <w:sz w:val="24"/>
          <w:szCs w:val="24"/>
        </w:rPr>
        <w:t xml:space="preserve"> treated as individual risk factors. Almost all outcomes were more strongly associated with slow walking speed than with the other symptoms, resulting, for example, in ORs of 9.6 to 14.8 for health-related job loss, cutting down a lot at work, and difficulty coping with work’s physical demands, vs. 1.9 to 7.4 for the remaining symptoms. Strong, albeit weaker, associations were found for poor grip strength and exhaustion, and the latter had the strongest relationship to not coping mentally at work. By contrast, unintentional weight loss and our index of low physical activity were only weakly associated with the employment outcomes.</w:t>
      </w:r>
    </w:p>
    <w:p w:rsidR="00B13504" w:rsidRDefault="00B13504" w:rsidP="00B427C2">
      <w:pPr>
        <w:rPr>
          <w:rFonts w:ascii="Times New Roman" w:hAnsi="Times New Roman" w:cs="Times New Roman"/>
          <w:sz w:val="24"/>
          <w:szCs w:val="24"/>
        </w:rPr>
        <w:sectPr w:rsidR="00B13504" w:rsidSect="00B13504">
          <w:pgSz w:w="11906" w:h="16838"/>
          <w:pgMar w:top="1361" w:right="1440" w:bottom="1361" w:left="1440" w:header="709" w:footer="709" w:gutter="0"/>
          <w:cols w:space="708"/>
          <w:docGrid w:linePitch="360"/>
        </w:sectPr>
      </w:pPr>
    </w:p>
    <w:p w:rsidR="00B13504" w:rsidRPr="00712C24" w:rsidRDefault="00B13504" w:rsidP="007A09D5">
      <w:pPr>
        <w:rPr>
          <w:rFonts w:ascii="Times New Roman" w:hAnsi="Times New Roman" w:cs="Times New Roman"/>
          <w:b/>
          <w:sz w:val="24"/>
          <w:szCs w:val="24"/>
        </w:rPr>
      </w:pPr>
      <w:r w:rsidRPr="00712C24">
        <w:rPr>
          <w:rFonts w:ascii="Times New Roman" w:hAnsi="Times New Roman" w:cs="Times New Roman"/>
          <w:b/>
          <w:sz w:val="24"/>
          <w:szCs w:val="24"/>
        </w:rPr>
        <w:lastRenderedPageBreak/>
        <w:t>Table 5: Associations of individual symptoms of frailty with employment outcomes and perceptions</w:t>
      </w:r>
    </w:p>
    <w:tbl>
      <w:tblPr>
        <w:tblW w:w="14325" w:type="dxa"/>
        <w:tblInd w:w="93" w:type="dxa"/>
        <w:tblLayout w:type="fixed"/>
        <w:tblLook w:val="04A0" w:firstRow="1" w:lastRow="0" w:firstColumn="1" w:lastColumn="0" w:noHBand="0" w:noVBand="1"/>
      </w:tblPr>
      <w:tblGrid>
        <w:gridCol w:w="3559"/>
        <w:gridCol w:w="866"/>
        <w:gridCol w:w="1350"/>
        <w:gridCol w:w="900"/>
        <w:gridCol w:w="1260"/>
        <w:gridCol w:w="810"/>
        <w:gridCol w:w="1260"/>
        <w:gridCol w:w="900"/>
        <w:gridCol w:w="1350"/>
        <w:gridCol w:w="900"/>
        <w:gridCol w:w="1170"/>
      </w:tblGrid>
      <w:tr w:rsidR="00B13504" w:rsidRPr="00712C24" w:rsidTr="007A09D5">
        <w:trPr>
          <w:trHeight w:val="192"/>
        </w:trPr>
        <w:tc>
          <w:tcPr>
            <w:tcW w:w="3559" w:type="dxa"/>
            <w:tcBorders>
              <w:top w:val="single" w:sz="12" w:space="0" w:color="auto"/>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w:t>
            </w:r>
          </w:p>
        </w:tc>
        <w:tc>
          <w:tcPr>
            <w:tcW w:w="10766" w:type="dxa"/>
            <w:gridSpan w:val="10"/>
            <w:tcBorders>
              <w:top w:val="single" w:sz="12" w:space="0" w:color="auto"/>
              <w:left w:val="nil"/>
              <w:bottom w:val="single" w:sz="4"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Risk factors</w:t>
            </w:r>
          </w:p>
        </w:tc>
      </w:tr>
      <w:tr w:rsidR="00B13504" w:rsidRPr="00712C24" w:rsidTr="007A09D5">
        <w:trPr>
          <w:trHeight w:val="182"/>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p>
        </w:tc>
        <w:tc>
          <w:tcPr>
            <w:tcW w:w="2216" w:type="dxa"/>
            <w:gridSpan w:val="2"/>
            <w:tcBorders>
              <w:top w:val="single" w:sz="4" w:space="0" w:color="auto"/>
              <w:left w:val="nil"/>
              <w:bottom w:val="single" w:sz="4"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Weight loss</w:t>
            </w:r>
          </w:p>
        </w:tc>
        <w:tc>
          <w:tcPr>
            <w:tcW w:w="2160" w:type="dxa"/>
            <w:gridSpan w:val="2"/>
            <w:tcBorders>
              <w:top w:val="single" w:sz="4" w:space="0" w:color="auto"/>
              <w:left w:val="nil"/>
              <w:bottom w:val="single" w:sz="4"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Exhaustion</w:t>
            </w:r>
          </w:p>
        </w:tc>
        <w:tc>
          <w:tcPr>
            <w:tcW w:w="2070" w:type="dxa"/>
            <w:gridSpan w:val="2"/>
            <w:tcBorders>
              <w:top w:val="single" w:sz="4" w:space="0" w:color="auto"/>
              <w:left w:val="nil"/>
              <w:bottom w:val="single" w:sz="4"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Weak grip</w:t>
            </w:r>
          </w:p>
        </w:tc>
        <w:tc>
          <w:tcPr>
            <w:tcW w:w="2250" w:type="dxa"/>
            <w:gridSpan w:val="2"/>
            <w:tcBorders>
              <w:top w:val="single" w:sz="4" w:space="0" w:color="auto"/>
              <w:left w:val="nil"/>
              <w:bottom w:val="single" w:sz="4"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Slow walking speed</w:t>
            </w:r>
          </w:p>
        </w:tc>
        <w:tc>
          <w:tcPr>
            <w:tcW w:w="2070" w:type="dxa"/>
            <w:gridSpan w:val="2"/>
            <w:tcBorders>
              <w:top w:val="single" w:sz="4" w:space="0" w:color="auto"/>
              <w:left w:val="nil"/>
              <w:bottom w:val="single" w:sz="4"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Low activity</w:t>
            </w:r>
          </w:p>
        </w:tc>
      </w:tr>
      <w:tr w:rsidR="00B13504" w:rsidRPr="00712C24" w:rsidTr="007A09D5">
        <w:trPr>
          <w:trHeight w:val="192"/>
        </w:trPr>
        <w:tc>
          <w:tcPr>
            <w:tcW w:w="3559" w:type="dxa"/>
            <w:tcBorders>
              <w:top w:val="nil"/>
              <w:left w:val="nil"/>
              <w:bottom w:val="single" w:sz="12" w:space="0" w:color="auto"/>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Outcomes</w:t>
            </w:r>
          </w:p>
        </w:tc>
        <w:tc>
          <w:tcPr>
            <w:tcW w:w="866"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OR</w:t>
            </w:r>
          </w:p>
        </w:tc>
        <w:tc>
          <w:tcPr>
            <w:tcW w:w="135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(95%CI)</w:t>
            </w:r>
          </w:p>
        </w:tc>
        <w:tc>
          <w:tcPr>
            <w:tcW w:w="90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OR</w:t>
            </w:r>
          </w:p>
        </w:tc>
        <w:tc>
          <w:tcPr>
            <w:tcW w:w="126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(95%CI)</w:t>
            </w:r>
          </w:p>
        </w:tc>
        <w:tc>
          <w:tcPr>
            <w:tcW w:w="81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OR</w:t>
            </w:r>
          </w:p>
        </w:tc>
        <w:tc>
          <w:tcPr>
            <w:tcW w:w="126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(95%CI)</w:t>
            </w:r>
          </w:p>
        </w:tc>
        <w:tc>
          <w:tcPr>
            <w:tcW w:w="90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OR</w:t>
            </w:r>
          </w:p>
        </w:tc>
        <w:tc>
          <w:tcPr>
            <w:tcW w:w="135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(95%CI)</w:t>
            </w:r>
          </w:p>
        </w:tc>
        <w:tc>
          <w:tcPr>
            <w:tcW w:w="90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OR</w:t>
            </w:r>
          </w:p>
        </w:tc>
        <w:tc>
          <w:tcPr>
            <w:tcW w:w="1170" w:type="dxa"/>
            <w:tcBorders>
              <w:top w:val="single" w:sz="4" w:space="0" w:color="auto"/>
              <w:left w:val="nil"/>
              <w:bottom w:val="single" w:sz="12" w:space="0" w:color="auto"/>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(95%CI)</w:t>
            </w:r>
          </w:p>
        </w:tc>
      </w:tr>
      <w:tr w:rsidR="00B13504" w:rsidRPr="00712C24" w:rsidTr="007A09D5">
        <w:trPr>
          <w:trHeight w:val="192"/>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Entire Sample (n =8,095 )</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Not in work vs. in work</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1.6</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(1.3,1.9)</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3.8</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(3.1,4.6)</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2.4</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(2.1,2.8)</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6.8</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(5.4,8.4)</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(1.3,1.7)</w:t>
            </w: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Left for a health reason vs. not</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2.6</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(2.1,3.2)</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7.9</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(6.4,9.6)</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6.6</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(5.5,7.8)</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14.8</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(12.2,18.0)</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2.6</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(2.2,3.1)</w:t>
            </w: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b/>
                <w:bCs/>
                <w:color w:val="000000"/>
                <w:lang w:eastAsia="en-GB"/>
              </w:rPr>
            </w:pPr>
            <w:r w:rsidRPr="00712C24">
              <w:rPr>
                <w:rFonts w:ascii="Times New Roman" w:eastAsia="Times New Roman" w:hAnsi="Times New Roman" w:cs="Times New Roman"/>
                <w:b/>
                <w:bCs/>
                <w:color w:val="000000"/>
                <w:lang w:eastAsia="en-GB"/>
              </w:rPr>
              <w:t>Those in work (n=5,486)</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Sick leave, days in past 12 months :</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182"/>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Any vs. none</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(1.2,1.8)</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2.9</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(2.2,3.8)</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1.8</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(1.5,2.2)</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3.1</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(2.2,4.4)</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(1.0,1.4)</w:t>
            </w: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&gt;20 days vs. </w:t>
            </w:r>
            <w:r w:rsidRPr="00712C24">
              <w:rPr>
                <w:rFonts w:ascii="Times New Roman" w:eastAsia="Times New Roman" w:hAnsi="Times New Roman" w:cs="Times New Roman"/>
                <w:color w:val="000000"/>
                <w:u w:val="single"/>
                <w:lang w:eastAsia="en-GB"/>
              </w:rPr>
              <w:t>&lt;</w:t>
            </w:r>
            <w:r w:rsidRPr="00712C24">
              <w:rPr>
                <w:rFonts w:ascii="Times New Roman" w:eastAsia="Times New Roman" w:hAnsi="Times New Roman" w:cs="Times New Roman"/>
                <w:color w:val="000000"/>
                <w:lang w:eastAsia="en-GB"/>
              </w:rPr>
              <w:t>20 days</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3.5</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(2.7,4.6)</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3.9</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(2.8,5.5)</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2.7</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(2.0,3.6)</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5.1</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(3.5,7.5)</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1.7</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(1.3,2.3)</w:t>
            </w: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Cut down on work, past 12 months:</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182"/>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Any vs. none</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1.9</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(1.6,2.3)</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3.7</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(2.9,4.8)</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3.7</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(3.1,4.6)</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6.9</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(4.8,9.7)</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(1.0,1.5)</w:t>
            </w: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A lot vs. not a lot (none/a little)</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2.6</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(1.9,3.6)</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5.5</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(4.0,7.7)</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4.4</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(3.3,5.9)</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9.6</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(6.7,13.7)</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(1.1,1.9)</w:t>
            </w:r>
          </w:p>
        </w:tc>
      </w:tr>
      <w:tr w:rsidR="00B13504" w:rsidRPr="00712C24" w:rsidTr="007A09D5">
        <w:trPr>
          <w:trHeight w:val="547"/>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Coping with work’s physical demands (vs. easily):</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With some/great difficulty</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1.8</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(1.5,2.2)</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4.2</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(3.3,5.5)</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5.6</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(4.5,6.8)</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10.6</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(7.1,15.9)</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(1.3,1.7)</w:t>
            </w:r>
          </w:p>
        </w:tc>
      </w:tr>
      <w:tr w:rsidR="00B13504" w:rsidRPr="00712C24" w:rsidTr="007A09D5">
        <w:trPr>
          <w:trHeight w:val="547"/>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Coping with work’s mental demands (vs. easily):</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With some/great difficulty</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(1.2,1.8)</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3.8</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(2.9,4.9)</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2.4</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(2.0,3.0)</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1.9</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(1.3,2.6)</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(1.1,1.5)</w:t>
            </w:r>
          </w:p>
        </w:tc>
      </w:tr>
      <w:tr w:rsidR="00B13504" w:rsidRPr="00712C24" w:rsidTr="007A09D5">
        <w:trPr>
          <w:trHeight w:val="547"/>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Expecting to be able to cope in 2 years’ time (vs. yes):</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182"/>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No/not sure</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1.7</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(1.4,2.1)</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3.6</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(2.8,4.7)</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4.0</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(3.2,4.8)</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7.4</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(5.2,10.5)</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(1.2,1.7)</w:t>
            </w:r>
          </w:p>
        </w:tc>
      </w:tr>
      <w:tr w:rsidR="00B13504" w:rsidRPr="00712C24" w:rsidTr="007A09D5">
        <w:trPr>
          <w:trHeight w:val="547"/>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Lying awake at night worrying about work (vs. sometimes/rarely/never):</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182"/>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Often</w:t>
            </w:r>
          </w:p>
        </w:tc>
        <w:tc>
          <w:tcPr>
            <w:tcW w:w="866"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1.6</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(1.2,2.0)</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5.0</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(3.8,6.5)</w:t>
            </w:r>
          </w:p>
        </w:tc>
        <w:tc>
          <w:tcPr>
            <w:tcW w:w="81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1.9</w:t>
            </w:r>
          </w:p>
        </w:tc>
        <w:tc>
          <w:tcPr>
            <w:tcW w:w="126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(1.5,2.4)</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2.4</w:t>
            </w:r>
          </w:p>
        </w:tc>
        <w:tc>
          <w:tcPr>
            <w:tcW w:w="135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(1.7,3.5)</w:t>
            </w:r>
          </w:p>
        </w:tc>
        <w:tc>
          <w:tcPr>
            <w:tcW w:w="90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w:t>
            </w: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(1.1,1.7)</w:t>
            </w:r>
          </w:p>
        </w:tc>
      </w:tr>
      <w:tr w:rsidR="00B13504" w:rsidRPr="00712C24" w:rsidTr="007A09D5">
        <w:trPr>
          <w:trHeight w:val="364"/>
        </w:trPr>
        <w:tc>
          <w:tcPr>
            <w:tcW w:w="3559" w:type="dxa"/>
            <w:tcBorders>
              <w:top w:val="nil"/>
              <w:left w:val="nil"/>
              <w:bottom w:val="nil"/>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Job security (vs. secure/very secure):</w:t>
            </w:r>
          </w:p>
        </w:tc>
        <w:tc>
          <w:tcPr>
            <w:tcW w:w="866"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81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26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35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900" w:type="dxa"/>
            <w:tcBorders>
              <w:top w:val="nil"/>
              <w:left w:val="nil"/>
              <w:bottom w:val="nil"/>
              <w:right w:val="nil"/>
            </w:tcBorders>
            <w:shd w:val="clear" w:color="auto" w:fill="auto"/>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c>
          <w:tcPr>
            <w:tcW w:w="1170" w:type="dxa"/>
            <w:tcBorders>
              <w:top w:val="nil"/>
              <w:left w:val="nil"/>
              <w:bottom w:val="nil"/>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p>
        </w:tc>
      </w:tr>
      <w:tr w:rsidR="00B13504" w:rsidRPr="00712C24" w:rsidTr="007A09D5">
        <w:trPr>
          <w:trHeight w:val="376"/>
        </w:trPr>
        <w:tc>
          <w:tcPr>
            <w:tcW w:w="3559" w:type="dxa"/>
            <w:tcBorders>
              <w:top w:val="nil"/>
              <w:left w:val="nil"/>
              <w:bottom w:val="single" w:sz="12" w:space="0" w:color="auto"/>
              <w:right w:val="nil"/>
            </w:tcBorders>
            <w:shd w:val="clear" w:color="auto" w:fill="auto"/>
            <w:vAlign w:val="bottom"/>
            <w:hideMark/>
          </w:tcPr>
          <w:p w:rsidR="00B13504" w:rsidRPr="00712C24" w:rsidRDefault="00B13504" w:rsidP="007A09D5">
            <w:pPr>
              <w:spacing w:line="240" w:lineRule="auto"/>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 xml:space="preserve">   Insecure/very insecure</w:t>
            </w:r>
          </w:p>
        </w:tc>
        <w:tc>
          <w:tcPr>
            <w:tcW w:w="866"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w:t>
            </w:r>
          </w:p>
        </w:tc>
        <w:tc>
          <w:tcPr>
            <w:tcW w:w="135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(1.0,1.6)</w:t>
            </w:r>
          </w:p>
        </w:tc>
        <w:tc>
          <w:tcPr>
            <w:tcW w:w="90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1.8</w:t>
            </w:r>
          </w:p>
        </w:tc>
        <w:tc>
          <w:tcPr>
            <w:tcW w:w="126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(1.4,2.5)</w:t>
            </w:r>
          </w:p>
        </w:tc>
        <w:tc>
          <w:tcPr>
            <w:tcW w:w="81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1.6</w:t>
            </w:r>
          </w:p>
        </w:tc>
        <w:tc>
          <w:tcPr>
            <w:tcW w:w="126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(1.3,2.0)</w:t>
            </w:r>
          </w:p>
        </w:tc>
        <w:tc>
          <w:tcPr>
            <w:tcW w:w="90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2.1</w:t>
            </w:r>
          </w:p>
        </w:tc>
        <w:tc>
          <w:tcPr>
            <w:tcW w:w="135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(1.5,2.9)</w:t>
            </w:r>
          </w:p>
        </w:tc>
        <w:tc>
          <w:tcPr>
            <w:tcW w:w="90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1.0</w:t>
            </w:r>
          </w:p>
        </w:tc>
        <w:tc>
          <w:tcPr>
            <w:tcW w:w="1170" w:type="dxa"/>
            <w:tcBorders>
              <w:top w:val="nil"/>
              <w:left w:val="nil"/>
              <w:bottom w:val="single" w:sz="12" w:space="0" w:color="auto"/>
              <w:right w:val="nil"/>
            </w:tcBorders>
            <w:shd w:val="clear" w:color="auto" w:fill="auto"/>
            <w:noWrap/>
            <w:vAlign w:val="bottom"/>
            <w:hideMark/>
          </w:tcPr>
          <w:p w:rsidR="00B13504" w:rsidRPr="00712C24" w:rsidRDefault="00B13504" w:rsidP="007A09D5">
            <w:pPr>
              <w:spacing w:line="240" w:lineRule="auto"/>
              <w:jc w:val="center"/>
              <w:rPr>
                <w:rFonts w:ascii="Times New Roman" w:eastAsia="Times New Roman" w:hAnsi="Times New Roman" w:cs="Times New Roman"/>
                <w:color w:val="000000"/>
                <w:lang w:eastAsia="en-GB"/>
              </w:rPr>
            </w:pPr>
            <w:r w:rsidRPr="00712C24">
              <w:rPr>
                <w:rFonts w:ascii="Times New Roman" w:eastAsia="Times New Roman" w:hAnsi="Times New Roman" w:cs="Times New Roman"/>
                <w:color w:val="000000"/>
                <w:lang w:eastAsia="en-GB"/>
              </w:rPr>
              <w:t>(0.8,1.2)</w:t>
            </w:r>
          </w:p>
        </w:tc>
      </w:tr>
    </w:tbl>
    <w:p w:rsidR="00B13504" w:rsidRPr="008509D7" w:rsidRDefault="00B13504" w:rsidP="007A09D5">
      <w:pPr>
        <w:rPr>
          <w:rFonts w:ascii="Times New Roman" w:hAnsi="Times New Roman" w:cs="Times New Roman"/>
        </w:rPr>
      </w:pPr>
      <w:r w:rsidRPr="00712C24">
        <w:rPr>
          <w:rFonts w:ascii="Times New Roman" w:hAnsi="Times New Roman" w:cs="Times New Roman"/>
        </w:rPr>
        <w:t xml:space="preserve">Odds ratios (OR) are adjusted for age and </w:t>
      </w:r>
      <w:r w:rsidR="0061058C">
        <w:rPr>
          <w:rFonts w:ascii="Times New Roman" w:hAnsi="Times New Roman" w:cs="Times New Roman"/>
        </w:rPr>
        <w:t>gender</w:t>
      </w:r>
    </w:p>
    <w:p w:rsidR="00B13504" w:rsidRDefault="00B13504" w:rsidP="00B427C2">
      <w:pPr>
        <w:rPr>
          <w:rFonts w:ascii="Times New Roman" w:hAnsi="Times New Roman" w:cs="Times New Roman"/>
          <w:sz w:val="24"/>
          <w:szCs w:val="24"/>
        </w:rPr>
        <w:sectPr w:rsidR="00B13504" w:rsidSect="007A09D5">
          <w:pgSz w:w="16838" w:h="11906" w:orient="landscape"/>
          <w:pgMar w:top="1440" w:right="1440" w:bottom="1440" w:left="1440" w:header="709" w:footer="709" w:gutter="0"/>
          <w:cols w:space="708"/>
          <w:docGrid w:linePitch="360"/>
        </w:sectPr>
      </w:pPr>
    </w:p>
    <w:p w:rsidR="006A4901" w:rsidRPr="00712C24" w:rsidRDefault="006A4901" w:rsidP="006A4901">
      <w:pPr>
        <w:rPr>
          <w:rFonts w:ascii="Times New Roman" w:hAnsi="Times New Roman" w:cs="Times New Roman"/>
          <w:b/>
          <w:sz w:val="24"/>
          <w:szCs w:val="24"/>
        </w:rPr>
      </w:pPr>
      <w:r w:rsidRPr="00712C24">
        <w:rPr>
          <w:rFonts w:ascii="Times New Roman" w:hAnsi="Times New Roman" w:cs="Times New Roman"/>
          <w:b/>
          <w:sz w:val="24"/>
          <w:szCs w:val="24"/>
        </w:rPr>
        <w:lastRenderedPageBreak/>
        <w:t>Discussion</w:t>
      </w:r>
    </w:p>
    <w:p w:rsidR="006A4901"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t>In this analysis of over 8,000 people aged 50-65 years from English general practices, we assessed frailty using questionnaire items adapted from the Fried criteria. Almost one in three subjects was ‘pre-frail’ by our d</w:t>
      </w:r>
      <w:r w:rsidR="00A1321F" w:rsidRPr="00712C24">
        <w:rPr>
          <w:rFonts w:ascii="Times New Roman" w:hAnsi="Times New Roman" w:cs="Times New Roman"/>
          <w:sz w:val="24"/>
          <w:szCs w:val="24"/>
        </w:rPr>
        <w:t>efinition and 3.9% were ‘frail’.</w:t>
      </w:r>
      <w:r w:rsidRPr="00712C24">
        <w:rPr>
          <w:rFonts w:ascii="Times New Roman" w:hAnsi="Times New Roman" w:cs="Times New Roman"/>
          <w:sz w:val="24"/>
          <w:szCs w:val="24"/>
        </w:rPr>
        <w:t xml:space="preserve"> </w:t>
      </w:r>
      <w:r w:rsidR="0077698A" w:rsidRPr="00712C24">
        <w:rPr>
          <w:rFonts w:ascii="Times New Roman" w:hAnsi="Times New Roman" w:cs="Times New Roman"/>
          <w:sz w:val="24"/>
          <w:szCs w:val="24"/>
        </w:rPr>
        <w:t xml:space="preserve"> Our</w:t>
      </w:r>
      <w:r w:rsidRPr="00712C24">
        <w:rPr>
          <w:rFonts w:ascii="Times New Roman" w:hAnsi="Times New Roman" w:cs="Times New Roman"/>
          <w:sz w:val="24"/>
          <w:szCs w:val="24"/>
        </w:rPr>
        <w:t xml:space="preserve"> case definition for frailty was associated strongly with being out of work, health-related job loss, prolonged sickness absence, having to cut down a lot on work activities, self-reports of not coping with work’s demands, and negative perceptions about</w:t>
      </w:r>
      <w:r w:rsidR="0077698A" w:rsidRPr="00712C24">
        <w:rPr>
          <w:rFonts w:ascii="Times New Roman" w:hAnsi="Times New Roman" w:cs="Times New Roman"/>
          <w:sz w:val="24"/>
          <w:szCs w:val="24"/>
        </w:rPr>
        <w:t xml:space="preserve"> work, including job insecurity</w:t>
      </w:r>
      <w:r w:rsidRPr="00712C24">
        <w:rPr>
          <w:rFonts w:ascii="Times New Roman" w:hAnsi="Times New Roman" w:cs="Times New Roman"/>
          <w:sz w:val="24"/>
          <w:szCs w:val="24"/>
        </w:rPr>
        <w:t xml:space="preserve"> and worry over work with loss of sleep. PAF</w:t>
      </w:r>
      <w:r w:rsidR="00D202A7" w:rsidRPr="00712C24">
        <w:rPr>
          <w:rFonts w:ascii="Times New Roman" w:hAnsi="Times New Roman" w:cs="Times New Roman"/>
          <w:sz w:val="24"/>
          <w:szCs w:val="24"/>
        </w:rPr>
        <w:t>s were relatively high</w:t>
      </w:r>
      <w:r w:rsidRPr="00712C24">
        <w:rPr>
          <w:rFonts w:ascii="Times New Roman" w:hAnsi="Times New Roman" w:cs="Times New Roman"/>
          <w:sz w:val="24"/>
          <w:szCs w:val="24"/>
        </w:rPr>
        <w:t xml:space="preserve"> and, for the presence of any of the frailty symptoms, exceeded 50% for health-related job loss and reached almost one-third for prolonged sickness absence. </w:t>
      </w:r>
    </w:p>
    <w:p w:rsidR="00A97E12" w:rsidRPr="00712C24" w:rsidRDefault="00A97E12" w:rsidP="006A4901">
      <w:pPr>
        <w:rPr>
          <w:rFonts w:ascii="Times New Roman" w:hAnsi="Times New Roman" w:cs="Times New Roman"/>
          <w:sz w:val="24"/>
          <w:szCs w:val="24"/>
        </w:rPr>
      </w:pPr>
    </w:p>
    <w:p w:rsidR="006A4901"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t xml:space="preserve">Our study had a number of strengths, including its </w:t>
      </w:r>
      <w:r w:rsidR="00D202A7" w:rsidRPr="00712C24">
        <w:rPr>
          <w:rFonts w:ascii="Times New Roman" w:hAnsi="Times New Roman" w:cs="Times New Roman"/>
          <w:sz w:val="24"/>
          <w:szCs w:val="24"/>
        </w:rPr>
        <w:t>novel</w:t>
      </w:r>
      <w:r w:rsidRPr="00712C24">
        <w:rPr>
          <w:rFonts w:ascii="Times New Roman" w:hAnsi="Times New Roman" w:cs="Times New Roman"/>
          <w:sz w:val="24"/>
          <w:szCs w:val="24"/>
        </w:rPr>
        <w:t xml:space="preserve"> focus on</w:t>
      </w:r>
      <w:r w:rsidR="00D202A7" w:rsidRPr="00712C24">
        <w:rPr>
          <w:rFonts w:ascii="Times New Roman" w:hAnsi="Times New Roman" w:cs="Times New Roman"/>
          <w:sz w:val="24"/>
          <w:szCs w:val="24"/>
        </w:rPr>
        <w:t xml:space="preserve"> frailty indicators and</w:t>
      </w:r>
      <w:r w:rsidRPr="00712C24">
        <w:rPr>
          <w:rFonts w:ascii="Times New Roman" w:hAnsi="Times New Roman" w:cs="Times New Roman"/>
          <w:sz w:val="24"/>
          <w:szCs w:val="24"/>
        </w:rPr>
        <w:t xml:space="preserve"> employment outcomes, its large sample size and </w:t>
      </w:r>
      <w:proofErr w:type="gramStart"/>
      <w:r w:rsidRPr="00712C24">
        <w:rPr>
          <w:rFonts w:ascii="Times New Roman" w:hAnsi="Times New Roman" w:cs="Times New Roman"/>
          <w:sz w:val="24"/>
          <w:szCs w:val="24"/>
        </w:rPr>
        <w:t>its</w:t>
      </w:r>
      <w:proofErr w:type="gramEnd"/>
      <w:r w:rsidRPr="00712C24">
        <w:rPr>
          <w:rFonts w:ascii="Times New Roman" w:hAnsi="Times New Roman" w:cs="Times New Roman"/>
          <w:sz w:val="24"/>
          <w:szCs w:val="24"/>
        </w:rPr>
        <w:t xml:space="preserve"> geographically dispersed population-based sampling strategy. Almost everyone in Britain registers with a general practice for healthcare that is free at the point of delivery, so patient lists from general practices offer a comprehensive sampling frame. The sampling frame also allowed us to calculate PAFs, providing an estimate of the potentially avoidable burden of work incapacity and loss as judged from a population perspective.</w:t>
      </w:r>
    </w:p>
    <w:p w:rsidR="006A4901" w:rsidRPr="00712C24" w:rsidRDefault="006A4901" w:rsidP="006A4901">
      <w:pPr>
        <w:rPr>
          <w:rFonts w:ascii="Times New Roman" w:hAnsi="Times New Roman" w:cs="Times New Roman"/>
          <w:sz w:val="24"/>
          <w:szCs w:val="24"/>
        </w:rPr>
      </w:pPr>
    </w:p>
    <w:p w:rsidR="00FD1DA6" w:rsidRPr="00712C24" w:rsidRDefault="006A4901" w:rsidP="00FD1DA6">
      <w:pPr>
        <w:rPr>
          <w:rFonts w:ascii="Times New Roman" w:hAnsi="Times New Roman" w:cs="Times New Roman"/>
          <w:sz w:val="24"/>
          <w:szCs w:val="24"/>
        </w:rPr>
      </w:pPr>
      <w:r w:rsidRPr="00712C24">
        <w:rPr>
          <w:rFonts w:ascii="Times New Roman" w:hAnsi="Times New Roman" w:cs="Times New Roman"/>
          <w:sz w:val="24"/>
          <w:szCs w:val="24"/>
        </w:rPr>
        <w:t xml:space="preserve">A limitation </w:t>
      </w:r>
      <w:r w:rsidR="00FD1DA6" w:rsidRPr="00712C24">
        <w:rPr>
          <w:rFonts w:ascii="Times New Roman" w:hAnsi="Times New Roman" w:cs="Times New Roman"/>
          <w:sz w:val="24"/>
          <w:szCs w:val="24"/>
        </w:rPr>
        <w:t>was the relatively low response rate at baseline. T</w:t>
      </w:r>
      <w:r w:rsidRPr="00712C24">
        <w:rPr>
          <w:rFonts w:ascii="Times New Roman" w:hAnsi="Times New Roman" w:cs="Times New Roman"/>
          <w:sz w:val="24"/>
          <w:szCs w:val="24"/>
        </w:rPr>
        <w:t xml:space="preserve">he prevalence of frailty could have been underestimated if </w:t>
      </w:r>
      <w:r w:rsidR="00D202A7" w:rsidRPr="00712C24">
        <w:rPr>
          <w:rFonts w:ascii="Times New Roman" w:hAnsi="Times New Roman" w:cs="Times New Roman"/>
          <w:sz w:val="24"/>
          <w:szCs w:val="24"/>
        </w:rPr>
        <w:t>those with more Fried symptoms</w:t>
      </w:r>
      <w:r w:rsidRPr="00712C24">
        <w:rPr>
          <w:rFonts w:ascii="Times New Roman" w:hAnsi="Times New Roman" w:cs="Times New Roman"/>
          <w:sz w:val="24"/>
          <w:szCs w:val="24"/>
        </w:rPr>
        <w:t xml:space="preserve"> were less likely to return a questionnaire. </w:t>
      </w:r>
      <w:r w:rsidR="00DD14F2">
        <w:rPr>
          <w:rFonts w:ascii="Times New Roman" w:hAnsi="Times New Roman" w:cs="Times New Roman"/>
          <w:sz w:val="24"/>
          <w:szCs w:val="24"/>
        </w:rPr>
        <w:t>A</w:t>
      </w:r>
      <w:r w:rsidR="00FD1DA6" w:rsidRPr="00712C24">
        <w:rPr>
          <w:rFonts w:ascii="Times New Roman" w:hAnsi="Times New Roman" w:cs="Times New Roman"/>
          <w:sz w:val="24"/>
          <w:szCs w:val="24"/>
        </w:rPr>
        <w:t xml:space="preserve"> differential response of that sort would not of itself bias associations between Fried symptoms and employment outcomes, which would be unrepresentative only if the </w:t>
      </w:r>
      <w:r w:rsidR="00AA5BCC">
        <w:rPr>
          <w:rFonts w:ascii="Times New Roman" w:hAnsi="Times New Roman" w:cs="Times New Roman"/>
          <w:sz w:val="24"/>
          <w:szCs w:val="24"/>
        </w:rPr>
        <w:t>association</w:t>
      </w:r>
      <w:r w:rsidR="00AA5BCC" w:rsidRPr="00712C24">
        <w:rPr>
          <w:rFonts w:ascii="Times New Roman" w:hAnsi="Times New Roman" w:cs="Times New Roman"/>
          <w:sz w:val="24"/>
          <w:szCs w:val="24"/>
        </w:rPr>
        <w:t xml:space="preserve"> </w:t>
      </w:r>
      <w:r w:rsidR="00FD1DA6" w:rsidRPr="00712C24">
        <w:rPr>
          <w:rFonts w:ascii="Times New Roman" w:hAnsi="Times New Roman" w:cs="Times New Roman"/>
          <w:sz w:val="24"/>
          <w:szCs w:val="24"/>
        </w:rPr>
        <w:t xml:space="preserve">with employment differed between responders and non-responders. </w:t>
      </w:r>
      <w:r w:rsidR="00DD14F2">
        <w:rPr>
          <w:rFonts w:ascii="Times New Roman" w:hAnsi="Times New Roman" w:cs="Times New Roman"/>
          <w:sz w:val="24"/>
          <w:szCs w:val="24"/>
        </w:rPr>
        <w:t>If frail non-responders</w:t>
      </w:r>
      <w:r w:rsidR="00496946">
        <w:rPr>
          <w:rFonts w:ascii="Times New Roman" w:hAnsi="Times New Roman" w:cs="Times New Roman"/>
          <w:sz w:val="24"/>
          <w:szCs w:val="24"/>
        </w:rPr>
        <w:t xml:space="preserve"> were more handicapped</w:t>
      </w:r>
      <w:r w:rsidR="00DD14F2" w:rsidRPr="00DD14F2">
        <w:rPr>
          <w:rFonts w:ascii="Times New Roman" w:hAnsi="Times New Roman" w:cs="Times New Roman"/>
          <w:sz w:val="24"/>
          <w:szCs w:val="24"/>
        </w:rPr>
        <w:t xml:space="preserve"> </w:t>
      </w:r>
      <w:r w:rsidR="00DD14F2">
        <w:rPr>
          <w:rFonts w:ascii="Times New Roman" w:hAnsi="Times New Roman" w:cs="Times New Roman"/>
          <w:sz w:val="24"/>
          <w:szCs w:val="24"/>
        </w:rPr>
        <w:t>than</w:t>
      </w:r>
      <w:r w:rsidR="00496946">
        <w:rPr>
          <w:rFonts w:ascii="Times New Roman" w:hAnsi="Times New Roman" w:cs="Times New Roman"/>
          <w:sz w:val="24"/>
          <w:szCs w:val="24"/>
        </w:rPr>
        <w:t xml:space="preserve"> </w:t>
      </w:r>
      <w:r w:rsidR="00DD14F2">
        <w:rPr>
          <w:rFonts w:ascii="Times New Roman" w:hAnsi="Times New Roman" w:cs="Times New Roman"/>
          <w:sz w:val="24"/>
          <w:szCs w:val="24"/>
        </w:rPr>
        <w:t xml:space="preserve">frail responders, this </w:t>
      </w:r>
      <w:r w:rsidR="00915C5D">
        <w:rPr>
          <w:rFonts w:ascii="Times New Roman" w:hAnsi="Times New Roman" w:cs="Times New Roman"/>
          <w:sz w:val="24"/>
          <w:szCs w:val="24"/>
        </w:rPr>
        <w:t>might</w:t>
      </w:r>
      <w:r w:rsidR="00DD14F2">
        <w:rPr>
          <w:rFonts w:ascii="Times New Roman" w:hAnsi="Times New Roman" w:cs="Times New Roman"/>
          <w:sz w:val="24"/>
          <w:szCs w:val="24"/>
        </w:rPr>
        <w:t xml:space="preserve"> lead to an under-estimation of </w:t>
      </w:r>
      <w:r w:rsidR="00496946">
        <w:rPr>
          <w:rFonts w:ascii="Times New Roman" w:hAnsi="Times New Roman" w:cs="Times New Roman"/>
          <w:sz w:val="24"/>
          <w:szCs w:val="24"/>
        </w:rPr>
        <w:t>frailty’s impact on employment</w:t>
      </w:r>
      <w:r w:rsidR="00DD14F2">
        <w:rPr>
          <w:rFonts w:ascii="Times New Roman" w:hAnsi="Times New Roman" w:cs="Times New Roman"/>
          <w:sz w:val="24"/>
          <w:szCs w:val="24"/>
        </w:rPr>
        <w:t xml:space="preserve">. </w:t>
      </w:r>
      <w:r w:rsidR="00496946">
        <w:rPr>
          <w:rFonts w:ascii="Times New Roman" w:hAnsi="Times New Roman" w:cs="Times New Roman"/>
          <w:sz w:val="24"/>
          <w:szCs w:val="24"/>
        </w:rPr>
        <w:t>Conversely, o</w:t>
      </w:r>
      <w:r w:rsidR="00DD14F2">
        <w:rPr>
          <w:rFonts w:ascii="Times New Roman" w:hAnsi="Times New Roman" w:cs="Times New Roman"/>
          <w:sz w:val="24"/>
          <w:szCs w:val="24"/>
        </w:rPr>
        <w:t xml:space="preserve">ver-estimation </w:t>
      </w:r>
      <w:r w:rsidR="00496946">
        <w:rPr>
          <w:rFonts w:ascii="Times New Roman" w:hAnsi="Times New Roman" w:cs="Times New Roman"/>
          <w:sz w:val="24"/>
          <w:szCs w:val="24"/>
        </w:rPr>
        <w:t>could</w:t>
      </w:r>
      <w:r w:rsidR="00DD14F2">
        <w:rPr>
          <w:rFonts w:ascii="Times New Roman" w:hAnsi="Times New Roman" w:cs="Times New Roman"/>
          <w:sz w:val="24"/>
          <w:szCs w:val="24"/>
        </w:rPr>
        <w:t xml:space="preserve"> arise if frail individuals with greater work handicap </w:t>
      </w:r>
      <w:r w:rsidR="00496946">
        <w:rPr>
          <w:rFonts w:ascii="Times New Roman" w:hAnsi="Times New Roman" w:cs="Times New Roman"/>
          <w:sz w:val="24"/>
          <w:szCs w:val="24"/>
        </w:rPr>
        <w:t>participated more readily</w:t>
      </w:r>
      <w:r w:rsidR="00915C5D">
        <w:rPr>
          <w:rFonts w:ascii="Times New Roman" w:hAnsi="Times New Roman" w:cs="Times New Roman"/>
          <w:sz w:val="24"/>
          <w:szCs w:val="24"/>
        </w:rPr>
        <w:t xml:space="preserve"> in the survey</w:t>
      </w:r>
      <w:r w:rsidR="00496946">
        <w:rPr>
          <w:rFonts w:ascii="Times New Roman" w:hAnsi="Times New Roman" w:cs="Times New Roman"/>
          <w:sz w:val="24"/>
          <w:szCs w:val="24"/>
        </w:rPr>
        <w:t>;</w:t>
      </w:r>
      <w:r w:rsidR="00DD14F2">
        <w:rPr>
          <w:rFonts w:ascii="Times New Roman" w:hAnsi="Times New Roman" w:cs="Times New Roman"/>
          <w:sz w:val="24"/>
          <w:szCs w:val="24"/>
        </w:rPr>
        <w:t xml:space="preserve"> but </w:t>
      </w:r>
      <w:r w:rsidR="00FD1DA6" w:rsidRPr="00712C24">
        <w:rPr>
          <w:rFonts w:ascii="Times New Roman" w:hAnsi="Times New Roman" w:cs="Times New Roman"/>
          <w:sz w:val="24"/>
          <w:szCs w:val="24"/>
        </w:rPr>
        <w:t>bias</w:t>
      </w:r>
      <w:r w:rsidR="00496946">
        <w:rPr>
          <w:rFonts w:ascii="Times New Roman" w:hAnsi="Times New Roman" w:cs="Times New Roman"/>
          <w:sz w:val="24"/>
          <w:szCs w:val="24"/>
        </w:rPr>
        <w:t xml:space="preserve"> of this second kind</w:t>
      </w:r>
      <w:r w:rsidR="00FD1DA6" w:rsidRPr="00712C24">
        <w:rPr>
          <w:rFonts w:ascii="Times New Roman" w:hAnsi="Times New Roman" w:cs="Times New Roman"/>
          <w:sz w:val="24"/>
          <w:szCs w:val="24"/>
        </w:rPr>
        <w:t xml:space="preserve"> seems less likely as the items we used to assess frailty formed only a small par</w:t>
      </w:r>
      <w:r w:rsidR="00A1321F" w:rsidRPr="00712C24">
        <w:rPr>
          <w:rFonts w:ascii="Times New Roman" w:hAnsi="Times New Roman" w:cs="Times New Roman"/>
          <w:sz w:val="24"/>
          <w:szCs w:val="24"/>
        </w:rPr>
        <w:t>t of a much larger question set</w:t>
      </w:r>
      <w:r w:rsidR="00FD1DA6" w:rsidRPr="00712C24">
        <w:rPr>
          <w:rFonts w:ascii="Times New Roman" w:hAnsi="Times New Roman" w:cs="Times New Roman"/>
          <w:sz w:val="24"/>
          <w:szCs w:val="24"/>
        </w:rPr>
        <w:t xml:space="preserve"> and were dispersed through the questionnaire, helping to disguise this focus of interest from participants.</w:t>
      </w:r>
      <w:r w:rsidR="00AA5BCC">
        <w:rPr>
          <w:rFonts w:ascii="Times New Roman" w:hAnsi="Times New Roman" w:cs="Times New Roman"/>
          <w:sz w:val="24"/>
          <w:szCs w:val="24"/>
        </w:rPr>
        <w:t xml:space="preserve"> </w:t>
      </w:r>
      <w:r w:rsidR="00496946">
        <w:rPr>
          <w:rFonts w:ascii="Times New Roman" w:hAnsi="Times New Roman" w:cs="Times New Roman"/>
          <w:sz w:val="24"/>
          <w:szCs w:val="24"/>
        </w:rPr>
        <w:t>Nonetheless, it</w:t>
      </w:r>
      <w:r w:rsidR="00AA5BCC">
        <w:rPr>
          <w:rFonts w:ascii="Times New Roman" w:hAnsi="Times New Roman" w:cs="Times New Roman"/>
          <w:sz w:val="24"/>
          <w:szCs w:val="24"/>
        </w:rPr>
        <w:t xml:space="preserve"> will be important to confirm findings longitudinally </w:t>
      </w:r>
      <w:r w:rsidR="00DD14F2">
        <w:rPr>
          <w:rFonts w:ascii="Times New Roman" w:hAnsi="Times New Roman" w:cs="Times New Roman"/>
          <w:sz w:val="24"/>
          <w:szCs w:val="24"/>
        </w:rPr>
        <w:t>in a</w:t>
      </w:r>
      <w:r w:rsidR="00AA5BCC">
        <w:rPr>
          <w:rFonts w:ascii="Times New Roman" w:hAnsi="Times New Roman" w:cs="Times New Roman"/>
          <w:sz w:val="24"/>
          <w:szCs w:val="24"/>
        </w:rPr>
        <w:t xml:space="preserve"> cohort</w:t>
      </w:r>
      <w:r w:rsidR="00DD14F2">
        <w:rPr>
          <w:rFonts w:ascii="Times New Roman" w:hAnsi="Times New Roman" w:cs="Times New Roman"/>
          <w:sz w:val="24"/>
          <w:szCs w:val="24"/>
        </w:rPr>
        <w:t xml:space="preserve"> </w:t>
      </w:r>
      <w:r w:rsidR="00496946">
        <w:rPr>
          <w:rFonts w:ascii="Times New Roman" w:hAnsi="Times New Roman" w:cs="Times New Roman"/>
          <w:sz w:val="24"/>
          <w:szCs w:val="24"/>
        </w:rPr>
        <w:t>with good</w:t>
      </w:r>
      <w:r w:rsidR="00DD14F2">
        <w:rPr>
          <w:rFonts w:ascii="Times New Roman" w:hAnsi="Times New Roman" w:cs="Times New Roman"/>
          <w:sz w:val="24"/>
          <w:szCs w:val="24"/>
        </w:rPr>
        <w:t xml:space="preserve"> follow-up rates</w:t>
      </w:r>
      <w:r w:rsidR="00496946">
        <w:rPr>
          <w:rFonts w:ascii="Times New Roman" w:hAnsi="Times New Roman" w:cs="Times New Roman"/>
          <w:sz w:val="24"/>
          <w:szCs w:val="24"/>
        </w:rPr>
        <w:t>.</w:t>
      </w:r>
      <w:r w:rsidR="00DD14F2">
        <w:rPr>
          <w:rFonts w:ascii="Times New Roman" w:hAnsi="Times New Roman" w:cs="Times New Roman"/>
          <w:sz w:val="24"/>
          <w:szCs w:val="24"/>
        </w:rPr>
        <w:t xml:space="preserve"> </w:t>
      </w:r>
      <w:r w:rsidR="00496946">
        <w:rPr>
          <w:rFonts w:ascii="Times New Roman" w:hAnsi="Times New Roman" w:cs="Times New Roman"/>
          <w:sz w:val="24"/>
          <w:szCs w:val="24"/>
        </w:rPr>
        <w:t>(</w:t>
      </w:r>
      <w:r w:rsidR="00915C5D">
        <w:rPr>
          <w:rFonts w:ascii="Times New Roman" w:hAnsi="Times New Roman" w:cs="Times New Roman"/>
          <w:sz w:val="24"/>
          <w:szCs w:val="24"/>
        </w:rPr>
        <w:t>T</w:t>
      </w:r>
      <w:r w:rsidR="00496946">
        <w:rPr>
          <w:rFonts w:ascii="Times New Roman" w:hAnsi="Times New Roman" w:cs="Times New Roman"/>
          <w:sz w:val="24"/>
          <w:szCs w:val="24"/>
        </w:rPr>
        <w:t>he HEAF study is well placed in this respect</w:t>
      </w:r>
      <w:r w:rsidR="00915C5D">
        <w:rPr>
          <w:rFonts w:ascii="Times New Roman" w:hAnsi="Times New Roman" w:cs="Times New Roman"/>
          <w:sz w:val="24"/>
          <w:szCs w:val="24"/>
        </w:rPr>
        <w:t>,</w:t>
      </w:r>
      <w:r w:rsidR="00496946">
        <w:rPr>
          <w:rFonts w:ascii="Times New Roman" w:hAnsi="Times New Roman" w:cs="Times New Roman"/>
          <w:sz w:val="24"/>
          <w:szCs w:val="24"/>
        </w:rPr>
        <w:t xml:space="preserve"> as </w:t>
      </w:r>
      <w:r w:rsidR="00915C5D">
        <w:rPr>
          <w:rFonts w:ascii="Times New Roman" w:hAnsi="Times New Roman" w:cs="Times New Roman"/>
          <w:sz w:val="24"/>
          <w:szCs w:val="24"/>
        </w:rPr>
        <w:t>response</w:t>
      </w:r>
      <w:r w:rsidR="00496946">
        <w:rPr>
          <w:rFonts w:ascii="Times New Roman" w:hAnsi="Times New Roman" w:cs="Times New Roman"/>
          <w:sz w:val="24"/>
          <w:szCs w:val="24"/>
        </w:rPr>
        <w:t xml:space="preserve"> rates</w:t>
      </w:r>
      <w:r w:rsidR="00915C5D">
        <w:rPr>
          <w:rFonts w:ascii="Times New Roman" w:hAnsi="Times New Roman" w:cs="Times New Roman"/>
          <w:sz w:val="24"/>
          <w:szCs w:val="24"/>
        </w:rPr>
        <w:t xml:space="preserve"> at follow-up have exceeded</w:t>
      </w:r>
      <w:r w:rsidR="00DD14F2">
        <w:rPr>
          <w:rFonts w:ascii="Times New Roman" w:hAnsi="Times New Roman" w:cs="Times New Roman"/>
          <w:sz w:val="24"/>
          <w:szCs w:val="24"/>
        </w:rPr>
        <w:t xml:space="preserve"> </w:t>
      </w:r>
      <w:proofErr w:type="gramStart"/>
      <w:r w:rsidR="00DD14F2">
        <w:rPr>
          <w:rFonts w:ascii="Times New Roman" w:hAnsi="Times New Roman" w:cs="Times New Roman"/>
          <w:sz w:val="24"/>
          <w:szCs w:val="24"/>
        </w:rPr>
        <w:t>80%</w:t>
      </w:r>
      <w:proofErr w:type="gramEnd"/>
      <w:r w:rsidR="00915C5D">
        <w:rPr>
          <w:rFonts w:ascii="Times New Roman" w:hAnsi="Times New Roman" w:cs="Times New Roman"/>
          <w:sz w:val="24"/>
          <w:szCs w:val="24"/>
        </w:rPr>
        <w:t>.</w:t>
      </w:r>
      <w:r w:rsidR="00DD14F2">
        <w:rPr>
          <w:rFonts w:ascii="Times New Roman" w:hAnsi="Times New Roman" w:cs="Times New Roman"/>
          <w:sz w:val="24"/>
          <w:szCs w:val="24"/>
        </w:rPr>
        <w:t>)</w:t>
      </w:r>
    </w:p>
    <w:p w:rsidR="006A4901" w:rsidRPr="00712C24" w:rsidRDefault="006A4901" w:rsidP="006A4901">
      <w:pPr>
        <w:rPr>
          <w:rFonts w:ascii="Times New Roman" w:hAnsi="Times New Roman" w:cs="Times New Roman"/>
          <w:sz w:val="24"/>
          <w:szCs w:val="24"/>
        </w:rPr>
      </w:pPr>
    </w:p>
    <w:p w:rsidR="00EF7EEA"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lastRenderedPageBreak/>
        <w:t>A second limitation is that we had no face to face contact with subjects</w:t>
      </w:r>
      <w:r w:rsidR="00F21E92">
        <w:rPr>
          <w:rFonts w:ascii="Times New Roman" w:hAnsi="Times New Roman" w:cs="Times New Roman"/>
          <w:sz w:val="24"/>
          <w:szCs w:val="24"/>
        </w:rPr>
        <w:t xml:space="preserve"> and so were unable to perform a physical examination or conduct tests of performance</w:t>
      </w:r>
      <w:r w:rsidR="00FD1DA6" w:rsidRPr="00712C24">
        <w:rPr>
          <w:rFonts w:ascii="Times New Roman" w:hAnsi="Times New Roman" w:cs="Times New Roman"/>
          <w:sz w:val="24"/>
          <w:szCs w:val="24"/>
        </w:rPr>
        <w:t xml:space="preserve">. </w:t>
      </w:r>
      <w:r w:rsidRPr="00712C24">
        <w:rPr>
          <w:rFonts w:ascii="Times New Roman" w:hAnsi="Times New Roman" w:cs="Times New Roman"/>
          <w:sz w:val="24"/>
          <w:szCs w:val="24"/>
        </w:rPr>
        <w:t xml:space="preserve"> </w:t>
      </w:r>
      <w:proofErr w:type="spellStart"/>
      <w:r w:rsidR="00FD1DA6" w:rsidRPr="00712C24">
        <w:rPr>
          <w:rFonts w:ascii="Times New Roman" w:hAnsi="Times New Roman" w:cs="Times New Roman"/>
          <w:sz w:val="24"/>
          <w:szCs w:val="24"/>
        </w:rPr>
        <w:t>Fried’s</w:t>
      </w:r>
      <w:proofErr w:type="spellEnd"/>
      <w:r w:rsidR="00FD1DA6" w:rsidRPr="00712C24">
        <w:rPr>
          <w:rFonts w:ascii="Times New Roman" w:hAnsi="Times New Roman" w:cs="Times New Roman"/>
          <w:sz w:val="24"/>
          <w:szCs w:val="24"/>
        </w:rPr>
        <w:t xml:space="preserve"> criteria are usually based on answers to two questions (reproduced in our questionnaire) in combination with measures from tests of physical performance performed according to standardised protocols. </w:t>
      </w:r>
      <w:r w:rsidR="00FD1DA6" w:rsidRPr="00712C24">
        <w:t xml:space="preserve"> </w:t>
      </w:r>
      <w:r w:rsidR="00FD1DA6" w:rsidRPr="00712C24">
        <w:rPr>
          <w:rFonts w:ascii="Times New Roman" w:hAnsi="Times New Roman" w:cs="Times New Roman"/>
          <w:sz w:val="24"/>
          <w:szCs w:val="24"/>
        </w:rPr>
        <w:t>In this large cross-sectional study across England, we</w:t>
      </w:r>
      <w:r w:rsidRPr="00712C24">
        <w:rPr>
          <w:rFonts w:ascii="Times New Roman" w:hAnsi="Times New Roman" w:cs="Times New Roman"/>
          <w:sz w:val="24"/>
          <w:szCs w:val="24"/>
        </w:rPr>
        <w:t xml:space="preserve"> depended on questions about symptoms to gauge functional elements </w:t>
      </w:r>
      <w:r w:rsidR="00FD1DA6" w:rsidRPr="00712C24">
        <w:rPr>
          <w:rFonts w:ascii="Times New Roman" w:hAnsi="Times New Roman" w:cs="Times New Roman"/>
          <w:sz w:val="24"/>
          <w:szCs w:val="24"/>
        </w:rPr>
        <w:t xml:space="preserve">(e.g. grip strength) </w:t>
      </w:r>
      <w:r w:rsidRPr="00712C24">
        <w:rPr>
          <w:rFonts w:ascii="Times New Roman" w:hAnsi="Times New Roman" w:cs="Times New Roman"/>
          <w:sz w:val="24"/>
          <w:szCs w:val="24"/>
        </w:rPr>
        <w:t xml:space="preserve">that </w:t>
      </w:r>
      <w:r w:rsidR="00FD1DA6" w:rsidRPr="00712C24">
        <w:rPr>
          <w:rFonts w:ascii="Times New Roman" w:hAnsi="Times New Roman" w:cs="Times New Roman"/>
          <w:sz w:val="24"/>
          <w:szCs w:val="24"/>
        </w:rPr>
        <w:t xml:space="preserve">we were unable to </w:t>
      </w:r>
      <w:r w:rsidRPr="00712C24">
        <w:rPr>
          <w:rFonts w:ascii="Times New Roman" w:hAnsi="Times New Roman" w:cs="Times New Roman"/>
          <w:sz w:val="24"/>
          <w:szCs w:val="24"/>
        </w:rPr>
        <w:t xml:space="preserve">measure directly. </w:t>
      </w:r>
      <w:r w:rsidR="00FD1DA6" w:rsidRPr="00712C24">
        <w:rPr>
          <w:rFonts w:ascii="Times New Roman" w:hAnsi="Times New Roman" w:cs="Times New Roman"/>
          <w:sz w:val="24"/>
          <w:szCs w:val="24"/>
        </w:rPr>
        <w:t>We do not know how accurately our proxy questions reflected what would have been found had objective measurements been available. However, as yet there is no international consensus on how best to assess frailty in older people for research purposes [13], and the Fried scale has been adapted su</w:t>
      </w:r>
      <w:r w:rsidR="00A1321F" w:rsidRPr="00712C24">
        <w:rPr>
          <w:rFonts w:ascii="Times New Roman" w:hAnsi="Times New Roman" w:cs="Times New Roman"/>
          <w:sz w:val="24"/>
          <w:szCs w:val="24"/>
        </w:rPr>
        <w:t>ccessfully in other research</w:t>
      </w:r>
      <w:r w:rsidR="00FD1DA6" w:rsidRPr="00712C24">
        <w:rPr>
          <w:rFonts w:ascii="Times New Roman" w:hAnsi="Times New Roman" w:cs="Times New Roman"/>
          <w:sz w:val="24"/>
          <w:szCs w:val="24"/>
        </w:rPr>
        <w:t xml:space="preserve"> using proxy information when components could not be ascertained in the manner originally specified [11,</w:t>
      </w:r>
      <w:r w:rsidR="00A1321F" w:rsidRPr="00712C24">
        <w:rPr>
          <w:rFonts w:ascii="Times New Roman" w:hAnsi="Times New Roman" w:cs="Times New Roman"/>
          <w:sz w:val="24"/>
          <w:szCs w:val="24"/>
        </w:rPr>
        <w:t>16</w:t>
      </w:r>
      <w:r w:rsidR="000024B7" w:rsidRPr="00712C24">
        <w:rPr>
          <w:rFonts w:ascii="Times New Roman" w:hAnsi="Times New Roman" w:cs="Times New Roman"/>
          <w:sz w:val="24"/>
          <w:szCs w:val="24"/>
        </w:rPr>
        <w:t>,17</w:t>
      </w:r>
      <w:r w:rsidR="00FD1DA6" w:rsidRPr="00712C24">
        <w:rPr>
          <w:rFonts w:ascii="Times New Roman" w:hAnsi="Times New Roman" w:cs="Times New Roman"/>
          <w:sz w:val="24"/>
          <w:szCs w:val="24"/>
        </w:rPr>
        <w:t xml:space="preserve">]. Moreover, data from another cohort study of older workers, the 10-country Survey of Health, Aging and Retirement in Europe (SHARE), which did include objective measures of physical function, </w:t>
      </w:r>
      <w:r w:rsidR="00D202A7" w:rsidRPr="00712C24">
        <w:rPr>
          <w:rFonts w:ascii="Times New Roman" w:hAnsi="Times New Roman" w:cs="Times New Roman"/>
          <w:sz w:val="24"/>
          <w:szCs w:val="24"/>
        </w:rPr>
        <w:t>estimated</w:t>
      </w:r>
      <w:r w:rsidR="00FD1DA6" w:rsidRPr="00712C24">
        <w:rPr>
          <w:rFonts w:ascii="Times New Roman" w:hAnsi="Times New Roman" w:cs="Times New Roman"/>
          <w:sz w:val="24"/>
          <w:szCs w:val="24"/>
        </w:rPr>
        <w:t xml:space="preserve"> </w:t>
      </w:r>
      <w:r w:rsidR="00A1321F" w:rsidRPr="00712C24">
        <w:rPr>
          <w:rFonts w:ascii="Times New Roman" w:hAnsi="Times New Roman" w:cs="Times New Roman"/>
          <w:sz w:val="24"/>
          <w:szCs w:val="24"/>
        </w:rPr>
        <w:t xml:space="preserve">a </w:t>
      </w:r>
      <w:r w:rsidR="00FD1DA6" w:rsidRPr="00712C24">
        <w:rPr>
          <w:rFonts w:ascii="Times New Roman" w:hAnsi="Times New Roman" w:cs="Times New Roman"/>
          <w:sz w:val="24"/>
          <w:szCs w:val="24"/>
        </w:rPr>
        <w:t xml:space="preserve">broadly similar prevalence of </w:t>
      </w:r>
      <w:r w:rsidR="00D202A7" w:rsidRPr="00712C24">
        <w:rPr>
          <w:rFonts w:ascii="Times New Roman" w:hAnsi="Times New Roman" w:cs="Times New Roman"/>
          <w:sz w:val="24"/>
          <w:szCs w:val="24"/>
        </w:rPr>
        <w:t>‘frailty’ and ‘pre-frailty’</w:t>
      </w:r>
      <w:r w:rsidR="00FD1DA6" w:rsidRPr="00712C24">
        <w:rPr>
          <w:rFonts w:ascii="Times New Roman" w:hAnsi="Times New Roman" w:cs="Times New Roman"/>
          <w:sz w:val="24"/>
          <w:szCs w:val="24"/>
        </w:rPr>
        <w:t xml:space="preserve"> among people of similar age to those in our study [</w:t>
      </w:r>
      <w:r w:rsidR="00A1321F" w:rsidRPr="00712C24">
        <w:rPr>
          <w:rFonts w:ascii="Times New Roman" w:hAnsi="Times New Roman" w:cs="Times New Roman"/>
          <w:sz w:val="24"/>
          <w:szCs w:val="24"/>
        </w:rPr>
        <w:t>11</w:t>
      </w:r>
      <w:r w:rsidR="00FD1DA6" w:rsidRPr="00712C24">
        <w:rPr>
          <w:rFonts w:ascii="Times New Roman" w:hAnsi="Times New Roman" w:cs="Times New Roman"/>
          <w:sz w:val="24"/>
          <w:szCs w:val="24"/>
        </w:rPr>
        <w:t>].</w:t>
      </w:r>
      <w:r w:rsidR="00A97E12" w:rsidRPr="00712C24">
        <w:rPr>
          <w:rFonts w:ascii="Times New Roman" w:hAnsi="Times New Roman" w:cs="Times New Roman"/>
          <w:sz w:val="24"/>
          <w:szCs w:val="24"/>
        </w:rPr>
        <w:t xml:space="preserve"> </w:t>
      </w:r>
      <w:r w:rsidR="00FD1DA6" w:rsidRPr="00712C24">
        <w:rPr>
          <w:rFonts w:ascii="Times New Roman" w:hAnsi="Times New Roman" w:cs="Times New Roman"/>
          <w:sz w:val="24"/>
          <w:szCs w:val="24"/>
        </w:rPr>
        <w:t>Even if the ascertainment of Fried components was accurate, the phenotype that they represent in late middle age may not be the same as in the elderly.  Nevertheless, they show</w:t>
      </w:r>
      <w:r w:rsidR="00A1321F" w:rsidRPr="00712C24">
        <w:rPr>
          <w:rFonts w:ascii="Times New Roman" w:hAnsi="Times New Roman" w:cs="Times New Roman"/>
          <w:sz w:val="24"/>
          <w:szCs w:val="24"/>
        </w:rPr>
        <w:t>ed consistent and</w:t>
      </w:r>
      <w:r w:rsidR="00FD1DA6" w:rsidRPr="00712C24">
        <w:rPr>
          <w:rFonts w:ascii="Times New Roman" w:hAnsi="Times New Roman" w:cs="Times New Roman"/>
          <w:sz w:val="24"/>
          <w:szCs w:val="24"/>
        </w:rPr>
        <w:t xml:space="preserve"> strong associations with poor employment outcomes in our study sample. </w:t>
      </w:r>
    </w:p>
    <w:p w:rsidR="00FD1DA6" w:rsidRPr="00712C24" w:rsidRDefault="00FD1DA6" w:rsidP="006A4901">
      <w:pPr>
        <w:rPr>
          <w:rFonts w:ascii="Times New Roman" w:hAnsi="Times New Roman" w:cs="Times New Roman"/>
          <w:sz w:val="24"/>
          <w:szCs w:val="24"/>
        </w:rPr>
      </w:pPr>
    </w:p>
    <w:p w:rsidR="006A4901"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t xml:space="preserve">Those classified as ‘frail’ by our study were about five times more likely to report low well-being and persistent pain, which like frailty were possible risk factors for health-related job loss, sickness absence and reduced work capacity. Adjustment for these potential confounders </w:t>
      </w:r>
      <w:r w:rsidR="00A97E12" w:rsidRPr="00712C24">
        <w:rPr>
          <w:rFonts w:ascii="Times New Roman" w:hAnsi="Times New Roman" w:cs="Times New Roman"/>
          <w:sz w:val="24"/>
          <w:szCs w:val="24"/>
        </w:rPr>
        <w:t xml:space="preserve">somewhat </w:t>
      </w:r>
      <w:r w:rsidRPr="00712C24">
        <w:rPr>
          <w:rFonts w:ascii="Times New Roman" w:hAnsi="Times New Roman" w:cs="Times New Roman"/>
          <w:sz w:val="24"/>
          <w:szCs w:val="24"/>
        </w:rPr>
        <w:t xml:space="preserve">reduced associations between frailty and adverse work outcomes, although they remained robust and strong. </w:t>
      </w:r>
    </w:p>
    <w:p w:rsidR="00A97E12" w:rsidRPr="00712C24" w:rsidRDefault="00A97E12" w:rsidP="00D202A7">
      <w:pPr>
        <w:rPr>
          <w:rFonts w:ascii="Times New Roman" w:hAnsi="Times New Roman" w:cs="Times New Roman"/>
          <w:sz w:val="24"/>
          <w:szCs w:val="24"/>
        </w:rPr>
      </w:pPr>
    </w:p>
    <w:p w:rsidR="00290829" w:rsidRPr="00B45CCD" w:rsidRDefault="00CD298F" w:rsidP="00673730">
      <w:pPr>
        <w:rPr>
          <w:rFonts w:ascii="Times New Roman" w:hAnsi="Times New Roman" w:cs="Times New Roman"/>
          <w:color w:val="000000" w:themeColor="text1"/>
          <w:sz w:val="24"/>
          <w:szCs w:val="24"/>
        </w:rPr>
      </w:pPr>
      <w:r w:rsidRPr="00712C24">
        <w:rPr>
          <w:rFonts w:ascii="Times New Roman" w:hAnsi="Times New Roman" w:cs="Times New Roman"/>
          <w:sz w:val="24"/>
          <w:szCs w:val="24"/>
        </w:rPr>
        <w:t xml:space="preserve">We know of no other study that has explored frailty’s relations to work.  </w:t>
      </w:r>
      <w:r>
        <w:rPr>
          <w:rFonts w:ascii="Times New Roman" w:hAnsi="Times New Roman" w:cs="Times New Roman"/>
          <w:sz w:val="24"/>
          <w:szCs w:val="24"/>
        </w:rPr>
        <w:t xml:space="preserve">However, </w:t>
      </w:r>
      <w:r>
        <w:rPr>
          <w:rFonts w:ascii="Times New Roman" w:hAnsi="Times New Roman" w:cs="Times New Roman"/>
          <w:color w:val="000000" w:themeColor="text1"/>
          <w:sz w:val="24"/>
          <w:szCs w:val="24"/>
        </w:rPr>
        <w:t>t</w:t>
      </w:r>
      <w:r w:rsidR="00290829" w:rsidRPr="00B45CCD">
        <w:rPr>
          <w:rFonts w:ascii="Times New Roman" w:hAnsi="Times New Roman" w:cs="Times New Roman"/>
          <w:color w:val="000000" w:themeColor="text1"/>
          <w:sz w:val="24"/>
          <w:szCs w:val="24"/>
        </w:rPr>
        <w:t xml:space="preserve">he Work-Ability Index (WAI) is another measure that has been linked with poor employment outcomes </w:t>
      </w:r>
      <w:r w:rsidR="00E14A2C">
        <w:rPr>
          <w:rFonts w:ascii="Times New Roman" w:hAnsi="Times New Roman" w:cs="Times New Roman"/>
          <w:color w:val="000000" w:themeColor="text1"/>
          <w:sz w:val="24"/>
          <w:szCs w:val="24"/>
        </w:rPr>
        <w:t xml:space="preserve">as well as predicting </w:t>
      </w:r>
      <w:r w:rsidR="00EF3341">
        <w:rPr>
          <w:rFonts w:ascii="Times New Roman" w:hAnsi="Times New Roman" w:cs="Times New Roman"/>
          <w:color w:val="000000" w:themeColor="text1"/>
          <w:sz w:val="24"/>
          <w:szCs w:val="24"/>
        </w:rPr>
        <w:t>poorer long-term health</w:t>
      </w:r>
      <w:r w:rsidR="00EF3341" w:rsidRPr="00B45CCD">
        <w:rPr>
          <w:rFonts w:ascii="Times New Roman" w:hAnsi="Times New Roman" w:cs="Times New Roman"/>
          <w:color w:val="000000" w:themeColor="text1"/>
          <w:sz w:val="24"/>
          <w:szCs w:val="24"/>
        </w:rPr>
        <w:t xml:space="preserve"> </w:t>
      </w:r>
      <w:r w:rsidR="00290829" w:rsidRPr="00B45CCD">
        <w:rPr>
          <w:rFonts w:ascii="Times New Roman" w:hAnsi="Times New Roman" w:cs="Times New Roman"/>
          <w:color w:val="000000" w:themeColor="text1"/>
          <w:sz w:val="24"/>
          <w:szCs w:val="24"/>
        </w:rPr>
        <w:t>[</w:t>
      </w:r>
      <w:r w:rsidR="00616993" w:rsidRPr="00B45CCD">
        <w:rPr>
          <w:rFonts w:ascii="Times New Roman" w:hAnsi="Times New Roman" w:cs="Times New Roman"/>
          <w:color w:val="000000" w:themeColor="text1"/>
          <w:sz w:val="24"/>
          <w:szCs w:val="24"/>
        </w:rPr>
        <w:t>18</w:t>
      </w:r>
      <w:r w:rsidR="00290829" w:rsidRPr="00B45CCD">
        <w:rPr>
          <w:rFonts w:ascii="Times New Roman" w:hAnsi="Times New Roman" w:cs="Times New Roman"/>
          <w:color w:val="000000" w:themeColor="text1"/>
          <w:sz w:val="24"/>
          <w:szCs w:val="24"/>
        </w:rPr>
        <w:t xml:space="preserve">].  </w:t>
      </w:r>
      <w:r w:rsidR="00001695" w:rsidRPr="00B45CCD">
        <w:rPr>
          <w:rFonts w:ascii="Times New Roman" w:hAnsi="Times New Roman" w:cs="Times New Roman"/>
          <w:color w:val="000000" w:themeColor="text1"/>
          <w:sz w:val="24"/>
          <w:szCs w:val="24"/>
        </w:rPr>
        <w:t>It</w:t>
      </w:r>
      <w:r w:rsidR="00290829" w:rsidRPr="00B45CCD">
        <w:rPr>
          <w:rFonts w:ascii="Times New Roman" w:hAnsi="Times New Roman" w:cs="Times New Roman"/>
          <w:color w:val="000000" w:themeColor="text1"/>
          <w:sz w:val="24"/>
          <w:szCs w:val="24"/>
        </w:rPr>
        <w:t xml:space="preserve"> assesses seven domains, all self-reported: current work capacity relative to lifetime best; work ability in relation to the physical and mental demands of the job; work impairment because of health; amount of sick leave in the past 12 months; expectations about work ability in two years’ time; number of current physician-diagnosed diseases; and ‘mental resources’ (enjoyment, energy and hope for the future). It may be seen that none of these matches the Fried frailty criteria, although the domain of ‘mental resources’ partially overlaps </w:t>
      </w:r>
      <w:proofErr w:type="spellStart"/>
      <w:r w:rsidR="00290829" w:rsidRPr="00B45CCD">
        <w:rPr>
          <w:rFonts w:ascii="Times New Roman" w:hAnsi="Times New Roman" w:cs="Times New Roman"/>
          <w:color w:val="000000" w:themeColor="text1"/>
          <w:sz w:val="24"/>
          <w:szCs w:val="24"/>
        </w:rPr>
        <w:t>Fried’s</w:t>
      </w:r>
      <w:proofErr w:type="spellEnd"/>
      <w:r w:rsidR="00290829" w:rsidRPr="00B45CCD">
        <w:rPr>
          <w:rFonts w:ascii="Times New Roman" w:hAnsi="Times New Roman" w:cs="Times New Roman"/>
          <w:color w:val="000000" w:themeColor="text1"/>
          <w:sz w:val="24"/>
          <w:szCs w:val="24"/>
        </w:rPr>
        <w:t xml:space="preserve"> criterion for exhaustion. An </w:t>
      </w:r>
      <w:r w:rsidR="00290829" w:rsidRPr="00B45CCD">
        <w:rPr>
          <w:rFonts w:ascii="Times New Roman" w:hAnsi="Times New Roman" w:cs="Times New Roman"/>
          <w:color w:val="000000" w:themeColor="text1"/>
          <w:sz w:val="24"/>
          <w:szCs w:val="24"/>
        </w:rPr>
        <w:lastRenderedPageBreak/>
        <w:t xml:space="preserve">important point of contrast between the two scales is that most of the WAI’s domains </w:t>
      </w:r>
      <w:r w:rsidR="00BD29B2" w:rsidRPr="00B45CCD">
        <w:rPr>
          <w:rFonts w:ascii="Times New Roman" w:hAnsi="Times New Roman" w:cs="Times New Roman"/>
          <w:color w:val="000000" w:themeColor="text1"/>
          <w:sz w:val="24"/>
          <w:szCs w:val="24"/>
        </w:rPr>
        <w:t>are intended for application</w:t>
      </w:r>
      <w:r w:rsidR="00D630B2" w:rsidRPr="00B45CCD">
        <w:rPr>
          <w:rFonts w:ascii="Times New Roman" w:hAnsi="Times New Roman" w:cs="Times New Roman"/>
          <w:color w:val="000000" w:themeColor="text1"/>
          <w:sz w:val="24"/>
          <w:szCs w:val="24"/>
        </w:rPr>
        <w:t xml:space="preserve"> </w:t>
      </w:r>
      <w:r w:rsidR="00290829" w:rsidRPr="00B45CCD">
        <w:rPr>
          <w:rFonts w:ascii="Times New Roman" w:hAnsi="Times New Roman" w:cs="Times New Roman"/>
          <w:color w:val="000000" w:themeColor="text1"/>
          <w:sz w:val="24"/>
          <w:szCs w:val="24"/>
        </w:rPr>
        <w:t xml:space="preserve">only </w:t>
      </w:r>
      <w:r w:rsidR="00BD29B2" w:rsidRPr="00B45CCD">
        <w:rPr>
          <w:rFonts w:ascii="Times New Roman" w:hAnsi="Times New Roman" w:cs="Times New Roman"/>
          <w:color w:val="000000" w:themeColor="text1"/>
          <w:sz w:val="24"/>
          <w:szCs w:val="24"/>
        </w:rPr>
        <w:t xml:space="preserve">in </w:t>
      </w:r>
      <w:r w:rsidR="00290829" w:rsidRPr="00B45CCD">
        <w:rPr>
          <w:rFonts w:ascii="Times New Roman" w:hAnsi="Times New Roman" w:cs="Times New Roman"/>
          <w:color w:val="000000" w:themeColor="text1"/>
          <w:sz w:val="24"/>
          <w:szCs w:val="24"/>
        </w:rPr>
        <w:t>those in work, whereas the Fried criteria can be used without such restriction; this in turn enabled us to treat several elements of WAI (work ability in relation to the physical and mental demands of the job, sick leave, impaired work productivity, expectations of future working) as adverse work outcomes (Tables 3-5), rather than as predictors of adverse work outcomes. The Fried criteria therefore offer a flexible alternative to WAI, capable of use against a number of additional economically important end-points.</w:t>
      </w:r>
    </w:p>
    <w:p w:rsidR="00290829" w:rsidRPr="00B45CCD" w:rsidRDefault="00290829" w:rsidP="00673730">
      <w:pPr>
        <w:rPr>
          <w:rFonts w:ascii="Times New Roman" w:hAnsi="Times New Roman" w:cs="Times New Roman"/>
          <w:color w:val="000000" w:themeColor="text1"/>
          <w:sz w:val="24"/>
          <w:szCs w:val="24"/>
        </w:rPr>
      </w:pPr>
    </w:p>
    <w:p w:rsidR="00673730" w:rsidRPr="00712C24" w:rsidRDefault="00A34D8D" w:rsidP="00673730">
      <w:pPr>
        <w:rPr>
          <w:rFonts w:ascii="Times New Roman" w:hAnsi="Times New Roman" w:cs="Times New Roman"/>
          <w:sz w:val="24"/>
          <w:szCs w:val="24"/>
        </w:rPr>
      </w:pPr>
      <w:r w:rsidRPr="00B45CCD">
        <w:rPr>
          <w:rFonts w:ascii="Times New Roman" w:hAnsi="Times New Roman" w:cs="Times New Roman"/>
          <w:color w:val="000000" w:themeColor="text1"/>
          <w:sz w:val="24"/>
          <w:szCs w:val="24"/>
        </w:rPr>
        <w:t>Associations</w:t>
      </w:r>
      <w:r w:rsidR="00290829" w:rsidRPr="00B45CCD">
        <w:rPr>
          <w:rFonts w:ascii="Times New Roman" w:hAnsi="Times New Roman" w:cs="Times New Roman"/>
          <w:color w:val="000000" w:themeColor="text1"/>
          <w:sz w:val="24"/>
          <w:szCs w:val="24"/>
        </w:rPr>
        <w:t xml:space="preserve"> between frailty and poor work outcomes</w:t>
      </w:r>
      <w:r w:rsidR="006A4901" w:rsidRPr="00B45CCD">
        <w:rPr>
          <w:rFonts w:ascii="Times New Roman" w:hAnsi="Times New Roman" w:cs="Times New Roman"/>
          <w:color w:val="000000" w:themeColor="text1"/>
          <w:sz w:val="24"/>
          <w:szCs w:val="24"/>
        </w:rPr>
        <w:t xml:space="preserve"> </w:t>
      </w:r>
      <w:r w:rsidR="008767A0" w:rsidRPr="00B45CCD">
        <w:rPr>
          <w:rFonts w:ascii="Times New Roman" w:hAnsi="Times New Roman" w:cs="Times New Roman"/>
          <w:color w:val="000000" w:themeColor="text1"/>
          <w:sz w:val="24"/>
          <w:szCs w:val="24"/>
        </w:rPr>
        <w:t>appeared to be driven principally by slow walking speed, weak grip strength and exhaustion, suggesting that poor motor function could be an important underlying factor</w:t>
      </w:r>
      <w:r w:rsidR="00290829" w:rsidRPr="00B45CCD">
        <w:rPr>
          <w:rFonts w:ascii="Times New Roman" w:hAnsi="Times New Roman" w:cs="Times New Roman"/>
          <w:color w:val="000000" w:themeColor="text1"/>
          <w:sz w:val="24"/>
          <w:szCs w:val="24"/>
        </w:rPr>
        <w:t xml:space="preserve"> (</w:t>
      </w:r>
      <w:r w:rsidR="00616993" w:rsidRPr="00B45CCD">
        <w:rPr>
          <w:rFonts w:ascii="Times New Roman" w:hAnsi="Times New Roman" w:cs="Times New Roman"/>
          <w:color w:val="000000" w:themeColor="text1"/>
          <w:sz w:val="24"/>
          <w:szCs w:val="24"/>
        </w:rPr>
        <w:t xml:space="preserve">as </w:t>
      </w:r>
      <w:r w:rsidR="00290829" w:rsidRPr="00B45CCD">
        <w:rPr>
          <w:rFonts w:ascii="Times New Roman" w:hAnsi="Times New Roman" w:cs="Times New Roman"/>
          <w:color w:val="000000" w:themeColor="text1"/>
          <w:sz w:val="24"/>
          <w:szCs w:val="24"/>
        </w:rPr>
        <w:t xml:space="preserve">perhaps </w:t>
      </w:r>
      <w:r w:rsidR="00616993" w:rsidRPr="00B45CCD">
        <w:rPr>
          <w:rFonts w:ascii="Times New Roman" w:hAnsi="Times New Roman" w:cs="Times New Roman"/>
          <w:color w:val="000000" w:themeColor="text1"/>
          <w:sz w:val="24"/>
          <w:szCs w:val="24"/>
        </w:rPr>
        <w:t>it may be</w:t>
      </w:r>
      <w:r w:rsidR="00290829" w:rsidRPr="00B45CCD">
        <w:rPr>
          <w:rFonts w:ascii="Times New Roman" w:hAnsi="Times New Roman" w:cs="Times New Roman"/>
          <w:color w:val="000000" w:themeColor="text1"/>
          <w:sz w:val="24"/>
          <w:szCs w:val="24"/>
        </w:rPr>
        <w:t xml:space="preserve"> for some people with </w:t>
      </w:r>
      <w:r w:rsidR="00616993" w:rsidRPr="00B45CCD">
        <w:rPr>
          <w:rFonts w:ascii="Times New Roman" w:hAnsi="Times New Roman" w:cs="Times New Roman"/>
          <w:color w:val="000000" w:themeColor="text1"/>
          <w:sz w:val="24"/>
          <w:szCs w:val="24"/>
        </w:rPr>
        <w:t xml:space="preserve">a </w:t>
      </w:r>
      <w:r w:rsidR="00290829" w:rsidRPr="00B45CCD">
        <w:rPr>
          <w:rFonts w:ascii="Times New Roman" w:hAnsi="Times New Roman" w:cs="Times New Roman"/>
          <w:color w:val="000000" w:themeColor="text1"/>
          <w:sz w:val="24"/>
          <w:szCs w:val="24"/>
        </w:rPr>
        <w:t xml:space="preserve">poor WAI </w:t>
      </w:r>
      <w:r w:rsidR="00616993" w:rsidRPr="00B45CCD">
        <w:rPr>
          <w:rFonts w:ascii="Times New Roman" w:hAnsi="Times New Roman" w:cs="Times New Roman"/>
          <w:color w:val="000000" w:themeColor="text1"/>
          <w:sz w:val="24"/>
          <w:szCs w:val="24"/>
        </w:rPr>
        <w:t>score</w:t>
      </w:r>
      <w:r w:rsidR="00290829" w:rsidRPr="00B45CCD">
        <w:rPr>
          <w:rFonts w:ascii="Times New Roman" w:hAnsi="Times New Roman" w:cs="Times New Roman"/>
          <w:color w:val="000000" w:themeColor="text1"/>
          <w:sz w:val="24"/>
          <w:szCs w:val="24"/>
        </w:rPr>
        <w:t>)</w:t>
      </w:r>
      <w:r w:rsidR="00533F41" w:rsidRPr="00B45CCD">
        <w:rPr>
          <w:rFonts w:ascii="Times New Roman" w:hAnsi="Times New Roman" w:cs="Times New Roman"/>
          <w:color w:val="000000" w:themeColor="text1"/>
          <w:sz w:val="24"/>
          <w:szCs w:val="24"/>
        </w:rPr>
        <w:t>;</w:t>
      </w:r>
      <w:r w:rsidR="008767A0" w:rsidRPr="00B45CCD">
        <w:rPr>
          <w:rFonts w:ascii="Times New Roman" w:hAnsi="Times New Roman" w:cs="Times New Roman"/>
          <w:color w:val="000000" w:themeColor="text1"/>
          <w:sz w:val="24"/>
          <w:szCs w:val="24"/>
        </w:rPr>
        <w:t xml:space="preserve"> and if so, that</w:t>
      </w:r>
      <w:r w:rsidR="00673730" w:rsidRPr="00B45CCD">
        <w:rPr>
          <w:rFonts w:ascii="Times New Roman" w:hAnsi="Times New Roman" w:cs="Times New Roman"/>
          <w:color w:val="000000" w:themeColor="text1"/>
          <w:sz w:val="24"/>
          <w:szCs w:val="24"/>
        </w:rPr>
        <w:t xml:space="preserve"> future</w:t>
      </w:r>
      <w:r w:rsidR="008767A0" w:rsidRPr="00B45CCD">
        <w:rPr>
          <w:rFonts w:ascii="Times New Roman" w:hAnsi="Times New Roman" w:cs="Times New Roman"/>
          <w:color w:val="000000" w:themeColor="text1"/>
          <w:sz w:val="24"/>
          <w:szCs w:val="24"/>
        </w:rPr>
        <w:t xml:space="preserve"> interventions might focus on </w:t>
      </w:r>
      <w:r w:rsidR="00725BD2" w:rsidRPr="00B45CCD">
        <w:rPr>
          <w:rFonts w:ascii="Times New Roman" w:hAnsi="Times New Roman" w:cs="Times New Roman"/>
          <w:color w:val="000000" w:themeColor="text1"/>
          <w:sz w:val="24"/>
          <w:szCs w:val="24"/>
        </w:rPr>
        <w:t>improving motor function</w:t>
      </w:r>
      <w:r w:rsidR="008767A0" w:rsidRPr="00B45CCD">
        <w:rPr>
          <w:rFonts w:ascii="Times New Roman" w:hAnsi="Times New Roman" w:cs="Times New Roman"/>
          <w:color w:val="000000" w:themeColor="text1"/>
          <w:sz w:val="24"/>
          <w:szCs w:val="24"/>
        </w:rPr>
        <w:t xml:space="preserve">. </w:t>
      </w:r>
      <w:r w:rsidR="0059005E" w:rsidRPr="00712C24">
        <w:rPr>
          <w:rFonts w:ascii="Times New Roman" w:hAnsi="Times New Roman" w:cs="Times New Roman"/>
          <w:sz w:val="24"/>
          <w:szCs w:val="24"/>
        </w:rPr>
        <w:t xml:space="preserve">It might be supposed that heavy manual work </w:t>
      </w:r>
      <w:r w:rsidR="00673730" w:rsidRPr="00712C24">
        <w:rPr>
          <w:rFonts w:ascii="Times New Roman" w:hAnsi="Times New Roman" w:cs="Times New Roman"/>
          <w:sz w:val="24"/>
          <w:szCs w:val="24"/>
        </w:rPr>
        <w:t>would</w:t>
      </w:r>
      <w:r w:rsidR="0059005E" w:rsidRPr="00712C24">
        <w:rPr>
          <w:rFonts w:ascii="Times New Roman" w:hAnsi="Times New Roman" w:cs="Times New Roman"/>
          <w:sz w:val="24"/>
          <w:szCs w:val="24"/>
        </w:rPr>
        <w:t xml:space="preserve"> </w:t>
      </w:r>
      <w:r w:rsidR="00C61C1C" w:rsidRPr="00712C24">
        <w:rPr>
          <w:rFonts w:ascii="Times New Roman" w:hAnsi="Times New Roman" w:cs="Times New Roman"/>
          <w:sz w:val="24"/>
          <w:szCs w:val="24"/>
        </w:rPr>
        <w:t xml:space="preserve">help to </w:t>
      </w:r>
      <w:r w:rsidR="0059005E" w:rsidRPr="00712C24">
        <w:rPr>
          <w:rFonts w:ascii="Times New Roman" w:hAnsi="Times New Roman" w:cs="Times New Roman"/>
          <w:sz w:val="24"/>
          <w:szCs w:val="24"/>
        </w:rPr>
        <w:t>build and preserve physical strength, but</w:t>
      </w:r>
      <w:r w:rsidR="00C61C1C" w:rsidRPr="00712C24">
        <w:rPr>
          <w:rFonts w:ascii="Times New Roman" w:hAnsi="Times New Roman" w:cs="Times New Roman"/>
          <w:sz w:val="24"/>
          <w:szCs w:val="24"/>
        </w:rPr>
        <w:t xml:space="preserve"> paradoxically,</w:t>
      </w:r>
      <w:r w:rsidR="0059005E" w:rsidRPr="00712C24">
        <w:rPr>
          <w:rFonts w:ascii="Times New Roman" w:hAnsi="Times New Roman" w:cs="Times New Roman"/>
          <w:sz w:val="24"/>
          <w:szCs w:val="24"/>
        </w:rPr>
        <w:t xml:space="preserve"> </w:t>
      </w:r>
      <w:r w:rsidR="00673730" w:rsidRPr="00712C24">
        <w:rPr>
          <w:rFonts w:ascii="Times New Roman" w:hAnsi="Times New Roman" w:cs="Times New Roman"/>
          <w:sz w:val="24"/>
          <w:szCs w:val="24"/>
        </w:rPr>
        <w:t xml:space="preserve">for measured hand grip strength, </w:t>
      </w:r>
      <w:r w:rsidR="0059005E" w:rsidRPr="00712C24">
        <w:rPr>
          <w:rFonts w:ascii="Times New Roman" w:hAnsi="Times New Roman" w:cs="Times New Roman"/>
          <w:sz w:val="24"/>
          <w:szCs w:val="24"/>
        </w:rPr>
        <w:t>there is evidence to the contrary [</w:t>
      </w:r>
      <w:r w:rsidR="00616993">
        <w:rPr>
          <w:rFonts w:ascii="Times New Roman" w:hAnsi="Times New Roman" w:cs="Times New Roman"/>
          <w:sz w:val="24"/>
          <w:szCs w:val="24"/>
        </w:rPr>
        <w:t>19,20</w:t>
      </w:r>
      <w:r w:rsidR="0059005E" w:rsidRPr="00712C24">
        <w:rPr>
          <w:rFonts w:ascii="Times New Roman" w:hAnsi="Times New Roman" w:cs="Times New Roman"/>
          <w:sz w:val="24"/>
          <w:szCs w:val="24"/>
        </w:rPr>
        <w:t xml:space="preserve">], </w:t>
      </w:r>
      <w:r w:rsidR="00C61C1C" w:rsidRPr="00712C24">
        <w:rPr>
          <w:rFonts w:ascii="Times New Roman" w:hAnsi="Times New Roman" w:cs="Times New Roman"/>
          <w:sz w:val="24"/>
          <w:szCs w:val="24"/>
        </w:rPr>
        <w:t xml:space="preserve">perhaps </w:t>
      </w:r>
      <w:r w:rsidR="00673730" w:rsidRPr="00712C24">
        <w:rPr>
          <w:rFonts w:ascii="Times New Roman" w:hAnsi="Times New Roman" w:cs="Times New Roman"/>
          <w:sz w:val="24"/>
          <w:szCs w:val="24"/>
        </w:rPr>
        <w:t>reflecting</w:t>
      </w:r>
      <w:r w:rsidR="00C61C1C" w:rsidRPr="00712C24">
        <w:rPr>
          <w:rFonts w:ascii="Times New Roman" w:hAnsi="Times New Roman" w:cs="Times New Roman"/>
          <w:sz w:val="24"/>
          <w:szCs w:val="24"/>
        </w:rPr>
        <w:t xml:space="preserve"> </w:t>
      </w:r>
      <w:r w:rsidR="0059005E" w:rsidRPr="00712C24">
        <w:rPr>
          <w:rFonts w:ascii="Times New Roman" w:hAnsi="Times New Roman" w:cs="Times New Roman"/>
          <w:sz w:val="24"/>
          <w:szCs w:val="24"/>
        </w:rPr>
        <w:t>social inequalities in health that outweigh any advantages of physical</w:t>
      </w:r>
      <w:r w:rsidR="00C61C1C" w:rsidRPr="00712C24">
        <w:rPr>
          <w:rFonts w:ascii="Times New Roman" w:hAnsi="Times New Roman" w:cs="Times New Roman"/>
          <w:sz w:val="24"/>
          <w:szCs w:val="24"/>
        </w:rPr>
        <w:t xml:space="preserve"> effort at</w:t>
      </w:r>
      <w:r w:rsidR="0059005E" w:rsidRPr="00712C24">
        <w:rPr>
          <w:rFonts w:ascii="Times New Roman" w:hAnsi="Times New Roman" w:cs="Times New Roman"/>
          <w:sz w:val="24"/>
          <w:szCs w:val="24"/>
        </w:rPr>
        <w:t xml:space="preserve"> work</w:t>
      </w:r>
      <w:r w:rsidR="00616993">
        <w:rPr>
          <w:rFonts w:ascii="Times New Roman" w:hAnsi="Times New Roman" w:cs="Times New Roman"/>
          <w:sz w:val="24"/>
          <w:szCs w:val="24"/>
        </w:rPr>
        <w:t xml:space="preserve"> [20</w:t>
      </w:r>
      <w:r w:rsidR="00673730" w:rsidRPr="00712C24">
        <w:rPr>
          <w:rFonts w:ascii="Times New Roman" w:hAnsi="Times New Roman" w:cs="Times New Roman"/>
          <w:sz w:val="24"/>
          <w:szCs w:val="24"/>
        </w:rPr>
        <w:t>]</w:t>
      </w:r>
      <w:r w:rsidR="00C61C1C" w:rsidRPr="00712C24">
        <w:rPr>
          <w:rFonts w:ascii="Times New Roman" w:hAnsi="Times New Roman" w:cs="Times New Roman"/>
          <w:sz w:val="24"/>
          <w:szCs w:val="24"/>
        </w:rPr>
        <w:t>. In th</w:t>
      </w:r>
      <w:r w:rsidR="00673730" w:rsidRPr="00712C24">
        <w:rPr>
          <w:rFonts w:ascii="Times New Roman" w:hAnsi="Times New Roman" w:cs="Times New Roman"/>
          <w:sz w:val="24"/>
          <w:szCs w:val="24"/>
        </w:rPr>
        <w:t>e current</w:t>
      </w:r>
      <w:r w:rsidR="00C61C1C" w:rsidRPr="00712C24">
        <w:rPr>
          <w:rFonts w:ascii="Times New Roman" w:hAnsi="Times New Roman" w:cs="Times New Roman"/>
          <w:sz w:val="24"/>
          <w:szCs w:val="24"/>
        </w:rPr>
        <w:t xml:space="preserve"> analysis</w:t>
      </w:r>
      <w:r w:rsidR="00673730" w:rsidRPr="00712C24">
        <w:rPr>
          <w:rFonts w:ascii="Times New Roman" w:hAnsi="Times New Roman" w:cs="Times New Roman"/>
          <w:sz w:val="24"/>
          <w:szCs w:val="24"/>
        </w:rPr>
        <w:t>,</w:t>
      </w:r>
      <w:r w:rsidR="00C61C1C" w:rsidRPr="00712C24">
        <w:rPr>
          <w:rFonts w:ascii="Times New Roman" w:hAnsi="Times New Roman" w:cs="Times New Roman"/>
          <w:sz w:val="24"/>
          <w:szCs w:val="24"/>
        </w:rPr>
        <w:t xml:space="preserve"> associations with not being in work, taking sick leave and not coping</w:t>
      </w:r>
      <w:r w:rsidR="0059005E" w:rsidRPr="00712C24">
        <w:rPr>
          <w:rFonts w:ascii="Times New Roman" w:hAnsi="Times New Roman" w:cs="Times New Roman"/>
          <w:sz w:val="24"/>
          <w:szCs w:val="24"/>
        </w:rPr>
        <w:t xml:space="preserve"> </w:t>
      </w:r>
      <w:r w:rsidR="00C61C1C" w:rsidRPr="00712C24">
        <w:rPr>
          <w:rFonts w:ascii="Times New Roman" w:hAnsi="Times New Roman" w:cs="Times New Roman"/>
          <w:sz w:val="24"/>
          <w:szCs w:val="24"/>
        </w:rPr>
        <w:t>were strongest in manual/routine occupations</w:t>
      </w:r>
      <w:r w:rsidR="00673730" w:rsidRPr="00712C24">
        <w:rPr>
          <w:rFonts w:ascii="Times New Roman" w:hAnsi="Times New Roman" w:cs="Times New Roman"/>
          <w:sz w:val="24"/>
          <w:szCs w:val="24"/>
        </w:rPr>
        <w:t xml:space="preserve">. </w:t>
      </w:r>
      <w:r w:rsidR="00C61C1C" w:rsidRPr="00712C24">
        <w:rPr>
          <w:rFonts w:ascii="Times New Roman" w:hAnsi="Times New Roman" w:cs="Times New Roman"/>
          <w:sz w:val="24"/>
          <w:szCs w:val="24"/>
        </w:rPr>
        <w:t xml:space="preserve"> </w:t>
      </w:r>
      <w:r w:rsidR="00673730" w:rsidRPr="00712C24">
        <w:rPr>
          <w:rFonts w:ascii="Times New Roman" w:hAnsi="Times New Roman" w:cs="Times New Roman"/>
          <w:sz w:val="24"/>
          <w:szCs w:val="24"/>
        </w:rPr>
        <w:t>This differential could arise</w:t>
      </w:r>
      <w:r w:rsidR="00C61C1C" w:rsidRPr="00712C24">
        <w:rPr>
          <w:rFonts w:ascii="Times New Roman" w:hAnsi="Times New Roman" w:cs="Times New Roman"/>
          <w:sz w:val="24"/>
          <w:szCs w:val="24"/>
        </w:rPr>
        <w:t xml:space="preserve"> </w:t>
      </w:r>
      <w:r w:rsidR="00673730" w:rsidRPr="00712C24">
        <w:rPr>
          <w:rFonts w:ascii="Times New Roman" w:hAnsi="Times New Roman" w:cs="Times New Roman"/>
          <w:sz w:val="24"/>
          <w:szCs w:val="24"/>
        </w:rPr>
        <w:t>because of their generally</w:t>
      </w:r>
      <w:r w:rsidR="00C61C1C" w:rsidRPr="00712C24">
        <w:rPr>
          <w:rFonts w:ascii="Times New Roman" w:hAnsi="Times New Roman" w:cs="Times New Roman"/>
          <w:sz w:val="24"/>
          <w:szCs w:val="24"/>
        </w:rPr>
        <w:t xml:space="preserve"> poorer physical health or</w:t>
      </w:r>
      <w:r w:rsidR="00673730" w:rsidRPr="00712C24">
        <w:rPr>
          <w:rFonts w:ascii="Times New Roman" w:hAnsi="Times New Roman" w:cs="Times New Roman"/>
          <w:sz w:val="24"/>
          <w:szCs w:val="24"/>
        </w:rPr>
        <w:t>,</w:t>
      </w:r>
      <w:r w:rsidR="00C61C1C" w:rsidRPr="00712C24">
        <w:rPr>
          <w:rFonts w:ascii="Times New Roman" w:hAnsi="Times New Roman" w:cs="Times New Roman"/>
          <w:sz w:val="24"/>
          <w:szCs w:val="24"/>
        </w:rPr>
        <w:t xml:space="preserve"> more simply</w:t>
      </w:r>
      <w:r w:rsidR="00673730" w:rsidRPr="00712C24">
        <w:rPr>
          <w:rFonts w:ascii="Times New Roman" w:hAnsi="Times New Roman" w:cs="Times New Roman"/>
          <w:sz w:val="24"/>
          <w:szCs w:val="24"/>
        </w:rPr>
        <w:t>,</w:t>
      </w:r>
      <w:r w:rsidR="00C61C1C" w:rsidRPr="00712C24">
        <w:rPr>
          <w:rFonts w:ascii="Times New Roman" w:hAnsi="Times New Roman" w:cs="Times New Roman"/>
          <w:sz w:val="24"/>
          <w:szCs w:val="24"/>
        </w:rPr>
        <w:t xml:space="preserve"> a greater mismatch between</w:t>
      </w:r>
      <w:r w:rsidR="00673730" w:rsidRPr="00712C24">
        <w:rPr>
          <w:rFonts w:ascii="Times New Roman" w:hAnsi="Times New Roman" w:cs="Times New Roman"/>
          <w:sz w:val="24"/>
          <w:szCs w:val="24"/>
        </w:rPr>
        <w:t xml:space="preserve"> </w:t>
      </w:r>
      <w:r w:rsidR="00C61C1C" w:rsidRPr="00712C24">
        <w:rPr>
          <w:rFonts w:ascii="Times New Roman" w:hAnsi="Times New Roman" w:cs="Times New Roman"/>
          <w:sz w:val="24"/>
          <w:szCs w:val="24"/>
        </w:rPr>
        <w:t>physical</w:t>
      </w:r>
      <w:r w:rsidR="00673730" w:rsidRPr="00712C24">
        <w:rPr>
          <w:rFonts w:ascii="Times New Roman" w:hAnsi="Times New Roman" w:cs="Times New Roman"/>
          <w:sz w:val="24"/>
          <w:szCs w:val="24"/>
        </w:rPr>
        <w:t xml:space="preserve"> capability</w:t>
      </w:r>
      <w:r w:rsidR="00C61C1C" w:rsidRPr="00712C24">
        <w:rPr>
          <w:rFonts w:ascii="Times New Roman" w:hAnsi="Times New Roman" w:cs="Times New Roman"/>
          <w:sz w:val="24"/>
          <w:szCs w:val="24"/>
        </w:rPr>
        <w:t xml:space="preserve"> </w:t>
      </w:r>
      <w:r w:rsidR="00673730" w:rsidRPr="00712C24">
        <w:rPr>
          <w:rFonts w:ascii="Times New Roman" w:hAnsi="Times New Roman" w:cs="Times New Roman"/>
          <w:sz w:val="24"/>
          <w:szCs w:val="24"/>
        </w:rPr>
        <w:t>and job demands – the ability of manual workers to carry out their jobs being more likely to be compromised by a given impairment of physical function</w:t>
      </w:r>
      <w:r w:rsidR="00C61C1C" w:rsidRPr="00712C24">
        <w:rPr>
          <w:rFonts w:ascii="Times New Roman" w:hAnsi="Times New Roman" w:cs="Times New Roman"/>
          <w:sz w:val="24"/>
          <w:szCs w:val="24"/>
        </w:rPr>
        <w:t>.</w:t>
      </w:r>
      <w:r w:rsidR="00673730" w:rsidRPr="00712C24">
        <w:rPr>
          <w:rFonts w:ascii="Times New Roman" w:hAnsi="Times New Roman" w:cs="Times New Roman"/>
          <w:sz w:val="24"/>
          <w:szCs w:val="24"/>
        </w:rPr>
        <w:t xml:space="preserve"> </w:t>
      </w:r>
    </w:p>
    <w:p w:rsidR="00C61C1C" w:rsidRPr="00712C24" w:rsidRDefault="00C61C1C" w:rsidP="00533F41">
      <w:pPr>
        <w:rPr>
          <w:rFonts w:ascii="Times New Roman" w:hAnsi="Times New Roman" w:cs="Times New Roman"/>
          <w:sz w:val="24"/>
          <w:szCs w:val="24"/>
        </w:rPr>
      </w:pPr>
    </w:p>
    <w:p w:rsidR="006A4901"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t xml:space="preserve">Because our analysis was cross-sectional, interpretation of </w:t>
      </w:r>
      <w:r w:rsidR="00BB6631" w:rsidRPr="00712C24">
        <w:rPr>
          <w:rFonts w:ascii="Times New Roman" w:hAnsi="Times New Roman" w:cs="Times New Roman"/>
          <w:sz w:val="24"/>
          <w:szCs w:val="24"/>
        </w:rPr>
        <w:t>the associations</w:t>
      </w:r>
      <w:r w:rsidRPr="00712C24">
        <w:rPr>
          <w:rFonts w:ascii="Times New Roman" w:hAnsi="Times New Roman" w:cs="Times New Roman"/>
          <w:sz w:val="24"/>
          <w:szCs w:val="24"/>
        </w:rPr>
        <w:t xml:space="preserve"> is necessarily limited</w:t>
      </w:r>
      <w:r w:rsidR="00BB6631" w:rsidRPr="00712C24">
        <w:rPr>
          <w:rFonts w:ascii="Times New Roman" w:hAnsi="Times New Roman" w:cs="Times New Roman"/>
          <w:sz w:val="24"/>
          <w:szCs w:val="24"/>
        </w:rPr>
        <w:t>, particularly as all of the data were self-reported</w:t>
      </w:r>
      <w:r w:rsidRPr="00712C24">
        <w:rPr>
          <w:rFonts w:ascii="Times New Roman" w:hAnsi="Times New Roman" w:cs="Times New Roman"/>
          <w:sz w:val="24"/>
          <w:szCs w:val="24"/>
        </w:rPr>
        <w:t>. However, the HEAF study includes a prospective component, and it has the capacity to link questionnaire responses with personal primary care medical records providing details of medical diagnoses, hospital care and prescribed treatments.  In future, therefore, we plan to assess longitudinal relationships between frailty</w:t>
      </w:r>
      <w:r w:rsidR="00BB6631" w:rsidRPr="00712C24">
        <w:rPr>
          <w:rFonts w:ascii="Times New Roman" w:hAnsi="Times New Roman" w:cs="Times New Roman"/>
          <w:sz w:val="24"/>
          <w:szCs w:val="24"/>
        </w:rPr>
        <w:t xml:space="preserve"> elements</w:t>
      </w:r>
      <w:r w:rsidRPr="00712C24">
        <w:rPr>
          <w:rFonts w:ascii="Times New Roman" w:hAnsi="Times New Roman" w:cs="Times New Roman"/>
          <w:sz w:val="24"/>
          <w:szCs w:val="24"/>
        </w:rPr>
        <w:t xml:space="preserve"> in middle life and medically-recorded health and health change, and between frailty and changes in employment status. We </w:t>
      </w:r>
      <w:r w:rsidR="00BB6631" w:rsidRPr="00712C24">
        <w:rPr>
          <w:rFonts w:ascii="Times New Roman" w:hAnsi="Times New Roman" w:cs="Times New Roman"/>
          <w:sz w:val="24"/>
          <w:szCs w:val="24"/>
        </w:rPr>
        <w:t>hope also</w:t>
      </w:r>
      <w:r w:rsidRPr="00712C24">
        <w:rPr>
          <w:rFonts w:ascii="Times New Roman" w:hAnsi="Times New Roman" w:cs="Times New Roman"/>
          <w:sz w:val="24"/>
          <w:szCs w:val="24"/>
        </w:rPr>
        <w:t xml:space="preserve"> to assess physical function in face to face interviews. Opportunity exists, therefore, to characterise </w:t>
      </w:r>
      <w:r w:rsidR="00BB6631" w:rsidRPr="00712C24">
        <w:rPr>
          <w:rFonts w:ascii="Times New Roman" w:hAnsi="Times New Roman" w:cs="Times New Roman"/>
          <w:sz w:val="24"/>
          <w:szCs w:val="24"/>
        </w:rPr>
        <w:t xml:space="preserve">people with multiple Fried symptoms </w:t>
      </w:r>
      <w:r w:rsidRPr="00712C24">
        <w:rPr>
          <w:rFonts w:ascii="Times New Roman" w:hAnsi="Times New Roman" w:cs="Times New Roman"/>
          <w:sz w:val="24"/>
          <w:szCs w:val="24"/>
        </w:rPr>
        <w:t xml:space="preserve">in our study in greater clinical detail and to follow their progress over time. </w:t>
      </w:r>
    </w:p>
    <w:p w:rsidR="006A4901" w:rsidRPr="00712C24" w:rsidRDefault="006A4901" w:rsidP="006A4901">
      <w:pPr>
        <w:rPr>
          <w:rFonts w:ascii="Times New Roman" w:hAnsi="Times New Roman" w:cs="Times New Roman"/>
          <w:sz w:val="24"/>
          <w:szCs w:val="24"/>
        </w:rPr>
      </w:pPr>
    </w:p>
    <w:p w:rsidR="00BB6631" w:rsidRPr="00712C24" w:rsidRDefault="00BB6631" w:rsidP="00BB6631">
      <w:pPr>
        <w:rPr>
          <w:rFonts w:ascii="Times New Roman" w:hAnsi="Times New Roman" w:cs="Times New Roman"/>
          <w:sz w:val="24"/>
          <w:szCs w:val="24"/>
        </w:rPr>
      </w:pPr>
      <w:r w:rsidRPr="00712C24">
        <w:rPr>
          <w:rFonts w:ascii="Times New Roman" w:hAnsi="Times New Roman" w:cs="Times New Roman"/>
          <w:sz w:val="24"/>
          <w:szCs w:val="24"/>
        </w:rPr>
        <w:lastRenderedPageBreak/>
        <w:t xml:space="preserve">A future goal may be to develop simple screening tests to identify </w:t>
      </w:r>
      <w:r w:rsidR="00D202A7" w:rsidRPr="00712C24">
        <w:rPr>
          <w:rFonts w:ascii="Times New Roman" w:hAnsi="Times New Roman" w:cs="Times New Roman"/>
          <w:sz w:val="24"/>
          <w:szCs w:val="24"/>
        </w:rPr>
        <w:t xml:space="preserve">components of physical </w:t>
      </w:r>
      <w:r w:rsidRPr="00712C24">
        <w:rPr>
          <w:rFonts w:ascii="Times New Roman" w:hAnsi="Times New Roman" w:cs="Times New Roman"/>
          <w:sz w:val="24"/>
          <w:szCs w:val="24"/>
        </w:rPr>
        <w:t xml:space="preserve">frailty in older workers and then to devise interventions that could improve their physical function. A screening tool becomes particularly attractive if it is positive in only a small proportion of the population but accounts for a substantial proportion of that population’s adverse outcomes: in this respect, the findings reported here (the low prevalence of </w:t>
      </w:r>
      <w:r w:rsidRPr="00712C24">
        <w:rPr>
          <w:rFonts w:ascii="Times New Roman" w:hAnsi="Times New Roman" w:cs="Times New Roman"/>
          <w:sz w:val="24"/>
          <w:szCs w:val="24"/>
          <w:u w:val="single"/>
        </w:rPr>
        <w:t>&gt;</w:t>
      </w:r>
      <w:r w:rsidRPr="00712C24">
        <w:rPr>
          <w:rFonts w:ascii="Times New Roman" w:hAnsi="Times New Roman" w:cs="Times New Roman"/>
          <w:sz w:val="24"/>
          <w:szCs w:val="24"/>
        </w:rPr>
        <w:t>3 frailty symptoms but their high associated PAF) encourage us to explore this issue further in future research</w:t>
      </w:r>
      <w:r w:rsidR="0061058C">
        <w:rPr>
          <w:rFonts w:ascii="Times New Roman" w:hAnsi="Times New Roman" w:cs="Times New Roman"/>
          <w:sz w:val="24"/>
          <w:szCs w:val="24"/>
        </w:rPr>
        <w:t xml:space="preserve">, especially </w:t>
      </w:r>
      <w:r w:rsidR="00E14A2C">
        <w:rPr>
          <w:rFonts w:ascii="Times New Roman" w:hAnsi="Times New Roman" w:cs="Times New Roman"/>
          <w:sz w:val="24"/>
          <w:szCs w:val="24"/>
        </w:rPr>
        <w:t>as</w:t>
      </w:r>
      <w:r w:rsidR="0061058C">
        <w:rPr>
          <w:rFonts w:ascii="Times New Roman" w:hAnsi="Times New Roman" w:cs="Times New Roman"/>
          <w:sz w:val="24"/>
          <w:szCs w:val="24"/>
        </w:rPr>
        <w:t xml:space="preserve"> interventions to combat frailty in the elderly have enjoyed some success [8-10]</w:t>
      </w:r>
      <w:r w:rsidRPr="00712C24">
        <w:rPr>
          <w:rFonts w:ascii="Times New Roman" w:hAnsi="Times New Roman" w:cs="Times New Roman"/>
          <w:sz w:val="24"/>
          <w:szCs w:val="24"/>
        </w:rPr>
        <w:t>.</w:t>
      </w:r>
    </w:p>
    <w:p w:rsidR="00BB6631" w:rsidRPr="00712C24" w:rsidRDefault="00BB6631" w:rsidP="006A4901">
      <w:pPr>
        <w:rPr>
          <w:rFonts w:ascii="Times New Roman" w:hAnsi="Times New Roman" w:cs="Times New Roman"/>
          <w:sz w:val="24"/>
          <w:szCs w:val="24"/>
        </w:rPr>
      </w:pPr>
    </w:p>
    <w:p w:rsidR="006A4901" w:rsidRPr="00712C24" w:rsidRDefault="006A4901" w:rsidP="006A4901">
      <w:pPr>
        <w:rPr>
          <w:rFonts w:ascii="Times New Roman" w:hAnsi="Times New Roman" w:cs="Times New Roman"/>
          <w:b/>
          <w:sz w:val="24"/>
          <w:szCs w:val="24"/>
        </w:rPr>
      </w:pPr>
    </w:p>
    <w:p w:rsidR="006A4901" w:rsidRPr="00712C24" w:rsidRDefault="006A4901" w:rsidP="006A4901">
      <w:pPr>
        <w:rPr>
          <w:rFonts w:ascii="Times New Roman" w:hAnsi="Times New Roman" w:cs="Times New Roman"/>
          <w:b/>
          <w:sz w:val="24"/>
          <w:szCs w:val="24"/>
        </w:rPr>
      </w:pPr>
      <w:r w:rsidRPr="00712C24">
        <w:rPr>
          <w:rFonts w:ascii="Times New Roman" w:hAnsi="Times New Roman" w:cs="Times New Roman"/>
          <w:b/>
          <w:sz w:val="24"/>
          <w:szCs w:val="24"/>
        </w:rPr>
        <w:t>Funding</w:t>
      </w:r>
    </w:p>
    <w:p w:rsidR="006A4901"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t>This work was supported by Arthritis Research UK (grant numbers</w:t>
      </w:r>
      <w:r w:rsidRPr="00712C24">
        <w:t xml:space="preserve"> </w:t>
      </w:r>
      <w:r w:rsidRPr="00712C24">
        <w:rPr>
          <w:rFonts w:ascii="Times New Roman" w:hAnsi="Times New Roman" w:cs="Times New Roman"/>
          <w:sz w:val="24"/>
          <w:szCs w:val="24"/>
        </w:rPr>
        <w:t>ARC 19817, ARUK 20665); the Medical Research Council and the Economic and Social Research Council jointly (grant number ES/L002663/1); and a Medical Research Council programme grant (number MRC_MC_UP_A620_1018).</w:t>
      </w:r>
    </w:p>
    <w:p w:rsidR="006A4901" w:rsidRPr="00712C24" w:rsidRDefault="006A4901" w:rsidP="006A4901">
      <w:pPr>
        <w:rPr>
          <w:rFonts w:ascii="Times New Roman" w:hAnsi="Times New Roman" w:cs="Times New Roman"/>
          <w:sz w:val="24"/>
          <w:szCs w:val="24"/>
        </w:rPr>
      </w:pPr>
    </w:p>
    <w:p w:rsidR="006A4901" w:rsidRPr="00712C24" w:rsidRDefault="006A4901" w:rsidP="006A4901">
      <w:pPr>
        <w:rPr>
          <w:rFonts w:ascii="Times New Roman" w:hAnsi="Times New Roman" w:cs="Times New Roman"/>
          <w:b/>
          <w:sz w:val="24"/>
          <w:szCs w:val="24"/>
        </w:rPr>
      </w:pPr>
      <w:r w:rsidRPr="00712C24">
        <w:rPr>
          <w:rFonts w:ascii="Times New Roman" w:hAnsi="Times New Roman" w:cs="Times New Roman"/>
          <w:b/>
          <w:sz w:val="24"/>
          <w:szCs w:val="24"/>
        </w:rPr>
        <w:t xml:space="preserve">Acknowledgements </w:t>
      </w:r>
    </w:p>
    <w:p w:rsidR="006A4901" w:rsidRPr="00712C24" w:rsidRDefault="006A4901" w:rsidP="006A4901">
      <w:pPr>
        <w:jc w:val="both"/>
        <w:rPr>
          <w:rFonts w:ascii="Times New Roman" w:hAnsi="Times New Roman" w:cs="Times New Roman"/>
          <w:sz w:val="24"/>
          <w:szCs w:val="24"/>
        </w:rPr>
      </w:pPr>
      <w:r w:rsidRPr="00712C24">
        <w:rPr>
          <w:rFonts w:ascii="Times New Roman" w:hAnsi="Times New Roman" w:cs="Times New Roman"/>
          <w:sz w:val="24"/>
          <w:szCs w:val="24"/>
        </w:rPr>
        <w:t xml:space="preserve">We wish to thank the CPRD and the 24 general practices that have supported data collection; also, the staff of the MRC LEU who provided invaluable support with data entry and computing, especially Helena </w:t>
      </w:r>
      <w:proofErr w:type="spellStart"/>
      <w:r w:rsidRPr="00712C24">
        <w:rPr>
          <w:rFonts w:ascii="Times New Roman" w:hAnsi="Times New Roman" w:cs="Times New Roman"/>
          <w:sz w:val="24"/>
          <w:szCs w:val="24"/>
        </w:rPr>
        <w:t>Demetriou</w:t>
      </w:r>
      <w:proofErr w:type="spellEnd"/>
      <w:r w:rsidRPr="00712C24">
        <w:rPr>
          <w:rFonts w:ascii="Times New Roman" w:hAnsi="Times New Roman" w:cs="Times New Roman"/>
          <w:sz w:val="24"/>
          <w:szCs w:val="24"/>
        </w:rPr>
        <w:t xml:space="preserve"> and Vanessa Cox. </w:t>
      </w:r>
    </w:p>
    <w:p w:rsidR="006A4901" w:rsidRPr="00712C24" w:rsidRDefault="006A4901" w:rsidP="006A4901">
      <w:pPr>
        <w:jc w:val="both"/>
        <w:rPr>
          <w:rFonts w:ascii="Times New Roman" w:hAnsi="Times New Roman" w:cs="Times New Roman"/>
          <w:sz w:val="24"/>
          <w:szCs w:val="24"/>
        </w:rPr>
      </w:pPr>
    </w:p>
    <w:p w:rsidR="006A4901" w:rsidRPr="00712C24" w:rsidRDefault="006A4901" w:rsidP="006A4901">
      <w:pPr>
        <w:jc w:val="both"/>
        <w:rPr>
          <w:rFonts w:ascii="Times New Roman" w:hAnsi="Times New Roman" w:cs="Times New Roman"/>
          <w:b/>
          <w:sz w:val="24"/>
          <w:szCs w:val="24"/>
        </w:rPr>
      </w:pPr>
      <w:r w:rsidRPr="00712C24">
        <w:rPr>
          <w:rFonts w:ascii="Times New Roman" w:hAnsi="Times New Roman" w:cs="Times New Roman"/>
          <w:b/>
          <w:sz w:val="24"/>
          <w:szCs w:val="24"/>
        </w:rPr>
        <w:t>Competing interests</w:t>
      </w:r>
    </w:p>
    <w:p w:rsidR="002947FB" w:rsidRPr="00712C24" w:rsidRDefault="002947FB" w:rsidP="002947FB">
      <w:pPr>
        <w:rPr>
          <w:rFonts w:ascii="Times New Roman" w:hAnsi="Times New Roman" w:cs="Times New Roman"/>
          <w:sz w:val="24"/>
          <w:szCs w:val="24"/>
        </w:rPr>
      </w:pPr>
      <w:r w:rsidRPr="00712C24">
        <w:rPr>
          <w:rFonts w:ascii="Times New Roman" w:hAnsi="Times New Roman" w:cs="Times New Roman"/>
          <w:sz w:val="24"/>
          <w:szCs w:val="24"/>
        </w:rPr>
        <w:t xml:space="preserve">CC has received consultancy and honoraria from Alliance for Better Bone Health, Amgen, Eli Lilly, GSK, Medtronic, Merck, Novartis, Pfizer, Roche, </w:t>
      </w:r>
      <w:proofErr w:type="spellStart"/>
      <w:r w:rsidRPr="00712C24">
        <w:rPr>
          <w:rFonts w:ascii="Times New Roman" w:hAnsi="Times New Roman" w:cs="Times New Roman"/>
          <w:sz w:val="24"/>
          <w:szCs w:val="24"/>
        </w:rPr>
        <w:t>Servier</w:t>
      </w:r>
      <w:proofErr w:type="spellEnd"/>
      <w:r w:rsidRPr="00712C24">
        <w:rPr>
          <w:rFonts w:ascii="Times New Roman" w:hAnsi="Times New Roman" w:cs="Times New Roman"/>
          <w:sz w:val="24"/>
          <w:szCs w:val="24"/>
        </w:rPr>
        <w:t>, Takeda and UCB. All other authors have declared no competing interests.</w:t>
      </w:r>
    </w:p>
    <w:p w:rsidR="006A4901" w:rsidRPr="00712C24" w:rsidRDefault="006A4901" w:rsidP="006A4901">
      <w:pPr>
        <w:jc w:val="both"/>
        <w:rPr>
          <w:rFonts w:ascii="Times New Roman" w:hAnsi="Times New Roman" w:cs="Times New Roman"/>
          <w:sz w:val="24"/>
          <w:szCs w:val="24"/>
        </w:rPr>
      </w:pPr>
    </w:p>
    <w:p w:rsidR="006A4901" w:rsidRPr="00712C24" w:rsidRDefault="006A4901" w:rsidP="006A4901">
      <w:pPr>
        <w:jc w:val="both"/>
        <w:rPr>
          <w:rFonts w:ascii="Times New Roman" w:hAnsi="Times New Roman" w:cs="Times New Roman"/>
          <w:b/>
          <w:sz w:val="24"/>
          <w:szCs w:val="24"/>
        </w:rPr>
      </w:pPr>
      <w:r w:rsidRPr="00712C24">
        <w:rPr>
          <w:rFonts w:ascii="Times New Roman" w:hAnsi="Times New Roman" w:cs="Times New Roman"/>
          <w:b/>
          <w:sz w:val="24"/>
          <w:szCs w:val="24"/>
        </w:rPr>
        <w:t>Authors' contributions</w:t>
      </w:r>
    </w:p>
    <w:p w:rsidR="006A4901" w:rsidRPr="00712C24" w:rsidRDefault="006A4901" w:rsidP="006A4901">
      <w:pPr>
        <w:rPr>
          <w:rFonts w:ascii="Times New Roman" w:hAnsi="Times New Roman" w:cs="Times New Roman"/>
          <w:sz w:val="24"/>
          <w:szCs w:val="24"/>
        </w:rPr>
      </w:pPr>
      <w:r w:rsidRPr="00712C24">
        <w:rPr>
          <w:rFonts w:ascii="Times New Roman" w:hAnsi="Times New Roman" w:cs="Times New Roman"/>
          <w:sz w:val="24"/>
          <w:szCs w:val="24"/>
        </w:rPr>
        <w:t xml:space="preserve">KTP identified the study questions and with DC designed the study and its measuring instruments. KTP supervised data collection, and with SD, DC and HS, planned the analyses. SD conducted the analyses. KTP wrote the first draft of the paper. KWB, SD, ECH, CL, AAS, CG, ME, </w:t>
      </w:r>
      <w:r w:rsidR="00E55A1F" w:rsidRPr="00712C24">
        <w:rPr>
          <w:rFonts w:ascii="Times New Roman" w:hAnsi="Times New Roman" w:cs="Times New Roman"/>
          <w:sz w:val="24"/>
          <w:szCs w:val="24"/>
        </w:rPr>
        <w:t xml:space="preserve">HS, </w:t>
      </w:r>
      <w:r w:rsidRPr="00712C24">
        <w:rPr>
          <w:rFonts w:ascii="Times New Roman" w:hAnsi="Times New Roman" w:cs="Times New Roman"/>
          <w:sz w:val="24"/>
          <w:szCs w:val="24"/>
        </w:rPr>
        <w:t>TS and CC contributed to the study’s design, content, measuring instruments and plan of execution. Additionally, ECH and CL led in data collection, cleaning and preparation, and the enlistment of participating general practices. All authors read and approved the final manuscript.</w:t>
      </w:r>
    </w:p>
    <w:p w:rsidR="00BD7B6F" w:rsidRPr="00712C24" w:rsidRDefault="00BD7B6F" w:rsidP="00BD7B6F"/>
    <w:p w:rsidR="000024B7" w:rsidRPr="00712C24" w:rsidRDefault="000024B7">
      <w:pPr>
        <w:rPr>
          <w:rFonts w:ascii="Times New Roman" w:hAnsi="Times New Roman" w:cs="Times New Roman"/>
          <w:sz w:val="24"/>
          <w:szCs w:val="24"/>
        </w:rPr>
      </w:pPr>
      <w:r w:rsidRPr="00712C24">
        <w:rPr>
          <w:rFonts w:ascii="Times New Roman" w:hAnsi="Times New Roman" w:cs="Times New Roman"/>
          <w:sz w:val="24"/>
          <w:szCs w:val="24"/>
        </w:rPr>
        <w:br w:type="page"/>
      </w:r>
    </w:p>
    <w:p w:rsidR="000024B7" w:rsidRPr="00712C24" w:rsidRDefault="000024B7" w:rsidP="000024B7">
      <w:pPr>
        <w:rPr>
          <w:rFonts w:ascii="Times New Roman" w:hAnsi="Times New Roman" w:cs="Times New Roman"/>
          <w:b/>
          <w:sz w:val="24"/>
          <w:szCs w:val="24"/>
        </w:rPr>
      </w:pPr>
      <w:r w:rsidRPr="00712C24">
        <w:rPr>
          <w:rFonts w:ascii="Times New Roman" w:hAnsi="Times New Roman" w:cs="Times New Roman"/>
          <w:b/>
          <w:sz w:val="24"/>
          <w:szCs w:val="24"/>
        </w:rPr>
        <w:lastRenderedPageBreak/>
        <w:t>References</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Department for Work and Pensions.  Fuller Working Lives: A Framework for Action. DWP, June 2014, ISBN 978-1-78425-184-0 </w:t>
      </w:r>
      <w:hyperlink r:id="rId11" w:history="1">
        <w:r w:rsidRPr="00712C24">
          <w:rPr>
            <w:rStyle w:val="Hyperlink"/>
            <w:rFonts w:ascii="Times New Roman" w:hAnsi="Times New Roman" w:cs="Times New Roman"/>
            <w:sz w:val="24"/>
            <w:szCs w:val="24"/>
          </w:rPr>
          <w:t>https://www.gov.uk/government/publications/fuller-working-lives-a-framework-for-action</w:t>
        </w:r>
      </w:hyperlink>
      <w:r w:rsidRPr="00712C24">
        <w:rPr>
          <w:rFonts w:ascii="Times New Roman" w:hAnsi="Times New Roman" w:cs="Times New Roman"/>
          <w:sz w:val="24"/>
          <w:szCs w:val="24"/>
        </w:rPr>
        <w:t xml:space="preserve"> </w:t>
      </w:r>
    </w:p>
    <w:p w:rsidR="000024B7" w:rsidRPr="00712C24" w:rsidRDefault="000024B7" w:rsidP="000024B7">
      <w:pPr>
        <w:pStyle w:val="ListParagraph"/>
        <w:widowControl w:val="0"/>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Fried LP, </w:t>
      </w:r>
      <w:proofErr w:type="spellStart"/>
      <w:r w:rsidRPr="00712C24">
        <w:rPr>
          <w:rFonts w:ascii="Times New Roman" w:hAnsi="Times New Roman" w:cs="Times New Roman"/>
          <w:sz w:val="24"/>
          <w:szCs w:val="24"/>
        </w:rPr>
        <w:t>Tangen</w:t>
      </w:r>
      <w:proofErr w:type="spellEnd"/>
      <w:r w:rsidRPr="00712C24">
        <w:rPr>
          <w:rFonts w:ascii="Times New Roman" w:hAnsi="Times New Roman" w:cs="Times New Roman"/>
          <w:sz w:val="24"/>
          <w:szCs w:val="24"/>
        </w:rPr>
        <w:t xml:space="preserve"> CM, </w:t>
      </w:r>
      <w:proofErr w:type="spellStart"/>
      <w:r w:rsidRPr="00712C24">
        <w:rPr>
          <w:rFonts w:ascii="Times New Roman" w:hAnsi="Times New Roman" w:cs="Times New Roman"/>
          <w:sz w:val="24"/>
          <w:szCs w:val="24"/>
        </w:rPr>
        <w:t>Walston</w:t>
      </w:r>
      <w:proofErr w:type="spellEnd"/>
      <w:r w:rsidRPr="00712C24">
        <w:rPr>
          <w:rFonts w:ascii="Times New Roman" w:hAnsi="Times New Roman" w:cs="Times New Roman"/>
          <w:sz w:val="24"/>
          <w:szCs w:val="24"/>
        </w:rPr>
        <w:t xml:space="preserve"> J, Newman AB, Hirsch C, </w:t>
      </w:r>
      <w:proofErr w:type="spellStart"/>
      <w:r w:rsidRPr="00712C24">
        <w:rPr>
          <w:rFonts w:ascii="Times New Roman" w:hAnsi="Times New Roman" w:cs="Times New Roman"/>
          <w:sz w:val="24"/>
          <w:szCs w:val="24"/>
        </w:rPr>
        <w:t>Gottdiener</w:t>
      </w:r>
      <w:proofErr w:type="spellEnd"/>
      <w:r w:rsidRPr="00712C24">
        <w:rPr>
          <w:rFonts w:ascii="Times New Roman" w:hAnsi="Times New Roman" w:cs="Times New Roman"/>
          <w:sz w:val="24"/>
          <w:szCs w:val="24"/>
        </w:rPr>
        <w:t xml:space="preserve"> J, </w:t>
      </w:r>
      <w:proofErr w:type="spellStart"/>
      <w:r w:rsidRPr="00712C24">
        <w:rPr>
          <w:rFonts w:ascii="Times New Roman" w:hAnsi="Times New Roman" w:cs="Times New Roman"/>
          <w:sz w:val="24"/>
          <w:szCs w:val="24"/>
        </w:rPr>
        <w:t>Seeman</w:t>
      </w:r>
      <w:proofErr w:type="spellEnd"/>
      <w:r w:rsidRPr="00712C24">
        <w:rPr>
          <w:rFonts w:ascii="Times New Roman" w:hAnsi="Times New Roman" w:cs="Times New Roman"/>
          <w:sz w:val="24"/>
          <w:szCs w:val="24"/>
        </w:rPr>
        <w:t xml:space="preserve"> T, Tracy R, Kop WJ, Burke G, </w:t>
      </w:r>
      <w:proofErr w:type="spellStart"/>
      <w:r w:rsidRPr="00712C24">
        <w:rPr>
          <w:rFonts w:ascii="Times New Roman" w:hAnsi="Times New Roman" w:cs="Times New Roman"/>
          <w:sz w:val="24"/>
          <w:szCs w:val="24"/>
        </w:rPr>
        <w:t>McBurnie</w:t>
      </w:r>
      <w:proofErr w:type="spellEnd"/>
      <w:r w:rsidRPr="00712C24">
        <w:rPr>
          <w:rFonts w:ascii="Times New Roman" w:hAnsi="Times New Roman" w:cs="Times New Roman"/>
          <w:sz w:val="24"/>
          <w:szCs w:val="24"/>
        </w:rPr>
        <w:t xml:space="preserve"> MA, Cardiovascular Health Study Collaborative Research Group. Frailty in older adults: evidence for a phenotype. J </w:t>
      </w:r>
      <w:proofErr w:type="spellStart"/>
      <w:r w:rsidRPr="00712C24">
        <w:rPr>
          <w:rFonts w:ascii="Times New Roman" w:hAnsi="Times New Roman" w:cs="Times New Roman"/>
          <w:sz w:val="24"/>
          <w:szCs w:val="24"/>
        </w:rPr>
        <w:t>Gerontol</w:t>
      </w:r>
      <w:proofErr w:type="spellEnd"/>
      <w:r w:rsidRPr="00712C24">
        <w:rPr>
          <w:rFonts w:ascii="Times New Roman" w:hAnsi="Times New Roman" w:cs="Times New Roman"/>
          <w:sz w:val="24"/>
          <w:szCs w:val="24"/>
        </w:rPr>
        <w:t xml:space="preserve"> A </w:t>
      </w:r>
      <w:proofErr w:type="spellStart"/>
      <w:r w:rsidRPr="00712C24">
        <w:rPr>
          <w:rFonts w:ascii="Times New Roman" w:hAnsi="Times New Roman" w:cs="Times New Roman"/>
          <w:sz w:val="24"/>
          <w:szCs w:val="24"/>
        </w:rPr>
        <w:t>Biol</w:t>
      </w:r>
      <w:proofErr w:type="spellEnd"/>
      <w:r w:rsidRPr="00712C24">
        <w:rPr>
          <w:rFonts w:ascii="Times New Roman" w:hAnsi="Times New Roman" w:cs="Times New Roman"/>
          <w:sz w:val="24"/>
          <w:szCs w:val="24"/>
        </w:rPr>
        <w:t xml:space="preserve">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Med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2001; 56:M146–M156.</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Clegg A, Young J, </w:t>
      </w:r>
      <w:proofErr w:type="spellStart"/>
      <w:r w:rsidRPr="00712C24">
        <w:rPr>
          <w:rFonts w:ascii="Times New Roman" w:hAnsi="Times New Roman" w:cs="Times New Roman"/>
          <w:sz w:val="24"/>
          <w:szCs w:val="24"/>
        </w:rPr>
        <w:t>Illiffe</w:t>
      </w:r>
      <w:proofErr w:type="spellEnd"/>
      <w:r w:rsidRPr="00712C24">
        <w:rPr>
          <w:rFonts w:ascii="Times New Roman" w:hAnsi="Times New Roman" w:cs="Times New Roman"/>
          <w:sz w:val="24"/>
          <w:szCs w:val="24"/>
        </w:rPr>
        <w:t xml:space="preserve"> S, </w:t>
      </w:r>
      <w:proofErr w:type="spellStart"/>
      <w:r w:rsidRPr="00712C24">
        <w:rPr>
          <w:rFonts w:ascii="Times New Roman" w:hAnsi="Times New Roman" w:cs="Times New Roman"/>
          <w:sz w:val="24"/>
          <w:szCs w:val="24"/>
        </w:rPr>
        <w:t>Rikkert</w:t>
      </w:r>
      <w:proofErr w:type="spellEnd"/>
      <w:r w:rsidRPr="00712C24">
        <w:rPr>
          <w:rFonts w:ascii="Times New Roman" w:hAnsi="Times New Roman" w:cs="Times New Roman"/>
          <w:sz w:val="24"/>
          <w:szCs w:val="24"/>
        </w:rPr>
        <w:t xml:space="preserve"> MO, Rockwood K. Frailty in elderly people. Lancet 2013; 381: 752–62.</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Rockwood K, </w:t>
      </w:r>
      <w:proofErr w:type="spellStart"/>
      <w:r w:rsidRPr="00712C24">
        <w:rPr>
          <w:rFonts w:ascii="Times New Roman" w:hAnsi="Times New Roman" w:cs="Times New Roman"/>
          <w:sz w:val="24"/>
          <w:szCs w:val="24"/>
        </w:rPr>
        <w:t>Howlett</w:t>
      </w:r>
      <w:proofErr w:type="spellEnd"/>
      <w:r w:rsidRPr="00712C24">
        <w:rPr>
          <w:rFonts w:ascii="Times New Roman" w:hAnsi="Times New Roman" w:cs="Times New Roman"/>
          <w:sz w:val="24"/>
          <w:szCs w:val="24"/>
        </w:rPr>
        <w:t xml:space="preserve"> SE, </w:t>
      </w:r>
      <w:proofErr w:type="spellStart"/>
      <w:r w:rsidRPr="00712C24">
        <w:rPr>
          <w:rFonts w:ascii="Times New Roman" w:hAnsi="Times New Roman" w:cs="Times New Roman"/>
          <w:sz w:val="24"/>
          <w:szCs w:val="24"/>
        </w:rPr>
        <w:t>MacKnight</w:t>
      </w:r>
      <w:proofErr w:type="spellEnd"/>
      <w:r w:rsidRPr="00712C24">
        <w:rPr>
          <w:rFonts w:ascii="Times New Roman" w:hAnsi="Times New Roman" w:cs="Times New Roman"/>
          <w:sz w:val="24"/>
          <w:szCs w:val="24"/>
        </w:rPr>
        <w:t xml:space="preserve"> C, et al. Prevalence, attributes, and outcomes of fitness and frailty in community-dwelling older adults: report from the Canadian study of health and aging. J </w:t>
      </w:r>
      <w:proofErr w:type="spellStart"/>
      <w:r w:rsidRPr="00712C24">
        <w:rPr>
          <w:rFonts w:ascii="Times New Roman" w:hAnsi="Times New Roman" w:cs="Times New Roman"/>
          <w:sz w:val="24"/>
          <w:szCs w:val="24"/>
        </w:rPr>
        <w:t>Gerontol</w:t>
      </w:r>
      <w:proofErr w:type="spellEnd"/>
      <w:r w:rsidRPr="00712C24">
        <w:rPr>
          <w:rFonts w:ascii="Times New Roman" w:hAnsi="Times New Roman" w:cs="Times New Roman"/>
          <w:sz w:val="24"/>
          <w:szCs w:val="24"/>
        </w:rPr>
        <w:t xml:space="preserve"> A </w:t>
      </w:r>
      <w:proofErr w:type="spellStart"/>
      <w:r w:rsidRPr="00712C24">
        <w:rPr>
          <w:rFonts w:ascii="Times New Roman" w:hAnsi="Times New Roman" w:cs="Times New Roman"/>
          <w:sz w:val="24"/>
          <w:szCs w:val="24"/>
        </w:rPr>
        <w:t>Biol</w:t>
      </w:r>
      <w:proofErr w:type="spellEnd"/>
      <w:r w:rsidRPr="00712C24">
        <w:rPr>
          <w:rFonts w:ascii="Times New Roman" w:hAnsi="Times New Roman" w:cs="Times New Roman"/>
          <w:sz w:val="24"/>
          <w:szCs w:val="24"/>
        </w:rPr>
        <w:t xml:space="preserve">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Med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2004; 59: 1310–17.</w:t>
      </w:r>
    </w:p>
    <w:p w:rsidR="000024B7" w:rsidRPr="00712C24" w:rsidRDefault="000024B7" w:rsidP="000024B7">
      <w:pPr>
        <w:pStyle w:val="ListParagraph"/>
        <w:numPr>
          <w:ilvl w:val="0"/>
          <w:numId w:val="2"/>
        </w:numPr>
        <w:rPr>
          <w:rFonts w:ascii="Times New Roman" w:hAnsi="Times New Roman" w:cs="Times New Roman"/>
          <w:sz w:val="24"/>
          <w:szCs w:val="24"/>
        </w:rPr>
      </w:pPr>
      <w:proofErr w:type="spellStart"/>
      <w:r w:rsidRPr="00712C24">
        <w:rPr>
          <w:rFonts w:ascii="Times New Roman" w:hAnsi="Times New Roman" w:cs="Times New Roman"/>
          <w:sz w:val="24"/>
          <w:szCs w:val="24"/>
        </w:rPr>
        <w:t>Bandeen</w:t>
      </w:r>
      <w:proofErr w:type="spellEnd"/>
      <w:r w:rsidRPr="00712C24">
        <w:rPr>
          <w:rFonts w:ascii="Times New Roman" w:hAnsi="Times New Roman" w:cs="Times New Roman"/>
          <w:sz w:val="24"/>
          <w:szCs w:val="24"/>
        </w:rPr>
        <w:t xml:space="preserve">-Roche K, </w:t>
      </w:r>
      <w:proofErr w:type="spellStart"/>
      <w:r w:rsidRPr="00712C24">
        <w:rPr>
          <w:rFonts w:ascii="Times New Roman" w:hAnsi="Times New Roman" w:cs="Times New Roman"/>
          <w:sz w:val="24"/>
          <w:szCs w:val="24"/>
        </w:rPr>
        <w:t>Xue</w:t>
      </w:r>
      <w:proofErr w:type="spellEnd"/>
      <w:r w:rsidRPr="00712C24">
        <w:rPr>
          <w:rFonts w:ascii="Times New Roman" w:hAnsi="Times New Roman" w:cs="Times New Roman"/>
          <w:sz w:val="24"/>
          <w:szCs w:val="24"/>
        </w:rPr>
        <w:t xml:space="preserve"> QL, </w:t>
      </w:r>
      <w:proofErr w:type="spellStart"/>
      <w:r w:rsidRPr="00712C24">
        <w:rPr>
          <w:rFonts w:ascii="Times New Roman" w:hAnsi="Times New Roman" w:cs="Times New Roman"/>
          <w:sz w:val="24"/>
          <w:szCs w:val="24"/>
        </w:rPr>
        <w:t>Ferrucci</w:t>
      </w:r>
      <w:proofErr w:type="spellEnd"/>
      <w:r w:rsidRPr="00712C24">
        <w:rPr>
          <w:rFonts w:ascii="Times New Roman" w:hAnsi="Times New Roman" w:cs="Times New Roman"/>
          <w:sz w:val="24"/>
          <w:szCs w:val="24"/>
        </w:rPr>
        <w:t xml:space="preserve"> L, et al. Phenotype of frailty: characterization in the women’s health and aging studies. J </w:t>
      </w:r>
      <w:proofErr w:type="spellStart"/>
      <w:r w:rsidRPr="00712C24">
        <w:rPr>
          <w:rFonts w:ascii="Times New Roman" w:hAnsi="Times New Roman" w:cs="Times New Roman"/>
          <w:sz w:val="24"/>
          <w:szCs w:val="24"/>
        </w:rPr>
        <w:t>Gerontol</w:t>
      </w:r>
      <w:proofErr w:type="spellEnd"/>
      <w:r w:rsidRPr="00712C24">
        <w:rPr>
          <w:rFonts w:ascii="Times New Roman" w:hAnsi="Times New Roman" w:cs="Times New Roman"/>
          <w:sz w:val="24"/>
          <w:szCs w:val="24"/>
        </w:rPr>
        <w:t xml:space="preserve"> A </w:t>
      </w:r>
      <w:proofErr w:type="spellStart"/>
      <w:r w:rsidRPr="00712C24">
        <w:rPr>
          <w:rFonts w:ascii="Times New Roman" w:hAnsi="Times New Roman" w:cs="Times New Roman"/>
          <w:sz w:val="24"/>
          <w:szCs w:val="24"/>
        </w:rPr>
        <w:t>Biol</w:t>
      </w:r>
      <w:proofErr w:type="spellEnd"/>
      <w:r w:rsidRPr="00712C24">
        <w:rPr>
          <w:rFonts w:ascii="Times New Roman" w:hAnsi="Times New Roman" w:cs="Times New Roman"/>
          <w:sz w:val="24"/>
          <w:szCs w:val="24"/>
        </w:rPr>
        <w:t xml:space="preserve">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Med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2006; 61: 262–66.</w:t>
      </w:r>
    </w:p>
    <w:p w:rsidR="000024B7" w:rsidRPr="00712C24" w:rsidRDefault="000024B7" w:rsidP="000024B7">
      <w:pPr>
        <w:pStyle w:val="ListParagraph"/>
        <w:numPr>
          <w:ilvl w:val="0"/>
          <w:numId w:val="2"/>
        </w:numPr>
        <w:rPr>
          <w:rFonts w:ascii="Times New Roman" w:hAnsi="Times New Roman" w:cs="Times New Roman"/>
          <w:sz w:val="24"/>
          <w:szCs w:val="24"/>
        </w:rPr>
      </w:pPr>
      <w:proofErr w:type="spellStart"/>
      <w:r w:rsidRPr="00712C24">
        <w:rPr>
          <w:rFonts w:ascii="Times New Roman" w:hAnsi="Times New Roman" w:cs="Times New Roman"/>
          <w:sz w:val="24"/>
          <w:szCs w:val="24"/>
        </w:rPr>
        <w:t>Ensrud</w:t>
      </w:r>
      <w:proofErr w:type="spellEnd"/>
      <w:r w:rsidRPr="00712C24">
        <w:rPr>
          <w:rFonts w:ascii="Times New Roman" w:hAnsi="Times New Roman" w:cs="Times New Roman"/>
          <w:sz w:val="24"/>
          <w:szCs w:val="24"/>
        </w:rPr>
        <w:t xml:space="preserve"> KE, Ewing SK, Taylor BC, et al. Comparison of 2 frailty indexes for prediction of falls, disability, fractures, and death in older women. Arch Intern Med 2008; 168: 382–89.</w:t>
      </w:r>
    </w:p>
    <w:p w:rsidR="000024B7" w:rsidRPr="00712C24" w:rsidRDefault="000024B7" w:rsidP="000024B7">
      <w:pPr>
        <w:pStyle w:val="ListParagraph"/>
        <w:widowControl w:val="0"/>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Boyd CM, Ricks M, Fried LP, </w:t>
      </w:r>
      <w:proofErr w:type="spellStart"/>
      <w:r w:rsidRPr="00712C24">
        <w:rPr>
          <w:rFonts w:ascii="Times New Roman" w:hAnsi="Times New Roman" w:cs="Times New Roman"/>
          <w:sz w:val="24"/>
          <w:szCs w:val="24"/>
        </w:rPr>
        <w:t>Guralnik</w:t>
      </w:r>
      <w:proofErr w:type="spellEnd"/>
      <w:r w:rsidRPr="00712C24">
        <w:rPr>
          <w:rFonts w:ascii="Times New Roman" w:hAnsi="Times New Roman" w:cs="Times New Roman"/>
          <w:sz w:val="24"/>
          <w:szCs w:val="24"/>
        </w:rPr>
        <w:t xml:space="preserve"> JM, </w:t>
      </w:r>
      <w:proofErr w:type="spellStart"/>
      <w:r w:rsidRPr="00712C24">
        <w:rPr>
          <w:rFonts w:ascii="Times New Roman" w:hAnsi="Times New Roman" w:cs="Times New Roman"/>
          <w:sz w:val="24"/>
          <w:szCs w:val="24"/>
        </w:rPr>
        <w:t>Xue</w:t>
      </w:r>
      <w:proofErr w:type="spellEnd"/>
      <w:r w:rsidRPr="00712C24">
        <w:rPr>
          <w:rFonts w:ascii="Times New Roman" w:hAnsi="Times New Roman" w:cs="Times New Roman"/>
          <w:sz w:val="24"/>
          <w:szCs w:val="24"/>
        </w:rPr>
        <w:t xml:space="preserve"> QL, Xia J, </w:t>
      </w:r>
      <w:proofErr w:type="spellStart"/>
      <w:r w:rsidRPr="00712C24">
        <w:rPr>
          <w:rFonts w:ascii="Times New Roman" w:hAnsi="Times New Roman" w:cs="Times New Roman"/>
          <w:sz w:val="24"/>
          <w:szCs w:val="24"/>
        </w:rPr>
        <w:t>Bandeen</w:t>
      </w:r>
      <w:proofErr w:type="spellEnd"/>
      <w:r w:rsidRPr="00712C24">
        <w:rPr>
          <w:rFonts w:ascii="Times New Roman" w:hAnsi="Times New Roman" w:cs="Times New Roman"/>
          <w:sz w:val="24"/>
          <w:szCs w:val="24"/>
        </w:rPr>
        <w:t xml:space="preserve">-Roche K.  Functional decline and recovery of activities of daily living in hospitalized disabled older women; the Women’s Health and Aging Study 1.  J Am </w:t>
      </w:r>
      <w:proofErr w:type="spellStart"/>
      <w:r w:rsidRPr="00712C24">
        <w:rPr>
          <w:rFonts w:ascii="Times New Roman" w:hAnsi="Times New Roman" w:cs="Times New Roman"/>
          <w:sz w:val="24"/>
          <w:szCs w:val="24"/>
        </w:rPr>
        <w:t>Geriatr</w:t>
      </w:r>
      <w:proofErr w:type="spellEnd"/>
      <w:r w:rsidRPr="00712C24">
        <w:rPr>
          <w:rFonts w:ascii="Times New Roman" w:hAnsi="Times New Roman" w:cs="Times New Roman"/>
          <w:sz w:val="24"/>
          <w:szCs w:val="24"/>
        </w:rPr>
        <w:t xml:space="preserve"> </w:t>
      </w:r>
      <w:proofErr w:type="spellStart"/>
      <w:r w:rsidRPr="00712C24">
        <w:rPr>
          <w:rFonts w:ascii="Times New Roman" w:hAnsi="Times New Roman" w:cs="Times New Roman"/>
          <w:sz w:val="24"/>
          <w:szCs w:val="24"/>
        </w:rPr>
        <w:t>Soc</w:t>
      </w:r>
      <w:proofErr w:type="spellEnd"/>
      <w:r w:rsidRPr="00712C24">
        <w:rPr>
          <w:rFonts w:ascii="Times New Roman" w:hAnsi="Times New Roman" w:cs="Times New Roman"/>
          <w:sz w:val="24"/>
          <w:szCs w:val="24"/>
        </w:rPr>
        <w:t xml:space="preserve"> 2009</w:t>
      </w:r>
      <w:proofErr w:type="gramStart"/>
      <w:r w:rsidRPr="00712C24">
        <w:rPr>
          <w:rFonts w:ascii="Times New Roman" w:hAnsi="Times New Roman" w:cs="Times New Roman"/>
          <w:sz w:val="24"/>
          <w:szCs w:val="24"/>
        </w:rPr>
        <w:t>;57:1757</w:t>
      </w:r>
      <w:proofErr w:type="gramEnd"/>
      <w:r w:rsidRPr="00712C24">
        <w:rPr>
          <w:rFonts w:ascii="Times New Roman" w:hAnsi="Times New Roman" w:cs="Times New Roman"/>
          <w:sz w:val="24"/>
          <w:szCs w:val="24"/>
        </w:rPr>
        <w:t>-1766.</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color w:val="000000" w:themeColor="text1"/>
          <w:sz w:val="24"/>
          <w:szCs w:val="24"/>
        </w:rPr>
        <w:t xml:space="preserve">Cooper C, </w:t>
      </w:r>
      <w:proofErr w:type="spellStart"/>
      <w:r w:rsidRPr="00712C24">
        <w:rPr>
          <w:rFonts w:ascii="Times New Roman" w:hAnsi="Times New Roman" w:cs="Times New Roman"/>
          <w:color w:val="000000" w:themeColor="text1"/>
          <w:sz w:val="24"/>
          <w:szCs w:val="24"/>
        </w:rPr>
        <w:t>Dere</w:t>
      </w:r>
      <w:proofErr w:type="spellEnd"/>
      <w:r w:rsidRPr="00712C24">
        <w:rPr>
          <w:rFonts w:ascii="Times New Roman" w:hAnsi="Times New Roman" w:cs="Times New Roman"/>
          <w:color w:val="000000" w:themeColor="text1"/>
          <w:sz w:val="24"/>
          <w:szCs w:val="24"/>
        </w:rPr>
        <w:t xml:space="preserve"> W, Evans W, et al. Frailty and sarcopenia: definitions and outcome parameters. Osteoporos </w:t>
      </w:r>
      <w:proofErr w:type="spellStart"/>
      <w:r w:rsidRPr="00712C24">
        <w:rPr>
          <w:rFonts w:ascii="Times New Roman" w:hAnsi="Times New Roman" w:cs="Times New Roman"/>
          <w:color w:val="000000" w:themeColor="text1"/>
          <w:sz w:val="24"/>
          <w:szCs w:val="24"/>
        </w:rPr>
        <w:t>Int</w:t>
      </w:r>
      <w:proofErr w:type="spellEnd"/>
      <w:r w:rsidRPr="00712C24">
        <w:rPr>
          <w:rFonts w:ascii="Times New Roman" w:hAnsi="Times New Roman" w:cs="Times New Roman"/>
          <w:color w:val="000000" w:themeColor="text1"/>
          <w:sz w:val="24"/>
          <w:szCs w:val="24"/>
        </w:rPr>
        <w:t xml:space="preserve"> 2012</w:t>
      </w:r>
      <w:proofErr w:type="gramStart"/>
      <w:r w:rsidRPr="00712C24">
        <w:rPr>
          <w:rFonts w:ascii="Times New Roman" w:hAnsi="Times New Roman" w:cs="Times New Roman"/>
          <w:color w:val="000000" w:themeColor="text1"/>
          <w:sz w:val="24"/>
          <w:szCs w:val="24"/>
        </w:rPr>
        <w:t>;23:1839</w:t>
      </w:r>
      <w:proofErr w:type="gramEnd"/>
      <w:r w:rsidRPr="00712C24">
        <w:rPr>
          <w:rFonts w:ascii="Times New Roman" w:hAnsi="Times New Roman" w:cs="Times New Roman"/>
          <w:color w:val="000000" w:themeColor="text1"/>
          <w:sz w:val="24"/>
          <w:szCs w:val="24"/>
        </w:rPr>
        <w:t>-48.</w:t>
      </w:r>
    </w:p>
    <w:p w:rsidR="000024B7" w:rsidRPr="00712C24" w:rsidRDefault="000024B7" w:rsidP="00F21E92">
      <w:pPr>
        <w:pStyle w:val="ListParagraph"/>
        <w:widowControl w:val="0"/>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Faber MJ, </w:t>
      </w:r>
      <w:proofErr w:type="spellStart"/>
      <w:r w:rsidRPr="00712C24">
        <w:rPr>
          <w:rFonts w:ascii="Times New Roman" w:hAnsi="Times New Roman" w:cs="Times New Roman"/>
          <w:sz w:val="24"/>
          <w:szCs w:val="24"/>
        </w:rPr>
        <w:t>Bosscher</w:t>
      </w:r>
      <w:proofErr w:type="spellEnd"/>
      <w:r w:rsidRPr="00712C24">
        <w:rPr>
          <w:rFonts w:ascii="Times New Roman" w:hAnsi="Times New Roman" w:cs="Times New Roman"/>
          <w:sz w:val="24"/>
          <w:szCs w:val="24"/>
        </w:rPr>
        <w:t xml:space="preserve"> RJ, </w:t>
      </w:r>
      <w:r w:rsidR="00F21E92" w:rsidRPr="00F21E92">
        <w:rPr>
          <w:rFonts w:ascii="Times New Roman" w:hAnsi="Times New Roman" w:cs="Times New Roman"/>
          <w:sz w:val="24"/>
          <w:szCs w:val="24"/>
        </w:rPr>
        <w:t xml:space="preserve">Chin </w:t>
      </w:r>
      <w:proofErr w:type="gramStart"/>
      <w:r w:rsidR="00F21E92" w:rsidRPr="00F21E92">
        <w:rPr>
          <w:rFonts w:ascii="Times New Roman" w:hAnsi="Times New Roman" w:cs="Times New Roman"/>
          <w:sz w:val="24"/>
          <w:szCs w:val="24"/>
        </w:rPr>
        <w:t>A</w:t>
      </w:r>
      <w:proofErr w:type="gramEnd"/>
      <w:r w:rsidR="00F21E92" w:rsidRPr="00F21E92">
        <w:rPr>
          <w:rFonts w:ascii="Times New Roman" w:hAnsi="Times New Roman" w:cs="Times New Roman"/>
          <w:sz w:val="24"/>
          <w:szCs w:val="24"/>
        </w:rPr>
        <w:t xml:space="preserve"> Paw M</w:t>
      </w:r>
      <w:r w:rsidRPr="00712C24">
        <w:rPr>
          <w:rFonts w:ascii="Times New Roman" w:hAnsi="Times New Roman" w:cs="Times New Roman"/>
          <w:sz w:val="24"/>
          <w:szCs w:val="24"/>
        </w:rPr>
        <w:t xml:space="preserve">, van </w:t>
      </w:r>
      <w:proofErr w:type="spellStart"/>
      <w:r w:rsidRPr="00712C24">
        <w:rPr>
          <w:rFonts w:ascii="Times New Roman" w:hAnsi="Times New Roman" w:cs="Times New Roman"/>
          <w:sz w:val="24"/>
          <w:szCs w:val="24"/>
        </w:rPr>
        <w:t>Wieringen</w:t>
      </w:r>
      <w:proofErr w:type="spellEnd"/>
      <w:r w:rsidRPr="00712C24">
        <w:rPr>
          <w:rFonts w:ascii="Times New Roman" w:hAnsi="Times New Roman" w:cs="Times New Roman"/>
          <w:sz w:val="24"/>
          <w:szCs w:val="24"/>
        </w:rPr>
        <w:t xml:space="preserve"> PC.  Effects of exercise programs on falls and mobility in frail and pre-frail older adults: a multicentre randomized controlled trial.  Arch Phys Med </w:t>
      </w:r>
      <w:proofErr w:type="spellStart"/>
      <w:r w:rsidRPr="00712C24">
        <w:rPr>
          <w:rFonts w:ascii="Times New Roman" w:hAnsi="Times New Roman" w:cs="Times New Roman"/>
          <w:sz w:val="24"/>
          <w:szCs w:val="24"/>
        </w:rPr>
        <w:t>Rehabil</w:t>
      </w:r>
      <w:proofErr w:type="spellEnd"/>
      <w:r w:rsidRPr="00712C24">
        <w:rPr>
          <w:rFonts w:ascii="Times New Roman" w:hAnsi="Times New Roman" w:cs="Times New Roman"/>
          <w:sz w:val="24"/>
          <w:szCs w:val="24"/>
        </w:rPr>
        <w:t xml:space="preserve"> 2006</w:t>
      </w:r>
      <w:proofErr w:type="gramStart"/>
      <w:r w:rsidRPr="00712C24">
        <w:rPr>
          <w:rFonts w:ascii="Times New Roman" w:hAnsi="Times New Roman" w:cs="Times New Roman"/>
          <w:sz w:val="24"/>
          <w:szCs w:val="24"/>
        </w:rPr>
        <w:t>;87:885</w:t>
      </w:r>
      <w:proofErr w:type="gramEnd"/>
      <w:r w:rsidRPr="00712C24">
        <w:rPr>
          <w:rFonts w:ascii="Times New Roman" w:hAnsi="Times New Roman" w:cs="Times New Roman"/>
          <w:sz w:val="24"/>
          <w:szCs w:val="24"/>
        </w:rPr>
        <w:t>-896.</w:t>
      </w:r>
    </w:p>
    <w:p w:rsidR="000024B7" w:rsidRPr="00712C24" w:rsidRDefault="000024B7" w:rsidP="000024B7">
      <w:pPr>
        <w:pStyle w:val="ListParagraph"/>
        <w:widowControl w:val="0"/>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Peterson MJ, Sloane R, Cohen HJ, Crowley GM, Pieper CF, Morley MC.  Effect of telephone exercise counselling on frailty in older veterans: project LIFE.  Am J </w:t>
      </w:r>
      <w:proofErr w:type="spellStart"/>
      <w:r w:rsidRPr="00712C24">
        <w:rPr>
          <w:rFonts w:ascii="Times New Roman" w:hAnsi="Times New Roman" w:cs="Times New Roman"/>
          <w:sz w:val="24"/>
          <w:szCs w:val="24"/>
        </w:rPr>
        <w:t>Mens</w:t>
      </w:r>
      <w:proofErr w:type="spellEnd"/>
      <w:r w:rsidRPr="00712C24">
        <w:rPr>
          <w:rFonts w:ascii="Times New Roman" w:hAnsi="Times New Roman" w:cs="Times New Roman"/>
          <w:sz w:val="24"/>
          <w:szCs w:val="24"/>
        </w:rPr>
        <w:t xml:space="preserve"> Health.  2007</w:t>
      </w:r>
      <w:proofErr w:type="gramStart"/>
      <w:r w:rsidRPr="00712C24">
        <w:rPr>
          <w:rFonts w:ascii="Times New Roman" w:hAnsi="Times New Roman" w:cs="Times New Roman"/>
          <w:sz w:val="24"/>
          <w:szCs w:val="24"/>
        </w:rPr>
        <w:t>;1:326</w:t>
      </w:r>
      <w:proofErr w:type="gramEnd"/>
      <w:r w:rsidRPr="00712C24">
        <w:rPr>
          <w:rFonts w:ascii="Times New Roman" w:hAnsi="Times New Roman" w:cs="Times New Roman"/>
          <w:sz w:val="24"/>
          <w:szCs w:val="24"/>
        </w:rPr>
        <w:t>-334.</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lastRenderedPageBreak/>
        <w:t>Santos-</w:t>
      </w:r>
      <w:proofErr w:type="spellStart"/>
      <w:r w:rsidRPr="00712C24">
        <w:rPr>
          <w:rFonts w:ascii="Times New Roman" w:hAnsi="Times New Roman" w:cs="Times New Roman"/>
          <w:sz w:val="24"/>
          <w:szCs w:val="24"/>
        </w:rPr>
        <w:t>Eggimann</w:t>
      </w:r>
      <w:proofErr w:type="spellEnd"/>
      <w:r w:rsidRPr="00712C24">
        <w:rPr>
          <w:rFonts w:ascii="Times New Roman" w:hAnsi="Times New Roman" w:cs="Times New Roman"/>
          <w:sz w:val="24"/>
          <w:szCs w:val="24"/>
        </w:rPr>
        <w:t xml:space="preserve"> B, </w:t>
      </w:r>
      <w:proofErr w:type="spellStart"/>
      <w:r w:rsidRPr="00712C24">
        <w:rPr>
          <w:rFonts w:ascii="Times New Roman" w:hAnsi="Times New Roman" w:cs="Times New Roman"/>
          <w:sz w:val="24"/>
          <w:szCs w:val="24"/>
        </w:rPr>
        <w:t>Cuenoud</w:t>
      </w:r>
      <w:proofErr w:type="spellEnd"/>
      <w:r w:rsidRPr="00712C24">
        <w:rPr>
          <w:rFonts w:ascii="Times New Roman" w:hAnsi="Times New Roman" w:cs="Times New Roman"/>
          <w:sz w:val="24"/>
          <w:szCs w:val="24"/>
        </w:rPr>
        <w:t xml:space="preserve"> P, </w:t>
      </w:r>
      <w:proofErr w:type="spellStart"/>
      <w:r w:rsidRPr="00712C24">
        <w:rPr>
          <w:rFonts w:ascii="Times New Roman" w:hAnsi="Times New Roman" w:cs="Times New Roman"/>
          <w:sz w:val="24"/>
          <w:szCs w:val="24"/>
        </w:rPr>
        <w:t>Spagnoli</w:t>
      </w:r>
      <w:proofErr w:type="spellEnd"/>
      <w:r w:rsidRPr="00712C24">
        <w:rPr>
          <w:rFonts w:ascii="Times New Roman" w:hAnsi="Times New Roman" w:cs="Times New Roman"/>
          <w:sz w:val="24"/>
          <w:szCs w:val="24"/>
        </w:rPr>
        <w:t xml:space="preserve"> J, </w:t>
      </w:r>
      <w:proofErr w:type="spellStart"/>
      <w:r w:rsidRPr="00712C24">
        <w:rPr>
          <w:rFonts w:ascii="Times New Roman" w:hAnsi="Times New Roman" w:cs="Times New Roman"/>
          <w:sz w:val="24"/>
          <w:szCs w:val="24"/>
        </w:rPr>
        <w:t>Junod</w:t>
      </w:r>
      <w:proofErr w:type="spellEnd"/>
      <w:r w:rsidRPr="00712C24">
        <w:rPr>
          <w:rFonts w:ascii="Times New Roman" w:hAnsi="Times New Roman" w:cs="Times New Roman"/>
          <w:sz w:val="24"/>
          <w:szCs w:val="24"/>
        </w:rPr>
        <w:t xml:space="preserve"> J. Prevalence of frailty in middle-aged and older community-dwelling Europeans living in 10 countries. J </w:t>
      </w:r>
      <w:proofErr w:type="spellStart"/>
      <w:r w:rsidRPr="00712C24">
        <w:rPr>
          <w:rFonts w:ascii="Times New Roman" w:hAnsi="Times New Roman" w:cs="Times New Roman"/>
          <w:sz w:val="24"/>
          <w:szCs w:val="24"/>
        </w:rPr>
        <w:t>Gerentol</w:t>
      </w:r>
      <w:proofErr w:type="spellEnd"/>
      <w:r w:rsidRPr="00712C24">
        <w:rPr>
          <w:rFonts w:ascii="Times New Roman" w:hAnsi="Times New Roman" w:cs="Times New Roman"/>
          <w:sz w:val="24"/>
          <w:szCs w:val="24"/>
        </w:rPr>
        <w:t xml:space="preserve"> A </w:t>
      </w:r>
      <w:proofErr w:type="spellStart"/>
      <w:r w:rsidRPr="00712C24">
        <w:rPr>
          <w:rFonts w:ascii="Times New Roman" w:hAnsi="Times New Roman" w:cs="Times New Roman"/>
          <w:sz w:val="24"/>
          <w:szCs w:val="24"/>
        </w:rPr>
        <w:t>Biol</w:t>
      </w:r>
      <w:proofErr w:type="spellEnd"/>
      <w:r w:rsidRPr="00712C24">
        <w:rPr>
          <w:rFonts w:ascii="Times New Roman" w:hAnsi="Times New Roman" w:cs="Times New Roman"/>
          <w:sz w:val="24"/>
          <w:szCs w:val="24"/>
        </w:rPr>
        <w:t xml:space="preserve">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Med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2009; 64A: 675-81.</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Palmer KT, Walker-Bone K, Harris EC, Linaker C, D’Angelo S, Sayer AA, Gale C, </w:t>
      </w:r>
      <w:proofErr w:type="spellStart"/>
      <w:r w:rsidRPr="00712C24">
        <w:rPr>
          <w:rFonts w:ascii="Times New Roman" w:hAnsi="Times New Roman" w:cs="Times New Roman"/>
          <w:sz w:val="24"/>
          <w:szCs w:val="24"/>
        </w:rPr>
        <w:t>Evandrou</w:t>
      </w:r>
      <w:proofErr w:type="spellEnd"/>
      <w:r w:rsidRPr="00712C24">
        <w:rPr>
          <w:rFonts w:ascii="Times New Roman" w:hAnsi="Times New Roman" w:cs="Times New Roman"/>
          <w:sz w:val="24"/>
          <w:szCs w:val="24"/>
        </w:rPr>
        <w:t xml:space="preserve"> M, van Staa T, Cooper C, Coggon D. Health and Employment after Fifty (HEAF): a new prospective cohort study. BMC Public Health 2015; 15:1071.</w:t>
      </w:r>
    </w:p>
    <w:p w:rsidR="000024B7" w:rsidRPr="00712C24" w:rsidRDefault="000024B7" w:rsidP="000024B7">
      <w:pPr>
        <w:pStyle w:val="ListParagraph"/>
        <w:widowControl w:val="0"/>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Bouillon K, </w:t>
      </w:r>
      <w:proofErr w:type="spellStart"/>
      <w:r w:rsidRPr="00712C24">
        <w:rPr>
          <w:rFonts w:ascii="Times New Roman" w:hAnsi="Times New Roman" w:cs="Times New Roman"/>
          <w:sz w:val="24"/>
          <w:szCs w:val="24"/>
        </w:rPr>
        <w:t>Kivimaki</w:t>
      </w:r>
      <w:proofErr w:type="spellEnd"/>
      <w:r w:rsidRPr="00712C24">
        <w:rPr>
          <w:rFonts w:ascii="Times New Roman" w:hAnsi="Times New Roman" w:cs="Times New Roman"/>
          <w:sz w:val="24"/>
          <w:szCs w:val="24"/>
        </w:rPr>
        <w:t xml:space="preserve"> M, Hamer M, </w:t>
      </w:r>
      <w:proofErr w:type="spellStart"/>
      <w:r w:rsidRPr="00712C24">
        <w:rPr>
          <w:rFonts w:ascii="Times New Roman" w:hAnsi="Times New Roman" w:cs="Times New Roman"/>
          <w:sz w:val="24"/>
          <w:szCs w:val="24"/>
        </w:rPr>
        <w:t>Sabia</w:t>
      </w:r>
      <w:proofErr w:type="spellEnd"/>
      <w:r w:rsidRPr="00712C24">
        <w:rPr>
          <w:rFonts w:ascii="Times New Roman" w:hAnsi="Times New Roman" w:cs="Times New Roman"/>
          <w:sz w:val="24"/>
          <w:szCs w:val="24"/>
        </w:rPr>
        <w:t xml:space="preserve"> S, </w:t>
      </w:r>
      <w:proofErr w:type="spellStart"/>
      <w:r w:rsidRPr="00712C24">
        <w:rPr>
          <w:rFonts w:ascii="Times New Roman" w:hAnsi="Times New Roman" w:cs="Times New Roman"/>
          <w:sz w:val="24"/>
          <w:szCs w:val="24"/>
        </w:rPr>
        <w:t>Fransson</w:t>
      </w:r>
      <w:proofErr w:type="spellEnd"/>
      <w:r w:rsidRPr="00712C24">
        <w:rPr>
          <w:rFonts w:ascii="Times New Roman" w:hAnsi="Times New Roman" w:cs="Times New Roman"/>
          <w:sz w:val="24"/>
          <w:szCs w:val="24"/>
        </w:rPr>
        <w:t xml:space="preserve"> EI, Singh-</w:t>
      </w:r>
      <w:proofErr w:type="spellStart"/>
      <w:r w:rsidRPr="00712C24">
        <w:rPr>
          <w:rFonts w:ascii="Times New Roman" w:hAnsi="Times New Roman" w:cs="Times New Roman"/>
          <w:sz w:val="24"/>
          <w:szCs w:val="24"/>
        </w:rPr>
        <w:t>Manoux</w:t>
      </w:r>
      <w:proofErr w:type="spellEnd"/>
      <w:r w:rsidRPr="00712C24">
        <w:rPr>
          <w:rFonts w:ascii="Times New Roman" w:hAnsi="Times New Roman" w:cs="Times New Roman"/>
          <w:sz w:val="24"/>
          <w:szCs w:val="24"/>
        </w:rPr>
        <w:t xml:space="preserve"> A, Gale CR, Batty GD. Measures of frailty in population-based studies: an overview. BMC </w:t>
      </w:r>
      <w:proofErr w:type="spellStart"/>
      <w:r w:rsidRPr="00712C24">
        <w:rPr>
          <w:rFonts w:ascii="Times New Roman" w:hAnsi="Times New Roman" w:cs="Times New Roman"/>
          <w:sz w:val="24"/>
          <w:szCs w:val="24"/>
        </w:rPr>
        <w:t>Geriatr</w:t>
      </w:r>
      <w:proofErr w:type="spellEnd"/>
      <w:r w:rsidRPr="00712C24">
        <w:rPr>
          <w:rFonts w:ascii="Times New Roman" w:hAnsi="Times New Roman" w:cs="Times New Roman"/>
          <w:sz w:val="24"/>
          <w:szCs w:val="24"/>
        </w:rPr>
        <w:t xml:space="preserve"> 2013</w:t>
      </w:r>
      <w:proofErr w:type="gramStart"/>
      <w:r w:rsidRPr="00712C24">
        <w:rPr>
          <w:rFonts w:ascii="Times New Roman" w:hAnsi="Times New Roman" w:cs="Times New Roman"/>
          <w:sz w:val="24"/>
          <w:szCs w:val="24"/>
        </w:rPr>
        <w:t>;13:64</w:t>
      </w:r>
      <w:proofErr w:type="gramEnd"/>
      <w:r w:rsidRPr="00712C24">
        <w:rPr>
          <w:rFonts w:ascii="Times New Roman" w:hAnsi="Times New Roman" w:cs="Times New Roman"/>
          <w:sz w:val="24"/>
          <w:szCs w:val="24"/>
        </w:rPr>
        <w:t>.</w:t>
      </w:r>
    </w:p>
    <w:p w:rsidR="000024B7" w:rsidRPr="00712C24" w:rsidRDefault="000024B7"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Office for National Statistics. Standard occupational classification 2010 (SOC2010). </w:t>
      </w:r>
      <w:hyperlink r:id="rId12" w:history="1">
        <w:r w:rsidRPr="00712C24">
          <w:rPr>
            <w:rStyle w:val="Hyperlink"/>
            <w:rFonts w:ascii="Times New Roman" w:hAnsi="Times New Roman" w:cs="Times New Roman"/>
            <w:sz w:val="24"/>
            <w:szCs w:val="24"/>
          </w:rPr>
          <w:t>http://www.ons.gov.uk/ons/guide-method/classifications/current-standard-classifications/soc2010/index.html</w:t>
        </w:r>
      </w:hyperlink>
      <w:r w:rsidRPr="00712C24">
        <w:rPr>
          <w:rFonts w:ascii="Times New Roman" w:hAnsi="Times New Roman" w:cs="Times New Roman"/>
          <w:sz w:val="24"/>
          <w:szCs w:val="24"/>
        </w:rPr>
        <w:t xml:space="preserve"> (accessed 10/8/16).</w:t>
      </w:r>
    </w:p>
    <w:p w:rsidR="000024B7" w:rsidRPr="00712C24" w:rsidRDefault="000024B7" w:rsidP="000024B7">
      <w:pPr>
        <w:pStyle w:val="ListParagraph"/>
        <w:widowControl w:val="0"/>
        <w:numPr>
          <w:ilvl w:val="0"/>
          <w:numId w:val="2"/>
        </w:numPr>
        <w:spacing w:line="480" w:lineRule="auto"/>
        <w:rPr>
          <w:rFonts w:ascii="Times New Roman" w:hAnsi="Times New Roman" w:cs="Times New Roman"/>
          <w:sz w:val="24"/>
          <w:szCs w:val="24"/>
        </w:rPr>
      </w:pPr>
      <w:r w:rsidRPr="00712C24">
        <w:rPr>
          <w:rFonts w:ascii="Times New Roman" w:hAnsi="Times New Roman" w:cs="Times New Roman"/>
          <w:sz w:val="24"/>
          <w:szCs w:val="24"/>
        </w:rPr>
        <w:t xml:space="preserve">Stewart-Brown S, </w:t>
      </w:r>
      <w:proofErr w:type="spellStart"/>
      <w:r w:rsidRPr="00712C24">
        <w:rPr>
          <w:rFonts w:ascii="Times New Roman" w:hAnsi="Times New Roman" w:cs="Times New Roman"/>
          <w:sz w:val="24"/>
          <w:szCs w:val="24"/>
        </w:rPr>
        <w:t>Janmohamed</w:t>
      </w:r>
      <w:proofErr w:type="spellEnd"/>
      <w:r w:rsidRPr="00712C24">
        <w:rPr>
          <w:rFonts w:ascii="Times New Roman" w:hAnsi="Times New Roman" w:cs="Times New Roman"/>
          <w:sz w:val="24"/>
          <w:szCs w:val="24"/>
        </w:rPr>
        <w:t xml:space="preserve"> K. Warwick-Edinburgh Mental Well-being Scale. User Guide, v1 (June 2008). </w:t>
      </w:r>
      <w:hyperlink r:id="rId13" w:history="1">
        <w:r w:rsidRPr="00712C24">
          <w:rPr>
            <w:rFonts w:ascii="Times New Roman" w:hAnsi="Times New Roman" w:cs="Times New Roman"/>
            <w:sz w:val="24"/>
            <w:szCs w:val="24"/>
          </w:rPr>
          <w:t>http://www.healthscotland.com/uploads/documents/7551-WEMWBS%20User%20Guide%20Version%201%20June%202008.pdf</w:t>
        </w:r>
      </w:hyperlink>
      <w:r w:rsidRPr="00712C24">
        <w:rPr>
          <w:rFonts w:ascii="Times New Roman" w:hAnsi="Times New Roman" w:cs="Times New Roman"/>
          <w:sz w:val="24"/>
          <w:szCs w:val="24"/>
        </w:rPr>
        <w:t xml:space="preserve">  (accessed 10/8/16)</w:t>
      </w:r>
    </w:p>
    <w:p w:rsidR="000024B7" w:rsidRPr="00712C24" w:rsidRDefault="000024B7" w:rsidP="000024B7">
      <w:pPr>
        <w:pStyle w:val="ListParagraph"/>
        <w:numPr>
          <w:ilvl w:val="0"/>
          <w:numId w:val="2"/>
        </w:numPr>
        <w:rPr>
          <w:rFonts w:ascii="Times New Roman" w:hAnsi="Times New Roman" w:cs="Times New Roman"/>
          <w:sz w:val="24"/>
          <w:szCs w:val="24"/>
        </w:rPr>
      </w:pPr>
      <w:proofErr w:type="spellStart"/>
      <w:r w:rsidRPr="00712C24">
        <w:rPr>
          <w:rFonts w:ascii="Times New Roman" w:hAnsi="Times New Roman" w:cs="Times New Roman"/>
          <w:sz w:val="24"/>
          <w:szCs w:val="24"/>
        </w:rPr>
        <w:t>Kalousova</w:t>
      </w:r>
      <w:proofErr w:type="spellEnd"/>
      <w:r w:rsidRPr="00712C24">
        <w:rPr>
          <w:rFonts w:ascii="Times New Roman" w:hAnsi="Times New Roman" w:cs="Times New Roman"/>
          <w:sz w:val="24"/>
          <w:szCs w:val="24"/>
        </w:rPr>
        <w:t xml:space="preserve"> L, de Leon CM. Increase in frailty of older workers and retirees predicted by negative psychosocial working conditions on the job. </w:t>
      </w:r>
      <w:proofErr w:type="spellStart"/>
      <w:r w:rsidRPr="00712C24">
        <w:rPr>
          <w:rFonts w:ascii="Times New Roman" w:hAnsi="Times New Roman" w:cs="Times New Roman"/>
          <w:sz w:val="24"/>
          <w:szCs w:val="24"/>
        </w:rPr>
        <w:t>Soc</w:t>
      </w:r>
      <w:proofErr w:type="spellEnd"/>
      <w:r w:rsidRPr="00712C24">
        <w:rPr>
          <w:rFonts w:ascii="Times New Roman" w:hAnsi="Times New Roman" w:cs="Times New Roman"/>
          <w:sz w:val="24"/>
          <w:szCs w:val="24"/>
        </w:rPr>
        <w:t xml:space="preserve"> </w:t>
      </w:r>
      <w:proofErr w:type="spellStart"/>
      <w:r w:rsidRPr="00712C24">
        <w:rPr>
          <w:rFonts w:ascii="Times New Roman" w:hAnsi="Times New Roman" w:cs="Times New Roman"/>
          <w:sz w:val="24"/>
          <w:szCs w:val="24"/>
        </w:rPr>
        <w:t>Sci</w:t>
      </w:r>
      <w:proofErr w:type="spellEnd"/>
      <w:r w:rsidRPr="00712C24">
        <w:rPr>
          <w:rFonts w:ascii="Times New Roman" w:hAnsi="Times New Roman" w:cs="Times New Roman"/>
          <w:sz w:val="24"/>
          <w:szCs w:val="24"/>
        </w:rPr>
        <w:t xml:space="preserve"> Med 2015; 124:275-283.</w:t>
      </w:r>
    </w:p>
    <w:p w:rsidR="00E55A1F" w:rsidRPr="00712C24" w:rsidRDefault="00E55A1F" w:rsidP="000024B7">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Syddall HE, Westbury LD, Cooper C, Sayer AA. Self-reported walking speed: a useful marker of physical performance among community-dwelling older people? J Am Med Dir Assoc. 2015</w:t>
      </w:r>
      <w:proofErr w:type="gramStart"/>
      <w:r w:rsidRPr="00712C24">
        <w:rPr>
          <w:rFonts w:ascii="Times New Roman" w:hAnsi="Times New Roman" w:cs="Times New Roman"/>
          <w:sz w:val="24"/>
          <w:szCs w:val="24"/>
        </w:rPr>
        <w:t>;16:323</w:t>
      </w:r>
      <w:proofErr w:type="gramEnd"/>
      <w:r w:rsidRPr="00712C24">
        <w:rPr>
          <w:rFonts w:ascii="Times New Roman" w:hAnsi="Times New Roman" w:cs="Times New Roman"/>
          <w:sz w:val="24"/>
          <w:szCs w:val="24"/>
        </w:rPr>
        <w:t>-8.</w:t>
      </w:r>
    </w:p>
    <w:p w:rsidR="00616993" w:rsidRPr="00841035" w:rsidRDefault="00E003CE" w:rsidP="00E003CE">
      <w:pPr>
        <w:pStyle w:val="ListParagraph"/>
        <w:widowControl w:val="0"/>
        <w:numPr>
          <w:ilvl w:val="0"/>
          <w:numId w:val="2"/>
        </w:numPr>
        <w:rPr>
          <w:rFonts w:ascii="Times New Roman" w:hAnsi="Times New Roman" w:cs="Times New Roman"/>
          <w:sz w:val="24"/>
          <w:szCs w:val="24"/>
        </w:rPr>
      </w:pPr>
      <w:proofErr w:type="spellStart"/>
      <w:r w:rsidRPr="00841035">
        <w:rPr>
          <w:rFonts w:ascii="Times New Roman" w:hAnsi="Times New Roman" w:cs="Times New Roman"/>
          <w:sz w:val="24"/>
          <w:szCs w:val="24"/>
        </w:rPr>
        <w:t>Tuomi</w:t>
      </w:r>
      <w:proofErr w:type="spellEnd"/>
      <w:r w:rsidRPr="00841035">
        <w:rPr>
          <w:rFonts w:ascii="Times New Roman" w:hAnsi="Times New Roman" w:cs="Times New Roman"/>
          <w:sz w:val="24"/>
          <w:szCs w:val="24"/>
        </w:rPr>
        <w:t xml:space="preserve"> K</w:t>
      </w:r>
      <w:r>
        <w:rPr>
          <w:rFonts w:ascii="Times New Roman" w:hAnsi="Times New Roman" w:cs="Times New Roman"/>
          <w:sz w:val="24"/>
          <w:szCs w:val="24"/>
        </w:rPr>
        <w:t>,</w:t>
      </w:r>
      <w:r w:rsidRPr="00841035">
        <w:rPr>
          <w:rFonts w:ascii="Times New Roman" w:hAnsi="Times New Roman" w:cs="Times New Roman"/>
          <w:sz w:val="24"/>
          <w:szCs w:val="24"/>
        </w:rPr>
        <w:t xml:space="preserve"> </w:t>
      </w:r>
      <w:proofErr w:type="spellStart"/>
      <w:r w:rsidR="00616993" w:rsidRPr="00841035">
        <w:rPr>
          <w:rFonts w:ascii="Times New Roman" w:hAnsi="Times New Roman" w:cs="Times New Roman"/>
          <w:sz w:val="24"/>
          <w:szCs w:val="24"/>
        </w:rPr>
        <w:t>Ilmarinen</w:t>
      </w:r>
      <w:proofErr w:type="spellEnd"/>
      <w:r w:rsidR="00616993" w:rsidRPr="00841035">
        <w:rPr>
          <w:rFonts w:ascii="Times New Roman" w:hAnsi="Times New Roman" w:cs="Times New Roman"/>
          <w:sz w:val="24"/>
          <w:szCs w:val="24"/>
        </w:rPr>
        <w:t xml:space="preserve"> J,</w:t>
      </w:r>
      <w:r>
        <w:rPr>
          <w:rFonts w:ascii="Times New Roman" w:hAnsi="Times New Roman" w:cs="Times New Roman"/>
          <w:sz w:val="24"/>
          <w:szCs w:val="24"/>
        </w:rPr>
        <w:t xml:space="preserve"> </w:t>
      </w:r>
      <w:proofErr w:type="spellStart"/>
      <w:r>
        <w:rPr>
          <w:rFonts w:ascii="Times New Roman" w:hAnsi="Times New Roman" w:cs="Times New Roman"/>
          <w:sz w:val="24"/>
          <w:szCs w:val="24"/>
        </w:rPr>
        <w:t>Jahkola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Katajarinne</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Tulkki</w:t>
      </w:r>
      <w:proofErr w:type="spellEnd"/>
      <w:r>
        <w:rPr>
          <w:rFonts w:ascii="Times New Roman" w:hAnsi="Times New Roman" w:cs="Times New Roman"/>
          <w:sz w:val="24"/>
          <w:szCs w:val="24"/>
        </w:rPr>
        <w:t xml:space="preserve"> A</w:t>
      </w:r>
      <w:r w:rsidR="00616993" w:rsidRPr="00841035">
        <w:rPr>
          <w:rFonts w:ascii="Times New Roman" w:hAnsi="Times New Roman" w:cs="Times New Roman"/>
          <w:sz w:val="24"/>
          <w:szCs w:val="24"/>
        </w:rPr>
        <w:t xml:space="preserve">. </w:t>
      </w:r>
      <w:r>
        <w:rPr>
          <w:rFonts w:ascii="Times New Roman" w:hAnsi="Times New Roman" w:cs="Times New Roman"/>
          <w:sz w:val="24"/>
          <w:szCs w:val="24"/>
        </w:rPr>
        <w:t>W</w:t>
      </w:r>
      <w:r w:rsidR="00616993" w:rsidRPr="00841035">
        <w:rPr>
          <w:rFonts w:ascii="Times New Roman" w:hAnsi="Times New Roman" w:cs="Times New Roman"/>
          <w:sz w:val="24"/>
          <w:szCs w:val="24"/>
        </w:rPr>
        <w:t xml:space="preserve">ork </w:t>
      </w:r>
      <w:r>
        <w:rPr>
          <w:rFonts w:ascii="Times New Roman" w:hAnsi="Times New Roman" w:cs="Times New Roman"/>
          <w:sz w:val="24"/>
          <w:szCs w:val="24"/>
        </w:rPr>
        <w:t>A</w:t>
      </w:r>
      <w:r w:rsidR="00616993" w:rsidRPr="00841035">
        <w:rPr>
          <w:rFonts w:ascii="Times New Roman" w:hAnsi="Times New Roman" w:cs="Times New Roman"/>
          <w:sz w:val="24"/>
          <w:szCs w:val="24"/>
        </w:rPr>
        <w:t>bility</w:t>
      </w:r>
      <w:r>
        <w:rPr>
          <w:rFonts w:ascii="Times New Roman" w:hAnsi="Times New Roman" w:cs="Times New Roman"/>
          <w:sz w:val="24"/>
          <w:szCs w:val="24"/>
        </w:rPr>
        <w:t xml:space="preserve"> Index</w:t>
      </w:r>
      <w:r w:rsidR="00616993" w:rsidRPr="00841035">
        <w:rPr>
          <w:rFonts w:ascii="Times New Roman" w:hAnsi="Times New Roman" w:cs="Times New Roman"/>
          <w:sz w:val="24"/>
          <w:szCs w:val="24"/>
        </w:rPr>
        <w:t xml:space="preserve">. Finnish Institute of Occupational Health, Helsinki </w:t>
      </w:r>
      <w:r>
        <w:rPr>
          <w:rFonts w:ascii="Times New Roman" w:hAnsi="Times New Roman" w:cs="Times New Roman"/>
          <w:sz w:val="24"/>
          <w:szCs w:val="24"/>
        </w:rPr>
        <w:t>1998</w:t>
      </w:r>
      <w:r w:rsidR="00616993" w:rsidRPr="00841035">
        <w:rPr>
          <w:rFonts w:ascii="Times New Roman" w:hAnsi="Times New Roman" w:cs="Times New Roman"/>
          <w:sz w:val="24"/>
          <w:szCs w:val="24"/>
        </w:rPr>
        <w:t>.</w:t>
      </w:r>
      <w:r>
        <w:rPr>
          <w:rFonts w:ascii="Times New Roman" w:hAnsi="Times New Roman" w:cs="Times New Roman"/>
          <w:sz w:val="24"/>
          <w:szCs w:val="24"/>
        </w:rPr>
        <w:t xml:space="preserve"> 2</w:t>
      </w:r>
      <w:r w:rsidRPr="00EF3341">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sidRPr="00E003CE">
        <w:t xml:space="preserve"> </w:t>
      </w:r>
      <w:r w:rsidRPr="00E003CE">
        <w:rPr>
          <w:rFonts w:ascii="Times New Roman" w:hAnsi="Times New Roman" w:cs="Times New Roman"/>
          <w:sz w:val="24"/>
          <w:szCs w:val="24"/>
        </w:rPr>
        <w:t>ISBN 951-802-202-X</w:t>
      </w:r>
      <w:r w:rsidR="007122B3">
        <w:rPr>
          <w:rFonts w:ascii="Times New Roman" w:hAnsi="Times New Roman" w:cs="Times New Roman"/>
          <w:sz w:val="24"/>
          <w:szCs w:val="24"/>
        </w:rPr>
        <w:t>.</w:t>
      </w:r>
    </w:p>
    <w:p w:rsidR="00E55A1F" w:rsidRPr="00616993" w:rsidRDefault="00E55A1F" w:rsidP="00616993">
      <w:pPr>
        <w:pStyle w:val="ListParagraph"/>
        <w:widowControl w:val="0"/>
        <w:numPr>
          <w:ilvl w:val="0"/>
          <w:numId w:val="2"/>
        </w:numPr>
        <w:rPr>
          <w:rFonts w:ascii="Times New Roman" w:hAnsi="Times New Roman" w:cs="Times New Roman"/>
          <w:sz w:val="24"/>
          <w:szCs w:val="24"/>
        </w:rPr>
      </w:pPr>
      <w:r w:rsidRPr="00616993">
        <w:rPr>
          <w:rFonts w:ascii="Times New Roman" w:hAnsi="Times New Roman" w:cs="Times New Roman"/>
          <w:sz w:val="24"/>
          <w:szCs w:val="24"/>
        </w:rPr>
        <w:t xml:space="preserve">Russo A, </w:t>
      </w:r>
      <w:proofErr w:type="spellStart"/>
      <w:r w:rsidRPr="00616993">
        <w:rPr>
          <w:rFonts w:ascii="Times New Roman" w:hAnsi="Times New Roman" w:cs="Times New Roman"/>
          <w:sz w:val="24"/>
          <w:szCs w:val="24"/>
        </w:rPr>
        <w:t>Onder</w:t>
      </w:r>
      <w:proofErr w:type="spellEnd"/>
      <w:r w:rsidRPr="00616993">
        <w:rPr>
          <w:rFonts w:ascii="Times New Roman" w:hAnsi="Times New Roman" w:cs="Times New Roman"/>
          <w:sz w:val="24"/>
          <w:szCs w:val="24"/>
        </w:rPr>
        <w:t xml:space="preserve"> G, </w:t>
      </w:r>
      <w:proofErr w:type="spellStart"/>
      <w:r w:rsidRPr="00616993">
        <w:rPr>
          <w:rFonts w:ascii="Times New Roman" w:hAnsi="Times New Roman" w:cs="Times New Roman"/>
          <w:sz w:val="24"/>
          <w:szCs w:val="24"/>
        </w:rPr>
        <w:t>Cesari</w:t>
      </w:r>
      <w:proofErr w:type="spellEnd"/>
      <w:r w:rsidRPr="00616993">
        <w:rPr>
          <w:rFonts w:ascii="Times New Roman" w:hAnsi="Times New Roman" w:cs="Times New Roman"/>
          <w:sz w:val="24"/>
          <w:szCs w:val="24"/>
        </w:rPr>
        <w:t xml:space="preserve"> M, Zamboni V, </w:t>
      </w:r>
      <w:proofErr w:type="spellStart"/>
      <w:r w:rsidRPr="00616993">
        <w:rPr>
          <w:rFonts w:ascii="Times New Roman" w:hAnsi="Times New Roman" w:cs="Times New Roman"/>
          <w:sz w:val="24"/>
          <w:szCs w:val="24"/>
        </w:rPr>
        <w:t>Barillaro</w:t>
      </w:r>
      <w:proofErr w:type="spellEnd"/>
      <w:r w:rsidRPr="00616993">
        <w:rPr>
          <w:rFonts w:ascii="Times New Roman" w:hAnsi="Times New Roman" w:cs="Times New Roman"/>
          <w:sz w:val="24"/>
          <w:szCs w:val="24"/>
        </w:rPr>
        <w:t xml:space="preserve"> C, </w:t>
      </w:r>
      <w:proofErr w:type="spellStart"/>
      <w:r w:rsidRPr="00616993">
        <w:rPr>
          <w:rFonts w:ascii="Times New Roman" w:hAnsi="Times New Roman" w:cs="Times New Roman"/>
          <w:sz w:val="24"/>
          <w:szCs w:val="24"/>
        </w:rPr>
        <w:t>Capoluongo</w:t>
      </w:r>
      <w:proofErr w:type="spellEnd"/>
      <w:r w:rsidRPr="00616993">
        <w:rPr>
          <w:rFonts w:ascii="Times New Roman" w:hAnsi="Times New Roman" w:cs="Times New Roman"/>
          <w:sz w:val="24"/>
          <w:szCs w:val="24"/>
        </w:rPr>
        <w:t xml:space="preserve"> E, et al. Lifetime occupation and physical function: a prospective cohort study on persons aged 80 years and older living in a community. </w:t>
      </w:r>
      <w:proofErr w:type="spellStart"/>
      <w:r w:rsidRPr="00616993">
        <w:rPr>
          <w:rFonts w:ascii="Times New Roman" w:hAnsi="Times New Roman" w:cs="Times New Roman"/>
          <w:sz w:val="24"/>
          <w:szCs w:val="24"/>
        </w:rPr>
        <w:t>Occup</w:t>
      </w:r>
      <w:proofErr w:type="spellEnd"/>
      <w:r w:rsidRPr="00616993">
        <w:rPr>
          <w:rFonts w:ascii="Times New Roman" w:hAnsi="Times New Roman" w:cs="Times New Roman"/>
          <w:sz w:val="24"/>
          <w:szCs w:val="24"/>
        </w:rPr>
        <w:t xml:space="preserve"> Environ Med 2006</w:t>
      </w:r>
      <w:proofErr w:type="gramStart"/>
      <w:r w:rsidRPr="00616993">
        <w:rPr>
          <w:rFonts w:ascii="Times New Roman" w:hAnsi="Times New Roman" w:cs="Times New Roman"/>
          <w:sz w:val="24"/>
          <w:szCs w:val="24"/>
        </w:rPr>
        <w:t>;63:438</w:t>
      </w:r>
      <w:proofErr w:type="gramEnd"/>
      <w:r w:rsidRPr="00616993">
        <w:rPr>
          <w:rFonts w:ascii="Times New Roman" w:hAnsi="Times New Roman" w:cs="Times New Roman"/>
          <w:sz w:val="24"/>
          <w:szCs w:val="24"/>
        </w:rPr>
        <w:t>-42.</w:t>
      </w:r>
    </w:p>
    <w:p w:rsidR="000024B7" w:rsidRPr="00712C24" w:rsidRDefault="00E55A1F" w:rsidP="00E55A1F">
      <w:pPr>
        <w:pStyle w:val="ListParagraph"/>
        <w:numPr>
          <w:ilvl w:val="0"/>
          <w:numId w:val="2"/>
        </w:numPr>
        <w:rPr>
          <w:rFonts w:ascii="Times New Roman" w:hAnsi="Times New Roman" w:cs="Times New Roman"/>
          <w:sz w:val="24"/>
          <w:szCs w:val="24"/>
        </w:rPr>
      </w:pPr>
      <w:r w:rsidRPr="00712C24">
        <w:rPr>
          <w:rFonts w:ascii="Times New Roman" w:hAnsi="Times New Roman" w:cs="Times New Roman"/>
          <w:sz w:val="24"/>
          <w:szCs w:val="24"/>
        </w:rPr>
        <w:t xml:space="preserve">Walker-Bone K, D'Angelo S, Palmer KT, Cooper C, Coggon DNM, Aihie-Sayer A. Heavy manual work throughout the working lifetime and muscle strength among men at retirement age. </w:t>
      </w:r>
      <w:proofErr w:type="spellStart"/>
      <w:r w:rsidRPr="00712C24">
        <w:rPr>
          <w:rFonts w:ascii="Times New Roman" w:hAnsi="Times New Roman" w:cs="Times New Roman"/>
          <w:sz w:val="24"/>
          <w:szCs w:val="24"/>
        </w:rPr>
        <w:t>Occup</w:t>
      </w:r>
      <w:proofErr w:type="spellEnd"/>
      <w:r w:rsidRPr="00712C24">
        <w:rPr>
          <w:rFonts w:ascii="Times New Roman" w:hAnsi="Times New Roman" w:cs="Times New Roman"/>
          <w:sz w:val="24"/>
          <w:szCs w:val="24"/>
        </w:rPr>
        <w:t xml:space="preserve"> Environ Med 2016; 73:284-286.</w:t>
      </w:r>
    </w:p>
    <w:p w:rsidR="00BC34D6" w:rsidRPr="00712C24" w:rsidRDefault="00BC34D6">
      <w:pPr>
        <w:rPr>
          <w:rFonts w:ascii="Times New Roman" w:hAnsi="Times New Roman" w:cs="Times New Roman"/>
          <w:sz w:val="24"/>
          <w:szCs w:val="24"/>
        </w:rPr>
      </w:pPr>
    </w:p>
    <w:sectPr w:rsidR="00BC34D6" w:rsidRPr="00712C24" w:rsidSect="00B13504">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E67" w:rsidRDefault="00117E67" w:rsidP="00AA5BCC">
      <w:pPr>
        <w:spacing w:line="240" w:lineRule="auto"/>
      </w:pPr>
      <w:r>
        <w:separator/>
      </w:r>
    </w:p>
  </w:endnote>
  <w:endnote w:type="continuationSeparator" w:id="0">
    <w:p w:rsidR="00117E67" w:rsidRDefault="00117E67" w:rsidP="00AA5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185392"/>
      <w:docPartObj>
        <w:docPartGallery w:val="Page Numbers (Bottom of Page)"/>
        <w:docPartUnique/>
      </w:docPartObj>
    </w:sdtPr>
    <w:sdtEndPr>
      <w:rPr>
        <w:noProof/>
      </w:rPr>
    </w:sdtEndPr>
    <w:sdtContent>
      <w:p w:rsidR="00CE6613" w:rsidRDefault="00CE6613">
        <w:pPr>
          <w:pStyle w:val="Footer"/>
          <w:jc w:val="right"/>
        </w:pPr>
        <w:r>
          <w:fldChar w:fldCharType="begin"/>
        </w:r>
        <w:r>
          <w:instrText xml:space="preserve"> PAGE   \* MERGEFORMAT </w:instrText>
        </w:r>
        <w:r>
          <w:fldChar w:fldCharType="separate"/>
        </w:r>
        <w:r w:rsidR="00564E17">
          <w:rPr>
            <w:noProof/>
          </w:rPr>
          <w:t>1</w:t>
        </w:r>
        <w:r>
          <w:rPr>
            <w:noProof/>
          </w:rPr>
          <w:fldChar w:fldCharType="end"/>
        </w:r>
      </w:p>
    </w:sdtContent>
  </w:sdt>
  <w:p w:rsidR="00CE6613" w:rsidRDefault="00CE6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E67" w:rsidRDefault="00117E67" w:rsidP="00AA5BCC">
      <w:pPr>
        <w:spacing w:line="240" w:lineRule="auto"/>
      </w:pPr>
      <w:r>
        <w:separator/>
      </w:r>
    </w:p>
  </w:footnote>
  <w:footnote w:type="continuationSeparator" w:id="0">
    <w:p w:rsidR="00117E67" w:rsidRDefault="00117E67" w:rsidP="00AA5B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0DA5"/>
    <w:multiLevelType w:val="hybridMultilevel"/>
    <w:tmpl w:val="FFDAE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FC45F8"/>
    <w:multiLevelType w:val="hybridMultilevel"/>
    <w:tmpl w:val="3482AD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E6046D9"/>
    <w:multiLevelType w:val="hybridMultilevel"/>
    <w:tmpl w:val="5D42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53"/>
    <w:rsid w:val="00001695"/>
    <w:rsid w:val="000024B7"/>
    <w:rsid w:val="000316E8"/>
    <w:rsid w:val="000415AF"/>
    <w:rsid w:val="00084886"/>
    <w:rsid w:val="00085C50"/>
    <w:rsid w:val="000E0512"/>
    <w:rsid w:val="000E23DC"/>
    <w:rsid w:val="00117E67"/>
    <w:rsid w:val="001217F8"/>
    <w:rsid w:val="001836D8"/>
    <w:rsid w:val="00251967"/>
    <w:rsid w:val="00267568"/>
    <w:rsid w:val="002851F2"/>
    <w:rsid w:val="00290829"/>
    <w:rsid w:val="002947FB"/>
    <w:rsid w:val="002A262E"/>
    <w:rsid w:val="002C28C5"/>
    <w:rsid w:val="002D448C"/>
    <w:rsid w:val="002E13A3"/>
    <w:rsid w:val="00316AF7"/>
    <w:rsid w:val="0034086E"/>
    <w:rsid w:val="00376B33"/>
    <w:rsid w:val="003B1249"/>
    <w:rsid w:val="003B1875"/>
    <w:rsid w:val="003D53B8"/>
    <w:rsid w:val="0041672E"/>
    <w:rsid w:val="00496946"/>
    <w:rsid w:val="004D1605"/>
    <w:rsid w:val="004D26BD"/>
    <w:rsid w:val="00505568"/>
    <w:rsid w:val="00532AF2"/>
    <w:rsid w:val="00533F41"/>
    <w:rsid w:val="00564E17"/>
    <w:rsid w:val="0059005E"/>
    <w:rsid w:val="005B7A9A"/>
    <w:rsid w:val="005E24CF"/>
    <w:rsid w:val="0061058C"/>
    <w:rsid w:val="00616993"/>
    <w:rsid w:val="0065083B"/>
    <w:rsid w:val="00660D73"/>
    <w:rsid w:val="00673730"/>
    <w:rsid w:val="006A4901"/>
    <w:rsid w:val="006E5353"/>
    <w:rsid w:val="006F4710"/>
    <w:rsid w:val="007122B3"/>
    <w:rsid w:val="00712C24"/>
    <w:rsid w:val="00717A89"/>
    <w:rsid w:val="00725BD2"/>
    <w:rsid w:val="0077698A"/>
    <w:rsid w:val="00784ED1"/>
    <w:rsid w:val="007A09D5"/>
    <w:rsid w:val="007D3D78"/>
    <w:rsid w:val="00841035"/>
    <w:rsid w:val="008509D7"/>
    <w:rsid w:val="0085526E"/>
    <w:rsid w:val="008767A0"/>
    <w:rsid w:val="00914448"/>
    <w:rsid w:val="00915C5D"/>
    <w:rsid w:val="00976D74"/>
    <w:rsid w:val="009D47A9"/>
    <w:rsid w:val="00A1321F"/>
    <w:rsid w:val="00A22114"/>
    <w:rsid w:val="00A32C2E"/>
    <w:rsid w:val="00A34D8D"/>
    <w:rsid w:val="00A419CC"/>
    <w:rsid w:val="00A71722"/>
    <w:rsid w:val="00A97E12"/>
    <w:rsid w:val="00AA5BCC"/>
    <w:rsid w:val="00AB0FFC"/>
    <w:rsid w:val="00AC7707"/>
    <w:rsid w:val="00AD6CE6"/>
    <w:rsid w:val="00B13504"/>
    <w:rsid w:val="00B427C2"/>
    <w:rsid w:val="00B45CCD"/>
    <w:rsid w:val="00B9539C"/>
    <w:rsid w:val="00BA3B78"/>
    <w:rsid w:val="00BB18C5"/>
    <w:rsid w:val="00BB6631"/>
    <w:rsid w:val="00BC34D6"/>
    <w:rsid w:val="00BD29B2"/>
    <w:rsid w:val="00BD6220"/>
    <w:rsid w:val="00BD7B6F"/>
    <w:rsid w:val="00BD7D73"/>
    <w:rsid w:val="00C03093"/>
    <w:rsid w:val="00C2514A"/>
    <w:rsid w:val="00C501BC"/>
    <w:rsid w:val="00C61C1C"/>
    <w:rsid w:val="00C97731"/>
    <w:rsid w:val="00CA16F0"/>
    <w:rsid w:val="00CD298F"/>
    <w:rsid w:val="00CE6613"/>
    <w:rsid w:val="00D076DD"/>
    <w:rsid w:val="00D202A7"/>
    <w:rsid w:val="00D630B2"/>
    <w:rsid w:val="00D64E4B"/>
    <w:rsid w:val="00D7441E"/>
    <w:rsid w:val="00D852DF"/>
    <w:rsid w:val="00DA0CB2"/>
    <w:rsid w:val="00DD14F2"/>
    <w:rsid w:val="00DE29A2"/>
    <w:rsid w:val="00E003CE"/>
    <w:rsid w:val="00E04ABC"/>
    <w:rsid w:val="00E14A2C"/>
    <w:rsid w:val="00E31245"/>
    <w:rsid w:val="00E55A1F"/>
    <w:rsid w:val="00E7234D"/>
    <w:rsid w:val="00EB4F21"/>
    <w:rsid w:val="00EF3341"/>
    <w:rsid w:val="00EF7EEA"/>
    <w:rsid w:val="00F21E92"/>
    <w:rsid w:val="00F913F3"/>
    <w:rsid w:val="00FD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53"/>
  </w:style>
  <w:style w:type="paragraph" w:styleId="Heading4">
    <w:name w:val="heading 4"/>
    <w:basedOn w:val="Normal"/>
    <w:next w:val="Normal"/>
    <w:link w:val="Heading4Char"/>
    <w:uiPriority w:val="9"/>
    <w:semiHidden/>
    <w:unhideWhenUsed/>
    <w:qFormat/>
    <w:rsid w:val="006E5353"/>
    <w:pPr>
      <w:keepNext/>
      <w:keepLines/>
      <w:spacing w:before="200" w:line="276" w:lineRule="auto"/>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E5353"/>
    <w:rPr>
      <w:rFonts w:ascii="Arial Narrow" w:eastAsiaTheme="majorEastAsia" w:hAnsi="Arial Narrow" w:cstheme="majorBidi"/>
      <w:b/>
      <w:bCs/>
      <w:iCs/>
      <w:sz w:val="24"/>
    </w:rPr>
  </w:style>
  <w:style w:type="character" w:styleId="Hyperlink">
    <w:name w:val="Hyperlink"/>
    <w:basedOn w:val="DefaultParagraphFont"/>
    <w:uiPriority w:val="99"/>
    <w:unhideWhenUsed/>
    <w:rsid w:val="006E5353"/>
    <w:rPr>
      <w:color w:val="0000FF" w:themeColor="hyperlink"/>
      <w:u w:val="single"/>
    </w:rPr>
  </w:style>
  <w:style w:type="paragraph" w:styleId="ListParagraph">
    <w:name w:val="List Paragraph"/>
    <w:basedOn w:val="Normal"/>
    <w:uiPriority w:val="34"/>
    <w:qFormat/>
    <w:rsid w:val="006E5353"/>
    <w:pPr>
      <w:ind w:left="720"/>
      <w:contextualSpacing/>
    </w:pPr>
  </w:style>
  <w:style w:type="character" w:styleId="CommentReference">
    <w:name w:val="annotation reference"/>
    <w:basedOn w:val="DefaultParagraphFont"/>
    <w:uiPriority w:val="99"/>
    <w:semiHidden/>
    <w:unhideWhenUsed/>
    <w:rsid w:val="00B427C2"/>
    <w:rPr>
      <w:sz w:val="16"/>
      <w:szCs w:val="16"/>
    </w:rPr>
  </w:style>
  <w:style w:type="paragraph" w:styleId="CommentText">
    <w:name w:val="annotation text"/>
    <w:basedOn w:val="Normal"/>
    <w:link w:val="CommentTextChar"/>
    <w:uiPriority w:val="99"/>
    <w:unhideWhenUsed/>
    <w:rsid w:val="00B427C2"/>
    <w:pPr>
      <w:spacing w:line="240" w:lineRule="auto"/>
    </w:pPr>
    <w:rPr>
      <w:sz w:val="20"/>
      <w:szCs w:val="20"/>
    </w:rPr>
  </w:style>
  <w:style w:type="character" w:customStyle="1" w:styleId="CommentTextChar">
    <w:name w:val="Comment Text Char"/>
    <w:basedOn w:val="DefaultParagraphFont"/>
    <w:link w:val="CommentText"/>
    <w:uiPriority w:val="99"/>
    <w:rsid w:val="00B427C2"/>
    <w:rPr>
      <w:sz w:val="20"/>
      <w:szCs w:val="20"/>
    </w:rPr>
  </w:style>
  <w:style w:type="paragraph" w:styleId="CommentSubject">
    <w:name w:val="annotation subject"/>
    <w:basedOn w:val="CommentText"/>
    <w:next w:val="CommentText"/>
    <w:link w:val="CommentSubjectChar"/>
    <w:uiPriority w:val="99"/>
    <w:semiHidden/>
    <w:unhideWhenUsed/>
    <w:rsid w:val="00B427C2"/>
    <w:rPr>
      <w:b/>
      <w:bCs/>
    </w:rPr>
  </w:style>
  <w:style w:type="character" w:customStyle="1" w:styleId="CommentSubjectChar">
    <w:name w:val="Comment Subject Char"/>
    <w:basedOn w:val="CommentTextChar"/>
    <w:link w:val="CommentSubject"/>
    <w:uiPriority w:val="99"/>
    <w:semiHidden/>
    <w:rsid w:val="00B427C2"/>
    <w:rPr>
      <w:b/>
      <w:bCs/>
      <w:sz w:val="20"/>
      <w:szCs w:val="20"/>
    </w:rPr>
  </w:style>
  <w:style w:type="paragraph" w:styleId="BalloonText">
    <w:name w:val="Balloon Text"/>
    <w:basedOn w:val="Normal"/>
    <w:link w:val="BalloonTextChar"/>
    <w:uiPriority w:val="99"/>
    <w:semiHidden/>
    <w:unhideWhenUsed/>
    <w:rsid w:val="00B427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C2"/>
    <w:rPr>
      <w:rFonts w:ascii="Tahoma" w:hAnsi="Tahoma" w:cs="Tahoma"/>
      <w:sz w:val="16"/>
      <w:szCs w:val="16"/>
    </w:rPr>
  </w:style>
  <w:style w:type="character" w:styleId="FollowedHyperlink">
    <w:name w:val="FollowedHyperlink"/>
    <w:basedOn w:val="DefaultParagraphFont"/>
    <w:uiPriority w:val="99"/>
    <w:semiHidden/>
    <w:unhideWhenUsed/>
    <w:rsid w:val="000024B7"/>
    <w:rPr>
      <w:color w:val="800080" w:themeColor="followedHyperlink"/>
      <w:u w:val="single"/>
    </w:rPr>
  </w:style>
  <w:style w:type="paragraph" w:styleId="Header">
    <w:name w:val="header"/>
    <w:basedOn w:val="Normal"/>
    <w:link w:val="HeaderChar"/>
    <w:uiPriority w:val="99"/>
    <w:unhideWhenUsed/>
    <w:rsid w:val="00AA5BCC"/>
    <w:pPr>
      <w:tabs>
        <w:tab w:val="center" w:pos="4513"/>
        <w:tab w:val="right" w:pos="9026"/>
      </w:tabs>
      <w:spacing w:line="240" w:lineRule="auto"/>
    </w:pPr>
  </w:style>
  <w:style w:type="character" w:customStyle="1" w:styleId="HeaderChar">
    <w:name w:val="Header Char"/>
    <w:basedOn w:val="DefaultParagraphFont"/>
    <w:link w:val="Header"/>
    <w:uiPriority w:val="99"/>
    <w:rsid w:val="00AA5BCC"/>
  </w:style>
  <w:style w:type="paragraph" w:styleId="Footer">
    <w:name w:val="footer"/>
    <w:basedOn w:val="Normal"/>
    <w:link w:val="FooterChar"/>
    <w:uiPriority w:val="99"/>
    <w:unhideWhenUsed/>
    <w:rsid w:val="00AA5BCC"/>
    <w:pPr>
      <w:tabs>
        <w:tab w:val="center" w:pos="4513"/>
        <w:tab w:val="right" w:pos="9026"/>
      </w:tabs>
      <w:spacing w:line="240" w:lineRule="auto"/>
    </w:pPr>
  </w:style>
  <w:style w:type="character" w:customStyle="1" w:styleId="FooterChar">
    <w:name w:val="Footer Char"/>
    <w:basedOn w:val="DefaultParagraphFont"/>
    <w:link w:val="Footer"/>
    <w:uiPriority w:val="99"/>
    <w:rsid w:val="00AA5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53"/>
  </w:style>
  <w:style w:type="paragraph" w:styleId="Heading4">
    <w:name w:val="heading 4"/>
    <w:basedOn w:val="Normal"/>
    <w:next w:val="Normal"/>
    <w:link w:val="Heading4Char"/>
    <w:uiPriority w:val="9"/>
    <w:semiHidden/>
    <w:unhideWhenUsed/>
    <w:qFormat/>
    <w:rsid w:val="006E5353"/>
    <w:pPr>
      <w:keepNext/>
      <w:keepLines/>
      <w:spacing w:before="200" w:line="276" w:lineRule="auto"/>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E5353"/>
    <w:rPr>
      <w:rFonts w:ascii="Arial Narrow" w:eastAsiaTheme="majorEastAsia" w:hAnsi="Arial Narrow" w:cstheme="majorBidi"/>
      <w:b/>
      <w:bCs/>
      <w:iCs/>
      <w:sz w:val="24"/>
    </w:rPr>
  </w:style>
  <w:style w:type="character" w:styleId="Hyperlink">
    <w:name w:val="Hyperlink"/>
    <w:basedOn w:val="DefaultParagraphFont"/>
    <w:uiPriority w:val="99"/>
    <w:unhideWhenUsed/>
    <w:rsid w:val="006E5353"/>
    <w:rPr>
      <w:color w:val="0000FF" w:themeColor="hyperlink"/>
      <w:u w:val="single"/>
    </w:rPr>
  </w:style>
  <w:style w:type="paragraph" w:styleId="ListParagraph">
    <w:name w:val="List Paragraph"/>
    <w:basedOn w:val="Normal"/>
    <w:uiPriority w:val="34"/>
    <w:qFormat/>
    <w:rsid w:val="006E5353"/>
    <w:pPr>
      <w:ind w:left="720"/>
      <w:contextualSpacing/>
    </w:pPr>
  </w:style>
  <w:style w:type="character" w:styleId="CommentReference">
    <w:name w:val="annotation reference"/>
    <w:basedOn w:val="DefaultParagraphFont"/>
    <w:uiPriority w:val="99"/>
    <w:semiHidden/>
    <w:unhideWhenUsed/>
    <w:rsid w:val="00B427C2"/>
    <w:rPr>
      <w:sz w:val="16"/>
      <w:szCs w:val="16"/>
    </w:rPr>
  </w:style>
  <w:style w:type="paragraph" w:styleId="CommentText">
    <w:name w:val="annotation text"/>
    <w:basedOn w:val="Normal"/>
    <w:link w:val="CommentTextChar"/>
    <w:uiPriority w:val="99"/>
    <w:unhideWhenUsed/>
    <w:rsid w:val="00B427C2"/>
    <w:pPr>
      <w:spacing w:line="240" w:lineRule="auto"/>
    </w:pPr>
    <w:rPr>
      <w:sz w:val="20"/>
      <w:szCs w:val="20"/>
    </w:rPr>
  </w:style>
  <w:style w:type="character" w:customStyle="1" w:styleId="CommentTextChar">
    <w:name w:val="Comment Text Char"/>
    <w:basedOn w:val="DefaultParagraphFont"/>
    <w:link w:val="CommentText"/>
    <w:uiPriority w:val="99"/>
    <w:rsid w:val="00B427C2"/>
    <w:rPr>
      <w:sz w:val="20"/>
      <w:szCs w:val="20"/>
    </w:rPr>
  </w:style>
  <w:style w:type="paragraph" w:styleId="CommentSubject">
    <w:name w:val="annotation subject"/>
    <w:basedOn w:val="CommentText"/>
    <w:next w:val="CommentText"/>
    <w:link w:val="CommentSubjectChar"/>
    <w:uiPriority w:val="99"/>
    <w:semiHidden/>
    <w:unhideWhenUsed/>
    <w:rsid w:val="00B427C2"/>
    <w:rPr>
      <w:b/>
      <w:bCs/>
    </w:rPr>
  </w:style>
  <w:style w:type="character" w:customStyle="1" w:styleId="CommentSubjectChar">
    <w:name w:val="Comment Subject Char"/>
    <w:basedOn w:val="CommentTextChar"/>
    <w:link w:val="CommentSubject"/>
    <w:uiPriority w:val="99"/>
    <w:semiHidden/>
    <w:rsid w:val="00B427C2"/>
    <w:rPr>
      <w:b/>
      <w:bCs/>
      <w:sz w:val="20"/>
      <w:szCs w:val="20"/>
    </w:rPr>
  </w:style>
  <w:style w:type="paragraph" w:styleId="BalloonText">
    <w:name w:val="Balloon Text"/>
    <w:basedOn w:val="Normal"/>
    <w:link w:val="BalloonTextChar"/>
    <w:uiPriority w:val="99"/>
    <w:semiHidden/>
    <w:unhideWhenUsed/>
    <w:rsid w:val="00B427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C2"/>
    <w:rPr>
      <w:rFonts w:ascii="Tahoma" w:hAnsi="Tahoma" w:cs="Tahoma"/>
      <w:sz w:val="16"/>
      <w:szCs w:val="16"/>
    </w:rPr>
  </w:style>
  <w:style w:type="character" w:styleId="FollowedHyperlink">
    <w:name w:val="FollowedHyperlink"/>
    <w:basedOn w:val="DefaultParagraphFont"/>
    <w:uiPriority w:val="99"/>
    <w:semiHidden/>
    <w:unhideWhenUsed/>
    <w:rsid w:val="000024B7"/>
    <w:rPr>
      <w:color w:val="800080" w:themeColor="followedHyperlink"/>
      <w:u w:val="single"/>
    </w:rPr>
  </w:style>
  <w:style w:type="paragraph" w:styleId="Header">
    <w:name w:val="header"/>
    <w:basedOn w:val="Normal"/>
    <w:link w:val="HeaderChar"/>
    <w:uiPriority w:val="99"/>
    <w:unhideWhenUsed/>
    <w:rsid w:val="00AA5BCC"/>
    <w:pPr>
      <w:tabs>
        <w:tab w:val="center" w:pos="4513"/>
        <w:tab w:val="right" w:pos="9026"/>
      </w:tabs>
      <w:spacing w:line="240" w:lineRule="auto"/>
    </w:pPr>
  </w:style>
  <w:style w:type="character" w:customStyle="1" w:styleId="HeaderChar">
    <w:name w:val="Header Char"/>
    <w:basedOn w:val="DefaultParagraphFont"/>
    <w:link w:val="Header"/>
    <w:uiPriority w:val="99"/>
    <w:rsid w:val="00AA5BCC"/>
  </w:style>
  <w:style w:type="paragraph" w:styleId="Footer">
    <w:name w:val="footer"/>
    <w:basedOn w:val="Normal"/>
    <w:link w:val="FooterChar"/>
    <w:uiPriority w:val="99"/>
    <w:unhideWhenUsed/>
    <w:rsid w:val="00AA5BCC"/>
    <w:pPr>
      <w:tabs>
        <w:tab w:val="center" w:pos="4513"/>
        <w:tab w:val="right" w:pos="9026"/>
      </w:tabs>
      <w:spacing w:line="240" w:lineRule="auto"/>
    </w:pPr>
  </w:style>
  <w:style w:type="character" w:customStyle="1" w:styleId="FooterChar">
    <w:name w:val="Footer Char"/>
    <w:basedOn w:val="DefaultParagraphFont"/>
    <w:link w:val="Footer"/>
    <w:uiPriority w:val="99"/>
    <w:rsid w:val="00AA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12320">
      <w:bodyDiv w:val="1"/>
      <w:marLeft w:val="0"/>
      <w:marRight w:val="0"/>
      <w:marTop w:val="0"/>
      <w:marBottom w:val="0"/>
      <w:divBdr>
        <w:top w:val="none" w:sz="0" w:space="0" w:color="auto"/>
        <w:left w:val="none" w:sz="0" w:space="0" w:color="auto"/>
        <w:bottom w:val="none" w:sz="0" w:space="0" w:color="auto"/>
        <w:right w:val="none" w:sz="0" w:space="0" w:color="auto"/>
      </w:divBdr>
    </w:div>
    <w:div w:id="1256014823">
      <w:bodyDiv w:val="1"/>
      <w:marLeft w:val="0"/>
      <w:marRight w:val="0"/>
      <w:marTop w:val="0"/>
      <w:marBottom w:val="0"/>
      <w:divBdr>
        <w:top w:val="none" w:sz="0" w:space="0" w:color="auto"/>
        <w:left w:val="none" w:sz="0" w:space="0" w:color="auto"/>
        <w:bottom w:val="none" w:sz="0" w:space="0" w:color="auto"/>
        <w:right w:val="none" w:sz="0" w:space="0" w:color="auto"/>
      </w:divBdr>
    </w:div>
    <w:div w:id="1536039952">
      <w:bodyDiv w:val="1"/>
      <w:marLeft w:val="0"/>
      <w:marRight w:val="0"/>
      <w:marTop w:val="0"/>
      <w:marBottom w:val="0"/>
      <w:divBdr>
        <w:top w:val="none" w:sz="0" w:space="0" w:color="auto"/>
        <w:left w:val="none" w:sz="0" w:space="0" w:color="auto"/>
        <w:bottom w:val="none" w:sz="0" w:space="0" w:color="auto"/>
        <w:right w:val="none" w:sz="0" w:space="0" w:color="auto"/>
      </w:divBdr>
    </w:div>
    <w:div w:id="1924140983">
      <w:bodyDiv w:val="1"/>
      <w:marLeft w:val="0"/>
      <w:marRight w:val="0"/>
      <w:marTop w:val="0"/>
      <w:marBottom w:val="0"/>
      <w:divBdr>
        <w:top w:val="none" w:sz="0" w:space="0" w:color="auto"/>
        <w:left w:val="none" w:sz="0" w:space="0" w:color="auto"/>
        <w:bottom w:val="none" w:sz="0" w:space="0" w:color="auto"/>
        <w:right w:val="none" w:sz="0" w:space="0" w:color="auto"/>
      </w:divBdr>
    </w:div>
    <w:div w:id="2044935315">
      <w:bodyDiv w:val="1"/>
      <w:marLeft w:val="0"/>
      <w:marRight w:val="0"/>
      <w:marTop w:val="0"/>
      <w:marBottom w:val="0"/>
      <w:divBdr>
        <w:top w:val="none" w:sz="0" w:space="0" w:color="auto"/>
        <w:left w:val="none" w:sz="0" w:space="0" w:color="auto"/>
        <w:bottom w:val="none" w:sz="0" w:space="0" w:color="auto"/>
        <w:right w:val="none" w:sz="0" w:space="0" w:color="auto"/>
      </w:divBdr>
    </w:div>
    <w:div w:id="208302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scotland.com/uploads/documents/7551-WEMWBS%20User%20Guide%20Version%201%20June%20200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ns.gov.uk/ons/guide-method/classifications/current-standard-classifications/soc2010/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uller-working-lives-a-framework-for-ac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tp@mrc.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029C-915F-419A-8C72-8C8BFEF5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6166</Words>
  <Characters>35147</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Palmer</dc:creator>
  <cp:lastModifiedBy>Karen Drake</cp:lastModifiedBy>
  <cp:revision>2</cp:revision>
  <cp:lastPrinted>2016-12-05T12:23:00Z</cp:lastPrinted>
  <dcterms:created xsi:type="dcterms:W3CDTF">2017-01-10T15:03:00Z</dcterms:created>
  <dcterms:modified xsi:type="dcterms:W3CDTF">2017-01-10T15:03:00Z</dcterms:modified>
</cp:coreProperties>
</file>