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F2" w:rsidRDefault="00D31943" w:rsidP="0032583E">
      <w:pPr>
        <w:spacing w:line="480" w:lineRule="auto"/>
        <w:rPr>
          <w:rStyle w:val="Strong"/>
          <w:b w:val="0"/>
          <w:bCs w:val="0"/>
        </w:rPr>
      </w:pPr>
      <w:r w:rsidRPr="00523EF2">
        <w:rPr>
          <w:rStyle w:val="Strong"/>
          <w:bCs w:val="0"/>
        </w:rPr>
        <w:t>Disease Diplomacy: International Norms and Global Health Security</w:t>
      </w:r>
      <w:r w:rsidR="00523EF2" w:rsidRPr="00523EF2">
        <w:rPr>
          <w:rStyle w:val="Strong"/>
          <w:bCs w:val="0"/>
        </w:rPr>
        <w:t>.</w:t>
      </w:r>
      <w:r>
        <w:rPr>
          <w:rStyle w:val="Strong"/>
          <w:b w:val="0"/>
          <w:bCs w:val="0"/>
        </w:rPr>
        <w:t xml:space="preserve"> </w:t>
      </w:r>
      <w:proofErr w:type="gramStart"/>
      <w:r w:rsidR="00523EF2">
        <w:rPr>
          <w:rStyle w:val="Strong"/>
          <w:b w:val="0"/>
          <w:bCs w:val="0"/>
        </w:rPr>
        <w:t xml:space="preserve">By </w:t>
      </w:r>
      <w:r w:rsidR="00523EF2" w:rsidRPr="00D31943">
        <w:rPr>
          <w:rStyle w:val="Strong"/>
          <w:b w:val="0"/>
          <w:bCs w:val="0"/>
        </w:rPr>
        <w:t xml:space="preserve">Sara E. Davies, Adam </w:t>
      </w:r>
      <w:proofErr w:type="spellStart"/>
      <w:r w:rsidR="00523EF2" w:rsidRPr="00D31943">
        <w:rPr>
          <w:rStyle w:val="Strong"/>
          <w:b w:val="0"/>
          <w:bCs w:val="0"/>
        </w:rPr>
        <w:t>Kamradt</w:t>
      </w:r>
      <w:proofErr w:type="spellEnd"/>
      <w:r w:rsidR="00523EF2" w:rsidRPr="00D31943">
        <w:rPr>
          <w:rStyle w:val="Strong"/>
          <w:b w:val="0"/>
          <w:bCs w:val="0"/>
        </w:rPr>
        <w:t>-Scott</w:t>
      </w:r>
      <w:r w:rsidR="0065642E">
        <w:rPr>
          <w:rStyle w:val="Strong"/>
          <w:b w:val="0"/>
          <w:bCs w:val="0"/>
        </w:rPr>
        <w:t>,</w:t>
      </w:r>
      <w:r w:rsidR="00523EF2" w:rsidRPr="00D31943">
        <w:rPr>
          <w:rStyle w:val="Strong"/>
          <w:b w:val="0"/>
          <w:bCs w:val="0"/>
        </w:rPr>
        <w:t xml:space="preserve"> and Simon Rushton</w:t>
      </w:r>
      <w:r w:rsidR="00523EF2">
        <w:rPr>
          <w:rStyle w:val="Strong"/>
          <w:b w:val="0"/>
          <w:bCs w:val="0"/>
        </w:rPr>
        <w:t>.</w:t>
      </w:r>
      <w:proofErr w:type="gramEnd"/>
      <w:r w:rsidR="00523EF2">
        <w:rPr>
          <w:rStyle w:val="Strong"/>
          <w:b w:val="0"/>
          <w:bCs w:val="0"/>
        </w:rPr>
        <w:t xml:space="preserve"> Baltimore: Johns Hopkins University Press, 2015. </w:t>
      </w:r>
      <w:bookmarkStart w:id="0" w:name="_GoBack"/>
      <w:bookmarkEnd w:id="0"/>
      <w:proofErr w:type="gramStart"/>
      <w:r w:rsidR="00523EF2">
        <w:rPr>
          <w:rStyle w:val="Strong"/>
          <w:b w:val="0"/>
          <w:bCs w:val="0"/>
        </w:rPr>
        <w:t>192p. $39.95</w:t>
      </w:r>
      <w:r w:rsidR="00767522">
        <w:rPr>
          <w:rStyle w:val="Strong"/>
          <w:b w:val="0"/>
          <w:bCs w:val="0"/>
        </w:rPr>
        <w:t>.</w:t>
      </w:r>
      <w:proofErr w:type="gramEnd"/>
    </w:p>
    <w:p w:rsidR="00523EF2" w:rsidRDefault="00523EF2" w:rsidP="0032583E">
      <w:pPr>
        <w:spacing w:line="480" w:lineRule="auto"/>
        <w:rPr>
          <w:rStyle w:val="Strong"/>
          <w:b w:val="0"/>
          <w:bCs w:val="0"/>
        </w:rPr>
      </w:pPr>
    </w:p>
    <w:p w:rsidR="00523EF2" w:rsidRDefault="00523EF2" w:rsidP="0032583E">
      <w:pPr>
        <w:spacing w:line="480" w:lineRule="auto"/>
        <w:jc w:val="right"/>
        <w:rPr>
          <w:rStyle w:val="Strong"/>
          <w:b w:val="0"/>
          <w:bCs w:val="0"/>
        </w:rPr>
      </w:pPr>
      <w:r>
        <w:rPr>
          <w:rStyle w:val="Strong"/>
          <w:b w:val="0"/>
          <w:bCs w:val="0"/>
        </w:rPr>
        <w:t xml:space="preserve">Christian Enemark, </w:t>
      </w:r>
      <w:r w:rsidRPr="00523EF2">
        <w:rPr>
          <w:rStyle w:val="Strong"/>
          <w:b w:val="0"/>
          <w:bCs w:val="0"/>
          <w:i/>
        </w:rPr>
        <w:t>University of Southampton</w:t>
      </w:r>
    </w:p>
    <w:p w:rsidR="00523EF2" w:rsidRDefault="00523EF2" w:rsidP="0032583E">
      <w:pPr>
        <w:spacing w:line="480" w:lineRule="auto"/>
        <w:rPr>
          <w:rStyle w:val="Strong"/>
          <w:b w:val="0"/>
          <w:bCs w:val="0"/>
        </w:rPr>
      </w:pPr>
    </w:p>
    <w:p w:rsidR="007C51E1" w:rsidRDefault="007C51E1" w:rsidP="0032583E">
      <w:pPr>
        <w:spacing w:line="480" w:lineRule="auto"/>
      </w:pPr>
    </w:p>
    <w:p w:rsidR="00130573" w:rsidRDefault="00491607" w:rsidP="0032583E">
      <w:pPr>
        <w:spacing w:line="480" w:lineRule="auto"/>
      </w:pPr>
      <w:r>
        <w:rPr>
          <w:lang w:val="en-US"/>
        </w:rPr>
        <w:t>Outbreaks of deadly infectious diseases</w:t>
      </w:r>
      <w:r w:rsidR="00EB4612">
        <w:rPr>
          <w:lang w:val="en-US"/>
        </w:rPr>
        <w:t xml:space="preserve"> </w:t>
      </w:r>
      <w:r w:rsidR="00446781" w:rsidRPr="006F41EE">
        <w:rPr>
          <w:lang w:val="en-US"/>
        </w:rPr>
        <w:t xml:space="preserve">are a great and growing concern </w:t>
      </w:r>
      <w:r w:rsidR="00F23605">
        <w:rPr>
          <w:lang w:val="en-US"/>
        </w:rPr>
        <w:t xml:space="preserve">for governments </w:t>
      </w:r>
      <w:r w:rsidR="00446781" w:rsidRPr="006F41EE">
        <w:rPr>
          <w:lang w:val="en-US"/>
        </w:rPr>
        <w:t>worldwide.</w:t>
      </w:r>
      <w:r w:rsidR="008F4D4F">
        <w:rPr>
          <w:lang w:val="en-US"/>
        </w:rPr>
        <w:t xml:space="preserve"> </w:t>
      </w:r>
      <w:r w:rsidR="009816B9">
        <w:rPr>
          <w:lang w:val="en-US"/>
        </w:rPr>
        <w:t>Over the course of the last two decades, t</w:t>
      </w:r>
      <w:r w:rsidR="008F4D4F">
        <w:rPr>
          <w:lang w:val="en-US"/>
        </w:rPr>
        <w:t xml:space="preserve">his concern has provided the political and diplomatic impetus toward having a better system </w:t>
      </w:r>
      <w:r w:rsidR="00F9213B">
        <w:rPr>
          <w:lang w:val="en-US"/>
        </w:rPr>
        <w:t xml:space="preserve">in place </w:t>
      </w:r>
      <w:r w:rsidR="008F4D4F">
        <w:rPr>
          <w:lang w:val="en-US"/>
        </w:rPr>
        <w:t xml:space="preserve">for </w:t>
      </w:r>
      <w:r w:rsidR="00F9213B">
        <w:rPr>
          <w:lang w:val="en-US"/>
        </w:rPr>
        <w:t xml:space="preserve">the </w:t>
      </w:r>
      <w:r w:rsidR="008F4D4F">
        <w:rPr>
          <w:lang w:val="en-US"/>
        </w:rPr>
        <w:t>international management of outbreak risks</w:t>
      </w:r>
      <w:r w:rsidR="00F9213B">
        <w:rPr>
          <w:lang w:val="en-US"/>
        </w:rPr>
        <w:t>.</w:t>
      </w:r>
      <w:r w:rsidR="009816B9">
        <w:rPr>
          <w:lang w:val="en-US"/>
        </w:rPr>
        <w:t xml:space="preserve"> This system, organized according to International Health Regulations (IHR) and coordinated by the World Health Organization</w:t>
      </w:r>
      <w:r w:rsidR="00BC1D0D">
        <w:rPr>
          <w:lang w:val="en-US"/>
        </w:rPr>
        <w:t xml:space="preserve"> (WHO)</w:t>
      </w:r>
      <w:r w:rsidR="009816B9">
        <w:rPr>
          <w:lang w:val="en-US"/>
        </w:rPr>
        <w:t xml:space="preserve">, </w:t>
      </w:r>
      <w:r w:rsidR="00BC1D0D">
        <w:rPr>
          <w:lang w:val="en-US"/>
        </w:rPr>
        <w:t>is challenged by</w:t>
      </w:r>
      <w:r w:rsidR="009816B9">
        <w:rPr>
          <w:lang w:val="en-US"/>
        </w:rPr>
        <w:t xml:space="preserve"> </w:t>
      </w:r>
      <w:r w:rsidR="005B0332">
        <w:rPr>
          <w:lang w:val="en-US"/>
        </w:rPr>
        <w:t>ideational</w:t>
      </w:r>
      <w:r w:rsidR="009816B9">
        <w:rPr>
          <w:lang w:val="en-US"/>
        </w:rPr>
        <w:t xml:space="preserve"> </w:t>
      </w:r>
      <w:r w:rsidR="00BC1D0D">
        <w:rPr>
          <w:lang w:val="en-US"/>
        </w:rPr>
        <w:t xml:space="preserve">factors </w:t>
      </w:r>
      <w:r w:rsidR="00547F3B">
        <w:rPr>
          <w:lang w:val="en-US"/>
        </w:rPr>
        <w:t xml:space="preserve">as well as material </w:t>
      </w:r>
      <w:r w:rsidR="00BC1D0D">
        <w:rPr>
          <w:lang w:val="en-US"/>
        </w:rPr>
        <w:t>ones</w:t>
      </w:r>
      <w:r w:rsidR="00547F3B">
        <w:rPr>
          <w:lang w:val="en-US"/>
        </w:rPr>
        <w:t>. A</w:t>
      </w:r>
      <w:r w:rsidR="009816B9">
        <w:rPr>
          <w:lang w:val="en-US"/>
        </w:rPr>
        <w:t>s such</w:t>
      </w:r>
      <w:r w:rsidR="00547F3B">
        <w:rPr>
          <w:lang w:val="en-US"/>
        </w:rPr>
        <w:t>,</w:t>
      </w:r>
      <w:r w:rsidR="009816B9">
        <w:rPr>
          <w:lang w:val="en-US"/>
        </w:rPr>
        <w:t xml:space="preserve"> it is a worthy subject of attention by scholars </w:t>
      </w:r>
      <w:r w:rsidR="00547F3B">
        <w:rPr>
          <w:lang w:val="en-US"/>
        </w:rPr>
        <w:t xml:space="preserve">working at the intersection of </w:t>
      </w:r>
      <w:r w:rsidR="00BC1D0D">
        <w:rPr>
          <w:lang w:val="en-US"/>
        </w:rPr>
        <w:t xml:space="preserve">public health and </w:t>
      </w:r>
      <w:r w:rsidR="00547F3B">
        <w:rPr>
          <w:lang w:val="en-US"/>
        </w:rPr>
        <w:t xml:space="preserve">international </w:t>
      </w:r>
      <w:r w:rsidR="00BC1D0D">
        <w:rPr>
          <w:lang w:val="en-US"/>
        </w:rPr>
        <w:t>relations.</w:t>
      </w:r>
      <w:r w:rsidR="0060321D">
        <w:rPr>
          <w:lang w:val="en-US"/>
        </w:rPr>
        <w:t xml:space="preserve"> </w:t>
      </w:r>
      <w:r w:rsidR="00437061">
        <w:t xml:space="preserve">In </w:t>
      </w:r>
      <w:r w:rsidR="00437061" w:rsidRPr="00491607">
        <w:rPr>
          <w:i/>
        </w:rPr>
        <w:t>Disease Diplomacy</w:t>
      </w:r>
      <w:r w:rsidR="00437061">
        <w:t>, Sara</w:t>
      </w:r>
      <w:r w:rsidR="00BC1D0D">
        <w:t xml:space="preserve"> Davies and her co-authors make a timely and valuable contribution to the store of knowledge</w:t>
      </w:r>
      <w:r w:rsidR="00130573">
        <w:t xml:space="preserve"> </w:t>
      </w:r>
      <w:r w:rsidR="005B0332">
        <w:t xml:space="preserve">about why and </w:t>
      </w:r>
      <w:r w:rsidR="00130573">
        <w:t xml:space="preserve">how states work collectively to strengthen disease surveillance systems and outbreak response capacity worldwide. Whereas previous analyses of </w:t>
      </w:r>
      <w:r w:rsidR="0065642E">
        <w:t>IHR</w:t>
      </w:r>
      <w:r w:rsidR="00130573">
        <w:t xml:space="preserve"> adherence have tended to be oriented primarily toward </w:t>
      </w:r>
      <w:r w:rsidR="00935F77">
        <w:t>issues</w:t>
      </w:r>
      <w:r w:rsidR="00130573">
        <w:t xml:space="preserve"> of international law and public health practice, the </w:t>
      </w:r>
      <w:r w:rsidR="009E1D6C">
        <w:t>fresh</w:t>
      </w:r>
      <w:r w:rsidR="00130573">
        <w:t xml:space="preserve"> perspective offered by this book is one </w:t>
      </w:r>
      <w:r w:rsidR="005B0332">
        <w:t xml:space="preserve">that is </w:t>
      </w:r>
      <w:r w:rsidR="00130573">
        <w:t>informed by social constructivist theory. The authors’ focus is on the importance of norms in shaping and driving the political behaviour of national governments and international institutions.</w:t>
      </w:r>
      <w:r w:rsidR="009E1D6C">
        <w:t xml:space="preserve"> Specifically, the</w:t>
      </w:r>
      <w:r w:rsidR="00130573">
        <w:t xml:space="preserve"> aim </w:t>
      </w:r>
      <w:r w:rsidR="009E1D6C">
        <w:t xml:space="preserve">is </w:t>
      </w:r>
      <w:r w:rsidR="00130573">
        <w:t xml:space="preserve">to show how the process of revising the IHR, and the subsequent effort to encourage state compliance, </w:t>
      </w:r>
      <w:r w:rsidR="00935F77">
        <w:t>has</w:t>
      </w:r>
      <w:r w:rsidR="00130573">
        <w:t xml:space="preserve"> effectively codified a new set of expectations about how a “responsible state” should behave in the event of an infectious disease outbreak that could spread</w:t>
      </w:r>
      <w:r w:rsidR="0060321D">
        <w:t xml:space="preserve"> across borders</w:t>
      </w:r>
      <w:r w:rsidR="00935F77">
        <w:t xml:space="preserve"> (p. 3)</w:t>
      </w:r>
      <w:r w:rsidR="00130573">
        <w:t>.</w:t>
      </w:r>
    </w:p>
    <w:p w:rsidR="00870588" w:rsidRDefault="00870588" w:rsidP="0032583E">
      <w:pPr>
        <w:spacing w:line="480" w:lineRule="auto"/>
      </w:pPr>
    </w:p>
    <w:p w:rsidR="007D6CB0" w:rsidRDefault="00870588" w:rsidP="0032583E">
      <w:pPr>
        <w:spacing w:line="480" w:lineRule="auto"/>
      </w:pPr>
      <w:r>
        <w:t xml:space="preserve">The book is </w:t>
      </w:r>
      <w:r w:rsidR="00136197">
        <w:t>built upon a strong foundation of research</w:t>
      </w:r>
      <w:r>
        <w:t xml:space="preserve">, and its findings are sure to be devoured eagerly by anyone who has a longstanding interest in the WHO. Newcomers to the field of global health governance might find the subject matter a little dry, but </w:t>
      </w:r>
      <w:r w:rsidR="00935F77">
        <w:t xml:space="preserve">any </w:t>
      </w:r>
      <w:r w:rsidR="009E1D6C">
        <w:t xml:space="preserve">apparent </w:t>
      </w:r>
      <w:r>
        <w:t xml:space="preserve">dryness is </w:t>
      </w:r>
      <w:r w:rsidR="00935F77">
        <w:t xml:space="preserve">amply </w:t>
      </w:r>
      <w:r>
        <w:t xml:space="preserve">tempered by the authors’ elegant </w:t>
      </w:r>
      <w:r w:rsidR="00935F77">
        <w:t xml:space="preserve">use of </w:t>
      </w:r>
      <w:r>
        <w:t xml:space="preserve">language and </w:t>
      </w:r>
      <w:r w:rsidR="00935F77">
        <w:t xml:space="preserve">their </w:t>
      </w:r>
      <w:r>
        <w:t xml:space="preserve">careful explanations of </w:t>
      </w:r>
      <w:r w:rsidR="00935F77">
        <w:t>concepts</w:t>
      </w:r>
      <w:r>
        <w:t xml:space="preserve"> and events. The analysis is helpfully structured </w:t>
      </w:r>
      <w:r w:rsidR="00935F77">
        <w:t xml:space="preserve">throughout </w:t>
      </w:r>
      <w:r>
        <w:t xml:space="preserve">by reference to the ‘norm life cycle’ framework devised by Martha </w:t>
      </w:r>
      <w:proofErr w:type="spellStart"/>
      <w:r>
        <w:t>Finnemore</w:t>
      </w:r>
      <w:proofErr w:type="spellEnd"/>
      <w:r>
        <w:t xml:space="preserve"> and Kathryn </w:t>
      </w:r>
      <w:proofErr w:type="spellStart"/>
      <w:r>
        <w:t>Sikkink</w:t>
      </w:r>
      <w:proofErr w:type="spellEnd"/>
      <w:r w:rsidR="004F0052">
        <w:t xml:space="preserve">, and </w:t>
      </w:r>
      <w:r w:rsidR="00935F77">
        <w:t>there are</w:t>
      </w:r>
      <w:r w:rsidR="004F0052">
        <w:t xml:space="preserve"> </w:t>
      </w:r>
      <w:r w:rsidR="00935F77">
        <w:t>frequent</w:t>
      </w:r>
      <w:r w:rsidR="004F0052">
        <w:t xml:space="preserve"> </w:t>
      </w:r>
      <w:r w:rsidR="00935F77">
        <w:t>citations of</w:t>
      </w:r>
      <w:r w:rsidR="004F0052">
        <w:t xml:space="preserve"> a 1998 article in </w:t>
      </w:r>
      <w:r w:rsidR="004F0052" w:rsidRPr="00935F77">
        <w:rPr>
          <w:i/>
        </w:rPr>
        <w:t>International Organization</w:t>
      </w:r>
      <w:r w:rsidR="004F0052">
        <w:t xml:space="preserve"> by </w:t>
      </w:r>
      <w:proofErr w:type="spellStart"/>
      <w:r w:rsidR="004F0052">
        <w:t>Finnemore</w:t>
      </w:r>
      <w:proofErr w:type="spellEnd"/>
      <w:r w:rsidR="004F0052">
        <w:t xml:space="preserve"> and </w:t>
      </w:r>
      <w:proofErr w:type="spellStart"/>
      <w:r w:rsidR="004F0052">
        <w:t>Sikkink</w:t>
      </w:r>
      <w:proofErr w:type="spellEnd"/>
      <w:r w:rsidR="004F0052">
        <w:t xml:space="preserve"> entitled ‘</w:t>
      </w:r>
      <w:r w:rsidR="00136197">
        <w:t xml:space="preserve">International Norm Dynamics and Political Change’. In </w:t>
      </w:r>
      <w:r w:rsidR="00AE1B18">
        <w:t xml:space="preserve">presenting their arguments in </w:t>
      </w:r>
      <w:r w:rsidR="00136197">
        <w:t xml:space="preserve">this way, the authors </w:t>
      </w:r>
      <w:r w:rsidR="00AE1B18">
        <w:t xml:space="preserve">of </w:t>
      </w:r>
      <w:r w:rsidR="00AE1B18" w:rsidRPr="00AE1B18">
        <w:rPr>
          <w:i/>
        </w:rPr>
        <w:t>Disease Diplomacy</w:t>
      </w:r>
      <w:r w:rsidR="00AE1B18">
        <w:t xml:space="preserve"> </w:t>
      </w:r>
      <w:r w:rsidR="00136197">
        <w:t xml:space="preserve">enable the reader to discern and </w:t>
      </w:r>
      <w:r w:rsidR="0065642E">
        <w:t xml:space="preserve">readily </w:t>
      </w:r>
      <w:r w:rsidR="00136197">
        <w:t>comprehend the emergence, socialisation and internalisation of norms with particular regard to IHR compliance.</w:t>
      </w:r>
      <w:r w:rsidR="006B295E">
        <w:t xml:space="preserve"> </w:t>
      </w:r>
      <w:r w:rsidR="00AE1B18">
        <w:t>The book</w:t>
      </w:r>
      <w:r w:rsidR="00315267">
        <w:t xml:space="preserve"> </w:t>
      </w:r>
      <w:r w:rsidR="00136197">
        <w:t xml:space="preserve">is </w:t>
      </w:r>
      <w:r w:rsidR="00315267">
        <w:t xml:space="preserve">thus </w:t>
      </w:r>
      <w:r w:rsidR="00136197">
        <w:t>doubly innovative</w:t>
      </w:r>
      <w:r w:rsidR="009E1D6C">
        <w:t xml:space="preserve"> in the contribution it makes</w:t>
      </w:r>
      <w:r w:rsidR="00136197">
        <w:t xml:space="preserve">. </w:t>
      </w:r>
      <w:r w:rsidR="00315267">
        <w:t xml:space="preserve">In shining the light of </w:t>
      </w:r>
      <w:r w:rsidR="00136197">
        <w:t xml:space="preserve">norm theory </w:t>
      </w:r>
      <w:r w:rsidR="00315267">
        <w:t>upon the politics surrounding the IHR, it refreshes our understanding of global health governance. And the book serves also to demonstrate</w:t>
      </w:r>
      <w:r w:rsidR="006B295E">
        <w:t xml:space="preserve">, in the context of health policy, the </w:t>
      </w:r>
      <w:r w:rsidR="009E1D6C">
        <w:t>value</w:t>
      </w:r>
      <w:r w:rsidR="006B295E">
        <w:t xml:space="preserve"> of</w:t>
      </w:r>
      <w:r w:rsidR="00315267">
        <w:t xml:space="preserve"> such theory</w:t>
      </w:r>
      <w:r w:rsidR="006B295E">
        <w:t xml:space="preserve"> </w:t>
      </w:r>
      <w:r w:rsidR="009E1D6C">
        <w:t>for the purpose of</w:t>
      </w:r>
      <w:r w:rsidR="006B295E">
        <w:t xml:space="preserve"> explain</w:t>
      </w:r>
      <w:r w:rsidR="009E1D6C">
        <w:t>ing</w:t>
      </w:r>
      <w:r w:rsidR="006B295E">
        <w:t xml:space="preserve"> international political phenomena.</w:t>
      </w:r>
      <w:r w:rsidR="00413303">
        <w:t xml:space="preserve"> </w:t>
      </w:r>
      <w:r w:rsidR="007D6CB0">
        <w:t xml:space="preserve">Despite the appearance of “Global Health Security” in the sub-title, the book is mainly about “International Norms”. The authors refer to ‘global health security’ as a term of art used in recent global health governance discourse, </w:t>
      </w:r>
      <w:r w:rsidR="00AE1B18">
        <w:t>and fortunately</w:t>
      </w:r>
      <w:r w:rsidR="007D6CB0">
        <w:t xml:space="preserve"> the logic of their overall argument does not require a painstaking unpacking of that term (e.g. whose security, </w:t>
      </w:r>
      <w:r w:rsidR="00AE1B18">
        <w:t>against what</w:t>
      </w:r>
      <w:r w:rsidR="007D6CB0">
        <w:t xml:space="preserve">, </w:t>
      </w:r>
      <w:r w:rsidR="0065642E">
        <w:t xml:space="preserve">to be pursued </w:t>
      </w:r>
      <w:r w:rsidR="007D6CB0">
        <w:t>at what cost?).</w:t>
      </w:r>
    </w:p>
    <w:p w:rsidR="00136197" w:rsidRDefault="00136197" w:rsidP="0032583E">
      <w:pPr>
        <w:spacing w:line="480" w:lineRule="auto"/>
      </w:pPr>
    </w:p>
    <w:p w:rsidR="00FC7730" w:rsidRDefault="009E1D6C" w:rsidP="0032583E">
      <w:pPr>
        <w:spacing w:line="480" w:lineRule="auto"/>
      </w:pPr>
      <w:r>
        <w:t xml:space="preserve">The central concern </w:t>
      </w:r>
      <w:r w:rsidR="00413303">
        <w:t xml:space="preserve">in </w:t>
      </w:r>
      <w:r w:rsidR="00413303" w:rsidRPr="00413303">
        <w:rPr>
          <w:i/>
        </w:rPr>
        <w:t>Disease Diplomacy</w:t>
      </w:r>
      <w:r w:rsidR="00413303">
        <w:t xml:space="preserve"> </w:t>
      </w:r>
      <w:r>
        <w:t>is the decision taken by WHO member states i</w:t>
      </w:r>
      <w:r w:rsidR="006B295E">
        <w:t xml:space="preserve">n 2005 </w:t>
      </w:r>
      <w:r>
        <w:t xml:space="preserve">to </w:t>
      </w:r>
      <w:r w:rsidR="0065642E">
        <w:t>revise</w:t>
      </w:r>
      <w:r w:rsidR="00FC7730">
        <w:t xml:space="preserve"> the IHR (</w:t>
      </w:r>
      <w:r>
        <w:t xml:space="preserve">which had remained </w:t>
      </w:r>
      <w:r w:rsidR="00FC7730">
        <w:t>virtually unchanged since 1969)</w:t>
      </w:r>
      <w:r w:rsidR="006B295E">
        <w:t xml:space="preserve"> </w:t>
      </w:r>
      <w:r>
        <w:t>in a way that</w:t>
      </w:r>
      <w:r w:rsidR="006B295E">
        <w:t xml:space="preserve"> changed the </w:t>
      </w:r>
      <w:r>
        <w:t>expectations</w:t>
      </w:r>
      <w:r w:rsidR="006B295E">
        <w:t xml:space="preserve"> states </w:t>
      </w:r>
      <w:r>
        <w:t>have of each other in the even</w:t>
      </w:r>
      <w:r w:rsidR="006B295E">
        <w:t>t</w:t>
      </w:r>
      <w:r>
        <w:t xml:space="preserve"> </w:t>
      </w:r>
      <w:r w:rsidR="006B295E">
        <w:t xml:space="preserve">of an </w:t>
      </w:r>
      <w:r>
        <w:t xml:space="preserve">infectious disease </w:t>
      </w:r>
      <w:r w:rsidR="006B295E">
        <w:t xml:space="preserve">outbreak emergency. </w:t>
      </w:r>
      <w:r w:rsidR="00BF1C08">
        <w:t xml:space="preserve">Since </w:t>
      </w:r>
      <w:r>
        <w:t xml:space="preserve">the new IHR came into force (in 2007), </w:t>
      </w:r>
      <w:r w:rsidR="00BF1C08">
        <w:t xml:space="preserve">WHO member states </w:t>
      </w:r>
      <w:r w:rsidR="00BF1C08">
        <w:lastRenderedPageBreak/>
        <w:t xml:space="preserve">have been formally obliged to: build and maintain adequate capacity to detect disease outbreaks; engage in timely and transparent reporting of a wide variety of outbreak events; avoid unnecessary interference with international travel and trade; and recognise the right of the WHO to act and issue advice based on information received from sources other than WHO member states. </w:t>
      </w:r>
      <w:r w:rsidR="00FC7730">
        <w:t xml:space="preserve">The authors of </w:t>
      </w:r>
      <w:r w:rsidR="00FC7730" w:rsidRPr="00DE3BD9">
        <w:rPr>
          <w:i/>
        </w:rPr>
        <w:t>Disease Diplomacy</w:t>
      </w:r>
      <w:r w:rsidR="00FC7730">
        <w:t xml:space="preserve"> </w:t>
      </w:r>
      <w:r w:rsidR="000A428C">
        <w:t>explain well</w:t>
      </w:r>
      <w:r w:rsidR="00FC7730">
        <w:t xml:space="preserve"> the extent to which adherence to these requirements has been a function of political will on the part of national governments. However, the more intriguing part of the story they tell is that which tracks the role played by WHO bureaucrats (e.g. David </w:t>
      </w:r>
      <w:proofErr w:type="spellStart"/>
      <w:r w:rsidR="00FC7730">
        <w:t>Heymann</w:t>
      </w:r>
      <w:proofErr w:type="spellEnd"/>
      <w:r w:rsidR="00FC7730">
        <w:t xml:space="preserve">, </w:t>
      </w:r>
      <w:proofErr w:type="spellStart"/>
      <w:r w:rsidR="00FC7730">
        <w:t>Gro</w:t>
      </w:r>
      <w:proofErr w:type="spellEnd"/>
      <w:r w:rsidR="00FC7730">
        <w:t xml:space="preserve"> Harlem </w:t>
      </w:r>
      <w:proofErr w:type="spellStart"/>
      <w:r w:rsidR="00FC7730">
        <w:t>Brundtland</w:t>
      </w:r>
      <w:proofErr w:type="spellEnd"/>
      <w:r w:rsidR="00FC7730">
        <w:t xml:space="preserve">, </w:t>
      </w:r>
      <w:proofErr w:type="spellStart"/>
      <w:r w:rsidR="00FC7730">
        <w:t>Guénaël</w:t>
      </w:r>
      <w:proofErr w:type="spellEnd"/>
      <w:r w:rsidR="00FC7730">
        <w:t xml:space="preserve"> </w:t>
      </w:r>
      <w:proofErr w:type="spellStart"/>
      <w:r w:rsidR="00FC7730">
        <w:t>Rodier</w:t>
      </w:r>
      <w:proofErr w:type="spellEnd"/>
      <w:r w:rsidR="00FC7730">
        <w:t xml:space="preserve"> and Margaret Chan) across time as promoters and defenders of IHR norms. The discursive and bureaucratic efforts of such actors are traced back as far as the mid-1990s when, according to the authors, those norms began to take shape and gain strength. </w:t>
      </w:r>
    </w:p>
    <w:p w:rsidR="00DE3BD9" w:rsidRDefault="00DE3BD9" w:rsidP="0032583E">
      <w:pPr>
        <w:spacing w:line="480" w:lineRule="auto"/>
      </w:pPr>
    </w:p>
    <w:p w:rsidR="004044AD" w:rsidRDefault="00FC7730" w:rsidP="0032583E">
      <w:pPr>
        <w:spacing w:line="480" w:lineRule="auto"/>
      </w:pPr>
      <w:r>
        <w:t>As described chapter</w:t>
      </w:r>
      <w:r w:rsidR="0065642E">
        <w:t xml:space="preserve"> 1</w:t>
      </w:r>
      <w:r>
        <w:t>, a revision of th</w:t>
      </w:r>
      <w:r w:rsidR="004044AD">
        <w:t>e IHR</w:t>
      </w:r>
      <w:r>
        <w:t xml:space="preserve"> was eventually made politically possible by politicians, scientists and bureaucrats constructing an association between (in</w:t>
      </w:r>
      <w:proofErr w:type="gramStart"/>
      <w:r>
        <w:t>)security</w:t>
      </w:r>
      <w:proofErr w:type="gramEnd"/>
      <w:r>
        <w:t xml:space="preserve"> and infectious disease outbreaks. For several years before timely disease-reporting and rapid responses to outbreaks became requirements under international law, “security talk” </w:t>
      </w:r>
      <w:r w:rsidR="004044AD">
        <w:t xml:space="preserve">(p. 17) </w:t>
      </w:r>
      <w:r>
        <w:t xml:space="preserve">helped </w:t>
      </w:r>
      <w:r w:rsidR="004044AD">
        <w:t xml:space="preserve">sustain the notion that a state’s refusal to disclose the occurrence and details of outbreaks within their territory </w:t>
      </w:r>
      <w:r w:rsidR="00520552">
        <w:t>would be</w:t>
      </w:r>
      <w:r w:rsidR="004044AD">
        <w:t xml:space="preserve"> reprehensible (albeit not illegal). </w:t>
      </w:r>
      <w:r w:rsidR="00520552">
        <w:t>Evidently</w:t>
      </w:r>
      <w:r w:rsidR="004044AD">
        <w:t>, a process of norm-building to that effect was underway, and the experience with SARS (in 2003) and bird flu (from 2004) showed that the concealment of outbreaks was</w:t>
      </w:r>
      <w:r w:rsidR="00520552">
        <w:t xml:space="preserve"> by then</w:t>
      </w:r>
      <w:r w:rsidR="004044AD">
        <w:t xml:space="preserve"> widely regarded as deviant and damaging behaviour. </w:t>
      </w:r>
      <w:r w:rsidR="00520552">
        <w:t>Government</w:t>
      </w:r>
      <w:r w:rsidR="004044AD">
        <w:t xml:space="preserve"> responses to these two outbreaks are explored in chapter</w:t>
      </w:r>
      <w:r w:rsidR="00520552">
        <w:t>s</w:t>
      </w:r>
      <w:r w:rsidR="004044AD">
        <w:t xml:space="preserve"> 2 and 3</w:t>
      </w:r>
      <w:r w:rsidR="00520552">
        <w:t xml:space="preserve"> of </w:t>
      </w:r>
      <w:r w:rsidR="00520552" w:rsidRPr="00520552">
        <w:rPr>
          <w:i/>
        </w:rPr>
        <w:t>Disease Diplomacy</w:t>
      </w:r>
      <w:r w:rsidR="004044AD">
        <w:t>, and here the authors argue persuasively that IHR norms were having an effect on political behaviour even before they were codified in law</w:t>
      </w:r>
      <w:r w:rsidR="000A428C">
        <w:t xml:space="preserve"> in 2005</w:t>
      </w:r>
      <w:r w:rsidR="004044AD">
        <w:t>.</w:t>
      </w:r>
      <w:r w:rsidR="00520552">
        <w:t xml:space="preserve"> In chapter 4 they go on to examine the resilience of those norms after the IHR entered into force, presenting evidence </w:t>
      </w:r>
      <w:r w:rsidR="000A428C">
        <w:t xml:space="preserve">of state actions and declarations </w:t>
      </w:r>
      <w:r w:rsidR="000A428C">
        <w:lastRenderedPageBreak/>
        <w:t>during</w:t>
      </w:r>
      <w:r w:rsidR="00520552">
        <w:t xml:space="preserve"> the time of the 2009-10 swine flu </w:t>
      </w:r>
      <w:r w:rsidR="0065642E">
        <w:t>pandemic</w:t>
      </w:r>
      <w:r w:rsidR="00520552">
        <w:t xml:space="preserve">. Finally, chapter 5 explores the </w:t>
      </w:r>
      <w:r w:rsidR="00431CA2">
        <w:t>w</w:t>
      </w:r>
      <w:r w:rsidR="000A428C">
        <w:t xml:space="preserve">ay in which WHO members states </w:t>
      </w:r>
      <w:r w:rsidR="00431CA2">
        <w:t xml:space="preserve">and the Organization’s secretariat sought to draw lessons for global health governance from the swine flu experience. This process, the authors argue, evidenced further international progress toward internalisation of IHR norms, but it also served as a reminder that </w:t>
      </w:r>
      <w:r w:rsidR="000A428C">
        <w:t xml:space="preserve">many </w:t>
      </w:r>
      <w:r w:rsidR="00431CA2">
        <w:t xml:space="preserve">states remain </w:t>
      </w:r>
      <w:r w:rsidR="0065642E">
        <w:t>materially</w:t>
      </w:r>
      <w:r w:rsidR="000A428C">
        <w:t xml:space="preserve"> </w:t>
      </w:r>
      <w:r w:rsidR="00431CA2">
        <w:t>incapable of acting on their normative commitments (e.g. to detect and report diseases outbreaks quickly).</w:t>
      </w:r>
    </w:p>
    <w:p w:rsidR="004044AD" w:rsidRDefault="004044AD" w:rsidP="0032583E">
      <w:pPr>
        <w:spacing w:line="480" w:lineRule="auto"/>
      </w:pPr>
    </w:p>
    <w:p w:rsidR="007C51E1" w:rsidRDefault="00CB7915" w:rsidP="0032583E">
      <w:pPr>
        <w:spacing w:line="480" w:lineRule="auto"/>
      </w:pPr>
      <w:r>
        <w:t xml:space="preserve">Overall, the authors do </w:t>
      </w:r>
      <w:r w:rsidR="0065642E">
        <w:t>an excellent</w:t>
      </w:r>
      <w:r>
        <w:t xml:space="preserve"> job of </w:t>
      </w:r>
      <w:r w:rsidR="004044AD">
        <w:t xml:space="preserve">substantiating their claim that “most states want to comply with their [IHR] obligations most of the time but </w:t>
      </w:r>
      <w:r w:rsidR="005637E9">
        <w:t>…</w:t>
      </w:r>
      <w:r w:rsidR="004044AD">
        <w:t xml:space="preserve"> in some cases material and infrastructural shortfalls remain a significant obsta</w:t>
      </w:r>
      <w:r>
        <w:t xml:space="preserve">cle to their ability to do so” </w:t>
      </w:r>
      <w:r w:rsidR="004044AD">
        <w:t>(p. 8)</w:t>
      </w:r>
      <w:r>
        <w:t>.</w:t>
      </w:r>
      <w:r w:rsidR="00681EE0">
        <w:t xml:space="preserve"> The main message to readers of </w:t>
      </w:r>
      <w:r w:rsidR="00681EE0" w:rsidRPr="00681EE0">
        <w:rPr>
          <w:i/>
        </w:rPr>
        <w:t>Disease Diplomacy</w:t>
      </w:r>
      <w:r w:rsidR="00681EE0">
        <w:t xml:space="preserve"> is that</w:t>
      </w:r>
      <w:r w:rsidR="004044AD">
        <w:t xml:space="preserve"> a lack of political commitment to </w:t>
      </w:r>
      <w:r w:rsidR="00681EE0">
        <w:t xml:space="preserve">IHR norms </w:t>
      </w:r>
      <w:r w:rsidR="004044AD">
        <w:t xml:space="preserve">is less of a problem than a lack of capacity, in many developing countries, to </w:t>
      </w:r>
      <w:r w:rsidR="00681EE0">
        <w:t>act accordingly</w:t>
      </w:r>
      <w:r w:rsidR="004044AD">
        <w:t>.</w:t>
      </w:r>
      <w:r w:rsidR="00535775">
        <w:t xml:space="preserve"> It remains to be seen, however, whether this message </w:t>
      </w:r>
      <w:r w:rsidR="005637E9">
        <w:t>is</w:t>
      </w:r>
      <w:r w:rsidR="00535775">
        <w:t xml:space="preserve"> overly optimistic. After this book </w:t>
      </w:r>
      <w:r w:rsidR="005637E9">
        <w:t>went to press</w:t>
      </w:r>
      <w:r w:rsidR="00535775">
        <w:t xml:space="preserve">, the largest-ever outbreak of Ebola occurred in West Africa, and </w:t>
      </w:r>
      <w:r w:rsidR="005637E9">
        <w:t>governments</w:t>
      </w:r>
      <w:r w:rsidR="00535775">
        <w:t xml:space="preserve"> in other parts of the world</w:t>
      </w:r>
      <w:r w:rsidR="005637E9">
        <w:t xml:space="preserve"> reacted differently</w:t>
      </w:r>
      <w:r w:rsidR="00535775">
        <w:t xml:space="preserve">. Some </w:t>
      </w:r>
      <w:r w:rsidR="005637E9">
        <w:t>rushed to assist</w:t>
      </w:r>
      <w:r w:rsidR="00535775">
        <w:t>,</w:t>
      </w:r>
      <w:r w:rsidR="005637E9">
        <w:t xml:space="preserve"> but</w:t>
      </w:r>
      <w:r w:rsidR="00535775">
        <w:t xml:space="preserve"> others responded by banning travel to and from West Africa, despite WHO advice that </w:t>
      </w:r>
      <w:r w:rsidR="005637E9">
        <w:t>doing so</w:t>
      </w:r>
      <w:r w:rsidR="00535775">
        <w:t xml:space="preserve"> was unnecessary and counterproductive. </w:t>
      </w:r>
      <w:r w:rsidR="005637E9">
        <w:t>This non-adherence to</w:t>
      </w:r>
      <w:r w:rsidR="00477541">
        <w:t xml:space="preserve"> the IHR </w:t>
      </w:r>
      <w:r w:rsidR="005637E9">
        <w:t>rule</w:t>
      </w:r>
      <w:r w:rsidR="00477541">
        <w:t xml:space="preserve"> against unnecessary interference with </w:t>
      </w:r>
      <w:r w:rsidR="005637E9">
        <w:t>international</w:t>
      </w:r>
      <w:r w:rsidR="00477541">
        <w:t xml:space="preserve"> traffic </w:t>
      </w:r>
      <w:r w:rsidR="00142B8E">
        <w:t xml:space="preserve">might </w:t>
      </w:r>
      <w:r w:rsidR="005637E9">
        <w:t xml:space="preserve">since </w:t>
      </w:r>
      <w:r w:rsidR="00142B8E">
        <w:t xml:space="preserve">have generated an expectation that reporting </w:t>
      </w:r>
      <w:r w:rsidR="005637E9">
        <w:t>disease</w:t>
      </w:r>
      <w:r w:rsidR="00142B8E">
        <w:t xml:space="preserve"> outbreaks will </w:t>
      </w:r>
      <w:r w:rsidR="0065642E">
        <w:t>prompt</w:t>
      </w:r>
      <w:r w:rsidR="00142B8E">
        <w:t xml:space="preserve"> international </w:t>
      </w:r>
      <w:r w:rsidR="0065642E">
        <w:t>abandonment</w:t>
      </w:r>
      <w:r w:rsidR="00142B8E">
        <w:t xml:space="preserve"> rather than assistance. If so, the </w:t>
      </w:r>
      <w:r w:rsidR="0065642E">
        <w:t>future</w:t>
      </w:r>
      <w:r w:rsidR="00142B8E">
        <w:t xml:space="preserve"> willingness of states to adhere to IHR norms should not be taken for granted.</w:t>
      </w:r>
    </w:p>
    <w:sectPr w:rsidR="007C51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47" w:rsidRDefault="00265C47" w:rsidP="00532108">
      <w:r>
        <w:separator/>
      </w:r>
    </w:p>
  </w:endnote>
  <w:endnote w:type="continuationSeparator" w:id="0">
    <w:p w:rsidR="00265C47" w:rsidRDefault="00265C47" w:rsidP="0053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47" w:rsidRDefault="00265C47" w:rsidP="00532108">
      <w:r>
        <w:separator/>
      </w:r>
    </w:p>
  </w:footnote>
  <w:footnote w:type="continuationSeparator" w:id="0">
    <w:p w:rsidR="00265C47" w:rsidRDefault="00265C47" w:rsidP="0053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84480"/>
      <w:docPartObj>
        <w:docPartGallery w:val="Page Numbers (Top of Page)"/>
        <w:docPartUnique/>
      </w:docPartObj>
    </w:sdtPr>
    <w:sdtEndPr>
      <w:rPr>
        <w:noProof/>
      </w:rPr>
    </w:sdtEndPr>
    <w:sdtContent>
      <w:p w:rsidR="009816B9" w:rsidRDefault="009816B9">
        <w:pPr>
          <w:pStyle w:val="Header"/>
          <w:jc w:val="right"/>
        </w:pPr>
        <w:r>
          <w:fldChar w:fldCharType="begin"/>
        </w:r>
        <w:r>
          <w:instrText xml:space="preserve"> PAGE   \* MERGEFORMAT </w:instrText>
        </w:r>
        <w:r>
          <w:fldChar w:fldCharType="separate"/>
        </w:r>
        <w:r w:rsidR="0032583E">
          <w:rPr>
            <w:noProof/>
          </w:rPr>
          <w:t>1</w:t>
        </w:r>
        <w:r>
          <w:rPr>
            <w:noProof/>
          </w:rPr>
          <w:fldChar w:fldCharType="end"/>
        </w:r>
      </w:p>
    </w:sdtContent>
  </w:sdt>
  <w:p w:rsidR="009816B9" w:rsidRDefault="009816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43"/>
    <w:rsid w:val="000A428C"/>
    <w:rsid w:val="00121BB6"/>
    <w:rsid w:val="00130573"/>
    <w:rsid w:val="00136197"/>
    <w:rsid w:val="00142B8E"/>
    <w:rsid w:val="00142DB7"/>
    <w:rsid w:val="00175317"/>
    <w:rsid w:val="001802EA"/>
    <w:rsid w:val="0018048F"/>
    <w:rsid w:val="001A4BB3"/>
    <w:rsid w:val="00245BE7"/>
    <w:rsid w:val="00265C47"/>
    <w:rsid w:val="002907EB"/>
    <w:rsid w:val="00295529"/>
    <w:rsid w:val="00315267"/>
    <w:rsid w:val="0032583E"/>
    <w:rsid w:val="00347433"/>
    <w:rsid w:val="003D3E6B"/>
    <w:rsid w:val="004044AD"/>
    <w:rsid w:val="00413303"/>
    <w:rsid w:val="00431CA2"/>
    <w:rsid w:val="00437061"/>
    <w:rsid w:val="00437966"/>
    <w:rsid w:val="00446781"/>
    <w:rsid w:val="00477541"/>
    <w:rsid w:val="00491607"/>
    <w:rsid w:val="004A5E08"/>
    <w:rsid w:val="004C1AB2"/>
    <w:rsid w:val="004F0052"/>
    <w:rsid w:val="00505B99"/>
    <w:rsid w:val="00520552"/>
    <w:rsid w:val="00523EF2"/>
    <w:rsid w:val="00530452"/>
    <w:rsid w:val="00532108"/>
    <w:rsid w:val="00535775"/>
    <w:rsid w:val="00547F3B"/>
    <w:rsid w:val="005637E9"/>
    <w:rsid w:val="00592492"/>
    <w:rsid w:val="005B0332"/>
    <w:rsid w:val="0060321D"/>
    <w:rsid w:val="0062040D"/>
    <w:rsid w:val="0064505E"/>
    <w:rsid w:val="0065642E"/>
    <w:rsid w:val="006573AE"/>
    <w:rsid w:val="00681EE0"/>
    <w:rsid w:val="006B295E"/>
    <w:rsid w:val="00731E0A"/>
    <w:rsid w:val="00767522"/>
    <w:rsid w:val="007C05D5"/>
    <w:rsid w:val="007C51E1"/>
    <w:rsid w:val="007D3F8A"/>
    <w:rsid w:val="007D6CB0"/>
    <w:rsid w:val="007E0F05"/>
    <w:rsid w:val="007E6408"/>
    <w:rsid w:val="007F6C06"/>
    <w:rsid w:val="00833B12"/>
    <w:rsid w:val="00853F79"/>
    <w:rsid w:val="00865B1B"/>
    <w:rsid w:val="00870588"/>
    <w:rsid w:val="008C58AE"/>
    <w:rsid w:val="008E723C"/>
    <w:rsid w:val="008F4D4F"/>
    <w:rsid w:val="00931EA6"/>
    <w:rsid w:val="00933265"/>
    <w:rsid w:val="00935F77"/>
    <w:rsid w:val="0097063E"/>
    <w:rsid w:val="009816B9"/>
    <w:rsid w:val="009E1D6C"/>
    <w:rsid w:val="00AE1B18"/>
    <w:rsid w:val="00B33816"/>
    <w:rsid w:val="00B5615A"/>
    <w:rsid w:val="00BB12BD"/>
    <w:rsid w:val="00BC1D0D"/>
    <w:rsid w:val="00BD65C4"/>
    <w:rsid w:val="00BF1C08"/>
    <w:rsid w:val="00C1519D"/>
    <w:rsid w:val="00C5785D"/>
    <w:rsid w:val="00C8728E"/>
    <w:rsid w:val="00CB7915"/>
    <w:rsid w:val="00CF0493"/>
    <w:rsid w:val="00D31943"/>
    <w:rsid w:val="00D41E3D"/>
    <w:rsid w:val="00D9066A"/>
    <w:rsid w:val="00DD25CC"/>
    <w:rsid w:val="00DE3BD9"/>
    <w:rsid w:val="00E72884"/>
    <w:rsid w:val="00E8363C"/>
    <w:rsid w:val="00EB4612"/>
    <w:rsid w:val="00EF6844"/>
    <w:rsid w:val="00F17930"/>
    <w:rsid w:val="00F23605"/>
    <w:rsid w:val="00F9213B"/>
    <w:rsid w:val="00FC7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43"/>
    <w:pPr>
      <w:spacing w:after="0" w:line="240" w:lineRule="auto"/>
    </w:pPr>
    <w:rPr>
      <w:rFonts w:ascii="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931E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31943"/>
    <w:rPr>
      <w:b/>
      <w:bCs/>
    </w:rPr>
  </w:style>
  <w:style w:type="paragraph" w:styleId="Header">
    <w:name w:val="header"/>
    <w:basedOn w:val="Normal"/>
    <w:link w:val="HeaderChar"/>
    <w:uiPriority w:val="99"/>
    <w:unhideWhenUsed/>
    <w:rsid w:val="00532108"/>
    <w:pPr>
      <w:tabs>
        <w:tab w:val="center" w:pos="4513"/>
        <w:tab w:val="right" w:pos="9026"/>
      </w:tabs>
    </w:pPr>
  </w:style>
  <w:style w:type="character" w:customStyle="1" w:styleId="HeaderChar">
    <w:name w:val="Header Char"/>
    <w:basedOn w:val="DefaultParagraphFont"/>
    <w:link w:val="Header"/>
    <w:uiPriority w:val="99"/>
    <w:rsid w:val="00532108"/>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532108"/>
    <w:pPr>
      <w:tabs>
        <w:tab w:val="center" w:pos="4513"/>
        <w:tab w:val="right" w:pos="9026"/>
      </w:tabs>
    </w:pPr>
  </w:style>
  <w:style w:type="character" w:customStyle="1" w:styleId="FooterChar">
    <w:name w:val="Footer Char"/>
    <w:basedOn w:val="DefaultParagraphFont"/>
    <w:link w:val="Footer"/>
    <w:uiPriority w:val="99"/>
    <w:rsid w:val="00532108"/>
    <w:rPr>
      <w:rFonts w:ascii="Times New Roman" w:hAnsi="Times New Roman" w:cs="Times New Roman"/>
      <w:color w:val="000000" w:themeColor="text1"/>
      <w:sz w:val="24"/>
      <w:szCs w:val="24"/>
    </w:rPr>
  </w:style>
  <w:style w:type="paragraph" w:styleId="ListParagraph">
    <w:name w:val="List Paragraph"/>
    <w:basedOn w:val="Normal"/>
    <w:uiPriority w:val="34"/>
    <w:qFormat/>
    <w:rsid w:val="00523EF2"/>
    <w:pPr>
      <w:ind w:left="720"/>
      <w:contextualSpacing/>
    </w:pPr>
  </w:style>
  <w:style w:type="character" w:customStyle="1" w:styleId="Heading1Char">
    <w:name w:val="Heading 1 Char"/>
    <w:basedOn w:val="DefaultParagraphFont"/>
    <w:link w:val="Heading1"/>
    <w:uiPriority w:val="9"/>
    <w:rsid w:val="00931EA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43"/>
    <w:pPr>
      <w:spacing w:after="0" w:line="240" w:lineRule="auto"/>
    </w:pPr>
    <w:rPr>
      <w:rFonts w:ascii="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931E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31943"/>
    <w:rPr>
      <w:b/>
      <w:bCs/>
    </w:rPr>
  </w:style>
  <w:style w:type="paragraph" w:styleId="Header">
    <w:name w:val="header"/>
    <w:basedOn w:val="Normal"/>
    <w:link w:val="HeaderChar"/>
    <w:uiPriority w:val="99"/>
    <w:unhideWhenUsed/>
    <w:rsid w:val="00532108"/>
    <w:pPr>
      <w:tabs>
        <w:tab w:val="center" w:pos="4513"/>
        <w:tab w:val="right" w:pos="9026"/>
      </w:tabs>
    </w:pPr>
  </w:style>
  <w:style w:type="character" w:customStyle="1" w:styleId="HeaderChar">
    <w:name w:val="Header Char"/>
    <w:basedOn w:val="DefaultParagraphFont"/>
    <w:link w:val="Header"/>
    <w:uiPriority w:val="99"/>
    <w:rsid w:val="00532108"/>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532108"/>
    <w:pPr>
      <w:tabs>
        <w:tab w:val="center" w:pos="4513"/>
        <w:tab w:val="right" w:pos="9026"/>
      </w:tabs>
    </w:pPr>
  </w:style>
  <w:style w:type="character" w:customStyle="1" w:styleId="FooterChar">
    <w:name w:val="Footer Char"/>
    <w:basedOn w:val="DefaultParagraphFont"/>
    <w:link w:val="Footer"/>
    <w:uiPriority w:val="99"/>
    <w:rsid w:val="00532108"/>
    <w:rPr>
      <w:rFonts w:ascii="Times New Roman" w:hAnsi="Times New Roman" w:cs="Times New Roman"/>
      <w:color w:val="000000" w:themeColor="text1"/>
      <w:sz w:val="24"/>
      <w:szCs w:val="24"/>
    </w:rPr>
  </w:style>
  <w:style w:type="paragraph" w:styleId="ListParagraph">
    <w:name w:val="List Paragraph"/>
    <w:basedOn w:val="Normal"/>
    <w:uiPriority w:val="34"/>
    <w:qFormat/>
    <w:rsid w:val="00523EF2"/>
    <w:pPr>
      <w:ind w:left="720"/>
      <w:contextualSpacing/>
    </w:pPr>
  </w:style>
  <w:style w:type="character" w:customStyle="1" w:styleId="Heading1Char">
    <w:name w:val="Heading 1 Char"/>
    <w:basedOn w:val="DefaultParagraphFont"/>
    <w:link w:val="Heading1"/>
    <w:uiPriority w:val="9"/>
    <w:rsid w:val="00931EA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Enemark [cje10]</dc:creator>
  <cp:lastModifiedBy>Christian Enemark [cje10]</cp:lastModifiedBy>
  <cp:revision>57</cp:revision>
  <dcterms:created xsi:type="dcterms:W3CDTF">2016-07-04T13:26:00Z</dcterms:created>
  <dcterms:modified xsi:type="dcterms:W3CDTF">2016-07-07T08:49:00Z</dcterms:modified>
</cp:coreProperties>
</file>