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58746" w14:textId="77777777" w:rsidR="00CC7D22" w:rsidRPr="00F54F80" w:rsidRDefault="00CC7D22" w:rsidP="00CC7D22">
      <w:pPr>
        <w:spacing w:line="36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TABLE 1 – Characteristics of Included Studies</w:t>
      </w:r>
    </w:p>
    <w:p w14:paraId="15537E4B" w14:textId="77777777" w:rsidR="00CC7D22" w:rsidRPr="00DB2801" w:rsidRDefault="00CC7D22" w:rsidP="00CC7D22">
      <w:pPr>
        <w:spacing w:line="360" w:lineRule="auto"/>
        <w:rPr>
          <w:i/>
          <w:iCs/>
          <w:sz w:val="20"/>
          <w:szCs w:val="20"/>
        </w:rPr>
      </w:pP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560"/>
        <w:gridCol w:w="850"/>
        <w:gridCol w:w="1276"/>
        <w:gridCol w:w="1276"/>
        <w:gridCol w:w="1417"/>
        <w:gridCol w:w="1134"/>
        <w:gridCol w:w="1134"/>
        <w:gridCol w:w="1418"/>
        <w:gridCol w:w="3260"/>
      </w:tblGrid>
      <w:tr w:rsidR="00CC7D22" w:rsidRPr="00AF7422" w14:paraId="759628CA" w14:textId="77777777" w:rsidTr="00684669">
        <w:tc>
          <w:tcPr>
            <w:tcW w:w="567" w:type="dxa"/>
          </w:tcPr>
          <w:p w14:paraId="3F20D272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>Ref no</w:t>
            </w:r>
          </w:p>
        </w:tc>
        <w:tc>
          <w:tcPr>
            <w:tcW w:w="1135" w:type="dxa"/>
          </w:tcPr>
          <w:p w14:paraId="69363907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>Article ref</w:t>
            </w:r>
          </w:p>
        </w:tc>
        <w:tc>
          <w:tcPr>
            <w:tcW w:w="992" w:type="dxa"/>
          </w:tcPr>
          <w:p w14:paraId="6036A4AC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>Country</w:t>
            </w:r>
          </w:p>
        </w:tc>
        <w:tc>
          <w:tcPr>
            <w:tcW w:w="1560" w:type="dxa"/>
          </w:tcPr>
          <w:p w14:paraId="2B58403D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>Aims</w:t>
            </w:r>
          </w:p>
        </w:tc>
        <w:tc>
          <w:tcPr>
            <w:tcW w:w="850" w:type="dxa"/>
          </w:tcPr>
          <w:p w14:paraId="73A53142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>Design</w:t>
            </w:r>
          </w:p>
        </w:tc>
        <w:tc>
          <w:tcPr>
            <w:tcW w:w="1276" w:type="dxa"/>
          </w:tcPr>
          <w:p w14:paraId="235FADA9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>Sample size (per group)</w:t>
            </w:r>
          </w:p>
        </w:tc>
        <w:tc>
          <w:tcPr>
            <w:tcW w:w="1276" w:type="dxa"/>
          </w:tcPr>
          <w:p w14:paraId="2895E976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>Population</w:t>
            </w:r>
          </w:p>
        </w:tc>
        <w:tc>
          <w:tcPr>
            <w:tcW w:w="1417" w:type="dxa"/>
          </w:tcPr>
          <w:p w14:paraId="1A2A2F22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Partner Intervention </w:t>
            </w:r>
          </w:p>
        </w:tc>
        <w:tc>
          <w:tcPr>
            <w:tcW w:w="1134" w:type="dxa"/>
          </w:tcPr>
          <w:p w14:paraId="5F5EE7F8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>Control group</w:t>
            </w:r>
          </w:p>
        </w:tc>
        <w:tc>
          <w:tcPr>
            <w:tcW w:w="1134" w:type="dxa"/>
          </w:tcPr>
          <w:p w14:paraId="56F5ECE9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b/>
                <w:sz w:val="20"/>
                <w:szCs w:val="20"/>
              </w:rPr>
              <w:t>Length of follow-up</w:t>
            </w:r>
          </w:p>
        </w:tc>
        <w:tc>
          <w:tcPr>
            <w:tcW w:w="1418" w:type="dxa"/>
          </w:tcPr>
          <w:p w14:paraId="338E7BFD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Outcomes</w:t>
            </w:r>
          </w:p>
        </w:tc>
        <w:tc>
          <w:tcPr>
            <w:tcW w:w="3260" w:type="dxa"/>
          </w:tcPr>
          <w:p w14:paraId="7C376E7A" w14:textId="77777777" w:rsidR="00CC7D22" w:rsidRPr="00AF7422" w:rsidRDefault="00CC7D22" w:rsidP="006846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Findings</w:t>
            </w:r>
          </w:p>
        </w:tc>
      </w:tr>
      <w:tr w:rsidR="00CC7D22" w:rsidRPr="00AF7422" w14:paraId="0D4F1FD1" w14:textId="77777777" w:rsidTr="00684669">
        <w:tc>
          <w:tcPr>
            <w:tcW w:w="567" w:type="dxa"/>
          </w:tcPr>
          <w:p w14:paraId="1CA7D1E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6D2D7DB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7422">
              <w:rPr>
                <w:rFonts w:asciiTheme="majorBidi" w:hAnsiTheme="majorBidi" w:cstheme="majorBidi"/>
                <w:sz w:val="20"/>
                <w:szCs w:val="20"/>
              </w:rPr>
              <w:t>Benyamini</w:t>
            </w:r>
            <w:proofErr w:type="spellEnd"/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et al. (2011)</w:t>
            </w:r>
          </w:p>
        </w:tc>
        <w:tc>
          <w:tcPr>
            <w:tcW w:w="992" w:type="dxa"/>
          </w:tcPr>
          <w:p w14:paraId="053D932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Israel</w:t>
            </w:r>
          </w:p>
        </w:tc>
        <w:tc>
          <w:tcPr>
            <w:tcW w:w="1560" w:type="dxa"/>
          </w:tcPr>
          <w:p w14:paraId="2644052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Determine independent effect of adding spouse involvement to a breast self-examination (BSE) programme</w:t>
            </w:r>
          </w:p>
        </w:tc>
        <w:tc>
          <w:tcPr>
            <w:tcW w:w="850" w:type="dxa"/>
          </w:tcPr>
          <w:p w14:paraId="1A879BC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1276" w:type="dxa"/>
          </w:tcPr>
          <w:p w14:paraId="5F6F70D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140 (70)</w:t>
            </w:r>
          </w:p>
        </w:tc>
        <w:tc>
          <w:tcPr>
            <w:tcW w:w="1276" w:type="dxa"/>
          </w:tcPr>
          <w:p w14:paraId="5147C7C2" w14:textId="5FF301C3" w:rsidR="00CC7D22" w:rsidRPr="00AF7422" w:rsidRDefault="00CC7D22" w:rsidP="00B1791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Married women aged 24-55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 xml:space="preserve"> (women have a 1/9 lifetime risk of developing breast cancer)</w:t>
            </w:r>
          </w:p>
        </w:tc>
        <w:tc>
          <w:tcPr>
            <w:tcW w:w="1417" w:type="dxa"/>
          </w:tcPr>
          <w:p w14:paraId="49C7426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Instructions to form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action plan for BSE;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info for husband, who was invited to help wife fill in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action plan</w:t>
            </w:r>
          </w:p>
        </w:tc>
        <w:tc>
          <w:tcPr>
            <w:tcW w:w="1134" w:type="dxa"/>
          </w:tcPr>
          <w:p w14:paraId="7C4B5CF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Instructions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to form action plan for BSE</w:t>
            </w:r>
          </w:p>
        </w:tc>
        <w:tc>
          <w:tcPr>
            <w:tcW w:w="1134" w:type="dxa"/>
          </w:tcPr>
          <w:p w14:paraId="723A004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mths</w:t>
            </w:r>
            <w:proofErr w:type="spellEnd"/>
          </w:p>
          <w:p w14:paraId="3629F64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65 completed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intervention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, 62 in control (others only baseline measures)</w:t>
            </w:r>
          </w:p>
        </w:tc>
        <w:tc>
          <w:tcPr>
            <w:tcW w:w="1418" w:type="dxa"/>
          </w:tcPr>
          <w:p w14:paraId="02D97163" w14:textId="77777777" w:rsidR="00CC7D22" w:rsidRPr="006409BC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Primary</w:t>
            </w:r>
          </w:p>
          <w:p w14:paraId="6ADF9EE8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Rates of BSE performance</w:t>
            </w:r>
          </w:p>
          <w:p w14:paraId="1FE0101D" w14:textId="77777777" w:rsidR="00CC7D22" w:rsidRPr="006409BC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Secondary</w:t>
            </w:r>
          </w:p>
          <w:p w14:paraId="71D6ED3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Husbands knowledge</w:t>
            </w:r>
          </w:p>
          <w:p w14:paraId="5D58530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Husbands involvement in wives health behaviours</w:t>
            </w:r>
          </w:p>
          <w:p w14:paraId="2075A51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Perception of spouse support</w:t>
            </w:r>
          </w:p>
        </w:tc>
        <w:tc>
          <w:tcPr>
            <w:tcW w:w="3260" w:type="dxa"/>
          </w:tcPr>
          <w:p w14:paraId="5C4AEE4B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Significant main effect of time on BSE performance</w:t>
            </w:r>
          </w:p>
          <w:p w14:paraId="41A4A104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No group differences in BSE</w:t>
            </w:r>
          </w:p>
          <w:p w14:paraId="63C1F44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3) Husbands who were involved more likely to report knowledge of wives’ BSE performance</w:t>
            </w:r>
          </w:p>
          <w:p w14:paraId="22C4981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4) Husbands more likely to encourage wives in experimental group</w:t>
            </w:r>
          </w:p>
          <w:p w14:paraId="6B0A82F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5) Women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benefited most if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husbands not involved in health behaviours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before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study </w:t>
            </w:r>
          </w:p>
        </w:tc>
      </w:tr>
      <w:tr w:rsidR="00CC7D22" w:rsidRPr="00AF7422" w14:paraId="36CAF74D" w14:textId="77777777" w:rsidTr="00684669">
        <w:tc>
          <w:tcPr>
            <w:tcW w:w="567" w:type="dxa"/>
          </w:tcPr>
          <w:p w14:paraId="2F843F9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7F87385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Burke et al. (1999)</w:t>
            </w:r>
          </w:p>
        </w:tc>
        <w:tc>
          <w:tcPr>
            <w:tcW w:w="992" w:type="dxa"/>
          </w:tcPr>
          <w:p w14:paraId="0189A1A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1560" w:type="dxa"/>
          </w:tcPr>
          <w:p w14:paraId="180B25C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Determine acceptability of, compliance with and responses to health promotion program for couples</w:t>
            </w:r>
          </w:p>
        </w:tc>
        <w:tc>
          <w:tcPr>
            <w:tcW w:w="850" w:type="dxa"/>
          </w:tcPr>
          <w:p w14:paraId="7EB4761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RCT (pilot)</w:t>
            </w:r>
          </w:p>
        </w:tc>
        <w:tc>
          <w:tcPr>
            <w:tcW w:w="1276" w:type="dxa"/>
          </w:tcPr>
          <w:p w14:paraId="6C243EC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39 couples </w:t>
            </w:r>
          </w:p>
        </w:tc>
        <w:tc>
          <w:tcPr>
            <w:tcW w:w="1276" w:type="dxa"/>
          </w:tcPr>
          <w:p w14:paraId="4589C48B" w14:textId="53B9B297" w:rsidR="00CC7D22" w:rsidRPr="00AF7422" w:rsidRDefault="00CC7D22" w:rsidP="00302F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Couples who had been married/ cohabiting less than 2 years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 xml:space="preserve"> (this period is a</w:t>
            </w:r>
            <w:r w:rsidR="000C3797">
              <w:rPr>
                <w:rFonts w:asciiTheme="majorBidi" w:hAnsiTheme="majorBidi" w:cstheme="majorBidi"/>
                <w:sz w:val="20"/>
                <w:szCs w:val="20"/>
              </w:rPr>
              <w:t xml:space="preserve">ssociated 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0C3797">
              <w:rPr>
                <w:rFonts w:asciiTheme="majorBidi" w:hAnsiTheme="majorBidi" w:cstheme="majorBidi"/>
                <w:sz w:val="20"/>
                <w:szCs w:val="20"/>
              </w:rPr>
              <w:t>ith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 xml:space="preserve"> weight gain and physical inactivity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>, leading to obesity)</w:t>
            </w:r>
            <w:r w:rsidR="003633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145D765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 week programme: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nutrition, physical 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healthy lifestyle</w:t>
            </w:r>
          </w:p>
          <w:p w14:paraId="7F6521CB" w14:textId="1605380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High: modules every 2wks, ½ by mail, ½ at sessions</w:t>
            </w:r>
          </w:p>
          <w:p w14:paraId="65CE5C5C" w14:textId="614330F8" w:rsidR="00CC7D22" w:rsidRPr="00AF7422" w:rsidRDefault="00CC7D22" w:rsidP="00EF0AE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Low: 1 session, </w:t>
            </w:r>
            <w:proofErr w:type="gramStart"/>
            <w:r w:rsidRPr="00AF7422">
              <w:rPr>
                <w:rFonts w:asciiTheme="majorBidi" w:hAnsiTheme="majorBidi" w:cstheme="majorBidi"/>
                <w:sz w:val="20"/>
                <w:szCs w:val="20"/>
              </w:rPr>
              <w:t>then  mailed</w:t>
            </w:r>
            <w:proofErr w:type="gramEnd"/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every 2</w:t>
            </w:r>
            <w:r w:rsidRPr="00AF7422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week</w:t>
            </w:r>
          </w:p>
        </w:tc>
        <w:tc>
          <w:tcPr>
            <w:tcW w:w="1134" w:type="dxa"/>
          </w:tcPr>
          <w:p w14:paraId="38BA19C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Offered program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after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study</w:t>
            </w:r>
          </w:p>
        </w:tc>
        <w:tc>
          <w:tcPr>
            <w:tcW w:w="1134" w:type="dxa"/>
          </w:tcPr>
          <w:p w14:paraId="567ABCE8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 weeks following start of study</w:t>
            </w:r>
          </w:p>
          <w:p w14:paraId="3DADE82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(34 – 17/ group) completed study</w:t>
            </w:r>
          </w:p>
        </w:tc>
        <w:tc>
          <w:tcPr>
            <w:tcW w:w="1418" w:type="dxa"/>
          </w:tcPr>
          <w:p w14:paraId="53B0BC4C" w14:textId="77777777" w:rsidR="00CC7D22" w:rsidRPr="006409BC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Primary</w:t>
            </w:r>
          </w:p>
          <w:p w14:paraId="3E34810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Blood pressure</w:t>
            </w:r>
          </w:p>
          <w:p w14:paraId="7F47E0E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Heart rate</w:t>
            </w:r>
          </w:p>
          <w:p w14:paraId="038D0B6B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Dietary intake</w:t>
            </w:r>
          </w:p>
          <w:p w14:paraId="54FBAC3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Alcohol intake</w:t>
            </w:r>
          </w:p>
          <w:p w14:paraId="560A712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Physical activity</w:t>
            </w:r>
          </w:p>
        </w:tc>
        <w:tc>
          <w:tcPr>
            <w:tcW w:w="3260" w:type="dxa"/>
          </w:tcPr>
          <w:p w14:paraId="69A2CCD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1)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ecrease in consumption of takeaways, increase in reduced fat foods, fruit and vegetables in intervention group relative to controls.</w:t>
            </w:r>
          </w:p>
          <w:p w14:paraId="2599236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Greater increase in physical activity in intervention group, but NS</w:t>
            </w:r>
          </w:p>
          <w:p w14:paraId="7EEF20D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3) F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all in cholesterol in intervention group relative to controls</w:t>
            </w:r>
          </w:p>
        </w:tc>
      </w:tr>
    </w:tbl>
    <w:p w14:paraId="237E04BD" w14:textId="79A3EF37" w:rsidR="00EF0AE5" w:rsidRDefault="00EF0AE5" w:rsidP="00CC7D22"/>
    <w:p w14:paraId="3290D764" w14:textId="7387E57A" w:rsidR="00CC7D22" w:rsidRDefault="00EF0AE5" w:rsidP="00CC7D22">
      <w:r>
        <w:br w:type="page"/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560"/>
        <w:gridCol w:w="850"/>
        <w:gridCol w:w="1276"/>
        <w:gridCol w:w="1276"/>
        <w:gridCol w:w="1417"/>
        <w:gridCol w:w="1134"/>
        <w:gridCol w:w="1134"/>
        <w:gridCol w:w="1418"/>
        <w:gridCol w:w="3260"/>
      </w:tblGrid>
      <w:tr w:rsidR="00CC7D22" w:rsidRPr="00AF7422" w14:paraId="62C4565B" w14:textId="77777777" w:rsidTr="00684669">
        <w:tc>
          <w:tcPr>
            <w:tcW w:w="567" w:type="dxa"/>
          </w:tcPr>
          <w:p w14:paraId="3488903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</w:tcPr>
          <w:p w14:paraId="76125C3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Burke et al. (2003)</w:t>
            </w:r>
          </w:p>
        </w:tc>
        <w:tc>
          <w:tcPr>
            <w:tcW w:w="992" w:type="dxa"/>
          </w:tcPr>
          <w:p w14:paraId="39694F1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1560" w:type="dxa"/>
          </w:tcPr>
          <w:p w14:paraId="180C621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Determine longer-term effect and cost-effectiveness of health promotion program for newly cohabiting couples</w:t>
            </w:r>
          </w:p>
        </w:tc>
        <w:tc>
          <w:tcPr>
            <w:tcW w:w="850" w:type="dxa"/>
          </w:tcPr>
          <w:p w14:paraId="2E1C482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1276" w:type="dxa"/>
          </w:tcPr>
          <w:p w14:paraId="0E07D4C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137 (47 – high-level intervention; 47 low-level intervention; 43 control</w:t>
            </w:r>
          </w:p>
        </w:tc>
        <w:tc>
          <w:tcPr>
            <w:tcW w:w="1276" w:type="dxa"/>
          </w:tcPr>
          <w:p w14:paraId="01429199" w14:textId="1D3E4974" w:rsidR="00CC7D22" w:rsidRDefault="00CC7D22" w:rsidP="003633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Couples who had been married/ cohabiting less than 2 years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5D7BD33A" w14:textId="5E9B723B" w:rsidR="003633CC" w:rsidRPr="00AF7422" w:rsidRDefault="00302FA8" w:rsidP="003633C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Risk as in Burke et al. (1999)</w:t>
            </w:r>
          </w:p>
        </w:tc>
        <w:tc>
          <w:tcPr>
            <w:tcW w:w="1417" w:type="dxa"/>
          </w:tcPr>
          <w:p w14:paraId="7263439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As Burke et al. (1999)</w:t>
            </w:r>
          </w:p>
        </w:tc>
        <w:tc>
          <w:tcPr>
            <w:tcW w:w="1134" w:type="dxa"/>
          </w:tcPr>
          <w:p w14:paraId="6524EACB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Usual care</w:t>
            </w:r>
          </w:p>
        </w:tc>
        <w:tc>
          <w:tcPr>
            <w:tcW w:w="1134" w:type="dxa"/>
          </w:tcPr>
          <w:p w14:paraId="5450602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 year</w:t>
            </w:r>
          </w:p>
          <w:p w14:paraId="2A85ECB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(107 completed at end of program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me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; 78 attended 12 month follow-up)</w:t>
            </w:r>
          </w:p>
        </w:tc>
        <w:tc>
          <w:tcPr>
            <w:tcW w:w="1418" w:type="dxa"/>
          </w:tcPr>
          <w:p w14:paraId="6ED82BC8" w14:textId="77777777" w:rsidR="00CC7D22" w:rsidRPr="006409BC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Primary</w:t>
            </w:r>
          </w:p>
          <w:p w14:paraId="7614940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Dietary intake</w:t>
            </w:r>
          </w:p>
          <w:p w14:paraId="0E800B3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Physical activity</w:t>
            </w:r>
          </w:p>
          <w:p w14:paraId="613A1C4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Alcohol intake</w:t>
            </w:r>
          </w:p>
        </w:tc>
        <w:tc>
          <w:tcPr>
            <w:tcW w:w="3260" w:type="dxa"/>
          </w:tcPr>
          <w:p w14:paraId="0D5AF86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1)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eduction in fat and saturated fat intake in high-level intervention group relative to control, at end of intervention and 1 year follow-up</w:t>
            </w:r>
          </w:p>
          <w:p w14:paraId="75F94F6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2)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mprovement in fitness in high-level group relative to other groups</w:t>
            </w:r>
          </w:p>
          <w:p w14:paraId="786717A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3)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all in total cholesterol and LDL cholesterol in high-level group relative to control group</w:t>
            </w:r>
          </w:p>
          <w:p w14:paraId="26032C3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4) Participants in high-level group less likely to become overweight or obese</w:t>
            </w:r>
          </w:p>
        </w:tc>
      </w:tr>
      <w:tr w:rsidR="00CC7D22" w:rsidRPr="00AF7422" w14:paraId="5BFF98BD" w14:textId="77777777" w:rsidTr="00684669">
        <w:tc>
          <w:tcPr>
            <w:tcW w:w="567" w:type="dxa"/>
          </w:tcPr>
          <w:p w14:paraId="2131BE1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0C5775AB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Cohen et al. (1991)</w:t>
            </w:r>
          </w:p>
        </w:tc>
        <w:tc>
          <w:tcPr>
            <w:tcW w:w="992" w:type="dxa"/>
          </w:tcPr>
          <w:p w14:paraId="1249E2C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560" w:type="dxa"/>
          </w:tcPr>
          <w:p w14:paraId="378D0AD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Evaluate effects of social support and home urine monitoring on success with dietary sodium reduction</w:t>
            </w:r>
          </w:p>
        </w:tc>
        <w:tc>
          <w:tcPr>
            <w:tcW w:w="850" w:type="dxa"/>
          </w:tcPr>
          <w:p w14:paraId="38E49B5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1276" w:type="dxa"/>
          </w:tcPr>
          <w:p w14:paraId="352820E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107 (4 groups)</w:t>
            </w:r>
          </w:p>
        </w:tc>
        <w:tc>
          <w:tcPr>
            <w:tcW w:w="1276" w:type="dxa"/>
          </w:tcPr>
          <w:p w14:paraId="51F67814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Patients being treated for essential hypertension</w:t>
            </w:r>
          </w:p>
          <w:p w14:paraId="5F836F59" w14:textId="055D98B0" w:rsidR="003633CC" w:rsidRPr="00AF7422" w:rsidRDefault="00EF0AE5" w:rsidP="00EF0AE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(At risk of CHD) </w:t>
            </w:r>
          </w:p>
        </w:tc>
        <w:tc>
          <w:tcPr>
            <w:tcW w:w="1417" w:type="dxa"/>
          </w:tcPr>
          <w:p w14:paraId="505387F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D0890">
              <w:rPr>
                <w:rFonts w:asciiTheme="majorBidi" w:hAnsiTheme="majorBidi" w:cstheme="majorBidi"/>
                <w:i/>
                <w:sz w:val="20"/>
                <w:szCs w:val="20"/>
              </w:rPr>
              <w:t>Active partner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14:paraId="2F93F86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Patient and partner received 3 dietary sessions, expected to follow dietary restrictions and collect 24 hour urine samples</w:t>
            </w:r>
          </w:p>
          <w:p w14:paraId="5AAC7F6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D0890">
              <w:rPr>
                <w:rFonts w:asciiTheme="majorBidi" w:hAnsiTheme="majorBidi" w:cstheme="majorBidi"/>
                <w:i/>
                <w:sz w:val="20"/>
                <w:szCs w:val="20"/>
              </w:rPr>
              <w:t>Immediate feedback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: learned to test urine 2 weeks after instruction</w:t>
            </w:r>
          </w:p>
          <w:p w14:paraId="26A1387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D0890">
              <w:rPr>
                <w:rFonts w:asciiTheme="majorBidi" w:hAnsiTheme="majorBidi" w:cstheme="majorBidi"/>
                <w:i/>
                <w:sz w:val="20"/>
                <w:szCs w:val="20"/>
              </w:rPr>
              <w:t>Delayed feedback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: 18 weeks</w:t>
            </w:r>
          </w:p>
        </w:tc>
        <w:tc>
          <w:tcPr>
            <w:tcW w:w="1134" w:type="dxa"/>
          </w:tcPr>
          <w:p w14:paraId="11FEF13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D0890">
              <w:rPr>
                <w:rFonts w:asciiTheme="majorBidi" w:hAnsiTheme="majorBidi" w:cstheme="majorBidi"/>
                <w:i/>
                <w:sz w:val="20"/>
                <w:szCs w:val="20"/>
              </w:rPr>
              <w:t>Passive partner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14:paraId="7C796EB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Partner attended sessions but not involved, asked to follow diet, or collect urine samples</w:t>
            </w:r>
          </w:p>
          <w:p w14:paraId="599AA16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FBF2C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30 weeks</w:t>
            </w:r>
          </w:p>
          <w:p w14:paraId="6EC5B60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(97 completed: 90.6% retention)</w:t>
            </w:r>
          </w:p>
        </w:tc>
        <w:tc>
          <w:tcPr>
            <w:tcW w:w="1418" w:type="dxa"/>
          </w:tcPr>
          <w:p w14:paraId="31E5097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Urinary excretion of sodium</w:t>
            </w:r>
          </w:p>
        </w:tc>
        <w:tc>
          <w:tcPr>
            <w:tcW w:w="3260" w:type="dxa"/>
          </w:tcPr>
          <w:p w14:paraId="3AA96C8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Participants able to reduce sodium intake by 50% +</w:t>
            </w:r>
          </w:p>
          <w:p w14:paraId="10B6584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No effect of intervention on sodium intake</w:t>
            </w:r>
          </w:p>
          <w:p w14:paraId="3E64993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3)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atients and partners had significant correlation in urinary excretion of sodium at baseline, 6 and 18 weeks</w:t>
            </w:r>
          </w:p>
          <w:p w14:paraId="3455D60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7936339" w14:textId="77777777" w:rsidR="00CC7D22" w:rsidRDefault="00CC7D22" w:rsidP="00CC7D22"/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843"/>
        <w:gridCol w:w="142"/>
        <w:gridCol w:w="709"/>
        <w:gridCol w:w="992"/>
        <w:gridCol w:w="1417"/>
        <w:gridCol w:w="1418"/>
        <w:gridCol w:w="1276"/>
        <w:gridCol w:w="992"/>
        <w:gridCol w:w="1276"/>
        <w:gridCol w:w="3260"/>
      </w:tblGrid>
      <w:tr w:rsidR="00CC7D22" w:rsidRPr="00AF7422" w14:paraId="3340283B" w14:textId="77777777" w:rsidTr="00EF0AE5">
        <w:tc>
          <w:tcPr>
            <w:tcW w:w="567" w:type="dxa"/>
          </w:tcPr>
          <w:p w14:paraId="69E3F8B6" w14:textId="1C1F3C8A" w:rsidR="00CC7D22" w:rsidRPr="00AF7422" w:rsidRDefault="00B17911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5" w:type="dxa"/>
          </w:tcPr>
          <w:p w14:paraId="69C9494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7422">
              <w:rPr>
                <w:rFonts w:asciiTheme="majorBidi" w:hAnsiTheme="majorBidi" w:cstheme="majorBidi"/>
                <w:sz w:val="20"/>
                <w:szCs w:val="20"/>
              </w:rPr>
              <w:t>Gellert</w:t>
            </w:r>
            <w:proofErr w:type="spellEnd"/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et al. (2011)</w:t>
            </w:r>
          </w:p>
        </w:tc>
        <w:tc>
          <w:tcPr>
            <w:tcW w:w="992" w:type="dxa"/>
          </w:tcPr>
          <w:p w14:paraId="6A0C85C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1843" w:type="dxa"/>
          </w:tcPr>
          <w:p w14:paraId="7D75E9F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Examine effects of social integration and exercise-specific social support on physical activity</w:t>
            </w:r>
          </w:p>
        </w:tc>
        <w:tc>
          <w:tcPr>
            <w:tcW w:w="851" w:type="dxa"/>
            <w:gridSpan w:val="2"/>
          </w:tcPr>
          <w:p w14:paraId="2F9E1A3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Quasi-experiment</w:t>
            </w:r>
          </w:p>
        </w:tc>
        <w:tc>
          <w:tcPr>
            <w:tcW w:w="992" w:type="dxa"/>
          </w:tcPr>
          <w:p w14:paraId="5F60E70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420</w:t>
            </w:r>
          </w:p>
        </w:tc>
        <w:tc>
          <w:tcPr>
            <w:tcW w:w="1417" w:type="dxa"/>
          </w:tcPr>
          <w:p w14:paraId="238BEE15" w14:textId="6C02E384" w:rsidR="00CC7D22" w:rsidRPr="00AF7422" w:rsidRDefault="00CC7D22" w:rsidP="00EF0AE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Men and women aged over 60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 xml:space="preserve"> (this age group are at increased risk of 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 xml:space="preserve">CHD, cancer) </w:t>
            </w:r>
          </w:p>
        </w:tc>
        <w:tc>
          <w:tcPr>
            <w:tcW w:w="1418" w:type="dxa"/>
          </w:tcPr>
          <w:p w14:paraId="4A395CB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Leaflet prompting planning and self-efficacy for physical activity, received by post</w:t>
            </w:r>
          </w:p>
        </w:tc>
        <w:tc>
          <w:tcPr>
            <w:tcW w:w="1276" w:type="dxa"/>
          </w:tcPr>
          <w:p w14:paraId="15A7B8F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None – comparison between participating partner, non-participating partner and single </w:t>
            </w:r>
          </w:p>
        </w:tc>
        <w:tc>
          <w:tcPr>
            <w:tcW w:w="992" w:type="dxa"/>
          </w:tcPr>
          <w:p w14:paraId="5E6EE02C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 weeks</w:t>
            </w:r>
          </w:p>
          <w:p w14:paraId="5E9AE40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(343: 82% of baseline)</w:t>
            </w:r>
          </w:p>
        </w:tc>
        <w:tc>
          <w:tcPr>
            <w:tcW w:w="1276" w:type="dxa"/>
          </w:tcPr>
          <w:p w14:paraId="772ADDE5" w14:textId="77777777" w:rsidR="00CC7D22" w:rsidRPr="006409BC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Primary</w:t>
            </w:r>
          </w:p>
          <w:p w14:paraId="428F95F9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Physical activity</w:t>
            </w:r>
          </w:p>
          <w:p w14:paraId="19794DFF" w14:textId="77777777" w:rsidR="00CC7D22" w:rsidRPr="006409BC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Secondary</w:t>
            </w:r>
          </w:p>
          <w:p w14:paraId="5DB1EFA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Social support</w:t>
            </w:r>
          </w:p>
        </w:tc>
        <w:tc>
          <w:tcPr>
            <w:tcW w:w="3260" w:type="dxa"/>
          </w:tcPr>
          <w:p w14:paraId="0E42AB9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Greater physical activity and social support among individuals whose partners took part</w:t>
            </w:r>
          </w:p>
          <w:p w14:paraId="2EBE5B6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Participants whose partners took part had more substantial increase in physical activity levels</w:t>
            </w:r>
          </w:p>
          <w:p w14:paraId="57C4A50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3) No difference between singles and participants with a partner who did not participate.</w:t>
            </w:r>
          </w:p>
          <w:p w14:paraId="2DFBE2F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4) Participants who received more social support more physically active when partners took part, but other participants less physically active if received more social support</w:t>
            </w:r>
          </w:p>
        </w:tc>
      </w:tr>
      <w:tr w:rsidR="00CC7D22" w:rsidRPr="00AF7422" w14:paraId="41B520DD" w14:textId="77777777" w:rsidTr="00EF0AE5">
        <w:tc>
          <w:tcPr>
            <w:tcW w:w="567" w:type="dxa"/>
          </w:tcPr>
          <w:p w14:paraId="19578FF2" w14:textId="2224BA80" w:rsidR="00CC7D22" w:rsidRPr="00AF7422" w:rsidRDefault="00B17911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4F39F9E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Lee et al. (2014)</w:t>
            </w:r>
          </w:p>
        </w:tc>
        <w:tc>
          <w:tcPr>
            <w:tcW w:w="992" w:type="dxa"/>
          </w:tcPr>
          <w:p w14:paraId="7E34D53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985" w:type="dxa"/>
            <w:gridSpan w:val="2"/>
          </w:tcPr>
          <w:p w14:paraId="4BE508C2" w14:textId="77777777" w:rsidR="00CC7D22" w:rsidRPr="00CC0D6D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Assess</w:t>
            </w:r>
            <w:r w:rsidRPr="00CC0D6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efficacy of Korean Immigrants and </w:t>
            </w:r>
            <w:r w:rsidRPr="00CC0D6D">
              <w:rPr>
                <w:rFonts w:asciiTheme="majorBidi" w:hAnsiTheme="majorBidi" w:cstheme="majorBidi"/>
                <w:sz w:val="20"/>
                <w:szCs w:val="20"/>
              </w:rPr>
              <w:t>Mammo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graphy—Culture-Specific Health </w:t>
            </w:r>
            <w:r w:rsidRPr="00CC0D6D">
              <w:rPr>
                <w:rFonts w:asciiTheme="majorBidi" w:hAnsiTheme="majorBidi" w:cstheme="majorBidi"/>
                <w:sz w:val="20"/>
                <w:szCs w:val="20"/>
              </w:rPr>
              <w:t xml:space="preserve">Intervention (KIM-CHI), an educational program </w:t>
            </w:r>
          </w:p>
          <w:p w14:paraId="2C8DC987" w14:textId="77777777" w:rsidR="00CC7D22" w:rsidRPr="00CC0D6D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0D6D">
              <w:rPr>
                <w:rFonts w:asciiTheme="majorBidi" w:hAnsiTheme="majorBidi" w:cstheme="majorBidi"/>
                <w:sz w:val="20"/>
                <w:szCs w:val="20"/>
              </w:rPr>
              <w:t xml:space="preserve">designed to improve mammography </w:t>
            </w:r>
          </w:p>
          <w:p w14:paraId="56790BB8" w14:textId="033F44B0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C0D6D">
              <w:rPr>
                <w:rFonts w:asciiTheme="majorBidi" w:hAnsiTheme="majorBidi" w:cstheme="majorBidi"/>
                <w:sz w:val="20"/>
                <w:szCs w:val="20"/>
              </w:rPr>
              <w:t>uptake</w:t>
            </w:r>
            <w:proofErr w:type="gramEnd"/>
            <w:r w:rsidRPr="00CC0D6D">
              <w:rPr>
                <w:rFonts w:asciiTheme="majorBidi" w:hAnsiTheme="majorBidi" w:cstheme="majorBidi"/>
                <w:sz w:val="20"/>
                <w:szCs w:val="20"/>
              </w:rPr>
              <w:t xml:space="preserve"> among K</w:t>
            </w:r>
            <w:r w:rsidR="00302FA8">
              <w:rPr>
                <w:rFonts w:asciiTheme="majorBidi" w:hAnsiTheme="majorBidi" w:cstheme="majorBidi"/>
                <w:sz w:val="20"/>
                <w:szCs w:val="20"/>
              </w:rPr>
              <w:t>orean American (K</w:t>
            </w:r>
            <w:r w:rsidRPr="00CC0D6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302FA8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CC0D6D">
              <w:rPr>
                <w:rFonts w:asciiTheme="majorBidi" w:hAnsiTheme="majorBidi" w:cstheme="majorBidi"/>
                <w:sz w:val="20"/>
                <w:szCs w:val="20"/>
              </w:rPr>
              <w:t xml:space="preserve"> women.</w:t>
            </w:r>
          </w:p>
        </w:tc>
        <w:tc>
          <w:tcPr>
            <w:tcW w:w="709" w:type="dxa"/>
          </w:tcPr>
          <w:p w14:paraId="7CC37D3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992" w:type="dxa"/>
          </w:tcPr>
          <w:p w14:paraId="72A78BFB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428 KA couples;</w:t>
            </w:r>
          </w:p>
          <w:p w14:paraId="20B216B2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(KIM-CHI: 217; Attention control: 211)</w:t>
            </w:r>
          </w:p>
        </w:tc>
        <w:tc>
          <w:tcPr>
            <w:tcW w:w="1417" w:type="dxa"/>
          </w:tcPr>
          <w:p w14:paraId="6B1D5D8A" w14:textId="14C097D8" w:rsidR="00CC7D22" w:rsidRPr="00AF7422" w:rsidRDefault="00CC7D22" w:rsidP="00302FA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KA couples where the woman had not had a mammogram in past year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 xml:space="preserve"> -this group has low uptake of mammograms</w:t>
            </w:r>
            <w:r w:rsidR="003633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02FA8">
              <w:rPr>
                <w:rFonts w:asciiTheme="majorBidi" w:hAnsiTheme="majorBidi" w:cstheme="majorBidi"/>
                <w:sz w:val="20"/>
                <w:szCs w:val="20"/>
              </w:rPr>
              <w:t>At average risk of breast cancer</w:t>
            </w:r>
          </w:p>
        </w:tc>
        <w:tc>
          <w:tcPr>
            <w:tcW w:w="1418" w:type="dxa"/>
          </w:tcPr>
          <w:p w14:paraId="609A5DC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 min Korean language DVD on breast cancer screening, followed by group discussion and couple-based discussion activity at home</w:t>
            </w:r>
          </w:p>
        </w:tc>
        <w:tc>
          <w:tcPr>
            <w:tcW w:w="1276" w:type="dxa"/>
          </w:tcPr>
          <w:p w14:paraId="1D0CBC2B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Couple-focused information about improving diet</w:t>
            </w:r>
          </w:p>
        </w:tc>
        <w:tc>
          <w:tcPr>
            <w:tcW w:w="992" w:type="dxa"/>
          </w:tcPr>
          <w:p w14:paraId="0C9B706D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 months</w:t>
            </w:r>
          </w:p>
          <w:p w14:paraId="4234BEEB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(395 couples followed up)</w:t>
            </w:r>
          </w:p>
        </w:tc>
        <w:tc>
          <w:tcPr>
            <w:tcW w:w="1276" w:type="dxa"/>
          </w:tcPr>
          <w:p w14:paraId="7C8D157C" w14:textId="77777777" w:rsidR="00CC7D22" w:rsidRPr="00CC0D6D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Mammogram uptake</w:t>
            </w:r>
          </w:p>
        </w:tc>
        <w:tc>
          <w:tcPr>
            <w:tcW w:w="3260" w:type="dxa"/>
          </w:tcPr>
          <w:p w14:paraId="4B7E274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1) KIM-CHI group were significantly more likely to attend for mammograms than control group at 6 months (P&lt;.001) and 15 months ( p = .004)</w:t>
            </w:r>
          </w:p>
        </w:tc>
      </w:tr>
    </w:tbl>
    <w:p w14:paraId="2FF24D23" w14:textId="77777777" w:rsidR="00B17911" w:rsidRDefault="00B17911">
      <w:r>
        <w:br w:type="page"/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84"/>
        <w:gridCol w:w="708"/>
        <w:gridCol w:w="284"/>
        <w:gridCol w:w="1559"/>
        <w:gridCol w:w="142"/>
        <w:gridCol w:w="709"/>
        <w:gridCol w:w="141"/>
        <w:gridCol w:w="851"/>
        <w:gridCol w:w="1417"/>
        <w:gridCol w:w="1418"/>
        <w:gridCol w:w="425"/>
        <w:gridCol w:w="567"/>
        <w:gridCol w:w="284"/>
        <w:gridCol w:w="850"/>
        <w:gridCol w:w="425"/>
        <w:gridCol w:w="1276"/>
        <w:gridCol w:w="284"/>
        <w:gridCol w:w="2693"/>
      </w:tblGrid>
      <w:tr w:rsidR="00CC7D22" w:rsidRPr="00AF7422" w14:paraId="67F50818" w14:textId="77777777" w:rsidTr="00EF0AE5">
        <w:tc>
          <w:tcPr>
            <w:tcW w:w="567" w:type="dxa"/>
          </w:tcPr>
          <w:p w14:paraId="5CBA8ADC" w14:textId="69384D17" w:rsidR="00CC7D22" w:rsidRDefault="00B17911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7</w:t>
            </w:r>
          </w:p>
          <w:p w14:paraId="7B6E0C2F" w14:textId="77777777" w:rsidR="00CC7D22" w:rsidRPr="00D37497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7D6675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Manne et al. (2013)</w:t>
            </w:r>
          </w:p>
        </w:tc>
        <w:tc>
          <w:tcPr>
            <w:tcW w:w="992" w:type="dxa"/>
            <w:gridSpan w:val="2"/>
          </w:tcPr>
          <w:p w14:paraId="0747C05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985" w:type="dxa"/>
            <w:gridSpan w:val="3"/>
          </w:tcPr>
          <w:p w14:paraId="66AA788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Improve colorectal cancer screening (CRCS) intentions by increasing frequency of couples’ discussions, increasing each partners’ support for other partner to have CRCS, increasing couples’ relational perspective on CRCS</w:t>
            </w:r>
          </w:p>
          <w:p w14:paraId="34DE083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2) Evaluate impact of intervention on partners’ knowledge of CRC and </w:t>
            </w:r>
            <w:proofErr w:type="spellStart"/>
            <w:r w:rsidRPr="00AF7422">
              <w:rPr>
                <w:rFonts w:asciiTheme="majorBidi" w:hAnsiTheme="majorBidi" w:cstheme="majorBidi"/>
                <w:sz w:val="20"/>
                <w:szCs w:val="20"/>
              </w:rPr>
              <w:t>ind</w:t>
            </w:r>
            <w:proofErr w:type="spellEnd"/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attitudes about CRCS</w:t>
            </w:r>
          </w:p>
        </w:tc>
        <w:tc>
          <w:tcPr>
            <w:tcW w:w="709" w:type="dxa"/>
          </w:tcPr>
          <w:p w14:paraId="44ED080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992" w:type="dxa"/>
            <w:gridSpan w:val="2"/>
          </w:tcPr>
          <w:p w14:paraId="5459F8A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168 couples</w:t>
            </w:r>
          </w:p>
          <w:p w14:paraId="1AA48E5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(GP: 80; CTP: 86)</w:t>
            </w:r>
          </w:p>
        </w:tc>
        <w:tc>
          <w:tcPr>
            <w:tcW w:w="1417" w:type="dxa"/>
          </w:tcPr>
          <w:p w14:paraId="35F53C2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Married couples at average risk of CRC and non-adherent to standard CRC screening recommendations</w:t>
            </w:r>
          </w:p>
        </w:tc>
        <w:tc>
          <w:tcPr>
            <w:tcW w:w="1843" w:type="dxa"/>
            <w:gridSpan w:val="2"/>
          </w:tcPr>
          <w:p w14:paraId="1C1185E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Couple-tailored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print (CTP)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booklet about CRC screening, plus Centre for Disease Control (CDC) booklet</w:t>
            </w:r>
          </w:p>
        </w:tc>
        <w:tc>
          <w:tcPr>
            <w:tcW w:w="851" w:type="dxa"/>
            <w:gridSpan w:val="2"/>
          </w:tcPr>
          <w:p w14:paraId="6749B6D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CDC booklet</w:t>
            </w:r>
          </w:p>
        </w:tc>
        <w:tc>
          <w:tcPr>
            <w:tcW w:w="1275" w:type="dxa"/>
            <w:gridSpan w:val="2"/>
          </w:tcPr>
          <w:p w14:paraId="11F764F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6 months</w:t>
            </w:r>
          </w:p>
          <w:p w14:paraId="5AE926E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(138 couples followed up)</w:t>
            </w:r>
          </w:p>
        </w:tc>
        <w:tc>
          <w:tcPr>
            <w:tcW w:w="1560" w:type="dxa"/>
            <w:gridSpan w:val="2"/>
          </w:tcPr>
          <w:p w14:paraId="3D87521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09BC">
              <w:rPr>
                <w:rFonts w:asciiTheme="majorBidi" w:hAnsiTheme="majorBidi" w:cstheme="majorBidi"/>
                <w:i/>
                <w:sz w:val="20"/>
                <w:szCs w:val="20"/>
              </w:rPr>
              <w:t>Primary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14:paraId="0B64860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CRC Screening status;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Screening intentions</w:t>
            </w:r>
          </w:p>
          <w:p w14:paraId="2A76C6A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09BC">
              <w:rPr>
                <w:rFonts w:asciiTheme="majorBidi" w:hAnsiTheme="majorBidi" w:cstheme="majorBidi"/>
                <w:i/>
                <w:sz w:val="20"/>
                <w:szCs w:val="20"/>
              </w:rPr>
              <w:t>Secondary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14:paraId="29B00E7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Relationship factors;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Relational perspective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  <w:p w14:paraId="6228F47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Support for spouse screening</w:t>
            </w:r>
          </w:p>
          <w:p w14:paraId="5836E99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Discussions with spouse about CRS</w:t>
            </w:r>
          </w:p>
          <w:p w14:paraId="7444CD74" w14:textId="1E61ABE8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Knowledge and attitudes</w:t>
            </w:r>
          </w:p>
          <w:p w14:paraId="0E8AD6D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Perceived risk</w:t>
            </w:r>
          </w:p>
          <w:p w14:paraId="7F61187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Benefits and barriers of screening</w:t>
            </w:r>
          </w:p>
        </w:tc>
        <w:tc>
          <w:tcPr>
            <w:tcW w:w="2693" w:type="dxa"/>
          </w:tcPr>
          <w:p w14:paraId="4AF4CB6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No main effect of condition on screening status (11.6% uptake)</w:t>
            </w:r>
          </w:p>
          <w:p w14:paraId="2C2BE23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2)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ncrease in intention from T1 to T2 in CTP condition</w:t>
            </w:r>
          </w:p>
          <w:p w14:paraId="2A915F5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3)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ncrease in relationship perspective over time in CTP, for men only</w:t>
            </w:r>
          </w:p>
          <w:p w14:paraId="2603A23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4) CTP: significantly increase from husbands over time in support for wives’ CRCS</w:t>
            </w:r>
          </w:p>
          <w:p w14:paraId="7473CDE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5) Women greater increase in perceived benefits after CRC than men in CTP condition</w:t>
            </w:r>
          </w:p>
          <w:p w14:paraId="19AE3B2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1F4DB5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(Note: Couple treated as a unit)</w:t>
            </w:r>
          </w:p>
        </w:tc>
      </w:tr>
      <w:tr w:rsidR="00EF0AE5" w:rsidRPr="00AF7422" w14:paraId="43FD718A" w14:textId="77777777" w:rsidTr="00EF0AE5">
        <w:tc>
          <w:tcPr>
            <w:tcW w:w="567" w:type="dxa"/>
          </w:tcPr>
          <w:p w14:paraId="6499F4D6" w14:textId="1B98A38B" w:rsidR="00CC7D22" w:rsidRPr="00AF7422" w:rsidRDefault="00B17911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14:paraId="0152A2C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McBride et al. (2004)</w:t>
            </w:r>
          </w:p>
        </w:tc>
        <w:tc>
          <w:tcPr>
            <w:tcW w:w="992" w:type="dxa"/>
            <w:gridSpan w:val="2"/>
          </w:tcPr>
          <w:p w14:paraId="5A3AF7B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985" w:type="dxa"/>
            <w:gridSpan w:val="3"/>
          </w:tcPr>
          <w:p w14:paraId="233D2DE0" w14:textId="503FF6AF" w:rsidR="00CC7D22" w:rsidRPr="00AF7422" w:rsidRDefault="00CC7D22" w:rsidP="00EF0AE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Evaluate whether training in optimal support behaviours and giving support to partners increases smoking abstinence </w:t>
            </w:r>
            <w:proofErr w:type="gramStart"/>
            <w:r w:rsidRPr="00AF7422">
              <w:rPr>
                <w:rFonts w:asciiTheme="majorBidi" w:hAnsiTheme="majorBidi" w:cstheme="majorBidi"/>
                <w:sz w:val="20"/>
                <w:szCs w:val="20"/>
              </w:rPr>
              <w:t>rates  among</w:t>
            </w:r>
            <w:proofErr w:type="gramEnd"/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pregnant women during and after pregnancy, relative to usual care and women only intervention</w:t>
            </w:r>
          </w:p>
        </w:tc>
        <w:tc>
          <w:tcPr>
            <w:tcW w:w="709" w:type="dxa"/>
          </w:tcPr>
          <w:p w14:paraId="7D15B0E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992" w:type="dxa"/>
            <w:gridSpan w:val="2"/>
          </w:tcPr>
          <w:p w14:paraId="442FA505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583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(UC: 198; Woman only 192, Partner assisted 193)</w:t>
            </w:r>
          </w:p>
        </w:tc>
        <w:tc>
          <w:tcPr>
            <w:tcW w:w="1417" w:type="dxa"/>
          </w:tcPr>
          <w:p w14:paraId="72DA7F43" w14:textId="7D3C2DA9" w:rsidR="003633CC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Women receiving prenatal care at a medical centre</w:t>
            </w:r>
            <w:r w:rsidR="00302FA8">
              <w:rPr>
                <w:rFonts w:asciiTheme="majorBidi" w:hAnsiTheme="majorBidi" w:cstheme="majorBidi"/>
                <w:sz w:val="20"/>
                <w:szCs w:val="20"/>
              </w:rPr>
              <w:t>, at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 xml:space="preserve"> r</w:t>
            </w:r>
            <w:r w:rsidR="003633CC">
              <w:rPr>
                <w:rFonts w:asciiTheme="majorBidi" w:hAnsiTheme="majorBidi" w:cstheme="majorBidi"/>
                <w:sz w:val="20"/>
                <w:szCs w:val="20"/>
              </w:rPr>
              <w:t>isk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633CC">
              <w:rPr>
                <w:rFonts w:asciiTheme="majorBidi" w:hAnsiTheme="majorBidi" w:cstheme="majorBidi"/>
                <w:sz w:val="20"/>
                <w:szCs w:val="20"/>
              </w:rPr>
              <w:t>of adverse pregnancy outcomes</w:t>
            </w:r>
            <w:r w:rsidR="00302FA8">
              <w:rPr>
                <w:rFonts w:asciiTheme="majorBidi" w:hAnsiTheme="majorBidi" w:cstheme="majorBidi"/>
                <w:sz w:val="20"/>
                <w:szCs w:val="20"/>
              </w:rPr>
              <w:t xml:space="preserve"> and danger to foetus due to smoking</w:t>
            </w:r>
          </w:p>
        </w:tc>
        <w:tc>
          <w:tcPr>
            <w:tcW w:w="1843" w:type="dxa"/>
            <w:gridSpan w:val="2"/>
          </w:tcPr>
          <w:p w14:paraId="4351345C" w14:textId="40E7869E" w:rsidR="00CC7D22" w:rsidRPr="00AF7422" w:rsidRDefault="00CC7D22" w:rsidP="00EF0AE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Late-pregnancy relapse prevention kit, 6 counselling calls (3 in pregnancy, 3 postpartum), 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 xml:space="preserve">+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PA adjunct 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>describing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how partner could be coac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 xml:space="preserve">h.  Booklet, video included,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support behaviours reinforced 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 xml:space="preserve">in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counselling calls</w:t>
            </w:r>
          </w:p>
        </w:tc>
        <w:tc>
          <w:tcPr>
            <w:tcW w:w="851" w:type="dxa"/>
            <w:gridSpan w:val="2"/>
          </w:tcPr>
          <w:p w14:paraId="1D52938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Usual care</w:t>
            </w:r>
          </w:p>
        </w:tc>
        <w:tc>
          <w:tcPr>
            <w:tcW w:w="1275" w:type="dxa"/>
            <w:gridSpan w:val="2"/>
          </w:tcPr>
          <w:p w14:paraId="03F351CE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28 weeks pregnant; 2, 6 and 12-months post-partum</w:t>
            </w:r>
          </w:p>
          <w:p w14:paraId="28960D8D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Follow-up:</w:t>
            </w:r>
          </w:p>
          <w:p w14:paraId="1F92992A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wks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: 81%</w:t>
            </w:r>
          </w:p>
          <w:p w14:paraId="560AA9E9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mths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: 77%</w:t>
            </w:r>
          </w:p>
          <w:p w14:paraId="72253EAF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mths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: 79%</w:t>
            </w:r>
          </w:p>
          <w:p w14:paraId="19E2C71F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mths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: 76%</w:t>
            </w:r>
          </w:p>
          <w:p w14:paraId="2BFDBA5E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FE3744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3F09040" w14:textId="77777777" w:rsidR="00CC7D22" w:rsidRPr="00A11E8F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Primary</w:t>
            </w:r>
          </w:p>
          <w:p w14:paraId="0EDAB388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Self-reported smoking status</w:t>
            </w:r>
          </w:p>
          <w:p w14:paraId="7726186F" w14:textId="77777777" w:rsidR="00CC7D22" w:rsidRPr="00A11E8F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Secondary</w:t>
            </w:r>
          </w:p>
          <w:p w14:paraId="0B8444B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Smoking-specific support</w:t>
            </w:r>
          </w:p>
          <w:p w14:paraId="6C4D445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General support</w:t>
            </w:r>
          </w:p>
          <w:p w14:paraId="6B43EDA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024D6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No differences by condition in sustained or point-prevalence abstinence</w:t>
            </w:r>
          </w:p>
          <w:p w14:paraId="7B5F775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No differences in postpartum relapse</w:t>
            </w:r>
          </w:p>
          <w:p w14:paraId="18728DD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3) Decline in positive partner support from baseline to 12 months</w:t>
            </w:r>
          </w:p>
          <w:p w14:paraId="7DB92CE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4) More partners abstinent at 28 weeks in PA than UC condition</w:t>
            </w:r>
          </w:p>
        </w:tc>
      </w:tr>
      <w:tr w:rsidR="00CC7D22" w:rsidRPr="00AF7422" w14:paraId="76E29C99" w14:textId="77777777" w:rsidTr="00302FA8">
        <w:tc>
          <w:tcPr>
            <w:tcW w:w="567" w:type="dxa"/>
          </w:tcPr>
          <w:p w14:paraId="03B55838" w14:textId="48D1C453" w:rsidR="00CC7D22" w:rsidRPr="00AF7422" w:rsidRDefault="00826DEF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9" w:type="dxa"/>
            <w:gridSpan w:val="2"/>
          </w:tcPr>
          <w:p w14:paraId="5F06201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7422">
              <w:rPr>
                <w:rFonts w:asciiTheme="majorBidi" w:hAnsiTheme="majorBidi" w:cstheme="majorBidi"/>
                <w:sz w:val="20"/>
                <w:szCs w:val="20"/>
              </w:rPr>
              <w:t>Oien</w:t>
            </w:r>
            <w:proofErr w:type="spellEnd"/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et al. (2008)</w:t>
            </w:r>
          </w:p>
        </w:tc>
        <w:tc>
          <w:tcPr>
            <w:tcW w:w="992" w:type="dxa"/>
            <w:gridSpan w:val="2"/>
          </w:tcPr>
          <w:p w14:paraId="090980E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Norway</w:t>
            </w:r>
          </w:p>
        </w:tc>
        <w:tc>
          <w:tcPr>
            <w:tcW w:w="1559" w:type="dxa"/>
          </w:tcPr>
          <w:p w14:paraId="4CA2C50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Investigate parental smoking behaviour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pregnancy after introduction of prenatal, smoking cessation in primary care</w:t>
            </w:r>
          </w:p>
        </w:tc>
        <w:tc>
          <w:tcPr>
            <w:tcW w:w="992" w:type="dxa"/>
            <w:gridSpan w:val="3"/>
          </w:tcPr>
          <w:p w14:paraId="1B6D96B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NRI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63B463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Control – 1788</w:t>
            </w:r>
          </w:p>
          <w:p w14:paraId="3B01891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Intervention - 2051</w:t>
            </w:r>
          </w:p>
        </w:tc>
        <w:tc>
          <w:tcPr>
            <w:tcW w:w="1417" w:type="dxa"/>
          </w:tcPr>
          <w:p w14:paraId="44F61545" w14:textId="6F984D0C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Pregnant women 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 xml:space="preserve">who smoked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(invited to bring partners)</w:t>
            </w:r>
            <w:r w:rsidR="00575AAC">
              <w:rPr>
                <w:rFonts w:asciiTheme="majorBidi" w:hAnsiTheme="majorBidi" w:cstheme="majorBidi"/>
                <w:sz w:val="20"/>
                <w:szCs w:val="20"/>
              </w:rPr>
              <w:t>, at risk of adverse pregnancy outcomes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 xml:space="preserve"> and danger to foetus</w:t>
            </w:r>
          </w:p>
        </w:tc>
        <w:tc>
          <w:tcPr>
            <w:tcW w:w="1418" w:type="dxa"/>
          </w:tcPr>
          <w:p w14:paraId="2F9ADBF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Brief intervention on diet, indoor dampness and smoking cessation</w:t>
            </w:r>
          </w:p>
        </w:tc>
        <w:tc>
          <w:tcPr>
            <w:tcW w:w="992" w:type="dxa"/>
            <w:gridSpan w:val="2"/>
          </w:tcPr>
          <w:p w14:paraId="62F4B19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 treatment</w:t>
            </w:r>
          </w:p>
        </w:tc>
        <w:tc>
          <w:tcPr>
            <w:tcW w:w="1134" w:type="dxa"/>
            <w:gridSpan w:val="2"/>
          </w:tcPr>
          <w:p w14:paraId="604F1161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wks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postnatal:</w:t>
            </w:r>
          </w:p>
          <w:p w14:paraId="545A904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Intervention: 1109; ctrl: 1023</w:t>
            </w:r>
          </w:p>
        </w:tc>
        <w:tc>
          <w:tcPr>
            <w:tcW w:w="1701" w:type="dxa"/>
            <w:gridSpan w:val="2"/>
          </w:tcPr>
          <w:p w14:paraId="315EC08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Self-reported smoking behaviour 6 weeks postnatal</w:t>
            </w:r>
          </w:p>
        </w:tc>
        <w:tc>
          <w:tcPr>
            <w:tcW w:w="2977" w:type="dxa"/>
            <w:gridSpan w:val="2"/>
          </w:tcPr>
          <w:p w14:paraId="1B0DAE4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 effect on parental smoking</w:t>
            </w:r>
          </w:p>
        </w:tc>
      </w:tr>
      <w:tr w:rsidR="00CC7D22" w:rsidRPr="00AF7422" w14:paraId="1C9744F6" w14:textId="77777777" w:rsidTr="00302FA8">
        <w:tc>
          <w:tcPr>
            <w:tcW w:w="567" w:type="dxa"/>
          </w:tcPr>
          <w:p w14:paraId="6E9E8121" w14:textId="79773843" w:rsidR="00CC7D22" w:rsidRPr="00AF7422" w:rsidRDefault="00826DEF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419" w:type="dxa"/>
            <w:gridSpan w:val="2"/>
          </w:tcPr>
          <w:p w14:paraId="51CCD06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Park et al. (2009)</w:t>
            </w:r>
          </w:p>
        </w:tc>
        <w:tc>
          <w:tcPr>
            <w:tcW w:w="992" w:type="dxa"/>
            <w:gridSpan w:val="2"/>
          </w:tcPr>
          <w:p w14:paraId="39635A7B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South Korea</w:t>
            </w:r>
          </w:p>
        </w:tc>
        <w:tc>
          <w:tcPr>
            <w:tcW w:w="1559" w:type="dxa"/>
          </w:tcPr>
          <w:p w14:paraId="0A9C546D" w14:textId="75327803" w:rsidR="00B17911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Examine effects of cognition-oriented BSE intervention for women with no prior BSE experience who avoid thinking about or performing BSE </w:t>
            </w:r>
          </w:p>
          <w:p w14:paraId="3392E578" w14:textId="0BAF98AF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and spouses</w:t>
            </w:r>
          </w:p>
        </w:tc>
        <w:tc>
          <w:tcPr>
            <w:tcW w:w="992" w:type="dxa"/>
            <w:gridSpan w:val="3"/>
          </w:tcPr>
          <w:p w14:paraId="2579FCB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NRI</w:t>
            </w:r>
          </w:p>
        </w:tc>
        <w:tc>
          <w:tcPr>
            <w:tcW w:w="851" w:type="dxa"/>
          </w:tcPr>
          <w:p w14:paraId="53DFF2C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48 couples (24/ group)</w:t>
            </w:r>
          </w:p>
        </w:tc>
        <w:tc>
          <w:tcPr>
            <w:tcW w:w="1417" w:type="dxa"/>
          </w:tcPr>
          <w:p w14:paraId="5172C73D" w14:textId="5A380A3B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Married couples with no experience of breast cancer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 xml:space="preserve">  - </w:t>
            </w:r>
            <w:r w:rsidR="009302FB">
              <w:rPr>
                <w:rFonts w:asciiTheme="majorBidi" w:hAnsiTheme="majorBidi" w:cstheme="majorBidi"/>
                <w:sz w:val="20"/>
                <w:szCs w:val="20"/>
              </w:rPr>
              <w:t>women have a 1 in 9 risk of developing breast cancer in their lifetime</w:t>
            </w:r>
          </w:p>
        </w:tc>
        <w:tc>
          <w:tcPr>
            <w:tcW w:w="1418" w:type="dxa"/>
          </w:tcPr>
          <w:p w14:paraId="3B52596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1.5 hour lecture,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with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opportunity to practice BSE while being videotaped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receive feedback on video</w:t>
            </w:r>
          </w:p>
        </w:tc>
        <w:tc>
          <w:tcPr>
            <w:tcW w:w="992" w:type="dxa"/>
            <w:gridSpan w:val="2"/>
          </w:tcPr>
          <w:p w14:paraId="613CDA5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Lecture on breast cancer and BSE</w:t>
            </w:r>
          </w:p>
        </w:tc>
        <w:tc>
          <w:tcPr>
            <w:tcW w:w="1134" w:type="dxa"/>
            <w:gridSpan w:val="2"/>
          </w:tcPr>
          <w:p w14:paraId="769173ED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6 months</w:t>
            </w:r>
          </w:p>
          <w:p w14:paraId="4519450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(Follow-up rate not reported)</w:t>
            </w:r>
          </w:p>
        </w:tc>
        <w:tc>
          <w:tcPr>
            <w:tcW w:w="1701" w:type="dxa"/>
            <w:gridSpan w:val="2"/>
          </w:tcPr>
          <w:p w14:paraId="75792594" w14:textId="77777777" w:rsidR="00CC7D22" w:rsidRPr="008615A2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Primary</w:t>
            </w:r>
          </w:p>
          <w:p w14:paraId="43A3A663" w14:textId="40D0BB86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Stage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of BSE </w:t>
            </w:r>
          </w:p>
          <w:p w14:paraId="7832F51C" w14:textId="77777777" w:rsidR="00CC7D22" w:rsidRPr="008615A2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Secondary</w:t>
            </w:r>
          </w:p>
          <w:p w14:paraId="55F2288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Knowledge of breast cancer and BSE</w:t>
            </w:r>
          </w:p>
          <w:p w14:paraId="4608EE7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Spousal encouragement for compliance</w:t>
            </w:r>
          </w:p>
          <w:p w14:paraId="5FB088D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Perceived confidence, benefits,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>barriers</w:t>
            </w:r>
          </w:p>
        </w:tc>
        <w:tc>
          <w:tcPr>
            <w:tcW w:w="2977" w:type="dxa"/>
            <w:gridSpan w:val="2"/>
          </w:tcPr>
          <w:p w14:paraId="127EA2D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Change in knowledge of BSE and breast cancer greater in experimental group</w:t>
            </w:r>
          </w:p>
          <w:p w14:paraId="1F3A83F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Greater increase in perceived confidence in experimental group</w:t>
            </w:r>
          </w:p>
          <w:p w14:paraId="22E5CE3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3) Significantly greater change in stage of BSE in experimental group (but no group difference)</w:t>
            </w:r>
          </w:p>
          <w:p w14:paraId="6523BC0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6F192B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DCD8C87" w14:textId="77777777" w:rsidR="00302FA8" w:rsidRDefault="00302FA8">
      <w:r>
        <w:br w:type="page"/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992"/>
        <w:gridCol w:w="1559"/>
        <w:gridCol w:w="992"/>
        <w:gridCol w:w="851"/>
        <w:gridCol w:w="1417"/>
        <w:gridCol w:w="1418"/>
        <w:gridCol w:w="1134"/>
        <w:gridCol w:w="992"/>
        <w:gridCol w:w="1701"/>
        <w:gridCol w:w="2977"/>
      </w:tblGrid>
      <w:tr w:rsidR="00CC7D22" w:rsidRPr="00AF7422" w14:paraId="43B9DC03" w14:textId="77777777" w:rsidTr="00302FA8">
        <w:tc>
          <w:tcPr>
            <w:tcW w:w="567" w:type="dxa"/>
          </w:tcPr>
          <w:p w14:paraId="723D6536" w14:textId="586A10D8" w:rsidR="00CC7D22" w:rsidRPr="00AF7422" w:rsidRDefault="00826DEF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9" w:type="dxa"/>
          </w:tcPr>
          <w:p w14:paraId="3860AC4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Robinson et al. (2007)</w:t>
            </w:r>
          </w:p>
        </w:tc>
        <w:tc>
          <w:tcPr>
            <w:tcW w:w="992" w:type="dxa"/>
          </w:tcPr>
          <w:p w14:paraId="6FBDC36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559" w:type="dxa"/>
          </w:tcPr>
          <w:p w14:paraId="5DFD6B27" w14:textId="2A16992D" w:rsidR="00CC7D22" w:rsidRPr="00AF7422" w:rsidRDefault="00CC7D22" w:rsidP="00575A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Examine role of partner assistance in learning and implementation of intervention designed to promote skin self-examination (SSE) </w:t>
            </w:r>
          </w:p>
        </w:tc>
        <w:tc>
          <w:tcPr>
            <w:tcW w:w="992" w:type="dxa"/>
          </w:tcPr>
          <w:p w14:paraId="5E04AE6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851" w:type="dxa"/>
          </w:tcPr>
          <w:p w14:paraId="74A298B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130 (65/</w:t>
            </w:r>
          </w:p>
          <w:p w14:paraId="1CC9069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group)</w:t>
            </w:r>
          </w:p>
        </w:tc>
        <w:tc>
          <w:tcPr>
            <w:tcW w:w="1417" w:type="dxa"/>
          </w:tcPr>
          <w:p w14:paraId="628F8617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Participants diagnosed with cutaneous melanoma, seen annually by physicians</w:t>
            </w:r>
          </w:p>
          <w:p w14:paraId="371817DE" w14:textId="77777777" w:rsidR="00575AAC" w:rsidRDefault="00575AAC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70E7032" w14:textId="1083C483" w:rsidR="00575AAC" w:rsidRPr="00AF7422" w:rsidRDefault="00302FA8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At</w:t>
            </w:r>
            <w:r w:rsidR="00575AAC"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risk of developing melanoma</w:t>
            </w:r>
          </w:p>
        </w:tc>
        <w:tc>
          <w:tcPr>
            <w:tcW w:w="1418" w:type="dxa"/>
          </w:tcPr>
          <w:p w14:paraId="2FF327D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Dyadic learning: couple-based skills training for SSE, provision of enabling kit</w:t>
            </w:r>
          </w:p>
        </w:tc>
        <w:tc>
          <w:tcPr>
            <w:tcW w:w="1134" w:type="dxa"/>
          </w:tcPr>
          <w:p w14:paraId="1E4C891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Same, but solo learning</w:t>
            </w:r>
          </w:p>
        </w:tc>
        <w:tc>
          <w:tcPr>
            <w:tcW w:w="992" w:type="dxa"/>
          </w:tcPr>
          <w:p w14:paraId="79335E30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 months</w:t>
            </w:r>
          </w:p>
          <w:p w14:paraId="42B151C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(100% follow-up)</w:t>
            </w:r>
          </w:p>
        </w:tc>
        <w:tc>
          <w:tcPr>
            <w:tcW w:w="1701" w:type="dxa"/>
          </w:tcPr>
          <w:p w14:paraId="279BCA6A" w14:textId="77777777" w:rsidR="00CC7D22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Primary</w:t>
            </w:r>
          </w:p>
          <w:p w14:paraId="1EB10D0A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Performance of SSE</w:t>
            </w:r>
          </w:p>
          <w:p w14:paraId="094E0BE2" w14:textId="77777777" w:rsidR="00CC7D22" w:rsidRPr="00BC7B13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Secondary</w:t>
            </w:r>
          </w:p>
          <w:p w14:paraId="122A890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Skills quiz</w:t>
            </w:r>
          </w:p>
          <w:p w14:paraId="04D6FC8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Skin cancer risk</w:t>
            </w:r>
          </w:p>
          <w:p w14:paraId="46A18E1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Perceived risk</w:t>
            </w:r>
          </w:p>
          <w:p w14:paraId="3ED60A0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Perceived benefit of SSE</w:t>
            </w:r>
          </w:p>
          <w:p w14:paraId="344AEB4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Self-efficacy of performing SSE</w:t>
            </w:r>
          </w:p>
          <w:p w14:paraId="3930187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Skin cancer knowledge</w:t>
            </w:r>
          </w:p>
          <w:p w14:paraId="0527971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Attitudes to SSE</w:t>
            </w:r>
          </w:p>
        </w:tc>
        <w:tc>
          <w:tcPr>
            <w:tcW w:w="2977" w:type="dxa"/>
          </w:tcPr>
          <w:p w14:paraId="5ADC7C5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Dyadic learners believed significantly more important to perform SSE, have a partner assist</w:t>
            </w:r>
          </w:p>
          <w:p w14:paraId="5799E7E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Dyadic learners had significantly higher self-efficacy for performing SSE</w:t>
            </w:r>
          </w:p>
          <w:p w14:paraId="466320E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3) Dyadic learners showed significantly stronger intentions to perform SSE on face and skin in general</w:t>
            </w:r>
          </w:p>
          <w:p w14:paraId="63F2F5EB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4) Significantly more dyadic learners checked skin at 4 months</w:t>
            </w:r>
          </w:p>
          <w:p w14:paraId="7AD11FB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5) Dyadic learning significantly more likely to review SSE guidelines, examine skin with and without a partner</w:t>
            </w:r>
          </w:p>
        </w:tc>
      </w:tr>
      <w:tr w:rsidR="00CC7D22" w:rsidRPr="00AF7422" w14:paraId="4CBAE236" w14:textId="77777777" w:rsidTr="00302FA8">
        <w:tc>
          <w:tcPr>
            <w:tcW w:w="567" w:type="dxa"/>
          </w:tcPr>
          <w:p w14:paraId="2DA64A0F" w14:textId="5A9EC85A" w:rsidR="00CC7D22" w:rsidRPr="00AF7422" w:rsidRDefault="00826DEF" w:rsidP="009302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14:paraId="5F73DAC5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Van Jaarsveld et al. (2006)</w:t>
            </w:r>
          </w:p>
        </w:tc>
        <w:tc>
          <w:tcPr>
            <w:tcW w:w="992" w:type="dxa"/>
          </w:tcPr>
          <w:p w14:paraId="7A9C8FA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UK</w:t>
            </w:r>
          </w:p>
        </w:tc>
        <w:tc>
          <w:tcPr>
            <w:tcW w:w="1559" w:type="dxa"/>
          </w:tcPr>
          <w:p w14:paraId="6340F76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Examine influence of marital status and inviting both partners together on attendance at colorectal cancer screening</w:t>
            </w:r>
          </w:p>
        </w:tc>
        <w:tc>
          <w:tcPr>
            <w:tcW w:w="992" w:type="dxa"/>
          </w:tcPr>
          <w:p w14:paraId="4E60FC1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Retrospective analysis of trial data</w:t>
            </w:r>
          </w:p>
        </w:tc>
        <w:tc>
          <w:tcPr>
            <w:tcW w:w="851" w:type="dxa"/>
          </w:tcPr>
          <w:p w14:paraId="79B4FDD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4130 adults aged 55-64</w:t>
            </w:r>
          </w:p>
        </w:tc>
        <w:tc>
          <w:tcPr>
            <w:tcW w:w="1417" w:type="dxa"/>
          </w:tcPr>
          <w:p w14:paraId="2F7AED02" w14:textId="3FC799DC" w:rsidR="00CC7D22" w:rsidRPr="00AF7422" w:rsidRDefault="00CC7D22" w:rsidP="00EF0AE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Adults aged 55-64 who had been invited for colorectal cancer screening</w:t>
            </w:r>
            <w:r w:rsidR="00575AA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F0AE5">
              <w:rPr>
                <w:rFonts w:asciiTheme="majorBidi" w:hAnsiTheme="majorBidi" w:cstheme="majorBidi"/>
                <w:sz w:val="20"/>
                <w:szCs w:val="20"/>
              </w:rPr>
              <w:t>in age group at</w:t>
            </w:r>
            <w:r w:rsidR="00575AAC">
              <w:rPr>
                <w:rFonts w:asciiTheme="majorBidi" w:hAnsiTheme="majorBidi" w:cstheme="majorBidi"/>
                <w:sz w:val="20"/>
                <w:szCs w:val="20"/>
              </w:rPr>
              <w:t xml:space="preserve"> increased risk for CRC</w:t>
            </w:r>
          </w:p>
        </w:tc>
        <w:tc>
          <w:tcPr>
            <w:tcW w:w="1418" w:type="dxa"/>
          </w:tcPr>
          <w:p w14:paraId="19E33FB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Both partners invited</w:t>
            </w:r>
          </w:p>
        </w:tc>
        <w:tc>
          <w:tcPr>
            <w:tcW w:w="1134" w:type="dxa"/>
          </w:tcPr>
          <w:p w14:paraId="3E102F1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Invited alone</w:t>
            </w:r>
          </w:p>
        </w:tc>
        <w:tc>
          <w:tcPr>
            <w:tcW w:w="992" w:type="dxa"/>
          </w:tcPr>
          <w:p w14:paraId="0DEB5682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Period of trial</w:t>
            </w:r>
          </w:p>
          <w:p w14:paraId="186261D7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(N/A)</w:t>
            </w:r>
          </w:p>
          <w:p w14:paraId="115039D1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C6D00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Attendance at colorectal cancer screening</w:t>
            </w:r>
          </w:p>
        </w:tc>
        <w:tc>
          <w:tcPr>
            <w:tcW w:w="2977" w:type="dxa"/>
          </w:tcPr>
          <w:p w14:paraId="5F288DB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Married (or cohabiting) individuals significantly more likely to attend for screening.</w:t>
            </w:r>
          </w:p>
          <w:p w14:paraId="31D17D2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Inviting partners together significantly increased attendance at screening</w:t>
            </w:r>
          </w:p>
        </w:tc>
      </w:tr>
      <w:tr w:rsidR="00CC7D22" w:rsidRPr="00AF7422" w14:paraId="5A85838A" w14:textId="77777777" w:rsidTr="00EF0AE5">
        <w:tc>
          <w:tcPr>
            <w:tcW w:w="567" w:type="dxa"/>
            <w:tcBorders>
              <w:bottom w:val="single" w:sz="4" w:space="0" w:color="auto"/>
            </w:tcBorders>
          </w:tcPr>
          <w:p w14:paraId="38850F6E" w14:textId="76AC89B6" w:rsidR="00CC7D22" w:rsidRPr="00AF7422" w:rsidRDefault="00826DEF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3ADB25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7422">
              <w:rPr>
                <w:rFonts w:asciiTheme="majorBidi" w:hAnsiTheme="majorBidi" w:cstheme="majorBidi"/>
                <w:sz w:val="20"/>
                <w:szCs w:val="20"/>
              </w:rPr>
              <w:t>Voils</w:t>
            </w:r>
            <w:proofErr w:type="spellEnd"/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et al. (2</w:t>
            </w:r>
            <w:bookmarkStart w:id="0" w:name="_GoBack"/>
            <w:bookmarkEnd w:id="0"/>
            <w:r w:rsidRPr="00AF7422">
              <w:rPr>
                <w:rFonts w:asciiTheme="majorBidi" w:hAnsiTheme="majorBidi" w:cstheme="majorBidi"/>
                <w:sz w:val="20"/>
                <w:szCs w:val="20"/>
              </w:rPr>
              <w:t>013)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9ED8F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F577A1" w14:textId="6246525C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Determine effectiveness of Couples Partnering for Lipid 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 xml:space="preserve">Enhancing Strategies </w:t>
            </w:r>
            <w:proofErr w:type="spellStart"/>
            <w:r w:rsidR="00B17911">
              <w:rPr>
                <w:rFonts w:asciiTheme="majorBidi" w:hAnsiTheme="majorBidi" w:cstheme="majorBidi"/>
                <w:sz w:val="20"/>
                <w:szCs w:val="20"/>
              </w:rPr>
              <w:t>CouPLES</w:t>
            </w:r>
            <w:proofErr w:type="spellEnd"/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on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adherence to cholesterol-lowering regime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FB52C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A3565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255 (127- intervention)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D7C78B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Outpatients with low-density lipoprotein cholesterol (LDL-C) &gt; 76mg/DL)</w:t>
            </w:r>
          </w:p>
          <w:p w14:paraId="040EE914" w14:textId="77777777" w:rsidR="00957FB1" w:rsidRDefault="00957FB1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534FEDB" w14:textId="16AE2743" w:rsidR="00957FB1" w:rsidRPr="00AF7422" w:rsidRDefault="00EF0AE5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(At risk of CHD)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2205E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CouPLES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9 monthly goal-setting telephone calls delivered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by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research nurse (first patients, then spouses 1wk later)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4A445D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Usual care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2D99DF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11 months</w:t>
            </w:r>
          </w:p>
          <w:p w14:paraId="5174E40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83% follow-up; 106/ group)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5D404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Primary:</w:t>
            </w:r>
          </w:p>
          <w:p w14:paraId="7077CC2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Patient LDL-C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E0686F" w14:textId="09DB3AD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No significant difference in mean LDL-C be</w:t>
            </w:r>
            <w:r w:rsidR="00B17911">
              <w:rPr>
                <w:rFonts w:asciiTheme="majorBidi" w:hAnsiTheme="majorBidi" w:cstheme="majorBidi"/>
                <w:sz w:val="20"/>
                <w:szCs w:val="20"/>
              </w:rPr>
              <w:t>tween intervention and UC at 11 months</w:t>
            </w:r>
          </w:p>
          <w:p w14:paraId="421349D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No difference in odds of meeting goal LDL-C</w:t>
            </w:r>
          </w:p>
          <w:p w14:paraId="79054719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3) Reduced caloric intake in intervention group, total and saturated fat intake and percentage of calories from fat.</w:t>
            </w:r>
          </w:p>
        </w:tc>
      </w:tr>
      <w:tr w:rsidR="00CC7D22" w:rsidRPr="00AF7422" w14:paraId="7536D1F4" w14:textId="77777777" w:rsidTr="00EF0AE5">
        <w:tc>
          <w:tcPr>
            <w:tcW w:w="567" w:type="dxa"/>
          </w:tcPr>
          <w:p w14:paraId="4F142FE8" w14:textId="3864DE6B" w:rsidR="00CC7D22" w:rsidRPr="00AF7422" w:rsidRDefault="00826DEF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9" w:type="dxa"/>
          </w:tcPr>
          <w:p w14:paraId="547EAAE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Wing et al. (1991)</w:t>
            </w:r>
          </w:p>
        </w:tc>
        <w:tc>
          <w:tcPr>
            <w:tcW w:w="992" w:type="dxa"/>
          </w:tcPr>
          <w:p w14:paraId="1A6F2EAC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559" w:type="dxa"/>
          </w:tcPr>
          <w:p w14:paraId="365E2C4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Test effectiveness of family-based approach for obese patients with Type II diabetes</w:t>
            </w:r>
          </w:p>
        </w:tc>
        <w:tc>
          <w:tcPr>
            <w:tcW w:w="992" w:type="dxa"/>
          </w:tcPr>
          <w:p w14:paraId="55D5E860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851" w:type="dxa"/>
          </w:tcPr>
          <w:p w14:paraId="0A408E62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49 ( Together: 24; Alone: 25)</w:t>
            </w:r>
          </w:p>
        </w:tc>
        <w:tc>
          <w:tcPr>
            <w:tcW w:w="1417" w:type="dxa"/>
          </w:tcPr>
          <w:p w14:paraId="0E193AED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Obese patients with diabetes</w:t>
            </w:r>
          </w:p>
          <w:p w14:paraId="69A30178" w14:textId="45A1A6F4" w:rsidR="00957FB1" w:rsidRPr="00AF7422" w:rsidRDefault="00EF0AE5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(At </w:t>
            </w:r>
            <w:r w:rsidR="00655D49">
              <w:rPr>
                <w:rFonts w:asciiTheme="majorBidi" w:hAnsiTheme="majorBidi" w:cstheme="majorBidi"/>
                <w:sz w:val="20"/>
                <w:szCs w:val="20"/>
              </w:rPr>
              <w:t>risk of CHD)</w:t>
            </w:r>
          </w:p>
        </w:tc>
        <w:tc>
          <w:tcPr>
            <w:tcW w:w="1418" w:type="dxa"/>
          </w:tcPr>
          <w:p w14:paraId="2D7C3774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Together: participated with spouses in behavioural weight control program</w:t>
            </w:r>
          </w:p>
        </w:tc>
        <w:tc>
          <w:tcPr>
            <w:tcW w:w="1134" w:type="dxa"/>
          </w:tcPr>
          <w:p w14:paraId="1168355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Alone: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participated alone</w:t>
            </w:r>
          </w:p>
        </w:tc>
        <w:tc>
          <w:tcPr>
            <w:tcW w:w="992" w:type="dxa"/>
          </w:tcPr>
          <w:p w14:paraId="65D2CFB3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After 20 </w:t>
            </w:r>
            <w:proofErr w:type="spellStart"/>
            <w:r w:rsidRPr="00AF7422">
              <w:rPr>
                <w:rFonts w:asciiTheme="majorBidi" w:hAnsiTheme="majorBidi" w:cstheme="majorBidi"/>
                <w:sz w:val="20"/>
                <w:szCs w:val="20"/>
              </w:rPr>
              <w:t>wk</w:t>
            </w:r>
            <w:proofErr w:type="spellEnd"/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program;</w:t>
            </w:r>
          </w:p>
          <w:p w14:paraId="6376ED5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 year</w:t>
            </w:r>
          </w:p>
          <w:p w14:paraId="647C820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(43 patients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 w:rsidRPr="00AF7422">
              <w:rPr>
                <w:rFonts w:asciiTheme="majorBidi" w:hAnsiTheme="majorBidi" w:cstheme="majorBidi"/>
                <w:sz w:val="20"/>
                <w:szCs w:val="20"/>
              </w:rPr>
              <w:t xml:space="preserve"> 42 spouses completed)</w:t>
            </w:r>
          </w:p>
        </w:tc>
        <w:tc>
          <w:tcPr>
            <w:tcW w:w="1701" w:type="dxa"/>
          </w:tcPr>
          <w:p w14:paraId="1795AC80" w14:textId="77777777" w:rsidR="00CC7D22" w:rsidRPr="008A66CF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Primary</w:t>
            </w:r>
          </w:p>
          <w:p w14:paraId="64076F6F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Weight</w:t>
            </w:r>
          </w:p>
          <w:p w14:paraId="0C4AD35D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BMI</w:t>
            </w:r>
          </w:p>
          <w:p w14:paraId="2D9B48B0" w14:textId="77777777" w:rsidR="00CC7D22" w:rsidRPr="008A66CF" w:rsidRDefault="00CC7D22" w:rsidP="00684669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Secondary</w:t>
            </w:r>
          </w:p>
          <w:p w14:paraId="394060BA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HbA1c</w:t>
            </w:r>
          </w:p>
          <w:p w14:paraId="75CBA2C6" w14:textId="77777777" w:rsidR="00CC7D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Fasting blood sugar</w:t>
            </w:r>
          </w:p>
          <w:p w14:paraId="203072A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Exercise</w:t>
            </w:r>
          </w:p>
        </w:tc>
        <w:tc>
          <w:tcPr>
            <w:tcW w:w="2977" w:type="dxa"/>
          </w:tcPr>
          <w:p w14:paraId="7DAB39B8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1) Significant weight loss and short-term improvements in glycaemic control, reductions in fat intake, increases in exercise</w:t>
            </w:r>
          </w:p>
          <w:p w14:paraId="2CD24BDE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2) Men did better when treated alone; women did better when treated in the ‘together’ condition.</w:t>
            </w:r>
          </w:p>
          <w:p w14:paraId="1AB55F97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3) Spouses lost significantly more weight in ‘together’ condition.</w:t>
            </w:r>
          </w:p>
          <w:p w14:paraId="3B20D276" w14:textId="77777777" w:rsidR="00CC7D22" w:rsidRPr="00AF7422" w:rsidRDefault="00CC7D22" w:rsidP="006846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F7422">
              <w:rPr>
                <w:rFonts w:asciiTheme="majorBidi" w:hAnsiTheme="majorBidi" w:cstheme="majorBidi"/>
                <w:sz w:val="20"/>
                <w:szCs w:val="20"/>
              </w:rPr>
              <w:t>4) Correlations between patients and spouses: changes in fat intake in ‘alone’ condition, changes in exercise in both conditions</w:t>
            </w:r>
          </w:p>
        </w:tc>
      </w:tr>
    </w:tbl>
    <w:p w14:paraId="53217CB8" w14:textId="77777777" w:rsidR="00CC7D22" w:rsidRPr="00AF7422" w:rsidRDefault="00CC7D22" w:rsidP="00CC7D22">
      <w:pPr>
        <w:rPr>
          <w:rFonts w:asciiTheme="majorBidi" w:hAnsiTheme="majorBidi" w:cstheme="majorBidi"/>
          <w:sz w:val="20"/>
          <w:szCs w:val="20"/>
        </w:rPr>
      </w:pPr>
    </w:p>
    <w:p w14:paraId="46BA7B15" w14:textId="77777777" w:rsidR="00CC7D22" w:rsidRDefault="00CC7D22" w:rsidP="00CC7D22">
      <w:pPr>
        <w:spacing w:line="360" w:lineRule="auto"/>
      </w:pPr>
    </w:p>
    <w:p w14:paraId="7B109F1B" w14:textId="77777777" w:rsidR="00A3181F" w:rsidRDefault="00A3181F"/>
    <w:sectPr w:rsidR="00A3181F" w:rsidSect="00CC7D2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grath N.M.">
    <w15:presenceInfo w15:providerId="AD" w15:userId="S-1-5-21-2015846570-11164191-355810188-279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2"/>
    <w:rsid w:val="000C3797"/>
    <w:rsid w:val="00171C40"/>
    <w:rsid w:val="00302FA8"/>
    <w:rsid w:val="003633CC"/>
    <w:rsid w:val="00575AAC"/>
    <w:rsid w:val="00655D49"/>
    <w:rsid w:val="00684669"/>
    <w:rsid w:val="007C3996"/>
    <w:rsid w:val="00826DEF"/>
    <w:rsid w:val="008A30D3"/>
    <w:rsid w:val="009302FB"/>
    <w:rsid w:val="00957FB1"/>
    <w:rsid w:val="00A3181F"/>
    <w:rsid w:val="00B17911"/>
    <w:rsid w:val="00CC7D22"/>
    <w:rsid w:val="00D53C16"/>
    <w:rsid w:val="00EB3187"/>
    <w:rsid w:val="00E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15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1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1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1858</Words>
  <Characters>10596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Arden-close</dc:creator>
  <cp:keywords/>
  <dc:description/>
  <cp:lastModifiedBy>emily  Arden-close</cp:lastModifiedBy>
  <cp:revision>4</cp:revision>
  <dcterms:created xsi:type="dcterms:W3CDTF">2016-06-22T10:13:00Z</dcterms:created>
  <dcterms:modified xsi:type="dcterms:W3CDTF">2016-06-22T10:15:00Z</dcterms:modified>
</cp:coreProperties>
</file>