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B788F" w14:textId="77777777" w:rsidR="00042144" w:rsidRPr="00522CD2" w:rsidRDefault="00042144" w:rsidP="00042144">
      <w:pPr>
        <w:pStyle w:val="Default"/>
        <w:shd w:val="clear" w:color="auto" w:fill="FFFFFF" w:themeFill="background1"/>
        <w:rPr>
          <w:rFonts w:ascii="Times" w:hAnsi="Times"/>
          <w:bCs/>
          <w:sz w:val="24"/>
          <w:szCs w:val="24"/>
        </w:rPr>
      </w:pPr>
    </w:p>
    <w:p w14:paraId="0C7CE483" w14:textId="77777777" w:rsidR="00042144" w:rsidRPr="00522CD2" w:rsidRDefault="00042144" w:rsidP="00042144">
      <w:pPr>
        <w:pStyle w:val="Default"/>
        <w:shd w:val="clear" w:color="auto" w:fill="FFFFFF" w:themeFill="background1"/>
        <w:jc w:val="center"/>
        <w:rPr>
          <w:rFonts w:ascii="Times" w:eastAsia="Times New Roman" w:hAnsi="Times" w:cs="Times New Roman"/>
          <w:bCs/>
          <w:sz w:val="24"/>
          <w:szCs w:val="24"/>
        </w:rPr>
      </w:pPr>
      <w:r w:rsidRPr="00522CD2">
        <w:rPr>
          <w:rFonts w:ascii="Times" w:hAnsi="Times"/>
          <w:bCs/>
          <w:sz w:val="24"/>
          <w:szCs w:val="24"/>
          <w:lang w:val="en-US"/>
        </w:rPr>
        <w:t>A systematic review and synthesis of outcome domains for use within forensic services for people with intellectual disabilities</w:t>
      </w:r>
    </w:p>
    <w:p w14:paraId="2E5731E9" w14:textId="77777777" w:rsidR="00042144" w:rsidRPr="00522CD2" w:rsidRDefault="00042144" w:rsidP="00042144">
      <w:pPr>
        <w:pStyle w:val="Heading1"/>
        <w:rPr>
          <w:lang w:val="en-US"/>
        </w:rPr>
      </w:pPr>
      <w:r w:rsidRPr="00522CD2">
        <w:rPr>
          <w:lang w:val="en-US"/>
        </w:rPr>
        <w:t>Abstract</w:t>
      </w:r>
    </w:p>
    <w:p w14:paraId="62227396" w14:textId="77777777" w:rsidR="00042144" w:rsidRPr="00522CD2" w:rsidRDefault="00042144" w:rsidP="00042144">
      <w:pPr>
        <w:pStyle w:val="Default"/>
        <w:shd w:val="clear" w:color="auto" w:fill="FFFFFF" w:themeFill="background1"/>
        <w:rPr>
          <w:rFonts w:ascii="Times" w:eastAsia="Times New Roman" w:hAnsi="Times" w:cs="Times New Roman"/>
          <w:b/>
          <w:sz w:val="24"/>
          <w:szCs w:val="24"/>
        </w:rPr>
      </w:pPr>
    </w:p>
    <w:p w14:paraId="5EB92751" w14:textId="154DCD43" w:rsidR="00042144" w:rsidRPr="00522CD2" w:rsidRDefault="00042144" w:rsidP="00042144">
      <w:pPr>
        <w:shd w:val="clear" w:color="auto" w:fill="FFFFFF" w:themeFill="background1"/>
        <w:rPr>
          <w:rFonts w:ascii="Times" w:hAnsi="Times"/>
        </w:rPr>
      </w:pPr>
      <w:r w:rsidRPr="00522CD2">
        <w:rPr>
          <w:rFonts w:ascii="Times" w:hAnsi="Times"/>
          <w:i/>
        </w:rPr>
        <w:t>Aims.</w:t>
      </w:r>
      <w:r w:rsidR="00EB2868" w:rsidRPr="00522CD2">
        <w:rPr>
          <w:rFonts w:ascii="Times" w:hAnsi="Times"/>
        </w:rPr>
        <w:t xml:space="preserve">  In response to </w:t>
      </w:r>
      <w:r w:rsidRPr="00522CD2">
        <w:rPr>
          <w:rFonts w:ascii="Times" w:hAnsi="Times"/>
        </w:rPr>
        <w:t>the large number of people with intellectual disabilities (IDs) and offending behaviour being treated in psychiatric hospitals, this study identified</w:t>
      </w:r>
      <w:r w:rsidR="00EB2868" w:rsidRPr="00522CD2">
        <w:rPr>
          <w:rFonts w:ascii="Times" w:hAnsi="Times"/>
        </w:rPr>
        <w:t xml:space="preserve"> and developed</w:t>
      </w:r>
      <w:r w:rsidRPr="00522CD2">
        <w:rPr>
          <w:rFonts w:ascii="Times" w:hAnsi="Times"/>
        </w:rPr>
        <w:t xml:space="preserve"> the domains that should be used to measure treatment outcomes </w:t>
      </w:r>
      <w:r w:rsidR="00EB2868" w:rsidRPr="00522CD2">
        <w:rPr>
          <w:rFonts w:ascii="Times" w:hAnsi="Times"/>
        </w:rPr>
        <w:t>for this population</w:t>
      </w:r>
      <w:r w:rsidR="00315E28" w:rsidRPr="00522CD2">
        <w:rPr>
          <w:rFonts w:ascii="Times" w:hAnsi="Times"/>
        </w:rPr>
        <w:t xml:space="preserve"> using both a systematic review and consultation exercises. </w:t>
      </w:r>
    </w:p>
    <w:p w14:paraId="002648DD" w14:textId="7FE6F799" w:rsidR="00042144" w:rsidRPr="00522CD2" w:rsidRDefault="00042144" w:rsidP="00042144">
      <w:pPr>
        <w:shd w:val="clear" w:color="auto" w:fill="FFFFFF" w:themeFill="background1"/>
        <w:rPr>
          <w:rFonts w:ascii="Times" w:hAnsi="Times"/>
        </w:rPr>
      </w:pPr>
      <w:r w:rsidRPr="00522CD2">
        <w:rPr>
          <w:rFonts w:ascii="Times" w:hAnsi="Times"/>
          <w:i/>
        </w:rPr>
        <w:t>Methods</w:t>
      </w:r>
      <w:r w:rsidRPr="00522CD2">
        <w:rPr>
          <w:rFonts w:ascii="Times" w:hAnsi="Times"/>
        </w:rPr>
        <w:t>.  A systematic search of relevant databases</w:t>
      </w:r>
      <w:r w:rsidR="00EB2868" w:rsidRPr="00522CD2">
        <w:rPr>
          <w:rFonts w:ascii="Times" w:hAnsi="Times"/>
        </w:rPr>
        <w:t>, and s</w:t>
      </w:r>
      <w:r w:rsidRPr="00522CD2">
        <w:rPr>
          <w:rFonts w:ascii="Times" w:hAnsi="Times"/>
        </w:rPr>
        <w:t xml:space="preserve">ixty studies met the eligibility criteria, and findings were synthesised using content analysis.  The findings were refined within a consultation and consensus exercises with carers, service users, and experts. </w:t>
      </w:r>
    </w:p>
    <w:p w14:paraId="57C5F21E" w14:textId="77777777" w:rsidR="00042144" w:rsidRPr="00522CD2" w:rsidRDefault="00042144" w:rsidP="00042144">
      <w:pPr>
        <w:shd w:val="clear" w:color="auto" w:fill="FFFFFF" w:themeFill="background1"/>
        <w:rPr>
          <w:rFonts w:ascii="Times" w:hAnsi="Times"/>
        </w:rPr>
      </w:pPr>
      <w:r w:rsidRPr="00522CD2">
        <w:rPr>
          <w:rFonts w:ascii="Times" w:hAnsi="Times"/>
          <w:i/>
        </w:rPr>
        <w:t xml:space="preserve">Results. </w:t>
      </w:r>
      <w:r w:rsidRPr="00522CD2">
        <w:rPr>
          <w:rFonts w:ascii="Times" w:hAnsi="Times"/>
        </w:rPr>
        <w:t xml:space="preserve">The final framework encompassed three </w:t>
      </w:r>
      <w:r w:rsidRPr="00522CD2">
        <w:rPr>
          <w:rFonts w:ascii="Times" w:hAnsi="Times"/>
          <w:i/>
        </w:rPr>
        <w:t>a priori</w:t>
      </w:r>
      <w:r w:rsidRPr="00522CD2">
        <w:rPr>
          <w:rFonts w:ascii="Times" w:hAnsi="Times"/>
        </w:rPr>
        <w:t xml:space="preserve"> superordinate domains (a) effectiveness, (b) patient safety, and (c) patient and carer experience.  Within each of these, further sub-domains emerged from our systematic review and consultation exercises.  These included severity of clinical symptoms, offending behaviours, reactive and restrictive interventions, quality of life and patient satisfaction. </w:t>
      </w:r>
    </w:p>
    <w:p w14:paraId="5FE64CB4" w14:textId="77777777" w:rsidR="00042144" w:rsidRPr="00522CD2" w:rsidRDefault="00042144" w:rsidP="00042144">
      <w:pPr>
        <w:shd w:val="clear" w:color="auto" w:fill="FFFFFF" w:themeFill="background1"/>
        <w:rPr>
          <w:rFonts w:ascii="Times" w:hAnsi="Times"/>
        </w:rPr>
      </w:pPr>
      <w:r w:rsidRPr="00522CD2">
        <w:rPr>
          <w:rFonts w:ascii="Times" w:hAnsi="Times"/>
          <w:i/>
        </w:rPr>
        <w:t xml:space="preserve">Conclusions. </w:t>
      </w:r>
      <w:r w:rsidRPr="00522CD2">
        <w:rPr>
          <w:rFonts w:ascii="Times" w:hAnsi="Times"/>
        </w:rPr>
        <w:t xml:space="preserve">To index recovery, services need to measure outcome using this framework. </w:t>
      </w:r>
    </w:p>
    <w:p w14:paraId="21197B85" w14:textId="77777777" w:rsidR="00042144" w:rsidRPr="00522CD2" w:rsidRDefault="00042144" w:rsidP="00042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imes" w:hAnsi="Times" w:cs="Arial"/>
          <w:szCs w:val="20"/>
        </w:rPr>
      </w:pPr>
    </w:p>
    <w:p w14:paraId="69A466E5" w14:textId="77777777" w:rsidR="00042144" w:rsidRPr="00522CD2" w:rsidRDefault="00042144" w:rsidP="00042144">
      <w:pPr>
        <w:rPr>
          <w:rFonts w:ascii="Times" w:hAnsi="Times" w:cs="Arial"/>
          <w:b/>
          <w:szCs w:val="20"/>
        </w:rPr>
      </w:pPr>
      <w:r w:rsidRPr="00522CD2">
        <w:rPr>
          <w:rFonts w:ascii="Times" w:hAnsi="Times" w:cs="Arial"/>
          <w:i/>
          <w:szCs w:val="20"/>
        </w:rPr>
        <w:t>Keywords.</w:t>
      </w:r>
      <w:r w:rsidRPr="00522CD2">
        <w:rPr>
          <w:rFonts w:ascii="Times" w:hAnsi="Times" w:cs="Arial"/>
          <w:b/>
          <w:szCs w:val="20"/>
        </w:rPr>
        <w:t xml:space="preserve"> </w:t>
      </w:r>
      <w:r w:rsidRPr="00522CD2">
        <w:rPr>
          <w:rFonts w:ascii="Times" w:hAnsi="Times" w:cs="Arial"/>
          <w:szCs w:val="20"/>
        </w:rPr>
        <w:t>Forensic services, intellectual disabilities, neurodevelopmental disabilities, systematic review, outcomes, mental health.</w:t>
      </w:r>
      <w:r w:rsidRPr="00522CD2">
        <w:rPr>
          <w:rFonts w:ascii="Times" w:hAnsi="Times" w:cs="Arial"/>
          <w:b/>
          <w:szCs w:val="20"/>
        </w:rPr>
        <w:t xml:space="preserve"> </w:t>
      </w:r>
    </w:p>
    <w:p w14:paraId="630C4744" w14:textId="77777777" w:rsidR="00042144" w:rsidRPr="00522CD2" w:rsidRDefault="00042144" w:rsidP="00042144">
      <w:pPr>
        <w:pStyle w:val="Default"/>
        <w:shd w:val="clear" w:color="auto" w:fill="FFFFFF" w:themeFill="background1"/>
        <w:jc w:val="both"/>
        <w:rPr>
          <w:rFonts w:ascii="Times" w:eastAsia="Times New Roman" w:hAnsi="Times" w:cs="Times New Roman"/>
          <w:b/>
          <w:bCs/>
          <w:sz w:val="24"/>
          <w:szCs w:val="24"/>
        </w:rPr>
      </w:pPr>
    </w:p>
    <w:p w14:paraId="6916E101" w14:textId="77777777" w:rsidR="00042144" w:rsidRPr="00522CD2" w:rsidRDefault="00042144" w:rsidP="00042144">
      <w:pPr>
        <w:rPr>
          <w:rFonts w:ascii="Times" w:hAnsi="Times"/>
          <w:b/>
        </w:rPr>
      </w:pPr>
    </w:p>
    <w:p w14:paraId="2DC2D362" w14:textId="77777777" w:rsidR="00042144" w:rsidRPr="00522CD2" w:rsidRDefault="00042144" w:rsidP="00042144">
      <w:pPr>
        <w:jc w:val="center"/>
        <w:rPr>
          <w:rFonts w:ascii="Times" w:hAnsi="Times"/>
          <w:sz w:val="20"/>
          <w:szCs w:val="20"/>
        </w:rPr>
      </w:pPr>
    </w:p>
    <w:p w14:paraId="26341F49" w14:textId="77777777" w:rsidR="00042144" w:rsidRPr="00522CD2" w:rsidRDefault="00042144" w:rsidP="00042144">
      <w:pPr>
        <w:jc w:val="center"/>
        <w:rPr>
          <w:rFonts w:ascii="Times" w:hAnsi="Times"/>
        </w:rPr>
      </w:pPr>
      <w:r w:rsidRPr="00522CD2">
        <w:rPr>
          <w:rFonts w:ascii="Times" w:hAnsi="Times"/>
        </w:rPr>
        <w:t>Author Note</w:t>
      </w:r>
    </w:p>
    <w:p w14:paraId="38A0EE57" w14:textId="77777777" w:rsidR="00042144" w:rsidRPr="00522CD2" w:rsidRDefault="00042144" w:rsidP="00042144">
      <w:pPr>
        <w:rPr>
          <w:rFonts w:ascii="Times" w:hAnsi="Times"/>
        </w:rPr>
      </w:pPr>
    </w:p>
    <w:p w14:paraId="10E449A3" w14:textId="77777777" w:rsidR="00042144" w:rsidRPr="00522CD2" w:rsidRDefault="00042144" w:rsidP="00042144">
      <w:pPr>
        <w:rPr>
          <w:rFonts w:ascii="Times" w:hAnsi="Times"/>
        </w:rPr>
      </w:pPr>
      <w:bookmarkStart w:id="0" w:name="_GoBack"/>
      <w:bookmarkEnd w:id="0"/>
      <w:r w:rsidRPr="00522CD2">
        <w:rPr>
          <w:rFonts w:ascii="Times" w:hAnsi="Times"/>
        </w:rPr>
        <w:t>This research was supported by a grant from the National Institute for Health Research, Health Services &amp; Development Research Programme (Grant Reference:</w:t>
      </w:r>
      <w:r w:rsidRPr="00522CD2">
        <w:t xml:space="preserve"> 13/114/37</w:t>
      </w:r>
      <w:r w:rsidRPr="00522CD2">
        <w:rPr>
          <w:rFonts w:ascii="Times" w:hAnsi="Times"/>
        </w:rPr>
        <w:t xml:space="preserve">).  Peter E Langdon is supported by a National Institute for Health Research Postdoctoral Fellowship (Grant Reference: NIHR-PDF-2011-04-040).  </w:t>
      </w:r>
    </w:p>
    <w:p w14:paraId="20E9B760" w14:textId="77777777" w:rsidR="00042144" w:rsidRPr="00522CD2" w:rsidRDefault="00042144" w:rsidP="00042144">
      <w:pPr>
        <w:rPr>
          <w:rFonts w:ascii="Times" w:hAnsi="Times"/>
        </w:rPr>
      </w:pPr>
    </w:p>
    <w:p w14:paraId="412CAA74" w14:textId="77777777" w:rsidR="00042144" w:rsidRPr="00522CD2" w:rsidRDefault="00042144" w:rsidP="00042144">
      <w:pPr>
        <w:rPr>
          <w:rFonts w:ascii="Times" w:hAnsi="Times"/>
          <w:b/>
        </w:rPr>
      </w:pPr>
      <w:r w:rsidRPr="00522CD2">
        <w:rPr>
          <w:rFonts w:ascii="Times" w:hAnsi="Times"/>
        </w:rPr>
        <w:t xml:space="preserve">This article presents independent research funded by the National Institute for Health Research (NIHR). </w:t>
      </w:r>
      <w:r w:rsidRPr="00522CD2">
        <w:rPr>
          <w:rFonts w:eastAsia="Times New Roman"/>
          <w:color w:val="000000"/>
          <w:lang w:eastAsia="en-GB"/>
        </w:rPr>
        <w:t>The views expressed are those of the author(s) and not necessarily those of the National Health Service, the National Institute for Health Research or the Department of Health.</w:t>
      </w:r>
      <w:r w:rsidRPr="00522CD2">
        <w:rPr>
          <w:rFonts w:ascii="Times" w:hAnsi="Times"/>
          <w:b/>
        </w:rPr>
        <w:br w:type="page"/>
      </w:r>
    </w:p>
    <w:p w14:paraId="6993F00A" w14:textId="77777777" w:rsidR="00042144" w:rsidRPr="00522CD2" w:rsidRDefault="00042144" w:rsidP="00042144">
      <w:pPr>
        <w:pStyle w:val="Default"/>
        <w:shd w:val="clear" w:color="auto" w:fill="FFFFFF" w:themeFill="background1"/>
        <w:jc w:val="center"/>
        <w:rPr>
          <w:rFonts w:ascii="Times" w:hAnsi="Times"/>
          <w:bCs/>
          <w:sz w:val="24"/>
          <w:szCs w:val="24"/>
          <w:lang w:val="en-US"/>
        </w:rPr>
      </w:pPr>
      <w:r w:rsidRPr="00522CD2">
        <w:rPr>
          <w:rFonts w:ascii="Times" w:hAnsi="Times"/>
          <w:bCs/>
          <w:sz w:val="24"/>
          <w:szCs w:val="24"/>
          <w:lang w:val="en-US"/>
        </w:rPr>
        <w:lastRenderedPageBreak/>
        <w:t>A systematic review and synthesis of outcome domains for use within forensic services for people with intellectual disabilities</w:t>
      </w:r>
    </w:p>
    <w:p w14:paraId="6B6CAFE8" w14:textId="77777777" w:rsidR="00042144" w:rsidRPr="00522CD2" w:rsidRDefault="00042144" w:rsidP="00042144">
      <w:pPr>
        <w:pStyle w:val="Default"/>
        <w:shd w:val="clear" w:color="auto" w:fill="FFFFFF" w:themeFill="background1"/>
        <w:jc w:val="center"/>
        <w:rPr>
          <w:rFonts w:ascii="Times" w:eastAsia="Times New Roman" w:hAnsi="Times" w:cs="Times New Roman"/>
          <w:bCs/>
          <w:sz w:val="24"/>
          <w:szCs w:val="24"/>
        </w:rPr>
      </w:pPr>
    </w:p>
    <w:p w14:paraId="43A55649" w14:textId="77777777" w:rsidR="00042144" w:rsidRPr="00522CD2" w:rsidRDefault="00042144" w:rsidP="00042144">
      <w:pPr>
        <w:shd w:val="clear" w:color="auto" w:fill="FFFFFF" w:themeFill="background1"/>
        <w:spacing w:line="480" w:lineRule="auto"/>
        <w:jc w:val="both"/>
      </w:pPr>
    </w:p>
    <w:p w14:paraId="38EC03DD" w14:textId="78BD5640" w:rsidR="00042144" w:rsidRPr="00522CD2" w:rsidRDefault="00042144" w:rsidP="000421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284"/>
        <w:rPr>
          <w:rFonts w:ascii="Times" w:hAnsi="Times"/>
        </w:rPr>
      </w:pPr>
      <w:r w:rsidRPr="00522CD2">
        <w:t xml:space="preserve">Following de-institutionalisation, most people with intellectual disabilities (IDs) live fairly independent lives in the community. There are 900,000 adults with IDs in England, and estimates suggest that only around 3035 (0.3 per cent) receive treatment in psychiatric hospital settings, with about half of them being in forensic hospitals </w:t>
      </w:r>
      <w:r w:rsidRPr="00522CD2">
        <w:fldChar w:fldCharType="begin" w:fldLock="1"/>
      </w:r>
      <w:r w:rsidRPr="00522CD2">
        <w:instrText>ADDIN CSL_CITATION { "citationItems" : [ { "id" : "ITEM-1", "itemData" : { "author" : [ { "dropping-particle" : "", "family" : "Health and Social Care Information Centre", "given" : "", "non-dropping-particle" : "", "parse-names" : false, "suffix" : "" } ], "id" : "ITEM-1", "issued" : { "date-parts" : [ [ "2013" ] ] }, "title" : "Learning Disabilities Census Report.", "type" : "article-journal" }, "uris" : [ "http://www.mendeley.com/documents/?uuid=6cc686c3-fda6-4947-880b-c9a7e5a61f74" ] } ], "mendeley" : { "formattedCitation" : "(1)", "plainTextFormattedCitation" : "(1)", "previouslyFormattedCitation" : "(1)" }, "properties" : { "noteIndex" : 0 }, "schema" : "https://github.com/citation-style-language/schema/raw/master/csl-citation.json" }</w:instrText>
      </w:r>
      <w:r w:rsidRPr="00522CD2">
        <w:fldChar w:fldCharType="separate"/>
      </w:r>
      <w:r w:rsidRPr="00522CD2">
        <w:rPr>
          <w:noProof/>
        </w:rPr>
        <w:t>(1)</w:t>
      </w:r>
      <w:r w:rsidRPr="00522CD2">
        <w:fldChar w:fldCharType="end"/>
      </w:r>
      <w:r w:rsidRPr="00522CD2">
        <w:t xml:space="preserve"> </w:t>
      </w:r>
      <w:r w:rsidRPr="00522CD2">
        <w:fldChar w:fldCharType="begin" w:fldLock="1"/>
      </w:r>
      <w:r w:rsidRPr="00522CD2">
        <w:instrText>ADDIN CSL_CITATION { "citationItems" : [ { "id" : "ITEM-1", "itemData" : { "DOI" : "10.1192/apt.bp.113.012153", "ISSN" : "2056-4678", "abstract" : "SUMMARY\nOver the past few decades, care for people with intellectual disability in the UK has moved from long-stay hospitals to the community. As in the general population, a number of these people have mental health and behavioural difficulties for which they may require in-patient services. Consequently, psychiatrists need to be aware of the in-patient mental healthcare provision for these individuals. This article describes the different categories of in-patient bed for patients with intellectual disability and ways to monitor the quality and outcomes of in-patient care.", "author" : [ { "dropping-particle" : "", "family" : "Devapriam", "given" : "J.", "non-dropping-particle" : "", "parse-names" : false, "suffix" : "" }, { "dropping-particle" : "", "family" : "Rosenbach", "given" : "A.", "non-dropping-particle" : "", "parse-names" : false, "suffix" : "" }, { "dropping-particle" : "", "family" : "Alexander", "given" : "R.", "non-dropping-particle" : "", "parse-names" : false, "suffix" : "" } ], "container-title" : "BJPscyh Advances", "id" : "ITEM-1", "issue" : "2", "issued" : { "date-parts" : [ [ "2015", "3", "2" ] ] }, "page" : "116-123", "title" : "In-patient services for people with intellectual disability and mental health or behavioural difficulties", "type" : "article-journal", "volume" : "21" }, "uris" : [ "http://www.mendeley.com/documents/?uuid=a32ef58c-d91c-4f60-bee3-4b423f9b5440" ] } ], "mendeley" : { "formattedCitation" : "(2)", "plainTextFormattedCitation" : "(2)", "previouslyFormattedCitation" : "(2)" }, "properties" : { "noteIndex" : 0 }, "schema" : "https://github.com/citation-style-language/schema/raw/master/csl-citation.json" }</w:instrText>
      </w:r>
      <w:r w:rsidRPr="00522CD2">
        <w:fldChar w:fldCharType="separate"/>
      </w:r>
      <w:r w:rsidRPr="00522CD2">
        <w:rPr>
          <w:noProof/>
        </w:rPr>
        <w:t>(2)</w:t>
      </w:r>
      <w:r w:rsidRPr="00522CD2">
        <w:fldChar w:fldCharType="end"/>
      </w:r>
      <w:r w:rsidRPr="00522CD2">
        <w:t xml:space="preserve"> </w:t>
      </w:r>
      <w:r w:rsidRPr="00522CD2">
        <w:fldChar w:fldCharType="begin" w:fldLock="1"/>
      </w:r>
      <w:r w:rsidRPr="00522CD2">
        <w:instrText>ADDIN CSL_CITATION { "citationItems" : [ { "id" : "ITEM-1", "itemData" : { "author" : [ { "dropping-particle" : "", "family" : "Royal College of Psychiatrists\u2019 Faculty of Psychiatry of Intellectual Disability", "given" : "", "non-dropping-particle" : "", "parse-names" : false, "suffix" : "" } ], "id" : "ITEM-1", "issued" : { "date-parts" : [ [ "2013" ] ] }, "title" : "People with Learning Disability and Mental Health, Behavioural or Forensic Problems: The Role of In-Patient Services.", "type" : "report" }, "uris" : [ "http://www.mendeley.com/documents/?uuid=c880531a-cc62-45ac-94c9-e4b8ed155fa2" ] } ], "mendeley" : { "formattedCitation" : "(3)", "plainTextFormattedCitation" : "(3)", "previouslyFormattedCitation" : "(3)" }, "properties" : { "noteIndex" : 0 }, "schema" : "https://github.com/citation-style-language/schema/raw/master/csl-citation.json" }</w:instrText>
      </w:r>
      <w:r w:rsidRPr="00522CD2">
        <w:fldChar w:fldCharType="separate"/>
      </w:r>
      <w:r w:rsidRPr="00522CD2">
        <w:rPr>
          <w:noProof/>
        </w:rPr>
        <w:t>(3)</w:t>
      </w:r>
      <w:r w:rsidRPr="00522CD2">
        <w:fldChar w:fldCharType="end"/>
      </w:r>
      <w:r w:rsidRPr="00522CD2">
        <w:t xml:space="preserve">. The health expenditure in this sector belies the low numbers and it is estimated at over 300 million pounds per annum </w:t>
      </w:r>
      <w:r w:rsidRPr="00522CD2">
        <w:fldChar w:fldCharType="begin" w:fldLock="1"/>
      </w:r>
      <w:r w:rsidRPr="00522CD2">
        <w:instrText>ADDIN CSL_CITATION { "citationItems" : [ { "id" : "ITEM-1", "itemData" : { "DOI" : "10.1111/jar.12121", "ISSN" : "1468-3148", "PMID" : "25379816", "abstract" : "BACKGROUND To describe the characteristics of those with autism spectrum disorder (ASD) treated within a forensic intellectual disability hospital and to compare them with those without ASD. METHOD Service evaluation of a cohort of 138 patients treated over a 6-year period. RESULTS Of the 138, 42 had an ASD. Personality disorders and harmful use or dependence on drugs were significantly lower in the ASD group. The ASD group was less likely to be subject to criminal sections or restriction orders. Self-harm was significantly higher in the ASD group. There were no differences in the length of stay and direction of care pathway. CONCLUSIONS Although the ASD and non-ASD groups differ on clinical and forensic characteristics, their treatment outcomes appear similar. This suggests that the diagnostic category of ASD alone may be inadequate in predicting the treatment outcome. There is a case to identify distinct typologies within the ASD group.", "author" : [ { "dropping-particle" : "", "family" : "Esan", "given" : "Fola", "non-dropping-particle" : "", "parse-names" : false, "suffix" : "" }, { "dropping-particle" : "", "family" : "Chester", "given" : "Verity", "non-dropping-particle" : "", "parse-names" : false, "suffix" : "" }, { "dropping-particle" : "", "family" : "Gunaratna", "given" : "Ignatius J", "non-dropping-particle" : "", "parse-names" : false, "suffix" : "" }, { "dropping-particle" : "", "family" : "Hoare", "given" : "Sudeep", "non-dropping-particle" : "", "parse-names" : false, "suffix" : "" }, { "dropping-particle" : "", "family" : "Alexander", "given" : "Regi T", "non-dropping-particle" : "", "parse-names" : false, "suffix" : "" } ], "container-title" : "Journal of applied research in intellectual disabilities : JARID", "id" : "ITEM-1", "issue" : "3", "issued" : { "date-parts" : [ [ "2015", "5" ] ] }, "page" : "193-200", "title" : "The clinical, forensic and treatment outcome factors of patients with autism spectrum disorder treated in a forensic intellectual disability service.", "type" : "article-journal", "volume" : "28" }, "uris" : [ "http://www.mendeley.com/documents/?uuid=b150cee9-cded-34c2-9b48-99b5f6bab1e1" ] } ], "mendeley" : { "formattedCitation" : "(4)", "plainTextFormattedCitation" : "(4)", "previouslyFormattedCitation" : "(4)" }, "properties" : { "noteIndex" : 0 }, "schema" : "https://github.com/citation-style-language/schema/raw/master/csl-citation.json" }</w:instrText>
      </w:r>
      <w:r w:rsidRPr="00522CD2">
        <w:fldChar w:fldCharType="separate"/>
      </w:r>
      <w:r w:rsidRPr="00522CD2">
        <w:rPr>
          <w:noProof/>
        </w:rPr>
        <w:t>(4)</w:t>
      </w:r>
      <w:r w:rsidRPr="00522CD2">
        <w:fldChar w:fldCharType="end"/>
      </w:r>
      <w:r w:rsidRPr="00522CD2">
        <w:t xml:space="preserve"> </w:t>
      </w:r>
      <w:r w:rsidRPr="00522CD2">
        <w:fldChar w:fldCharType="begin" w:fldLock="1"/>
      </w:r>
      <w:r w:rsidRPr="00522CD2">
        <w:instrText>ADDIN CSL_CITATION { "citationItems" : [ { "id" : "ITEM-1", "itemData" : { "DOI" : "10.5042/amhid.2011.0013", "ISSN" : "2044-1282", "author" : [ { "dropping-particle" : "", "family" : "Alexander", "given" : "Regi", "non-dropping-particle" : "", "parse-names" : false, "suffix" : "" }, { "dropping-particle" : "", "family" : "Hiremath", "given" : "Avinash", "non-dropping-particle" : "", "parse-names" : false, "suffix" : "" }, { "dropping-particle" : "", "family" : "Chester", "given" : "Verity", "non-dropping-particle" : "", "parse-names" : false, "suffix" : "" }, { "dropping-particle" : "", "family" : "Green", "given" : "Fatima", "non-dropping-particle" : "", "parse-names" : false, "suffix" : "" }, { "dropping-particle" : "", "family" : "Gunaratna", "given" : "Ignatius", "non-dropping-particle" : "", "parse-names" : false, "suffix" : "" }, { "dropping-particle" : "", "family" : "Hoare", "given" : "Sudeep", "non-dropping-particle" : "", "parse-names" : false, "suffix" : "" } ], "container-title" : "Advances in Mental Health and Intellectual Disabilities", "id" : "ITEM-1", "issue" : "1", "issued" : { "date-parts" : [ [ "2011", "1", "24" ] ] }, "page" : "22-32", "title" : "Evaluation of treatment outcomes from a medium secure unit for people with intellectual disability", "type" : "article-journal", "volume" : "5" }, "uris" : [ "http://www.mendeley.com/documents/?uuid=68fa1327-de5c-3efc-964f-58da3bc311b8" ] } ], "mendeley" : { "formattedCitation" : "(5)", "plainTextFormattedCitation" : "(5)", "previouslyFormattedCitation" : "(5)" }, "properties" : { "noteIndex" : 0 }, "schema" : "https://github.com/citation-style-language/schema/raw/master/csl-citation.json" }</w:instrText>
      </w:r>
      <w:r w:rsidRPr="00522CD2">
        <w:fldChar w:fldCharType="separate"/>
      </w:r>
      <w:r w:rsidRPr="00522CD2">
        <w:rPr>
          <w:noProof/>
        </w:rPr>
        <w:t>(5)</w:t>
      </w:r>
      <w:r w:rsidRPr="00522CD2">
        <w:fldChar w:fldCharType="end"/>
      </w:r>
      <w:r w:rsidRPr="00522CD2">
        <w:t>.</w:t>
      </w:r>
      <w:r w:rsidRPr="00522CD2">
        <w:rPr>
          <w:i/>
        </w:rPr>
        <w:t xml:space="preserve">  </w:t>
      </w:r>
      <w:r w:rsidRPr="00522CD2">
        <w:t>However, there is limited empirical information on service-level</w:t>
      </w:r>
      <w:r w:rsidRPr="00522CD2">
        <w:rPr>
          <w:rFonts w:ascii="Times" w:hAnsi="Times" w:cs="Arial"/>
          <w:szCs w:val="20"/>
        </w:rPr>
        <w:t xml:space="preserve"> outcome domains and indicators, which in turn limits the ability to measure the effectiveness of these services. This is of concern in a health climate focused on outcomes </w:t>
      </w:r>
      <w:r w:rsidRPr="00522CD2">
        <w:rPr>
          <w:rFonts w:ascii="Times" w:hAnsi="Times" w:cs="Arial"/>
          <w:szCs w:val="20"/>
        </w:rPr>
        <w:fldChar w:fldCharType="begin" w:fldLock="1"/>
      </w:r>
      <w:r w:rsidRPr="00522CD2">
        <w:rPr>
          <w:rFonts w:ascii="Times" w:hAnsi="Times" w:cs="Arial"/>
          <w:szCs w:val="20"/>
        </w:rPr>
        <w:instrText>ADDIN CSL_CITATION { "citationItems" : [ { "id" : "ITEM-1", "itemData" : { "author" : [ { "dropping-particle" : "", "family" : "Department of Health", "given" : "", "non-dropping-particle" : "", "parse-names" : false, "suffix" : "" } ], "id" : "ITEM-1", "issued" : { "date-parts" : [ [ "2014" ] ] }, "publisher-place" : "London", "title" : "The NHS Outcomes Framework 2015/16", "type" : "report" }, "uris" : [ "http://www.mendeley.com/documents/?uuid=3dc02d7e-7a94-47a5-acce-b63d570f9d7b" ] } ], "mendeley" : { "formattedCitation" : "(6)", "plainTextFormattedCitation" : "(6)", "previouslyFormattedCitation" : "(6)" }, "properties" : { "noteIndex" : 0 }, "schema" : "https://github.com/citation-style-language/schema/raw/master/csl-citation.json" }</w:instrText>
      </w:r>
      <w:r w:rsidRPr="00522CD2">
        <w:rPr>
          <w:rFonts w:ascii="Times" w:hAnsi="Times" w:cs="Arial"/>
          <w:szCs w:val="20"/>
        </w:rPr>
        <w:fldChar w:fldCharType="separate"/>
      </w:r>
      <w:r w:rsidRPr="00522CD2">
        <w:rPr>
          <w:rFonts w:ascii="Times" w:hAnsi="Times" w:cs="Arial"/>
          <w:noProof/>
          <w:szCs w:val="20"/>
        </w:rPr>
        <w:t>(6)</w:t>
      </w:r>
      <w:r w:rsidRPr="00522CD2">
        <w:rPr>
          <w:rFonts w:ascii="Times" w:hAnsi="Times" w:cs="Arial"/>
          <w:szCs w:val="20"/>
        </w:rPr>
        <w:fldChar w:fldCharType="end"/>
      </w:r>
      <w:r w:rsidRPr="00522CD2">
        <w:rPr>
          <w:rFonts w:ascii="Times" w:hAnsi="Times" w:cs="Arial"/>
          <w:szCs w:val="20"/>
        </w:rPr>
        <w:t xml:space="preserve"> and ‘payment by results’, but is even more relevant because of the recent government initiative to fundamentally transform care for people with IDs </w:t>
      </w:r>
      <w:r w:rsidRPr="00522CD2">
        <w:rPr>
          <w:rFonts w:ascii="Times" w:hAnsi="Times" w:cs="Arial"/>
          <w:szCs w:val="20"/>
        </w:rPr>
        <w:fldChar w:fldCharType="begin" w:fldLock="1"/>
      </w:r>
      <w:r w:rsidRPr="00522CD2">
        <w:rPr>
          <w:rFonts w:ascii="Times" w:hAnsi="Times" w:cs="Arial"/>
          <w:szCs w:val="20"/>
        </w:rPr>
        <w:instrText>ADDIN CSL_CITATION { "citationItems" : [ { "id" : "ITEM-1", "itemData" : { "author" : [ { "dropping-particle" : "", "family" : "NHS England", "given" : "", "non-dropping-particle" : "", "parse-names" : false, "suffix" : "" } ], "id" : "ITEM-1", "issued" : { "date-parts" : [ [ "2015" ] ] }, "title" : "Building the right support: A national plan to develop community services and close inpatient facilities for people with a learning disability and/or autism who display behaviour that challenges, including those with a mental health condition.", "type" : "report" }, "uris" : [ "http://www.mendeley.com/documents/?uuid=fe1bcf44-19de-4300-9c4e-a46b7e7e7097" ] } ], "mendeley" : { "formattedCitation" : "(7)", "plainTextFormattedCitation" : "(7)", "previouslyFormattedCitation" : "(7)" }, "properties" : { "noteIndex" : 0 }, "schema" : "https://github.com/citation-style-language/schema/raw/master/csl-citation.json" }</w:instrText>
      </w:r>
      <w:r w:rsidRPr="00522CD2">
        <w:rPr>
          <w:rFonts w:ascii="Times" w:hAnsi="Times" w:cs="Arial"/>
          <w:szCs w:val="20"/>
        </w:rPr>
        <w:fldChar w:fldCharType="separate"/>
      </w:r>
      <w:r w:rsidRPr="00522CD2">
        <w:rPr>
          <w:rFonts w:ascii="Times" w:hAnsi="Times" w:cs="Arial"/>
          <w:noProof/>
          <w:szCs w:val="20"/>
        </w:rPr>
        <w:t>(7)</w:t>
      </w:r>
      <w:r w:rsidRPr="00522CD2">
        <w:rPr>
          <w:rFonts w:ascii="Times" w:hAnsi="Times" w:cs="Arial"/>
          <w:szCs w:val="20"/>
        </w:rPr>
        <w:fldChar w:fldCharType="end"/>
      </w:r>
      <w:r w:rsidRPr="00522CD2">
        <w:rPr>
          <w:rFonts w:ascii="Times" w:hAnsi="Times" w:cs="Arial"/>
          <w:szCs w:val="20"/>
        </w:rPr>
        <w:t xml:space="preserve">. While </w:t>
      </w:r>
      <w:r w:rsidRPr="00522CD2">
        <w:rPr>
          <w:rFonts w:ascii="Times" w:hAnsi="Times"/>
        </w:rPr>
        <w:t xml:space="preserve">Fitzpatrick et al. (2010) </w:t>
      </w:r>
      <w:r w:rsidRPr="00522CD2">
        <w:rPr>
          <w:rFonts w:ascii="Times" w:hAnsi="Times"/>
        </w:rPr>
        <w:fldChar w:fldCharType="begin" w:fldLock="1"/>
      </w:r>
      <w:r w:rsidRPr="00522CD2">
        <w:rPr>
          <w:rFonts w:ascii="Times" w:hAnsi="Times"/>
        </w:rPr>
        <w:instrText>ADDIN CSL_CITATION { "citationItems" : [ { "id" : "ITEM-1", "itemData" : { "DOI" : "10.3310/hta14180", "author" : [ { "dropping-particle" : "", "family" : "Fitzpatrick", "given" : "R", "non-dropping-particle" : "", "parse-names" : false, "suffix" : "" }, { "dropping-particle" : "", "family" : "Chambers", "given" : "J", "non-dropping-particle" : "", "parse-names" : false, "suffix" : "" }, { "dropping-particle" : "", "family" : "Burns", "given" : "T", "non-dropping-particle" : "", "parse-names" : false, "suffix" : "" }, { "dropping-particle" : "", "family" : "Doll", "given" : "H", "non-dropping-particle" : "", "parse-names" : false, "suffix" : "" }, { "dropping-particle" : "", "family" : "Fazel", "given" : "S", "non-dropping-particle" : "", "parse-names" : false, "suffix" : "" }, { "dropping-particle" : "", "family" : "Jenkinson", "given" : "C", "non-dropping-particle" : "", "parse-names" : false, "suffix" : "" }, { "dropping-particle" : "", "family" : "Kaur", "given" : "A", "non-dropping-particle" : "", "parse-names" : false, "suffix" : "" }, { "dropping-particle" : "", "family" : "Knapp", "given" : "M", "non-dropping-particle" : "", "parse-names" : false, "suffix" : "" }, { "dropping-particle" : "", "family" : "Sutton", "given" : "L", "non-dropping-particle" : "", "parse-names" : false, "suffix" : "" }, { "dropping-particle" : "", "family" : "Yiend", "given" : "J", "non-dropping-particle" : "", "parse-names" : false, "suffix" : "" } ], "container-title" : "Health Technology Assessment", "id" : "ITEM-1", "issue" : "18", "issued" : { "date-parts" : [ [ "2010" ] ] }, "title" : "A systematic review of outcome measures used in forensic mental health research with consensus panel opinion", "type" : "article-journal", "volume" : "14" }, "uris" : [ "http://www.mendeley.com/documents/?uuid=6b873574-70d0-3ed8-9a00-36dc5f042a9d" ] } ], "mendeley" : { "formattedCitation" : "(8)", "plainTextFormattedCitation" : "(8)", "previouslyFormattedCitation" : "(8)" }, "properties" : { "noteIndex" : 0 }, "schema" : "https://github.com/citation-style-language/schema/raw/master/csl-citation.json" }</w:instrText>
      </w:r>
      <w:r w:rsidRPr="00522CD2">
        <w:rPr>
          <w:rFonts w:ascii="Times" w:hAnsi="Times"/>
        </w:rPr>
        <w:fldChar w:fldCharType="separate"/>
      </w:r>
      <w:r w:rsidRPr="00522CD2">
        <w:rPr>
          <w:rFonts w:ascii="Times" w:hAnsi="Times"/>
          <w:noProof/>
        </w:rPr>
        <w:t>(8)</w:t>
      </w:r>
      <w:r w:rsidRPr="00522CD2">
        <w:rPr>
          <w:rFonts w:ascii="Times" w:hAnsi="Times"/>
        </w:rPr>
        <w:fldChar w:fldCharType="end"/>
      </w:r>
      <w:r w:rsidRPr="00522CD2">
        <w:rPr>
          <w:rFonts w:ascii="Times" w:hAnsi="Times"/>
        </w:rPr>
        <w:t xml:space="preserve"> has conducted a systematic review of outcome measures used in generic forensic mental health services, and Gilbody et al. (2003) </w:t>
      </w:r>
      <w:r w:rsidRPr="00522CD2">
        <w:rPr>
          <w:rFonts w:ascii="Times" w:hAnsi="Times"/>
        </w:rPr>
        <w:fldChar w:fldCharType="begin" w:fldLock="1"/>
      </w:r>
      <w:r w:rsidRPr="00522CD2">
        <w:rPr>
          <w:rFonts w:ascii="Times" w:hAnsi="Times"/>
        </w:rPr>
        <w:instrText>ADDIN CSL_CITATION { "citationItems" : [ { "id" : "ITEM-1", "itemData" : { "abstract" : "BACKGROUND\n\nOutcomes are measured to establish what works, in the context of evaluative research, and\nto improve the quality of care that is offered. Traditional outcomes focus upon biomedical\nendpoints, but there is an increased interest in patient based outcomes, which measure the\nimpact of illness or healthcare interventions on the individual and how they live their day-today\nlife. There are reasons to expect that the application of patient based outcomes would\nbe especially relevant to the discipline of psychiatry.\n\nAIMS\n\nTo explore the measurement of outcome in psychiatric research and practice, with particular\nreference to patient based outcomes.\n\nMETHODS\n\n1. A critical literature review of the outcomes movement in health care.\n\n2. A survey and systematic review of the methods used to measure outcome in\nevaluative psychiatric research (randomised trials and outcomes research).\n\n3. A survey of the use of outcomes measures by UK psychiatrists in their day-to-day\npractice.\n\n4. A systematic review of the effectiveness of routine outcomes measurement in\nimproving the quality of care for those with common psychiatric disorders.\n\nRESULTS\n\nAn outcomes movement has emerged in healthcare, which can be understood in social,\npolitical and economic terms. Outcomes measurement in psychiatric research is dominated\nby the measurement of psychiatric symptoms, with little reference to patient based\nmeasures. Practising UK psychiatrists rarely measure outcomes. There are substantial\npractical and attitudinal barriers to the use of outcomes instruments in NHS mental health\nservices. There is little evidence to support the potential for routine outcomes measures to\nimprove the quality of mental healthcare.\n\nDISCUSSION\n\nCurrent mental health policy places great emphasis on the measurement of outcomes, and\nis likely to fail. The potential for patient based outcomes to be adopted in psychiatric\nresearch and practice has yet to be realised. The need for important research into the\nsuitability and value of patient based outcomes measures in mental health research and\npractice is identified.", "author" : [ { "dropping-particle" : "", "family" : "Gilbody", "given" : "S.M.", "non-dropping-particle" : "", "parse-names" : false, "suffix" : "" }, { "dropping-particle" : "", "family" : "House", "given" : "A.O.", "non-dropping-particle" : "", "parse-names" : false, "suffix" : "" }, { "dropping-particle" : "", "family" : "Sheldon", "given" : "T.A.", "non-dropping-particle" : "", "parse-names" : false, "suffix" : "" } ], "id" : "ITEM-1", "issued" : { "date-parts" : [ [ "2003" ] ] }, "publisher" : "NHS Centre for Reviews and Dissemination", "title" : "Outcomes measurement in psychiatry: a critical review of outcomes measurement in psychiatric research and practice", "type" : "article-journal" }, "uris" : [ "http://www.mendeley.com/documents/?uuid=ae579679-8cc0-3da0-b5c9-c9f2cf591ab1" ] } ], "mendeley" : { "formattedCitation" : "(9)", "plainTextFormattedCitation" : "(9)", "previouslyFormattedCitation" : "(9)" }, "properties" : { "noteIndex" : 0 }, "schema" : "https://github.com/citation-style-language/schema/raw/master/csl-citation.json" }</w:instrText>
      </w:r>
      <w:r w:rsidRPr="00522CD2">
        <w:rPr>
          <w:rFonts w:ascii="Times" w:hAnsi="Times"/>
        </w:rPr>
        <w:fldChar w:fldCharType="separate"/>
      </w:r>
      <w:r w:rsidRPr="00522CD2">
        <w:rPr>
          <w:rFonts w:ascii="Times" w:hAnsi="Times"/>
          <w:noProof/>
        </w:rPr>
        <w:t>(9)</w:t>
      </w:r>
      <w:r w:rsidRPr="00522CD2">
        <w:rPr>
          <w:rFonts w:ascii="Times" w:hAnsi="Times"/>
        </w:rPr>
        <w:fldChar w:fldCharType="end"/>
      </w:r>
      <w:r w:rsidRPr="00522CD2">
        <w:rPr>
          <w:rFonts w:ascii="Times" w:hAnsi="Times"/>
        </w:rPr>
        <w:t xml:space="preserve"> completed a similar review of outcome studies in mental health, there has been no such work for forensic services providing care to people with IDs.  Further, while there has been a marked focus on recovery from mental health services, there has been comparatively little focus on this construct and its measurement within psychiatric hospital settings for people with IDs, including forensic services.  Recovery is often construed as “getting better” or “reducing symptoms”, and within the context of inpatient services for people with IDs, where there is often a focus on person-centred support and normalisation, including living as independently as possible within the community, the concept remains unclear, but the issues are not dissimilar from the “recovery” debates within wider mental health services </w:t>
      </w:r>
      <w:r w:rsidRPr="00522CD2">
        <w:rPr>
          <w:rFonts w:ascii="Times" w:hAnsi="Times"/>
        </w:rPr>
        <w:fldChar w:fldCharType="begin" w:fldLock="1"/>
      </w:r>
      <w:r w:rsidRPr="00522CD2">
        <w:rPr>
          <w:rFonts w:ascii="Times" w:hAnsi="Times"/>
        </w:rPr>
        <w:instrText>ADDIN CSL_CITATION { "citationItems" : [ { "id" : "ITEM-1", "itemData" : { "DOI" : "10.1002/wps.20084", "ISSN" : "1723-8617", "PMID" : "24497237", "abstract" : "An understanding of recovery as a personal and subjective experience has emerged within mental health systems. This meaning of recovery now underpins mental health policy in many countries. Developing a focus on this type of recovery will involve transformation within mental health systems. Human systems do not easily transform. In this paper, we identify seven mis-uses (\"abuses\") of the concept of recovery: recovery is the latest model; recovery does not apply to \"my\" patients; services can make people recover through effective treatment; compulsory detention and treatment aid recovery; a recovery orientation means closing services; recovery is about making people independent and normal; and contributing to society happens only after the person is recovered. We then identify ten empirically-validated interventions which support recovery, by targeting key recovery processes of connectedness, hope, identity, meaning and empowerment (the CHIME framework). The ten interventions are peer support workers, advance directives, wellness recovery action planning, illness management and recovery, REFOCUS, strengths model, recovery colleges or recovery education programs, individual placement and support, supported housing, and mental health trialogues. Finally, three scientific challenges are identified: broadening cultural understandings of recovery, implementing organizational transformation, and promoting citizenship.", "author" : [ { "dropping-particle" : "", "family" : "Slade", "given" : "Mike", "non-dropping-particle" : "", "parse-names" : false, "suffix" : "" }, { "dropping-particle" : "", "family" : "Amering", "given" : "Michaela", "non-dropping-particle" : "", "parse-names" : false, "suffix" : "" }, { "dropping-particle" : "", "family" : "Farkas", "given" : "Marianne", "non-dropping-particle" : "", "parse-names" : false, "suffix" : "" }, { "dropping-particle" : "", "family" : "Hamilton", "given" : "Bridget", "non-dropping-particle" : "", "parse-names" : false, "suffix" : "" }, { "dropping-particle" : "", "family" : "O'Hagan", "given" : "Mary", "non-dropping-particle" : "", "parse-names" : false, "suffix" : "" }, { "dropping-particle" : "", "family" : "Panther", "given" : "Graham", "non-dropping-particle" : "", "parse-names" : false, "suffix" : "" }, { "dropping-particle" : "", "family" : "Perkins", "given" : "Rachel", "non-dropping-particle" : "", "parse-names" : false, "suffix" : "" }, { "dropping-particle" : "", "family" : "Shepherd", "given" : "Geoff", "non-dropping-particle" : "", "parse-names" : false, "suffix" : "" }, { "dropping-particle" : "", "family" : "Tse", "given" : "Samson", "non-dropping-particle" : "", "parse-names" : false, "suffix" : "" }, { "dropping-particle" : "", "family" : "Whitley", "given" : "Rob", "non-dropping-particle" : "", "parse-names" : false, "suffix" : "" } ], "container-title" : "World psychiatry : official journal of the World Psychiatric Association (WPA)", "id" : "ITEM-1", "issue" : "1", "issued" : { "date-parts" : [ [ "2014", "2" ] ] }, "page" : "12-20", "title" : "Uses and abuses of recovery: implementing recovery-oriented practices in mental health systems.", "type" : "article-journal", "volume" : "13" }, "uris" : [ "http://www.mendeley.com/documents/?uuid=482378c2-5e98-3f1c-a712-946a20ab3ca0" ] } ], "mendeley" : { "formattedCitation" : "(10)", "plainTextFormattedCitation" : "(10)", "previouslyFormattedCitation" : "(10)" }, "properties" : { "noteIndex" : 0 }, "schema" : "https://github.com/citation-style-language/schema/raw/master/csl-citation.json" }</w:instrText>
      </w:r>
      <w:r w:rsidRPr="00522CD2">
        <w:rPr>
          <w:rFonts w:ascii="Times" w:hAnsi="Times"/>
        </w:rPr>
        <w:fldChar w:fldCharType="separate"/>
      </w:r>
      <w:r w:rsidRPr="00522CD2">
        <w:rPr>
          <w:rFonts w:ascii="Times" w:hAnsi="Times"/>
          <w:noProof/>
        </w:rPr>
        <w:t>(10)</w:t>
      </w:r>
      <w:r w:rsidRPr="00522CD2">
        <w:rPr>
          <w:rFonts w:ascii="Times" w:hAnsi="Times"/>
        </w:rPr>
        <w:fldChar w:fldCharType="end"/>
      </w:r>
      <w:r w:rsidRPr="00522CD2">
        <w:rPr>
          <w:rFonts w:ascii="Times" w:hAnsi="Times"/>
        </w:rPr>
        <w:t xml:space="preserve">.  However, recovery in the context of forensic services for people with IDs, while subjective, should nevertheless incorporate the </w:t>
      </w:r>
      <w:r w:rsidR="00372E64" w:rsidRPr="00522CD2">
        <w:rPr>
          <w:rFonts w:ascii="Times" w:hAnsi="Times"/>
        </w:rPr>
        <w:t xml:space="preserve">Comprising, connectedness, Hope and optimism about the future, Identity, </w:t>
      </w:r>
      <w:r w:rsidR="00372E64" w:rsidRPr="00522CD2">
        <w:rPr>
          <w:rFonts w:ascii="Times" w:hAnsi="Times"/>
        </w:rPr>
        <w:lastRenderedPageBreak/>
        <w:t>meaning in life, and Empowerment (</w:t>
      </w:r>
      <w:r w:rsidRPr="00522CD2">
        <w:rPr>
          <w:rFonts w:ascii="Times" w:hAnsi="Times"/>
        </w:rPr>
        <w:t>CHIME</w:t>
      </w:r>
      <w:r w:rsidR="00372E64" w:rsidRPr="00522CD2">
        <w:rPr>
          <w:rFonts w:ascii="Times" w:hAnsi="Times"/>
        </w:rPr>
        <w:t>)</w:t>
      </w:r>
      <w:r w:rsidRPr="00522CD2">
        <w:rPr>
          <w:rFonts w:ascii="Times" w:hAnsi="Times"/>
        </w:rPr>
        <w:t xml:space="preserve"> framework </w:t>
      </w:r>
      <w:r w:rsidRPr="00522CD2">
        <w:rPr>
          <w:rFonts w:ascii="Times" w:hAnsi="Times"/>
        </w:rPr>
        <w:fldChar w:fldCharType="begin" w:fldLock="1"/>
      </w:r>
      <w:r w:rsidRPr="00522CD2">
        <w:rPr>
          <w:rFonts w:ascii="Times" w:hAnsi="Times"/>
        </w:rPr>
        <w:instrText>ADDIN CSL_CITATION { "citationItems" : [ { "id" : "ITEM-1", "itemData" : { "author" : [ { "dropping-particle" : "", "family" : "Leamy", "given" : "Mary", "non-dropping-particle" : "", "parse-names" : false, "suffix" : "" }, { "dropping-particle" : "", "family" : "Bird", "given" : "Victoria", "non-dropping-particle" : "", "parse-names" : false, "suffix" : "" }, { "dropping-particle" : "", "family" : "Boutillier", "given" : "Clair", "non-dropping-particle" : "Le", "parse-names" : false, "suffix" : "" }, { "dropping-particle" : "", "family" : "Williams", "given" : "Julie", "non-dropping-particle" : "", "parse-names" : false, "suffix" : "" }, { "dropping-particle" : "", "family" : "Slade", "given" : "Mike", "non-dropping-particle" : "", "parse-names" : false, "suffix" : "" } ], "container-title" : "The British Journal of Psychiatry", "id" : "ITEM-1", "issue" : "6", "issued" : { "date-parts" : [ [ "2011" ] ] }, "title" : "Conceptual framework for personal recovery in mental health: systematic review and narrative synthesis", "type" : "article-journal", "volume" : "199" }, "uris" : [ "http://www.mendeley.com/documents/?uuid=ea274270-917f-35d4-9765-89904e48f00a" ] } ], "mendeley" : { "formattedCitation" : "(11)", "plainTextFormattedCitation" : "(11)", "previouslyFormattedCitation" : "(11)" }, "properties" : { "noteIndex" : 0 }, "schema" : "https://github.com/citation-style-language/schema/raw/master/csl-citation.json" }</w:instrText>
      </w:r>
      <w:r w:rsidRPr="00522CD2">
        <w:rPr>
          <w:rFonts w:ascii="Times" w:hAnsi="Times"/>
        </w:rPr>
        <w:fldChar w:fldCharType="separate"/>
      </w:r>
      <w:r w:rsidRPr="00522CD2">
        <w:rPr>
          <w:rFonts w:ascii="Times" w:hAnsi="Times"/>
          <w:noProof/>
        </w:rPr>
        <w:t>(11)</w:t>
      </w:r>
      <w:r w:rsidRPr="00522CD2">
        <w:rPr>
          <w:rFonts w:ascii="Times" w:hAnsi="Times"/>
        </w:rPr>
        <w:fldChar w:fldCharType="end"/>
      </w:r>
      <w:r w:rsidRPr="00522CD2">
        <w:rPr>
          <w:rFonts w:ascii="Times" w:hAnsi="Times"/>
        </w:rPr>
        <w:t xml:space="preserve">, bearing in mind that some associated factors may be more proximal for this population (e.g. offending behaviours and stigma associated with disabilities). </w:t>
      </w:r>
    </w:p>
    <w:p w14:paraId="515D0ADA" w14:textId="77777777" w:rsidR="00042144" w:rsidRPr="00522CD2" w:rsidRDefault="00042144" w:rsidP="000421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284"/>
        <w:rPr>
          <w:rFonts w:ascii="Times" w:hAnsi="Times"/>
          <w:b/>
        </w:rPr>
      </w:pPr>
    </w:p>
    <w:p w14:paraId="797637AA" w14:textId="77777777" w:rsidR="00042144" w:rsidRPr="00522CD2" w:rsidRDefault="00042144" w:rsidP="00042144">
      <w:pPr>
        <w:pStyle w:val="Default"/>
        <w:shd w:val="clear" w:color="auto" w:fill="FFFFFF" w:themeFill="background1"/>
        <w:spacing w:line="480" w:lineRule="auto"/>
        <w:ind w:firstLine="284"/>
        <w:rPr>
          <w:rFonts w:ascii="Times" w:hAnsi="Times"/>
          <w:sz w:val="24"/>
          <w:lang w:val="en-US"/>
        </w:rPr>
      </w:pPr>
      <w:r w:rsidRPr="00522CD2">
        <w:rPr>
          <w:rFonts w:ascii="Times" w:hAnsi="Times"/>
          <w:sz w:val="24"/>
          <w:lang w:val="en-US"/>
        </w:rPr>
        <w:t>In order to address these shortcomings, the current study had the single aim of identifying the domains that should be used to measure outcome from forensic services for people with IDs.  Within the context of this project, outcome was defined as occurring at the level of the service as a whole, rather than individual outcomes associated with a specific treatment or intervention.  In other words, we were primarily interested in outcomes that could index change over time across the entire range of interventions offered by a service, rather than outcome from a specific intervention (e.g. medication or psychological treatment), as this represents the real world of service delivery.  Our aim was achieved within the context of two inter-related and iterative work streams: (a) undertaking a systematic review of studies that focused directly or indirectly on measuring outcomes from forensic services for people with IDs and synthesising the findings into an initial framework of outcome domains, and (b) taking our initial framework</w:t>
      </w:r>
      <w:r w:rsidRPr="00522CD2">
        <w:rPr>
          <w:rFonts w:ascii="Times" w:hAnsi="Times"/>
          <w:sz w:val="24"/>
        </w:rPr>
        <w:t xml:space="preserve"> and refining further within the context of a consultation exercise with service users and carers, as well as a two-round Delphi exercise with experts.   </w:t>
      </w:r>
    </w:p>
    <w:p w14:paraId="4742793B" w14:textId="77777777" w:rsidR="00042144" w:rsidRPr="00522CD2" w:rsidRDefault="00042144" w:rsidP="00042144">
      <w:pPr>
        <w:spacing w:line="480" w:lineRule="auto"/>
        <w:rPr>
          <w:rFonts w:ascii="Times" w:hAnsi="Times"/>
          <w:b/>
          <w:bCs/>
          <w:lang w:val="en-US"/>
        </w:rPr>
      </w:pPr>
    </w:p>
    <w:p w14:paraId="5C31ABAB" w14:textId="77777777" w:rsidR="00042144" w:rsidRPr="00522CD2" w:rsidRDefault="00042144" w:rsidP="00042144">
      <w:pPr>
        <w:pStyle w:val="Heading1"/>
        <w:rPr>
          <w:rFonts w:eastAsia="Arial" w:cs="Arial"/>
        </w:rPr>
      </w:pPr>
      <w:r w:rsidRPr="00522CD2">
        <w:rPr>
          <w:lang w:val="en-US"/>
        </w:rPr>
        <w:t>Method</w:t>
      </w:r>
    </w:p>
    <w:p w14:paraId="789393C9" w14:textId="77777777" w:rsidR="00042144" w:rsidRPr="00522CD2" w:rsidRDefault="00042144" w:rsidP="00042144">
      <w:pPr>
        <w:pStyle w:val="Default"/>
        <w:shd w:val="clear" w:color="auto" w:fill="FFFFFF" w:themeFill="background1"/>
        <w:spacing w:line="480" w:lineRule="auto"/>
        <w:rPr>
          <w:rFonts w:ascii="Times" w:hAnsi="Times"/>
          <w:b/>
          <w:bCs/>
          <w:i/>
          <w:iCs/>
          <w:sz w:val="24"/>
          <w:lang w:val="en-US"/>
        </w:rPr>
      </w:pPr>
    </w:p>
    <w:p w14:paraId="50998FF6" w14:textId="77777777" w:rsidR="00042144" w:rsidRPr="00522CD2" w:rsidRDefault="00042144" w:rsidP="00042144">
      <w:pPr>
        <w:pStyle w:val="Default"/>
        <w:shd w:val="clear" w:color="auto" w:fill="FFFFFF" w:themeFill="background1"/>
        <w:spacing w:line="480" w:lineRule="auto"/>
        <w:rPr>
          <w:rFonts w:ascii="Times" w:hAnsi="Times"/>
          <w:b/>
          <w:sz w:val="24"/>
          <w:lang w:val="en-US"/>
        </w:rPr>
      </w:pPr>
      <w:r w:rsidRPr="00522CD2">
        <w:rPr>
          <w:rFonts w:ascii="Times" w:hAnsi="Times"/>
          <w:b/>
          <w:sz w:val="24"/>
          <w:lang w:val="en-US"/>
        </w:rPr>
        <w:t>Systematic Review</w:t>
      </w:r>
    </w:p>
    <w:p w14:paraId="2E34B9A5" w14:textId="0826F216" w:rsidR="00042144" w:rsidRPr="00522CD2" w:rsidRDefault="00042144" w:rsidP="00042144">
      <w:pPr>
        <w:pStyle w:val="Default"/>
        <w:shd w:val="clear" w:color="auto" w:fill="FFFFFF" w:themeFill="background1"/>
        <w:spacing w:line="480" w:lineRule="auto"/>
        <w:ind w:firstLine="284"/>
        <w:rPr>
          <w:rFonts w:ascii="Times" w:hAnsi="Times"/>
          <w:sz w:val="24"/>
          <w:lang w:val="en-US"/>
        </w:rPr>
      </w:pPr>
      <w:r w:rsidRPr="00522CD2">
        <w:rPr>
          <w:rFonts w:ascii="Times" w:hAnsi="Times"/>
          <w:sz w:val="24"/>
          <w:lang w:val="en-US"/>
        </w:rPr>
        <w:t xml:space="preserve">An initial outcome framework was developed following a systematic review of the literature that focused on outcomes from forensic services for people with IDs.  As a starting point, and following discussion amongst the research team, we initially envisaged outcomes as falling into one of the three areas which were defined by the Department of Health (2010) </w:t>
      </w:r>
      <w:r w:rsidRPr="00522CD2">
        <w:rPr>
          <w:rFonts w:ascii="Times" w:hAnsi="Times"/>
          <w:sz w:val="24"/>
          <w:lang w:val="en-US"/>
        </w:rPr>
        <w:fldChar w:fldCharType="begin" w:fldLock="1"/>
      </w:r>
      <w:r w:rsidRPr="00522CD2">
        <w:rPr>
          <w:rFonts w:ascii="Times" w:hAnsi="Times"/>
          <w:sz w:val="24"/>
          <w:lang w:val="en-US"/>
        </w:rPr>
        <w:instrText>ADDIN CSL_CITATION { "citationItems" : [ { "id" : "ITEM-1", "itemData" : { "author" : [ { "dropping-particle" : "", "family" : "Department of Health", "given" : "", "non-dropping-particle" : "", "parse-names" : false, "suffix" : "" } ], "id" : "ITEM-1", "issued" : { "date-parts" : [ [ "2010" ] ] }, "publisher-place" : "London", "title" : "Transparency in outcomes: a framework for the NHS.", "type" : "report" }, "uris" : [ "http://www.mendeley.com/documents/?uuid=49317f3e-ad6e-4233-85b0-e6e35b239c1b" ] } ], "mendeley" : { "formattedCitation" : "(12)", "plainTextFormattedCitation" : "(12)", "previouslyFormattedCitation" : "(12)" }, "properties" : { "noteIndex" : 0 }, "schema" : "https://github.com/citation-style-language/schema/raw/master/csl-citation.json" }</w:instrText>
      </w:r>
      <w:r w:rsidRPr="00522CD2">
        <w:rPr>
          <w:rFonts w:ascii="Times" w:hAnsi="Times"/>
          <w:sz w:val="24"/>
          <w:lang w:val="en-US"/>
        </w:rPr>
        <w:fldChar w:fldCharType="separate"/>
      </w:r>
      <w:r w:rsidRPr="00522CD2">
        <w:rPr>
          <w:rFonts w:ascii="Times" w:hAnsi="Times"/>
          <w:noProof/>
          <w:sz w:val="24"/>
          <w:lang w:val="en-US"/>
        </w:rPr>
        <w:t>(12)</w:t>
      </w:r>
      <w:r w:rsidRPr="00522CD2">
        <w:rPr>
          <w:rFonts w:ascii="Times" w:hAnsi="Times"/>
          <w:sz w:val="24"/>
          <w:lang w:val="en-US"/>
        </w:rPr>
        <w:fldChar w:fldCharType="end"/>
      </w:r>
      <w:r w:rsidRPr="00522CD2">
        <w:rPr>
          <w:rFonts w:ascii="Times" w:hAnsi="Times"/>
          <w:sz w:val="24"/>
          <w:lang w:val="en-US"/>
        </w:rPr>
        <w:t xml:space="preserve"> as representative of quality.  These were: (a) effectiveness (e.g. the impact of generic treatment on health) (b) patient safety (e.g. untoward events as a result of treatment), and (c) patient experience of care (e.g. satisfaction). </w:t>
      </w:r>
    </w:p>
    <w:p w14:paraId="5921FCCC" w14:textId="77777777" w:rsidR="0093605F" w:rsidRPr="00522CD2" w:rsidRDefault="0093605F" w:rsidP="00042144">
      <w:pPr>
        <w:pStyle w:val="Default"/>
        <w:shd w:val="clear" w:color="auto" w:fill="FFFFFF" w:themeFill="background1"/>
        <w:spacing w:line="480" w:lineRule="auto"/>
        <w:ind w:firstLine="284"/>
        <w:rPr>
          <w:rFonts w:ascii="Times" w:hAnsi="Times"/>
          <w:sz w:val="24"/>
          <w:lang w:val="en-US"/>
        </w:rPr>
      </w:pPr>
    </w:p>
    <w:p w14:paraId="37C2AA49" w14:textId="56C4DF87" w:rsidR="00042144" w:rsidRPr="00522CD2" w:rsidRDefault="00042144" w:rsidP="00042144">
      <w:pPr>
        <w:pStyle w:val="Default"/>
        <w:shd w:val="clear" w:color="auto" w:fill="FFFFFF" w:themeFill="background1"/>
        <w:spacing w:line="480" w:lineRule="auto"/>
        <w:ind w:firstLine="284"/>
        <w:rPr>
          <w:rFonts w:ascii="Times" w:hAnsi="Times"/>
          <w:sz w:val="24"/>
          <w:lang w:val="en-US"/>
        </w:rPr>
      </w:pPr>
      <w:r w:rsidRPr="00522CD2">
        <w:rPr>
          <w:rFonts w:ascii="Times" w:hAnsi="Times"/>
          <w:b/>
          <w:sz w:val="24"/>
          <w:lang w:val="en-US"/>
        </w:rPr>
        <w:t>Search strategy</w:t>
      </w:r>
      <w:r w:rsidRPr="00522CD2">
        <w:rPr>
          <w:rFonts w:ascii="Times" w:hAnsi="Times"/>
          <w:sz w:val="24"/>
          <w:lang w:val="en-US"/>
        </w:rPr>
        <w:t xml:space="preserve">. The search strategy aimed to identify studies from a range of sources. Electronic databases searched on 1st June 2015 which included Medline, PsychInfo, Embase, Amed, HMIC, BNI and CINAHL. Search terms employed were based on those used for a previous Cochrane reviews, for intellectual disability </w:t>
      </w:r>
      <w:r w:rsidRPr="00522CD2">
        <w:rPr>
          <w:rFonts w:ascii="Times" w:hAnsi="Times"/>
          <w:sz w:val="24"/>
          <w:lang w:val="en-US"/>
        </w:rPr>
        <w:fldChar w:fldCharType="begin" w:fldLock="1"/>
      </w:r>
      <w:r w:rsidRPr="00522CD2">
        <w:rPr>
          <w:rFonts w:ascii="Times" w:hAnsi="Times"/>
          <w:sz w:val="24"/>
          <w:lang w:val="en-US"/>
        </w:rPr>
        <w:instrText>ADDIN CSL_CITATION { "citationItems" : [ { "id" : "ITEM-1", "itemData" : { "DOI" : "10.1002/14651858.CD003406.pub2", "ISSN" : "1469-493X", "PMID" : "15495051", "abstract" : "BACKGROUND Outwardly directed aggressive behaviour is a significant part of problem behaviours presented by people with learning disabilities. Prevalence rates between 3.3% to 36% have been reported in the literature. Such behaviours run a long term course and are a major cause of social exclusion OBJECTIVES To determine the efficacy of behavioural and cognitive behavioural interventions for outwardly-directed aggressive behaviour for people with learning disabilities. SEARCH STRATEGY The Cochrane Library (CENTRAL), MEDLINE, EMBASE, CINAHL, ERIC and PsycINFO were searched using a strategy combining (Learning or synonyms) and (Disabilities or synonyms) and (Behaviour or synonyms) and (treatment or synonyms) to late 2002. Where appropriate, research filters were used. SELECTION CRITERIA Studies were selected if more than 4 participants, children or adults, were allocated by random or quasi-random methods to either intervention or standard treatment/wait list. DATA COLLECTION AND ANALYSIS References identified by electronic searches, examinations of bibliography and personal contacts were screened against inclusion criteria by two independent reviewers. MAIN RESULTS Three studies based on adult populations with learning disabilities were deemed to be suitable for inclusion but data were only available in a form suitable for meta-analysis in two studies. Direct interventions based on cognitive-behavioural methods (modified relaxation, assertiveness training with problem solving, and anger management) appear to have some impact on reduction of aggressive behaviour at the end of treatment but not at follow up (up to six months) as rated by individuals and their carers. REVIEWERS' CONCLUSIONS The existing evidence on the efficacy of cognitive behavioural and behavioural interventions on outwards directed aggression in children and adults with ID is scant. There is a paucity of methodologically sound clinical trials. Given the impact of such behaviours on the affected individual, his or her carers and on service providers, effective interventions are essential. It is also important to investigate cost efficacy of treatment models against existing treatments. We recommend that randomised controlled trials of sufficient power are carried out using primary outcomes of reduction in outward directed aggression, improvement in quality of life and cost efficacy as measured by standardised scales.", "author" : [ { "dropping-particle" : "", "family" : "Hassiotis", "given" : "A", "non-dropping-particle" : "", "parse-names" : false, "suffix" : "" }, { "dropping-particle" : "", "family" : "Hall", "given" : "I", "non-dropping-particle" : "", "parse-names" : false, "suffix" : "" } ], "container-title" : "The Cochrane database of systematic reviews", "id" : "ITEM-1", "issue" : "4", "issued" : { "date-parts" : [ [ "2004" ] ] }, "page" : "CD003406", "title" : "Behavioural and cognitive-behavioural interventions for outwardly-directed aggressive behaviour in people with learning disabilities.", "type" : "article-journal" }, "uris" : [ "http://www.mendeley.com/documents/?uuid=1306d043-8281-3f22-930e-759d4715ce65" ] } ], "mendeley" : { "formattedCitation" : "(13)", "plainTextFormattedCitation" : "(13)", "previouslyFormattedCitation" : "(13)" }, "properties" : { "noteIndex" : 0 }, "schema" : "https://github.com/citation-style-language/schema/raw/master/csl-citation.json" }</w:instrText>
      </w:r>
      <w:r w:rsidRPr="00522CD2">
        <w:rPr>
          <w:rFonts w:ascii="Times" w:hAnsi="Times"/>
          <w:sz w:val="24"/>
          <w:lang w:val="en-US"/>
        </w:rPr>
        <w:fldChar w:fldCharType="separate"/>
      </w:r>
      <w:r w:rsidRPr="00522CD2">
        <w:rPr>
          <w:rFonts w:ascii="Times" w:hAnsi="Times"/>
          <w:noProof/>
          <w:sz w:val="24"/>
          <w:lang w:val="en-US"/>
        </w:rPr>
        <w:t>(13)</w:t>
      </w:r>
      <w:r w:rsidRPr="00522CD2">
        <w:rPr>
          <w:rFonts w:ascii="Times" w:hAnsi="Times"/>
          <w:sz w:val="24"/>
          <w:lang w:val="en-US"/>
        </w:rPr>
        <w:fldChar w:fldCharType="end"/>
      </w:r>
      <w:r w:rsidRPr="00522CD2">
        <w:rPr>
          <w:rFonts w:ascii="Times" w:hAnsi="Times"/>
          <w:sz w:val="24"/>
          <w:lang w:val="en-US"/>
        </w:rPr>
        <w:t xml:space="preserve"> and forensic / offenders </w:t>
      </w:r>
      <w:r w:rsidRPr="00522CD2">
        <w:rPr>
          <w:rFonts w:ascii="Times" w:hAnsi="Times"/>
          <w:sz w:val="24"/>
          <w:lang w:val="en-US"/>
        </w:rPr>
        <w:fldChar w:fldCharType="begin" w:fldLock="1"/>
      </w:r>
      <w:r w:rsidRPr="00522CD2">
        <w:rPr>
          <w:rFonts w:ascii="Times" w:hAnsi="Times"/>
          <w:sz w:val="24"/>
          <w:lang w:val="en-US"/>
        </w:rPr>
        <w:instrText>ADDIN CSL_CITATION { "citationItems" : [ { "id" : "ITEM-1", "itemData" : { "abstract" : "Whether or not sex offenders can be successfully treated remains a matter a controversy. This is due, in part, to the quality of evidence that one might regard as acceptable. Evidence-based practice for treatment efficacy lays great weight on the evidence from randomised controlled trials but is this the only or indeed the most appropriate approach for this type of disorder? I this review the findings I summarize my presentation at the IATSO conference 2014 in Porto including results of two recently completed Cochrane Reviews that assessed efficacy for both psychological and pharmacological interventions for sex offenders. Also, I examine the recent concern that psychological treatments fail to consider adequately the harm that might arise from such interventions. This latter concern, together with the uncertainty as to which intervention ought to be offered to whom leaves the practitioner in an uncomfortable position in deciding which treatment ought to be recommended for a convicted sex offender.", "author" : [ { "dropping-particle" : "", "family" : "Duggan", "given" : "Conor", "non-dropping-particle" : "", "parse-names" : false, "suffix" : "" } ], "container-title" : "Sexual Offender Treatment", "id" : "ITEM-1", "issue" : "2", "issued" : { "date-parts" : [ [ "2014" ] ] }, "page" : "1-13", "title" : "The Empirical Basis of Sex Offender Treatment Effectiveness", "type" : "article-journal", "volume" : "9" }, "uris" : [ "http://www.mendeley.com/documents/?uuid=c95f2278-2dfe-3a68-a0f9-055efc1a1960" ] } ], "mendeley" : { "formattedCitation" : "(14)", "plainTextFormattedCitation" : "(14)", "previouslyFormattedCitation" : "(14)" }, "properties" : { "noteIndex" : 0 }, "schema" : "https://github.com/citation-style-language/schema/raw/master/csl-citation.json" }</w:instrText>
      </w:r>
      <w:r w:rsidRPr="00522CD2">
        <w:rPr>
          <w:rFonts w:ascii="Times" w:hAnsi="Times"/>
          <w:sz w:val="24"/>
          <w:lang w:val="en-US"/>
        </w:rPr>
        <w:fldChar w:fldCharType="separate"/>
      </w:r>
      <w:r w:rsidRPr="00522CD2">
        <w:rPr>
          <w:rFonts w:ascii="Times" w:hAnsi="Times"/>
          <w:noProof/>
          <w:sz w:val="24"/>
          <w:lang w:val="en-US"/>
        </w:rPr>
        <w:t>(14)</w:t>
      </w:r>
      <w:r w:rsidRPr="00522CD2">
        <w:rPr>
          <w:rFonts w:ascii="Times" w:hAnsi="Times"/>
          <w:sz w:val="24"/>
          <w:lang w:val="en-US"/>
        </w:rPr>
        <w:fldChar w:fldCharType="end"/>
      </w:r>
      <w:r w:rsidRPr="00522CD2">
        <w:rPr>
          <w:rFonts w:ascii="Times" w:hAnsi="Times"/>
          <w:sz w:val="24"/>
          <w:lang w:val="en-US"/>
        </w:rPr>
        <w:t>.</w:t>
      </w:r>
      <w:r w:rsidRPr="00522CD2">
        <w:rPr>
          <w:rFonts w:ascii="Times" w:hAnsi="Times"/>
          <w:sz w:val="24"/>
        </w:rPr>
        <w:t xml:space="preserve"> </w:t>
      </w:r>
      <w:r w:rsidRPr="00522CD2">
        <w:rPr>
          <w:rFonts w:ascii="Times" w:hAnsi="Times"/>
          <w:sz w:val="24"/>
          <w:lang w:val="en-US"/>
        </w:rPr>
        <w:t xml:space="preserve">The full search terms, including </w:t>
      </w:r>
      <w:r w:rsidRPr="00522CD2">
        <w:rPr>
          <w:rFonts w:ascii="Times" w:hAnsi="Times"/>
          <w:sz w:val="24"/>
        </w:rPr>
        <w:t xml:space="preserve">“explode” </w:t>
      </w:r>
      <w:r w:rsidRPr="00522CD2">
        <w:rPr>
          <w:rFonts w:ascii="Times" w:hAnsi="Times"/>
          <w:sz w:val="24"/>
          <w:lang w:val="en-US"/>
        </w:rPr>
        <w:t xml:space="preserve">terms, keywords and text words </w:t>
      </w:r>
      <w:r w:rsidR="009619DB" w:rsidRPr="00522CD2">
        <w:rPr>
          <w:rFonts w:ascii="Times" w:hAnsi="Times"/>
          <w:sz w:val="24"/>
          <w:shd w:val="clear" w:color="auto" w:fill="FFFFFF" w:themeFill="background1"/>
          <w:lang w:val="en-US"/>
        </w:rPr>
        <w:t>are included within our supplementary material</w:t>
      </w:r>
      <w:r w:rsidRPr="00522CD2">
        <w:rPr>
          <w:rFonts w:ascii="Times" w:hAnsi="Times"/>
          <w:sz w:val="24"/>
          <w:shd w:val="clear" w:color="auto" w:fill="FFFFFF" w:themeFill="background1"/>
          <w:lang w:val="en-US"/>
        </w:rPr>
        <w:t>.  The systematic review as registered in advance with PROSPERO (Registration Number: CRD42015016941).</w:t>
      </w:r>
    </w:p>
    <w:p w14:paraId="420B86F7" w14:textId="77777777" w:rsidR="00042144" w:rsidRPr="00522CD2" w:rsidRDefault="00042144" w:rsidP="00042144">
      <w:pPr>
        <w:pStyle w:val="Default"/>
        <w:shd w:val="clear" w:color="auto" w:fill="FFFFFF" w:themeFill="background1"/>
        <w:spacing w:line="480" w:lineRule="auto"/>
        <w:rPr>
          <w:rFonts w:ascii="Times" w:hAnsi="Times"/>
          <w:sz w:val="24"/>
          <w:lang w:val="en-US"/>
        </w:rPr>
      </w:pPr>
    </w:p>
    <w:p w14:paraId="4F458068" w14:textId="3C0FF6A9" w:rsidR="00042144" w:rsidRPr="00522CD2" w:rsidRDefault="00042144" w:rsidP="00042144">
      <w:pPr>
        <w:pStyle w:val="Default"/>
        <w:shd w:val="clear" w:color="auto" w:fill="FFFFFF" w:themeFill="background1"/>
        <w:spacing w:line="480" w:lineRule="auto"/>
        <w:ind w:firstLine="284"/>
        <w:rPr>
          <w:rFonts w:ascii="Times" w:eastAsia="Arial" w:hAnsi="Times" w:cs="Arial"/>
          <w:sz w:val="24"/>
        </w:rPr>
      </w:pPr>
      <w:r w:rsidRPr="00522CD2">
        <w:rPr>
          <w:rFonts w:ascii="Times" w:hAnsi="Times"/>
          <w:sz w:val="24"/>
          <w:lang w:val="en-US"/>
        </w:rPr>
        <w:t>In order to ensure that no relevant publications were missed, the grey literature (</w:t>
      </w:r>
      <w:hyperlink r:id="rId8" w:history="1">
        <w:r w:rsidRPr="00522CD2">
          <w:rPr>
            <w:rStyle w:val="Hyperlink"/>
            <w:rFonts w:ascii="Times" w:hAnsi="Times"/>
            <w:sz w:val="24"/>
            <w:u w:val="none"/>
            <w:lang w:val="en-US"/>
          </w:rPr>
          <w:t>www.greyonline.eu</w:t>
        </w:r>
      </w:hyperlink>
      <w:r w:rsidRPr="00522CD2">
        <w:rPr>
          <w:rFonts w:ascii="Times" w:hAnsi="Times"/>
          <w:sz w:val="24"/>
          <w:lang w:val="en-US"/>
        </w:rPr>
        <w:t xml:space="preserve">) was also searched using the keywords. The ancestry method was used to find suitable studies within the references of eligible papers. </w:t>
      </w:r>
      <w:r w:rsidR="007475E1" w:rsidRPr="00522CD2">
        <w:rPr>
          <w:rFonts w:ascii="Times" w:hAnsi="Times"/>
          <w:sz w:val="24"/>
          <w:lang w:val="en-US"/>
        </w:rPr>
        <w:t xml:space="preserve"> The ancestry method means searching the reference lists of papers that met our eligibility criteria for any further papers that may have not been previously included. </w:t>
      </w:r>
      <w:r w:rsidRPr="00522CD2">
        <w:rPr>
          <w:rFonts w:ascii="Times" w:hAnsi="Times"/>
          <w:sz w:val="24"/>
          <w:lang w:val="en-US"/>
        </w:rPr>
        <w:t xml:space="preserve">In addition, expert members of the project team were consulted in order to identify any key references not retrieved by the search strategy as well as in-press or unpublished articles. </w:t>
      </w:r>
    </w:p>
    <w:p w14:paraId="385BE4FB" w14:textId="77777777" w:rsidR="00042144" w:rsidRPr="00522CD2" w:rsidRDefault="00042144" w:rsidP="00042144">
      <w:pPr>
        <w:pStyle w:val="Default"/>
        <w:shd w:val="clear" w:color="auto" w:fill="FFFFFF" w:themeFill="background1"/>
        <w:spacing w:line="480" w:lineRule="auto"/>
        <w:rPr>
          <w:rFonts w:ascii="Times" w:eastAsia="Arial" w:hAnsi="Times" w:cs="Arial"/>
          <w:sz w:val="24"/>
        </w:rPr>
      </w:pPr>
    </w:p>
    <w:p w14:paraId="386C4ACC" w14:textId="5D300953" w:rsidR="00042144" w:rsidRPr="00522CD2" w:rsidRDefault="00042144" w:rsidP="00042144">
      <w:pPr>
        <w:pStyle w:val="Default"/>
        <w:shd w:val="clear" w:color="auto" w:fill="FFFFFF" w:themeFill="background1"/>
        <w:spacing w:line="480" w:lineRule="auto"/>
        <w:ind w:firstLine="284"/>
        <w:rPr>
          <w:rFonts w:ascii="Times" w:hAnsi="Times"/>
          <w:sz w:val="24"/>
        </w:rPr>
      </w:pPr>
      <w:r w:rsidRPr="00522CD2">
        <w:rPr>
          <w:rFonts w:ascii="Times" w:hAnsi="Times"/>
          <w:b/>
          <w:bCs/>
          <w:iCs/>
          <w:sz w:val="24"/>
        </w:rPr>
        <w:t xml:space="preserve">Study Selection and Eligibility Criteria. </w:t>
      </w:r>
      <w:r w:rsidRPr="00522CD2">
        <w:rPr>
          <w:rFonts w:ascii="Times" w:hAnsi="Times"/>
          <w:sz w:val="24"/>
        </w:rPr>
        <w:t>Duplicate studies were removed</w:t>
      </w:r>
      <w:r w:rsidRPr="00522CD2">
        <w:rPr>
          <w:rFonts w:ascii="Times" w:hAnsi="Times"/>
          <w:sz w:val="24"/>
          <w:lang w:val="en-US"/>
        </w:rPr>
        <w:t xml:space="preserve">, and titles and abstracts of articles were screened against the eligibility criteria independently by two members of the research team (CM and NG). Any disagreements were resolved by a third reviewer.  </w:t>
      </w:r>
      <w:r w:rsidRPr="00522CD2">
        <w:rPr>
          <w:rFonts w:ascii="Times" w:hAnsi="Times"/>
          <w:bCs/>
          <w:iCs/>
          <w:sz w:val="24"/>
        </w:rPr>
        <w:t xml:space="preserve">Studies were included: (a) if they were published after 1980, </w:t>
      </w:r>
      <w:r w:rsidR="009619DB" w:rsidRPr="00522CD2">
        <w:rPr>
          <w:rFonts w:ascii="Times" w:hAnsi="Times"/>
          <w:bCs/>
          <w:iCs/>
          <w:sz w:val="24"/>
        </w:rPr>
        <w:t xml:space="preserve">as our initial searches revealed there was little relevant literature available before 1980; we opted to use this cut-off date to reduce the number of returned ineligible papers, </w:t>
      </w:r>
      <w:r w:rsidRPr="00522CD2">
        <w:rPr>
          <w:rFonts w:ascii="Times" w:hAnsi="Times"/>
          <w:bCs/>
          <w:iCs/>
          <w:sz w:val="24"/>
        </w:rPr>
        <w:t>(b) in any language, as translations were obtained</w:t>
      </w:r>
      <w:r w:rsidRPr="00522CD2">
        <w:rPr>
          <w:rFonts w:ascii="Times" w:hAnsi="Times"/>
          <w:sz w:val="24"/>
        </w:rPr>
        <w:t xml:space="preserve">, (c) made use of any type of quantitative method, (d) involved adults within intellectual or </w:t>
      </w:r>
      <w:r w:rsidR="003E19F8" w:rsidRPr="00522CD2">
        <w:rPr>
          <w:rFonts w:ascii="Times" w:hAnsi="Times"/>
          <w:sz w:val="24"/>
        </w:rPr>
        <w:t>autism spectrum disorders</w:t>
      </w:r>
      <w:r w:rsidRPr="00522CD2">
        <w:rPr>
          <w:rFonts w:ascii="Times" w:hAnsi="Times"/>
          <w:sz w:val="24"/>
        </w:rPr>
        <w:t xml:space="preserve">, (e) who were older than 18 years of age, and (e) had current or past use of forensic services for people with IDs, including community-based forensic services.   Forensic services were defined according to bed categories defined by the Royal College of Psychiatrists (2013) </w:t>
      </w:r>
      <w:r w:rsidRPr="00522CD2">
        <w:rPr>
          <w:rFonts w:ascii="Times" w:hAnsi="Times"/>
          <w:sz w:val="24"/>
        </w:rPr>
        <w:fldChar w:fldCharType="begin" w:fldLock="1"/>
      </w:r>
      <w:r w:rsidRPr="00522CD2">
        <w:rPr>
          <w:rFonts w:ascii="Times" w:hAnsi="Times"/>
          <w:sz w:val="24"/>
        </w:rPr>
        <w:instrText>ADDIN CSL_CITATION { "citationItems" : [ { "id" : "ITEM-1", "itemData" : { "author" : [ { "dropping-particle" : "", "family" : "Royal College of Psychiatrists\u2019 Faculty of Psychiatry of Intellectual Disability", "given" : "", "non-dropping-particle" : "", "parse-names" : false, "suffix" : "" } ], "id" : "ITEM-1", "issued" : { "date-parts" : [ [ "2013" ] ] }, "title" : "People with Learning Disability and Mental Health, Behavioural or Forensic Problems: The Role of In-Patient Services.", "type" : "report" }, "uris" : [ "http://www.mendeley.com/documents/?uuid=c880531a-cc62-45ac-94c9-e4b8ed155fa2" ] } ], "mendeley" : { "formattedCitation" : "(3)", "plainTextFormattedCitation" : "(3)", "previouslyFormattedCitation" : "(3)" }, "properties" : { "noteIndex" : 0 }, "schema" : "https://github.com/citation-style-language/schema/raw/master/csl-citation.json" }</w:instrText>
      </w:r>
      <w:r w:rsidRPr="00522CD2">
        <w:rPr>
          <w:rFonts w:ascii="Times" w:hAnsi="Times"/>
          <w:sz w:val="24"/>
        </w:rPr>
        <w:fldChar w:fldCharType="separate"/>
      </w:r>
      <w:r w:rsidRPr="00522CD2">
        <w:rPr>
          <w:rFonts w:ascii="Times" w:hAnsi="Times"/>
          <w:noProof/>
          <w:sz w:val="24"/>
        </w:rPr>
        <w:t>(3)</w:t>
      </w:r>
      <w:r w:rsidRPr="00522CD2">
        <w:rPr>
          <w:rFonts w:ascii="Times" w:hAnsi="Times"/>
          <w:sz w:val="24"/>
        </w:rPr>
        <w:fldChar w:fldCharType="end"/>
      </w:r>
      <w:r w:rsidR="0079094E" w:rsidRPr="00522CD2">
        <w:rPr>
          <w:rFonts w:ascii="Times" w:hAnsi="Times"/>
          <w:sz w:val="24"/>
        </w:rPr>
        <w:t xml:space="preserve"> </w:t>
      </w:r>
      <w:r w:rsidRPr="00522CD2">
        <w:rPr>
          <w:rFonts w:ascii="Times" w:hAnsi="Times"/>
          <w:sz w:val="24"/>
        </w:rPr>
        <w:t xml:space="preserve">this means that we included papers where the participants were either living within a high, medium or low secure inpatient forensic health service, or a forensic rehabilitation service, or they were living in the community, but receiving a service from a community-based forensic service.   Studies were excluded if they only evaluated the effects of a specific intervention or treatment programme (e.g. randomised control trial of a medication or psychological treatment group), rather than examining outcomes at a service-level. </w:t>
      </w:r>
    </w:p>
    <w:p w14:paraId="2D7E573E" w14:textId="77777777" w:rsidR="00042144" w:rsidRPr="00522CD2" w:rsidRDefault="00042144" w:rsidP="00042144">
      <w:pPr>
        <w:pStyle w:val="Default"/>
        <w:shd w:val="clear" w:color="auto" w:fill="FFFFFF" w:themeFill="background1"/>
        <w:spacing w:line="480" w:lineRule="auto"/>
        <w:ind w:firstLine="284"/>
        <w:rPr>
          <w:rFonts w:ascii="Times" w:hAnsi="Times"/>
          <w:sz w:val="24"/>
        </w:rPr>
      </w:pPr>
    </w:p>
    <w:p w14:paraId="62E5A4E9" w14:textId="1484EB10"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hAnsi="Times"/>
          <w:sz w:val="24"/>
          <w:szCs w:val="24"/>
        </w:rPr>
        <w:t>Sixty studies met the inclusion criteria. None of the included studies were randomised controlled trials or meta-analyses.  Twenty-eight studies were cohort outcome studies with follow-up from one to twenty years, and a further 32 were cross sectional studies which reported service-level outcome data at one point in time.  Several of these studies made use of the same or overlapping samples of participants</w:t>
      </w:r>
      <w:r w:rsidR="00DD2DE1" w:rsidRPr="00522CD2">
        <w:rPr>
          <w:rFonts w:ascii="Times" w:hAnsi="Times"/>
          <w:sz w:val="24"/>
          <w:szCs w:val="24"/>
        </w:rPr>
        <w:t xml:space="preserve">, </w:t>
      </w:r>
      <w:r w:rsidR="000323BB" w:rsidRPr="00522CD2">
        <w:rPr>
          <w:rFonts w:ascii="Times" w:hAnsi="Times"/>
          <w:sz w:val="24"/>
          <w:szCs w:val="24"/>
        </w:rPr>
        <w:t>but</w:t>
      </w:r>
      <w:r w:rsidR="00DD2DE1" w:rsidRPr="00522CD2">
        <w:rPr>
          <w:rFonts w:ascii="Times" w:hAnsi="Times"/>
          <w:sz w:val="24"/>
          <w:szCs w:val="24"/>
        </w:rPr>
        <w:t xml:space="preserve"> </w:t>
      </w:r>
      <w:r w:rsidR="00787C29" w:rsidRPr="00522CD2">
        <w:rPr>
          <w:rFonts w:ascii="Times" w:hAnsi="Times"/>
          <w:sz w:val="24"/>
          <w:szCs w:val="24"/>
        </w:rPr>
        <w:t xml:space="preserve">as </w:t>
      </w:r>
      <w:r w:rsidR="00DD2DE1" w:rsidRPr="00522CD2">
        <w:rPr>
          <w:rFonts w:ascii="Times" w:hAnsi="Times"/>
          <w:sz w:val="24"/>
          <w:szCs w:val="24"/>
        </w:rPr>
        <w:t xml:space="preserve">we did not make use of meta-analytic methods, </w:t>
      </w:r>
      <w:r w:rsidR="000323BB" w:rsidRPr="00522CD2">
        <w:rPr>
          <w:rFonts w:ascii="Times" w:hAnsi="Times"/>
          <w:sz w:val="24"/>
          <w:szCs w:val="24"/>
        </w:rPr>
        <w:t>this did not erroneously affect precision</w:t>
      </w:r>
      <w:r w:rsidRPr="00522CD2">
        <w:rPr>
          <w:rFonts w:ascii="Times" w:hAnsi="Times"/>
          <w:sz w:val="24"/>
          <w:szCs w:val="24"/>
        </w:rPr>
        <w:t xml:space="preserve">. The large majority of the studies included were from the United Kingdom, with only two studies originating elsewhere. Most studies made use of samples of men, as only </w:t>
      </w:r>
      <w:r w:rsidRPr="00522CD2">
        <w:rPr>
          <w:rFonts w:ascii="Times" w:hAnsi="Times"/>
          <w:sz w:val="24"/>
          <w:szCs w:val="24"/>
          <w:bdr w:val="none" w:sz="0" w:space="0" w:color="auto"/>
        </w:rPr>
        <w:t xml:space="preserve">two </w:t>
      </w:r>
      <w:r w:rsidRPr="00522CD2">
        <w:rPr>
          <w:rFonts w:ascii="Times" w:hAnsi="Times"/>
          <w:sz w:val="24"/>
          <w:szCs w:val="24"/>
        </w:rPr>
        <w:t xml:space="preserve">studies included women. </w:t>
      </w:r>
      <w:r w:rsidRPr="00522CD2">
        <w:rPr>
          <w:rFonts w:ascii="Times" w:hAnsi="Times"/>
          <w:bCs/>
          <w:sz w:val="24"/>
        </w:rPr>
        <w:t>Figure 1 depicts a flowchart</w:t>
      </w:r>
      <w:r w:rsidRPr="00522CD2">
        <w:rPr>
          <w:rFonts w:ascii="Times New Roman" w:hAnsi="Times New Roman" w:cs="Times New Roman"/>
          <w:sz w:val="24"/>
          <w:szCs w:val="24"/>
          <w:lang w:val="en-US"/>
        </w:rPr>
        <w:t xml:space="preserve"> outlining the study selection process and the number of studies identified at each stage.  </w:t>
      </w:r>
      <w:r w:rsidRPr="00522CD2">
        <w:rPr>
          <w:rFonts w:ascii="Times" w:eastAsia="Times New Roman" w:hAnsi="Times" w:cs="Times New Roman"/>
          <w:sz w:val="24"/>
          <w:szCs w:val="24"/>
        </w:rPr>
        <w:t xml:space="preserve"> </w:t>
      </w:r>
    </w:p>
    <w:p w14:paraId="1EF4721D"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22CA727E" w14:textId="77777777" w:rsidR="00042144" w:rsidRPr="00522CD2" w:rsidRDefault="00042144" w:rsidP="00042144">
      <w:pPr>
        <w:pStyle w:val="Default"/>
        <w:shd w:val="clear" w:color="auto" w:fill="FFFFFF" w:themeFill="background1"/>
        <w:spacing w:line="480" w:lineRule="auto"/>
        <w:jc w:val="center"/>
        <w:rPr>
          <w:rFonts w:ascii="Times" w:eastAsia="Arial" w:hAnsi="Times" w:cs="Arial"/>
          <w:sz w:val="24"/>
        </w:rPr>
      </w:pPr>
      <w:r w:rsidRPr="00522CD2">
        <w:rPr>
          <w:rFonts w:ascii="Times" w:eastAsia="Times New Roman" w:hAnsi="Times" w:cs="Times New Roman"/>
          <w:sz w:val="24"/>
          <w:szCs w:val="24"/>
        </w:rPr>
        <w:t>INSERT FIGURE 1 ABOUT HERE</w:t>
      </w:r>
    </w:p>
    <w:p w14:paraId="4B9708D7" w14:textId="77777777" w:rsidR="00042144" w:rsidRPr="00522CD2" w:rsidRDefault="00042144" w:rsidP="00042144">
      <w:pPr>
        <w:pStyle w:val="Default"/>
        <w:shd w:val="clear" w:color="auto" w:fill="FFFFFF" w:themeFill="background1"/>
        <w:spacing w:line="480" w:lineRule="auto"/>
        <w:rPr>
          <w:rFonts w:ascii="Times" w:eastAsia="Arial" w:hAnsi="Times" w:cs="Arial"/>
          <w:sz w:val="24"/>
        </w:rPr>
      </w:pPr>
    </w:p>
    <w:p w14:paraId="7C3AFB5D" w14:textId="63FC0172" w:rsidR="00042144" w:rsidRPr="00522CD2" w:rsidRDefault="00042144" w:rsidP="00042144">
      <w:pPr>
        <w:pStyle w:val="Default"/>
        <w:shd w:val="clear" w:color="auto" w:fill="FFFFFF" w:themeFill="background1"/>
        <w:spacing w:line="480" w:lineRule="auto"/>
        <w:ind w:firstLine="284"/>
        <w:rPr>
          <w:rFonts w:ascii="Times" w:hAnsi="Times"/>
          <w:sz w:val="24"/>
          <w:lang w:val="en-US"/>
        </w:rPr>
      </w:pPr>
      <w:r w:rsidRPr="00522CD2">
        <w:rPr>
          <w:rFonts w:ascii="Times" w:hAnsi="Times"/>
          <w:b/>
          <w:bCs/>
          <w:iCs/>
          <w:sz w:val="24"/>
          <w:lang w:val="en-US"/>
        </w:rPr>
        <w:t>Data Extraction and Analysis</w:t>
      </w:r>
      <w:r w:rsidRPr="00522CD2">
        <w:rPr>
          <w:rFonts w:ascii="Times" w:hAnsi="Times"/>
          <w:bCs/>
          <w:iCs/>
          <w:sz w:val="24"/>
          <w:lang w:val="en-US"/>
        </w:rPr>
        <w:t xml:space="preserve">. </w:t>
      </w:r>
      <w:r w:rsidRPr="00522CD2">
        <w:rPr>
          <w:rFonts w:ascii="Times" w:hAnsi="Times"/>
          <w:iCs/>
          <w:sz w:val="24"/>
        </w:rPr>
        <w:t xml:space="preserve"> U</w:t>
      </w:r>
      <w:r w:rsidR="0015181D" w:rsidRPr="00522CD2">
        <w:rPr>
          <w:rFonts w:ascii="Times" w:hAnsi="Times"/>
          <w:iCs/>
          <w:sz w:val="24"/>
        </w:rPr>
        <w:t>sing a structured form, data were</w:t>
      </w:r>
      <w:r w:rsidRPr="00522CD2">
        <w:rPr>
          <w:rFonts w:ascii="Times" w:hAnsi="Times"/>
          <w:iCs/>
          <w:sz w:val="24"/>
        </w:rPr>
        <w:t xml:space="preserve"> extracted from the included articles</w:t>
      </w:r>
      <w:r w:rsidRPr="00522CD2">
        <w:rPr>
          <w:rFonts w:ascii="Times New Roman" w:hAnsi="Times New Roman" w:cs="Times New Roman"/>
          <w:sz w:val="24"/>
          <w:szCs w:val="24"/>
          <w:lang w:val="en-US"/>
        </w:rPr>
        <w:t>.  Specifically, d</w:t>
      </w:r>
      <w:r w:rsidRPr="00522CD2">
        <w:rPr>
          <w:rFonts w:ascii="Times" w:hAnsi="Times"/>
          <w:sz w:val="24"/>
          <w:lang w:val="en-US"/>
        </w:rPr>
        <w:t xml:space="preserve">etails regarding the sample, design, service type, methods, outcome domains and specific measures were obtained and coded. Content analysis was used to synthesise the outcome domains with reference to the three areas of quality as defined by the Department of Health (2010) </w:t>
      </w:r>
      <w:r w:rsidRPr="00522CD2">
        <w:rPr>
          <w:rFonts w:ascii="Times" w:hAnsi="Times"/>
          <w:sz w:val="24"/>
          <w:lang w:val="en-US"/>
        </w:rPr>
        <w:fldChar w:fldCharType="begin" w:fldLock="1"/>
      </w:r>
      <w:r w:rsidRPr="00522CD2">
        <w:rPr>
          <w:rFonts w:ascii="Times" w:hAnsi="Times"/>
          <w:sz w:val="24"/>
          <w:lang w:val="en-US"/>
        </w:rPr>
        <w:instrText>ADDIN CSL_CITATION { "citationItems" : [ { "id" : "ITEM-1", "itemData" : { "author" : [ { "dropping-particle" : "", "family" : "Department of Health", "given" : "", "non-dropping-particle" : "", "parse-names" : false, "suffix" : "" } ], "id" : "ITEM-1", "issued" : { "date-parts" : [ [ "2010" ] ] }, "publisher-place" : "London", "title" : "Transparency in outcomes: a framework for the NHS.", "type" : "report" }, "uris" : [ "http://www.mendeley.com/documents/?uuid=49317f3e-ad6e-4233-85b0-e6e35b239c1b" ] } ], "mendeley" : { "formattedCitation" : "(12)", "plainTextFormattedCitation" : "(12)", "previouslyFormattedCitation" : "(12)" }, "properties" : { "noteIndex" : 0 }, "schema" : "https://github.com/citation-style-language/schema/raw/master/csl-citation.json" }</w:instrText>
      </w:r>
      <w:r w:rsidRPr="00522CD2">
        <w:rPr>
          <w:rFonts w:ascii="Times" w:hAnsi="Times"/>
          <w:sz w:val="24"/>
          <w:lang w:val="en-US"/>
        </w:rPr>
        <w:fldChar w:fldCharType="separate"/>
      </w:r>
      <w:r w:rsidRPr="00522CD2">
        <w:rPr>
          <w:rFonts w:ascii="Times" w:hAnsi="Times"/>
          <w:noProof/>
          <w:sz w:val="24"/>
          <w:lang w:val="en-US"/>
        </w:rPr>
        <w:t>(12)</w:t>
      </w:r>
      <w:r w:rsidRPr="00522CD2">
        <w:rPr>
          <w:rFonts w:ascii="Times" w:hAnsi="Times"/>
          <w:sz w:val="24"/>
          <w:lang w:val="en-US"/>
        </w:rPr>
        <w:fldChar w:fldCharType="end"/>
      </w:r>
      <w:r w:rsidRPr="00522CD2">
        <w:rPr>
          <w:rFonts w:ascii="Times" w:hAnsi="Times"/>
          <w:sz w:val="24"/>
          <w:lang w:val="en-US"/>
        </w:rPr>
        <w:t xml:space="preserve">, namely: (a) effectiveness, (b) patient safety, and (c) patient experience. These three areas were used as an </w:t>
      </w:r>
      <w:r w:rsidRPr="00522CD2">
        <w:rPr>
          <w:rFonts w:ascii="Times" w:hAnsi="Times"/>
          <w:i/>
          <w:sz w:val="24"/>
          <w:lang w:val="en-US"/>
        </w:rPr>
        <w:t>a priori</w:t>
      </w:r>
      <w:r w:rsidRPr="00522CD2">
        <w:rPr>
          <w:rFonts w:ascii="Times" w:hAnsi="Times"/>
          <w:sz w:val="24"/>
          <w:lang w:val="en-US"/>
        </w:rPr>
        <w:t xml:space="preserve"> superordinate framework.  A process of refining and grouping similar outcome sub-domains together was then undertaken by two researchers. This led to the construction of a ‘framework’ to describe the outcome domains extracted from the eligible studies.  This process is best described as both directed and summative content analysis because the process started with an </w:t>
      </w:r>
      <w:r w:rsidRPr="00522CD2">
        <w:rPr>
          <w:rFonts w:ascii="Times" w:hAnsi="Times"/>
          <w:i/>
          <w:sz w:val="24"/>
          <w:lang w:val="en-US"/>
        </w:rPr>
        <w:t>a priori</w:t>
      </w:r>
      <w:r w:rsidRPr="00522CD2">
        <w:rPr>
          <w:rFonts w:ascii="Times" w:hAnsi="Times"/>
          <w:sz w:val="24"/>
          <w:lang w:val="en-US"/>
        </w:rPr>
        <w:t xml:space="preserve"> theoretical stance pertaining to service quality, followed by both counting and coding the extracted data, which was then interpreted within the context of our </w:t>
      </w:r>
      <w:r w:rsidR="0093605F" w:rsidRPr="00522CD2">
        <w:rPr>
          <w:rFonts w:ascii="Times" w:hAnsi="Times"/>
          <w:i/>
          <w:sz w:val="24"/>
          <w:lang w:val="en-US"/>
        </w:rPr>
        <w:t>a priori</w:t>
      </w:r>
      <w:r w:rsidR="0093605F" w:rsidRPr="00522CD2">
        <w:rPr>
          <w:rFonts w:ascii="Times" w:hAnsi="Times"/>
          <w:sz w:val="24"/>
          <w:lang w:val="en-US"/>
        </w:rPr>
        <w:t xml:space="preserve"> theoretical stance</w:t>
      </w:r>
      <w:r w:rsidRPr="00522CD2">
        <w:rPr>
          <w:rFonts w:ascii="Times" w:hAnsi="Times"/>
          <w:sz w:val="24"/>
          <w:lang w:val="en-US"/>
        </w:rPr>
        <w:t xml:space="preserve"> </w:t>
      </w:r>
      <w:r w:rsidRPr="00522CD2">
        <w:rPr>
          <w:rFonts w:ascii="Times" w:hAnsi="Times"/>
          <w:sz w:val="24"/>
          <w:lang w:val="en-US"/>
        </w:rPr>
        <w:fldChar w:fldCharType="begin" w:fldLock="1"/>
      </w:r>
      <w:r w:rsidRPr="00522CD2">
        <w:rPr>
          <w:rFonts w:ascii="Times" w:hAnsi="Times"/>
          <w:sz w:val="24"/>
          <w:lang w:val="en-US"/>
        </w:rPr>
        <w:instrText>ADDIN CSL_CITATION { "citationItems" : [ { "id" : "ITEM-1", "itemData" : { "DOI" : "10.1177/1049732305276687", "ISSN" : "1049-7323", "PMID" : "16204405", "abstract" : "Content analysis is a widely used qualitative research technique. Rather than being a single method, current applications of content analysis show three distinct approaches: conventional, directed, or summative. All three approaches are used to interpret meaning from the content of text data and, hence, adhere to the naturalistic paradigm. The major differences among the approaches are coding schemes, origins of codes, and threats to trustworthiness. In conventional content analysis, coding categories are derived directly from the text data. With a directed approach, analysis starts with a theory or relevant research findings as guidance for initial codes. A summative content analysis involves counting and comparisons, usually of keywords or content, followed by the interpretation of the underlying context. The authors delineate analytic procedures specific to each approach and techniques addressing trustworthiness with hypothetical examples drawn from the area of end-of-life care.", "author" : [ { "dropping-particle" : "", "family" : "Hsieh", "given" : "Hsiu-Fang", "non-dropping-particle" : "", "parse-names" : false, "suffix" : "" }, { "dropping-particle" : "", "family" : "Shannon", "given" : "Sarah E", "non-dropping-particle" : "", "parse-names" : false, "suffix" : "" } ], "container-title" : "Qualitative health research", "id" : "ITEM-1", "issue" : "9", "issued" : { "date-parts" : [ [ "2005", "11" ] ] }, "page" : "1277-88", "title" : "Three approaches to qualitative content analysis.", "type" : "article-journal", "volume" : "15" }, "uris" : [ "http://www.mendeley.com/documents/?uuid=4813450c-84ff-3d84-ba71-cc90ccbf1ad0" ] } ], "mendeley" : { "formattedCitation" : "(15)", "plainTextFormattedCitation" : "(15)", "previouslyFormattedCitation" : "(15)" }, "properties" : { "noteIndex" : 0 }, "schema" : "https://github.com/citation-style-language/schema/raw/master/csl-citation.json" }</w:instrText>
      </w:r>
      <w:r w:rsidRPr="00522CD2">
        <w:rPr>
          <w:rFonts w:ascii="Times" w:hAnsi="Times"/>
          <w:sz w:val="24"/>
          <w:lang w:val="en-US"/>
        </w:rPr>
        <w:fldChar w:fldCharType="separate"/>
      </w:r>
      <w:r w:rsidRPr="00522CD2">
        <w:rPr>
          <w:rFonts w:ascii="Times" w:hAnsi="Times"/>
          <w:noProof/>
          <w:sz w:val="24"/>
          <w:lang w:val="en-US"/>
        </w:rPr>
        <w:t>(15)</w:t>
      </w:r>
      <w:r w:rsidRPr="00522CD2">
        <w:rPr>
          <w:rFonts w:ascii="Times" w:hAnsi="Times"/>
          <w:sz w:val="24"/>
          <w:lang w:val="en-US"/>
        </w:rPr>
        <w:fldChar w:fldCharType="end"/>
      </w:r>
      <w:r w:rsidRPr="00522CD2">
        <w:rPr>
          <w:rFonts w:ascii="Times" w:hAnsi="Times"/>
          <w:sz w:val="24"/>
          <w:lang w:val="en-US"/>
        </w:rPr>
        <w:t xml:space="preserve">.  This methodology was advantageous because it allowed us to identify key concepts, consider their context and underlying meaning within and across studies, develop coding variables, which were then refined into sub-domains. </w:t>
      </w:r>
    </w:p>
    <w:p w14:paraId="7DCA2820" w14:textId="77777777" w:rsidR="00042144" w:rsidRPr="00522CD2" w:rsidRDefault="00042144" w:rsidP="00042144">
      <w:pPr>
        <w:pStyle w:val="Default"/>
        <w:shd w:val="clear" w:color="auto" w:fill="FFFFFF" w:themeFill="background1"/>
        <w:spacing w:line="480" w:lineRule="auto"/>
        <w:rPr>
          <w:rFonts w:ascii="Times" w:eastAsia="Times New Roman" w:hAnsi="Times" w:cs="Times New Roman"/>
          <w:bCs/>
          <w:sz w:val="24"/>
          <w:szCs w:val="24"/>
        </w:rPr>
      </w:pPr>
    </w:p>
    <w:p w14:paraId="4F7251E1" w14:textId="77777777" w:rsidR="00042144" w:rsidRPr="00522CD2" w:rsidRDefault="00042144" w:rsidP="00042144">
      <w:pPr>
        <w:pStyle w:val="Default"/>
        <w:shd w:val="clear" w:color="auto" w:fill="FFFFFF" w:themeFill="background1"/>
        <w:spacing w:line="480" w:lineRule="auto"/>
        <w:rPr>
          <w:rFonts w:ascii="Times" w:hAnsi="Times"/>
          <w:b/>
          <w:bCs/>
          <w:sz w:val="24"/>
          <w:szCs w:val="24"/>
        </w:rPr>
      </w:pPr>
      <w:r w:rsidRPr="00522CD2">
        <w:rPr>
          <w:rFonts w:ascii="Times" w:hAnsi="Times"/>
          <w:b/>
          <w:bCs/>
          <w:sz w:val="24"/>
          <w:szCs w:val="24"/>
        </w:rPr>
        <w:t>Consultation Exercise</w:t>
      </w:r>
    </w:p>
    <w:p w14:paraId="6FBC011F" w14:textId="2B6D1E6E" w:rsidR="00042144" w:rsidRPr="00522CD2" w:rsidRDefault="00042144" w:rsidP="00042144">
      <w:pPr>
        <w:pStyle w:val="Default"/>
        <w:shd w:val="clear" w:color="auto" w:fill="FFFFFF" w:themeFill="background1"/>
        <w:spacing w:line="480" w:lineRule="auto"/>
        <w:ind w:firstLine="284"/>
        <w:rPr>
          <w:rFonts w:ascii="Times" w:hAnsi="Times"/>
          <w:bCs/>
          <w:sz w:val="24"/>
          <w:szCs w:val="24"/>
        </w:rPr>
      </w:pPr>
      <w:r w:rsidRPr="00522CD2">
        <w:rPr>
          <w:rFonts w:ascii="Times" w:hAnsi="Times"/>
          <w:b/>
          <w:bCs/>
          <w:sz w:val="24"/>
          <w:szCs w:val="24"/>
        </w:rPr>
        <w:t>Consultation groups</w:t>
      </w:r>
      <w:r w:rsidRPr="00522CD2">
        <w:rPr>
          <w:rFonts w:ascii="Times" w:hAnsi="Times"/>
          <w:bCs/>
          <w:sz w:val="24"/>
          <w:szCs w:val="24"/>
        </w:rPr>
        <w:t xml:space="preserve">. Following the completion of our systematic review, and the development of our initial outcome framework, we undertook three consultation groups with service users, and one consultation group with carers to further consider and refine our outcome framework.  Two of our service user groups took place within a high security hospital in England, while the remaining group took place within both a low and medium-secure hospital, also in England.  Participants were approached by the researchers and the purpose of the group was explained using information sheets.  Participants who agreed to take part provided informed consent. </w:t>
      </w:r>
      <w:r w:rsidR="003727CE" w:rsidRPr="00522CD2">
        <w:rPr>
          <w:rFonts w:ascii="Times" w:hAnsi="Times"/>
          <w:bCs/>
          <w:sz w:val="24"/>
          <w:szCs w:val="24"/>
        </w:rPr>
        <w:t xml:space="preserve"> However, we were advised by our associated Research Governance office, within our National Health Service (NHS) Trust, that NHS Research Ethics opinion was not required for this project.  </w:t>
      </w:r>
      <w:r w:rsidRPr="00522CD2">
        <w:rPr>
          <w:rFonts w:ascii="Times" w:hAnsi="Times"/>
          <w:bCs/>
          <w:sz w:val="24"/>
          <w:szCs w:val="24"/>
        </w:rPr>
        <w:t xml:space="preserve">Our groups included three women, one transgendered person, and 11 men.  For our consultation group involving carers, we recruited four participants from an existing carer group within a secure hospital, while two participants were recruited who were not part of this group.  The carer participants had family members detained within three different secure hospitals.  </w:t>
      </w:r>
    </w:p>
    <w:p w14:paraId="1A84010B" w14:textId="77777777" w:rsidR="00042144" w:rsidRPr="00522CD2" w:rsidRDefault="00042144" w:rsidP="00042144">
      <w:pPr>
        <w:pStyle w:val="Default"/>
        <w:shd w:val="clear" w:color="auto" w:fill="FFFFFF" w:themeFill="background1"/>
        <w:spacing w:line="480" w:lineRule="auto"/>
        <w:ind w:firstLine="284"/>
        <w:rPr>
          <w:rFonts w:ascii="Times" w:hAnsi="Times"/>
          <w:bCs/>
          <w:sz w:val="24"/>
          <w:szCs w:val="24"/>
        </w:rPr>
      </w:pPr>
    </w:p>
    <w:p w14:paraId="5528C35C" w14:textId="3F608E96" w:rsidR="00042144" w:rsidRPr="00522CD2" w:rsidRDefault="00042144" w:rsidP="00042144">
      <w:pPr>
        <w:pStyle w:val="Default"/>
        <w:shd w:val="clear" w:color="auto" w:fill="FFFFFF" w:themeFill="background1"/>
        <w:spacing w:line="480" w:lineRule="auto"/>
        <w:ind w:firstLine="284"/>
        <w:rPr>
          <w:rFonts w:ascii="Times" w:hAnsi="Times"/>
          <w:bCs/>
          <w:sz w:val="24"/>
          <w:szCs w:val="24"/>
        </w:rPr>
      </w:pPr>
      <w:r w:rsidRPr="00522CD2">
        <w:rPr>
          <w:rFonts w:ascii="Times" w:hAnsi="Times"/>
          <w:b/>
          <w:bCs/>
          <w:i/>
          <w:sz w:val="24"/>
          <w:szCs w:val="24"/>
        </w:rPr>
        <w:t>Analysis</w:t>
      </w:r>
      <w:r w:rsidRPr="00522CD2">
        <w:rPr>
          <w:rFonts w:ascii="Times" w:hAnsi="Times"/>
          <w:bCs/>
          <w:sz w:val="24"/>
          <w:szCs w:val="24"/>
        </w:rPr>
        <w:t xml:space="preserve">. A semi-structured topic guide was used which was structured around </w:t>
      </w:r>
      <w:r w:rsidR="0093605F" w:rsidRPr="00522CD2">
        <w:rPr>
          <w:rFonts w:ascii="Times" w:hAnsi="Times"/>
          <w:bCs/>
          <w:sz w:val="24"/>
          <w:szCs w:val="24"/>
        </w:rPr>
        <w:t xml:space="preserve">our initial outcome framework as a method to structure the conversations within our groups.  </w:t>
      </w:r>
      <w:r w:rsidRPr="00522CD2">
        <w:rPr>
          <w:rFonts w:ascii="Times" w:hAnsi="Times"/>
          <w:bCs/>
          <w:sz w:val="24"/>
          <w:szCs w:val="24"/>
        </w:rPr>
        <w:t xml:space="preserve">Participants were encouraged to consider and discuss our initial framework, make modifications and choose outcomes they considered most important.  The discussions were recorded and fully transcribed.  The transcriptions were analysed using both directed and summative content analysis </w:t>
      </w:r>
      <w:r w:rsidRPr="00522CD2">
        <w:rPr>
          <w:rFonts w:ascii="Times" w:hAnsi="Times"/>
          <w:bCs/>
          <w:sz w:val="24"/>
          <w:szCs w:val="24"/>
        </w:rPr>
        <w:fldChar w:fldCharType="begin" w:fldLock="1"/>
      </w:r>
      <w:r w:rsidRPr="00522CD2">
        <w:rPr>
          <w:rFonts w:ascii="Times" w:hAnsi="Times"/>
          <w:bCs/>
          <w:sz w:val="24"/>
          <w:szCs w:val="24"/>
        </w:rPr>
        <w:instrText>ADDIN CSL_CITATION { "citationItems" : [ { "id" : "ITEM-1", "itemData" : { "DOI" : "10.1177/1049732305276687", "ISSN" : "1049-7323", "PMID" : "16204405", "abstract" : "Content analysis is a widely used qualitative research technique. Rather than being a single method, current applications of content analysis show three distinct approaches: conventional, directed, or summative. All three approaches are used to interpret meaning from the content of text data and, hence, adhere to the naturalistic paradigm. The major differences among the approaches are coding schemes, origins of codes, and threats to trustworthiness. In conventional content analysis, coding categories are derived directly from the text data. With a directed approach, analysis starts with a theory or relevant research findings as guidance for initial codes. A summative content analysis involves counting and comparisons, usually of keywords or content, followed by the interpretation of the underlying context. The authors delineate analytic procedures specific to each approach and techniques addressing trustworthiness with hypothetical examples drawn from the area of end-of-life care.", "author" : [ { "dropping-particle" : "", "family" : "Hsieh", "given" : "Hsiu-Fang", "non-dropping-particle" : "", "parse-names" : false, "suffix" : "" }, { "dropping-particle" : "", "family" : "Shannon", "given" : "Sarah E", "non-dropping-particle" : "", "parse-names" : false, "suffix" : "" } ], "container-title" : "Qualitative health research", "id" : "ITEM-1", "issue" : "9", "issued" : { "date-parts" : [ [ "2005", "11" ] ] }, "page" : "1277-88", "title" : "Three approaches to qualitative content analysis.", "type" : "article-journal", "volume" : "15" }, "uris" : [ "http://www.mendeley.com/documents/?uuid=4813450c-84ff-3d84-ba71-cc90ccbf1ad0" ] } ], "mendeley" : { "formattedCitation" : "(15)", "plainTextFormattedCitation" : "(15)", "previouslyFormattedCitation" : "(15)" }, "properties" : { "noteIndex" : 0 }, "schema" : "https://github.com/citation-style-language/schema/raw/master/csl-citation.json" }</w:instrText>
      </w:r>
      <w:r w:rsidRPr="00522CD2">
        <w:rPr>
          <w:rFonts w:ascii="Times" w:hAnsi="Times"/>
          <w:bCs/>
          <w:sz w:val="24"/>
          <w:szCs w:val="24"/>
        </w:rPr>
        <w:fldChar w:fldCharType="separate"/>
      </w:r>
      <w:r w:rsidRPr="00522CD2">
        <w:rPr>
          <w:rFonts w:ascii="Times" w:hAnsi="Times"/>
          <w:bCs/>
          <w:noProof/>
          <w:sz w:val="24"/>
          <w:szCs w:val="24"/>
        </w:rPr>
        <w:t>(15)</w:t>
      </w:r>
      <w:r w:rsidRPr="00522CD2">
        <w:rPr>
          <w:rFonts w:ascii="Times" w:hAnsi="Times"/>
          <w:bCs/>
          <w:sz w:val="24"/>
          <w:szCs w:val="24"/>
        </w:rPr>
        <w:fldChar w:fldCharType="end"/>
      </w:r>
      <w:r w:rsidRPr="00522CD2">
        <w:rPr>
          <w:rFonts w:ascii="Times" w:hAnsi="Times"/>
          <w:bCs/>
          <w:sz w:val="24"/>
          <w:szCs w:val="24"/>
        </w:rPr>
        <w:t xml:space="preserve">.  As with our systematic review, this methodology allowed us to identify key concepts, context and meaning within transcripts, which were interpreted within our </w:t>
      </w:r>
      <w:r w:rsidR="00C00F68" w:rsidRPr="00522CD2">
        <w:rPr>
          <w:rFonts w:ascii="Times" w:hAnsi="Times"/>
          <w:bCs/>
          <w:sz w:val="24"/>
          <w:szCs w:val="24"/>
        </w:rPr>
        <w:t>proposed framwork</w:t>
      </w:r>
      <w:r w:rsidRPr="00522CD2">
        <w:rPr>
          <w:rFonts w:ascii="Times" w:hAnsi="Times"/>
          <w:bCs/>
          <w:sz w:val="24"/>
          <w:szCs w:val="24"/>
        </w:rPr>
        <w:t xml:space="preserve">.   Any changes, or newly identified outcome sub-domains were incorporated within our superordinate framework. </w:t>
      </w:r>
    </w:p>
    <w:p w14:paraId="17DB7B63" w14:textId="77777777" w:rsidR="00042144" w:rsidRPr="00522CD2" w:rsidRDefault="00042144" w:rsidP="00042144">
      <w:pPr>
        <w:pStyle w:val="Default"/>
        <w:shd w:val="clear" w:color="auto" w:fill="FFFFFF" w:themeFill="background1"/>
        <w:spacing w:line="480" w:lineRule="auto"/>
        <w:ind w:firstLine="284"/>
        <w:rPr>
          <w:rFonts w:ascii="Times" w:hAnsi="Times"/>
          <w:bCs/>
          <w:sz w:val="24"/>
          <w:szCs w:val="24"/>
        </w:rPr>
      </w:pPr>
    </w:p>
    <w:p w14:paraId="5A194C12" w14:textId="586C5725" w:rsidR="00042144" w:rsidRPr="00522CD2" w:rsidRDefault="00042144" w:rsidP="00042144">
      <w:pPr>
        <w:pStyle w:val="Default"/>
        <w:shd w:val="clear" w:color="auto" w:fill="FFFFFF" w:themeFill="background1"/>
        <w:spacing w:line="480" w:lineRule="auto"/>
        <w:ind w:firstLine="284"/>
        <w:rPr>
          <w:rFonts w:ascii="Times" w:hAnsi="Times"/>
          <w:bCs/>
          <w:sz w:val="24"/>
          <w:szCs w:val="24"/>
        </w:rPr>
      </w:pPr>
      <w:r w:rsidRPr="00522CD2">
        <w:rPr>
          <w:rFonts w:ascii="Times" w:hAnsi="Times"/>
          <w:b/>
          <w:bCs/>
          <w:sz w:val="24"/>
          <w:szCs w:val="24"/>
        </w:rPr>
        <w:t xml:space="preserve">Delphi Exercise. </w:t>
      </w:r>
      <w:r w:rsidRPr="00522CD2">
        <w:rPr>
          <w:rFonts w:ascii="Times" w:hAnsi="Times"/>
          <w:bCs/>
          <w:sz w:val="24"/>
          <w:szCs w:val="24"/>
        </w:rPr>
        <w:t xml:space="preserve">The Delphi method </w:t>
      </w:r>
      <w:r w:rsidRPr="00522CD2">
        <w:rPr>
          <w:rFonts w:ascii="Times" w:hAnsi="Times"/>
          <w:bCs/>
          <w:sz w:val="24"/>
          <w:szCs w:val="24"/>
        </w:rPr>
        <w:fldChar w:fldCharType="begin" w:fldLock="1"/>
      </w:r>
      <w:r w:rsidRPr="00522CD2">
        <w:rPr>
          <w:rFonts w:ascii="Times" w:hAnsi="Times"/>
          <w:bCs/>
          <w:sz w:val="24"/>
          <w:szCs w:val="24"/>
        </w:rPr>
        <w:instrText>ADDIN CSL_CITATION { "citationItems" : [ { "id" : "ITEM-1", "itemData" : { "ISBN" : "0201042932", "abstract" : "Includes index.", "author" : [ { "dropping-particle" : "", "family" : "Linstone", "given" : "Harold A.", "non-dropping-particle" : "", "parse-names" : false, "suffix" : "" }, { "dropping-particle" : "", "family" : "Turoff", "given" : "Murray.", "non-dropping-particle" : "", "parse-names" : false, "suffix" : "" } ], "id" : "ITEM-1", "issued" : { "date-parts" : [ [ "1975" ] ] }, "number-of-pages" : "620", "publisher" : "Addison-Wesley Pub. Co., Advanced Book Program", "title" : "The Delphi method : techniques and applications", "type" : "book" }, "uris" : [ "http://www.mendeley.com/documents/?uuid=b77cd3e2-741a-38fa-be29-3b08a3317cf3" ] } ], "mendeley" : { "formattedCitation" : "(16)", "plainTextFormattedCitation" : "(16)", "previouslyFormattedCitation" : "(16)" }, "properties" : { "noteIndex" : 0 }, "schema" : "https://github.com/citation-style-language/schema/raw/master/csl-citation.json" }</w:instrText>
      </w:r>
      <w:r w:rsidRPr="00522CD2">
        <w:rPr>
          <w:rFonts w:ascii="Times" w:hAnsi="Times"/>
          <w:bCs/>
          <w:sz w:val="24"/>
          <w:szCs w:val="24"/>
        </w:rPr>
        <w:fldChar w:fldCharType="separate"/>
      </w:r>
      <w:r w:rsidRPr="00522CD2">
        <w:rPr>
          <w:rFonts w:ascii="Times" w:hAnsi="Times"/>
          <w:bCs/>
          <w:noProof/>
          <w:sz w:val="24"/>
          <w:szCs w:val="24"/>
        </w:rPr>
        <w:t>(16)</w:t>
      </w:r>
      <w:r w:rsidRPr="00522CD2">
        <w:rPr>
          <w:rFonts w:ascii="Times" w:hAnsi="Times"/>
          <w:bCs/>
          <w:sz w:val="24"/>
          <w:szCs w:val="24"/>
        </w:rPr>
        <w:fldChar w:fldCharType="end"/>
      </w:r>
      <w:r w:rsidRPr="00522CD2">
        <w:rPr>
          <w:rFonts w:ascii="Times" w:hAnsi="Times"/>
          <w:bCs/>
          <w:sz w:val="24"/>
          <w:szCs w:val="24"/>
        </w:rPr>
        <w:t xml:space="preserve"> </w:t>
      </w:r>
      <w:r w:rsidRPr="00522CD2">
        <w:rPr>
          <w:rFonts w:ascii="Times" w:hAnsi="Times"/>
          <w:bCs/>
          <w:sz w:val="24"/>
          <w:szCs w:val="24"/>
        </w:rPr>
        <w:fldChar w:fldCharType="begin" w:fldLock="1"/>
      </w:r>
      <w:r w:rsidRPr="00522CD2">
        <w:rPr>
          <w:rFonts w:ascii="Times" w:hAnsi="Times"/>
          <w:bCs/>
          <w:sz w:val="24"/>
          <w:szCs w:val="24"/>
        </w:rPr>
        <w:instrText>ADDIN CSL_CITATION { "citationItems" : [ { "id" : "ITEM-1", "itemData" : { "ISSN" : "1366-5278", "PMID" : "9561895", "author" : [ { "dropping-particle" : "", "family" : "Murphy", "given" : "M K", "non-dropping-particle" : "", "parse-names" : false, "suffix" : "" }, { "dropping-particle" : "", "family" : "Black", "given" : "N A", "non-dropping-particle" : "", "parse-names" : false, "suffix" : "" }, { "dropping-particle" : "", "family" : "Lamping", "given" : "D L", "non-dropping-particle" : "", "parse-names" : false, "suffix" : "" }, { "dropping-particle" : "", "family" : "McKee", "given" : "C M", "non-dropping-particle" : "", "parse-names" : false, "suffix" : "" }, { "dropping-particle" : "", "family" : "Sanderson", "given" : "C F", "non-dropping-particle" : "", "parse-names" : false, "suffix" : "" }, { "dropping-particle" : "", "family" : "Askham", "given" : "J", "non-dropping-particle" : "", "parse-names" : false, "suffix" : "" }, { "dropping-particle" : "", "family" : "Marteau", "given" : "T", "non-dropping-particle" : "", "parse-names" : false, "suffix" : "" } ], "container-title" : "Health technology assessment (Winchester, England)", "id" : "ITEM-1", "issue" : "3", "issued" : { "date-parts" : [ [ "1998" ] ] }, "page" : "i-iv, 1-88", "title" : "Consensus development methods, and their use in clinical guideline development.", "type" : "article-journal", "volume" : "2" }, "uris" : [ "http://www.mendeley.com/documents/?uuid=b5f0df60-62cd-3e9b-abf8-1600825d81ff" ] } ], "mendeley" : { "formattedCitation" : "(17)", "plainTextFormattedCitation" : "(17)", "previouslyFormattedCitation" : "(17)" }, "properties" : { "noteIndex" : 0 }, "schema" : "https://github.com/citation-style-language/schema/raw/master/csl-citation.json" }</w:instrText>
      </w:r>
      <w:r w:rsidRPr="00522CD2">
        <w:rPr>
          <w:rFonts w:ascii="Times" w:hAnsi="Times"/>
          <w:bCs/>
          <w:sz w:val="24"/>
          <w:szCs w:val="24"/>
        </w:rPr>
        <w:fldChar w:fldCharType="separate"/>
      </w:r>
      <w:r w:rsidRPr="00522CD2">
        <w:rPr>
          <w:rFonts w:ascii="Times" w:hAnsi="Times"/>
          <w:bCs/>
          <w:noProof/>
          <w:sz w:val="24"/>
          <w:szCs w:val="24"/>
        </w:rPr>
        <w:t>(17)</w:t>
      </w:r>
      <w:r w:rsidRPr="00522CD2">
        <w:rPr>
          <w:rFonts w:ascii="Times" w:hAnsi="Times"/>
          <w:bCs/>
          <w:sz w:val="24"/>
          <w:szCs w:val="24"/>
        </w:rPr>
        <w:fldChar w:fldCharType="end"/>
      </w:r>
      <w:r w:rsidRPr="00522CD2">
        <w:rPr>
          <w:rFonts w:ascii="Times" w:hAnsi="Times"/>
          <w:bCs/>
          <w:sz w:val="24"/>
          <w:szCs w:val="24"/>
        </w:rPr>
        <w:t xml:space="preserve"> is an iterative and multi-staged structured process which can be used develop group-consensus.  We made use of a two-round online Delphi exercise with expert clinicians, researchers, and commissioners with experience of working within forensic services for people with IDs.  Information about the study was advertised within the communication networks of existing stakeholder organisations</w:t>
      </w:r>
      <w:r w:rsidR="008D51A6" w:rsidRPr="00522CD2">
        <w:rPr>
          <w:rFonts w:ascii="Times" w:hAnsi="Times"/>
          <w:bCs/>
          <w:sz w:val="24"/>
          <w:szCs w:val="24"/>
        </w:rPr>
        <w:t xml:space="preserve"> within the United Kingdom</w:t>
      </w:r>
      <w:r w:rsidRPr="00522CD2">
        <w:rPr>
          <w:rFonts w:ascii="Times" w:hAnsi="Times"/>
          <w:bCs/>
          <w:sz w:val="24"/>
          <w:szCs w:val="24"/>
        </w:rPr>
        <w:t xml:space="preserve"> (e.g. British Psychological Society).  All participants were provided with information to help them make a decision as to whether they wished to take part in the study.   Participants were presented with the revised outcome framework developed following our service user and carer consultation exercise. They were then invited to rate the importance of each sub-domain within each of the three superordinate domains along a 5-point Likert scale, where 1 was “not important”, and 5 was “extremely important”.  Participants were also asked for their expert opinion about each sub-domain and whether they thought any additional outcome measures needed to be added.   Finally, participants were asked to indicate the five sub-domains they considered to be the most important measures of outcome.  </w:t>
      </w:r>
    </w:p>
    <w:p w14:paraId="178836D8" w14:textId="77777777" w:rsidR="00042144" w:rsidRPr="00522CD2" w:rsidRDefault="00042144" w:rsidP="00042144">
      <w:pPr>
        <w:pStyle w:val="Default"/>
        <w:shd w:val="clear" w:color="auto" w:fill="FFFFFF" w:themeFill="background1"/>
        <w:spacing w:line="480" w:lineRule="auto"/>
        <w:ind w:firstLine="284"/>
        <w:rPr>
          <w:rFonts w:ascii="Times" w:hAnsi="Times"/>
          <w:bCs/>
          <w:sz w:val="24"/>
          <w:szCs w:val="24"/>
        </w:rPr>
      </w:pPr>
    </w:p>
    <w:p w14:paraId="5FACA9F3" w14:textId="77777777" w:rsidR="00042144" w:rsidRPr="00522CD2" w:rsidRDefault="00042144" w:rsidP="00042144">
      <w:pPr>
        <w:pStyle w:val="Default"/>
        <w:shd w:val="clear" w:color="auto" w:fill="FFFFFF" w:themeFill="background1"/>
        <w:spacing w:line="480" w:lineRule="auto"/>
        <w:ind w:firstLine="284"/>
        <w:rPr>
          <w:rFonts w:ascii="Times" w:hAnsi="Times"/>
          <w:bCs/>
          <w:sz w:val="24"/>
          <w:szCs w:val="24"/>
        </w:rPr>
      </w:pPr>
      <w:r w:rsidRPr="00522CD2">
        <w:rPr>
          <w:rFonts w:ascii="Times" w:hAnsi="Times"/>
          <w:bCs/>
          <w:sz w:val="24"/>
          <w:szCs w:val="24"/>
        </w:rPr>
        <w:t xml:space="preserve">Following the completion of the first round, participants were invited to consider the responses of the group and re-consider their previous ratings.  Those sub-domains with a mean rating of four or more were taken through to the second round, and participants re-rated their importance along the same 5-point Likert scale.  Participants were invited to select up to five sub-domains they perceived to be the most important.   All participants were reminded that they did not have to change their original responses.  </w:t>
      </w:r>
    </w:p>
    <w:p w14:paraId="7E00B2EE" w14:textId="77777777" w:rsidR="00042144" w:rsidRPr="00522CD2" w:rsidRDefault="00042144" w:rsidP="00042144">
      <w:pPr>
        <w:pStyle w:val="Default"/>
        <w:shd w:val="clear" w:color="auto" w:fill="FFFFFF" w:themeFill="background1"/>
        <w:spacing w:line="480" w:lineRule="auto"/>
        <w:ind w:firstLine="284"/>
        <w:rPr>
          <w:rFonts w:ascii="Times" w:hAnsi="Times"/>
          <w:bCs/>
          <w:sz w:val="24"/>
          <w:szCs w:val="24"/>
        </w:rPr>
      </w:pPr>
    </w:p>
    <w:p w14:paraId="7BDD44A0" w14:textId="77777777" w:rsidR="00042144" w:rsidRPr="00522CD2" w:rsidRDefault="00042144" w:rsidP="00042144">
      <w:pPr>
        <w:pStyle w:val="Default"/>
        <w:shd w:val="clear" w:color="auto" w:fill="FFFFFF" w:themeFill="background1"/>
        <w:spacing w:line="480" w:lineRule="auto"/>
        <w:ind w:firstLine="284"/>
        <w:rPr>
          <w:rFonts w:ascii="Times" w:hAnsi="Times"/>
          <w:bCs/>
          <w:sz w:val="24"/>
          <w:szCs w:val="24"/>
        </w:rPr>
      </w:pPr>
      <w:r w:rsidRPr="00522CD2">
        <w:rPr>
          <w:rFonts w:ascii="Times" w:hAnsi="Times"/>
          <w:b/>
          <w:bCs/>
          <w:i/>
          <w:sz w:val="24"/>
          <w:szCs w:val="24"/>
        </w:rPr>
        <w:t>Participants</w:t>
      </w:r>
      <w:r w:rsidRPr="00522CD2">
        <w:rPr>
          <w:rFonts w:ascii="Times" w:hAnsi="Times"/>
          <w:bCs/>
          <w:sz w:val="24"/>
          <w:szCs w:val="24"/>
        </w:rPr>
        <w:t xml:space="preserve">.  Seventeen participants took part in the first Delphi round, with 15 taking part in the second round.   Nine participants were psychologists, seven were psychiatrists and one was a nurse.  Participants were eligible to take part in the Delphi exercise if they were a clinician, researcher or commissioner with experience of working with forensic services for people with IDs.  Two participants identified themselves as having responsibility for commissioning, while a further two identified themselves as having both clinical and academic responsibilities.  </w:t>
      </w:r>
    </w:p>
    <w:p w14:paraId="0E78647D" w14:textId="35187B48" w:rsidR="00042144" w:rsidRPr="00522CD2" w:rsidRDefault="004D6F03" w:rsidP="00042144">
      <w:pPr>
        <w:pStyle w:val="Heading1"/>
      </w:pPr>
      <w:r w:rsidRPr="00522CD2">
        <w:t>R</w:t>
      </w:r>
      <w:r w:rsidR="00042144" w:rsidRPr="00522CD2">
        <w:t>esults</w:t>
      </w:r>
    </w:p>
    <w:p w14:paraId="3BB3D1DF" w14:textId="77777777" w:rsidR="00042144" w:rsidRPr="00522CD2" w:rsidRDefault="00042144" w:rsidP="00042144">
      <w:pPr>
        <w:pStyle w:val="Default"/>
        <w:shd w:val="clear" w:color="auto" w:fill="FFFFFF" w:themeFill="background1"/>
        <w:spacing w:line="480" w:lineRule="auto"/>
        <w:rPr>
          <w:rFonts w:ascii="Times" w:eastAsia="Times New Roman" w:hAnsi="Times" w:cs="Times New Roman"/>
          <w:sz w:val="24"/>
          <w:szCs w:val="24"/>
        </w:rPr>
      </w:pPr>
    </w:p>
    <w:p w14:paraId="7C873645" w14:textId="77777777" w:rsidR="00042144" w:rsidRPr="00522CD2" w:rsidRDefault="00042144" w:rsidP="00042144">
      <w:pPr>
        <w:pStyle w:val="Default"/>
        <w:shd w:val="clear" w:color="auto" w:fill="FFFFFF" w:themeFill="background1"/>
        <w:spacing w:line="480" w:lineRule="auto"/>
        <w:rPr>
          <w:rFonts w:ascii="Times" w:eastAsia="Times New Roman" w:hAnsi="Times" w:cs="Times New Roman"/>
          <w:b/>
          <w:sz w:val="24"/>
          <w:szCs w:val="24"/>
        </w:rPr>
      </w:pPr>
      <w:r w:rsidRPr="00522CD2">
        <w:rPr>
          <w:rFonts w:ascii="Times" w:eastAsia="Times New Roman" w:hAnsi="Times" w:cs="Times New Roman"/>
          <w:b/>
          <w:sz w:val="24"/>
          <w:szCs w:val="24"/>
        </w:rPr>
        <w:t>Systematic Review</w:t>
      </w:r>
    </w:p>
    <w:p w14:paraId="6A39E23C"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Using content analysis, data from eligible studies were extracted and categorised within the overarching superordinate domains (a) effectiveness, (b) patient safety, and (c) patient and carer experience.   The complete list of identified subdomains that emerged following our analysis, along with the associated studies, is found in Table 1.  For simplicity, studies have been divided into cohort, retrospective cohort, cross-sectional or case study designs.   These findings were synthesised into our initial framework of outcomes which was taken forward and used within our consensus exercises (Table 2). </w:t>
      </w:r>
    </w:p>
    <w:p w14:paraId="49A90AA9"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750AE0B0"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b/>
          <w:sz w:val="24"/>
          <w:szCs w:val="24"/>
        </w:rPr>
        <w:t>Effectiveness</w:t>
      </w:r>
      <w:r w:rsidRPr="00522CD2">
        <w:rPr>
          <w:rFonts w:ascii="Times" w:eastAsia="Times New Roman" w:hAnsi="Times" w:cs="Times New Roman"/>
          <w:sz w:val="24"/>
          <w:szCs w:val="24"/>
        </w:rPr>
        <w:t xml:space="preserve">. Fifty-three studies were categorised as presenting data that involved at least a single outcome that attempted to measure effectiveness (Table 1).   Our analysis led to 12 sub-domains within the effectiveness superordinate domain.   These included subdomains such as length of stay, discharge outcome, clinical symptoms, treatment responsiveness, re-offending behaviours, and risk assessment.  </w:t>
      </w:r>
    </w:p>
    <w:p w14:paraId="3D5AC456"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5E2AEF95" w14:textId="6DE3A079"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As a sub-domain, length of stay was considered within 22 studies (Table 1), and varied between one to nine years, across included studies.  However, it was recognised that as a measure of outcome, length of stay is problematic because: (a) it tended to be reported for only those who had actually been discharged, rather than the entire inpatient population, and (b) it is complicated because some service users move from one hospital to another, and data may not capture their entire length of stay across all hospitals.  As another sub-domain, discharge outcome was considered within 16 studies (Table 1), and was defined as moving to an increasing or decreasing level of security within or across forensic hospitals, or discharge to a community-based setting.  Several of the included studies focused on delayed discharge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"abstract" : "Purpose \u2013 The purpose of this paper is to complete a thorough needs assessment that would enable the development of a robust pathway of care for adults with a learning disability requiring secure care, and to assist commissioners to make informed planning decisions. Design/methodology/approach \u2013 The paper identified people with a learning disability originating from London who were in secure care, and collected data about them. The paper used reference groups to inform the analysis. Findings \u2013 The paper identified 249 people in secure services and was able to include 136 patients in the analysis. In all, 64 were in NHS provision and 72 in independent sector provision; 109 (80.1 per cent) were male and 27 (19.9 per cent) female; on average, patients were cared for 61.5 miles away from their homes; NHS patients were far closer to home; 69.1 per cent had a mild learning disability; 82.3 per cent had a history of violence; approximately one in six patients could not progress due to a lack of an appropriate wa...", "author" : [ { "dropping-particle" : "", "family" : "Hall", "given" : "Ian", "non-dropping-particle" : "", "parse-names" : false, "suffix" : "" }, { "dropping-particle" : "", "family" : "Yacoub", "given" : "Evan", "non-dropping-particle" : "", "parse-names" : false, "suffix" : "" }, { "dropping-particle" : "", "family" : "Boast", "given" : "Neil", "non-dropping-particle" : "", "parse-names" : false, "suffix" : "" }, { "dropping-particle" : "", "family" : "Bates", "given" : "Robert", "non-dropping-particle" : "", "parse-names" : false, "suffix" : "" }, { "dropping-particle" : "", "family" : "Stamps", "given" : "Rebekah", "non-dropping-particle" : "", "parse-names" : false, "suffix" : "" }, { "dropping-particle" : "", "family" : "Holder", "given" : "Sarah", "non-dropping-particle" : "", "parse-names" : false, "suffix" : "" }, { "dropping-particle" : "", "family" : "Beadman", "given" : "Matthew", "non-dropping-particle" : "", "parse-names" : false, "suffix" : "" } ], "container-title" : "Journal of Intellectual Disabilities and Offending Behaviour", "id" : "ITEM-1", "issue" : "1", "issued" : { "date-parts" : [ [ "2014" ] ] }, "page" : "38-53", "publisher" : "Emerald Group Publishing Limited", "title" : "Secure inpatient services: a needs assessment", "type" : "article-journal", "volume" : "5" }, "uris" : [ "http://www.mendeley.com/documents/?uuid=d0325a7f-b6ab-3809-8615-2fb0de0bc377" ] } ], "mendeley" : { "formattedCitation" : "(18)", "plainTextFormattedCitation" : "(18)", "previouslyFormattedCitation" : "(18)"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(18)</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"10.1111/j.1468-3148.2010.00568.x", "ISBN" : "1360-2322", "ISSN" : "13602322", "abstract" : "Background As institutions for people with intellectual disabilities have been replaced with community services, health care provision has developed to provide assessment and treatment, low and medium secure units for people with challenging behaviour or mental health problems. These include both public and private sector provision. Little is known about these services. The aim of this study was to describe the characteristics of the services studied and to compare the different types of service. Methods A survey was carried out of National Health Service (NHS) and independent sector (IH) health settings providing specialist inpatient services for people with intellectual disabilities. Data were collected on setting and patient characteristics, staffing and management and care processes and outcomes. Results Services were very unevenly distributed across England. There were differences between NHS and IH settings. IH assessment and treatment units were bigger, had higher occupancy and lower staff ratio. In all three types of unit, IH units had fewer visits to patients, used more seclusion, physical restraint and had more locked areas. They had more complaints in more services from users and (for assessment and treatment units and low secure units only) from relatives. In low secure units, they had more adult protection referrals. On the other hand, IH units used fewer agency staff in assessment and treatment units (though more in medium secure units) and provided more appraisals, more visits from commissioners, more consultations with GPs and dentists and more use of whistleblowing procedures by staff. A quarter of people in NHS assessment and treatment units had finished treatment but had no plan for discharge. Conclusions Further research is required to determine the reasons for differences observed between IH and NHS units. The large number of people who have finished treatment emphasizes the importance of developing housing in the community with sufficiently skilled support. The large number of patients in low secure services raises the question whether this type of service is recreating the intellectual disability institutions which government policy intends to close.", "author" : [ { "dropping-particle" : "", "family" : "Mansell", "given" : "Jim", "non-dropping-particle" : "", "parse-names" : false, "suffix" : "" }, { "dropping-particle" : "", "family" : "Ritchie", "given" : "Fiona", "non-dropping-particle" : "", "parse-names" : false, "suffix" : "" }, { "dropping-particle" : "", "family" : "Dyer", "given" : "Ricinda", "non-dropping-particle" : "", "parse-names" : false, "suffix" : "" } ], "container-title" : "Journal of Applied Research in Intellectual Disabilities", "id" : "ITEM-1", "issue" : "6", "issued" : { "date-parts" : [ [ "2010" ] ] }, "page" : "552-559", "publisher" : "Emerald Group Publishing Limited", "title" : "Health Service Inpatient Units for People with Intellectual Disabilities and Challenging Behaviour or Mental Health Problems", "type" : "article-journal", "volume" : "23" }, "uris" : [ "http://www.mendeley.com/documents/?uuid=f76ffbb9-6148-33e0-9b49-6eff7d730360" ] } ], "mendeley" : { "formattedCitation" : "(19)", "plainTextFormattedCitation" : "(19)", "previouslyFormattedCitation" : "(19)"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(19)</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"10.1111/j.1365-2788.2004.00629.x", "ISSN" : "0964-2633", "PMID" : "15312061", "abstract" : "BACKGROUND Previous studies have suggested that a substantial proportion of the patients with intellectual disabilities (ID) in the high security psychiatric hospitals (HSPHs) should be transferred to more appropriate services to cater for their specific needs in the longer term. METHOD The individual and placement needs of high secure psychiatric patients detained under the legal category of mental impairment or severe mental impairment were assessed in a cross-sectional survey. RESULTS Patients had a large number of needs (on average 10.8), about a third of which were rated as unmet and therefore represented significant continuing problems. Approximately one-third of the sample could be moved out of HSPHs if appropriate alternatives were available. Factors associated with the continued need for high security included higher treatment and security needs, younger age, recent violent conduct and their index offence profile. CONCLUSIONS High security services are still required for a number of patients with ID. New and existing services need to be configured to meet specific profiles of need and provide long-term rehabilitation and specialist care. DECLARATION OF INTEREST This was part of a larger project funded by grants from the High Security Psychiatric Services Commissioning Board and Department of Health.", "author" : [ { "dropping-particle" : "", "family" : "Thomas", "given" : "S D", "non-dropping-particle" : "", "parse-names" : false, "suffix" : "" }, { "dropping-particle" : "", "family" : "Dolan", "given" : "M", "non-dropping-particle" : "", "parse-names" : false, "suffix" : "" }, { "dropping-particle" : "", "family" : "Johnston", "given" : "S", "non-dropping-particle" : "", "parse-names" : false, "suffix" : "" }, { "dropping-particle" : "", "family" : "Middleton", "given" : "H", "non-dropping-particle" : "", "parse-names" : false, "suffix" : "" }, { "dropping-particle" : "", "family" : "Harty", "given" : "M A", "non-dropping-particle" : "", "parse-names" : false, "suffix" : "" }, { "dropping-particle" : "", "family" : "Carlisle", "given" : "J", "non-dropping-particle" : "", "parse-names" : false, "suffix" : "" }, { "dropping-particle" : "", "family" : "Thornicroft", "given" : "G", "non-dropping-particle" : "", "parse-names" : false, "suffix" : "" }, { "dropping-particle" : "", "family" : "Appleby", "given" : "L", "non-dropping-particle" : "", "parse-names" : false, "suffix" : "" }, { "dropping-particle" : "", "family" : "Jones", "given" : "P", "non-dropping-particle" : "", "parse-names" : false, "suffix" : "" } ], "container-title" : "Journal of intellectual disability research : JIDR", "id" : "ITEM-1", "issue" : "Pt 6", "issued" : { "date-parts" : [ [ "2004", "9" ] ] }, "page" : "603-10", "title" : "Defining the needs of patients with intellectual disabilities in the high security psychiatric hospitals in England.", "type" : "article-journal", "volume" : "48" }, "uris" : [ "http://www.mendeley.com/documents/?uuid=1806ad02-fd0f-3733-bbdf-2f8df318b6e2" ] } ], "mendeley" : { "formattedCitation" : "(20)", "plainTextFormattedCitation" : "(20)", "previouslyFormattedCitation" : "(20)"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(20)</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"10.1177/1744629509339091", "ISSN" : "1744-6295", "PMID" : "19628535", "abstract" : "A national review of learning disability services in Scotland, The Same As You? recommended that Health Boards should close all long stay beds by 2005 and reduce assessment and treatment places to specified levels. A psychiatry-led service planning study was carried out in 2007 to find out whether these recommendations had been met. The extent of delayed discharges was also investigated. All 15 Health Boards in Scotland responded and supplied the requested information. There were 388 adults with learning disabilities within inpatient services, 91 of whom were within forensic learning disability services. The age, gender, reasons for admission and length of stay are reported for this inpatient population. Recommendations are made for future recording of delayed discharges and the adequacy of the number of assessment and treatment inpatient places in Scotland is discussed.", "author" : [ { "dropping-particle" : "", "family" : "Perera", "given" : "Chandima", "non-dropping-particle" : "", "parse-names" : false, "suffix" : "" }, { "dropping-particle" : "", "family" : "Simpson", "given" : "Neill", "non-dropping-particle" : "", "parse-names" : false, "suffix" : "" }, { "dropping-particle" : "", "family" : "Douds", "given" : "Fergus", "non-dropping-particle" : "", "parse-names" : false, "suffix" : "" }, { "dropping-particle" : "", "family" : "Campbell", "given" : "Martin", "non-dropping-particle" : "", "parse-names" : false, "suffix" : "" } ], "container-title" : "Journal of intellectual disabilities : JOID", "id" : "ITEM-1", "issue" : "2", "issued" : { "date-parts" : [ [ "2009", "6" ] ] }, "page" : "161-71", "title" : "A survey of learning disability inpatient services in Scotland in 2007.", "type" : "article-journal", "volume" : "13" }, "uris" : [ "http://www.mendeley.com/documents/?uuid=de7fed46-d643-3692-a0a8-07277aed85e4" ] } ], "mendeley" : { "formattedCitation" : "(21)", "plainTextFormattedCitation" : "(21)", "previouslyFormattedCitation" : "(21)"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(21)</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and highlighted the difficulties with finding appropriate accommodation that mitigated risk.  </w:t>
      </w:r>
    </w:p>
    <w:p w14:paraId="303606E3"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23B3118D"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Sixteen studies were judged to have included subdomains that were classified as falling within the clinical symptom sub-domain and these are detailed in Table 1.   These included measures that made use of clinician or patient ratings of clinical symptomatology.   However, only two studies reported change in clinical symptoms over time for a cohort of service users.   A variety of tools were used to index change over time within this sub-domain, and included such measures as the Brief Symptom Inventory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"author" : [ { "dropping-particle" : "", "family" : "Leonard R. Derogatis", "given" : "", "non-dropping-particle" : "", "parse-names" : false, "suffix" : "" } ], "container-title" : "Pearson Clinical", "id" : "ITEM-1", "issued" : { "date-parts" : [ [ "0" ] ] }, "title" : "Brief Symptom Inventory (BSI\u00ae)", "type" : "article-journal" }, "uris" : [ "http://www.mendeley.com/documents/?uuid=f7605d7c-c06f-4b73-be9f-d7dc3d59b260" ] } ], "mendeley" : { "formattedCitation" : "(23)", "plainTextFormattedCitation" : "(23)", "previouslyFormattedCitation" : "(23)"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(23)</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Emotional Problem Scales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"author" : [ { "dropping-particle" : "", "family" : "Prout HT; Strohmer DC", "given" : "", "non-dropping-particle" : "", "parse-names" : false, "suffix" : "" } ], "id" : "ITEM-1", "issued" : { "date-parts" : [ [ "1991" ] ] }, "publisher" : "Psychological Assessment Resources Inc.", "publisher-place" : "Lutz, FL", "title" : "Emotional Problems Scales. Professional Manual for the Behaviour Rating Scales and Self-Report Inventory.", "type" : "book" }, "uris" : [ "http://www.mendeley.com/documents/?uuid=87ab32ff-74e5-47e0-ac2e-3ceb3d63aaca" ] } ], "mendeley" : { "formattedCitation" : "(24)", "plainTextFormattedCitation" : "(24)", "previouslyFormattedCitation" : "(24)"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(24)</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mini PAS-ADD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"author" : [ { "dropping-particle" : "", "family" : "Steve Moss", "given" : "", "non-dropping-particle" : "", "parse-names" : false, "suffix" : "" } ], "id" : "ITEM-1", "issued" : { "date-parts" : [ [ "2014" ] ] }, "publisher" : "Pavilion", "title" : "The Mini PAS-ADD Handbook", "type" : "book" }, "uris" : [ "http://www.mendeley.com/documents/?uuid=0a4b43b0-eaa9-3080-8a88-db0940a7293e" ] } ], "mendeley" : { "formattedCitation" : "(25)", "plainTextFormattedCitation" : "(25)", "previouslyFormattedCitation" : "(25)"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(25)</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"10.1111/j.1365-2788.2006.00806.x", "ISSN" : "0964-2633", "PMID" : "16507035", "abstract" : "BACKGROUND The purpose of this paper is to describe long-term outcomes for patients discharged over a 12-year period from a medium secure service for people with intellectual disabilities (ID). METHODS A cohort study using case-notes analysis and a structured interview of current key informants. RESULTS Eleven per cent of the sample was reconvicted. Fifty-eight per cent of the sample showed offending-like behaviour that did not lead to police contact. Twenty-eight per cent of the sample was currently detained in hospital under the Mental Health Act. The presence of a personality disorder, a history of theft or burglary, and young age increased the risk of reconviction. Contact with the police was less likely in those with schizophrenia. Re-admission to hospital was associated with the presence of offending-like behaviours, rather than any specific diagnosis. CONCLUSION In terms of reconviction, these results are good compared with those from general forensic services; however, behavioural problems continue for many years and are managed without recourse to the criminal justice system. There is a borderline group whose needs are poorly defined and serviced. Declaration of interests Horizon National Health Service Trust, the managing authority of the service, gave the grant for this study; the corresponding author was working in the service.", "author" : [ { "dropping-particle" : "", "family" : "Alexander", "given" : "R T", "non-dropping-particle" : "", "parse-names" : false, "suffix" : "" }, { "dropping-particle" : "", "family" : "Crouch", "given" : "K", "non-dropping-particle" : "", "parse-names" : false, "suffix" : "" }, { "dropping-particle" : "", "family" : "Halstead", "given" : "S", "non-dropping-particle" : "", "parse-names" : false, "suffix" : "" }, { "dropping-particle" : "", "family" : "Piachaud", "given" : "J", "non-dropping-particle" : "", "parse-names" : false, "suffix" : "" }, { "dropping-particle" : "", "family" : "Piachaud", "given" : "J.", "non-dropping-particle" : "", "parse-names" : false, "suffix" : "" }, { "dropping-particle" : "", "family" : "Singh", "given" : "I.", "non-dropping-particle" : "", "parse-names" : false, "suffix" : "" }, { "dropping-particle" : "", "family" : "Alexander", "given" : "RT.", "non-dropping-particle" : "", "parse-names" : false, "suffix" : "" }, { "dropping-particle" : "", "family" : "Piachaud", "given" : "J.", "non-dropping-particle" : "", "parse-names" : false, "suffix" : "" }, { "dropping-particle" : "", "family" : "Odebiyi", "given" : "L.", "non-dropping-particle" : "", "parse-names" : false, "suffix" : "" }, { "dropping-particle" : "", "family" : "Alexander", "given" : "RT.", "non-dropping-particle" : "", "parse-names" : false, "suffix" : "" }, { "dropping-particle" : "", "family" : "Crouch", "given" : "K.", "non-dropping-particle" : "", "parse-names" : false, "suffix" : "" }, { "dropping-particle" : "", "family" : "Halstead", "given" : "S.", "non-dropping-particle" : "", "parse-names" : false, "suffix" : "" }, { "dropping-particle" : "", "family" : "Bjelogrlic-Laakso", "given" : "N.", "non-dropping-particle" : "", "parse-names" : false, "suffix" : "" }, { "dropping-particle" : "", "family" : "Aaltonen", "given" : "S.", "non-dropping-particle" : "", "parse-names" : false, "suffix" : "" }, { "dropping-particle" : "", "family" : "Dorn", "given" : "T.", "non-dropping-particle" : "", "parse-names" : false, "suffix" : "" }, { "dropping-particle" : "", "family" : "Commission", "given" : "Care Quality", "non-dropping-particle" : "", "parse-names" : false, "suffix" : "" }, { "dropping-particle" : "", "family" : "Carroll", "given" : "A.", "non-dropping-particle" : "", "parse-names" : false, "suffix" : "" }, { "dropping-particle" : "", "family" : "Lyall", "given" : "M.", "non-dropping-particle" : "", "parse-names" : false, "suffix" : "" }, { "dropping-particle" : "", "family" : "Forrester", "given" : "A.", "non-dropping-particle" : "", "parse-names" : false, "suffix" : "" }, { "dropping-particle" : "", "family" : "Chaplin", "given" : "R.", "non-dropping-particle" : "", "parse-names" : false, "suffix" : "" }, { "dropping-particle" : "", "family" : "Chaplin", "given" : "R.", "non-dropping-particle" : "", "parse-names" : false, "suffix" : "" }, { "dropping-particle" : "", "family" : "Cooper", "given" : "S-A.", "non-dropping-particle" : "", "parse-names" : false, "suffix" : "" }, { "dropping-particle" : "", "family" : "Smiley", "given" : "E.", "non-dropping-particle" : "", "parse-names" : false, "suffix" : "" }, { "dropping-particle" : "", "family" : "Morrison", "given" : "J.", "non-dropping-particle" : "", "parse-names" : false, "suffix" : "" }, { "dropping-particle" : "", "family" : "Cresswell", "given" : "J.", "non-dropping-particle" : "", "parse-names" : false, "suffix" : "" }, { "dropping-particle" : "", "family" : "Bleksley", "given" : "S.", "non-dropping-particle" : "", "parse-names" : false, "suffix" : "" }, { "dropping-particle" : "", "family" : "Lemmey", "given" : "S.", "non-dropping-particle" : "", "parse-names" : false, "suffix" : "" }, { "dropping-particle" : "", "family" : "Health", "given" : "Department of", "non-dropping-particle" : "", "parse-names" : false, "suffix" : "" }, { "dropping-particle" : "", "family" : "Health", "given" : "Department of", "non-dropping-particle" : "", "parse-names" : false, "suffix" : "" }, { "dropping-particle" : "", "family" : "Health", "given" : "Department of", "non-dropping-particle" : "", "parse-names" : false, "suffix" : "" }, { "dropping-particle" : "", "family" : "Health", "given" : "Department of", "non-dropping-particle" : "", "parse-names" : false, "suffix" : "" }, { "dropping-particle" : "", "family" : "Emerson", "given" : "E.", "non-dropping-particle" : "", "parse-names" : false, "suffix" : "" }, { "dropping-particle" : "", "family" : "Baines", "given" : "S.", "non-dropping-particle" : "", "parse-names" : false, "suffix" : "" }, { "dropping-particle" : "", "family" : "Hall", "given" : "I.", "non-dropping-particle" : "", "parse-names" : false, "suffix" : "" }, { "dropping-particle" : "", "family" : "Parkes", "given" : "C.", "non-dropping-particle" : "", "parse-names" : false, "suffix" : "" }, { "dropping-particle" : "", "family" : "Higgins", "given" : "A.", "non-dropping-particle" : "", "parse-names" : false, "suffix" : "" }, { "dropping-particle" : "", "family" : "Hall", "given" : "I.", "non-dropping-particle" : "", "parse-names" : false, "suffix" : "" }, { "dropping-particle" : "", "family" : "Parkes", "given" : "C.", "non-dropping-particle" : "", "parse-names" : false, "suffix" : "" }, { "dropping-particle" : "", "family" : "Samuels", "given" : "S.", "non-dropping-particle" : "", "parse-names" : false, "suffix" : "" }, { "dropping-particle" : "", "family" : "Centre", "given" : "Health and Social Care Information", "non-dropping-particle" : "", "parse-names" : false, "suffix" : "" }, { "dropping-particle" : "", "family" : "Holland", "given" : "T.", "non-dropping-particle" : "", "parse-names" : false, "suffix" : "" }, { "dropping-particle" : "", "family" : "Clare", "given" : "ICH.", "non-dropping-particle" : "", "parse-names" : false, "suffix" : "" }, { "dropping-particle" : "", "family" : "Mukhopadhyay", "given" : "T.", "non-dropping-particle" : "", "parse-names" : false, "suffix" : "" }, { "dropping-particle" : "", "family" : "Hollins", "given" : "S.", "non-dropping-particle" : "", "parse-names" : false, "suffix" : "" }, { "dropping-particle" : "", "family" : "Kennedy", "given" : "HG.", "non-dropping-particle" : "", "parse-names" : false, "suffix" : "" }, { "dropping-particle" : "", "family" : "Lindsey", "given" : "M.", "non-dropping-particle" : "", "parse-names" : false, "suffix" : "" }, { "dropping-particle" : "", "family" : "Morgan", "given" : "VA.", "non-dropping-particle" : "", "parse-names" : false, "suffix" : "" }, { "dropping-particle" : "", "family" : "Leonard", "given" : "H.", "non-dropping-particle" : "", "parse-names" : false, "suffix" : "" }, { "dropping-particle" : "", "family" : "Bourke", "given" : "J.", "non-dropping-particle" : "", "parse-names" : false, "suffix" : "" }, { "dropping-particle" : "", "family" : "Moss", "given" : "S.", "non-dropping-particle" : "", "parse-names" : false, "suffix" : "" }, { "dropping-particle" : "", "family" : "Emerson", "given" : "E.", "non-dropping-particle" : "", "parse-names" : false, "suffix" : "" }, { "dropping-particle" : "", "family" : "Bouras", "given" : "N.", "non-dropping-particle" : "", "parse-names" : false, "suffix" : "" }, { "dropping-particle" : "", "family" : "Confederation", "given" : "NHS", "non-dropping-particle" : "", "parse-names" : false, "suffix" : "" }, { "dropping-particle" : "", "family" : "England", "given" : "NHS", "non-dropping-particle" : "", "parse-names" : false, "suffix" : "" }, { "dropping-particle" : "", "family" : "Phillips", "given" : "N.", "non-dropping-particle" : "", "parse-names" : false, "suffix" : "" }, { "dropping-particle" : "", "family" : "Plant", "given" : "A.", "non-dropping-particle" : "", "parse-names" : false, "suffix" : "" }, { "dropping-particle" : "", "family" : "McDermott", "given" : "E.", "non-dropping-particle" : "", "parse-names" : false, "suffix" : "" }, { "dropping-particle" : "", "family" : "Chester", "given" : "V.", "non-dropping-particle" : "", "parse-names" : false, "suffix" : "" }, { "dropping-particle" : "", "family" : "Royal College of Psychiatrists", "given" : "British Psychological Society, Royal College of Speech and Language Therapists", "non-dropping-particle" : "", "parse-names" : false, "suffix" : "" }, { "dropping-particle" : "", "family" : "Psychiatrists", "given" : "Royal College of", "non-dropping-particle" : "", "parse-names" : false, "suffix" : "" }, { "dropping-particle" : "", "family" : "Psychiatrists", "given" : "Royal College of", "non-dropping-particle" : "", "parse-names" : false, "suffix" : "" }, { "dropping-particle" : "", "family" : "Psychiatrists", "given" : "Royal College of", "non-dropping-particle" : "", "parse-names" : false, "suffix" : "" }, { "dropping-particle" : "", "family" : "Tajuddin", "given" : "M.", "non-dropping-particle" : "", "parse-names" : false, "suffix" : "" }, { "dropping-particle" : "", "family" : "Nadkarni", "given" : "S.", "non-dropping-particle" : "", "parse-names" : false, "suffix" : "" }, { "dropping-particle" : "", "family" : "Biswas", "given" : "A.", "non-dropping-particle" : "", "parse-names" : false, "suffix" : "" }, { "dropping-particle" : "", "family" : "Tucker", "given" : "S.", "non-dropping-particle" : "", "parse-names" : false, "suffix" : "" }, { "dropping-particle" : "", "family" : "Hughes", "given" : "T.", "non-dropping-particle" : "", "parse-names" : false, "suffix" : "" }, { "dropping-particle" : "", "family" : "Tucker", "given" : "S.", "non-dropping-particle" : "", "parse-names" : false, "suffix" : "" }, { "dropping-particle" : "", "family" : "Iqbal", "given" : "M.", "non-dropping-particle" : "", "parse-names" : false, "suffix" : "" }, { "dropping-particle" : "", "family" : "Holder", "given" : "S.", "non-dropping-particle" : "", "parse-names" : false, "suffix" : "" }, { "dropping-particle" : "", "family" : "Organization", "given" : "World Health", "non-dropping-particle" : "", "parse-names" : false, "suffix" : "" }, { "dropping-particle" : "", "family" : "Xeniditis", "given" : "K.", "non-dropping-particle" : "", "parse-names" : false, "suffix" : "" }, { "dropping-particle" : "", "family" : "Russell", "given" : "A.", "non-dropping-particle" : "", "parse-names" : false, "suffix" : "" }, { "dropping-particle" : "", "family" : "Murphy", "given" : "D.", "non-dropping-particle" : "", "parse-names" : false, "suffix" : "" } ], "container-title" : "Journal of intellectual disability research : JIDR", "id" : "ITEM-1", "issue" : "Pt 4", "issued" : { "date-parts" : [ [ "2006", "4" ] ] }, "page" : "305-15", "publisher" : "The Royal College of Psychiatrists", "title" : "Long-term outcome from a medium secure service for people with intellectual disability.", "type" : "article-journal", "volume" : "50" }, "uris" : [ "http://www.mendeley.com/documents/?uuid=35484a70-f1f6-3a0c-aef1-b29aac463832" ] } ], "mendeley" : { "formattedCitation" : "(26)", "plainTextFormattedCitation" : "(26)", "previouslyFormattedCitation" : "(26)"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(26)</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HoNOS-Secure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"10.1080/14789940701492279", "ISSN" : "1478-9949", "abstract" : "Abstract The Health of the Nation Outcome Scales for users of secure and forensic services (HoNOS-secure) comprises amended versions of the original 12 HoNOS items, and an additional seven-item security scale. HoNOS-secure tracks clinical outcome, including ongoing security needs. To investigate the interrater reliability of HoNOS-secure, 60 inpatients were rated independently by two clinicians. There were 34 raters in total. Intraclass correlation coefficients (ICCs) for six of the seven security items indicated at least moderate agreement; one item indicated fair reliability. ICCs for all 12 HoNOS items indicated fair to substantial consistency between raters. Cronbach's alphas were .73 for the security scale and .79 for the HoNOS scale, indicating acceptable internal reliability. The security scale and the HoNOS items were measured consistently by different raters, indicating that HoNOS-secure is a reliable outcome measure when used in routine clinical practice.\\nAbstract The Health of the Nation Outcome Scales for users of secure and forensic services (HoNOS-secure) comprises amended versions of the original 12 HoNOS items, and an additional seven-item security scale. HoNOS-secure tracks clinical outcome, including ongoing security needs. To investigate the interrater reliability of HoNOS-secure, 60 inpatients were rated independently by two clinicians. There were 34 raters in total. Intraclass correlation coefficients (ICCs) for six of the seven security items indicated at least moderate agreement; one item indicated fair reliability. ICCs for all 12 HoNOS items indicated fair to substantial consistency between raters. Cronbach's alphas were .73 for the security scale and .79 for the HoNOS scale, indicating acceptable internal reliability. The security scale and the HoNOS items were measured consistently by different raters, indicating that HoNOS-secure is a reliable outcome measure when used in routine clinical practice.", "author" : [ { "dropping-particle" : "", "family" : "Dickens", "given" : "Geoff", "non-dropping-particle" : "", "parse-names" : false, "suffix" : "" }, { "dropping-particle" : "", "family" : "Sugarman", "given" : "Philip", "non-dropping-particle" : "", "parse-names" : false, "suffix" : "" }, { "dropping-particle" : "", "family" : "Walker", "given" : "Lorraine", "non-dropping-particle" : "", "parse-names" : false, "suffix" : "" } ], "container-title" : "Journal of Forensic Psychiatry &amp; Psychology", "id" : "ITEM-1", "issue" : "4", "issued" : { "date-parts" : [ [ "2007" ] ] }, "page" : "507-514", "title" : "HoNOS-secure: A reliable outcome measure for users of secure and forensic mental health services", "type" : "article-journal", "volume" : "18" }, "uris" : [ "http://www.mendeley.com/documents/?uuid=e608f5fc-b4a6-3df5-a14e-f2a0842b7633" ] } ], "mendeley" : { "formattedCitation" : "(27)", "plainTextFormattedCitation" : "(27)", "previouslyFormattedCitation" : "(27)"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(27)</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and Clinical Global Impressions Scale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"author" : [ { "dropping-particle" : "", "family" : "Guy", "given" : "W.", "non-dropping-particle" : "", "parse-names" : false, "suffix" : "" } ], "id" : "ITEM-1", "issued" : { "date-parts" : [ [ "1976" ] ] }, "publisher" : "US Department of Heath, Education, and Welfare Public Health Service Alcohol, Drug Abuse, and Mental Health Administration", "title" : "ECDEU Assessment Manual for Psychopharmacology", "type" : "book" }, "uris" : [ "http://www.mendeley.com/documents/?uuid=2a7f2883-4108-4228-aeb5-aac3da738fc9" ] } ], "mendeley" : { "formattedCitation" : "(28)", "plainTextFormattedCitation" : "(28)", "previouslyFormattedCitation" : "(28)"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(28)</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Treatment responsiveness was also coded as a sub-domain, but it was recognised that this is intertwined with the clinical symptom sub-domain; this was included as a separate sub-domain because it focused on whether a service user was likely to be responsive to treatment efforts, rather than the actual response. </w:t>
      </w:r>
    </w:p>
    <w:p w14:paraId="27B514F5"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68F1C076"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Re-offending and risk were classed as separate sub-domains, with 18 and 12 studies considering variables within these sub-domains respectively (Table 1).  Most commonly, studies tended to focus on re-offending using data derived from police or Ministry of Justice records. One study followed up re-offending at one, two and five-years post-discharge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"10.1080/14789949.2012.694462", "ISSN" : "1478-9949", "abstract" : "Within secure intellectual disability services, the prevalence of personality disorders is around 50%. Few studies have systematically examined how patients with both intellectual disability and personality disorders (the ID-PD group) differ from either those with a intellectual disability alone (the ID group) or those with a personality disorder alone (the PD group). The study groups were drawn from a database of 1182 discharges from secure hospital services in the UK and were compared on a number of pre and post treatment variables. Findings suggest that within the secure hospital system, those with intellectual disability alone and personality disorder alone are strikingly distinct on most of the examined parameters. The ID-PD group had higher scores on the PCL:SV and the HCR-20 than both the ID group and the PD group. In terms of outcomes, this group appeared to follow a path closer to those with intellectual disability.\\nWithin secure intellectual disability services, the prevalence of personality disorders is around 50%. Few studies have systematically examined how patients with both intellectual disability and personality disorders (the ID-PD group) differ from either those with a intellectual disability alone (the ID group) or those with a personality disorder alone (the PD group). The study groups were drawn from a database of 1182 discharges from secure hospital services in the UK and were compared on a number of pre and post treatment variables. Findings suggest that within the secure hospital system, those with intellectual disability alone and personality disorder alone are strikingly distinct on most of the examined parameters. The ID-PD group had higher scores on the PCL:SV and the HCR-20 than both the ID group and the PD group. In terms of outcomes, this group appeared to follow a path closer to those with intellectual disability.", "author" : [ { "dropping-particle" : "", "family" : "Alexander", "given" : "Regi T.", "non-dropping-particle" : "", "parse-names" : false, "suffix" : "" }, { "dropping-particle" : "", "family" : "Chester", "given" : "Verity", "non-dropping-particle" : "", "parse-names" : false, "suffix" : "" }, { "dropping-particle" : "", "family" : "Gray", "given" : "Nicola S.", "non-dropping-particle" : "", "parse-names" : false, "suffix" : "" }, { "dropping-particle" : "", "family" : "Snowden", "given" : "Robert J.", "non-dropping-particle" : "", "parse-names" : false, "suffix" : "" } ], "container-title" : "Journal of Forensic Psychiatry &amp; Psychology", "id" : "ITEM-1", "issue" : "4", "issued" : { "date-parts" : [ [ "2012" ] ] }, "page" : "435-451", "title" : "Patients with personality disorders and intellectual disability \u2013 closer to personality disorders or intellectual disability? A three-way comparison", "type" : "article-journal", "volume" : "23" }, "uris" : [ "http://www.mendeley.com/documents/?uuid=875e8261-a7f3-4e1b-925e-2e20c0440b29" ] } ], "mendeley" : { "formattedCitation" : "(29)", "plainTextFormattedCitation" : "(29)", "previouslyFormattedCitation" : "(29)"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(29)</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while another set of studies using the same dataset reported on whether there was re-offending behaviour within the two years following discharge from hospital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"10.1037/1040-3590.19.4.474", "ISBN" : "10403590 (ISSN)", "ISSN" : "1040-3590", "PMID" : "18085940", "abstract" : "Accurate predictions of future reconviction, including those for violent crimes, have been shown to be greatly aided by the use of formal risk assessment instruments. However, it is unclear as to whether these instruments would also be predictive in a sample of offenders with intellectual disabilities. In this study, the authors have shown that the Violence Risk Appraisal Guide (V. L. Quinsey, G. T. Harris, M. E. Rice, &amp; C. Cormier, 1998); the Psychopathy Checklist--Screening Version (S. D. Hart, D. N. Cox, &amp; R. D. Hare, 1995); and the History, Clinical, Risk Management--20 (C. D. Webster, K. S. Douglas, D. Eaves, &amp; S. D. Hart, 1997) were all significant predictors of violent and general reconviction in this sample, and in many cases, their efficacy was greater than in a control sample of mentally disordered offenders without an intellectual disability.", "author" : [ { "dropping-particle" : "", "family" : "Gray", "given" : "Nicola S", "non-dropping-particle" : "", "parse-names" : false, "suffix" : "" }, { "dropping-particle" : "", "family" : "Fitzgerald", "given" : "Suzanne", "non-dropping-particle" : "", "parse-names" : false, "suffix" : "" }, { "dropping-particle" : "", "family" : "Taylor", "given" : "John", "non-dropping-particle" : "", "parse-names" : false, "suffix" : "" }, { "dropping-particle" : "", "family" : "Macculloch", "given" : "Malcolm J", "non-dropping-particle" : "", "parse-names" : false, "suffix" : "" }, { "dropping-particle" : "", "family" : "Snowden", "given" : "Robert J", "non-dropping-particle" : "", "parse-names" : false, "suffix" : "" } ], "container-title" : "Psychological assessment", "id" : "ITEM-1", "issue" : "4", "issued" : { "date-parts" : [ [ "2007" ] ] }, "page" : "474-479", "title" : "Predicting future reconviction in offenders with intellectual disabilities: the predictive efficacy of VRAG, PCL-SV, and the HCR-20.", "type" : "article-journal", "volume" : "19" }, "uris" : [ "http://www.mendeley.com/documents/?uuid=68e558d7-06d1-3d03-9e00-d5bf01336238" ] } ], "mendeley" : { "formattedCitation" : "(30)", "plainTextFormattedCitation" : "(30)", "previouslyFormattedCitation" : "(30)"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(30)</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"abstract" : "Abstract The literature on risk factors for recidivism in offenders with intellectual disability (ID) is inconsistent and inconclusive compared to the field of mainstream criminality where the predictive efficacy of social psychological and criminological factors is well established (Gendreau, Little &amp; Goggin, Criminology, 34, 575\u2013607, 1996). Criminological variables have also been reported to have superior predictive efficacy over clinical variables in a large meta-analysis of recidivism in other mentally disordered offenders (Bonta, Law, &amp; Hanson, Psychological Bulletin, 123, 123\u2013142, 1998). The current study replicated this finding in a sample of offenders with ID (n=145) discharged from four independent sector medium secure units in the UK between 1990 and 2001. Over a two-year follow-up period criminal history variables were significantly related to general recidivism. A subsequent analysis found the Offender Group Re-conviction Scale, a criminogenic risk assessment instrument designed for use in gen...", "author" : [ { "dropping-particle" : "", "family" : "Fitzgerald", "given" : "Suzanne", "non-dropping-particle" : "", "parse-names" : false, "suffix" : "" }, { "dropping-particle" : "", "family" : "Gray", "given" : "Nicola S.", "non-dropping-particle" : "", "parse-names" : false, "suffix" : "" }, { "dropping-particle" : "", "family" : "Taylor", "given" : "John", "non-dropping-particle" : "", "parse-names" : false, "suffix" : "" }, { "dropping-particle" : "", "family" : "Snowden", "given" : "Robert J.", "non-dropping-particle" : "", "parse-names" : false, "suffix" : "" } ], "container-title" : "Psychology, Crime &amp; Law", "id" : "ITEM-1", "issued" : { "date-parts" : [ [ "2011" ] ] }, "publisher" : "Taylor &amp; Francis Group", "title" : "Risk factors for recidivism in offenders with intellectual disabilities", "type" : "article-journal" }, "uris" : [ "http://www.mendeley.com/documents/?uuid=5d7d0880-fa5a-3b4a-9a56-0c90b7b788cf" ] } ], "mendeley" : { "formattedCitation" : "(31)", "plainTextFormattedCitation" : "(31)", "previouslyFormattedCitation" : "(31)"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(31)</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Another, based in Australia, considered arrest data, and “any criminal justice involvement” following discharge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"10.1108/20420921211327365", "ISBN" : "2042-0927", "ISSN" : "2042-0927", "abstract" : "Purpose \u2013 Individuals with intellectual disability (ID), mental health needs and criminal justice system involvement are likely to be admitted to forensic units; however, not all of those individuals are served in that system. It is, therefore, important to understand the profile of those admitted to non\u2010forensic specialized units for individuals with ID and mental health issues. This paper aims to address this issue.Design/methodology/approach \u2013 Demographic, clinical and criminal profiles of individuals discharged over nine years from a specialized dual diagnosis program were reviewed to delineate clinical subgroups.Findings \u2013 A total of 20 out of 84 total discharges were identified as having past or current criminal justice system involvement. The most common offence was assault and 60 per cent of these individuals had admissions longer than one year. Subgroups by psychiatric diagnosis differed in their age, legal status, offence history, and length of hospital stay, as well as in therapeutic interventi...", "author" : [ { "dropping-particle" : "", "family" : "Palucka", "given" : "Anna M.", "non-dropping-particle" : "", "parse-names" : false, "suffix" : "" }, { "dropping-particle" : "", "family" : "Raina", "given" : "Poonam", "non-dropping-particle" : "", "parse-names" : false, "suffix" : "" }, { "dropping-particle" : "", "family" : "Liu", "given" : "Shi\u2010Kai", "non-dropping-particle" : "", "parse-names" : false, "suffix" : "" }, { "dropping-particle" : "", "family" : "Lunsky", "given" : "Yona", "non-dropping-particle" : "", "parse-names" : false, "suffix" : "" } ], "container-title" : "Journal of Learning Disabilities and Offending Behaviour", "id" : "ITEM-1", "issue" : "4", "issued" : { "date-parts" : [ [ "2012" ] ] }, "page" : "219-227", "publisher" : "Emerald Group Publishing Limited", "title" : "The clinical profiles of forensic inpatients with intellectual disabilities in a specialized unit", "type" : "article-journal", "volume" : "3" }, "uris" : [ "http://www.mendeley.com/documents/?uuid=7549a849-a629-3c8d-bd7d-07b55a277db4" ] } ], "mendeley" : { "formattedCitation" : "(32)", "plainTextFormattedCitation" : "(32)", "previouslyFormattedCitation" : "(32)"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(32)</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A series of studies, based in the community, considered whether treatment within the context of a community-based forensic service led to a reduction in offending behaviours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"10.1002/cbm.1859", "ISSN" : "1471-2857", "PMID" : "23595864", "abstract" : "BACKGROUND Since the middle of the 20th century, there have been several heterogeneous studies of recidivism by offenders with intellectual disabilities (ID) who have been in specialist mental health services after an index offence. Although some were long term, as befits a chronically needy group, laws and services have changed in that time. It may no longer be appropriate to rely on findings from the 1960s and 1970s. AIMS To compare mental health presentations and recidivism between male sex offenders, men convicted of other offences and female offenders from a 1986-2008 cohort of offenders referred to specialist forensic ID services in Scotland. METHOD A 20-year follow-up of an assessment and treatment service for 309 offenders with ID (156 sex offenders, 126 non sexual male offenders and 27 women) was conducted. RESULTS Sex offenders were more likely to be referred from the courts and had lower anger levels. Women were more likely to be diagnosed with mental illness. There was a split between groups with sex offenders committing few nonsexual offences and the other groups showing few sexual offences. During the study period, 16% of sexual offenders, 43% of male nonsexual offenders and 23% of women committed at least one further offence. Following assessment and treatment there was a 90-95% reduction in offending incidents. CONCLUSIONS Although recidivism rates are disappointing, harm reduction data suggests that assessment and treatment for offenders with ID can be highly successful in terms of public safety.", "author" : [ { "dropping-particle" : "", "family" : "Lindsay", "given" : "William R", "non-dropping-particle" : "", "parse-names" : false, "suffix" : "" }, { "dropping-particle" : "", "family" : "Steptoe", "given" : "Lesley", "non-dropping-particle" : "", "parse-names" : false, "suffix" : "" }, { "dropping-particle" : "", "family" : "Wallace", "given" : "Lisa", "non-dropping-particle" : "", "parse-names" : false, "suffix" : "" }, { "dropping-particle" : "", "family" : "Haut", "given" : "Fabian", "non-dropping-particle" : "", "parse-names" : false, "suffix" : "" }, { "dropping-particle" : "", "family" : "Brewster", "given" : "Eleanor", "non-dropping-particle" : "", "parse-names" : false, "suffix" : "" } ], "container-title" : "Criminal behaviour and mental health : CBMH", "id" : "ITEM-1", "issue" : "2", "issued" : { "date-parts" : [ [ "2013", "4" ] ] }, "page" : "138-49", "title" : "An evaluation and 20-year follow-up of a community forensic intellectual disability service.", "type" : "article-journal", "volume" : "23" }, "uris" : [ "http://www.mendeley.com/documents/?uuid=799653e0-ac74-3888-8f04-0774c658a1a2" ] } ], "mendeley" : { "formattedCitation" : "(33)", "plainTextFormattedCitation" : "(33)", "previouslyFormattedCitation" : "(33)"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(33)</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"10.1177/0886260504266884", "ISSN" : "0886-2605", "PMID" : "15231027", "abstract" : "This article reports an evaluation of a community intellectual disability offender service over the period from 1990 to 2001. Men who committed sex offenses or sexually abusive incidents (n = 106) and men who committed other types of offenses and serious incidents (n = 78) are compared on personal characteristics, referral sources, forensic details, and outcome up to 7 years after referral. The cohorts are older than one would expect from the criminology literature, and, at about 33%, the incidence of mental illness is consistent with some previous studies. A greater proportion of sex offenders had criminal justice involvement and a formal disposal from court. Fire raising was not overly represented as an offense. There was a higher rate of reoffending in the nonsexual cohort, which persisted up to 7 years. Investigating only reoffenders, there was a considerable amount of harm reduction recorded up to 7 years, statistically significant up to 5 years following initial referral.", "author" : [ { "dropping-particle" : "", "family" : "Lindsay", "given" : "William R", "non-dropping-particle" : "", "parse-names" : false, "suffix" : "" }, { "dropping-particle" : "", "family" : "Smith", "given" : "Anne H W", "non-dropping-particle" : "", "parse-names" : false, "suffix" : "" }, { "dropping-particle" : "", "family" : "Law", "given" : "Jacqueline", "non-dropping-particle" : "", "parse-names" : false, "suffix" : "" }, { "dropping-particle" : "", "family" : "Quinn", "given" : "Kathleen", "non-dropping-particle" : "", "parse-names" : false, "suffix" : "" }, { "dropping-particle" : "", "family" : "Anderson", "given" : "Andrew", "non-dropping-particle" : "", "parse-names" : false, "suffix" : "" }, { "dropping-particle" : "", "family" : "Smith", "given" : "Astrid", "non-dropping-particle" : "", "parse-names" : false, "suffix" : "" }, { "dropping-particle" : "", "family" : "Allan", "given" : "Ronald", "non-dropping-particle" : "", "parse-names" : false, "suffix" : "" } ], "container-title" : "Journal of interpersonal violence", "id" : "ITEM-1", "issue" : "8", "issued" : { "date-parts" : [ [ "2004", "8" ] ] }, "page" : "875-90", "title" : "Sexual and nonsexual offenders with intellectual and learning disabilities: a comparison of characteristics, referral patterns, and outcome.", "type" : "article-journal", "volume" : "19" }, "uris" : [ "http://www.mendeley.com/documents/?uuid=975f9595-2537-3ede-8afa-8d2a7ad68015" ] } ], "mendeley" : { "formattedCitation" : "(34)", "plainTextFormattedCitation" : "(34)", "previouslyFormattedCitation" : "(34)"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(34)</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"10.1348/135532505X55669", "ISSN" : "13553259", "author" : [ { "dropping-particle" : "", "family" : "Lindsay", "given" : "William R.", "non-dropping-particle" : "", "parse-names" : false, "suffix" : "" }, { "dropping-particle" : "", "family" : "Steele", "given" : "Lynn", "non-dropping-particle" : "", "parse-names" : false, "suffix" : "" }, { "dropping-particle" : "", "family" : "Smith", "given" : "Anne H. W.", "non-dropping-particle" : "", "parse-names" : false, "suffix" : "" }, { "dropping-particle" : "", "family" : "Quinn", "given" : "Kathleen", "non-dropping-particle" : "", "parse-names" : false, "suffix" : "" }, { "dropping-particle" : "", "family" : "Allan", "given" : "Ronald", "non-dropping-particle" : "", "parse-names" : false, "suffix" : "" } ], "container-title" : "Legal and Criminological Psychology", "id" : "ITEM-1", "issue" : "1", "issued" : { "date-parts" : [ [ "2006", "2", "1" ] ] }, "page" : "113-130", "publisher" : "Blackwell Publishing Ltd", "title" : "A community forensic intellectual disability service: Twelve year follow up of referrals, analysis of referral patterns and assessment of harm reduction", "type" : "article-journal", "volume" : "11" }, "uris" : [ "http://www.mendeley.com/documents/?uuid=b119ce6c-8d0b-3df1-938b-0d8366d29922" ] } ], "mendeley" : { "formattedCitation" : "(35)", "plainTextFormattedCitation" : "(35)", "previouslyFormattedCitation" : "(35)"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(35)</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It is important to note that many people with IDs may not be formally dealt with by criminal justice agencies, and as a consequence, “formal” arrest and conviction data may not be a valid index of re-offending. Hence the category of “reoffending like behaviour” described in these studies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"10.5042/amhid.2011.0013", "ISSN" : "2044-1282", "author" : [ { "dropping-particle" : "", "family" : "Alexander", "given" : "Regi", "non-dropping-particle" : "", "parse-names" : false, "suffix" : "" }, { "dropping-particle" : "", "family" : "Hiremath", "given" : "Avinash", "non-dropping-particle" : "", "parse-names" : false, "suffix" : "" }, { "dropping-particle" : "", "family" : "Chester", "given" : "Verity", "non-dropping-particle" : "", "parse-names" : false, "suffix" : "" }, { "dropping-particle" : "", "family" : "Green", "given" : "Fatima", "non-dropping-particle" : "", "parse-names" : false, "suffix" : "" }, { "dropping-particle" : "", "family" : "Gunaratna", "given" : "Ignatius", "non-dropping-particle" : "", "parse-names" : false, "suffix" : "" }, { "dropping-particle" : "", "family" : "Hoare", "given" : "Sudeep", "non-dropping-particle" : "", "parse-names" : false, "suffix" : "" } ], "container-title" : "Advances in Mental Health and Intellectual Disabilities", "id" : "ITEM-1", "issue" : "1", "issued" : { "date-parts" : [ [ "2011", "1", "24" ] ] }, "page" : "22-32", "title" : "Evaluation of treatment outcomes from a medium secure unit for people with intellectual disability", "type" : "article-journal", "volume" : "5" }, "uris" : [ "http://www.mendeley.com/documents/?uuid=68fa1327-de5c-3efc-964f-58da3bc311b8" ] } ], "mendeley" : { "formattedCitation" : "(5)", "plainTextFormattedCitation" : "(5)", "previouslyFormattedCitation" : "(5)"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(5)</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"10.1111/j.1365-2788.2006.00806.x", "ISSN" : "0964-2633", "PMID" : "16507035", "abstract" : "BACKGROUND The purpose of this paper is to describe long-term outcomes for patients discharged over a 12-year period from a medium secure service for people with intellectual disabilities (ID). METHODS A cohort study using case-notes analysis and a structured interview of current key informants. RESULTS Eleven per cent of the sample was reconvicted. Fifty-eight per cent of the sample showed offending-like behaviour that did not lead to police contact. Twenty-eight per cent of the sample was currently detained in hospital under the Mental Health Act. The presence of a personality disorder, a history of theft or burglary, and young age increased the risk of reconviction. Contact with the police was less likely in those with schizophrenia. Re-admission to hospital was associated with the presence of offending-like behaviours, rather than any specific diagnosis. CONCLUSION In terms of reconviction, these results are good compared with those from general forensic services; however, behavioural problems continue for many years and are managed without recourse to the criminal justice system. There is a borderline group whose needs are poorly defined and serviced. Declaration of interests Horizon National Health Service Trust, the managing authority of the service, gave the grant for this study; the corresponding author was working in the service.", "author" : [ { "dropping-particle" : "", "family" : "Alexander", "given" : "R T", "non-dropping-particle" : "", "parse-names" : false, "suffix" : "" }, { "dropping-particle" : "", "family" : "Crouch", "given" : "K", "non-dropping-particle" : "", "parse-names" : false, "suffix" : "" }, { "dropping-particle" : "", "family" : "Halstead", "given" : "S", "non-dropping-particle" : "", "parse-names" : false, "suffix" : "" }, { "dropping-particle" : "", "family" : "Piachaud", "given" : "J", "non-dropping-particle" : "", "parse-names" : false, "suffix" : "" }, { "dropping-particle" : "", "family" : "Piachaud", "given" : "J.", "non-dropping-particle" : "", "parse-names" : false, "suffix" : "" }, { "dropping-particle" : "", "family" : "Singh", "given" : "I.", "non-dropping-particle" : "", "parse-names" : false, "suffix" : "" }, { "dropping-particle" : "", "family" : "Alexander", "given" : "RT.", "non-dropping-particle" : "", "parse-names" : false, "suffix" : "" }, { "dropping-particle" : "", "family" : "Piachaud", "given" : "J.", "non-dropping-particle" : "", "parse-names" : false, "suffix" : "" }, { "dropping-particle" : "", "family" : "Odebiyi", "given" : "L.", "non-dropping-particle" : "", "parse-names" : false, "suffix" : "" }, { "dropping-particle" : "", "family" : "Alexander", "given" : "RT.", "non-dropping-particle" : "", "parse-names" : false, "suffix" : "" }, { "dropping-particle" : "", "family" : "Crouch", "given" : "K.", "non-dropping-particle" : "", "parse-names" : false, "suffix" : "" }, { "dropping-particle" : "", "family" : "Halstead", "given" : "S.", "non-dropping-particle" : "", "parse-names" : false, "suffix" : "" }, { "dropping-particle" : "", "family" : "Bjelogrlic-Laakso", "given" : "N.", "non-dropping-particle" : "", "parse-names" : false, "suffix" : "" }, { "dropping-particle" : "", "family" : "Aaltonen", "given" : "S.", "non-dropping-particle" : "", "parse-names" : false, "suffix" : "" }, { "dropping-particle" : "", "family" : "Dorn", "given" : "T.", "non-dropping-particle" : "", "parse-names" : false, "suffix" : "" }, { "dropping-particle" : "", "family" : "Commission", "given" : "Care Quality", "non-dropping-particle" : "", "parse-names" : false, "suffix" : "" }, { "dropping-particle" : "", "family" : "Carroll", "given" : "A.", "non-dropping-particle" : "", "parse-names" : false, "suffix" : "" }, { "dropping-particle" : "", "family" : "Lyall", "given" : "M.", "non-dropping-particle" : "", "parse-names" : false, "suffix" : "" }, { "dropping-particle" : "", "family" : "Forrester", "given" : "A.", "non-dropping-particle" : "", "parse-names" : false, "suffix" : "" }, { "dropping-particle" : "", "family" : "Chaplin", "given" : "R.", "non-dropping-particle" : "", "parse-names" : false, "suffix" : "" }, { "dropping-particle" : "", "family" : "Chaplin", "given" : "R.", "non-dropping-particle" : "", "parse-names" : false, "suffix" : "" }, { "dropping-particle" : "", "family" : "Cooper", "given" : "S-A.", "non-dropping-particle" : "", "parse-names" : false, "suffix" : "" }, { "dropping-particle" : "", "family" : "Smiley", "given" : "E.", "non-dropping-particle" : "", "parse-names" : false, "suffix" : "" }, { "dropping-particle" : "", "family" : "Morrison", "given" : "J.", "non-dropping-particle" : "", "parse-names" : false, "suffix" : "" }, { "dropping-particle" : "", "family" : "Cresswell", "given" : "J.", "non-dropping-particle" : "", "parse-names" : false, "suffix" : "" }, { "dropping-particle" : "", "family" : "Bleksley", "given" : "S.", "non-dropping-particle" : "", "parse-names" : false, "suffix" : "" }, { "dropping-particle" : "", "family" : "Lemmey", "given" : "S.", "non-dropping-particle" : "", "parse-names" : false, "suffix" : "" }, { "dropping-particle" : "", "family" : "Health", "given" : "Department of", "non-dropping-particle" : "", "parse-names" : false, "suffix" : "" }, { "dropping-particle" : "", "family" : "Health", "given" : "Department of", "non-dropping-particle" : "", "parse-names" : false, "suffix" : "" }, { "dropping-particle" : "", "family" : "Health", "given" : "Department of", "non-dropping-particle" : "", "parse-names" : false, "suffix" : "" }, { "dropping-particle" : "", "family" : "Health", "given" : "Department of", "non-dropping-particle" : "", "parse-names" : false, "suffix" : "" }, { "dropping-particle" : "", "family" : "Emerson", "given" : "E.", "non-dropping-particle" : "", "parse-names" : false, "suffix" : "" }, { "dropping-particle" : "", "family" : "Baines", "given" : "S.", "non-dropping-particle" : "", "parse-names" : false, "suffix" : "" }, { "dropping-particle" : "", "family" : "Hall", "given" : "I.", "non-dropping-particle" : "", "parse-names" : false, "suffix" : "" }, { "dropping-particle" : "", "family" : "Parkes", "given" : "C.", "non-dropping-particle" : "", "parse-names" : false, "suffix" : "" }, { "dropping-particle" : "", "family" : "Higgins", "given" : "A.", "non-dropping-particle" : "", "parse-names" : false, "suffix" : "" }, { "dropping-particle" : "", "family" : "Hall", "given" : "I.", "non-dropping-particle" : "", "parse-names" : false, "suffix" : "" }, { "dropping-particle" : "", "family" : "Parkes", "given" : "C.", "non-dropping-particle" : "", "parse-names" : false, "suffix" : "" }, { "dropping-particle" : "", "family" : "Samuels", "given" : "S.", "non-dropping-particle" : "", "parse-names" : false, "suffix" : "" }, { "dropping-particle" : "", "family" : "Centre", "given" : "Health and Social Care Information", "non-dropping-particle" : "", "parse-names" : false, "suffix" : "" }, { "dropping-particle" : "", "family" : "Holland", "given" : "T.", "non-dropping-particle" : "", "parse-names" : false, "suffix" : "" }, { "dropping-particle" : "", "family" : "Clare", "given" : "ICH.", "non-dropping-particle" : "", "parse-names" : false, "suffix" : "" }, { "dropping-particle" : "", "family" : "Mukhopadhyay", "given" : "T.", "non-dropping-particle" : "", "parse-names" : false, "suffix" : "" }, { "dropping-particle" : "", "family" : "Hollins", "given" : "S.", "non-dropping-particle" : "", "parse-names" : false, "suffix" : "" }, { "dropping-particle" : "", "family" : "Kennedy", "given" : "HG.", "non-dropping-particle" : "", "parse-names" : false, "suffix" : "" }, { "dropping-particle" : "", "family" : "Lindsey", "given" : "M.", "non-dropping-particle" : "", "parse-names" : false, "suffix" : "" }, { "dropping-particle" : "", "family" : "Morgan", "given" : "VA.", "non-dropping-particle" : "", "parse-names" : false, "suffix" : "" }, { "dropping-particle" : "", "family" : "Leonard", "given" : "H.", "non-dropping-particle" : "", "parse-names" : false, "suffix" : "" }, { "dropping-particle" : "", "family" : "Bourke", "given" : "J.", "non-dropping-particle" : "", "parse-names" : false, "suffix" : "" }, { "dropping-particle" : "", "family" : "Moss", "given" : "S.", "non-dropping-particle" : "", "parse-names" : false, "suffix" : "" }, { "dropping-particle" : "", "family" : "Emerson", "given" : "E.", "non-dropping-particle" : "", "parse-names" : false, "suffix" : "" }, { "dropping-particle" : "", "family" : "Bouras", "given" : "N.", "non-dropping-particle" : "", "parse-names" : false, "suffix" : "" }, { "dropping-particle" : "", "family" : "Confederation", "given" : "NHS", "non-dropping-particle" : "", "parse-names" : false, "suffix" : "" }, { "dropping-particle" : "", "family" : "England", "given" : "NHS", "non-dropping-particle" : "", "parse-names" : false, "suffix" : "" }, { "dropping-particle" : "", "family" : "Phillips", "given" : "N.", "non-dropping-particle" : "", "parse-names" : false, "suffix" : "" }, { "dropping-particle" : "", "family" : "Plant", "given" : "A.", "non-dropping-particle" : "", "parse-names" : false, "suffix" : "" }, { "dropping-particle" : "", "family" : "McDermott", "given" : "E.", "non-dropping-particle" : "", "parse-names" : false, "suffix" : "" }, { "dropping-particle" : "", "family" : "Chester", "given" : "V.", "non-dropping-particle" : "", "parse-names" : false, "suffix" : "" }, { "dropping-particle" : "", "family" : "Royal College of Psychiatrists", "given" : "British Psychological Society, Royal College of Speech and Language Therapists", "non-dropping-particle" : "", "parse-names" : false, "suffix" : "" }, { "dropping-particle" : "", "family" : "Psychiatrists", "given" : "Royal College of", "non-dropping-particle" : "", "parse-names" : false, "suffix" : "" }, { "dropping-particle" : "", "family" : "Psychiatrists", "given" : "Royal College of", "non-dropping-particle" : "", "parse-names" : false, "suffix" : "" }, { "dropping-particle" : "", "family" : "Psychiatrists", "given" : "Royal College of", "non-dropping-particle" : "", "parse-names" : false, "suffix" : "" }, { "dropping-particle" : "", "family" : "Tajuddin", "given" : "M.", "non-dropping-particle" : "", "parse-names" : false, "suffix" : "" }, { "dropping-particle" : "", "family" : "Nadkarni", "given" : "S.", "non-dropping-particle" : "", "parse-names" : false, "suffix" : "" }, { "dropping-particle" : "", "family" : "Biswas", "given" : "A.", "non-dropping-particle" : "", "parse-names" : false, "suffix" : "" }, { "dropping-particle" : "", "family" : "Tucker", "given" : "S.", "non-dropping-particle" : "", "parse-names" : false, "suffix" : "" }, { "dropping-particle" : "", "family" : "Hughes", "given" : "T.", "non-dropping-particle" : "", "parse-names" : false, "suffix" : "" }, { "dropping-particle" : "", "family" : "Tucker", "given" : "S.", "non-dropping-particle" : "", "parse-names" : false, "suffix" : "" }, { "dropping-particle" : "", "family" : "Iqbal", "given" : "M.", "non-dropping-particle" : "", "parse-names" : false, "suffix" : "" }, { "dropping-particle" : "", "family" : "Holder", "given" : "S.", "non-dropping-particle" : "", "parse-names" : false, "suffix" : "" }, { "dropping-particle" : "", "family" : "Organization", "given" : "World Health", "non-dropping-particle" : "", "parse-names" : false, "suffix" : "" }, { "dropping-particle" : "", "family" : "Xeniditis", "given" : "K.", "non-dropping-particle" : "", "parse-names" : false, "suffix" : "" }, { "dropping-particle" : "", "family" : "Russell", "given" : "A.", "non-dropping-particle" : "", "parse-names" : false, "suffix" : "" }, { "dropping-particle" : "", "family" : "Murphy", "given" : "D.", "non-dropping-particle" : "", "parse-names" : false, "suffix" : "" } ], "container-title" : "Journal of intellectual disability research : JIDR", "id" : "ITEM-1", "issue" : "Pt 4", "issued" : { "date-parts" : [ [ "2006", "4" ] ] }, "page" : "305-15", "publisher" : "The Royal College of Psychiatrists", "title" : "Long-term outcome from a medium secure service for people with intellectual disability.", "type" : "article-journal", "volume" : "50" }, "uris" : [ "http://www.mendeley.com/documents/?uuid=35484a70-f1f6-3a0c-aef1-b29aac463832" ] } ], "mendeley" : { "formattedCitation" : "(26)", "plainTextFormattedCitation" : "(26)", "previouslyFormattedCitation" : "(26)"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(26)</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"abstract" : "Thirty\u2010five patients who had received at least one year's treatment in a learning\u2010disability medium secure unit were followed up for a maximum of five years. A good treatment outcome was more common in those with significant learning disability. At the end of follow\u2010up, 21 subjects (60%) were living in the community with support. The early months after discharge were a peak period for relapse. A very low level of reconviction was found, affecting only one subject. Patients who were older on discharge were less likely to re\u2010offend. The two deaths that occurred during follow\u2010up, and the three patients who required special (high security) hospital referral, are reported in detail. The findings are contrasted with the only comparable study (Day, 1988).", "author" : [ { "dropping-particle" : "", "family" : "Halstead", "given" : "Simon", "non-dropping-particle" : "", "parse-names" : false, "suffix" : "" }, { "dropping-particle" : "", "family" : "Cahill", "given" : "Alyson", "non-dropping-particle" : "", "parse-names" : false, "suffix" : "" }, { "dropping-particle" : "", "family" : "Fernando", "given" : "Lalini", "non-dropping-particle" : "", "parse-names" : false, "suffix" : "" }, { "dropping-particle" : "", "family" : "Isweran", "given" : "Mike", "non-dropping-particle" : "", "parse-names" : false, "suffix" : "" } ], "container-title" : "The British Journal of Forensic Practice", "id" : "ITEM-1", "issue" : "1", "issued" : { "date-parts" : [ [ "2001" ] ] }, "page" : "11-21", "publisher" : "MCB UP Ltd", "title" : "Discharges from a Learning-disability medium Secure Unit: What Happens to Them?", "type" : "article-journal", "volume" : "3" }, "uris" : [ "http://www.mendeley.com/documents/?uuid=6b19b4d4-93e1-3b0b-9c12-d05a400339a7" ] } ], "mendeley" : { "formattedCitation" : "(36)", "plainTextFormattedCitation" : "(36)", "previouslyFormattedCitation" : "(36)"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(36)</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"10.1046/j.1468-3148.2002.00111.x", "ISSN" : "1360-2322", "author" : [ { "dropping-particle" : "", "family" : "Lindsay", "given" : "William R.", "non-dropping-particle" : "", "parse-names" : false, "suffix" : "" }, { "dropping-particle" : "", "family" : "Smith", "given" : "Anne H. W.", "non-dropping-particle" : "", "parse-names" : false, "suffix" : "" }, { "dropping-particle" : "", "family" : "Law", "given" : "Jacqueline", "non-dropping-particle" : "", "parse-names" : false, "suffix" : "" }, { "dropping-particle" : "", "family" : "Quinn", "given" : "Kathleen", "non-dropping-particle" : "", "parse-names" : false, "suffix" : "" }, { "dropping-particle" : "", "family" : "Anderson", "given" : "Andrew", "non-dropping-particle" : "", "parse-names" : false, "suffix" : "" }, { "dropping-particle" : "", "family" : "Smith", "given" : "Astrid", "non-dropping-particle" : "", "parse-names" : false, "suffix" : "" }, { "dropping-particle" : "", "family" : "Overend", "given" : "Tim", "non-dropping-particle" : "", "parse-names" : false, "suffix" : "" }, { "dropping-particle" : "", "family" : "Allan", "given" : "Ronald", "non-dropping-particle" : "", "parse-names" : false, "suffix" : "" } ], "container-title" : "Journal of Applied Research in Intellectual Disabilities", "id" : "ITEM-1", "issue" : "2", "issued" : { "date-parts" : [ [ "2002", "6" ] ] }, "page" : "166-174", "publisher" : "Blackwell Science, Ltd", "title" : "A Treatment Service for Sex Offenders and Abusers with Intellectual Disability: Characteristics of Referrals and Evaluation", "type" : "article-journal", "volume" : "15" }, "uris" : [ "http://www.mendeley.com/documents/?uuid=5cf079fa-ab2e-33c0-b3c6-452b8e960313" ] } ], "mendeley" : { "formattedCitation" : "(37)", "plainTextFormattedCitation" : "(37)", "previouslyFormattedCitation" : "(37)"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(37)</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"10.1016/S0891-4222(03)00029-5", "ISSN" : "08914222", "abstract" : "This study examined recidivism, defined as arrests, among 252 clients who were accepted into a case management program for offenders with developmental disabilities. Overall, 40% of clients were arrested while participating in the program, and 34% were arrested within 6 months after case closure. The crimes for which clients were arrested tended to be minor: 21% were for probation or parole violations not associated with new criminal acts, 39% were for misdemeanors, 27% were nonviolent felonies, and 12% were for felonies against persons. Clients who completed the program (N=115) were less likely to be arrested after case closure than those who dropped out of the program (N=112), 25 and 43%, respectively. Other factors associated with arrests after case closure included having a developmental disability other than mental retardation, living in an urban area, being referred to the program by a criminal justice agency or through a private referral rather than a social service agency, and being arrested while in the program. Implications are discussed for service provision and evaluation of programs that work with offenders with developmental disabilities.", "author" : [ { "dropping-particle" : "", "family" : "Linhorst", "given" : "Donald M", "non-dropping-particle" : "", "parse-names" : false, "suffix" : "" }, { "dropping-particle" : "", "family" : "McCutchen", "given" : "Tami A", "non-dropping-particle" : "", "parse-names" : false, "suffix" : "" }, { "dropping-particle" : "", "family" : "Bennett", "given" : "Leslie", "non-dropping-particle" : "", "parse-names" : false, "suffix" : "" } ], "container-title" : "Research in Developmental Disabilities", "id" : "ITEM-1", "issue" : "3", "issued" : { "date-parts" : [ [ "2003" ] ] }, "page" : "210-230", "title" : "Recidivism among offenders with developmental disabilities participating in a case management program", "type" : "article-journal", "volume" : "24" }, "uris" : [ "http://www.mendeley.com/documents/?uuid=08444207-17a6-3529-acc5-90f6c6ff222b" ] } ], "mendeley" : { "formattedCitation" : "(38)", "plainTextFormattedCitation" : "(38)", "previouslyFormattedCitation" : "(38)"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(38)</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is one which is important because it is likely to have increased validity.    </w:t>
      </w:r>
    </w:p>
    <w:p w14:paraId="1D715752"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202FA036"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Risk also emerged as a likely sub-domain which could be used to index the effectiveness of forensic services for people with IDs.   The vast majority of these studies reported on their use of structured clinical judgement tools, such as the HCR-20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"10.1080/14999013.2014.906519", "ISSN" : "1499-9013", "abstract" : "The HCR-20 Version 3 (HCR-20V3) was published in 2013, after several years of development and revision work. It replaces Version 2, published in 1997, on which there have been more than 200 disseminations based on more than 33,000 cases across 25 countries. This article explains (1) why a revision was necessary, (2) the steps we took in the revision process, (3) key changes between Version 2 and Version 3, and (4) an overview of HCR-20V3's risk factors and administration steps. Recommendations for evaluating Version 3 are provided.", "author" : [ { "dropping-particle" : "", "family" : "Douglas", "given" : "Kevin S.", "non-dropping-particle" : "", "parse-names" : false, "suffix" : "" }, { "dropping-particle" : "", "family" : "Hart", "given" : "Stephen D.", "non-dropping-particle" : "", "parse-names" : false, "suffix" : "" }, { "dropping-particle" : "", "family" : "Webster", "given" : "Christopher D.", "non-dropping-particle" : "", "parse-names" : false, "suffix" : "" }, { "dropping-particle" : "", "family" : "Belfrage", "given" : "Henrik", "non-dropping-particle" : "", "parse-names" : false, "suffix" : "" }, { "dropping-particle" : "", "family" : "Guy", "given" : "Laura S.", "non-dropping-particle" : "", "parse-names" : false, "suffix" : "" }, { "dropping-particle" : "", "family" : "Wilson", "given" : "Catherine M.", "non-dropping-particle" : "", "parse-names" : false, "suffix" : "" }, { "dropping-particle" : "", "family" : "Management-", "given" : "Catherine M Wilson Historical-clinical-risk", "non-dropping-particle" : "", "parse-names" : false, "suffix" : "" } ], "container-title" : "International Journal of Forensic Mental Health", "id" : "ITEM-1", "issue" : "December 2015", "issued" : { "date-parts" : [ [ "2014" ] ] }, "page" : "93-108", "publisher" : "Routledge", "title" : "Historical-Clinical-Risk Management-20, Version 3 (HCR-20): Development and Overview Historical-Clinical-Risk Management-20, Version 3 (HCR-20 V3): Development and Overview", "type" : "article-journal", "volume" : "13" }, "uris" : [ "http://www.mendeley.com/documents/?uuid=d6f81ad4-3db1-3d07-9bf9-57eaaad7b578" ] } ], "mendeley" : { "formattedCitation" : "(39)", "plainTextFormattedCitation" : "(39)", "previouslyFormattedCitation" : "(39)"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(39)</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with several others considering actuarial risk assessment measures, such as the VRAG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"author" : [ { "dropping-particle" : "", "family" : "Harris G. T., Rice, M. E. &amp; Camilleri", "given" : "J.A.", "non-dropping-particle" : "", "parse-names" : false, "suffix" : "" } ], "container-title" : "Journal of Interpersonal Violence", "id" : "ITEM-1", "issued" : { "date-parts" : [ [ "2004" ] ] }, "page" : "1063\u20131074.", "title" : "Applying a forensic actuarial assessment (the Violence Risk Appraisal Guide) to non-forensic patients.", "type" : "article-journal", "volume" : "19" }, "uris" : [ "http://www.mendeley.com/documents/?uuid=f9e8568c-a266-4163-8b1e-9e63ddb2b626" ] } ], "mendeley" : { "formattedCitation" : "(40)", "plainTextFormattedCitation" : "(40)", "previouslyFormattedCitation" : "(40)"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(40)</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RM-2000, or STATIC-99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"author" : [ { "dropping-particle" : "", "family" : "Hanson, R.C.; Thornton", "given" : "D.", "non-dropping-particle" : "", "parse-names" : false, "suffix" : "" } ], "container-title" : "Prediction of Criminal Behaviour", "id" : "ITEM-1", "issued" : { "date-parts" : [ [ "199" ] ] }, "title" : "Static 99: Improving Actuarial Risk Assessments for Sex Offenders", "type" : "chapter" }, "uris" : [ "http://www.mendeley.com/documents/?uuid=11ae3bd7-fb14-39a5-baa7-6abdab70d252" ] } ], "mendeley" : { "formattedCitation" : "(41)", "plainTextFormattedCitation" : "(41)", "previouslyFormattedCitation" : "(41)"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(41)</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There was only a single study that considered how changes in scores on a risk assessment tool may relate to treatment outcome from forensic services for people with IDs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"10.1002/cbm.1893", "ISSN" : "09579664", "author" : [ { "dropping-particle" : "", "family" : "Morrissey", "given" : "Catrin", "non-dropping-particle" : "", "parse-names" : false, "suffix" : "" }, { "dropping-particle" : "", "family" : "Beeley", "given" : "Chris", "non-dropping-particle" : "", "parse-names" : false, "suffix" : "" }, { "dropping-particle" : "", "family" : "Milton", "given" : "John", "non-dropping-particle" : "", "parse-names" : false, "suffix" : "" } ], "container-title" : "Criminal Behaviour and Mental Health", "id" : "ITEM-1", "issue" : "3", "issued" : { "date-parts" : [ [ "2014", "7" ] ] }, "page" : "169-180", "title" : "Longitudinal HCR-20 scores in a high-secure psychiatric hospital", "type" : "article-journal", "volume" : "24" }, "uris" : [ "http://www.mendeley.com/documents/?uuid=c56d1808-0fc9-3082-9b96-c6e13022a010" ] } ], "mendeley" : { "formattedCitation" : "(42)", "plainTextFormattedCitation" : "(42)", "previouslyFormattedCitation" : "(42)"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(42)</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t>
      </w:r>
    </w:p>
    <w:p w14:paraId="5E21ECAA"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568126AC"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b/>
          <w:sz w:val="24"/>
          <w:szCs w:val="24"/>
        </w:rPr>
        <w:t xml:space="preserve">Patient Safety.  </w:t>
      </w:r>
      <w:r w:rsidRPr="00522CD2">
        <w:rPr>
          <w:rFonts w:ascii="Times" w:eastAsia="Times New Roman" w:hAnsi="Times" w:cs="Times New Roman"/>
          <w:sz w:val="24"/>
          <w:szCs w:val="24"/>
        </w:rPr>
        <w:t xml:space="preserve">Eleven studies were categorised as presenting data that were considered to index outcome within the patient safety domain.  Premature death was considered by one study, which differentiated between suicide and death associated with natural causes, while another study incorporated physical health, an important and relevant sub-domain considering the high rates of morbidity amongst forensic populations, including people with IDs.  </w:t>
      </w:r>
    </w:p>
    <w:p w14:paraId="33B58A6C"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The five sub-domains that emerged following our analysis also included those related to “reactive” or “restrictive” interventions such as the use of physical interventions and seclusion, PRN medication, or a change in observations levels.  </w:t>
      </w:r>
      <w:r w:rsidRPr="00522CD2">
        <w:rPr>
          <w:rFonts w:ascii="Times New Roman" w:hAnsi="Times New Roman" w:cs="Times New Roman"/>
          <w:color w:val="auto"/>
          <w:sz w:val="24"/>
          <w:szCs w:val="24"/>
        </w:rPr>
        <w:t>“R</w:t>
      </w:r>
      <w:r w:rsidRPr="00522CD2">
        <w:rPr>
          <w:rFonts w:ascii="Times" w:eastAsia="Times New Roman" w:hAnsi="Times" w:cs="Times New Roman"/>
          <w:sz w:val="24"/>
          <w:szCs w:val="24"/>
        </w:rPr>
        <w:t xml:space="preserve">eactive” or “restrictive” interventions fall within the safety domain defined by the Department of Health (2014)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"author" : [ { "dropping-particle" : "", "family" : "Department of Health", "given" : "", "non-dropping-particle" : "", "parse-names" : false, "suffix" : "" } ], "id" : "ITEM-1", "issued" : { "date-parts" : [ [ "2014" ] ] }, "title" : "Positive and Proactive Care: reducing the need for restrictive interventions.", "type" : "report" }, "uris" : [ "http://www.mendeley.com/documents/?uuid=cd2398f0-6c56-4345-a14d-45bc273d465e" ] } ], "mendeley" : { "formattedCitation" : "(43)", "plainTextFormattedCitation" : "(43)", "previouslyFormattedCitation" : "(43)"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(43)</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We have adopted the same approach here. </w:t>
      </w:r>
    </w:p>
    <w:p w14:paraId="568C2753"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59CD900A"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However, there is an overlap with the previously discussed effectiveness domain.   “Reactive” or “restrictive” interventions can be construed as proxy variables for behaviour, and their use may correlate within increasing behaviour difficulties.  However, they are not an intervention, and instead are reactive strategies taken to try to manage behaviour difficulties in the short term to ensure safety.  However medical, psychological and social care interventions developed using a formulation that aim to rehabilitate and/or habilitate are not “reactive”, and as such, these would fall within the effectiveness domain.  This includes the psychological and social interventions, as well as medication prescribed to treat a diagnosed mental illness or distressing symptoms.  </w:t>
      </w:r>
    </w:p>
    <w:p w14:paraId="3E1BB742"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485240D5" w14:textId="6F80FB7A"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b/>
          <w:sz w:val="24"/>
          <w:szCs w:val="24"/>
        </w:rPr>
        <w:t>Patient Experience.</w:t>
      </w:r>
      <w:r w:rsidRPr="00522CD2">
        <w:rPr>
          <w:rFonts w:ascii="Times" w:eastAsia="Times New Roman" w:hAnsi="Times" w:cs="Times New Roman"/>
          <w:sz w:val="24"/>
          <w:szCs w:val="24"/>
        </w:rPr>
        <w:t xml:space="preserve">  Within this superordinate domain, eleven studies were categorised as capturing outcomes related to patient experience which were categorised into four sub-domains.   These were quality of life, therapeutic milieu, service user involvement, and service user satisfaction.   Four studies included in the review measured quality of life using a number of ratings scales, such as the Quality of Life Questionnaire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"author" : [ { "dropping-particle" : "", "family" : "Schalock", "given" : "R.L.", "non-dropping-particle" : "", "parse-names" : false, "suffix" : "" }, { "dropping-particle" : "", "family" : "Keith", "given" : "D.K.", "non-dropping-particle" : "", "parse-names" : false, "suffix" : "" } ], "id" : "ITEM-1", "issued" : { "date-parts" : [ [ "1993" ] ] }, "publisher" : "IDS Publishers", "publisher-place" : "Worthington, Ohio", "title" : "Quality of Life Questionnaire", "type" : "book" }, "uris" : [ "http://www.mendeley.com/documents/?uuid=2e0d003d-61b5-4d42-9fc2-e4631f4b744e" ] } ], "mendeley" : { "formattedCitation" : "(44)", "plainTextFormattedCitation" : "(44)", "previouslyFormattedCitation" : "(44)"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(44)</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or Life Experience Checklist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"10.1108/13595474200000037", "ISSN" : "1359-5474", "author" : [ { "dropping-particle" : "", "family" : "Qureshi", "given" : "Hazel", "non-dropping-particle" : "", "parse-names" : false, "suffix" : "" } ], "container-title" : "Tizard Learning Disability Review", "id" : "ITEM-1", "issue" : "4", "issued" : { "date-parts" : [ [ "2000", "11" ] ] }, "page" : "33-34", "publisher" : "MCB UP Ltd", "title" : "BILD Life Experiences Checklist", "type" : "article-journal", "volume" : "5" }, "uris" : [ "http://www.mendeley.com/documents/?uuid=789f7e64-c45f-3212-b573-01346b23eda3" ] } ], "mendeley" : { "formattedCitation" : "(45)", "plainTextFormattedCitation" : "(45)", "previouslyFormattedCitation" : "(45)"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(45)</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while three other studies focused on therapeutic milieu or ward atmosphere using either the Correctional Institutions Environment Scale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"10.1111/j.1365-2788.2006.00847.x", "ISSN" : "0964-2633", "PMID" : "16999782", "abstract" : "BACKGROUND The social climate of inpatient facilities is thought to be an important contributor to treatment outcome. However, little research has focused on this construct within secure forensic services for people with intellectual disabilities (ID). Therefore, the objective of this study was to investigate the social climate of two different types of secure units ('low' secure vs. 'medium' secure) contained within the same facility for offenders with ID. Two hypotheses were generated: (1) residents would rate the social climate of the whole facility in a more negative direction than staff, and (2) residents and staff would rate the social climate of the 'low' secure unit in a more positive direction than that of the 'medium' secure unit. METHOD Using a 2 (factor 'Participant' = Staff or Resident) x 2 (factor 'Unit' = 'Low' or 'Medium' Secure Unit) between-subjects design, 18 residents and 37 staff members were recruited and completed the Correctional Institutions Environment Scale (CIES), a measure of social climate. RESULTS Residents tended to rate the units in a more positive direction than staff on some sub-scales. Participants rated the 'low' secure unit in a more positive direction than the 'medium' secure unit on two sub-scales of the CIES. However, on selected sub-scales there were differences. The findings of this study suggest that the CIES may be a valid instrument for use within forensic services for people with ID, and further suggests that residents and staff have different perceptions of the shared social climate, which may have implications for service development.", "author" : [ { "dropping-particle" : "", "family" : "Langdon", "given" : "P E", "non-dropping-particle" : "", "parse-names" : false, "suffix" : "" }, { "dropping-particle" : "", "family" : "Swift", "given" : "A", "non-dropping-particle" : "", "parse-names" : false, "suffix" : "" }, { "dropping-particle" : "", "family" : "Budd", "given" : "R", "non-dropping-particle" : "", "parse-names" : false, "suffix" : "" } ], "container-title" : "Journal of intellectual disability research : JIDR", "id" : "ITEM-1", "issue" : "Pt 11", "issued" : { "date-parts" : [ [ "2006", "11" ] ] }, "page" : "828-36", "title" : "Social climate within secure inpatient services for people with intellectual disabilities.", "type" : "article-journal", "volume" : "50" }, "uris" : [ "http://www.mendeley.com/documents/?uuid=9b5c381c-1a4a-3fe0-bbbc-43876fda896a" ] } ], "mendeley" : { "formattedCitation" : "(46)", "plainTextFormattedCitation" : "(46)", "previouslyFormattedCitation" : "(46)"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(46)</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or the Essen</w:t>
      </w:r>
      <w:r w:rsidR="004D6F03" w:rsidRPr="00522CD2">
        <w:rPr>
          <w:rFonts w:ascii="Times" w:eastAsia="Times New Roman" w:hAnsi="Times" w:cs="Times New Roman"/>
          <w:sz w:val="24"/>
          <w:szCs w:val="24"/>
        </w:rPr>
        <w:t>CES</w:t>
      </w:r>
      <w:r w:rsidRPr="00522CD2">
        <w:rPr>
          <w:rFonts w:ascii="Times" w:eastAsia="Times New Roman" w:hAnsi="Times" w:cs="Times New Roman"/>
          <w:sz w:val="24"/>
          <w:szCs w:val="24"/>
        </w:rPr>
        <w:t xml:space="preserve"> Climate Evaluation Scale </w:t>
      </w:r>
      <w:r w:rsidRPr="00522CD2">
        <w:rPr>
          <w:rFonts w:ascii="Times" w:eastAsia="Times New Roman" w:hAnsi="Times" w:cs="Times New Roman"/>
          <w:sz w:val="24"/>
          <w:szCs w:val="24"/>
        </w:rPr>
        <w:fldChar w:fldCharType="begin" w:fldLock="1"/>
      </w:r>
      <w:r w:rsidRPr="00522CD2">
        <w:rPr>
          <w:rFonts w:ascii="Times" w:eastAsia="Times New Roman" w:hAnsi="Times" w:cs="Times New Roman"/>
          <w:sz w:val="24"/>
          <w:szCs w:val="24"/>
        </w:rPr>
        <w:instrText>ADDIN CSL_CITATION { "citationItems" : [ { "id" : "ITEM-1", "itemData" : { "DOI" : "10.1108/AMHID-11-2013-0063", "ISSN" : "2044-1282", "abstract" : "Purpose \u2013 The purpose of this paper is to assess the behavioural and psychological effects on people with intellectual disabilities of transferring to an environment influenced by patient choice and low secure standards. Design/methodology/approach \u2013 Patients and staff transferring from a non-optimal environment to one driven by low secure standards compared the homeliness, ward climate and satisfaction with the two wards. Comparisons were made between the occurrences of risk behaviours on the two wards. Findings \u2013 The new environment was rated by staff as more homely while patients\u2019 increased satisfaction with the new ward was reflected in social climate ratings of patient cohesion and experienced safety. The latter findings were reinforced by an objective reduction in risk behaviours in the new environment. Practical implications \u2013 Treatment interventions need to optimise research findings that attest to the influence of the environment on the behaviour of patients with intellectual disabilities. Origin...", "author" : [ { "dropping-particle" : "", "family" : "Long", "given" : "Clive G.", "non-dropping-particle" : "", "parse-names" : false, "suffix" : "" }, { "dropping-particle" : "", "family" : "Bell", "given" : "Natalie", "non-dropping-particle" : "", "parse-names" : false, "suffix" : "" }, { "dropping-particle" : "", "family" : "Carr", "given" : "Alison", "non-dropping-particle" : "", "parse-names" : false, "suffix" : "" }, { "dropping-particle" : "", "family" : "Cairns", "given" : "Lisa", "non-dropping-particle" : "", "parse-names" : false, "suffix" : "" }, { "dropping-particle" : "", "family" : "Webb", "given" : "Amanda", "non-dropping-particle" : "", "parse-names" : false, "suffix" : "" }, { "dropping-particle" : "", "family" : "Collins", "given" : "Lesley", "non-dropping-particle" : "", "parse-names" : false, "suffix" : "" } ], "container-title" : "Advances in Mental Health and Intellectual Disabilities", "id" : "ITEM-1", "issue" : "5", "issued" : { "date-parts" : [ [ "2014" ] ] }, "page" : "309-320", "publisher" : "Emerald Group Publishing Limited", "title" : "The benefits of environmental change in a secure service for people with intellectual disabilities", "type" : "article-journal", "volume" : "8" }, "uris" : [ "http://www.mendeley.com/documents/?uuid=697fdab6-97b9-3be5-b7e5-a7c28328a0ed" ] } ], "mendeley" : { "formattedCitation" : "(47)", "plainTextFormattedCitation" : "(47)", "previouslyFormattedCitation" : "(47)" }, "properties" : { "noteIndex" : 0 }, "schema" : "https://github.com/citation-style-language/schema/raw/master/csl-citation.json" }</w:instrText>
      </w:r>
      <w:r w:rsidRPr="00522CD2">
        <w:rPr>
          <w:rFonts w:ascii="Times" w:eastAsia="Times New Roman" w:hAnsi="Times" w:cs="Times New Roman"/>
          <w:sz w:val="24"/>
          <w:szCs w:val="24"/>
        </w:rPr>
        <w:fldChar w:fldCharType="separate"/>
      </w:r>
      <w:r w:rsidRPr="00522CD2">
        <w:rPr>
          <w:rFonts w:ascii="Times" w:eastAsia="Times New Roman" w:hAnsi="Times" w:cs="Times New Roman"/>
          <w:noProof/>
          <w:sz w:val="24"/>
          <w:szCs w:val="24"/>
        </w:rPr>
        <w:t>(47)</w:t>
      </w:r>
      <w:r w:rsidRPr="00522CD2">
        <w:rPr>
          <w:rFonts w:ascii="Times" w:eastAsia="Times New Roman" w:hAnsi="Times" w:cs="Times New Roman"/>
          <w:sz w:val="24"/>
          <w:szCs w:val="24"/>
        </w:rPr>
        <w:fldChar w:fldCharType="end"/>
      </w:r>
      <w:r w:rsidRPr="00522CD2">
        <w:rPr>
          <w:rFonts w:ascii="Times" w:eastAsia="Times New Roman" w:hAnsi="Times" w:cs="Times New Roman"/>
          <w:sz w:val="24"/>
          <w:szCs w:val="24"/>
        </w:rPr>
        <w:t xml:space="preserve">.  Three studies focused on service user satisfaction in response to service development, and only a single study considered service user involvement as an indicator of outcome. </w:t>
      </w:r>
    </w:p>
    <w:p w14:paraId="168E0DC3" w14:textId="77777777" w:rsidR="00042144" w:rsidRPr="00522CD2" w:rsidRDefault="00042144" w:rsidP="00042144">
      <w:pPr>
        <w:pStyle w:val="Default"/>
        <w:shd w:val="clear" w:color="auto" w:fill="FFFFFF" w:themeFill="background1"/>
        <w:spacing w:line="480" w:lineRule="auto"/>
        <w:rPr>
          <w:rFonts w:ascii="Times" w:eastAsia="Times New Roman" w:hAnsi="Times" w:cs="Times New Roman"/>
          <w:sz w:val="24"/>
          <w:szCs w:val="24"/>
        </w:rPr>
      </w:pPr>
    </w:p>
    <w:p w14:paraId="62B2B845" w14:textId="77777777" w:rsidR="00042144" w:rsidRPr="00522CD2" w:rsidRDefault="00042144" w:rsidP="00042144">
      <w:pPr>
        <w:pStyle w:val="Default"/>
        <w:shd w:val="clear" w:color="auto" w:fill="FFFFFF" w:themeFill="background1"/>
        <w:spacing w:line="480" w:lineRule="auto"/>
        <w:rPr>
          <w:rFonts w:ascii="Times" w:eastAsia="Times New Roman" w:hAnsi="Times" w:cs="Times New Roman"/>
          <w:b/>
          <w:sz w:val="24"/>
          <w:szCs w:val="24"/>
        </w:rPr>
      </w:pPr>
      <w:r w:rsidRPr="00522CD2">
        <w:rPr>
          <w:rFonts w:ascii="Times" w:eastAsia="Times New Roman" w:hAnsi="Times" w:cs="Times New Roman"/>
          <w:b/>
          <w:sz w:val="24"/>
          <w:szCs w:val="24"/>
        </w:rPr>
        <w:t>Consultation Exercise</w:t>
      </w:r>
    </w:p>
    <w:p w14:paraId="7D542560"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Following the completion of our systematic review, and the development of our initial outcome framework (Table 2), this was presented to our consultation groups with service users and carers.  Revisions were made and the revised outcome framework was used within our Delphi exercise with experts.  As with systematic review, we made use of the three superordinate domains (a) effectiveness, (b) patient safety, and (c) patient and carer experience as a framework for our analysis of the data generated from our consultation exercises.</w:t>
      </w:r>
    </w:p>
    <w:p w14:paraId="202ACCD0"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b/>
          <w:sz w:val="24"/>
          <w:szCs w:val="24"/>
        </w:rPr>
      </w:pPr>
    </w:p>
    <w:p w14:paraId="250001A2"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b/>
          <w:sz w:val="24"/>
          <w:szCs w:val="24"/>
        </w:rPr>
        <w:t>Consultation Groups</w:t>
      </w:r>
      <w:r w:rsidRPr="00522CD2">
        <w:rPr>
          <w:rFonts w:ascii="Times" w:eastAsia="Times New Roman" w:hAnsi="Times" w:cs="Times New Roman"/>
          <w:sz w:val="24"/>
          <w:szCs w:val="24"/>
        </w:rPr>
        <w:t xml:space="preserve">.  </w:t>
      </w:r>
      <w:r w:rsidRPr="00522CD2">
        <w:rPr>
          <w:rFonts w:ascii="Times" w:eastAsia="Times New Roman" w:hAnsi="Times" w:cs="Times New Roman"/>
          <w:b/>
          <w:i/>
          <w:sz w:val="24"/>
          <w:szCs w:val="24"/>
        </w:rPr>
        <w:t>Effectiveness</w:t>
      </w:r>
      <w:r w:rsidRPr="00522CD2">
        <w:rPr>
          <w:rFonts w:ascii="Times" w:eastAsia="Times New Roman" w:hAnsi="Times" w:cs="Times New Roman"/>
          <w:sz w:val="24"/>
          <w:szCs w:val="24"/>
        </w:rPr>
        <w:t xml:space="preserve">.  Several service users expressed the view that length of stay should be an important index of outcome; several said they were frustrated because they thought that length of stay was excessive for many service users. However, some carers expressed an alternative view, stating that a shorter length of stay may be problematic and lead to premature discharge.    Service users from high security settings were of the opinion that discharge to medium-security was indicative of positive progress, while for those in medium and low security, discharge to a community-based service was seen as positive.   Several carers further discussed how frequent moves between hospitals and wards can be particularly destabilising and may actually be associated with a negative outcome. </w:t>
      </w:r>
    </w:p>
    <w:p w14:paraId="0C4B74ED"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45D1701B"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The appropriateness of a placement with respect to meeting treatment needs was discussed and considered important by many carers and service users.  One stated, “I would much rather he be further away for eight to nine months [and get the right treatment] than be nearer for 18 months”.  Another commented, “it is very important for people to go to a place where they are happy, not just because it is closer to family”.   </w:t>
      </w:r>
    </w:p>
    <w:p w14:paraId="0EC684A4"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70DB5055"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Many commented further about the importance of much needed clinical interventions being available within each service, focusing specifically on psychological treatments and appropriate levels of meaningful activity.  Carers spoke about wanting and needing individually tailored care-pathways focusing on patient need rather than rigidly designed care-pathways that were not based upon a formulation of treatment needs.  One said, “it has got to be individually led”, and another commented, “he needed an individualised package of support which was right for him”.  Alongside this, carers also expressed the view that a similar individualised package of support needed to be made available to service users when discharged into the community, with one stating, “I worry about the fact that the service wasn’t there in the community…there is so little support in the community”. </w:t>
      </w:r>
    </w:p>
    <w:p w14:paraId="28A5B508" w14:textId="77777777" w:rsidR="00042144" w:rsidRPr="00522CD2" w:rsidRDefault="00042144" w:rsidP="00042144">
      <w:pPr>
        <w:pStyle w:val="Default"/>
        <w:shd w:val="clear" w:color="auto" w:fill="FFFFFF" w:themeFill="background1"/>
        <w:spacing w:line="480" w:lineRule="auto"/>
        <w:ind w:firstLine="284"/>
        <w:jc w:val="both"/>
        <w:rPr>
          <w:rFonts w:ascii="Times" w:eastAsia="Times New Roman" w:hAnsi="Times" w:cs="Times New Roman"/>
          <w:sz w:val="24"/>
          <w:szCs w:val="24"/>
        </w:rPr>
      </w:pPr>
    </w:p>
    <w:p w14:paraId="781EB9F6"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Improvements in clinical symptoms and behaviour were recognised by both service users and carers as indicative of positive change.  This included quantifiable changes in the frequency of incidents, including improvements in communication and a reduction in angry feelings.  Different service users stated, “before I wouldn’t engage in conversation and now I’ve learnt different strategies so I don’t kick off so often”, and “a reduction in incidents, reduction in restraints, using diversion more frequently, pre-empting incidents”. Carers broadened this by commenting that some service users may not fully understand what they need to achieve to move forward, as there is often too much focus on measuring incidents within services.   Some service users also shared this view and stated, “there is too much focus on incidents and not on understanding them…taking back to the beginning of the process as opposed to just dealing with what the consequences are”.  Carers considered that a family member may be able to make a more nuanced judgement about changes to clinical symptoms because of their long-standing knowledge of the service user.    Both service users and carers commented on the importance of engagement with services and therapies as positive indicators of progress within this sub-domain. </w:t>
      </w:r>
    </w:p>
    <w:p w14:paraId="4DD10C33"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67CDE7DA"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Both service users and carers agreed that “staying safe” once discharged was a positive outcome, recognising that a reduction in risk was associated with a positive outcome, and several carers adopted the position of both carer and potential victim, expressing concern that their own safety could be compromised.   One carer said, “if they said take him home I would be too scared”.    </w:t>
      </w:r>
    </w:p>
    <w:p w14:paraId="6144828A"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1C50DB00"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Finally, within the effectiveness superordinate domain, and as an addition to our initial framework, adaptive functioning was considered by service users to be an important indicator of outcome.   Service users talked positively about how they hoped that staying in hospital would bring about improvements in adaptive functioning, such as budgeting, occupational skills, and broader life skills.  One said, “I have been given skills like cooking and cleaning…”.   However, several commented that staying in hospital may be associated with a loss of adaptive functioning, and several said they thought they have lost skills.  For example, one said, “other hospitals let patients get real jobs. I want this to happen in this hospital”, while another commented, “since we’ve been locked up here we don’t get a chance to do that sort of thing [budgeting] so you don’t know what to do when you get your money.   One of our carer participants commented, “he used to be able to do things.  He’s lost those skills since he’s been here”.  </w:t>
      </w:r>
    </w:p>
    <w:p w14:paraId="64EE53EF"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2616D5DC" w14:textId="57A1C512"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b/>
          <w:i/>
          <w:sz w:val="24"/>
          <w:szCs w:val="24"/>
        </w:rPr>
        <w:t>Patient Safety</w:t>
      </w:r>
      <w:r w:rsidRPr="00522CD2">
        <w:rPr>
          <w:rFonts w:ascii="Times" w:eastAsia="Times New Roman" w:hAnsi="Times" w:cs="Times New Roman"/>
          <w:sz w:val="24"/>
          <w:szCs w:val="24"/>
        </w:rPr>
        <w:t xml:space="preserve">.   Service users spoke about how a reduction in aggression and the use of seclusion was a relevant outcome measure, as did a number of carers, while service users also spoke about being victimised by other service users in hospital.  Some carers further considered that taking medication regularly was an indicator of positive outcome, and they also spoke about how a planned reduction in medication could also be a positive outcome.  For example, one commented, “if he could come off olanzapine, that </w:t>
      </w:r>
      <w:r w:rsidR="00787C29" w:rsidRPr="00522CD2">
        <w:rPr>
          <w:rFonts w:ascii="Times" w:eastAsia="Times New Roman" w:hAnsi="Times" w:cs="Times New Roman"/>
          <w:sz w:val="24"/>
          <w:szCs w:val="24"/>
        </w:rPr>
        <w:t>would-be</w:t>
      </w:r>
      <w:r w:rsidRPr="00522CD2">
        <w:rPr>
          <w:rFonts w:ascii="Times" w:eastAsia="Times New Roman" w:hAnsi="Times" w:cs="Times New Roman"/>
          <w:sz w:val="24"/>
          <w:szCs w:val="24"/>
        </w:rPr>
        <w:t xml:space="preserve"> progress”, while another stated, “a reduction in PRN medication and other medication is a goal”. </w:t>
      </w:r>
    </w:p>
    <w:p w14:paraId="55173130"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75C6D739"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 Several carers and service users expressed concern about polypharmacy and side-effects, indicating that they felt this was a restrictive practice and alluding to the possibility that medication  may be used to sedate in order to control behaviour; one commented, “he’s never been on this amount of medication…he’s so heavily dosed up…if he’s been medicated to manage his behaviour, he’s not learned how to manage his behaviour”.   One of the service users strengthened this view by commenting, “can you be careful about medication and patients being overdosed”.   </w:t>
      </w:r>
    </w:p>
    <w:p w14:paraId="683BAF46"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54BFFD26"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b/>
          <w:i/>
          <w:sz w:val="24"/>
          <w:szCs w:val="24"/>
        </w:rPr>
        <w:t>Patient and Carer Experience</w:t>
      </w:r>
      <w:r w:rsidRPr="00522CD2">
        <w:rPr>
          <w:rFonts w:ascii="Times" w:eastAsia="Times New Roman" w:hAnsi="Times" w:cs="Times New Roman"/>
          <w:b/>
          <w:sz w:val="24"/>
          <w:szCs w:val="24"/>
        </w:rPr>
        <w:t>.</w:t>
      </w:r>
      <w:r w:rsidRPr="00522CD2">
        <w:rPr>
          <w:rFonts w:ascii="Times" w:eastAsia="Times New Roman" w:hAnsi="Times" w:cs="Times New Roman"/>
          <w:sz w:val="24"/>
          <w:szCs w:val="24"/>
        </w:rPr>
        <w:t xml:space="preserve">  This superordinate domain was modified as a consequence of our consultation groups in order to incorporate carer experience, alongside the experiences of service users.   Carers spoke about whether they were satisfied with the level of care being afforded their family member and indicated that this was an important measure of outcome.  Several spoke about being satisfied with the care being offered by the hospital. One stated, “it is a dream come true; the place where he is now, it’s lovely…it’s a dream for places like that to be about”, while another commented, “the hospital are [sic] fantastic; the staff are fantastic and at long last somebody is realising the amount of problems he has got and that is one of the problems I had before”.    Others considered the importance of having a sense of security as a consequence of the quality and responsiveness of care being afforded their relative; one stated, “not having to be worried about him; if we died tomorrow, services would be there for him and do what was best for him without thinking of the cost”.    However, several carers spoke about having to fight or battle for service provision and felt that sometimes services did not listen or involve them appropriately in the care-pathway.  This was illustrated by the following, “there was nothing we could say which would be taken on board…it was very much ‘no’ this is what we think”, and “I was asking for help in the community for years before my son was admitted to hospital”.     </w:t>
      </w:r>
    </w:p>
    <w:p w14:paraId="645F8A25"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4043AA7F"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Service users and carers considered the importance of quality of life as an indicator of positive outcome, and many spoke about having hopes for a job, relationships, involvement in their local communities, with well-integrated high quality support.  Several carers emphasised the importance of high quality accommodation once a service user was discharged, and one commented, “he would be in accommodation that was specifically designed for people with autism, but he had sufficient support with people who actually understood his condition and were able to spot the warning signs so I didn’t have to keep flagging them up”.  Another stated, “he needs an individual planned package with sufficient staff and appropriate training”.    Carers also commented that leaving hospital was not the end of service users’ journeys, and spoke about the importance of continuing to monitor outcome and progress over the longer term, rather than view the “case as closed”.   Others spoke about valuing having inpatient services which could be used in times of crisis; this was illustrated by the following comment, “…for him to go back to a secure unit because he’s a danger when he does deteriorate”.  </w:t>
      </w:r>
    </w:p>
    <w:p w14:paraId="7EF0AA0B"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71B85504"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The availability and engagement with meaningful activity was seen as a potential indicator of positive outcome by both service users and carers.   They spoke about having employment, and how increasing engagement in activities could be indicative of improvement.    Carers spoke further about the importance of having meaningful activities available within hospital settings, and went on to further consider how developing and maintaining social networks are further evidence of a positive outcome.   This included developing and maintaining positive relationships with family, friends, pets, and further, included romantic relationships.   </w:t>
      </w:r>
    </w:p>
    <w:p w14:paraId="47A25F62"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3B31FFDA"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b/>
          <w:i/>
          <w:sz w:val="24"/>
          <w:szCs w:val="24"/>
        </w:rPr>
        <w:t xml:space="preserve">Changes to our initial outcome framework. </w:t>
      </w:r>
      <w:r w:rsidRPr="00522CD2">
        <w:rPr>
          <w:rFonts w:ascii="Times" w:eastAsia="Times New Roman" w:hAnsi="Times" w:cs="Times New Roman"/>
          <w:sz w:val="24"/>
          <w:szCs w:val="24"/>
        </w:rPr>
        <w:t xml:space="preserve">  A variety of changes to our initial outcome framework were made following the analysis of the data from our consultation groups.  This included the incorporation of additional sub-domains or the modification of sub-domains.   Specifically, we changed the label of the superordinate domain “patient experience” to “patient and carer experience”.  Considering the effectiveness superordinate domain, we made changes as follows: (a) treatment response and recovery and clinical symptom severity were modified to include carer ratings of clinical improvement, (b) acquiring adaptive skills was added as a new sub-domain, as was (c) engagement with therapies and services.   Within the patient safety superordinate domain, we incorporated (a) safeguarding and victimisation, as a new sub-domain, while (b) overuse of medication was strengthened by making reference to unacceptable side-effects and patient satisfaction with prescribed medication.   Finally, within the patient and carer experience superordinate domain, we incorporated sub-domains focusing on: (a) the carer experience incorporating both communication and involvement, (b) closeness to home area, and (c) the level of support and involvement within the community, as well as access to occupational activities.   We also included that quality of life could be indexed by either clinicians or the service user.  </w:t>
      </w:r>
    </w:p>
    <w:p w14:paraId="08313274"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626940F7"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b/>
          <w:sz w:val="24"/>
          <w:szCs w:val="24"/>
        </w:rPr>
        <w:t xml:space="preserve">Delphi Exercise. </w:t>
      </w:r>
      <w:r w:rsidRPr="00522CD2">
        <w:rPr>
          <w:rFonts w:ascii="Times" w:eastAsia="Times New Roman" w:hAnsi="Times" w:cs="Times New Roman"/>
          <w:sz w:val="24"/>
          <w:szCs w:val="24"/>
        </w:rPr>
        <w:t xml:space="preserve">Following our revisions to the outcome framework, we completed a two-round Delphi exercise with experts in order to create consensus about the most important outcomes for forensic services for people with IDs.  None of the sub-domains were rated as “not important” or “slightly important” by the participants.  Five sub-domains did not reach consensus at the end of round one, and these were (a) length of stay, (b) security needs, (c) adaptive functioning, (d) clinician-rated quality of life, (e) and closeness to home area.   Participants were asked to rate five outcomes they thought were the most important and length of stay was included within these top five, and was therefore retained and taken through to round two. </w:t>
      </w:r>
    </w:p>
    <w:p w14:paraId="7AEE1FBD"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1C4497F7"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Six sub-domains received the highest average ratings by experts at the end of round two where a clear consensus emerged.  These were (a) discharge outcome, (b) treatment response/engagement, (c) premature death and suicide, (d) therapeutic milieu, (e) meaningful activity, and (f) re-offending/offending-like behaviour.   However, when asked to indicate their top five sub-domains, participants chose sub-domains exclusively within the effectiveness superordinate domain, and these were (a) clinical symptom severity/treatment needs, (b) reoffending/offending-like behaviour, (c) treatment response/engagement/insight, (d) risk assessment measures, and (e) recovery measures/direction of care-pathway.   Perhaps this is not unsurprising, considering that all of the participants had current or past clinical responsibility for service users within services. </w:t>
      </w:r>
    </w:p>
    <w:p w14:paraId="0E868D6A"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p>
    <w:p w14:paraId="5AEBD534" w14:textId="77777777" w:rsidR="00042144" w:rsidRPr="00522CD2" w:rsidRDefault="00042144" w:rsidP="00042144">
      <w:pPr>
        <w:pStyle w:val="Default"/>
        <w:shd w:val="clear" w:color="auto" w:fill="FFFFFF" w:themeFill="background1"/>
        <w:spacing w:line="480" w:lineRule="auto"/>
        <w:ind w:firstLine="284"/>
        <w:rPr>
          <w:rFonts w:ascii="Times" w:eastAsia="Times New Roman" w:hAnsi="Times" w:cs="Times New Roman"/>
          <w:sz w:val="24"/>
          <w:szCs w:val="24"/>
        </w:rPr>
      </w:pPr>
      <w:r w:rsidRPr="00522CD2">
        <w:rPr>
          <w:rFonts w:ascii="Times" w:eastAsia="Times New Roman" w:hAnsi="Times" w:cs="Times New Roman"/>
          <w:sz w:val="24"/>
          <w:szCs w:val="24"/>
        </w:rPr>
        <w:t xml:space="preserve">Integrating the findings, the final most important sub-domains were (a) discharge outcome, (b) recovery measures/direction of care-pathway, (c) treatment response/engagement/insight, (d) clinical symptom severity, (e) re-offending/offending-like behaviour, (f) risk assessment, (g) premature death and suicide, (h) therapeutic milieu, and (i) access to work and meaningful activity.   The findings from the Delphi exercise were considered and synthesised into our findings from the consensus exercises and our systematic review.  This led to the emergence of a final outcome framework, and we have identified which aspect of the current project led to the generation of each sub-domain in Table 3. During this process sub-domains were not removed, but additional sub-domains were added or combined into existing sub-domains that had emerged from our analysis.  </w:t>
      </w:r>
    </w:p>
    <w:p w14:paraId="245F007D" w14:textId="77777777" w:rsidR="00042144" w:rsidRPr="00522CD2" w:rsidRDefault="00042144" w:rsidP="00042144">
      <w:pPr>
        <w:pStyle w:val="Default"/>
        <w:shd w:val="clear" w:color="auto" w:fill="FFFFFF" w:themeFill="background1"/>
        <w:spacing w:line="480" w:lineRule="auto"/>
        <w:jc w:val="center"/>
        <w:rPr>
          <w:rFonts w:ascii="Times" w:eastAsia="Times New Roman" w:hAnsi="Times" w:cs="Times New Roman"/>
          <w:b/>
          <w:sz w:val="24"/>
          <w:szCs w:val="24"/>
        </w:rPr>
      </w:pPr>
    </w:p>
    <w:p w14:paraId="6BA271A8" w14:textId="77777777" w:rsidR="00042144" w:rsidRPr="00522CD2" w:rsidRDefault="00042144" w:rsidP="00042144">
      <w:pPr>
        <w:pStyle w:val="Heading1"/>
        <w:rPr>
          <w:rFonts w:eastAsia="Times New Roman"/>
        </w:rPr>
      </w:pPr>
      <w:r w:rsidRPr="00522CD2">
        <w:rPr>
          <w:rFonts w:eastAsia="Times New Roman"/>
        </w:rPr>
        <w:t>Discussion</w:t>
      </w:r>
    </w:p>
    <w:p w14:paraId="51EF275A" w14:textId="53670CE7"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r w:rsidRPr="00522CD2">
        <w:rPr>
          <w:rFonts w:ascii="Times" w:hAnsi="Times"/>
          <w:sz w:val="24"/>
          <w:szCs w:val="24"/>
          <w:lang w:val="en-US"/>
        </w:rPr>
        <w:t>The aim of this project was to identify the domains that should be used to measure outcome for people with ID</w:t>
      </w:r>
      <w:r w:rsidR="00EB2868" w:rsidRPr="00522CD2">
        <w:rPr>
          <w:rFonts w:ascii="Times" w:hAnsi="Times"/>
          <w:sz w:val="24"/>
          <w:szCs w:val="24"/>
          <w:lang w:val="en-US"/>
        </w:rPr>
        <w:t>s</w:t>
      </w:r>
      <w:r w:rsidRPr="00522CD2">
        <w:rPr>
          <w:rFonts w:ascii="Times" w:hAnsi="Times"/>
          <w:sz w:val="24"/>
          <w:szCs w:val="24"/>
          <w:lang w:val="en-US"/>
        </w:rPr>
        <w:t xml:space="preserve"> and forensic needs. This is a topic relevant to all psychiatrists, particularly following the abuse scandal at a specialist intellectual disability hospital</w:t>
      </w:r>
      <w:r w:rsidR="00EB2868" w:rsidRPr="00522CD2">
        <w:rPr>
          <w:rFonts w:ascii="Times" w:hAnsi="Times"/>
          <w:sz w:val="24"/>
          <w:szCs w:val="24"/>
          <w:lang w:val="en-US"/>
        </w:rPr>
        <w:t xml:space="preserve"> in England</w:t>
      </w:r>
      <w:r w:rsidRPr="00522CD2">
        <w:rPr>
          <w:rFonts w:ascii="Times" w:hAnsi="Times"/>
          <w:sz w:val="24"/>
          <w:szCs w:val="24"/>
          <w:lang w:val="en-US"/>
        </w:rPr>
        <w:t xml:space="preserve">, Winterbourne View, and the resulting agenda to care for people with intellectual disabilities within “mainstream” psychiatric services </w:t>
      </w:r>
      <w:r w:rsidRPr="00522CD2">
        <w:rPr>
          <w:rFonts w:ascii="Times" w:hAnsi="Times"/>
          <w:sz w:val="24"/>
          <w:szCs w:val="24"/>
          <w:lang w:val="en-US"/>
        </w:rPr>
        <w:fldChar w:fldCharType="begin" w:fldLock="1"/>
      </w:r>
      <w:r w:rsidRPr="00522CD2">
        <w:rPr>
          <w:rFonts w:ascii="Times" w:hAnsi="Times"/>
          <w:sz w:val="24"/>
          <w:szCs w:val="24"/>
          <w:lang w:val="en-US"/>
        </w:rPr>
        <w:instrText>ADDIN CSL_CITATION { "citationItems" : [ { "id" : "ITEM-1", "itemData" : { "abstract" : "Purpose \u2013 Two censuses, from 2010 and 2013, respectively, shed light on the trend in use of in-patient psychiatric care for people with learning disability or autism following the BBC documentary exposing abuse of patients at Winterbourne View. The purpose of this paper is to consider the implications of the detailed trends for future care for this group. Design/methodology/approach \u2013 Published data from a recent (September 2013) census are compared with the re-analysis of a census undertaken by the Care Quality Commission in March 2010. Findings \u2013 An overall 35 per cent reduction in numbers of in-patients is made up of larger falls in groups generally easier to discharge (older, female, in general as opposed to secure units). There is also substantial variation around the country. Research limitations/implications \u2013 There are some uncertainties about the comparability of the two censuses and the question of how complete enumeration was of people with learning disabilities in general mental illness beds. ...", "author" : [ { "dropping-particle" : "", "family" : "Glover", "given" : "Gyles", "non-dropping-particle" : "", "parse-names" : false, "suffix" : "" }, { "dropping-particle" : "", "family" : "Brown", "given" : "Ian", "non-dropping-particle" : "", "parse-names" : false, "suffix" : "" }, { "dropping-particle" : "", "family" : "Hatton", "given" : "Chris", "non-dropping-particle" : "", "parse-names" : false, "suffix" : "" } ], "container-title" : "http://dx.doi.org/10.1108/TLDR-04-2014-0009", "id" : "ITEM-1", "issued" : { "date-parts" : [ [ "2014" ] ] }, "publisher" : " Emerald Group Publishing Limited ", "title" : "How psychiatric in-patient care for people with learning disabilities is transforming after Winterbourne View", "type" : "article-journal" }, "uris" : [ "http://www.mendeley.com/documents/?uuid=8461f869-b907-33cd-87ad-aae76ad865e0" ] } ], "mendeley" : { "formattedCitation" : "(48)", "plainTextFormattedCitation" : "(48)", "previouslyFormattedCitation" : "(48)" }, "properties" : { "noteIndex" : 0 }, "schema" : "https://github.com/citation-style-language/schema/raw/master/csl-citation.json" }</w:instrText>
      </w:r>
      <w:r w:rsidRPr="00522CD2">
        <w:rPr>
          <w:rFonts w:ascii="Times" w:hAnsi="Times"/>
          <w:sz w:val="24"/>
          <w:szCs w:val="24"/>
          <w:lang w:val="en-US"/>
        </w:rPr>
        <w:fldChar w:fldCharType="separate"/>
      </w:r>
      <w:r w:rsidRPr="00522CD2">
        <w:rPr>
          <w:rFonts w:ascii="Times" w:hAnsi="Times"/>
          <w:noProof/>
          <w:sz w:val="24"/>
          <w:szCs w:val="24"/>
          <w:lang w:val="en-US"/>
        </w:rPr>
        <w:t>(48)</w:t>
      </w:r>
      <w:r w:rsidRPr="00522CD2">
        <w:rPr>
          <w:rFonts w:ascii="Times" w:hAnsi="Times"/>
          <w:sz w:val="24"/>
          <w:szCs w:val="24"/>
          <w:lang w:val="en-US"/>
        </w:rPr>
        <w:fldChar w:fldCharType="end"/>
      </w:r>
      <w:r w:rsidRPr="00522CD2">
        <w:rPr>
          <w:rFonts w:ascii="Times" w:hAnsi="Times"/>
          <w:sz w:val="24"/>
          <w:szCs w:val="24"/>
          <w:lang w:val="en-US"/>
        </w:rPr>
        <w:t xml:space="preserve">. </w:t>
      </w:r>
      <w:r w:rsidR="00EB2868" w:rsidRPr="00522CD2">
        <w:rPr>
          <w:rFonts w:ascii="Times" w:hAnsi="Times"/>
          <w:sz w:val="24"/>
          <w:szCs w:val="24"/>
          <w:lang w:val="en-US"/>
        </w:rPr>
        <w:t xml:space="preserve"> Similar issues are of concern around the world as many work toward the social inclusion of people within IDs within mainstream services within the health and social care sectors.  Our aim </w:t>
      </w:r>
      <w:r w:rsidRPr="00522CD2">
        <w:rPr>
          <w:rFonts w:ascii="Times" w:hAnsi="Times"/>
          <w:sz w:val="24"/>
          <w:szCs w:val="24"/>
          <w:lang w:val="en-US"/>
        </w:rPr>
        <w:t xml:space="preserve">was achieved by undertaking a systematic review coupled with a consultation exercise involving service users, carers and experts. The findings revealed a series of important sub-domains spread across three superordinate domains indicative of quality </w:t>
      </w:r>
      <w:r w:rsidRPr="00522CD2">
        <w:rPr>
          <w:rFonts w:ascii="Times" w:hAnsi="Times"/>
          <w:sz w:val="24"/>
          <w:szCs w:val="24"/>
          <w:lang w:val="en-US"/>
        </w:rPr>
        <w:fldChar w:fldCharType="begin" w:fldLock="1"/>
      </w:r>
      <w:r w:rsidRPr="00522CD2">
        <w:rPr>
          <w:rFonts w:ascii="Times" w:hAnsi="Times"/>
          <w:sz w:val="24"/>
          <w:szCs w:val="24"/>
          <w:lang w:val="en-US"/>
        </w:rPr>
        <w:instrText>ADDIN CSL_CITATION { "citationItems" : [ { "id" : "ITEM-1", "itemData" : { "author" : [ { "dropping-particle" : "", "family" : "Department of Health", "given" : "", "non-dropping-particle" : "", "parse-names" : false, "suffix" : "" } ], "id" : "ITEM-1", "issued" : { "date-parts" : [ [ "2010" ] ] }, "publisher-place" : "London", "title" : "Transparency in outcomes: a framework for the NHS.", "type" : "report" }, "uris" : [ "http://www.mendeley.com/documents/?uuid=49317f3e-ad6e-4233-85b0-e6e35b239c1b" ] } ], "mendeley" : { "formattedCitation" : "(12)", "plainTextFormattedCitation" : "(12)", "previouslyFormattedCitation" : "(12)" }, "properties" : { "noteIndex" : 0 }, "schema" : "https://github.com/citation-style-language/schema/raw/master/csl-citation.json" }</w:instrText>
      </w:r>
      <w:r w:rsidRPr="00522CD2">
        <w:rPr>
          <w:rFonts w:ascii="Times" w:hAnsi="Times"/>
          <w:sz w:val="24"/>
          <w:szCs w:val="24"/>
          <w:lang w:val="en-US"/>
        </w:rPr>
        <w:fldChar w:fldCharType="separate"/>
      </w:r>
      <w:r w:rsidRPr="00522CD2">
        <w:rPr>
          <w:rFonts w:ascii="Times" w:hAnsi="Times"/>
          <w:noProof/>
          <w:sz w:val="24"/>
          <w:szCs w:val="24"/>
          <w:lang w:val="en-US"/>
        </w:rPr>
        <w:t>(12)</w:t>
      </w:r>
      <w:r w:rsidRPr="00522CD2">
        <w:rPr>
          <w:rFonts w:ascii="Times" w:hAnsi="Times"/>
          <w:sz w:val="24"/>
          <w:szCs w:val="24"/>
          <w:lang w:val="en-US"/>
        </w:rPr>
        <w:fldChar w:fldCharType="end"/>
      </w:r>
      <w:r w:rsidRPr="00522CD2">
        <w:rPr>
          <w:rFonts w:ascii="Times" w:hAnsi="Times"/>
          <w:sz w:val="24"/>
          <w:szCs w:val="24"/>
          <w:lang w:val="en-US"/>
        </w:rPr>
        <w:t xml:space="preserve">.  These captured a range of clinical and patient safety variables, along with factors measuring both the service user and carer experience of care.   </w:t>
      </w:r>
    </w:p>
    <w:p w14:paraId="5EC58222" w14:textId="77777777"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p>
    <w:p w14:paraId="5A1E3568" w14:textId="28FFC0D3"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r w:rsidRPr="00522CD2">
        <w:rPr>
          <w:rFonts w:ascii="Times" w:hAnsi="Times"/>
          <w:sz w:val="24"/>
          <w:szCs w:val="24"/>
          <w:lang w:val="en-US"/>
        </w:rPr>
        <w:t xml:space="preserve">The largest outcome domain was effectiveness, which is not surprising.  The sub-domains included were those that captured aspects of the care-pathway, along with a focus on clinical symptoms, recovery and a reduction in re-offending.   Related variables, such as length of stay, discharge, and need for security were included, but these may not always directly correlate with clinical need.  For example, it would be possible for someone who has received successful treatment to remain in hospital due to delayed discharge because of difficulties with the provision of community-based services to manage risk.  </w:t>
      </w:r>
      <w:r w:rsidR="001A71FF" w:rsidRPr="00522CD2">
        <w:rPr>
          <w:rFonts w:ascii="Times" w:hAnsi="Times"/>
          <w:sz w:val="24"/>
          <w:szCs w:val="24"/>
          <w:lang w:val="en-US"/>
        </w:rPr>
        <w:t xml:space="preserve">Further, length of stay in this context, as an indicator of outcome, should be neither too short or too long, and instead should be “just right” as it should be appropriate to meet the needs of individual patients, adding substantial complexity, especially when considered as a sole indicator of outcome.  </w:t>
      </w:r>
      <w:r w:rsidRPr="00522CD2">
        <w:rPr>
          <w:rFonts w:ascii="Times" w:hAnsi="Times"/>
          <w:sz w:val="24"/>
          <w:szCs w:val="24"/>
          <w:lang w:val="en-US"/>
        </w:rPr>
        <w:t xml:space="preserve">As such, focusing on multiple sub-domains allows for a richer and more thorough picture of the circumstances surrounding the care being offered to patients with forensic services.  </w:t>
      </w:r>
    </w:p>
    <w:p w14:paraId="53F3B591" w14:textId="77777777"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p>
    <w:p w14:paraId="47894CE6" w14:textId="77777777"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r w:rsidRPr="00522CD2">
        <w:rPr>
          <w:rFonts w:ascii="Times" w:hAnsi="Times"/>
          <w:sz w:val="24"/>
          <w:szCs w:val="24"/>
          <w:lang w:val="en-US"/>
        </w:rPr>
        <w:t xml:space="preserve">However, consideration as to what “effective treatment” in this context actually looks like requires further exploration, both on an individual patient level and a wider service-level. Only one study (5) described the nature of the treatment programme that is delivered within the service. Effective treatment is likely to form a combination of appropriate medical, psychological and social intervention, informed by individual clinical formulations, but the availability is likely to vary across services, depending on patient needs.   At present, in deciding whether a service is effective,  regulatory and commissioning bodies rely on easily measurable process variables (eg: the existence or otherwise of various policies, the availability or otherwise of various treatments, etc) rather than paying attention to the more important question of whether any of this is  making a difference to the outcome. This is clearly unsatisfactory.  Likewise, there are no studies which have looked at the economic evaluation of treatments, a rather surprising finding considering the abundance of anecdote and opinion in this field about costs (5). Considering the future, the structure and form of “effective treatment” within forensic services should be clarified, and drawn from a robust-evidence base, bearing in mind that there are very few clinical trials to identify the most effective intervention across the range of those that are available.  As such, greater investment in research investigating the clinical effectiveness of forensic services for people with IDs is needed. </w:t>
      </w:r>
    </w:p>
    <w:p w14:paraId="7957E97F" w14:textId="77777777"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p>
    <w:p w14:paraId="3CA59417" w14:textId="77777777"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r w:rsidRPr="00522CD2">
        <w:rPr>
          <w:rFonts w:ascii="Times" w:hAnsi="Times"/>
          <w:sz w:val="24"/>
          <w:szCs w:val="24"/>
          <w:lang w:val="en-US"/>
        </w:rPr>
        <w:t xml:space="preserve"> There are other subdomains clustered around safety and the patient/carer experience which we incorporated into our final framework.  These are important indicators of the quality of forensic services, but may not always directly relate to clinical effectiveness.  Nevertheless, helping to ensure that patients with IDs, detained in forensic services have a good quality life, including access to meaningful activity, is a core business of such services.   Measuring sub-domains with the broader safety and patient/carer experience domain is clearly important, for all stakeholders, especially patients and their carers.  The measurement strategy for these domains could be standardised nationally, bearing in mind that they may not correlate directly with clinical effectiveness. </w:t>
      </w:r>
    </w:p>
    <w:p w14:paraId="372F0003" w14:textId="77777777"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p>
    <w:p w14:paraId="21203BC6" w14:textId="670FD0B5"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r w:rsidRPr="00522CD2">
        <w:rPr>
          <w:rFonts w:ascii="Times" w:hAnsi="Times"/>
          <w:sz w:val="24"/>
          <w:szCs w:val="24"/>
          <w:lang w:val="en-US"/>
        </w:rPr>
        <w:t xml:space="preserve">Related to this, the addition of a series of consultation exercises, alongside our systematic review, adds a particular strength to our project.   This helped to ensure that we adequately captured the views of all stakeholders and appropriately synthesised them into our final framework.   It is important to note that while experts tended to focus on clinical outcomes, service users and carers tended to focus more upon the quality of service provision, and the experience of receiving a service, alongside clinical outcomes.   As such, it became important to ensure that these findings formed part of our final outcome framework. </w:t>
      </w:r>
    </w:p>
    <w:p w14:paraId="64C690DC" w14:textId="1ED8759F" w:rsidR="00315E28" w:rsidRPr="00522CD2" w:rsidRDefault="00315E28" w:rsidP="00042144">
      <w:pPr>
        <w:pStyle w:val="Default"/>
        <w:shd w:val="clear" w:color="auto" w:fill="FFFFFF" w:themeFill="background1"/>
        <w:spacing w:line="480" w:lineRule="auto"/>
        <w:ind w:firstLine="284"/>
        <w:rPr>
          <w:rFonts w:ascii="Times" w:hAnsi="Times"/>
          <w:sz w:val="24"/>
          <w:szCs w:val="24"/>
          <w:lang w:val="en-US"/>
        </w:rPr>
      </w:pPr>
    </w:p>
    <w:p w14:paraId="717D5A8D" w14:textId="1F7BE5A9" w:rsidR="00315E28" w:rsidRPr="00522CD2" w:rsidRDefault="00542AB1" w:rsidP="00042144">
      <w:pPr>
        <w:pStyle w:val="Default"/>
        <w:shd w:val="clear" w:color="auto" w:fill="FFFFFF" w:themeFill="background1"/>
        <w:spacing w:line="480" w:lineRule="auto"/>
        <w:ind w:firstLine="284"/>
        <w:rPr>
          <w:rFonts w:ascii="Times New Roman" w:eastAsia="Times New Roman" w:hAnsi="Times New Roman" w:cs="Courier New"/>
          <w:color w:val="auto"/>
          <w:sz w:val="24"/>
          <w:szCs w:val="24"/>
          <w:lang w:eastAsia="en-GB"/>
        </w:rPr>
      </w:pPr>
      <w:r w:rsidRPr="00522CD2">
        <w:rPr>
          <w:rFonts w:ascii="Times New Roman" w:eastAsia="Times New Roman" w:hAnsi="Times New Roman" w:cs="Courier New"/>
          <w:color w:val="auto"/>
          <w:sz w:val="24"/>
          <w:szCs w:val="24"/>
          <w:lang w:eastAsia="en-GB"/>
        </w:rPr>
        <w:t>Contrasting our framework with that developed by Fitzpatrick et al (8), there are both similarities and differences.  Fitzpatrick et al (8) grouped outcome measures across a variety of similar domains, such as recidivism, service outcomes, mental state, compliance, satisfaction, substance misuse, amongst others.  They were able to successfully review a variety of specific outcome measures that would enable measurement across these domains, while in our study, there are relatively fewer instruments that have been standardized for use with people with intellectual disabilities across the subdomains we have included within our framework.  At the same time, there were some noted differences between our framework and that reported by Fitzpatrick et al (8).  For example, substance misuse did not feature explicitly, but nevertheless is an issue for many with IDs, and would fall easily within our Incidents subdomain.  At the same time, there were specific subdomains that we included which did not appear within the framework reported by Fitzpatrick et al (8), such as adaptive functioning, access to meaningful activity, as well as the use of restrictive practices, which while no doubt are all an issue for those with forensic mental health problems, are likely to be more salient with services for people with IDs.”</w:t>
      </w:r>
    </w:p>
    <w:p w14:paraId="6F265158" w14:textId="77777777" w:rsidR="00542AB1" w:rsidRPr="00522CD2" w:rsidRDefault="00542AB1" w:rsidP="00042144">
      <w:pPr>
        <w:pStyle w:val="Default"/>
        <w:shd w:val="clear" w:color="auto" w:fill="FFFFFF" w:themeFill="background1"/>
        <w:spacing w:line="480" w:lineRule="auto"/>
        <w:ind w:firstLine="284"/>
        <w:rPr>
          <w:rFonts w:ascii="Times" w:hAnsi="Times"/>
          <w:sz w:val="24"/>
          <w:szCs w:val="24"/>
          <w:lang w:val="en-US"/>
        </w:rPr>
      </w:pPr>
    </w:p>
    <w:p w14:paraId="6CA1D5BF" w14:textId="77777777" w:rsidR="00042144" w:rsidRPr="00522CD2" w:rsidRDefault="00042144" w:rsidP="00042144">
      <w:pPr>
        <w:pStyle w:val="Default"/>
        <w:shd w:val="clear" w:color="auto" w:fill="FFFFFF" w:themeFill="background1"/>
        <w:spacing w:line="480" w:lineRule="auto"/>
        <w:rPr>
          <w:rFonts w:ascii="Times" w:hAnsi="Times"/>
          <w:sz w:val="24"/>
          <w:szCs w:val="24"/>
          <w:lang w:val="en-US"/>
        </w:rPr>
      </w:pPr>
      <w:r w:rsidRPr="00522CD2">
        <w:rPr>
          <w:rFonts w:ascii="Times" w:hAnsi="Times"/>
          <w:sz w:val="24"/>
          <w:szCs w:val="24"/>
          <w:lang w:val="en-US"/>
        </w:rPr>
        <w:t>Clinical Implications</w:t>
      </w:r>
    </w:p>
    <w:p w14:paraId="1791F0C8" w14:textId="5CDBAA40"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r w:rsidRPr="00522CD2">
        <w:rPr>
          <w:rFonts w:ascii="Times" w:hAnsi="Times"/>
          <w:sz w:val="24"/>
          <w:szCs w:val="24"/>
          <w:lang w:val="en-US"/>
        </w:rPr>
        <w:t xml:space="preserve">The findings from the current project have direct relevance to recent government initiatives, including Building the Right Support </w:t>
      </w:r>
      <w:r w:rsidRPr="00522CD2">
        <w:rPr>
          <w:rFonts w:ascii="Times" w:hAnsi="Times"/>
          <w:sz w:val="24"/>
          <w:szCs w:val="24"/>
          <w:lang w:val="en-US"/>
        </w:rPr>
        <w:fldChar w:fldCharType="begin" w:fldLock="1"/>
      </w:r>
      <w:r w:rsidRPr="00522CD2">
        <w:rPr>
          <w:rFonts w:ascii="Times" w:hAnsi="Times"/>
          <w:sz w:val="24"/>
          <w:szCs w:val="24"/>
          <w:lang w:val="en-US"/>
        </w:rPr>
        <w:instrText>ADDIN CSL_CITATION { "citationItems" : [ { "id" : "ITEM-1", "itemData" : { "author" : [ { "dropping-particle" : "", "family" : "NHS England", "given" : "", "non-dropping-particle" : "", "parse-names" : false, "suffix" : "" } ], "id" : "ITEM-1", "issued" : { "date-parts" : [ [ "2015" ] ] }, "title" : "Building the right support: A national plan to develop community services and close inpatient facilities for people with a learning disability and/or autism who display behaviour that challenges, including those with a mental health condition.", "type" : "report" }, "uris" : [ "http://www.mendeley.com/documents/?uuid=fe1bcf44-19de-4300-9c4e-a46b7e7e7097" ] } ], "mendeley" : { "formattedCitation" : "(7)", "plainTextFormattedCitation" : "(7)", "previouslyFormattedCitation" : "(7)" }, "properties" : { "noteIndex" : 0 }, "schema" : "https://github.com/citation-style-language/schema/raw/master/csl-citation.json" }</w:instrText>
      </w:r>
      <w:r w:rsidRPr="00522CD2">
        <w:rPr>
          <w:rFonts w:ascii="Times" w:hAnsi="Times"/>
          <w:sz w:val="24"/>
          <w:szCs w:val="24"/>
          <w:lang w:val="en-US"/>
        </w:rPr>
        <w:fldChar w:fldCharType="separate"/>
      </w:r>
      <w:r w:rsidRPr="00522CD2">
        <w:rPr>
          <w:rFonts w:ascii="Times" w:hAnsi="Times"/>
          <w:noProof/>
          <w:sz w:val="24"/>
          <w:szCs w:val="24"/>
          <w:lang w:val="en-US"/>
        </w:rPr>
        <w:t>(7)</w:t>
      </w:r>
      <w:r w:rsidRPr="00522CD2">
        <w:rPr>
          <w:rFonts w:ascii="Times" w:hAnsi="Times"/>
          <w:sz w:val="24"/>
          <w:szCs w:val="24"/>
          <w:lang w:val="en-US"/>
        </w:rPr>
        <w:fldChar w:fldCharType="end"/>
      </w:r>
      <w:r w:rsidRPr="00522CD2">
        <w:rPr>
          <w:rFonts w:ascii="Times" w:hAnsi="Times"/>
          <w:sz w:val="24"/>
          <w:szCs w:val="24"/>
          <w:lang w:val="en-US"/>
        </w:rPr>
        <w:t xml:space="preserve"> and the new National Service Model </w:t>
      </w:r>
      <w:r w:rsidRPr="00522CD2">
        <w:rPr>
          <w:rFonts w:ascii="Times" w:hAnsi="Times"/>
          <w:sz w:val="24"/>
          <w:szCs w:val="24"/>
          <w:lang w:val="en-US"/>
        </w:rPr>
        <w:fldChar w:fldCharType="begin" w:fldLock="1"/>
      </w:r>
      <w:r w:rsidRPr="00522CD2">
        <w:rPr>
          <w:rFonts w:ascii="Times" w:hAnsi="Times"/>
          <w:sz w:val="24"/>
          <w:szCs w:val="24"/>
          <w:lang w:val="en-US"/>
        </w:rPr>
        <w:instrText>ADDIN CSL_CITATION { "citationItems" : [ { "id" : "ITEM-1", "itemData" : { "author" : [ { "dropping-particle" : "", "family" : "NHS England", "given" : "", "non-dropping-particle" : "", "parse-names" : false, "suffix" : "" } ], "id" : "ITEM-1", "issued" : { "date-parts" : [ [ "2015" ] ] }, "title" : "Supporting people with a learning disability and/or autism who display behaviour that challenges, including those with a mental health condition. Service model for commissioners of health and social care services.", "type" : "report" }, "uris" : [ "http://www.mendeley.com/documents/?uuid=af0179aa-14eb-4d51-94fc-9cc5bb42a9b8" ] } ], "mendeley" : { "formattedCitation" : "(49)", "plainTextFormattedCitation" : "(49)", "previouslyFormattedCitation" : "(49)" }, "properties" : { "noteIndex" : 0 }, "schema" : "https://github.com/citation-style-language/schema/raw/master/csl-citation.json" }</w:instrText>
      </w:r>
      <w:r w:rsidRPr="00522CD2">
        <w:rPr>
          <w:rFonts w:ascii="Times" w:hAnsi="Times"/>
          <w:sz w:val="24"/>
          <w:szCs w:val="24"/>
          <w:lang w:val="en-US"/>
        </w:rPr>
        <w:fldChar w:fldCharType="separate"/>
      </w:r>
      <w:r w:rsidRPr="00522CD2">
        <w:rPr>
          <w:rFonts w:ascii="Times" w:hAnsi="Times"/>
          <w:noProof/>
          <w:sz w:val="24"/>
          <w:szCs w:val="24"/>
          <w:lang w:val="en-US"/>
        </w:rPr>
        <w:t>(49)</w:t>
      </w:r>
      <w:r w:rsidRPr="00522CD2">
        <w:rPr>
          <w:rFonts w:ascii="Times" w:hAnsi="Times"/>
          <w:sz w:val="24"/>
          <w:szCs w:val="24"/>
          <w:lang w:val="en-US"/>
        </w:rPr>
        <w:fldChar w:fldCharType="end"/>
      </w:r>
      <w:r w:rsidRPr="00522CD2">
        <w:rPr>
          <w:rFonts w:ascii="Times" w:hAnsi="Times"/>
          <w:sz w:val="24"/>
          <w:szCs w:val="24"/>
          <w:lang w:val="en-US"/>
        </w:rPr>
        <w:t xml:space="preserve">  that were developed and published in response to the institutional abuse that took place at Winterbourne View in England.   For many years, there has been a focus upon ensuring that people with IDs are afforded good quality care within their own communities, rather than within hospital, and the abuse that occurred at Winterbourne View has reignited the drive to ensure that people with IDs are not unnecessarily kept in hospital and other re</w:t>
      </w:r>
      <w:r w:rsidR="00831998" w:rsidRPr="00522CD2">
        <w:rPr>
          <w:rFonts w:ascii="Times" w:hAnsi="Times"/>
          <w:sz w:val="24"/>
          <w:szCs w:val="24"/>
          <w:lang w:val="en-US"/>
        </w:rPr>
        <w:t>strictive environments, recognis</w:t>
      </w:r>
      <w:r w:rsidRPr="00522CD2">
        <w:rPr>
          <w:rFonts w:ascii="Times" w:hAnsi="Times"/>
          <w:sz w:val="24"/>
          <w:szCs w:val="24"/>
          <w:lang w:val="en-US"/>
        </w:rPr>
        <w:t>ing at the same time, that some people with IDs do need appropriate hospital care from time to time, depending upon their needs.   The new National Service Model incorporated hospital admission, which should be integrated within community-based teams, alongside active, clear and robust discharge planning.  In order to achieve such, services need to be able to measure outcomes, and for those who are admitted to inpatient forensic services, including forensic rehabilitation services, our framework of outcomes should be used by hospitals to index change, as well as service quality.  Further, our work has the potential to strengthen current initiatives, such as the Quality Network for Forensic Services (</w:t>
      </w:r>
      <w:hyperlink r:id="rId9" w:history="1">
        <w:r w:rsidRPr="00522CD2">
          <w:rPr>
            <w:rStyle w:val="Hyperlink"/>
            <w:rFonts w:ascii="Times" w:hAnsi="Times"/>
            <w:sz w:val="24"/>
            <w:szCs w:val="24"/>
            <w:u w:val="none"/>
            <w:lang w:val="en-US"/>
          </w:rPr>
          <w:t>http://www.rcpsych.ac.uk/quality/quality,accreditationaudit/forensicmentalhealth/templatehomepage.aspx</w:t>
        </w:r>
      </w:hyperlink>
      <w:r w:rsidRPr="00522CD2">
        <w:rPr>
          <w:rFonts w:ascii="Times" w:hAnsi="Times"/>
          <w:sz w:val="24"/>
          <w:szCs w:val="24"/>
          <w:lang w:val="en-US"/>
        </w:rPr>
        <w:t>), when used within forensic services for people with IDs where this is a focus on ensuring practice standards are agreed and met.</w:t>
      </w:r>
    </w:p>
    <w:p w14:paraId="54CEEDD0" w14:textId="77777777"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p>
    <w:p w14:paraId="21863781" w14:textId="34F90C94"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r w:rsidRPr="00522CD2">
        <w:rPr>
          <w:rFonts w:ascii="Times" w:hAnsi="Times"/>
          <w:sz w:val="24"/>
          <w:szCs w:val="24"/>
          <w:lang w:val="en-US"/>
        </w:rPr>
        <w:t xml:space="preserve">Care and treatment reviews, a further initiative created by NHS England following Winterbourne View, involves reviewing the care within a hospital in order to make a judgement about whether an individual is receiving the right care within the right environment.  Each review involves a service commissioner and at least two expert advisors, one being a carer or service user.   For service users who are within inpatient forensic services, it would be valuable for care and treatment reviews to be structured around our outcome framework.  This would help ensure that decisions about care are based upon the research evidence and based upon indicators that are considered to measure change appropriately, helping to ensure the process is robust.  One of the further important findings from our work is that we have integrated the findings from the evidence base which </w:t>
      </w:r>
      <w:r w:rsidR="006A51B4" w:rsidRPr="00522CD2">
        <w:rPr>
          <w:rFonts w:ascii="Times" w:hAnsi="Times"/>
          <w:sz w:val="24"/>
          <w:szCs w:val="24"/>
          <w:lang w:val="en-US"/>
        </w:rPr>
        <w:t>was</w:t>
      </w:r>
      <w:r w:rsidRPr="00522CD2">
        <w:rPr>
          <w:rFonts w:ascii="Times" w:hAnsi="Times"/>
          <w:sz w:val="24"/>
          <w:szCs w:val="24"/>
          <w:lang w:val="en-US"/>
        </w:rPr>
        <w:t xml:space="preserve"> used as the springboard to develop our framework.  While there are difficulties with many of the included studies, what was apparent was the absence of a focus on recovery and </w:t>
      </w:r>
      <w:r w:rsidR="006A51B4" w:rsidRPr="00522CD2">
        <w:rPr>
          <w:rFonts w:ascii="Times" w:hAnsi="Times"/>
          <w:sz w:val="24"/>
          <w:szCs w:val="24"/>
          <w:lang w:val="en-US"/>
        </w:rPr>
        <w:t>exploration of the subjective meaning of</w:t>
      </w:r>
      <w:r w:rsidRPr="00522CD2">
        <w:rPr>
          <w:rFonts w:ascii="Times" w:hAnsi="Times"/>
          <w:sz w:val="24"/>
          <w:szCs w:val="24"/>
          <w:lang w:val="en-US"/>
        </w:rPr>
        <w:t xml:space="preserve"> recovery in this context.  Alongside this, many of the studies were small and very few longitudinal studies drawing on a well-developed outcomes framework have been completed, which is both clearly and sorely needed</w:t>
      </w:r>
      <w:r w:rsidR="006A51B4" w:rsidRPr="00522CD2">
        <w:rPr>
          <w:rFonts w:ascii="Times" w:hAnsi="Times"/>
          <w:sz w:val="24"/>
          <w:szCs w:val="24"/>
          <w:lang w:val="en-US"/>
        </w:rPr>
        <w:t>.</w:t>
      </w:r>
    </w:p>
    <w:p w14:paraId="350C1BC4" w14:textId="77777777" w:rsidR="00042144" w:rsidRPr="00522CD2" w:rsidRDefault="00042144" w:rsidP="00042144">
      <w:pPr>
        <w:pStyle w:val="Default"/>
        <w:shd w:val="clear" w:color="auto" w:fill="FFFFFF" w:themeFill="background1"/>
        <w:spacing w:line="480" w:lineRule="auto"/>
        <w:rPr>
          <w:rFonts w:ascii="Times" w:hAnsi="Times"/>
          <w:sz w:val="24"/>
          <w:szCs w:val="24"/>
          <w:lang w:val="en-US"/>
        </w:rPr>
      </w:pPr>
    </w:p>
    <w:p w14:paraId="2C92081E" w14:textId="77777777" w:rsidR="00042144" w:rsidRPr="00522CD2" w:rsidRDefault="00042144" w:rsidP="00042144">
      <w:pPr>
        <w:pStyle w:val="Default"/>
        <w:shd w:val="clear" w:color="auto" w:fill="FFFFFF" w:themeFill="background1"/>
        <w:spacing w:line="480" w:lineRule="auto"/>
        <w:rPr>
          <w:rFonts w:ascii="Times" w:hAnsi="Times"/>
          <w:sz w:val="24"/>
          <w:szCs w:val="24"/>
          <w:lang w:val="en-US"/>
        </w:rPr>
      </w:pPr>
      <w:r w:rsidRPr="00522CD2">
        <w:rPr>
          <w:rFonts w:ascii="Times" w:hAnsi="Times"/>
          <w:sz w:val="24"/>
          <w:szCs w:val="24"/>
          <w:lang w:val="en-US"/>
        </w:rPr>
        <w:t xml:space="preserve">Limitations </w:t>
      </w:r>
    </w:p>
    <w:p w14:paraId="774A14A1" w14:textId="5D9C1675" w:rsidR="00DD2DE1" w:rsidRPr="00522CD2" w:rsidRDefault="00042144" w:rsidP="00042144">
      <w:pPr>
        <w:pStyle w:val="Default"/>
        <w:shd w:val="clear" w:color="auto" w:fill="FFFFFF" w:themeFill="background1"/>
        <w:spacing w:line="480" w:lineRule="auto"/>
        <w:ind w:firstLine="284"/>
        <w:rPr>
          <w:rFonts w:ascii="Times" w:hAnsi="Times"/>
          <w:sz w:val="24"/>
          <w:szCs w:val="24"/>
          <w:lang w:val="en-US"/>
        </w:rPr>
      </w:pPr>
      <w:r w:rsidRPr="00522CD2">
        <w:rPr>
          <w:rFonts w:ascii="Times" w:hAnsi="Times"/>
          <w:sz w:val="24"/>
          <w:szCs w:val="24"/>
          <w:lang w:val="en-US"/>
        </w:rPr>
        <w:t xml:space="preserve">All of these recommendations need to be balanced against several weaknesses associated with the current study.  First, our findings from the systematic review are based upon the research evidence.  Inherently, our findings from the systematic review are only as robust as the quality of the research that was reviewed.   The predominant issue with many of the studies that were included was that few were longitudinal studies measuring outcomes, demonstrating that these outcomes had validity and reliability as an outcome indictor.  </w:t>
      </w:r>
      <w:r w:rsidR="00DD2DE1" w:rsidRPr="00522CD2">
        <w:rPr>
          <w:rFonts w:ascii="Times" w:hAnsi="Times"/>
          <w:sz w:val="24"/>
          <w:szCs w:val="24"/>
          <w:lang w:val="en-US"/>
        </w:rPr>
        <w:t xml:space="preserve">Related, because of the marked variation across studies in terms of methodology, it became impossible to find a suitably reliable and valid tool that would index quality in this context.  Moreover, if we had been able to measure study quality, this would not have altered the weight put on one study as opposed to another, because the focus was on the domains and how those domains were measured.  </w:t>
      </w:r>
    </w:p>
    <w:p w14:paraId="48166DD4" w14:textId="77777777" w:rsidR="00372E64" w:rsidRPr="00522CD2" w:rsidRDefault="00372E64" w:rsidP="00042144">
      <w:pPr>
        <w:pStyle w:val="Default"/>
        <w:shd w:val="clear" w:color="auto" w:fill="FFFFFF" w:themeFill="background1"/>
        <w:spacing w:line="480" w:lineRule="auto"/>
        <w:ind w:firstLine="284"/>
        <w:rPr>
          <w:rFonts w:ascii="Times" w:hAnsi="Times"/>
          <w:sz w:val="24"/>
          <w:szCs w:val="24"/>
          <w:lang w:val="en-US"/>
        </w:rPr>
      </w:pPr>
    </w:p>
    <w:p w14:paraId="794E3F89" w14:textId="18E72A2F"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r w:rsidRPr="00522CD2">
        <w:rPr>
          <w:rFonts w:ascii="Times" w:hAnsi="Times"/>
          <w:sz w:val="24"/>
          <w:szCs w:val="24"/>
          <w:lang w:val="en-US"/>
        </w:rPr>
        <w:t xml:space="preserve">While this is problematic, it is attenuated by the consultation exercises with service users, carers and experts.  The service users included within our focus groups are vulnerable, detained under the Mental Health Act, and are often not given a voice.  They directly contributed to the development of our outcomes, telling us what was important to them, as users of the services.  Our findings from the consultation exercises were incorporated into our methods which helped to ensure that our findings were shaped carefully by those affected by our findings, which in turn, increased validity.   The second weakness is that the findings from our consensus exercises are based upon the views of a group of individuals, and only four carers were included; our findings may have been enhanced with a larger number of carers, </w:t>
      </w:r>
      <w:r w:rsidR="003727CE" w:rsidRPr="00522CD2">
        <w:rPr>
          <w:rFonts w:ascii="Times" w:hAnsi="Times"/>
          <w:sz w:val="24"/>
          <w:szCs w:val="24"/>
          <w:lang w:val="en-US"/>
        </w:rPr>
        <w:t>but</w:t>
      </w:r>
      <w:r w:rsidRPr="00522CD2">
        <w:rPr>
          <w:rFonts w:ascii="Times" w:hAnsi="Times"/>
          <w:sz w:val="24"/>
          <w:szCs w:val="24"/>
          <w:lang w:val="en-US"/>
        </w:rPr>
        <w:t xml:space="preserve"> </w:t>
      </w:r>
      <w:r w:rsidR="00356B1A" w:rsidRPr="00522CD2">
        <w:rPr>
          <w:rFonts w:ascii="Times" w:hAnsi="Times"/>
          <w:sz w:val="24"/>
          <w:szCs w:val="24"/>
          <w:lang w:val="en-US"/>
        </w:rPr>
        <w:t xml:space="preserve">the content had become repetitive suggesting we had reached content saturation. </w:t>
      </w:r>
      <w:r w:rsidRPr="00522CD2">
        <w:rPr>
          <w:rFonts w:ascii="Times" w:hAnsi="Times"/>
          <w:sz w:val="24"/>
          <w:szCs w:val="24"/>
          <w:lang w:val="en-US"/>
        </w:rPr>
        <w:t xml:space="preserve">While we attempted to capture the views of a variety of services users, carers and experts, and it is certainly possible that had we asked a different group of service users, carers and experts, different issues may have emerged from our analysis.     Third, as our study included participants from United Kingdom, there is a question as to whether the findings are generalisable to our healthcare systems in other countries.   However, we would anticipate that the findings have implications within other countries offering similar services, and could be used to inform further research within similar hospitals and services within other parts of the world. </w:t>
      </w:r>
    </w:p>
    <w:p w14:paraId="49E86667" w14:textId="77777777" w:rsidR="00042144" w:rsidRPr="00522CD2" w:rsidRDefault="00042144" w:rsidP="00042144">
      <w:pPr>
        <w:pStyle w:val="Default"/>
        <w:shd w:val="clear" w:color="auto" w:fill="FFFFFF" w:themeFill="background1"/>
        <w:spacing w:line="480" w:lineRule="auto"/>
        <w:rPr>
          <w:rFonts w:ascii="Times" w:hAnsi="Times"/>
          <w:sz w:val="24"/>
          <w:szCs w:val="24"/>
          <w:lang w:val="en-US"/>
        </w:rPr>
      </w:pPr>
    </w:p>
    <w:p w14:paraId="73AD4C2A" w14:textId="77777777" w:rsidR="00042144" w:rsidRPr="00522CD2" w:rsidRDefault="00042144" w:rsidP="00042144">
      <w:pPr>
        <w:pStyle w:val="Default"/>
        <w:shd w:val="clear" w:color="auto" w:fill="FFFFFF" w:themeFill="background1"/>
        <w:spacing w:line="480" w:lineRule="auto"/>
        <w:rPr>
          <w:rFonts w:ascii="Times" w:hAnsi="Times"/>
          <w:sz w:val="24"/>
          <w:szCs w:val="24"/>
          <w:lang w:val="en-US"/>
        </w:rPr>
      </w:pPr>
      <w:r w:rsidRPr="00522CD2">
        <w:rPr>
          <w:rFonts w:ascii="Times" w:hAnsi="Times"/>
          <w:sz w:val="24"/>
          <w:szCs w:val="24"/>
          <w:lang w:val="en-US"/>
        </w:rPr>
        <w:t>Conclusion</w:t>
      </w:r>
    </w:p>
    <w:p w14:paraId="5A4FE3CA" w14:textId="04AC76B6" w:rsidR="00042144" w:rsidRPr="00522CD2" w:rsidRDefault="00042144" w:rsidP="00042144">
      <w:pPr>
        <w:pStyle w:val="Default"/>
        <w:shd w:val="clear" w:color="auto" w:fill="FFFFFF" w:themeFill="background1"/>
        <w:spacing w:line="480" w:lineRule="auto"/>
        <w:ind w:firstLine="284"/>
        <w:rPr>
          <w:rFonts w:ascii="Times" w:hAnsi="Times"/>
          <w:sz w:val="24"/>
          <w:szCs w:val="24"/>
          <w:lang w:val="en-US"/>
        </w:rPr>
      </w:pPr>
      <w:r w:rsidRPr="00522CD2">
        <w:rPr>
          <w:rFonts w:ascii="Times" w:hAnsi="Times"/>
          <w:sz w:val="24"/>
          <w:szCs w:val="24"/>
          <w:lang w:val="en-US"/>
        </w:rPr>
        <w:t xml:space="preserve">Finally, and looking forward to the future, further work is needed to investigate the reliability and validity of our outcomes framework. This may lead to a reduction in the number of sub-domains found within our current outcomes framework which would increase the probability that services would integrate the framework into their services. Related to this, it is important to consider that individual-level outcomes are likely to be very important </w:t>
      </w:r>
      <w:r w:rsidR="006A51B4" w:rsidRPr="00522CD2">
        <w:rPr>
          <w:rFonts w:ascii="Times" w:hAnsi="Times"/>
          <w:sz w:val="24"/>
          <w:szCs w:val="24"/>
          <w:lang w:val="en-US"/>
        </w:rPr>
        <w:t xml:space="preserve">when </w:t>
      </w:r>
      <w:r w:rsidRPr="00522CD2">
        <w:rPr>
          <w:rFonts w:ascii="Times" w:hAnsi="Times"/>
          <w:sz w:val="24"/>
          <w:szCs w:val="24"/>
          <w:lang w:val="en-US"/>
        </w:rPr>
        <w:t>indexing recovery, and further work is needed as to how these are measured across services because they are likely to be associated with local clinical practices which may be idiographic and vary from service to service.  However, a degree of standardisation would be valuable when monitoring</w:t>
      </w:r>
      <w:r w:rsidR="00831998" w:rsidRPr="00522CD2">
        <w:rPr>
          <w:rFonts w:ascii="Times" w:hAnsi="Times"/>
          <w:sz w:val="24"/>
          <w:szCs w:val="24"/>
          <w:lang w:val="en-US"/>
        </w:rPr>
        <w:t xml:space="preserve"> and improving service outcomes, and specifying the method of measurement across our subdomains is an important next step.</w:t>
      </w:r>
      <w:r w:rsidRPr="00522CD2">
        <w:rPr>
          <w:rFonts w:ascii="Times" w:hAnsi="Times"/>
          <w:sz w:val="24"/>
          <w:szCs w:val="24"/>
          <w:lang w:val="en-US"/>
        </w:rPr>
        <w:t xml:space="preserve">   Together, our framework should have a beneficial impact upon improving both service quality and service user outcomes, while it would also allow for the creation of a national minimum dataset, specific to these services, which could be used to track service user outcomes and help develop and refine care-pathways.  Considering future research, it is now appropriate to </w:t>
      </w:r>
      <w:r w:rsidR="00831998" w:rsidRPr="00522CD2">
        <w:rPr>
          <w:rFonts w:ascii="Times" w:hAnsi="Times"/>
          <w:sz w:val="24"/>
          <w:szCs w:val="24"/>
          <w:lang w:val="en-US"/>
        </w:rPr>
        <w:t xml:space="preserve">consider the likely instruments that could be used to measure outcomes, allowing us to </w:t>
      </w:r>
      <w:r w:rsidRPr="00522CD2">
        <w:rPr>
          <w:rFonts w:ascii="Times" w:hAnsi="Times"/>
          <w:sz w:val="24"/>
          <w:szCs w:val="24"/>
          <w:lang w:val="en-US"/>
        </w:rPr>
        <w:t xml:space="preserve">trial this framework within existing hospital care pathways.  </w:t>
      </w:r>
    </w:p>
    <w:p w14:paraId="789383A0" w14:textId="77777777" w:rsidR="00B206F7" w:rsidRPr="00522CD2" w:rsidRDefault="00B206F7" w:rsidP="00B206F7">
      <w:pPr>
        <w:shd w:val="clear" w:color="auto" w:fill="FFFFFF" w:themeFill="background1"/>
        <w:spacing w:line="360" w:lineRule="auto"/>
        <w:jc w:val="both"/>
        <w:rPr>
          <w:rFonts w:ascii="Times" w:eastAsia="Times New Roman" w:hAnsi="Times"/>
        </w:rPr>
      </w:pPr>
    </w:p>
    <w:p w14:paraId="4E2D7980" w14:textId="77777777" w:rsidR="00B206F7" w:rsidRPr="00522CD2" w:rsidRDefault="00FF4C0F" w:rsidP="00B206F7">
      <w:pPr>
        <w:shd w:val="clear" w:color="auto" w:fill="FFFFFF" w:themeFill="background1"/>
        <w:spacing w:line="360" w:lineRule="auto"/>
        <w:jc w:val="both"/>
        <w:rPr>
          <w:rFonts w:ascii="Times" w:eastAsia="Times New Roman" w:hAnsi="Times"/>
        </w:rPr>
      </w:pPr>
      <w:r w:rsidRPr="00522CD2">
        <w:rPr>
          <w:rFonts w:ascii="Times" w:eastAsia="Times New Roman" w:hAnsi="Times"/>
        </w:rPr>
        <w:t xml:space="preserve"> </w:t>
      </w:r>
    </w:p>
    <w:p w14:paraId="419AFE63" w14:textId="77777777" w:rsidR="007B5CD8" w:rsidRPr="00522CD2" w:rsidRDefault="007B5CD8" w:rsidP="00A52FCD">
      <w:pPr>
        <w:shd w:val="clear" w:color="auto" w:fill="FFFFFF" w:themeFill="background1"/>
        <w:jc w:val="both"/>
        <w:rPr>
          <w:color w:val="000000"/>
          <w:bdr w:val="none" w:sz="0" w:space="0" w:color="auto"/>
        </w:rPr>
      </w:pPr>
    </w:p>
    <w:p w14:paraId="721E0277" w14:textId="77777777" w:rsidR="00531B7B" w:rsidRPr="00522CD2" w:rsidRDefault="00531B7B">
      <w:pPr>
        <w:rPr>
          <w:b/>
        </w:rPr>
      </w:pPr>
      <w:r w:rsidRPr="00522CD2">
        <w:rPr>
          <w:b/>
        </w:rPr>
        <w:br w:type="page"/>
      </w:r>
    </w:p>
    <w:p w14:paraId="04517BA8" w14:textId="77777777" w:rsidR="0023489B" w:rsidRPr="00522CD2" w:rsidRDefault="0023489B" w:rsidP="0023489B">
      <w:pPr>
        <w:shd w:val="clear" w:color="auto" w:fill="FFFFFF" w:themeFill="background1"/>
        <w:jc w:val="both"/>
        <w:rPr>
          <w:b/>
        </w:rPr>
      </w:pPr>
    </w:p>
    <w:p w14:paraId="45018937" w14:textId="77777777" w:rsidR="00297758" w:rsidRPr="00522CD2" w:rsidRDefault="00297758" w:rsidP="00C2395D">
      <w:pPr>
        <w:shd w:val="clear" w:color="auto" w:fill="FFFFFF" w:themeFill="background1"/>
        <w:jc w:val="both"/>
        <w:rPr>
          <w:rFonts w:hAnsi="Arial Unicode MS" w:cs="Arial Unicode MS"/>
          <w:color w:val="000000"/>
        </w:rPr>
      </w:pPr>
    </w:p>
    <w:p w14:paraId="66F9CAC2" w14:textId="77777777" w:rsidR="00991F00" w:rsidRPr="00522CD2" w:rsidRDefault="00991F00" w:rsidP="00C2395D">
      <w:pPr>
        <w:shd w:val="clear" w:color="auto" w:fill="FFFFFF" w:themeFill="background1"/>
        <w:jc w:val="both"/>
        <w:rPr>
          <w:rFonts w:hAnsi="Arial Unicode MS" w:cs="Arial Unicode MS"/>
          <w:color w:val="000000"/>
        </w:rPr>
      </w:pPr>
    </w:p>
    <w:p w14:paraId="17E47522" w14:textId="77777777" w:rsidR="00991F00" w:rsidRPr="00522CD2" w:rsidRDefault="003B72BE" w:rsidP="00991F00">
      <w:pPr>
        <w:spacing w:line="480" w:lineRule="auto"/>
        <w:rPr>
          <w:sz w:val="22"/>
          <w:szCs w:val="22"/>
        </w:rPr>
      </w:pPr>
      <w:r w:rsidRPr="00522CD2">
        <w:rPr>
          <w:noProof/>
          <w:lang w:eastAsia="en-GB"/>
        </w:rPr>
        <mc:AlternateContent>
          <mc:Choice Requires="wps">
            <w:drawing>
              <wp:anchor distT="36576" distB="36576" distL="36576" distR="36576" simplePos="0" relativeHeight="251683840" behindDoc="0" locked="0" layoutInCell="1" allowOverlap="1" wp14:anchorId="7E4E9F1E" wp14:editId="293B4087">
                <wp:simplePos x="0" y="0"/>
                <wp:positionH relativeFrom="column">
                  <wp:posOffset>2493010</wp:posOffset>
                </wp:positionH>
                <wp:positionV relativeFrom="paragraph">
                  <wp:posOffset>2635885</wp:posOffset>
                </wp:positionV>
                <wp:extent cx="426085" cy="635"/>
                <wp:effectExtent l="41275" t="0" r="72390" b="53340"/>
                <wp:wrapNone/>
                <wp:docPr id="3"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26085" cy="635"/>
                        </a:xfrm>
                        <a:prstGeom prst="bentConnector3">
                          <a:avLst>
                            <a:gd name="adj1" fmla="val 49926"/>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7E52B721"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7" o:spid="_x0000_s1026" type="#_x0000_t34" style="position:absolute;margin-left:196.3pt;margin-top:207.55pt;width:33.55pt;height:.05pt;rotation:90;flip:x;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" adj="10784">
                <v:stroke endarrow="block"/>
                <v:shadow color="#ccc"/>
              </v:shape>
            </w:pict>
          </mc:Fallback>
        </mc:AlternateContent>
      </w:r>
      <w:r w:rsidRPr="00522CD2">
        <w:rPr>
          <w:noProof/>
          <w:lang w:eastAsia="en-GB"/>
        </w:rPr>
        <mc:AlternateContent>
          <mc:Choice Requires="wps">
            <w:drawing>
              <wp:anchor distT="36576" distB="36576" distL="36576" distR="36576" simplePos="0" relativeHeight="251664384" behindDoc="0" locked="0" layoutInCell="1" allowOverlap="1" wp14:anchorId="612753FB" wp14:editId="3CCDB553">
                <wp:simplePos x="0" y="0"/>
                <wp:positionH relativeFrom="column">
                  <wp:posOffset>2912745</wp:posOffset>
                </wp:positionH>
                <wp:positionV relativeFrom="paragraph">
                  <wp:posOffset>1652270</wp:posOffset>
                </wp:positionV>
                <wp:extent cx="542925" cy="635"/>
                <wp:effectExtent l="42545" t="0" r="71120" b="5207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42925" cy="635"/>
                        </a:xfrm>
                        <a:prstGeom prst="bentConnector3">
                          <a:avLst>
                            <a:gd name="adj1" fmla="val 4994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1DDFAB4F" id="Straight Arrow Connector 4" o:spid="_x0000_s1026" type="#_x0000_t34" style="position:absolute;margin-left:229.35pt;margin-top:130.1pt;width:42.75pt;height:.05pt;rotation:90;flip:x;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" adj="10787">
                <v:stroke endarrow="block"/>
                <v:shadow color="#ccc"/>
              </v:shape>
            </w:pict>
          </mc:Fallback>
        </mc:AlternateContent>
      </w:r>
      <w:r w:rsidRPr="00522CD2">
        <w:rPr>
          <w:noProof/>
          <w:lang w:eastAsia="en-GB"/>
        </w:rPr>
        <mc:AlternateContent>
          <mc:Choice Requires="wps">
            <w:drawing>
              <wp:anchor distT="36576" distB="36576" distL="36575" distR="36575" simplePos="0" relativeHeight="251663360" behindDoc="0" locked="0" layoutInCell="1" allowOverlap="1" wp14:anchorId="3AB215A2" wp14:editId="5CF4B194">
                <wp:simplePos x="0" y="0"/>
                <wp:positionH relativeFrom="column">
                  <wp:posOffset>1348739</wp:posOffset>
                </wp:positionH>
                <wp:positionV relativeFrom="paragraph">
                  <wp:posOffset>1652905</wp:posOffset>
                </wp:positionV>
                <wp:extent cx="542925" cy="0"/>
                <wp:effectExtent l="42863" t="0" r="71437" b="52388"/>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4292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74941962" id="_x0000_t32" coordsize="21600,21600" o:spt="32" o:oned="t" path="m,l21600,21600e" filled="f">
                <v:path arrowok="t" fillok="f" o:connecttype="none"/>
                <o:lock v:ext="edit" shapetype="t"/>
              </v:shapetype>
              <v:shape id="Straight Arrow Connector 3" o:spid="_x0000_s1026" type="#_x0000_t32" style="position:absolute;margin-left:106.2pt;margin-top:130.15pt;width:42.75pt;height:0;rotation:90;z-index:25166336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">
                <v:stroke endarrow="block"/>
                <v:shadow color="#ccc"/>
              </v:shape>
            </w:pict>
          </mc:Fallback>
        </mc:AlternateContent>
      </w:r>
      <w:r w:rsidRPr="00522CD2">
        <w:rPr>
          <w:noProof/>
          <w:lang w:eastAsia="en-GB"/>
        </w:rPr>
        <mc:AlternateContent>
          <mc:Choice Requires="wps">
            <w:drawing>
              <wp:anchor distT="0" distB="0" distL="114300" distR="114300" simplePos="0" relativeHeight="251666432" behindDoc="0" locked="0" layoutInCell="1" allowOverlap="1" wp14:anchorId="324D70C7" wp14:editId="5FEC5F5A">
                <wp:simplePos x="0" y="0"/>
                <wp:positionH relativeFrom="column">
                  <wp:posOffset>2120900</wp:posOffset>
                </wp:positionH>
                <wp:positionV relativeFrom="paragraph">
                  <wp:posOffset>552450</wp:posOffset>
                </wp:positionV>
                <wp:extent cx="2264410" cy="828675"/>
                <wp:effectExtent l="0" t="0" r="21590" b="28575"/>
                <wp:wrapNone/>
                <wp:docPr id="5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828675"/>
                        </a:xfrm>
                        <a:prstGeom prst="rect">
                          <a:avLst/>
                        </a:prstGeom>
                        <a:solidFill>
                          <a:srgbClr val="FFFFFF"/>
                        </a:solidFill>
                        <a:ln w="9525">
                          <a:solidFill>
                            <a:srgbClr val="000000"/>
                          </a:solidFill>
                          <a:miter lim="800000"/>
                          <a:headEnd/>
                          <a:tailEnd/>
                        </a:ln>
                      </wps:spPr>
                      <wps:txbx>
                        <w:txbxContent>
                          <w:p w14:paraId="27804B2C" w14:textId="77777777" w:rsidR="007B4339" w:rsidRPr="00A7442A" w:rsidRDefault="007B4339" w:rsidP="00A7442A">
                            <w:pPr>
                              <w:jc w:val="center"/>
                              <w:rPr>
                                <w:sz w:val="22"/>
                                <w:szCs w:val="22"/>
                              </w:rPr>
                            </w:pPr>
                            <w:r w:rsidRPr="00A7442A">
                              <w:rPr>
                                <w:sz w:val="22"/>
                                <w:szCs w:val="22"/>
                              </w:rPr>
                              <w:t xml:space="preserve">Records identified through other sources </w:t>
                            </w:r>
                            <w:r w:rsidRPr="00A7442A">
                              <w:rPr>
                                <w:sz w:val="22"/>
                                <w:szCs w:val="22"/>
                              </w:rPr>
                              <w:br/>
                              <w:t>Hand Search (n = 5)</w:t>
                            </w:r>
                          </w:p>
                          <w:p w14:paraId="7FD0B0D2" w14:textId="77777777" w:rsidR="007B4339" w:rsidRPr="00A7442A" w:rsidRDefault="007B4339" w:rsidP="00A7442A">
                            <w:pPr>
                              <w:jc w:val="center"/>
                              <w:rPr>
                                <w:sz w:val="22"/>
                                <w:szCs w:val="22"/>
                              </w:rPr>
                            </w:pPr>
                            <w:r w:rsidRPr="00A7442A">
                              <w:rPr>
                                <w:sz w:val="22"/>
                                <w:szCs w:val="22"/>
                              </w:rPr>
                              <w:t>Local service report (n</w:t>
                            </w:r>
                            <w:r>
                              <w:rPr>
                                <w:sz w:val="22"/>
                                <w:szCs w:val="22"/>
                              </w:rPr>
                              <w:t xml:space="preserve"> </w:t>
                            </w:r>
                            <w:r w:rsidRPr="00A7442A">
                              <w:rPr>
                                <w:sz w:val="22"/>
                                <w:szCs w:val="22"/>
                              </w:rPr>
                              <w:t>=</w:t>
                            </w:r>
                            <w:r>
                              <w:rPr>
                                <w:sz w:val="22"/>
                                <w:szCs w:val="22"/>
                              </w:rPr>
                              <w:t xml:space="preserve"> </w:t>
                            </w:r>
                            <w:r w:rsidRPr="00A7442A">
                              <w:rPr>
                                <w:sz w:val="22"/>
                                <w:szCs w:val="22"/>
                              </w:rPr>
                              <w:t>3)</w:t>
                            </w:r>
                          </w:p>
                          <w:p w14:paraId="041C6054" w14:textId="77777777" w:rsidR="007B4339" w:rsidRPr="00A7442A" w:rsidRDefault="007B4339" w:rsidP="00A7442A">
                            <w:pPr>
                              <w:jc w:val="center"/>
                              <w:rPr>
                                <w:sz w:val="22"/>
                                <w:szCs w:val="22"/>
                              </w:rPr>
                            </w:pPr>
                            <w:r w:rsidRPr="00A7442A">
                              <w:rPr>
                                <w:sz w:val="22"/>
                                <w:szCs w:val="22"/>
                              </w:rPr>
                              <w:t>Grey Literature (n=9)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D70C7" id="Rectangle 23" o:spid="_x0000_s1026" style="position:absolute;margin-left:167pt;margin-top:43.5pt;width:178.3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">
                <v:textbox inset=",7.2pt,,7.2pt">
                  <w:txbxContent>
                    <w:p w14:paraId="27804B2C" w14:textId="77777777" w:rsidR="007B4339" w:rsidRPr="00A7442A" w:rsidRDefault="007B4339" w:rsidP="00A7442A">
                      <w:pPr>
                        <w:jc w:val="center"/>
                        <w:rPr>
                          <w:sz w:val="22"/>
                          <w:szCs w:val="22"/>
                        </w:rPr>
                      </w:pPr>
                      <w:r w:rsidRPr="00A7442A">
                        <w:rPr>
                          <w:sz w:val="22"/>
                          <w:szCs w:val="22"/>
                        </w:rPr>
                        <w:t xml:space="preserve">Records identified through other sources </w:t>
                      </w:r>
                      <w:r w:rsidRPr="00A7442A">
                        <w:rPr>
                          <w:sz w:val="22"/>
                          <w:szCs w:val="22"/>
                        </w:rPr>
                        <w:br/>
                        <w:t>Hand Search (n = 5)</w:t>
                      </w:r>
                    </w:p>
                    <w:p w14:paraId="7FD0B0D2" w14:textId="77777777" w:rsidR="007B4339" w:rsidRPr="00A7442A" w:rsidRDefault="007B4339" w:rsidP="00A7442A">
                      <w:pPr>
                        <w:jc w:val="center"/>
                        <w:rPr>
                          <w:sz w:val="22"/>
                          <w:szCs w:val="22"/>
                        </w:rPr>
                      </w:pPr>
                      <w:r w:rsidRPr="00A7442A">
                        <w:rPr>
                          <w:sz w:val="22"/>
                          <w:szCs w:val="22"/>
                        </w:rPr>
                        <w:t>Local service report (n</w:t>
                      </w:r>
                      <w:r>
                        <w:rPr>
                          <w:sz w:val="22"/>
                          <w:szCs w:val="22"/>
                        </w:rPr>
                        <w:t xml:space="preserve"> </w:t>
                      </w:r>
                      <w:r w:rsidRPr="00A7442A">
                        <w:rPr>
                          <w:sz w:val="22"/>
                          <w:szCs w:val="22"/>
                        </w:rPr>
                        <w:t>=</w:t>
                      </w:r>
                      <w:r>
                        <w:rPr>
                          <w:sz w:val="22"/>
                          <w:szCs w:val="22"/>
                        </w:rPr>
                        <w:t xml:space="preserve"> </w:t>
                      </w:r>
                      <w:r w:rsidRPr="00A7442A">
                        <w:rPr>
                          <w:sz w:val="22"/>
                          <w:szCs w:val="22"/>
                        </w:rPr>
                        <w:t>3)</w:t>
                      </w:r>
                    </w:p>
                    <w:p w14:paraId="041C6054" w14:textId="77777777" w:rsidR="007B4339" w:rsidRPr="00A7442A" w:rsidRDefault="007B4339" w:rsidP="00A7442A">
                      <w:pPr>
                        <w:jc w:val="center"/>
                        <w:rPr>
                          <w:sz w:val="22"/>
                          <w:szCs w:val="22"/>
                        </w:rPr>
                      </w:pPr>
                      <w:r w:rsidRPr="00A7442A">
                        <w:rPr>
                          <w:sz w:val="22"/>
                          <w:szCs w:val="22"/>
                        </w:rPr>
                        <w:t>Grey Literature (n=9)</w:t>
                      </w:r>
                    </w:p>
                  </w:txbxContent>
                </v:textbox>
              </v:rect>
            </w:pict>
          </mc:Fallback>
        </mc:AlternateContent>
      </w:r>
      <w:r w:rsidRPr="00522CD2">
        <w:rPr>
          <w:noProof/>
          <w:lang w:eastAsia="en-GB"/>
        </w:rPr>
        <mc:AlternateContent>
          <mc:Choice Requires="wps">
            <w:drawing>
              <wp:anchor distT="0" distB="0" distL="114300" distR="114300" simplePos="0" relativeHeight="251659264" behindDoc="0" locked="0" layoutInCell="1" allowOverlap="1" wp14:anchorId="0A12F077" wp14:editId="139FC6DF">
                <wp:simplePos x="0" y="0"/>
                <wp:positionH relativeFrom="column">
                  <wp:posOffset>175260</wp:posOffset>
                </wp:positionH>
                <wp:positionV relativeFrom="paragraph">
                  <wp:posOffset>552450</wp:posOffset>
                </wp:positionV>
                <wp:extent cx="1743075" cy="828675"/>
                <wp:effectExtent l="0" t="0" r="28575" b="28575"/>
                <wp:wrapNone/>
                <wp:docPr id="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828675"/>
                        </a:xfrm>
                        <a:prstGeom prst="rect">
                          <a:avLst/>
                        </a:prstGeom>
                        <a:solidFill>
                          <a:srgbClr val="FFFFFF"/>
                        </a:solidFill>
                        <a:ln w="9525">
                          <a:solidFill>
                            <a:srgbClr val="000000"/>
                          </a:solidFill>
                          <a:miter lim="800000"/>
                          <a:headEnd/>
                          <a:tailEnd/>
                        </a:ln>
                      </wps:spPr>
                      <wps:txbx>
                        <w:txbxContent>
                          <w:p w14:paraId="01544777" w14:textId="77777777" w:rsidR="007B4339" w:rsidRPr="00A7442A" w:rsidRDefault="007B4339" w:rsidP="00A7442A">
                            <w:pPr>
                              <w:jc w:val="center"/>
                              <w:rPr>
                                <w:sz w:val="22"/>
                                <w:szCs w:val="22"/>
                              </w:rPr>
                            </w:pPr>
                            <w:r w:rsidRPr="00A7442A">
                              <w:rPr>
                                <w:sz w:val="22"/>
                                <w:szCs w:val="22"/>
                              </w:rPr>
                              <w:t xml:space="preserve">Records identified through database searching </w:t>
                            </w:r>
                            <w:r w:rsidRPr="00A7442A">
                              <w:rPr>
                                <w:sz w:val="22"/>
                                <w:szCs w:val="22"/>
                              </w:rPr>
                              <w:br/>
                              <w:t>(n = 6,569)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2F077" id="Rectangle 1" o:spid="_x0000_s1027" style="position:absolute;margin-left:13.8pt;margin-top:43.5pt;width:137.2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">
                <v:textbox inset=",7.2pt,,7.2pt">
                  <w:txbxContent>
                    <w:p w14:paraId="01544777" w14:textId="77777777" w:rsidR="007B4339" w:rsidRPr="00A7442A" w:rsidRDefault="007B4339" w:rsidP="00A7442A">
                      <w:pPr>
                        <w:jc w:val="center"/>
                        <w:rPr>
                          <w:sz w:val="22"/>
                          <w:szCs w:val="22"/>
                        </w:rPr>
                      </w:pPr>
                      <w:r w:rsidRPr="00A7442A">
                        <w:rPr>
                          <w:sz w:val="22"/>
                          <w:szCs w:val="22"/>
                        </w:rPr>
                        <w:t xml:space="preserve">Records identified through database searching </w:t>
                      </w:r>
                      <w:r w:rsidRPr="00A7442A">
                        <w:rPr>
                          <w:sz w:val="22"/>
                          <w:szCs w:val="22"/>
                        </w:rPr>
                        <w:br/>
                        <w:t>(n = 6,569)</w:t>
                      </w:r>
                    </w:p>
                  </w:txbxContent>
                </v:textbox>
              </v:rect>
            </w:pict>
          </mc:Fallback>
        </mc:AlternateContent>
      </w:r>
      <w:r w:rsidRPr="00522CD2">
        <w:rPr>
          <w:noProof/>
          <w:lang w:eastAsia="en-GB"/>
        </w:rPr>
        <mc:AlternateContent>
          <mc:Choice Requires="wps">
            <w:drawing>
              <wp:anchor distT="0" distB="0" distL="114300" distR="114300" simplePos="0" relativeHeight="251681792" behindDoc="0" locked="0" layoutInCell="1" allowOverlap="1" wp14:anchorId="739D10FB" wp14:editId="6BA16152">
                <wp:simplePos x="0" y="0"/>
                <wp:positionH relativeFrom="column">
                  <wp:posOffset>4455160</wp:posOffset>
                </wp:positionH>
                <wp:positionV relativeFrom="paragraph">
                  <wp:posOffset>1834515</wp:posOffset>
                </wp:positionV>
                <wp:extent cx="1714500" cy="685800"/>
                <wp:effectExtent l="0" t="0" r="19050" b="19050"/>
                <wp:wrapNone/>
                <wp:docPr id="4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3C6D3CC0" w14:textId="77777777" w:rsidR="007B4339" w:rsidRPr="00A7442A" w:rsidRDefault="007B4339" w:rsidP="00A7442A">
                            <w:pPr>
                              <w:jc w:val="center"/>
                              <w:rPr>
                                <w:sz w:val="22"/>
                                <w:szCs w:val="22"/>
                              </w:rPr>
                            </w:pPr>
                            <w:r>
                              <w:rPr>
                                <w:sz w:val="22"/>
                                <w:szCs w:val="22"/>
                              </w:rPr>
                              <w:t>Records excluded;</w:t>
                            </w:r>
                            <w:r w:rsidRPr="00A7442A">
                              <w:rPr>
                                <w:sz w:val="22"/>
                                <w:szCs w:val="22"/>
                              </w:rPr>
                              <w:t xml:space="preserve"> duplicates </w:t>
                            </w:r>
                            <w:r w:rsidRPr="00A7442A">
                              <w:rPr>
                                <w:sz w:val="22"/>
                                <w:szCs w:val="22"/>
                              </w:rPr>
                              <w:br/>
                              <w:t>(n = 1,656)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D10FB" id="Rectangle 25" o:spid="_x0000_s1028" style="position:absolute;margin-left:350.8pt;margin-top:144.45pt;width:135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">
                <v:textbox inset=",7.2pt,,7.2pt">
                  <w:txbxContent>
                    <w:p w14:paraId="3C6D3CC0" w14:textId="77777777" w:rsidR="007B4339" w:rsidRPr="00A7442A" w:rsidRDefault="007B4339" w:rsidP="00A7442A">
                      <w:pPr>
                        <w:jc w:val="center"/>
                        <w:rPr>
                          <w:sz w:val="22"/>
                          <w:szCs w:val="22"/>
                        </w:rPr>
                      </w:pPr>
                      <w:r>
                        <w:rPr>
                          <w:sz w:val="22"/>
                          <w:szCs w:val="22"/>
                        </w:rPr>
                        <w:t>Records excluded;</w:t>
                      </w:r>
                      <w:r w:rsidRPr="00A7442A">
                        <w:rPr>
                          <w:sz w:val="22"/>
                          <w:szCs w:val="22"/>
                        </w:rPr>
                        <w:t xml:space="preserve"> duplicates </w:t>
                      </w:r>
                      <w:r w:rsidRPr="00A7442A">
                        <w:rPr>
                          <w:sz w:val="22"/>
                          <w:szCs w:val="22"/>
                        </w:rPr>
                        <w:br/>
                        <w:t>(n = 1,656)</w:t>
                      </w:r>
                    </w:p>
                  </w:txbxContent>
                </v:textbox>
              </v:rect>
            </w:pict>
          </mc:Fallback>
        </mc:AlternateContent>
      </w:r>
      <w:r w:rsidRPr="00522CD2">
        <w:rPr>
          <w:noProof/>
          <w:lang w:eastAsia="en-GB"/>
        </w:rPr>
        <mc:AlternateContent>
          <mc:Choice Requires="wps">
            <w:drawing>
              <wp:anchor distT="36575" distB="36575" distL="36576" distR="36576" simplePos="0" relativeHeight="251682816" behindDoc="0" locked="0" layoutInCell="1" allowOverlap="1" wp14:anchorId="291F759C" wp14:editId="36EFAE06">
                <wp:simplePos x="0" y="0"/>
                <wp:positionH relativeFrom="column">
                  <wp:posOffset>3899535</wp:posOffset>
                </wp:positionH>
                <wp:positionV relativeFrom="paragraph">
                  <wp:posOffset>2184399</wp:posOffset>
                </wp:positionV>
                <wp:extent cx="571500" cy="0"/>
                <wp:effectExtent l="0" t="76200" r="19050" b="95250"/>
                <wp:wrapNone/>
                <wp:docPr id="4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414366A4" id="Straight Arrow Connector 26" o:spid="_x0000_s1026" type="#_x0000_t32" style="position:absolute;margin-left:307.05pt;margin-top:172pt;width:45pt;height:0;z-index:251682816;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">
                <v:stroke endarrow="block"/>
                <v:shadow color="#ccc"/>
              </v:shape>
            </w:pict>
          </mc:Fallback>
        </mc:AlternateContent>
      </w:r>
      <w:r w:rsidRPr="00522CD2">
        <w:rPr>
          <w:noProof/>
          <w:lang w:eastAsia="en-GB"/>
        </w:rPr>
        <mc:AlternateContent>
          <mc:Choice Requires="wps">
            <w:drawing>
              <wp:anchor distT="0" distB="0" distL="114300" distR="114300" simplePos="0" relativeHeight="251667456" behindDoc="0" locked="0" layoutInCell="1" allowOverlap="1" wp14:anchorId="23F3F98B" wp14:editId="61B90968">
                <wp:simplePos x="0" y="0"/>
                <wp:positionH relativeFrom="column">
                  <wp:posOffset>1514475</wp:posOffset>
                </wp:positionH>
                <wp:positionV relativeFrom="paragraph">
                  <wp:posOffset>1924050</wp:posOffset>
                </wp:positionV>
                <wp:extent cx="2381250" cy="499110"/>
                <wp:effectExtent l="0" t="0" r="19050" b="15240"/>
                <wp:wrapNone/>
                <wp:docPr id="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499110"/>
                        </a:xfrm>
                        <a:prstGeom prst="rect">
                          <a:avLst/>
                        </a:prstGeom>
                        <a:solidFill>
                          <a:srgbClr val="FFFFFF"/>
                        </a:solidFill>
                        <a:ln w="9525">
                          <a:solidFill>
                            <a:srgbClr val="000000"/>
                          </a:solidFill>
                          <a:miter lim="800000"/>
                          <a:headEnd/>
                          <a:tailEnd/>
                        </a:ln>
                      </wps:spPr>
                      <wps:txbx>
                        <w:txbxContent>
                          <w:p w14:paraId="03A58DB8" w14:textId="77777777" w:rsidR="007B4339" w:rsidRPr="00A7442A" w:rsidRDefault="007B4339" w:rsidP="00A7442A">
                            <w:pPr>
                              <w:jc w:val="center"/>
                              <w:rPr>
                                <w:sz w:val="22"/>
                                <w:szCs w:val="22"/>
                              </w:rPr>
                            </w:pPr>
                            <w:r w:rsidRPr="00A7442A">
                              <w:rPr>
                                <w:sz w:val="22"/>
                                <w:szCs w:val="22"/>
                              </w:rPr>
                              <w:t xml:space="preserve">Total Records identified </w:t>
                            </w:r>
                            <w:r w:rsidRPr="00A7442A">
                              <w:rPr>
                                <w:sz w:val="22"/>
                                <w:szCs w:val="22"/>
                              </w:rPr>
                              <w:br/>
                              <w:t>(n = 6,586)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3F98B" id="Rectangle 2" o:spid="_x0000_s1029" style="position:absolute;margin-left:119.25pt;margin-top:151.5pt;width:187.5pt;height:3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">
                <v:textbox inset=",7.2pt,,7.2pt">
                  <w:txbxContent>
                    <w:p w14:paraId="03A58DB8" w14:textId="77777777" w:rsidR="007B4339" w:rsidRPr="00A7442A" w:rsidRDefault="007B4339" w:rsidP="00A7442A">
                      <w:pPr>
                        <w:jc w:val="center"/>
                        <w:rPr>
                          <w:sz w:val="22"/>
                          <w:szCs w:val="22"/>
                        </w:rPr>
                      </w:pPr>
                      <w:r w:rsidRPr="00A7442A">
                        <w:rPr>
                          <w:sz w:val="22"/>
                          <w:szCs w:val="22"/>
                        </w:rPr>
                        <w:t xml:space="preserve">Total Records identified </w:t>
                      </w:r>
                      <w:r w:rsidRPr="00A7442A">
                        <w:rPr>
                          <w:sz w:val="22"/>
                          <w:szCs w:val="22"/>
                        </w:rPr>
                        <w:br/>
                        <w:t>(n = 6,586)</w:t>
                      </w:r>
                    </w:p>
                  </w:txbxContent>
                </v:textbox>
              </v:rect>
            </w:pict>
          </mc:Fallback>
        </mc:AlternateContent>
      </w:r>
      <w:r w:rsidRPr="00522CD2">
        <w:rPr>
          <w:noProof/>
          <w:lang w:eastAsia="en-GB"/>
        </w:rPr>
        <mc:AlternateContent>
          <mc:Choice Requires="wps">
            <w:drawing>
              <wp:anchor distT="0" distB="0" distL="114300" distR="114300" simplePos="0" relativeHeight="251668480" behindDoc="0" locked="0" layoutInCell="1" allowOverlap="1" wp14:anchorId="12AAD8AA" wp14:editId="3F46AB3A">
                <wp:simplePos x="0" y="0"/>
                <wp:positionH relativeFrom="column">
                  <wp:posOffset>4468495</wp:posOffset>
                </wp:positionH>
                <wp:positionV relativeFrom="paragraph">
                  <wp:posOffset>2865120</wp:posOffset>
                </wp:positionV>
                <wp:extent cx="1714500" cy="685800"/>
                <wp:effectExtent l="0" t="0" r="19050" b="19050"/>
                <wp:wrapNone/>
                <wp:docPr id="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39D7999F" w14:textId="77777777" w:rsidR="007B4339" w:rsidRPr="00A7442A" w:rsidRDefault="007B4339" w:rsidP="00A7442A">
                            <w:pPr>
                              <w:jc w:val="center"/>
                              <w:rPr>
                                <w:sz w:val="22"/>
                                <w:szCs w:val="22"/>
                              </w:rPr>
                            </w:pPr>
                            <w:r>
                              <w:rPr>
                                <w:sz w:val="22"/>
                                <w:szCs w:val="22"/>
                              </w:rPr>
                              <w:t>Records excluded;</w:t>
                            </w:r>
                            <w:r w:rsidRPr="00A7442A">
                              <w:rPr>
                                <w:sz w:val="22"/>
                                <w:szCs w:val="22"/>
                              </w:rPr>
                              <w:t xml:space="preserve"> </w:t>
                            </w:r>
                            <w:r w:rsidRPr="00D3043C">
                              <w:rPr>
                                <w:sz w:val="22"/>
                                <w:szCs w:val="22"/>
                              </w:rPr>
                              <w:t>did not meet eligibility criteria</w:t>
                            </w:r>
                            <w:r w:rsidRPr="00A7442A">
                              <w:rPr>
                                <w:sz w:val="22"/>
                                <w:szCs w:val="22"/>
                              </w:rPr>
                              <w:br/>
                              <w:t>(n = 4,548)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AD8AA" id="Rectangle 10" o:spid="_x0000_s1030" style="position:absolute;margin-left:351.85pt;margin-top:225.6pt;width:13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">
                <v:textbox inset=",7.2pt,,7.2pt">
                  <w:txbxContent>
                    <w:p w14:paraId="39D7999F" w14:textId="77777777" w:rsidR="007B4339" w:rsidRPr="00A7442A" w:rsidRDefault="007B4339" w:rsidP="00A7442A">
                      <w:pPr>
                        <w:jc w:val="center"/>
                        <w:rPr>
                          <w:sz w:val="22"/>
                          <w:szCs w:val="22"/>
                        </w:rPr>
                      </w:pPr>
                      <w:r>
                        <w:rPr>
                          <w:sz w:val="22"/>
                          <w:szCs w:val="22"/>
                        </w:rPr>
                        <w:t>Records excluded;</w:t>
                      </w:r>
                      <w:r w:rsidRPr="00A7442A">
                        <w:rPr>
                          <w:sz w:val="22"/>
                          <w:szCs w:val="22"/>
                        </w:rPr>
                        <w:t xml:space="preserve"> </w:t>
                      </w:r>
                      <w:r w:rsidRPr="00D3043C">
                        <w:rPr>
                          <w:sz w:val="22"/>
                          <w:szCs w:val="22"/>
                        </w:rPr>
                        <w:t>did not meet eligibility criteria</w:t>
                      </w:r>
                      <w:r w:rsidRPr="00A7442A">
                        <w:rPr>
                          <w:sz w:val="22"/>
                          <w:szCs w:val="22"/>
                        </w:rPr>
                        <w:br/>
                        <w:t>(n = 4,548)</w:t>
                      </w:r>
                    </w:p>
                  </w:txbxContent>
                </v:textbox>
              </v:rect>
            </w:pict>
          </mc:Fallback>
        </mc:AlternateContent>
      </w:r>
      <w:r w:rsidRPr="00522CD2">
        <w:rPr>
          <w:noProof/>
          <w:lang w:eastAsia="en-GB"/>
        </w:rPr>
        <mc:AlternateContent>
          <mc:Choice Requires="wps">
            <w:drawing>
              <wp:anchor distT="36575" distB="36575" distL="36576" distR="36576" simplePos="0" relativeHeight="251671552" behindDoc="0" locked="0" layoutInCell="1" allowOverlap="1" wp14:anchorId="1523B620" wp14:editId="160EAC3D">
                <wp:simplePos x="0" y="0"/>
                <wp:positionH relativeFrom="column">
                  <wp:posOffset>3896360</wp:posOffset>
                </wp:positionH>
                <wp:positionV relativeFrom="paragraph">
                  <wp:posOffset>3202939</wp:posOffset>
                </wp:positionV>
                <wp:extent cx="571500" cy="0"/>
                <wp:effectExtent l="0" t="76200" r="19050" b="95250"/>
                <wp:wrapNone/>
                <wp:docPr id="4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30EEB18F" id="Straight Arrow Connector 8" o:spid="_x0000_s1026" type="#_x0000_t32" style="position:absolute;margin-left:306.8pt;margin-top:252.2pt;width:4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">
                <v:stroke endarrow="block"/>
                <v:shadow color="#ccc"/>
              </v:shape>
            </w:pict>
          </mc:Fallback>
        </mc:AlternateContent>
      </w:r>
      <w:r w:rsidRPr="00522CD2">
        <w:rPr>
          <w:noProof/>
          <w:lang w:eastAsia="en-GB"/>
        </w:rPr>
        <mc:AlternateContent>
          <mc:Choice Requires="wps">
            <w:drawing>
              <wp:anchor distT="0" distB="0" distL="114300" distR="114300" simplePos="0" relativeHeight="251680768" behindDoc="0" locked="0" layoutInCell="1" allowOverlap="1" wp14:anchorId="4BF265FE" wp14:editId="2D3FA634">
                <wp:simplePos x="0" y="0"/>
                <wp:positionH relativeFrom="column">
                  <wp:posOffset>1512570</wp:posOffset>
                </wp:positionH>
                <wp:positionV relativeFrom="paragraph">
                  <wp:posOffset>2847340</wp:posOffset>
                </wp:positionV>
                <wp:extent cx="2381250" cy="676275"/>
                <wp:effectExtent l="0" t="0" r="19050" b="28575"/>
                <wp:wrapNone/>
                <wp:docPr id="4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676275"/>
                        </a:xfrm>
                        <a:prstGeom prst="rect">
                          <a:avLst/>
                        </a:prstGeom>
                        <a:solidFill>
                          <a:srgbClr val="FFFFFF"/>
                        </a:solidFill>
                        <a:ln w="9525">
                          <a:solidFill>
                            <a:srgbClr val="000000"/>
                          </a:solidFill>
                          <a:miter lim="800000"/>
                          <a:headEnd/>
                          <a:tailEnd/>
                        </a:ln>
                      </wps:spPr>
                      <wps:txbx>
                        <w:txbxContent>
                          <w:p w14:paraId="23C60916" w14:textId="77777777" w:rsidR="007B4339" w:rsidRPr="00A7442A" w:rsidRDefault="007B4339" w:rsidP="00A7442A">
                            <w:pPr>
                              <w:jc w:val="center"/>
                              <w:rPr>
                                <w:sz w:val="22"/>
                                <w:szCs w:val="22"/>
                              </w:rPr>
                            </w:pPr>
                            <w:r w:rsidRPr="00A7442A">
                              <w:rPr>
                                <w:sz w:val="22"/>
                                <w:szCs w:val="22"/>
                              </w:rPr>
                              <w:t xml:space="preserve">Records after duplicates removed; titles and abstracts screened </w:t>
                            </w:r>
                            <w:r w:rsidRPr="00A7442A">
                              <w:rPr>
                                <w:sz w:val="22"/>
                                <w:szCs w:val="22"/>
                              </w:rPr>
                              <w:br/>
                              <w:t>(n = 4,930)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265FE" id="Rectangle 24" o:spid="_x0000_s1031" style="position:absolute;margin-left:119.1pt;margin-top:224.2pt;width:187.5pt;height:5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">
                <v:textbox inset=",7.2pt,,7.2pt">
                  <w:txbxContent>
                    <w:p w14:paraId="23C60916" w14:textId="77777777" w:rsidR="007B4339" w:rsidRPr="00A7442A" w:rsidRDefault="007B4339" w:rsidP="00A7442A">
                      <w:pPr>
                        <w:jc w:val="center"/>
                        <w:rPr>
                          <w:sz w:val="22"/>
                          <w:szCs w:val="22"/>
                        </w:rPr>
                      </w:pPr>
                      <w:r w:rsidRPr="00A7442A">
                        <w:rPr>
                          <w:sz w:val="22"/>
                          <w:szCs w:val="22"/>
                        </w:rPr>
                        <w:t xml:space="preserve">Records after duplicates removed; titles and abstracts screened </w:t>
                      </w:r>
                      <w:r w:rsidRPr="00A7442A">
                        <w:rPr>
                          <w:sz w:val="22"/>
                          <w:szCs w:val="22"/>
                        </w:rPr>
                        <w:br/>
                        <w:t>(n = 4,930)</w:t>
                      </w:r>
                    </w:p>
                  </w:txbxContent>
                </v:textbox>
              </v:rect>
            </w:pict>
          </mc:Fallback>
        </mc:AlternateContent>
      </w:r>
      <w:r w:rsidRPr="00522CD2">
        <w:rPr>
          <w:noProof/>
          <w:lang w:eastAsia="en-GB"/>
        </w:rPr>
        <mc:AlternateContent>
          <mc:Choice Requires="wps">
            <w:drawing>
              <wp:anchor distT="0" distB="0" distL="114300" distR="114300" simplePos="0" relativeHeight="251678720" behindDoc="0" locked="0" layoutInCell="1" allowOverlap="1" wp14:anchorId="7DD7E610" wp14:editId="5EA1F776">
                <wp:simplePos x="0" y="0"/>
                <wp:positionH relativeFrom="column">
                  <wp:posOffset>2867025</wp:posOffset>
                </wp:positionH>
                <wp:positionV relativeFrom="paragraph">
                  <wp:posOffset>6238875</wp:posOffset>
                </wp:positionV>
                <wp:extent cx="1600200" cy="695325"/>
                <wp:effectExtent l="0" t="0" r="19050" b="28575"/>
                <wp:wrapNone/>
                <wp:docPr id="3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rect">
                          <a:avLst/>
                        </a:prstGeom>
                        <a:solidFill>
                          <a:srgbClr val="FFFFFF"/>
                        </a:solidFill>
                        <a:ln w="9525">
                          <a:solidFill>
                            <a:srgbClr val="000000"/>
                          </a:solidFill>
                          <a:miter lim="800000"/>
                          <a:headEnd/>
                          <a:tailEnd/>
                        </a:ln>
                      </wps:spPr>
                      <wps:txbx>
                        <w:txbxContent>
                          <w:p w14:paraId="55F272D6" w14:textId="77777777" w:rsidR="007B4339" w:rsidRPr="00A7442A" w:rsidRDefault="007B4339" w:rsidP="00A7442A">
                            <w:pPr>
                              <w:jc w:val="center"/>
                              <w:rPr>
                                <w:sz w:val="22"/>
                                <w:szCs w:val="22"/>
                              </w:rPr>
                            </w:pPr>
                            <w:r w:rsidRPr="00A7442A">
                              <w:rPr>
                                <w:sz w:val="22"/>
                                <w:szCs w:val="22"/>
                              </w:rPr>
                              <w:t xml:space="preserve">Cross-Sectional Studies </w:t>
                            </w:r>
                            <w:r w:rsidRPr="00A7442A">
                              <w:rPr>
                                <w:sz w:val="22"/>
                                <w:szCs w:val="22"/>
                              </w:rPr>
                              <w:br/>
                              <w:t>(n = 28)</w:t>
                            </w:r>
                          </w:p>
                          <w:p w14:paraId="512C65EA" w14:textId="77777777" w:rsidR="007B4339" w:rsidRPr="002E73C3" w:rsidRDefault="007B4339" w:rsidP="00A7442A">
                            <w:pPr>
                              <w:rPr>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7E610" id="Rectangle 21" o:spid="_x0000_s1032" style="position:absolute;margin-left:225.75pt;margin-top:491.25pt;width:126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">
                <v:textbox inset=",7.2pt,,7.2pt">
                  <w:txbxContent>
                    <w:p w14:paraId="55F272D6" w14:textId="77777777" w:rsidR="007B4339" w:rsidRPr="00A7442A" w:rsidRDefault="007B4339" w:rsidP="00A7442A">
                      <w:pPr>
                        <w:jc w:val="center"/>
                        <w:rPr>
                          <w:sz w:val="22"/>
                          <w:szCs w:val="22"/>
                        </w:rPr>
                      </w:pPr>
                      <w:r w:rsidRPr="00A7442A">
                        <w:rPr>
                          <w:sz w:val="22"/>
                          <w:szCs w:val="22"/>
                        </w:rPr>
                        <w:t xml:space="preserve">Cross-Sectional Studies </w:t>
                      </w:r>
                      <w:r w:rsidRPr="00A7442A">
                        <w:rPr>
                          <w:sz w:val="22"/>
                          <w:szCs w:val="22"/>
                        </w:rPr>
                        <w:br/>
                        <w:t>(n = 28)</w:t>
                      </w:r>
                    </w:p>
                    <w:p w14:paraId="512C65EA" w14:textId="77777777" w:rsidR="007B4339" w:rsidRPr="002E73C3" w:rsidRDefault="007B4339" w:rsidP="00A7442A">
                      <w:pPr>
                        <w:rPr>
                          <w:szCs w:val="22"/>
                        </w:rPr>
                      </w:pPr>
                    </w:p>
                  </w:txbxContent>
                </v:textbox>
              </v:rect>
            </w:pict>
          </mc:Fallback>
        </mc:AlternateContent>
      </w:r>
      <w:r w:rsidRPr="00522CD2">
        <w:rPr>
          <w:noProof/>
          <w:lang w:eastAsia="en-GB"/>
        </w:rPr>
        <mc:AlternateContent>
          <mc:Choice Requires="wps">
            <w:drawing>
              <wp:anchor distT="36576" distB="36576" distL="36575" distR="36575" simplePos="0" relativeHeight="251675648" behindDoc="0" locked="0" layoutInCell="1" allowOverlap="1" wp14:anchorId="069F4941" wp14:editId="27C9FEDC">
                <wp:simplePos x="0" y="0"/>
                <wp:positionH relativeFrom="column">
                  <wp:posOffset>2705099</wp:posOffset>
                </wp:positionH>
                <wp:positionV relativeFrom="paragraph">
                  <wp:posOffset>4438650</wp:posOffset>
                </wp:positionV>
                <wp:extent cx="0" cy="657225"/>
                <wp:effectExtent l="76200" t="0" r="76200" b="47625"/>
                <wp:wrapNone/>
                <wp:docPr id="3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72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63B0CF5D" id="Straight Arrow Connector 11" o:spid="_x0000_s1026" type="#_x0000_t32" style="position:absolute;margin-left:213pt;margin-top:349.5pt;width:0;height:51.75pt;z-index:25167564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">
                <v:stroke endarrow="block"/>
                <v:shadow color="#ccc"/>
              </v:shape>
            </w:pict>
          </mc:Fallback>
        </mc:AlternateContent>
      </w:r>
      <w:r w:rsidRPr="00522CD2">
        <w:rPr>
          <w:noProof/>
          <w:lang w:eastAsia="en-GB"/>
        </w:rPr>
        <mc:AlternateContent>
          <mc:Choice Requires="wps">
            <w:drawing>
              <wp:anchor distT="36576" distB="36576" distL="36576" distR="36576" simplePos="0" relativeHeight="251676672" behindDoc="0" locked="0" layoutInCell="1" allowOverlap="1" wp14:anchorId="0B42F2E6" wp14:editId="226D2524">
                <wp:simplePos x="0" y="0"/>
                <wp:positionH relativeFrom="column">
                  <wp:posOffset>2362200</wp:posOffset>
                </wp:positionH>
                <wp:positionV relativeFrom="paragraph">
                  <wp:posOffset>5781675</wp:posOffset>
                </wp:positionV>
                <wp:extent cx="342900" cy="457200"/>
                <wp:effectExtent l="38100" t="0" r="19050" b="57150"/>
                <wp:wrapNone/>
                <wp:docPr id="37"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09CFF736" id="Straight Arrow Connector 19" o:spid="_x0000_s1026" type="#_x0000_t32" style="position:absolute;margin-left:186pt;margin-top:455.25pt;width:27pt;height:36pt;flip:x;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">
                <v:stroke endarrow="block"/>
                <v:shadow color="#ccc"/>
              </v:shape>
            </w:pict>
          </mc:Fallback>
        </mc:AlternateContent>
      </w:r>
      <w:r w:rsidRPr="00522CD2">
        <w:rPr>
          <w:noProof/>
          <w:lang w:eastAsia="en-GB"/>
        </w:rPr>
        <mc:AlternateContent>
          <mc:Choice Requires="wps">
            <w:drawing>
              <wp:anchor distT="36576" distB="36576" distL="36576" distR="36576" simplePos="0" relativeHeight="251677696" behindDoc="0" locked="0" layoutInCell="1" allowOverlap="1" wp14:anchorId="5036A9C6" wp14:editId="5C1BE6A5">
                <wp:simplePos x="0" y="0"/>
                <wp:positionH relativeFrom="column">
                  <wp:posOffset>2724150</wp:posOffset>
                </wp:positionH>
                <wp:positionV relativeFrom="paragraph">
                  <wp:posOffset>5781675</wp:posOffset>
                </wp:positionV>
                <wp:extent cx="342900" cy="457200"/>
                <wp:effectExtent l="0" t="0" r="57150" b="57150"/>
                <wp:wrapNone/>
                <wp:docPr id="3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4A7B5BB0" id="Straight Arrow Connector 20" o:spid="_x0000_s1026" type="#_x0000_t32" style="position:absolute;margin-left:214.5pt;margin-top:455.25pt;width:27pt;height:36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">
                <v:stroke endarrow="block"/>
                <v:shadow color="#ccc"/>
              </v:shape>
            </w:pict>
          </mc:Fallback>
        </mc:AlternateContent>
      </w:r>
      <w:r w:rsidRPr="00522CD2">
        <w:rPr>
          <w:noProof/>
          <w:lang w:eastAsia="en-GB"/>
        </w:rPr>
        <mc:AlternateContent>
          <mc:Choice Requires="wps">
            <w:drawing>
              <wp:anchor distT="0" distB="0" distL="114300" distR="114300" simplePos="0" relativeHeight="251673600" behindDoc="0" locked="0" layoutInCell="1" allowOverlap="1" wp14:anchorId="356C405A" wp14:editId="14ED9291">
                <wp:simplePos x="0" y="0"/>
                <wp:positionH relativeFrom="column">
                  <wp:posOffset>1914525</wp:posOffset>
                </wp:positionH>
                <wp:positionV relativeFrom="paragraph">
                  <wp:posOffset>5097145</wp:posOffset>
                </wp:positionV>
                <wp:extent cx="1600200" cy="685800"/>
                <wp:effectExtent l="0" t="0" r="19050" b="19050"/>
                <wp:wrapNone/>
                <wp:docPr id="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14:paraId="77F3EC06" w14:textId="77777777" w:rsidR="007B4339" w:rsidRPr="00A7442A" w:rsidRDefault="007B4339" w:rsidP="00A7442A">
                            <w:pPr>
                              <w:jc w:val="center"/>
                              <w:rPr>
                                <w:sz w:val="22"/>
                                <w:szCs w:val="22"/>
                              </w:rPr>
                            </w:pPr>
                            <w:r w:rsidRPr="00A7442A">
                              <w:rPr>
                                <w:sz w:val="22"/>
                                <w:szCs w:val="22"/>
                              </w:rPr>
                              <w:t xml:space="preserve">Studies included in qualitative synthesis </w:t>
                            </w:r>
                            <w:r w:rsidRPr="00A7442A">
                              <w:rPr>
                                <w:sz w:val="22"/>
                                <w:szCs w:val="22"/>
                              </w:rPr>
                              <w:br/>
                              <w:t>(n = 60)</w:t>
                            </w:r>
                          </w:p>
                          <w:p w14:paraId="63B29BB6" w14:textId="77777777" w:rsidR="007B4339" w:rsidRPr="002E73C3" w:rsidRDefault="007B4339" w:rsidP="00A7442A">
                            <w:pPr>
                              <w:rPr>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C405A" id="Rectangle 17" o:spid="_x0000_s1033" style="position:absolute;margin-left:150.75pt;margin-top:401.35pt;width:126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">
                <v:textbox inset=",7.2pt,,7.2pt">
                  <w:txbxContent>
                    <w:p w14:paraId="77F3EC06" w14:textId="77777777" w:rsidR="007B4339" w:rsidRPr="00A7442A" w:rsidRDefault="007B4339" w:rsidP="00A7442A">
                      <w:pPr>
                        <w:jc w:val="center"/>
                        <w:rPr>
                          <w:sz w:val="22"/>
                          <w:szCs w:val="22"/>
                        </w:rPr>
                      </w:pPr>
                      <w:r w:rsidRPr="00A7442A">
                        <w:rPr>
                          <w:sz w:val="22"/>
                          <w:szCs w:val="22"/>
                        </w:rPr>
                        <w:t xml:space="preserve">Studies included in qualitative synthesis </w:t>
                      </w:r>
                      <w:r w:rsidRPr="00A7442A">
                        <w:rPr>
                          <w:sz w:val="22"/>
                          <w:szCs w:val="22"/>
                        </w:rPr>
                        <w:br/>
                        <w:t>(n = 60)</w:t>
                      </w:r>
                    </w:p>
                    <w:p w14:paraId="63B29BB6" w14:textId="77777777" w:rsidR="007B4339" w:rsidRPr="002E73C3" w:rsidRDefault="007B4339" w:rsidP="00A7442A">
                      <w:pPr>
                        <w:rPr>
                          <w:szCs w:val="22"/>
                        </w:rPr>
                      </w:pPr>
                    </w:p>
                  </w:txbxContent>
                </v:textbox>
              </v:rect>
            </w:pict>
          </mc:Fallback>
        </mc:AlternateContent>
      </w:r>
      <w:r w:rsidRPr="00522CD2">
        <w:rPr>
          <w:noProof/>
          <w:lang w:eastAsia="en-GB"/>
        </w:rPr>
        <mc:AlternateContent>
          <mc:Choice Requires="wps">
            <w:drawing>
              <wp:anchor distT="36575" distB="36575" distL="36576" distR="36576" simplePos="0" relativeHeight="251672576" behindDoc="0" locked="0" layoutInCell="1" allowOverlap="1" wp14:anchorId="791C7E4B" wp14:editId="5525F73C">
                <wp:simplePos x="0" y="0"/>
                <wp:positionH relativeFrom="column">
                  <wp:posOffset>3886200</wp:posOffset>
                </wp:positionH>
                <wp:positionV relativeFrom="paragraph">
                  <wp:posOffset>4114799</wp:posOffset>
                </wp:positionV>
                <wp:extent cx="571500" cy="0"/>
                <wp:effectExtent l="0" t="76200" r="19050" b="95250"/>
                <wp:wrapNone/>
                <wp:docPr id="34"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1EA8E7A1" id="Straight Arrow Connector 16" o:spid="_x0000_s1026" type="#_x0000_t32" style="position:absolute;margin-left:306pt;margin-top:324pt;width:45pt;height:0;z-index:251672576;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">
                <v:stroke endarrow="block"/>
                <v:shadow color="#ccc"/>
              </v:shape>
            </w:pict>
          </mc:Fallback>
        </mc:AlternateContent>
      </w:r>
      <w:r w:rsidRPr="00522CD2">
        <w:rPr>
          <w:noProof/>
          <w:lang w:eastAsia="en-GB"/>
        </w:rPr>
        <mc:AlternateContent>
          <mc:Choice Requires="wps">
            <w:drawing>
              <wp:anchor distT="0" distB="0" distL="114300" distR="114300" simplePos="0" relativeHeight="251669504" behindDoc="0" locked="0" layoutInCell="1" allowOverlap="1" wp14:anchorId="2C8A9988" wp14:editId="5C30BCFD">
                <wp:simplePos x="0" y="0"/>
                <wp:positionH relativeFrom="column">
                  <wp:posOffset>4457700</wp:posOffset>
                </wp:positionH>
                <wp:positionV relativeFrom="paragraph">
                  <wp:posOffset>3771900</wp:posOffset>
                </wp:positionV>
                <wp:extent cx="1714500" cy="685800"/>
                <wp:effectExtent l="0" t="0" r="19050" b="19050"/>
                <wp:wrapNone/>
                <wp:docPr id="3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39A1554B" w14:textId="77777777" w:rsidR="007B4339" w:rsidRPr="00A7442A" w:rsidRDefault="007B4339" w:rsidP="00A7442A">
                            <w:pPr>
                              <w:jc w:val="center"/>
                              <w:rPr>
                                <w:sz w:val="22"/>
                                <w:szCs w:val="22"/>
                              </w:rPr>
                            </w:pPr>
                            <w:r>
                              <w:rPr>
                                <w:sz w:val="22"/>
                                <w:szCs w:val="22"/>
                              </w:rPr>
                              <w:t>Articles excluded;</w:t>
                            </w:r>
                            <w:r w:rsidRPr="00A7442A">
                              <w:rPr>
                                <w:sz w:val="22"/>
                                <w:szCs w:val="22"/>
                              </w:rPr>
                              <w:t xml:space="preserve"> did not meet </w:t>
                            </w:r>
                            <w:r>
                              <w:rPr>
                                <w:sz w:val="22"/>
                                <w:szCs w:val="22"/>
                              </w:rPr>
                              <w:t xml:space="preserve">eligibility </w:t>
                            </w:r>
                            <w:r w:rsidRPr="00A7442A">
                              <w:rPr>
                                <w:sz w:val="22"/>
                                <w:szCs w:val="22"/>
                              </w:rPr>
                              <w:t xml:space="preserve">criteria </w:t>
                            </w:r>
                            <w:r w:rsidRPr="00A7442A">
                              <w:rPr>
                                <w:sz w:val="22"/>
                                <w:szCs w:val="22"/>
                              </w:rPr>
                              <w:br/>
                              <w:t>(n = 322)</w:t>
                            </w:r>
                          </w:p>
                          <w:p w14:paraId="7D51E93F" w14:textId="77777777" w:rsidR="007B4339" w:rsidRDefault="007B4339" w:rsidP="00A7442A">
                            <w:pPr>
                              <w:rPr>
                                <w:rFonts w:ascii="Arial" w:hAnsi="Arial" w:cs="Arial"/>
                                <w:sz w:val="22"/>
                                <w:szCs w:val="22"/>
                              </w:rPr>
                            </w:pPr>
                          </w:p>
                          <w:p w14:paraId="4A6E0F45" w14:textId="77777777" w:rsidR="007B4339" w:rsidRDefault="007B4339" w:rsidP="00A7442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A9988" id="Rectangle 18" o:spid="_x0000_s1034" style="position:absolute;margin-left:351pt;margin-top:297pt;width:13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">
                <v:textbox inset=",7.2pt,,7.2pt">
                  <w:txbxContent>
                    <w:p w14:paraId="39A1554B" w14:textId="77777777" w:rsidR="007B4339" w:rsidRPr="00A7442A" w:rsidRDefault="007B4339" w:rsidP="00A7442A">
                      <w:pPr>
                        <w:jc w:val="center"/>
                        <w:rPr>
                          <w:sz w:val="22"/>
                          <w:szCs w:val="22"/>
                        </w:rPr>
                      </w:pPr>
                      <w:r>
                        <w:rPr>
                          <w:sz w:val="22"/>
                          <w:szCs w:val="22"/>
                        </w:rPr>
                        <w:t>Articles excluded;</w:t>
                      </w:r>
                      <w:r w:rsidRPr="00A7442A">
                        <w:rPr>
                          <w:sz w:val="22"/>
                          <w:szCs w:val="22"/>
                        </w:rPr>
                        <w:t xml:space="preserve"> did not meet </w:t>
                      </w:r>
                      <w:r>
                        <w:rPr>
                          <w:sz w:val="22"/>
                          <w:szCs w:val="22"/>
                        </w:rPr>
                        <w:t xml:space="preserve">eligibility </w:t>
                      </w:r>
                      <w:r w:rsidRPr="00A7442A">
                        <w:rPr>
                          <w:sz w:val="22"/>
                          <w:szCs w:val="22"/>
                        </w:rPr>
                        <w:t xml:space="preserve">criteria </w:t>
                      </w:r>
                      <w:r w:rsidRPr="00A7442A">
                        <w:rPr>
                          <w:sz w:val="22"/>
                          <w:szCs w:val="22"/>
                        </w:rPr>
                        <w:br/>
                        <w:t>(n = 322)</w:t>
                      </w:r>
                    </w:p>
                    <w:p w14:paraId="7D51E93F" w14:textId="77777777" w:rsidR="007B4339" w:rsidRDefault="007B4339" w:rsidP="00A7442A">
                      <w:pPr>
                        <w:rPr>
                          <w:rFonts w:ascii="Arial" w:hAnsi="Arial" w:cs="Arial"/>
                          <w:sz w:val="22"/>
                          <w:szCs w:val="22"/>
                        </w:rPr>
                      </w:pPr>
                    </w:p>
                    <w:p w14:paraId="4A6E0F45" w14:textId="77777777" w:rsidR="007B4339" w:rsidRDefault="007B4339" w:rsidP="00A7442A"/>
                  </w:txbxContent>
                </v:textbox>
              </v:rect>
            </w:pict>
          </mc:Fallback>
        </mc:AlternateContent>
      </w:r>
      <w:r w:rsidRPr="00522CD2">
        <w:rPr>
          <w:noProof/>
          <w:lang w:eastAsia="en-GB"/>
        </w:rPr>
        <mc:AlternateContent>
          <mc:Choice Requires="wps">
            <w:drawing>
              <wp:anchor distT="0" distB="0" distL="114300" distR="114300" simplePos="0" relativeHeight="251670528" behindDoc="0" locked="0" layoutInCell="1" allowOverlap="1" wp14:anchorId="54CF13CB" wp14:editId="27374371">
                <wp:simplePos x="0" y="0"/>
                <wp:positionH relativeFrom="column">
                  <wp:posOffset>1543050</wp:posOffset>
                </wp:positionH>
                <wp:positionV relativeFrom="paragraph">
                  <wp:posOffset>3771900</wp:posOffset>
                </wp:positionV>
                <wp:extent cx="2343150" cy="666750"/>
                <wp:effectExtent l="0" t="0" r="19050" b="1905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666750"/>
                        </a:xfrm>
                        <a:prstGeom prst="rect">
                          <a:avLst/>
                        </a:prstGeom>
                        <a:solidFill>
                          <a:srgbClr val="FFFFFF"/>
                        </a:solidFill>
                        <a:ln w="9525">
                          <a:solidFill>
                            <a:srgbClr val="000000"/>
                          </a:solidFill>
                          <a:miter lim="800000"/>
                          <a:headEnd/>
                          <a:tailEnd/>
                        </a:ln>
                      </wps:spPr>
                      <wps:txbx>
                        <w:txbxContent>
                          <w:p w14:paraId="47B43BE2" w14:textId="77777777" w:rsidR="007B4339" w:rsidRPr="00A7442A" w:rsidRDefault="007B4339" w:rsidP="00A7442A">
                            <w:pPr>
                              <w:jc w:val="center"/>
                              <w:rPr>
                                <w:sz w:val="22"/>
                                <w:szCs w:val="22"/>
                              </w:rPr>
                            </w:pPr>
                            <w:r w:rsidRPr="00A7442A">
                              <w:rPr>
                                <w:sz w:val="22"/>
                                <w:szCs w:val="22"/>
                              </w:rPr>
                              <w:t xml:space="preserve">Full-text articles assessed for eligibility </w:t>
                            </w:r>
                            <w:r w:rsidRPr="00A7442A">
                              <w:rPr>
                                <w:sz w:val="22"/>
                                <w:szCs w:val="22"/>
                              </w:rPr>
                              <w:br/>
                              <w:t>(n = 382)</w:t>
                            </w:r>
                          </w:p>
                          <w:p w14:paraId="686A1FBF" w14:textId="77777777" w:rsidR="007B4339" w:rsidRPr="002E73C3" w:rsidRDefault="007B4339" w:rsidP="00A7442A">
                            <w:pPr>
                              <w:rPr>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F13CB" id="Rectangle 15" o:spid="_x0000_s1035" style="position:absolute;margin-left:121.5pt;margin-top:297pt;width:184.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">
                <v:textbox inset=",7.2pt,,7.2pt">
                  <w:txbxContent>
                    <w:p w14:paraId="47B43BE2" w14:textId="77777777" w:rsidR="007B4339" w:rsidRPr="00A7442A" w:rsidRDefault="007B4339" w:rsidP="00A7442A">
                      <w:pPr>
                        <w:jc w:val="center"/>
                        <w:rPr>
                          <w:sz w:val="22"/>
                          <w:szCs w:val="22"/>
                        </w:rPr>
                      </w:pPr>
                      <w:r w:rsidRPr="00A7442A">
                        <w:rPr>
                          <w:sz w:val="22"/>
                          <w:szCs w:val="22"/>
                        </w:rPr>
                        <w:t xml:space="preserve">Full-text articles assessed for eligibility </w:t>
                      </w:r>
                      <w:r w:rsidRPr="00A7442A">
                        <w:rPr>
                          <w:sz w:val="22"/>
                          <w:szCs w:val="22"/>
                        </w:rPr>
                        <w:br/>
                        <w:t>(n = 382)</w:t>
                      </w:r>
                    </w:p>
                    <w:p w14:paraId="686A1FBF" w14:textId="77777777" w:rsidR="007B4339" w:rsidRPr="002E73C3" w:rsidRDefault="007B4339" w:rsidP="00A7442A">
                      <w:pPr>
                        <w:rPr>
                          <w:szCs w:val="22"/>
                        </w:rPr>
                      </w:pPr>
                    </w:p>
                  </w:txbxContent>
                </v:textbox>
              </v:rect>
            </w:pict>
          </mc:Fallback>
        </mc:AlternateContent>
      </w:r>
      <w:r w:rsidRPr="00522CD2">
        <w:rPr>
          <w:noProof/>
          <w:lang w:eastAsia="en-GB"/>
        </w:rPr>
        <mc:AlternateContent>
          <mc:Choice Requires="wps">
            <w:drawing>
              <wp:anchor distT="36576" distB="36576" distL="36575" distR="36575" simplePos="0" relativeHeight="251674624" behindDoc="0" locked="0" layoutInCell="1" allowOverlap="1" wp14:anchorId="0E2300B9" wp14:editId="6FDF754C">
                <wp:simplePos x="0" y="0"/>
                <wp:positionH relativeFrom="column">
                  <wp:posOffset>2686049</wp:posOffset>
                </wp:positionH>
                <wp:positionV relativeFrom="paragraph">
                  <wp:posOffset>3028950</wp:posOffset>
                </wp:positionV>
                <wp:extent cx="0" cy="742950"/>
                <wp:effectExtent l="76200" t="0" r="57150" b="57150"/>
                <wp:wrapNone/>
                <wp:docPr id="3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6B2CCFF4" id="Straight Arrow Connector 9" o:spid="_x0000_s1026" type="#_x0000_t32" style="position:absolute;margin-left:211.5pt;margin-top:238.5pt;width:0;height:58.5pt;z-index:25167462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">
                <v:stroke endarrow="block"/>
                <v:shadow color="#ccc"/>
              </v:shape>
            </w:pict>
          </mc:Fallback>
        </mc:AlternateContent>
      </w:r>
      <w:r w:rsidRPr="00522CD2">
        <w:rPr>
          <w:noProof/>
          <w:lang w:eastAsia="en-GB"/>
        </w:rPr>
        <mc:AlternateContent>
          <mc:Choice Requires="wps">
            <w:drawing>
              <wp:anchor distT="0" distB="0" distL="114300" distR="114300" simplePos="0" relativeHeight="251679744" behindDoc="0" locked="0" layoutInCell="1" allowOverlap="1" wp14:anchorId="6AA3D85F" wp14:editId="2AB0A6C7">
                <wp:simplePos x="0" y="0"/>
                <wp:positionH relativeFrom="column">
                  <wp:posOffset>1028700</wp:posOffset>
                </wp:positionH>
                <wp:positionV relativeFrom="paragraph">
                  <wp:posOffset>6238875</wp:posOffset>
                </wp:positionV>
                <wp:extent cx="1600200" cy="695325"/>
                <wp:effectExtent l="0" t="0" r="19050" b="28575"/>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rect">
                          <a:avLst/>
                        </a:prstGeom>
                        <a:solidFill>
                          <a:srgbClr val="FFFFFF"/>
                        </a:solidFill>
                        <a:ln w="9525">
                          <a:solidFill>
                            <a:srgbClr val="000000"/>
                          </a:solidFill>
                          <a:miter lim="800000"/>
                          <a:headEnd/>
                          <a:tailEnd/>
                        </a:ln>
                      </wps:spPr>
                      <wps:txbx>
                        <w:txbxContent>
                          <w:p w14:paraId="18545798" w14:textId="77777777" w:rsidR="007B4339" w:rsidRPr="00A7442A" w:rsidRDefault="007B4339" w:rsidP="00A7442A">
                            <w:pPr>
                              <w:jc w:val="center"/>
                              <w:rPr>
                                <w:sz w:val="22"/>
                                <w:szCs w:val="22"/>
                              </w:rPr>
                            </w:pPr>
                            <w:r>
                              <w:rPr>
                                <w:sz w:val="22"/>
                                <w:szCs w:val="22"/>
                              </w:rPr>
                              <w:t>Cohort</w:t>
                            </w:r>
                            <w:r w:rsidRPr="00A7442A">
                              <w:rPr>
                                <w:sz w:val="22"/>
                                <w:szCs w:val="22"/>
                              </w:rPr>
                              <w:t xml:space="preserve"> Studies</w:t>
                            </w:r>
                            <w:r w:rsidRPr="00A7442A">
                              <w:rPr>
                                <w:sz w:val="22"/>
                                <w:szCs w:val="22"/>
                              </w:rPr>
                              <w:br/>
                              <w:t>(n = 32)</w:t>
                            </w:r>
                          </w:p>
                          <w:p w14:paraId="76B132D7" w14:textId="77777777" w:rsidR="007B4339" w:rsidRPr="002E73C3" w:rsidRDefault="007B4339" w:rsidP="00A7442A">
                            <w:pPr>
                              <w:rPr>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85F" id="Rectangle 22" o:spid="_x0000_s1036" style="position:absolute;margin-left:81pt;margin-top:491.25pt;width:126pt;height:5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">
                <v:textbox inset=",7.2pt,,7.2pt">
                  <w:txbxContent>
                    <w:p w14:paraId="18545798" w14:textId="77777777" w:rsidR="007B4339" w:rsidRPr="00A7442A" w:rsidRDefault="007B4339" w:rsidP="00A7442A">
                      <w:pPr>
                        <w:jc w:val="center"/>
                        <w:rPr>
                          <w:sz w:val="22"/>
                          <w:szCs w:val="22"/>
                        </w:rPr>
                      </w:pPr>
                      <w:r>
                        <w:rPr>
                          <w:sz w:val="22"/>
                          <w:szCs w:val="22"/>
                        </w:rPr>
                        <w:t>Cohort</w:t>
                      </w:r>
                      <w:r w:rsidRPr="00A7442A">
                        <w:rPr>
                          <w:sz w:val="22"/>
                          <w:szCs w:val="22"/>
                        </w:rPr>
                        <w:t xml:space="preserve"> Studies</w:t>
                      </w:r>
                      <w:r w:rsidRPr="00A7442A">
                        <w:rPr>
                          <w:sz w:val="22"/>
                          <w:szCs w:val="22"/>
                        </w:rPr>
                        <w:br/>
                        <w:t>(n = 32)</w:t>
                      </w:r>
                    </w:p>
                    <w:p w14:paraId="76B132D7" w14:textId="77777777" w:rsidR="007B4339" w:rsidRPr="002E73C3" w:rsidRDefault="007B4339" w:rsidP="00A7442A">
                      <w:pPr>
                        <w:rPr>
                          <w:szCs w:val="22"/>
                        </w:rPr>
                      </w:pPr>
                    </w:p>
                  </w:txbxContent>
                </v:textbox>
              </v:rect>
            </w:pict>
          </mc:Fallback>
        </mc:AlternateContent>
      </w:r>
      <w:r w:rsidRPr="00522CD2">
        <w:rPr>
          <w:noProof/>
          <w:lang w:eastAsia="en-GB"/>
        </w:rPr>
        <mc:AlternateContent>
          <mc:Choice Requires="wps">
            <w:drawing>
              <wp:anchor distT="0" distB="0" distL="114300" distR="114300" simplePos="0" relativeHeight="251661312" behindDoc="0" locked="0" layoutInCell="1" allowOverlap="1" wp14:anchorId="55FAFA35" wp14:editId="185D9BE6">
                <wp:simplePos x="0" y="0"/>
                <wp:positionH relativeFrom="column">
                  <wp:posOffset>-994410</wp:posOffset>
                </wp:positionH>
                <wp:positionV relativeFrom="paragraph">
                  <wp:posOffset>5795010</wp:posOffset>
                </wp:positionV>
                <wp:extent cx="1371600" cy="297180"/>
                <wp:effectExtent l="3810" t="0" r="22860" b="22860"/>
                <wp:wrapNone/>
                <wp:docPr id="29"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7EAFE72C" w14:textId="77777777" w:rsidR="007B4339" w:rsidRPr="000D7C52" w:rsidRDefault="007B4339" w:rsidP="00A7442A">
                            <w:pPr>
                              <w:pStyle w:val="Heading2"/>
                              <w:keepNext/>
                            </w:pPr>
                            <w:r w:rsidRPr="000D7C52">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FAFA35" id="Rounded Rectangle 14" o:spid="_x0000_s1037" style="position:absolute;margin-left:-78.3pt;margin-top:456.3pt;width:108pt;height:2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" fillcolor="#ccecff">
                <v:textbox style="layout-flow:vertical;mso-layout-flow-alt:bottom-to-top" inset="3.6pt,,3.6pt">
                  <w:txbxContent>
                    <w:p w14:paraId="7EAFE72C" w14:textId="77777777" w:rsidR="007B4339" w:rsidRPr="000D7C52" w:rsidRDefault="007B4339" w:rsidP="00A7442A">
                      <w:pPr>
                        <w:pStyle w:val="Heading2"/>
                        <w:keepNext/>
                      </w:pPr>
                      <w:r w:rsidRPr="000D7C52">
                        <w:t>Included</w:t>
                      </w:r>
                    </w:p>
                  </w:txbxContent>
                </v:textbox>
              </v:roundrect>
            </w:pict>
          </mc:Fallback>
        </mc:AlternateContent>
      </w:r>
      <w:r w:rsidRPr="00522CD2">
        <w:rPr>
          <w:noProof/>
          <w:lang w:eastAsia="en-GB"/>
        </w:rPr>
        <mc:AlternateContent>
          <mc:Choice Requires="wps">
            <w:drawing>
              <wp:anchor distT="0" distB="0" distL="114300" distR="114300" simplePos="0" relativeHeight="251662336" behindDoc="0" locked="0" layoutInCell="1" allowOverlap="1" wp14:anchorId="5A327575" wp14:editId="5CD0FE77">
                <wp:simplePos x="0" y="0"/>
                <wp:positionH relativeFrom="column">
                  <wp:posOffset>-994410</wp:posOffset>
                </wp:positionH>
                <wp:positionV relativeFrom="paragraph">
                  <wp:posOffset>4309110</wp:posOffset>
                </wp:positionV>
                <wp:extent cx="1371600" cy="297180"/>
                <wp:effectExtent l="3810" t="0" r="22860" b="22860"/>
                <wp:wrapNone/>
                <wp:docPr id="28"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068F4F9A" w14:textId="77777777" w:rsidR="007B4339" w:rsidRPr="000D7C52" w:rsidRDefault="007B4339" w:rsidP="00A7442A">
                            <w:pPr>
                              <w:pStyle w:val="Heading2"/>
                              <w:keepNext/>
                              <w:rPr>
                                <w:sz w:val="22"/>
                                <w:szCs w:val="22"/>
                              </w:rPr>
                            </w:pPr>
                            <w:r w:rsidRPr="000D7C52">
                              <w:rPr>
                                <w:sz w:val="22"/>
                                <w:szCs w:val="22"/>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327575" id="Rounded Rectangle 13" o:spid="_x0000_s1038" style="position:absolute;margin-left:-78.3pt;margin-top:339.3pt;width:108pt;height:23.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" fillcolor="#ccecff">
                <v:textbox style="layout-flow:vertical;mso-layout-flow-alt:bottom-to-top" inset="3.6pt,,3.6pt">
                  <w:txbxContent>
                    <w:p w14:paraId="068F4F9A" w14:textId="77777777" w:rsidR="007B4339" w:rsidRPr="000D7C52" w:rsidRDefault="007B4339" w:rsidP="00A7442A">
                      <w:pPr>
                        <w:pStyle w:val="Heading2"/>
                        <w:keepNext/>
                        <w:rPr>
                          <w:sz w:val="22"/>
                          <w:szCs w:val="22"/>
                        </w:rPr>
                      </w:pPr>
                      <w:r w:rsidRPr="000D7C52">
                        <w:rPr>
                          <w:sz w:val="22"/>
                          <w:szCs w:val="22"/>
                        </w:rPr>
                        <w:t>Eligibility</w:t>
                      </w:r>
                    </w:p>
                  </w:txbxContent>
                </v:textbox>
              </v:roundrect>
            </w:pict>
          </mc:Fallback>
        </mc:AlternateContent>
      </w:r>
      <w:r w:rsidRPr="00522CD2">
        <w:rPr>
          <w:noProof/>
          <w:lang w:eastAsia="en-GB"/>
        </w:rPr>
        <mc:AlternateContent>
          <mc:Choice Requires="wps">
            <w:drawing>
              <wp:anchor distT="0" distB="0" distL="114300" distR="114300" simplePos="0" relativeHeight="251660288" behindDoc="0" locked="0" layoutInCell="1" allowOverlap="1" wp14:anchorId="58BF09D3" wp14:editId="33E8C164">
                <wp:simplePos x="0" y="0"/>
                <wp:positionH relativeFrom="column">
                  <wp:posOffset>-994410</wp:posOffset>
                </wp:positionH>
                <wp:positionV relativeFrom="paragraph">
                  <wp:posOffset>2823210</wp:posOffset>
                </wp:positionV>
                <wp:extent cx="1371600" cy="297180"/>
                <wp:effectExtent l="3810" t="0" r="22860" b="22860"/>
                <wp:wrapNone/>
                <wp:docPr id="7"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2BEE6DDD" w14:textId="77777777" w:rsidR="007B4339" w:rsidRPr="000D7C52" w:rsidRDefault="007B4339" w:rsidP="00A7442A">
                            <w:pPr>
                              <w:pStyle w:val="Heading2"/>
                              <w:keepNext/>
                            </w:pPr>
                            <w:r w:rsidRPr="000D7C52">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BF09D3" id="Rounded Rectangle 12" o:spid="_x0000_s1039" style="position:absolute;margin-left:-78.3pt;margin-top:222.3pt;width:108pt;height:2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" fillcolor="#ccecff">
                <v:textbox style="layout-flow:vertical;mso-layout-flow-alt:bottom-to-top" inset="3.6pt,,3.6pt">
                  <w:txbxContent>
                    <w:p w14:paraId="2BEE6DDD" w14:textId="77777777" w:rsidR="007B4339" w:rsidRPr="000D7C52" w:rsidRDefault="007B4339" w:rsidP="00A7442A">
                      <w:pPr>
                        <w:pStyle w:val="Heading2"/>
                        <w:keepNext/>
                      </w:pPr>
                      <w:r w:rsidRPr="000D7C52">
                        <w:t>Screening</w:t>
                      </w:r>
                    </w:p>
                  </w:txbxContent>
                </v:textbox>
              </v:roundrect>
            </w:pict>
          </mc:Fallback>
        </mc:AlternateContent>
      </w:r>
      <w:r w:rsidRPr="00522CD2">
        <w:rPr>
          <w:noProof/>
          <w:lang w:eastAsia="en-GB"/>
        </w:rPr>
        <mc:AlternateContent>
          <mc:Choice Requires="wps">
            <w:drawing>
              <wp:anchor distT="0" distB="0" distL="114300" distR="114300" simplePos="0" relativeHeight="251665408" behindDoc="0" locked="0" layoutInCell="1" allowOverlap="1" wp14:anchorId="034FD5B9" wp14:editId="28C6DD1F">
                <wp:simplePos x="0" y="0"/>
                <wp:positionH relativeFrom="column">
                  <wp:posOffset>-994410</wp:posOffset>
                </wp:positionH>
                <wp:positionV relativeFrom="paragraph">
                  <wp:posOffset>1337310</wp:posOffset>
                </wp:positionV>
                <wp:extent cx="1371600" cy="297180"/>
                <wp:effectExtent l="3810" t="0" r="22860" b="22860"/>
                <wp:wrapNone/>
                <wp:docPr id="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2419379F" w14:textId="77777777" w:rsidR="007B4339" w:rsidRPr="000D7C52" w:rsidRDefault="007B4339" w:rsidP="00A7442A">
                            <w:pPr>
                              <w:pStyle w:val="Heading2"/>
                              <w:keepNext/>
                            </w:pPr>
                            <w:r w:rsidRPr="000D7C52">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4FD5B9" id="Rounded Rectangle 6" o:spid="_x0000_s1040" style="position:absolute;margin-left:-78.3pt;margin-top:105.3pt;width:108pt;height:23.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" fillcolor="#ccecff">
                <v:textbox style="layout-flow:vertical;mso-layout-flow-alt:bottom-to-top" inset="3.6pt,,3.6pt">
                  <w:txbxContent>
                    <w:p w14:paraId="2419379F" w14:textId="77777777" w:rsidR="007B4339" w:rsidRPr="000D7C52" w:rsidRDefault="007B4339" w:rsidP="00A7442A">
                      <w:pPr>
                        <w:pStyle w:val="Heading2"/>
                        <w:keepNext/>
                      </w:pPr>
                      <w:r w:rsidRPr="000D7C52">
                        <w:t>Identification</w:t>
                      </w:r>
                    </w:p>
                  </w:txbxContent>
                </v:textbox>
              </v:roundrect>
            </w:pict>
          </mc:Fallback>
        </mc:AlternateContent>
      </w:r>
      <w:r w:rsidR="00A7442A" w:rsidRPr="00522CD2">
        <w:rPr>
          <w:b/>
          <w:sz w:val="22"/>
          <w:szCs w:val="22"/>
        </w:rPr>
        <w:t>Figure 1.</w:t>
      </w:r>
      <w:r w:rsidR="00A7442A" w:rsidRPr="00522CD2">
        <w:rPr>
          <w:sz w:val="22"/>
          <w:szCs w:val="22"/>
        </w:rPr>
        <w:t xml:space="preserve"> Flow Chart of Study Selection P</w:t>
      </w:r>
      <w:r w:rsidR="00991F00" w:rsidRPr="00522CD2">
        <w:rPr>
          <w:sz w:val="22"/>
          <w:szCs w:val="22"/>
        </w:rPr>
        <w:t>r</w:t>
      </w:r>
      <w:r w:rsidR="00A7442A" w:rsidRPr="00522CD2">
        <w:rPr>
          <w:sz w:val="22"/>
          <w:szCs w:val="22"/>
        </w:rPr>
        <w:t>oces</w:t>
      </w:r>
      <w:r w:rsidR="00B53764" w:rsidRPr="00522CD2">
        <w:rPr>
          <w:sz w:val="22"/>
          <w:szCs w:val="22"/>
        </w:rPr>
        <w:t>s</w:t>
      </w:r>
    </w:p>
    <w:p w14:paraId="326E481C" w14:textId="60240753" w:rsidR="00991F00" w:rsidRPr="00522CD2" w:rsidRDefault="00991F00">
      <w:pPr>
        <w:rPr>
          <w:sz w:val="22"/>
          <w:szCs w:val="22"/>
        </w:rPr>
      </w:pPr>
      <w:r w:rsidRPr="00522CD2">
        <w:rPr>
          <w:sz w:val="22"/>
          <w:szCs w:val="22"/>
        </w:rPr>
        <w:br w:type="page"/>
      </w:r>
    </w:p>
    <w:p w14:paraId="7604BFDB" w14:textId="77777777" w:rsidR="00D12489" w:rsidRPr="00522CD2" w:rsidRDefault="00D12489" w:rsidP="00991F00">
      <w:pPr>
        <w:spacing w:line="480" w:lineRule="auto"/>
        <w:rPr>
          <w:rFonts w:cs="Arial"/>
          <w:vanish/>
        </w:rPr>
        <w:sectPr w:rsidR="00D12489" w:rsidRPr="00522CD2" w:rsidSect="00D12489">
          <w:headerReference w:type="default" r:id="rId10"/>
          <w:footerReference w:type="default" r:id="rId11"/>
          <w:headerReference w:type="first" r:id="rId12"/>
          <w:footerReference w:type="first" r:id="rId13"/>
          <w:pgSz w:w="11907" w:h="16840" w:code="9"/>
          <w:pgMar w:top="1440" w:right="1440" w:bottom="1440" w:left="1440" w:header="720" w:footer="720" w:gutter="0"/>
          <w:cols w:space="720"/>
          <w:titlePg/>
          <w:docGrid w:linePitch="360"/>
        </w:sectPr>
      </w:pPr>
    </w:p>
    <w:p w14:paraId="2FFF5437" w14:textId="77777777" w:rsidR="00841348" w:rsidRPr="00522CD2" w:rsidRDefault="00841348" w:rsidP="00991F00">
      <w:pPr>
        <w:spacing w:line="480" w:lineRule="auto"/>
        <w:rPr>
          <w:rFonts w:cs="Arial"/>
          <w:vanish/>
        </w:rPr>
      </w:pPr>
    </w:p>
    <w:tbl>
      <w:tblPr>
        <w:tblStyle w:val="TableGrid"/>
        <w:tblW w:w="15490" w:type="dxa"/>
        <w:tblInd w:w="-760" w:type="dxa"/>
        <w:tblLook w:val="01E0" w:firstRow="1" w:lastRow="1" w:firstColumn="1" w:lastColumn="1" w:noHBand="0" w:noVBand="0"/>
      </w:tblPr>
      <w:tblGrid>
        <w:gridCol w:w="2399"/>
        <w:gridCol w:w="2385"/>
        <w:gridCol w:w="1136"/>
        <w:gridCol w:w="3708"/>
        <w:gridCol w:w="5622"/>
        <w:gridCol w:w="240"/>
      </w:tblGrid>
      <w:tr w:rsidR="00841348" w:rsidRPr="00522CD2" w14:paraId="470D7F4B" w14:textId="77777777" w:rsidTr="006A50DE">
        <w:trPr>
          <w:trHeight w:val="239"/>
        </w:trPr>
        <w:tc>
          <w:tcPr>
            <w:tcW w:w="15490" w:type="dxa"/>
            <w:gridSpan w:val="6"/>
            <w:tcBorders>
              <w:top w:val="single" w:sz="4" w:space="0" w:color="FFFFFF" w:themeColor="background1"/>
              <w:left w:val="single" w:sz="4" w:space="0" w:color="FFFFFF" w:themeColor="background1"/>
              <w:right w:val="single" w:sz="4" w:space="0" w:color="FFFFFF" w:themeColor="background1"/>
            </w:tcBorders>
          </w:tcPr>
          <w:p w14:paraId="70355387" w14:textId="56A53F45" w:rsidR="00841348" w:rsidRPr="00522CD2" w:rsidRDefault="00841348" w:rsidP="00290AAF">
            <w:pPr>
              <w:rPr>
                <w:rFonts w:cs="Arial"/>
                <w:b/>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 xml:space="preserve">. </w:t>
            </w:r>
          </w:p>
          <w:p w14:paraId="48D24E2A" w14:textId="77777777" w:rsidR="00841348" w:rsidRPr="00522CD2" w:rsidRDefault="00841348" w:rsidP="00290AAF">
            <w:pPr>
              <w:rPr>
                <w:rFonts w:cs="Arial"/>
                <w:b/>
                <w:sz w:val="20"/>
                <w:szCs w:val="20"/>
              </w:rPr>
            </w:pPr>
            <w:r w:rsidRPr="00522CD2">
              <w:rPr>
                <w:rFonts w:cs="Arial"/>
                <w:sz w:val="20"/>
                <w:szCs w:val="20"/>
              </w:rPr>
              <w:t>Summary of studies presenting data on the outcome domain of effectiveness (cohort studies).</w:t>
            </w:r>
          </w:p>
        </w:tc>
      </w:tr>
      <w:tr w:rsidR="00841348" w:rsidRPr="00522CD2" w14:paraId="5FFBB68A" w14:textId="77777777" w:rsidTr="006A50DE">
        <w:trPr>
          <w:trHeight w:val="340"/>
        </w:trPr>
        <w:tc>
          <w:tcPr>
            <w:tcW w:w="2399" w:type="dxa"/>
            <w:tcBorders>
              <w:left w:val="single" w:sz="4" w:space="0" w:color="FFFFFF" w:themeColor="background1"/>
              <w:right w:val="single" w:sz="4" w:space="0" w:color="FFFFFF" w:themeColor="background1"/>
            </w:tcBorders>
          </w:tcPr>
          <w:p w14:paraId="6BD93882" w14:textId="77777777" w:rsidR="00841348" w:rsidRPr="00522CD2" w:rsidRDefault="00841348" w:rsidP="00290AAF">
            <w:pPr>
              <w:jc w:val="center"/>
              <w:rPr>
                <w:rFonts w:cs="Arial"/>
                <w:b/>
                <w:sz w:val="20"/>
                <w:szCs w:val="20"/>
              </w:rPr>
            </w:pPr>
            <w:r w:rsidRPr="00522CD2">
              <w:rPr>
                <w:rFonts w:cs="Arial"/>
                <w:b/>
                <w:sz w:val="20"/>
                <w:szCs w:val="20"/>
              </w:rPr>
              <w:t>Study and Setting</w:t>
            </w:r>
          </w:p>
        </w:tc>
        <w:tc>
          <w:tcPr>
            <w:tcW w:w="2385" w:type="dxa"/>
            <w:tcBorders>
              <w:left w:val="single" w:sz="4" w:space="0" w:color="FFFFFF" w:themeColor="background1"/>
              <w:right w:val="single" w:sz="4" w:space="0" w:color="FFFFFF" w:themeColor="background1"/>
            </w:tcBorders>
          </w:tcPr>
          <w:p w14:paraId="0759D262" w14:textId="77777777" w:rsidR="00841348" w:rsidRPr="00522CD2" w:rsidRDefault="00841348" w:rsidP="00290AAF">
            <w:pPr>
              <w:jc w:val="center"/>
              <w:rPr>
                <w:rFonts w:cs="Arial"/>
                <w:b/>
                <w:sz w:val="20"/>
                <w:szCs w:val="20"/>
              </w:rPr>
            </w:pPr>
            <w:r w:rsidRPr="00522CD2">
              <w:rPr>
                <w:rFonts w:cs="Arial"/>
                <w:b/>
                <w:sz w:val="20"/>
                <w:szCs w:val="20"/>
              </w:rPr>
              <w:t>Design</w:t>
            </w:r>
          </w:p>
        </w:tc>
        <w:tc>
          <w:tcPr>
            <w:tcW w:w="1136" w:type="dxa"/>
            <w:tcBorders>
              <w:left w:val="single" w:sz="4" w:space="0" w:color="FFFFFF" w:themeColor="background1"/>
              <w:right w:val="single" w:sz="4" w:space="0" w:color="FFFFFF" w:themeColor="background1"/>
            </w:tcBorders>
          </w:tcPr>
          <w:p w14:paraId="1BE8B685" w14:textId="77777777" w:rsidR="00841348" w:rsidRPr="00522CD2" w:rsidRDefault="00841348" w:rsidP="00290AAF">
            <w:pPr>
              <w:jc w:val="center"/>
              <w:rPr>
                <w:rFonts w:cs="Arial"/>
                <w:b/>
                <w:sz w:val="20"/>
                <w:szCs w:val="20"/>
              </w:rPr>
            </w:pPr>
            <w:r w:rsidRPr="00522CD2">
              <w:rPr>
                <w:rFonts w:cs="Arial"/>
                <w:b/>
                <w:sz w:val="20"/>
                <w:szCs w:val="20"/>
              </w:rPr>
              <w:t>N</w:t>
            </w:r>
          </w:p>
        </w:tc>
        <w:tc>
          <w:tcPr>
            <w:tcW w:w="3708" w:type="dxa"/>
            <w:tcBorders>
              <w:left w:val="single" w:sz="4" w:space="0" w:color="FFFFFF" w:themeColor="background1"/>
              <w:right w:val="single" w:sz="4" w:space="0" w:color="FFFFFF" w:themeColor="background1"/>
            </w:tcBorders>
          </w:tcPr>
          <w:p w14:paraId="49AED9A4" w14:textId="77777777" w:rsidR="00841348" w:rsidRPr="00522CD2" w:rsidRDefault="00841348" w:rsidP="00290AAF">
            <w:pPr>
              <w:jc w:val="center"/>
              <w:rPr>
                <w:rFonts w:cs="Arial"/>
                <w:b/>
                <w:sz w:val="20"/>
                <w:szCs w:val="20"/>
              </w:rPr>
            </w:pPr>
            <w:r w:rsidRPr="00522CD2">
              <w:rPr>
                <w:rFonts w:cs="Arial"/>
                <w:b/>
                <w:sz w:val="20"/>
                <w:szCs w:val="20"/>
              </w:rPr>
              <w:t>Outcome Sub-Domain</w:t>
            </w:r>
          </w:p>
        </w:tc>
        <w:tc>
          <w:tcPr>
            <w:tcW w:w="5862" w:type="dxa"/>
            <w:gridSpan w:val="2"/>
            <w:tcBorders>
              <w:left w:val="single" w:sz="4" w:space="0" w:color="FFFFFF" w:themeColor="background1"/>
              <w:right w:val="single" w:sz="4" w:space="0" w:color="FFFFFF" w:themeColor="background1"/>
            </w:tcBorders>
          </w:tcPr>
          <w:p w14:paraId="53E053CD" w14:textId="77777777" w:rsidR="00841348" w:rsidRPr="00522CD2" w:rsidRDefault="00841348" w:rsidP="00290AAF">
            <w:pPr>
              <w:jc w:val="center"/>
              <w:rPr>
                <w:rFonts w:cs="Arial"/>
                <w:b/>
                <w:sz w:val="20"/>
                <w:szCs w:val="20"/>
              </w:rPr>
            </w:pPr>
            <w:r w:rsidRPr="00522CD2">
              <w:rPr>
                <w:rFonts w:cs="Arial"/>
                <w:b/>
                <w:sz w:val="20"/>
                <w:szCs w:val="20"/>
              </w:rPr>
              <w:t>Measure/Indicator</w:t>
            </w:r>
          </w:p>
        </w:tc>
      </w:tr>
      <w:tr w:rsidR="00841348" w:rsidRPr="00522CD2" w14:paraId="365260CE" w14:textId="77777777" w:rsidTr="006A50DE">
        <w:trPr>
          <w:trHeight w:val="700"/>
        </w:trPr>
        <w:tc>
          <w:tcPr>
            <w:tcW w:w="2399" w:type="dxa"/>
            <w:tcBorders>
              <w:left w:val="single" w:sz="4" w:space="0" w:color="FFFFFF" w:themeColor="background1"/>
              <w:right w:val="single" w:sz="4" w:space="0" w:color="FFFFFF" w:themeColor="background1"/>
            </w:tcBorders>
          </w:tcPr>
          <w:p w14:paraId="5696A885" w14:textId="0EBC4E08"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Alexander et al. (2006)</w:t>
            </w:r>
            <w:r w:rsidR="00046078" w:rsidRPr="00522CD2">
              <w:rPr>
                <w:kern w:val="28"/>
                <w:sz w:val="20"/>
                <w:szCs w:val="20"/>
                <w:lang w:val="en-CA" w:eastAsia="en-GB"/>
              </w:rPr>
              <w:t>¹</w:t>
            </w:r>
            <w:r w:rsidR="00046078" w:rsidRPr="00522CD2">
              <w:rPr>
                <w:rFonts w:cs="Arial"/>
                <w:kern w:val="28"/>
                <w:sz w:val="20"/>
                <w:szCs w:val="20"/>
                <w:lang w:val="en-CA" w:eastAsia="en-GB"/>
              </w:rPr>
              <w:t xml:space="preserve"> </w:t>
            </w:r>
            <w:r w:rsidR="00042C50" w:rsidRPr="00522CD2">
              <w:rPr>
                <w:rFonts w:cs="Arial"/>
                <w:kern w:val="28"/>
                <w:sz w:val="20"/>
                <w:szCs w:val="20"/>
                <w:vertAlign w:val="superscript"/>
                <w:lang w:val="en-CA" w:eastAsia="en-GB"/>
              </w:rPr>
              <w:fldChar w:fldCharType="begin" w:fldLock="1"/>
            </w:r>
            <w:r w:rsidR="00E353A8" w:rsidRPr="00522CD2">
              <w:rPr>
                <w:rFonts w:cs="Arial"/>
                <w:kern w:val="28"/>
                <w:sz w:val="20"/>
                <w:szCs w:val="20"/>
                <w:vertAlign w:val="superscript"/>
                <w:lang w:val="en-CA" w:eastAsia="en-GB"/>
              </w:rPr>
              <w:instrText>ADDIN CSL_CITATION { "citationItems" : [ { "id" : "ITEM-1", "itemData" : { "DOI" : "10.1111/j.1365-2788.2006.00806.x", "ISSN" : "0964-2633", "PMID" : "16507035", "abstract" : "BACKGROUND The purpose of this paper is to describe long-term outcomes for patients discharged over a 12-year period from a medium secure service for people with intellectual disabilities (ID). METHODS A cohort study using case-notes analysis and a structured interview of current key informants. RESULTS Eleven per cent of the sample was reconvicted. Fifty-eight per cent of the sample showed offending-like behaviour that did not lead to police contact. Twenty-eight per cent of the sample was currently detained in hospital under the Mental Health Act. The presence of a personality disorder, a history of theft or burglary, and young age increased the risk of reconviction. Contact with the police was less likely in those with schizophrenia. Re-admission to hospital was associated with the presence of offending-like behaviours, rather than any specific diagnosis. CONCLUSION In terms of reconviction, these results are good compared with those from general forensic services; however, behavioural problems continue for many years and are managed without recourse to the criminal justice system. There is a borderline group whose needs are poorly defined and serviced. Declaration of interests Horizon National Health Service Trust, the managing authority of the service, gave the grant for this study; the corresponding author was working in the service.", "author" : [ { "dropping-particle" : "", "family" : "Alexander", "given" : "R T", "non-dropping-particle" : "", "parse-names" : false, "suffix" : "" }, { "dropping-particle" : "", "family" : "Crouch", "given" : "K", "non-dropping-particle" : "", "parse-names" : false, "suffix" : "" }, { "dropping-particle" : "", "family" : "Halstead", "given" : "S", "non-dropping-particle" : "", "parse-names" : false, "suffix" : "" }, { "dropping-particle" : "", "family" : "Piachaud", "given" : "J", "non-dropping-particle" : "", "parse-names" : false, "suffix" : "" }, { "dropping-particle" : "", "family" : "Piachaud", "given" : "J.", "non-dropping-particle" : "", "parse-names" : false, "suffix" : "" }, { "dropping-particle" : "", "family" : "Singh", "given" : "I.", "non-dropping-particle" : "", "parse-names" : false, "suffix" : "" }, { "dropping-particle" : "", "family" : "Alexander", "given" : "RT.", "non-dropping-particle" : "", "parse-names" : false, "suffix" : "" }, { "dropping-particle" : "", "family" : "Piachaud", "given" : "J.", "non-dropping-particle" : "", "parse-names" : false, "suffix" : "" }, { "dropping-particle" : "", "family" : "Odebiyi", "given" : "L.", "non-dropping-particle" : "", "parse-names" : false, "suffix" : "" }, { "dropping-particle" : "", "family" : "Alexander", "given" : "RT.", "non-dropping-particle" : "", "parse-names" : false, "suffix" : "" }, { "dropping-particle" : "", "family" : "Crouch", "given" : "K.", "non-dropping-particle" : "", "parse-names" : false, "suffix" : "" }, { "dropping-particle" : "", "family" : "Halstead", "given" : "S.", "non-dropping-particle" : "", "parse-names" : false, "suffix" : "" }, { "dropping-particle" : "", "family" : "Bjelogrlic-Laakso", "given" : "N.", "non-dropping-particle" : "", "parse-names" : false, "suffix" : "" }, { "dropping-particle" : "", "family" : "Aaltonen", "given" : "S.", "non-dropping-particle" : "", "parse-names" : false, "suffix" : "" }, { "dropping-particle" : "", "family" : "Dorn", "given" : "T.", "non-dropping-particle" : "", "parse-names" : false, "suffix" : "" }, { "dropping-particle" : "", "family" : "Commission", "given" : "Care Quality", "non-dropping-particle" : "", "parse-names" : false, "suffix" : "" }, { "dropping-particle" : "", "family" : "Carroll", "given" : "A.", "non-dropping-particle" : "", "parse-names" : false, "suffix" : "" }, { "dropping-particle" : "", "family" : "Lyall", "given" : "M.", "non-dropping-particle" : "", "parse-names" : false, "suffix" : "" }, { "dropping-particle" : "", "family" : "Forrester", "given" : "A.", "non-dropping-particle" : "", "parse-names" : false, "suffix" : "" }, { "dropping-particle" : "", "family" : "Chaplin", "given" : "R.", "non-dropping-particle" : "", "parse-names" : false, "suffix" : "" }, { "dropping-particle" : "", "family" : "Chaplin", "given" : "R.", "non-dropping-particle" : "", "parse-names" : false, "suffix" : "" }, { "dropping-particle" : "", "family" : "Cooper", "given" : "S-A.", "non-dropping-particle" : "", "parse-names" : false, "suffix" : "" }, { "dropping-particle" : "", "family" : "Smiley", "given" : "E.", "non-dropping-particle" : "", "parse-names" : false, "suffix" : "" }, { "dropping-particle" : "", "family" : "Morrison", "given" : "J.", "non-dropping-particle" : "", "parse-names" : false, "suffix" : "" }, { "dropping-particle" : "", "family" : "Cresswell", "given" : "J.", "non-dropping-particle" : "", "parse-names" : false, "suffix" : "" }, { "dropping-particle" : "", "family" : "Bleksley", "given" : "S.", "non-dropping-particle" : "", "parse-names" : false, "suffix" : "" }, { "dropping-particle" : "", "family" : "Lemmey", "given" : "S.", "non-dropping-particle" : "", "parse-names" : false, "suffix" : "" }, { "dropping-particle" : "", "family" : "Health", "given" : "Department of", "non-dropping-particle" : "", "parse-names" : false, "suffix" : "" }, { "dropping-particle" : "", "family" : "Health", "given" : "Department of", "non-dropping-particle" : "", "parse-names" : false, "suffix" : "" }, { "dropping-particle" : "", "family" : "Health", "given" : "Department of", "non-dropping-particle" : "", "parse-names" : false, "suffix" : "" }, { "dropping-particle" : "", "family" : "Health", "given" : "Department of", "non-dropping-particle" : "", "parse-names" : false, "suffix" : "" }, { "dropping-particle" : "", "family" : "Emerson", "given" : "E.", "non-dropping-particle" : "", "parse-names" : false, "suffix" : "" }, { "dropping-particle" : "", "family" : "Baines", "given" : "S.", "non-dropping-particle" : "", "parse-names" : false, "suffix" : "" }, { "dropping-particle" : "", "family" : "Hall", "given" : "I.", "non-dropping-particle" : "", "parse-names" : false, "suffix" : "" }, { "dropping-particle" : "", "family" : "Parkes", "given" : "C.", "non-dropping-particle" : "", "parse-names" : false, "suffix" : "" }, { "dropping-particle" : "", "family" : "Higgins", "given" : "A.", "non-dropping-particle" : "", "parse-names" : false, "suffix" : "" }, { "dropping-particle" : "", "family" : "Hall", "given" : "I.", "non-dropping-particle" : "", "parse-names" : false, "suffix" : "" }, { "dropping-particle" : "", "family" : "Parkes", "given" : "C.", "non-dropping-particle" : "", "parse-names" : false, "suffix" : "" }, { "dropping-particle" : "", "family" : "Samuels", "given" : "S.", "non-dropping-particle" : "", "parse-names" : false, "suffix" : "" }, { "dropping-particle" : "", "family" : "Centre", "given" : "Health and Social Care Information", "non-dropping-particle" : "", "parse-names" : false, "suffix" : "" }, { "dropping-particle" : "", "family" : "Holland", "given" : "T.", "non-dropping-particle" : "", "parse-names" : false, "suffix" : "" }, { "dropping-particle" : "", "family" : "Clare", "given" : "ICH.", "non-dropping-particle" : "", "parse-names" : false, "suffix" : "" }, { "dropping-particle" : "", "family" : "Mukhopadhyay", "given" : "T.", "non-dropping-particle" : "", "parse-names" : false, "suffix" : "" }, { "dropping-particle" : "", "family" : "Hollins", "given" : "S.", "non-dropping-particle" : "", "parse-names" : false, "suffix" : "" }, { "dropping-particle" : "", "family" : "Kennedy", "given" : "HG.", "non-dropping-particle" : "", "parse-names" : false, "suffix" : "" }, { "dropping-particle" : "", "family" : "Lindsey", "given" : "M.", "non-dropping-particle" : "", "parse-names" : false, "suffix" : "" }, { "dropping-particle" : "", "family" : "Morgan", "given" : "VA.", "non-dropping-particle" : "", "parse-names" : false, "suffix" : "" }, { "dropping-particle" : "", "family" : "Leonard", "given" : "H.", "non-dropping-particle" : "", "parse-names" : false, "suffix" : "" }, { "dropping-particle" : "", "family" : "Bourke", "given" : "J.", "non-dropping-particle" : "", "parse-names" : false, "suffix" : "" }, { "dropping-particle" : "", "family" : "Moss", "given" : "S.", "non-dropping-particle" : "", "parse-names" : false, "suffix" : "" }, { "dropping-particle" : "", "family" : "Emerson", "given" : "E.", "non-dropping-particle" : "", "parse-names" : false, "suffix" : "" }, { "dropping-particle" : "", "family" : "Bouras", "given" : "N.", "non-dropping-particle" : "", "parse-names" : false, "suffix" : "" }, { "dropping-particle" : "", "family" : "Confederation", "given" : "NHS", "non-dropping-particle" : "", "parse-names" : false, "suffix" : "" }, { "dropping-particle" : "", "family" : "England", "given" : "NHS", "non-dropping-particle" : "", "parse-names" : false, "suffix" : "" }, { "dropping-particle" : "", "family" : "Phillips", "given" : "N.", "non-dropping-particle" : "", "parse-names" : false, "suffix" : "" }, { "dropping-particle" : "", "family" : "Plant", "given" : "A.", "non-dropping-particle" : "", "parse-names" : false, "suffix" : "" }, { "dropping-particle" : "", "family" : "McDermott", "given" : "E.", "non-dropping-particle" : "", "parse-names" : false, "suffix" : "" }, { "dropping-particle" : "", "family" : "Chester", "given" : "V.", "non-dropping-particle" : "", "parse-names" : false, "suffix" : "" }, { "dropping-particle" : "", "family" : "Royal College of Psychiatrists", "given" : "British Psychological Society, Royal College of Speech and Language Therapists", "non-dropping-particle" : "", "parse-names" : false, "suffix" : "" }, { "dropping-particle" : "", "family" : "Psychiatrists", "given" : "Royal College of", "non-dropping-particle" : "", "parse-names" : false, "suffix" : "" }, { "dropping-particle" : "", "family" : "Psychiatrists", "given" : "Royal College of", "non-dropping-particle" : "", "parse-names" : false, "suffix" : "" }, { "dropping-particle" : "", "family" : "Psychiatrists", "given" : "Royal College of", "non-dropping-particle" : "", "parse-names" : false, "suffix" : "" }, { "dropping-particle" : "", "family" : "Tajuddin", "given" : "M.", "non-dropping-particle" : "", "parse-names" : false, "suffix" : "" }, { "dropping-particle" : "", "family" : "Nadkarni", "given" : "S.", "non-dropping-particle" : "", "parse-names" : false, "suffix" : "" }, { "dropping-particle" : "", "family" : "Biswas", "given" : "A.", "non-dropping-particle" : "", "parse-names" : false, "suffix" : "" }, { "dropping-particle" : "", "family" : "Tucker", "given" : "S.", "non-dropping-particle" : "", "parse-names" : false, "suffix" : "" }, { "dropping-particle" : "", "family" : "Hughes", "given" : "T.", "non-dropping-particle" : "", "parse-names" : false, "suffix" : "" }, { "dropping-particle" : "", "family" : "Tucker", "given" : "S.", "non-dropping-particle" : "", "parse-names" : false, "suffix" : "" }, { "dropping-particle" : "", "family" : "Iqbal", "given" : "M.", "non-dropping-particle" : "", "parse-names" : false, "suffix" : "" }, { "dropping-particle" : "", "family" : "Holder", "given" : "S.", "non-dropping-particle" : "", "parse-names" : false, "suffix" : "" }, { "dropping-particle" : "", "family" : "Organization", "given" : "World Health", "non-dropping-particle" : "", "parse-names" : false, "suffix" : "" }, { "dropping-particle" : "", "family" : "Xeniditis", "given" : "K.", "non-dropping-particle" : "", "parse-names" : false, "suffix" : "" }, { "dropping-particle" : "", "family" : "Russell", "given" : "A.", "non-dropping-particle" : "", "parse-names" : false, "suffix" : "" }, { "dropping-particle" : "", "family" : "Murphy", "given" : "D.", "non-dropping-particle" : "", "parse-names" : false, "suffix" : "" } ], "container-title" : "Journal of intellectual disability research : JIDR", "id" : "ITEM-1", "issue" : "Pt 4", "issued" : { "date-parts" : [ [ "2006", "4" ] ] }, "page" : "305-15", "publisher" : "The Royal College of Psychiatrists", "title" : "Long-term outcome from a medium secure service for people with intellectual disability.", "type" : "article-journal", "volume" : "50" }, "uris" : [ "http://www.mendeley.com/documents/?uuid=35484a70-f1f6-3a0c-aef1-b29aac463832" ] } ], "mendeley" : { "formattedCitation" : "(17)", "plainTextFormattedCitation" : "(17)", "previouslyFormattedCitation" : "(17)" }, "properties" : { "noteIndex" : 0 }, "schema" : "https://github.com/citation-style-language/schema/raw/master/csl-citation.json" }</w:instrText>
            </w:r>
            <w:r w:rsidR="00042C50" w:rsidRPr="00522CD2">
              <w:rPr>
                <w:rFonts w:cs="Arial"/>
                <w:kern w:val="28"/>
                <w:sz w:val="20"/>
                <w:szCs w:val="20"/>
                <w:vertAlign w:val="superscript"/>
                <w:lang w:val="en-CA" w:eastAsia="en-GB"/>
              </w:rPr>
              <w:fldChar w:fldCharType="separate"/>
            </w:r>
            <w:r w:rsidR="00E353A8" w:rsidRPr="00522CD2">
              <w:rPr>
                <w:rFonts w:cs="Arial"/>
                <w:noProof/>
                <w:kern w:val="28"/>
                <w:sz w:val="20"/>
                <w:szCs w:val="20"/>
                <w:lang w:val="en-CA" w:eastAsia="en-GB"/>
              </w:rPr>
              <w:t>(17)</w:t>
            </w:r>
            <w:r w:rsidR="00042C50" w:rsidRPr="00522CD2">
              <w:rPr>
                <w:rFonts w:cs="Arial"/>
                <w:kern w:val="28"/>
                <w:sz w:val="20"/>
                <w:szCs w:val="20"/>
                <w:vertAlign w:val="superscript"/>
                <w:lang w:val="en-CA" w:eastAsia="en-GB"/>
              </w:rPr>
              <w:fldChar w:fldCharType="end"/>
            </w:r>
          </w:p>
          <w:p w14:paraId="6CCBCEBB"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Medium secure</w:t>
            </w:r>
          </w:p>
        </w:tc>
        <w:tc>
          <w:tcPr>
            <w:tcW w:w="2385" w:type="dxa"/>
            <w:tcBorders>
              <w:left w:val="single" w:sz="4" w:space="0" w:color="FFFFFF" w:themeColor="background1"/>
              <w:right w:val="single" w:sz="4" w:space="0" w:color="FFFFFF" w:themeColor="background1"/>
            </w:tcBorders>
          </w:tcPr>
          <w:p w14:paraId="61C6C2A9" w14:textId="60E7790E" w:rsidR="00841348" w:rsidRPr="00522CD2" w:rsidRDefault="00841348" w:rsidP="00290AAF">
            <w:pPr>
              <w:spacing w:line="276" w:lineRule="auto"/>
              <w:rPr>
                <w:rFonts w:cs="Arial"/>
                <w:sz w:val="20"/>
                <w:szCs w:val="20"/>
              </w:rPr>
            </w:pPr>
            <w:r w:rsidRPr="00522CD2">
              <w:rPr>
                <w:rFonts w:cs="Arial"/>
                <w:sz w:val="20"/>
                <w:szCs w:val="20"/>
              </w:rPr>
              <w:t xml:space="preserve">Retrospective cohort study </w:t>
            </w:r>
          </w:p>
          <w:p w14:paraId="2126A86F" w14:textId="77777777" w:rsidR="00841348" w:rsidRPr="00522CD2" w:rsidRDefault="00841348" w:rsidP="00290AAF">
            <w:pPr>
              <w:spacing w:line="276" w:lineRule="auto"/>
              <w:rPr>
                <w:rFonts w:cs="Arial"/>
                <w:sz w:val="20"/>
                <w:szCs w:val="20"/>
              </w:rPr>
            </w:pPr>
            <w:r w:rsidRPr="00522CD2">
              <w:rPr>
                <w:rFonts w:cs="Arial"/>
                <w:sz w:val="20"/>
                <w:szCs w:val="20"/>
              </w:rPr>
              <w:t>Follow up: up to 13 years</w:t>
            </w:r>
          </w:p>
        </w:tc>
        <w:tc>
          <w:tcPr>
            <w:tcW w:w="1136" w:type="dxa"/>
            <w:tcBorders>
              <w:left w:val="single" w:sz="4" w:space="0" w:color="FFFFFF" w:themeColor="background1"/>
              <w:right w:val="single" w:sz="4" w:space="0" w:color="FFFFFF" w:themeColor="background1"/>
            </w:tcBorders>
          </w:tcPr>
          <w:p w14:paraId="63187866" w14:textId="77777777" w:rsidR="00841348" w:rsidRPr="00522CD2" w:rsidRDefault="00841348" w:rsidP="00290AAF">
            <w:pPr>
              <w:spacing w:line="276" w:lineRule="auto"/>
              <w:jc w:val="center"/>
              <w:rPr>
                <w:rFonts w:cs="Arial"/>
                <w:sz w:val="20"/>
                <w:szCs w:val="20"/>
              </w:rPr>
            </w:pPr>
            <w:r w:rsidRPr="00522CD2">
              <w:rPr>
                <w:rFonts w:cs="Arial"/>
                <w:sz w:val="20"/>
                <w:szCs w:val="20"/>
              </w:rPr>
              <w:t>64</w:t>
            </w:r>
          </w:p>
          <w:p w14:paraId="3CCFC53C" w14:textId="69A278BE" w:rsidR="00841348" w:rsidRPr="00522CD2" w:rsidRDefault="00042C50" w:rsidP="00290AAF">
            <w:pPr>
              <w:spacing w:line="276" w:lineRule="auto"/>
              <w:jc w:val="center"/>
              <w:rPr>
                <w:rFonts w:cs="Arial"/>
                <w:b/>
                <w:sz w:val="20"/>
                <w:szCs w:val="20"/>
              </w:rPr>
            </w:pPr>
            <w:r w:rsidRPr="00522CD2">
              <w:rPr>
                <w:rFonts w:cs="Arial"/>
                <w:b/>
                <w:sz w:val="20"/>
                <w:szCs w:val="20"/>
              </w:rPr>
              <w:t xml:space="preserve"> </w:t>
            </w:r>
          </w:p>
        </w:tc>
        <w:tc>
          <w:tcPr>
            <w:tcW w:w="3708" w:type="dxa"/>
            <w:tcBorders>
              <w:left w:val="single" w:sz="4" w:space="0" w:color="FFFFFF" w:themeColor="background1"/>
              <w:right w:val="single" w:sz="4" w:space="0" w:color="FFFFFF" w:themeColor="background1"/>
            </w:tcBorders>
          </w:tcPr>
          <w:p w14:paraId="09CE630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Treatment response/outcome</w:t>
            </w:r>
          </w:p>
          <w:p w14:paraId="4DB97096"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p w14:paraId="5E21060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Readmissions</w:t>
            </w:r>
          </w:p>
          <w:p w14:paraId="33F21F94"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Relapse in MH</w:t>
            </w:r>
          </w:p>
          <w:p w14:paraId="3D841E38" w14:textId="77777777" w:rsidR="00223877"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r w:rsidR="00B801DD" w:rsidRPr="00522CD2">
              <w:rPr>
                <w:rFonts w:cs="Arial"/>
                <w:sz w:val="20"/>
                <w:szCs w:val="20"/>
              </w:rPr>
              <w:t xml:space="preserve"> </w:t>
            </w:r>
          </w:p>
          <w:p w14:paraId="2FA471F5" w14:textId="2B1BF3B1" w:rsidR="00516F19" w:rsidRPr="00522CD2" w:rsidRDefault="00516F19" w:rsidP="00386B2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52"/>
              <w:rPr>
                <w:rFonts w:cs="Arial"/>
                <w:sz w:val="20"/>
                <w:szCs w:val="20"/>
              </w:rPr>
            </w:pPr>
          </w:p>
          <w:p w14:paraId="521EEDEC" w14:textId="348CDC77" w:rsidR="00934B37" w:rsidRPr="00522CD2" w:rsidRDefault="00920272"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w:t>
            </w:r>
            <w:r w:rsidR="00841348" w:rsidRPr="00522CD2">
              <w:rPr>
                <w:rFonts w:cs="Arial"/>
                <w:sz w:val="20"/>
                <w:szCs w:val="20"/>
              </w:rPr>
              <w:t>Offend</w:t>
            </w:r>
            <w:r w:rsidR="008D6A25" w:rsidRPr="00522CD2">
              <w:rPr>
                <w:rFonts w:cs="Arial"/>
                <w:sz w:val="20"/>
                <w:szCs w:val="20"/>
              </w:rPr>
              <w:t>ing</w:t>
            </w:r>
            <w:r w:rsidR="00841348" w:rsidRPr="00522CD2">
              <w:rPr>
                <w:rFonts w:cs="Arial"/>
                <w:sz w:val="20"/>
                <w:szCs w:val="20"/>
              </w:rPr>
              <w:t>-like</w:t>
            </w:r>
            <w:r w:rsidRPr="00522CD2">
              <w:rPr>
                <w:rFonts w:cs="Arial"/>
                <w:sz w:val="20"/>
                <w:szCs w:val="20"/>
              </w:rPr>
              <w:t>’</w:t>
            </w:r>
            <w:r w:rsidR="008D6A25" w:rsidRPr="00522CD2">
              <w:rPr>
                <w:rFonts w:cs="Arial"/>
                <w:sz w:val="20"/>
                <w:szCs w:val="20"/>
              </w:rPr>
              <w:t xml:space="preserve"> </w:t>
            </w:r>
            <w:r w:rsidR="00841348" w:rsidRPr="00522CD2">
              <w:rPr>
                <w:rFonts w:cs="Arial"/>
                <w:sz w:val="20"/>
                <w:szCs w:val="20"/>
              </w:rPr>
              <w:t>behaviour</w:t>
            </w:r>
          </w:p>
        </w:tc>
        <w:tc>
          <w:tcPr>
            <w:tcW w:w="5862" w:type="dxa"/>
            <w:gridSpan w:val="2"/>
            <w:tcBorders>
              <w:left w:val="single" w:sz="4" w:space="0" w:color="FFFFFF" w:themeColor="background1"/>
              <w:right w:val="single" w:sz="4" w:space="0" w:color="FFFFFF" w:themeColor="background1"/>
            </w:tcBorders>
          </w:tcPr>
          <w:p w14:paraId="079A649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Level of CPA support, MHA status and CGIS</w:t>
            </w:r>
          </w:p>
          <w:p w14:paraId="4911668B"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Level security/type of placement at discharge </w:t>
            </w:r>
          </w:p>
          <w:p w14:paraId="3B97C81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readmitted to the same unit</w:t>
            </w:r>
          </w:p>
          <w:p w14:paraId="48E44C9C"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who experienced a relapse in MH symptoms</w:t>
            </w:r>
          </w:p>
          <w:p w14:paraId="795BDB3A"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formally reconvicted, cautioned or had police contact</w:t>
            </w:r>
          </w:p>
          <w:p w14:paraId="53F6491D"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Behaviour which could be classed as an offence but did not lead to police contact</w:t>
            </w:r>
          </w:p>
          <w:p w14:paraId="2A5FBFEB" w14:textId="77777777" w:rsidR="00841348" w:rsidRPr="00522CD2" w:rsidRDefault="00841348" w:rsidP="00290AAF">
            <w:pPr>
              <w:spacing w:line="276" w:lineRule="auto"/>
              <w:ind w:left="252"/>
              <w:rPr>
                <w:rFonts w:cs="Arial"/>
                <w:sz w:val="20"/>
                <w:szCs w:val="20"/>
              </w:rPr>
            </w:pPr>
          </w:p>
        </w:tc>
      </w:tr>
      <w:tr w:rsidR="00841348" w:rsidRPr="00522CD2" w14:paraId="18C8761F" w14:textId="77777777" w:rsidTr="006A50DE">
        <w:trPr>
          <w:trHeight w:val="700"/>
        </w:trPr>
        <w:tc>
          <w:tcPr>
            <w:tcW w:w="2399" w:type="dxa"/>
            <w:tcBorders>
              <w:left w:val="single" w:sz="4" w:space="0" w:color="FFFFFF" w:themeColor="background1"/>
              <w:right w:val="single" w:sz="4" w:space="0" w:color="FFFFFF" w:themeColor="background1"/>
            </w:tcBorders>
          </w:tcPr>
          <w:p w14:paraId="11588ECA" w14:textId="19F79D1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Alexander et al. (2010)</w:t>
            </w:r>
            <w:r w:rsidR="00042C50" w:rsidRPr="00522CD2">
              <w:rPr>
                <w:rFonts w:cs="Arial"/>
                <w:kern w:val="28"/>
                <w:sz w:val="20"/>
                <w:szCs w:val="20"/>
                <w:lang w:val="en-CA" w:eastAsia="en-GB"/>
              </w:rPr>
              <w:t xml:space="preserve"> </w:t>
            </w:r>
            <w:r w:rsidR="00042C50"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"10.1111/j.1365-2788.2010.01248.x", "ISBN" : "1365-2788", "abstract" : "AIM To establish any differences between patients with and without a diagnosis of personality disorders, being treated in a secure inpatient service for offenders with intellectual disability (ID) in the UK. METHOD A cohort study involving a selected population of people with ID and offending behaviours. Results The study included a total of 138 patients, treated over a 6 year period - 77 with a dissocial or emotionally unstable personality disorder and 61 without. Women were more likely to be in the personality disorder group. Both groups had high prevalence of abuse with no significant differences. Depressive disorders and substance abuse were more common in the personality disorder group, while epilepsy and autistic spectrum disorders were more common in the non-personality disorder group. Rather than differences, what was more striking was the rate and range of these comorbidities across both groups. Although past histories of violence and institutional aggression were no different, compulsory detention under criminal sections and restriction orders were more common in the personality disorder group. There were no differences in treatment outcomes. CONCLUSIONS Although about half of patients detained in secure units for offenders with ID have a personality disorder, there were more similarities than differences between this group and the rest. While good treatment outcomes supported the case for specialised secure treatment units for people with ID, the case for establishing a more specialised ID-personality disorder unit was less convincing. There is also a need to explore whether there are alternative diagnostic models that can delineate better the group with personality difficulties in this population.", "author" : [ { "dropping-particle" : "", "family" : "Alexander", "given" : "R T", "non-dropping-particle" : "", "parse-names" : false, "suffix" : "" }, { "dropping-particle" : "", "family" : "Green", "given" : "F N", "non-dropping-particle" : "", "parse-names" : false, "suffix" : "" }, { "dropping-particle" : "", "family" : "O'Mahony", "given" : "B", "non-dropping-particle" : "", "parse-names" : false, "suffix" : "" }, { "dropping-particle" : "", "family" : "Gunaratna", "given" : "I J", "non-dropping-particle" : "", "parse-names" : false, "suffix" : "" }, { "dropping-particle" : "", "family" : "Gangadharan", "given" : "S K", "non-dropping-particle" : "", "parse-names" : false, "suffix" : "" }, { "dropping-particle" : "", "family" : "Hoare", "given" : "S", "non-dropping-particle" : "", "parse-names" : false, "suffix" : "" } ], "container-title" : "Journal of Intellectual Disability Research", "id" : "ITEM-1", "issue" : "7", "issued" : { "date-parts" : [ [ "2010" ] ] }, "page" : "650-658", "title" : "Personality disorders in offerders with intellectual disability: A comparison of clinical, forensic and outcome variables and implications for service provision", "type" : "article-journal", "volume" : "54" }, "uris" : [ "http://www.mendeley.com/documents/?uuid=880b83b4-93e8-4a5e-abda-893a3d293fec" ] } ], "mendeley" : { "formattedCitation" : "(37)", "plainTextFormattedCitation" : "(37)", "previouslyFormattedCitation" : "(37)" }, "properties" : { "noteIndex" : 0 }, "schema" : "https://github.com/citation-style-language/schema/raw/master/csl-citation.json" }</w:instrText>
            </w:r>
            <w:r w:rsidR="00042C50"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(37)</w:t>
            </w:r>
            <w:r w:rsidR="00042C50" w:rsidRPr="00522CD2">
              <w:rPr>
                <w:rFonts w:cs="Arial"/>
                <w:kern w:val="28"/>
                <w:sz w:val="20"/>
                <w:szCs w:val="20"/>
                <w:lang w:val="en-CA" w:eastAsia="en-GB"/>
              </w:rPr>
              <w:fldChar w:fldCharType="end"/>
            </w:r>
            <w:r w:rsidRPr="00522CD2">
              <w:rPr>
                <w:rFonts w:cs="Arial"/>
                <w:kern w:val="28"/>
                <w:sz w:val="20"/>
                <w:szCs w:val="20"/>
                <w:lang w:val="en-CA" w:eastAsia="en-GB"/>
              </w:rPr>
              <w:t xml:space="preserve"> </w:t>
            </w:r>
          </w:p>
          <w:p w14:paraId="0D6A8798"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Medium secure</w:t>
            </w:r>
          </w:p>
        </w:tc>
        <w:tc>
          <w:tcPr>
            <w:tcW w:w="2385" w:type="dxa"/>
            <w:tcBorders>
              <w:left w:val="single" w:sz="4" w:space="0" w:color="FFFFFF" w:themeColor="background1"/>
              <w:right w:val="single" w:sz="4" w:space="0" w:color="FFFFFF" w:themeColor="background1"/>
            </w:tcBorders>
          </w:tcPr>
          <w:p w14:paraId="4AE08C23" w14:textId="6A608C77" w:rsidR="00841348" w:rsidRPr="00522CD2" w:rsidRDefault="00841348" w:rsidP="00290AAF">
            <w:pPr>
              <w:spacing w:line="276" w:lineRule="auto"/>
              <w:rPr>
                <w:rFonts w:cs="Arial"/>
                <w:sz w:val="20"/>
                <w:szCs w:val="20"/>
              </w:rPr>
            </w:pPr>
            <w:r w:rsidRPr="00522CD2">
              <w:rPr>
                <w:rFonts w:cs="Arial"/>
                <w:sz w:val="20"/>
                <w:szCs w:val="20"/>
              </w:rPr>
              <w:t xml:space="preserve">Retrospective cohort study </w:t>
            </w:r>
          </w:p>
          <w:p w14:paraId="236D0437" w14:textId="77777777" w:rsidR="00841348" w:rsidRPr="00522CD2" w:rsidRDefault="00841348" w:rsidP="00290AAF">
            <w:pPr>
              <w:spacing w:line="276" w:lineRule="auto"/>
              <w:rPr>
                <w:rFonts w:cs="Arial"/>
                <w:sz w:val="20"/>
                <w:szCs w:val="20"/>
              </w:rPr>
            </w:pPr>
            <w:r w:rsidRPr="00522CD2">
              <w:rPr>
                <w:rFonts w:cs="Arial"/>
                <w:sz w:val="20"/>
                <w:szCs w:val="20"/>
              </w:rPr>
              <w:t>Discharged patients</w:t>
            </w:r>
          </w:p>
          <w:p w14:paraId="5A5BD983" w14:textId="04143D5B" w:rsidR="00841348" w:rsidRPr="00522CD2" w:rsidRDefault="00841348" w:rsidP="00920272">
            <w:pPr>
              <w:spacing w:line="276" w:lineRule="auto"/>
              <w:rPr>
                <w:rFonts w:cs="Arial"/>
                <w:sz w:val="20"/>
                <w:szCs w:val="20"/>
              </w:rPr>
            </w:pPr>
            <w:r w:rsidRPr="00522CD2">
              <w:rPr>
                <w:rFonts w:cs="Arial"/>
                <w:sz w:val="20"/>
                <w:szCs w:val="20"/>
              </w:rPr>
              <w:t xml:space="preserve">Follow up: 6 years </w:t>
            </w:r>
          </w:p>
        </w:tc>
        <w:tc>
          <w:tcPr>
            <w:tcW w:w="1136" w:type="dxa"/>
            <w:tcBorders>
              <w:left w:val="single" w:sz="4" w:space="0" w:color="FFFFFF" w:themeColor="background1"/>
              <w:right w:val="single" w:sz="4" w:space="0" w:color="FFFFFF" w:themeColor="background1"/>
            </w:tcBorders>
          </w:tcPr>
          <w:p w14:paraId="10B46CC1" w14:textId="77777777" w:rsidR="00841348" w:rsidRPr="00522CD2" w:rsidRDefault="00841348" w:rsidP="00290AAF">
            <w:pPr>
              <w:spacing w:line="276" w:lineRule="auto"/>
              <w:jc w:val="center"/>
              <w:rPr>
                <w:rFonts w:cs="Arial"/>
                <w:sz w:val="20"/>
                <w:szCs w:val="20"/>
              </w:rPr>
            </w:pPr>
            <w:r w:rsidRPr="00522CD2">
              <w:rPr>
                <w:rFonts w:cs="Arial"/>
                <w:sz w:val="20"/>
                <w:szCs w:val="20"/>
              </w:rPr>
              <w:t>138</w:t>
            </w:r>
          </w:p>
        </w:tc>
        <w:tc>
          <w:tcPr>
            <w:tcW w:w="3708" w:type="dxa"/>
            <w:tcBorders>
              <w:left w:val="single" w:sz="4" w:space="0" w:color="FFFFFF" w:themeColor="background1"/>
              <w:right w:val="single" w:sz="4" w:space="0" w:color="FFFFFF" w:themeColor="background1"/>
            </w:tcBorders>
          </w:tcPr>
          <w:p w14:paraId="74BCECBF"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Length of stay </w:t>
            </w:r>
          </w:p>
          <w:p w14:paraId="0ED343EA"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p w14:paraId="59E12A78" w14:textId="77777777" w:rsidR="00841348" w:rsidRPr="00522CD2" w:rsidRDefault="00841348" w:rsidP="00290AAF">
            <w:pPr>
              <w:spacing w:line="276" w:lineRule="auto"/>
              <w:ind w:left="252"/>
              <w:rPr>
                <w:rFonts w:cs="Arial"/>
                <w:sz w:val="20"/>
                <w:szCs w:val="20"/>
              </w:rPr>
            </w:pPr>
          </w:p>
          <w:p w14:paraId="2E271BDB"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p w14:paraId="2D64675E" w14:textId="77777777" w:rsidR="00841348" w:rsidRPr="00522CD2" w:rsidRDefault="00841348" w:rsidP="00290AAF">
            <w:pPr>
              <w:spacing w:line="276" w:lineRule="auto"/>
              <w:ind w:left="12"/>
              <w:rPr>
                <w:rFonts w:cs="Arial"/>
                <w:sz w:val="20"/>
                <w:szCs w:val="20"/>
              </w:rPr>
            </w:pPr>
          </w:p>
        </w:tc>
        <w:tc>
          <w:tcPr>
            <w:tcW w:w="5862" w:type="dxa"/>
            <w:gridSpan w:val="2"/>
            <w:tcBorders>
              <w:left w:val="single" w:sz="4" w:space="0" w:color="FFFFFF" w:themeColor="background1"/>
              <w:right w:val="single" w:sz="4" w:space="0" w:color="FFFFFF" w:themeColor="background1"/>
            </w:tcBorders>
          </w:tcPr>
          <w:p w14:paraId="7FDE4D92"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Mean and median number of days </w:t>
            </w:r>
          </w:p>
          <w:p w14:paraId="0E52E4BC"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positive (move to a lower level of security) or negative (move to higher level of security) discharges</w:t>
            </w:r>
          </w:p>
          <w:p w14:paraId="1D1DBC2B"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Level security/type of placement at discharge</w:t>
            </w:r>
          </w:p>
        </w:tc>
      </w:tr>
      <w:tr w:rsidR="00841348" w:rsidRPr="00522CD2" w14:paraId="1E5AD615" w14:textId="77777777" w:rsidTr="006A50DE">
        <w:trPr>
          <w:trHeight w:val="274"/>
        </w:trPr>
        <w:tc>
          <w:tcPr>
            <w:tcW w:w="2399" w:type="dxa"/>
            <w:tcBorders>
              <w:left w:val="single" w:sz="4" w:space="0" w:color="FFFFFF" w:themeColor="background1"/>
              <w:right w:val="single" w:sz="4" w:space="0" w:color="FFFFFF" w:themeColor="background1"/>
            </w:tcBorders>
          </w:tcPr>
          <w:p w14:paraId="5D683516" w14:textId="1F0074BF"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 xml:space="preserve">Alexander et al. (2011) </w:t>
            </w:r>
            <w:r w:rsidR="00042C50" w:rsidRPr="00522CD2">
              <w:rPr>
                <w:rFonts w:cs="Arial"/>
                <w:kern w:val="28"/>
                <w:sz w:val="20"/>
                <w:szCs w:val="20"/>
                <w:lang w:val="en-CA" w:eastAsia="en-GB"/>
              </w:rPr>
              <w:fldChar w:fldCharType="begin" w:fldLock="1"/>
            </w:r>
            <w:r w:rsidR="00DD386F" w:rsidRPr="00522CD2">
              <w:rPr>
                <w:rFonts w:cs="Arial"/>
                <w:kern w:val="28"/>
                <w:sz w:val="20"/>
                <w:szCs w:val="20"/>
                <w:lang w:val="en-CA" w:eastAsia="en-GB"/>
              </w:rPr>
              <w:instrText>ADDIN CSL_CITATION { "citationItems" : [ { "id" : "ITEM-1", "itemData" : { "DOI" : "10.5042/amhid.2011.0013", "ISSN" : "2044-1282", "author" : [ { "dropping-particle" : "", "family" : "Alexander", "given" : "Regi", "non-dropping-particle" : "", "parse-names" : false, "suffix" : "" }, { "dropping-particle" : "", "family" : "Hiremath", "given" : "Avinash", "non-dropping-particle" : "", "parse-names" : false, "suffix" : "" }, { "dropping-particle" : "", "family" : "Chester", "given" : "Verity", "non-dropping-particle" : "", "parse-names" : false, "suffix" : "" }, { "dropping-particle" : "", "family" : "Green", "given" : "Fatima", "non-dropping-particle" : "", "parse-names" : false, "suffix" : "" }, { "dropping-particle" : "", "family" : "Gunaratna", "given" : "Ignatius", "non-dropping-particle" : "", "parse-names" : false, "suffix" : "" }, { "dropping-particle" : "", "family" : "Hoare", "given" : "Sudeep", "non-dropping-particle" : "", "parse-names" : false, "suffix" : "" } ], "container-title" : "Advances in Mental Health and Intellectual Disabilities", "id" : "ITEM-1", "issue" : "1", "issued" : { "date-parts" : [ [ "2011", "1", "24" ] ] }, "page" : "22-32", "title" : "Evaluation of treatment outcomes from a medium secure unit for people with intellectual disability", "type" : "article-journal", "volume" : "5" }, "uris" : [ "http://www.mendeley.com/documents/?uuid=68fa1327-de5c-3efc-964f-58da3bc311b8" ] } ], "mendeley" : { "formattedCitation" : "(5)", "plainTextFormattedCitation" : "(5)", "previouslyFormattedCitation" : "(5)" }, "properties" : { "noteIndex" : 0 }, "schema" : "https://github.com/citation-style-language/schema/raw/master/csl-citation.json" }</w:instrText>
            </w:r>
            <w:r w:rsidR="00042C50" w:rsidRPr="00522CD2">
              <w:rPr>
                <w:rFonts w:cs="Arial"/>
                <w:kern w:val="28"/>
                <w:sz w:val="20"/>
                <w:szCs w:val="20"/>
                <w:lang w:val="en-CA" w:eastAsia="en-GB"/>
              </w:rPr>
              <w:fldChar w:fldCharType="separate"/>
            </w:r>
            <w:r w:rsidR="002C386C" w:rsidRPr="00522CD2">
              <w:rPr>
                <w:rFonts w:cs="Arial"/>
                <w:noProof/>
                <w:kern w:val="28"/>
                <w:sz w:val="20"/>
                <w:szCs w:val="20"/>
                <w:lang w:val="en-CA" w:eastAsia="en-GB"/>
              </w:rPr>
              <w:t>(5)</w:t>
            </w:r>
            <w:r w:rsidR="00042C50" w:rsidRPr="00522CD2">
              <w:rPr>
                <w:rFonts w:cs="Arial"/>
                <w:kern w:val="28"/>
                <w:sz w:val="20"/>
                <w:szCs w:val="20"/>
                <w:lang w:val="en-CA" w:eastAsia="en-GB"/>
              </w:rPr>
              <w:fldChar w:fldCharType="end"/>
            </w:r>
          </w:p>
          <w:p w14:paraId="01C9852E"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Medium secure</w:t>
            </w:r>
          </w:p>
        </w:tc>
        <w:tc>
          <w:tcPr>
            <w:tcW w:w="2385" w:type="dxa"/>
            <w:tcBorders>
              <w:left w:val="single" w:sz="4" w:space="0" w:color="FFFFFF" w:themeColor="background1"/>
              <w:right w:val="single" w:sz="4" w:space="0" w:color="FFFFFF" w:themeColor="background1"/>
            </w:tcBorders>
          </w:tcPr>
          <w:p w14:paraId="56540CF7" w14:textId="718238E4" w:rsidR="00920272" w:rsidRPr="00522CD2" w:rsidRDefault="00841348" w:rsidP="00290AAF">
            <w:pPr>
              <w:spacing w:line="276" w:lineRule="auto"/>
              <w:rPr>
                <w:rFonts w:cs="Arial"/>
                <w:sz w:val="20"/>
                <w:szCs w:val="20"/>
              </w:rPr>
            </w:pPr>
            <w:r w:rsidRPr="00522CD2">
              <w:rPr>
                <w:rFonts w:cs="Arial"/>
                <w:sz w:val="20"/>
                <w:szCs w:val="20"/>
              </w:rPr>
              <w:t xml:space="preserve">Retrospective cohort study </w:t>
            </w:r>
          </w:p>
          <w:p w14:paraId="453210D5" w14:textId="77777777" w:rsidR="00841348" w:rsidRPr="00522CD2" w:rsidRDefault="00841348" w:rsidP="00290AAF">
            <w:pPr>
              <w:spacing w:line="276" w:lineRule="auto"/>
              <w:rPr>
                <w:rFonts w:cs="Arial"/>
                <w:sz w:val="20"/>
                <w:szCs w:val="20"/>
              </w:rPr>
            </w:pPr>
            <w:r w:rsidRPr="00522CD2">
              <w:rPr>
                <w:rFonts w:cs="Arial"/>
                <w:sz w:val="20"/>
                <w:szCs w:val="20"/>
              </w:rPr>
              <w:t>Follow up: 6 years</w:t>
            </w:r>
          </w:p>
        </w:tc>
        <w:tc>
          <w:tcPr>
            <w:tcW w:w="1136" w:type="dxa"/>
            <w:tcBorders>
              <w:left w:val="single" w:sz="4" w:space="0" w:color="FFFFFF" w:themeColor="background1"/>
              <w:right w:val="single" w:sz="4" w:space="0" w:color="FFFFFF" w:themeColor="background1"/>
            </w:tcBorders>
          </w:tcPr>
          <w:p w14:paraId="2CBC9EE3" w14:textId="77777777" w:rsidR="00841348" w:rsidRPr="00522CD2" w:rsidRDefault="00841348" w:rsidP="00290AAF">
            <w:pPr>
              <w:spacing w:line="276" w:lineRule="auto"/>
              <w:jc w:val="center"/>
              <w:rPr>
                <w:rFonts w:cs="Arial"/>
                <w:sz w:val="20"/>
                <w:szCs w:val="20"/>
              </w:rPr>
            </w:pPr>
            <w:r w:rsidRPr="00522CD2">
              <w:rPr>
                <w:rFonts w:cs="Arial"/>
                <w:sz w:val="20"/>
                <w:szCs w:val="20"/>
              </w:rPr>
              <w:t>138</w:t>
            </w:r>
          </w:p>
        </w:tc>
        <w:tc>
          <w:tcPr>
            <w:tcW w:w="3708" w:type="dxa"/>
            <w:tcBorders>
              <w:left w:val="single" w:sz="4" w:space="0" w:color="FFFFFF" w:themeColor="background1"/>
              <w:right w:val="single" w:sz="4" w:space="0" w:color="FFFFFF" w:themeColor="background1"/>
            </w:tcBorders>
          </w:tcPr>
          <w:p w14:paraId="5B28265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2E5369BD"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p w14:paraId="510C4FDA" w14:textId="77777777" w:rsidR="00841348" w:rsidRPr="00522CD2" w:rsidRDefault="00841348" w:rsidP="00290AAF">
            <w:pPr>
              <w:spacing w:line="276" w:lineRule="auto"/>
              <w:rPr>
                <w:rFonts w:cs="Arial"/>
                <w:sz w:val="20"/>
                <w:szCs w:val="20"/>
              </w:rPr>
            </w:pPr>
          </w:p>
        </w:tc>
        <w:tc>
          <w:tcPr>
            <w:tcW w:w="5862" w:type="dxa"/>
            <w:gridSpan w:val="2"/>
            <w:tcBorders>
              <w:left w:val="single" w:sz="4" w:space="0" w:color="FFFFFF" w:themeColor="background1"/>
              <w:right w:val="single" w:sz="4" w:space="0" w:color="FFFFFF" w:themeColor="background1"/>
            </w:tcBorders>
          </w:tcPr>
          <w:p w14:paraId="60603004"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Mean and median number of days </w:t>
            </w:r>
          </w:p>
          <w:p w14:paraId="6F07EEA3" w14:textId="44D70BD4"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discharged successfully (to a lower level of security) or not (to same/higher level of security)</w:t>
            </w:r>
          </w:p>
        </w:tc>
      </w:tr>
      <w:tr w:rsidR="00841348" w:rsidRPr="00522CD2" w14:paraId="7F21CF91" w14:textId="77777777" w:rsidTr="006A50DE">
        <w:trPr>
          <w:trHeight w:val="770"/>
        </w:trPr>
        <w:tc>
          <w:tcPr>
            <w:tcW w:w="2399" w:type="dxa"/>
            <w:tcBorders>
              <w:left w:val="single" w:sz="4" w:space="0" w:color="FFFFFF" w:themeColor="background1"/>
              <w:right w:val="single" w:sz="4" w:space="0" w:color="FFFFFF" w:themeColor="background1"/>
            </w:tcBorders>
          </w:tcPr>
          <w:p w14:paraId="1DD3A8A4" w14:textId="6C0B4857" w:rsidR="00841348" w:rsidRPr="00522CD2" w:rsidRDefault="00841348" w:rsidP="00290AAF">
            <w:pPr>
              <w:spacing w:line="276" w:lineRule="auto"/>
              <w:rPr>
                <w:rFonts w:cs="Arial"/>
                <w:sz w:val="20"/>
                <w:szCs w:val="20"/>
              </w:rPr>
            </w:pPr>
            <w:r w:rsidRPr="00522CD2">
              <w:rPr>
                <w:rFonts w:cs="Arial"/>
                <w:sz w:val="20"/>
                <w:szCs w:val="20"/>
              </w:rPr>
              <w:t xml:space="preserve">Alexander et al. (2015) </w:t>
            </w:r>
            <w:r w:rsidR="00042C50" w:rsidRPr="00522CD2">
              <w:rPr>
                <w:rFonts w:cs="Arial"/>
                <w:sz w:val="20"/>
                <w:szCs w:val="20"/>
              </w:rPr>
              <w:fldChar w:fldCharType="begin" w:fldLock="1"/>
            </w:r>
            <w:r w:rsidR="00E353A8" w:rsidRPr="00522CD2">
              <w:rPr>
                <w:rFonts w:cs="Arial"/>
                <w:sz w:val="20"/>
                <w:szCs w:val="20"/>
              </w:rPr>
              <w:instrText>ADDIN CSL_CITATION { "citationItems" : [ { "id" : "ITEM-1", "itemData" : { "DOI" : "10.3109/13668250.2014.998182", "ISSN" : "1366-8250", "abstract" : "AbstractBackground Although many with intellectual disability come to the attention of services for fire setting, research in this area is scarce, which poses challenges for management.Method In this paper we examined those with a fire-setting history (n = 30), identified from a sample of 138 patients treated in a UK forensic intellectual disability service. Those with a fire-setting history were compared to those without this history on various clinical, forensic, and treatment outcome variables.Results Fire-setting was associated with significant psychopathology, including psychosis and personality disorders. Only half of the fire setters had a formal arson conviction. Fire setters were more likely to have a violence conviction and criminal sections/restriction orders.Conclusions Half of those with fire-setting histories did not have formal arson convictions, highlighting the need for thorough history taking. Prevalent comorbidity suggests interventions should focus on treating psychopathology before co...", "author" : [ { "dropping-particle" : "", "family" : "Alexander", "given" : "Regi T.", "non-dropping-particle" : "", "parse-names" : false, "suffix" : "" }, { "dropping-particle" : "", "family" : "Chester", "given" : "Verity", "non-dropping-particle" : "", "parse-names" : false, "suffix" : "" }, { "dropping-particle" : "", "family" : "Green", "given" : "Fatima N.", "non-dropping-particle" : "", "parse-names" : false, "suffix" : "" }, { "dropping-particle" : "", "family" : "Gunaratna", "given" : "Ignatius", "non-dropping-particle" : "", "parse-names" : false, "suffix" : "" }, { "dropping-particle" : "", "family" : "Hoare", "given" : "Sudeep", "non-dropping-particle" : "", "parse-names" : false, "suffix" : "" } ], "container-title" : "Journal of Intellectual and Developmental Disability", "id" : "ITEM-1", "issue" : "2", "issued" : { "date-parts" : [ [ "2015" ] ] }, "page" : "189-197", "publisher" : "Routledge", "title" : "Arson or fire setting in offenders with intellectual disability: Clinical characteristics, forensic histories, and treatment outcomes", "type" : "article-journal", "volume" : "40" }, "uris" : [ "http://www.mendeley.com/documents/?uuid=a9e07004-604d-38fd-8699-ffabb3393850" ] } ], "mendeley" : { "formattedCitation" : "(38)", "plainTextFormattedCitation" : "(38)", "previouslyFormattedCitation" : "(38)" }, "properties" : { "noteIndex" : 0 }, "schema" : "https://github.com/citation-style-language/schema/raw/master/csl-citation.json" }</w:instrText>
            </w:r>
            <w:r w:rsidR="00042C50" w:rsidRPr="00522CD2">
              <w:rPr>
                <w:rFonts w:cs="Arial"/>
                <w:sz w:val="20"/>
                <w:szCs w:val="20"/>
              </w:rPr>
              <w:fldChar w:fldCharType="separate"/>
            </w:r>
            <w:r w:rsidR="00E353A8" w:rsidRPr="00522CD2">
              <w:rPr>
                <w:rFonts w:cs="Arial"/>
                <w:noProof/>
                <w:sz w:val="20"/>
                <w:szCs w:val="20"/>
              </w:rPr>
              <w:t>(38)</w:t>
            </w:r>
            <w:r w:rsidR="00042C50" w:rsidRPr="00522CD2">
              <w:rPr>
                <w:rFonts w:cs="Arial"/>
                <w:sz w:val="20"/>
                <w:szCs w:val="20"/>
              </w:rPr>
              <w:fldChar w:fldCharType="end"/>
            </w:r>
            <w:r w:rsidRPr="00522CD2">
              <w:rPr>
                <w:rFonts w:cs="Arial"/>
                <w:kern w:val="28"/>
                <w:sz w:val="20"/>
                <w:szCs w:val="20"/>
                <w:lang w:val="en-CA" w:eastAsia="en-GB"/>
              </w:rPr>
              <w:t xml:space="preserve"> Medium secure</w:t>
            </w:r>
          </w:p>
          <w:p w14:paraId="5BF95A38" w14:textId="77777777" w:rsidR="00841348" w:rsidRPr="00522CD2" w:rsidRDefault="00841348" w:rsidP="00290AAF">
            <w:pPr>
              <w:spacing w:line="276" w:lineRule="auto"/>
              <w:rPr>
                <w:rFonts w:cs="Arial"/>
                <w:sz w:val="20"/>
                <w:szCs w:val="20"/>
              </w:rPr>
            </w:pPr>
          </w:p>
        </w:tc>
        <w:tc>
          <w:tcPr>
            <w:tcW w:w="2385" w:type="dxa"/>
            <w:tcBorders>
              <w:left w:val="single" w:sz="4" w:space="0" w:color="FFFFFF" w:themeColor="background1"/>
              <w:right w:val="single" w:sz="4" w:space="0" w:color="FFFFFF" w:themeColor="background1"/>
            </w:tcBorders>
          </w:tcPr>
          <w:p w14:paraId="0806EA7E" w14:textId="450E1B10" w:rsidR="00841348" w:rsidRPr="00522CD2" w:rsidRDefault="00841348" w:rsidP="00290AAF">
            <w:pPr>
              <w:spacing w:line="276" w:lineRule="auto"/>
              <w:rPr>
                <w:rFonts w:cs="Arial"/>
                <w:sz w:val="20"/>
                <w:szCs w:val="20"/>
              </w:rPr>
            </w:pPr>
            <w:r w:rsidRPr="00522CD2">
              <w:rPr>
                <w:rFonts w:cs="Arial"/>
                <w:sz w:val="20"/>
                <w:szCs w:val="20"/>
              </w:rPr>
              <w:t xml:space="preserve">Retrospective cohort study </w:t>
            </w:r>
          </w:p>
          <w:p w14:paraId="2BCD88E0" w14:textId="0708D192" w:rsidR="00920272" w:rsidRPr="00522CD2" w:rsidRDefault="00920272" w:rsidP="00290AAF">
            <w:pPr>
              <w:spacing w:line="276" w:lineRule="auto"/>
              <w:rPr>
                <w:rFonts w:cs="Arial"/>
                <w:sz w:val="20"/>
                <w:szCs w:val="20"/>
              </w:rPr>
            </w:pPr>
            <w:r w:rsidRPr="00522CD2">
              <w:rPr>
                <w:rFonts w:cs="Arial"/>
                <w:sz w:val="20"/>
                <w:szCs w:val="20"/>
              </w:rPr>
              <w:t>(arson vs non arson)</w:t>
            </w:r>
          </w:p>
          <w:p w14:paraId="23C36516" w14:textId="08EDA43A" w:rsidR="00841348" w:rsidRPr="00522CD2" w:rsidRDefault="00841348" w:rsidP="00290AAF">
            <w:pPr>
              <w:spacing w:line="276" w:lineRule="auto"/>
              <w:rPr>
                <w:rFonts w:cs="Arial"/>
                <w:sz w:val="20"/>
                <w:szCs w:val="20"/>
              </w:rPr>
            </w:pPr>
            <w:r w:rsidRPr="00522CD2">
              <w:rPr>
                <w:rFonts w:cs="Arial"/>
                <w:sz w:val="20"/>
                <w:szCs w:val="20"/>
              </w:rPr>
              <w:t>Follow up: 6 years</w:t>
            </w:r>
          </w:p>
        </w:tc>
        <w:tc>
          <w:tcPr>
            <w:tcW w:w="1136" w:type="dxa"/>
            <w:tcBorders>
              <w:left w:val="single" w:sz="4" w:space="0" w:color="FFFFFF" w:themeColor="background1"/>
              <w:right w:val="single" w:sz="4" w:space="0" w:color="FFFFFF" w:themeColor="background1"/>
            </w:tcBorders>
          </w:tcPr>
          <w:p w14:paraId="1A09D51C" w14:textId="77777777" w:rsidR="00841348" w:rsidRPr="00522CD2" w:rsidRDefault="00841348" w:rsidP="00290AAF">
            <w:pPr>
              <w:spacing w:line="276" w:lineRule="auto"/>
              <w:jc w:val="center"/>
              <w:rPr>
                <w:rFonts w:cs="Arial"/>
                <w:sz w:val="20"/>
                <w:szCs w:val="20"/>
              </w:rPr>
            </w:pPr>
            <w:r w:rsidRPr="00522CD2">
              <w:rPr>
                <w:rFonts w:cs="Arial"/>
                <w:sz w:val="20"/>
                <w:szCs w:val="20"/>
              </w:rPr>
              <w:t>30</w:t>
            </w:r>
          </w:p>
        </w:tc>
        <w:tc>
          <w:tcPr>
            <w:tcW w:w="3708" w:type="dxa"/>
            <w:tcBorders>
              <w:left w:val="single" w:sz="4" w:space="0" w:color="FFFFFF" w:themeColor="background1"/>
              <w:right w:val="single" w:sz="4" w:space="0" w:color="FFFFFF" w:themeColor="background1"/>
            </w:tcBorders>
          </w:tcPr>
          <w:p w14:paraId="06415E07"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14C0F7A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tc>
        <w:tc>
          <w:tcPr>
            <w:tcW w:w="5862" w:type="dxa"/>
            <w:gridSpan w:val="2"/>
            <w:tcBorders>
              <w:left w:val="single" w:sz="4" w:space="0" w:color="FFFFFF" w:themeColor="background1"/>
              <w:right w:val="single" w:sz="4" w:space="0" w:color="FFFFFF" w:themeColor="background1"/>
            </w:tcBorders>
          </w:tcPr>
          <w:p w14:paraId="49E8A11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Discharged patients only;  mean and median days</w:t>
            </w:r>
          </w:p>
          <w:p w14:paraId="4AD24159" w14:textId="1FC2013D"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discharged patients who moved to either a lower or same/ higher level of security</w:t>
            </w:r>
          </w:p>
        </w:tc>
      </w:tr>
      <w:tr w:rsidR="00841348" w:rsidRPr="00522CD2" w14:paraId="3ABA3026" w14:textId="77777777" w:rsidTr="006A50DE">
        <w:trPr>
          <w:trHeight w:val="1053"/>
        </w:trPr>
        <w:tc>
          <w:tcPr>
            <w:tcW w:w="2399" w:type="dxa"/>
            <w:tcBorders>
              <w:left w:val="single" w:sz="4" w:space="0" w:color="FFFFFF" w:themeColor="background1"/>
              <w:right w:val="single" w:sz="4" w:space="0" w:color="FFFFFF" w:themeColor="background1"/>
            </w:tcBorders>
          </w:tcPr>
          <w:p w14:paraId="4F24DE84" w14:textId="2592751A"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 xml:space="preserve">Alexander et al. (2012) </w:t>
            </w:r>
            <w:r w:rsidR="00042C50"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"10.1080/14789949.2012.694462", "ISSN" : "1478-9949", "abstract" : "Within secure intellectual disability services, the prevalence of personality disorders is around 50%. Few studies have systematically examined how patients with both intellectual disability and personality disorders (the ID-PD group) differ from either those with a intellectual disability alone (the ID group) or those with a personality disorder alone (the PD group). The study groups were drawn from a database of 1182 discharges from secure hospital services in the UK and were compared on a number of pre and post treatment variables. Findings suggest that within the secure hospital system, those with intellectual disability alone and personality disorder alone are strikingly distinct on most of the examined parameters. The ID-PD group had higher scores on the PCL:SV and the HCR-20 than both the ID group and the PD group. In terms of outcomes, this group appeared to follow a path closer to those with intellectual disability.\\nWithin secure intellectual disability services, the prevalence of personality disorders is around 50%. Few studies have systematically examined how patients with both intellectual disability and personality disorders (the ID-PD group) differ from either those with a intellectual disability alone (the ID group) or those with a personality disorder alone (the PD group). The study groups were drawn from a database of 1182 discharges from secure hospital services in the UK and were compared on a number of pre and post treatment variables. Findings suggest that within the secure hospital system, those with intellectual disability alone and personality disorder alone are strikingly distinct on most of the examined parameters. The ID-PD group had higher scores on the PCL:SV and the HCR-20 than both the ID group and the PD group. In terms of outcomes, this group appeared to follow a path closer to those with intellectual disability.", "author" : [ { "dropping-particle" : "", "family" : "Alexander", "given" : "Regi T.", "non-dropping-particle" : "", "parse-names" : false, "suffix" : "" }, { "dropping-particle" : "", "family" : "Chester", "given" : "Verity", "non-dropping-particle" : "", "parse-names" : false, "suffix" : "" }, { "dropping-particle" : "", "family" : "Gray", "given" : "Nicola S.", "non-dropping-particle" : "", "parse-names" : false, "suffix" : "" }, { "dropping-particle" : "", "family" : "Snowden", "given" : "Robert J.", "non-dropping-particle" : "", "parse-names" : false, "suffix" : "" } ], "container-title" : "Journal of Forensic Psychiatry &amp; Psychology", "id" : "ITEM-1", "issue" : "4", "issued" : { "date-parts" : [ [ "2012" ] ] }, "page" : "435-451", "title" : "Patients with personality disorders and intellectual disability \u2013 closer to personality disorders or intellectual disability? A three-way comparison", "type" : "article-journal", "volume" : "23" }, "uris" : [ "http://www.mendeley.com/documents/?uuid=875e8261-a7f3-4e1b-925e-2e20c0440b29" ] } ], "mendeley" : { "formattedCitation" : "(20)", "plainTextFormattedCitation" : "(20)", "previouslyFormattedCitation" : "(20)" }, "properties" : { "noteIndex" : 0 }, "schema" : "https://github.com/citation-style-language/schema/raw/master/csl-citation.json" }</w:instrText>
            </w:r>
            <w:r w:rsidR="00042C50"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(20)</w:t>
            </w:r>
            <w:r w:rsidR="00042C50" w:rsidRPr="00522CD2">
              <w:rPr>
                <w:rFonts w:cs="Arial"/>
                <w:kern w:val="28"/>
                <w:sz w:val="20"/>
                <w:szCs w:val="20"/>
                <w:lang w:val="en-CA" w:eastAsia="en-GB"/>
              </w:rPr>
              <w:fldChar w:fldCharType="end"/>
            </w:r>
          </w:p>
          <w:p w14:paraId="54795D12"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Medium secure</w:t>
            </w:r>
          </w:p>
        </w:tc>
        <w:tc>
          <w:tcPr>
            <w:tcW w:w="2385" w:type="dxa"/>
            <w:tcBorders>
              <w:left w:val="single" w:sz="4" w:space="0" w:color="FFFFFF" w:themeColor="background1"/>
              <w:right w:val="single" w:sz="4" w:space="0" w:color="FFFFFF" w:themeColor="background1"/>
            </w:tcBorders>
          </w:tcPr>
          <w:p w14:paraId="4EF463B0" w14:textId="4931171E" w:rsidR="00841348" w:rsidRPr="00522CD2" w:rsidRDefault="00841348" w:rsidP="00290AAF">
            <w:pPr>
              <w:spacing w:line="276" w:lineRule="auto"/>
              <w:rPr>
                <w:rFonts w:cs="Arial"/>
                <w:sz w:val="20"/>
                <w:szCs w:val="20"/>
              </w:rPr>
            </w:pPr>
            <w:r w:rsidRPr="00522CD2">
              <w:rPr>
                <w:rFonts w:cs="Arial"/>
                <w:sz w:val="20"/>
                <w:szCs w:val="20"/>
              </w:rPr>
              <w:t xml:space="preserve">Retrospective cohort study </w:t>
            </w:r>
          </w:p>
          <w:p w14:paraId="10A14336" w14:textId="1457855F" w:rsidR="00841348" w:rsidRPr="00522CD2" w:rsidRDefault="00920272" w:rsidP="00290AAF">
            <w:pPr>
              <w:spacing w:line="276" w:lineRule="auto"/>
              <w:rPr>
                <w:rFonts w:cs="Arial"/>
                <w:sz w:val="20"/>
                <w:szCs w:val="20"/>
              </w:rPr>
            </w:pPr>
            <w:r w:rsidRPr="00522CD2">
              <w:rPr>
                <w:rFonts w:cs="Arial"/>
                <w:sz w:val="20"/>
                <w:szCs w:val="20"/>
              </w:rPr>
              <w:t>(</w:t>
            </w:r>
            <w:r w:rsidR="00841348" w:rsidRPr="00522CD2">
              <w:rPr>
                <w:rFonts w:cs="Arial"/>
                <w:sz w:val="20"/>
                <w:szCs w:val="20"/>
              </w:rPr>
              <w:t>Discharged patients</w:t>
            </w:r>
            <w:r w:rsidRPr="00522CD2">
              <w:rPr>
                <w:rFonts w:cs="Arial"/>
                <w:sz w:val="20"/>
                <w:szCs w:val="20"/>
              </w:rPr>
              <w:t>. PD vs ID vs PD+ID)</w:t>
            </w:r>
          </w:p>
          <w:p w14:paraId="785C797F" w14:textId="77777777" w:rsidR="00920272" w:rsidRPr="00522CD2" w:rsidRDefault="00920272" w:rsidP="00290AAF">
            <w:pPr>
              <w:spacing w:line="276" w:lineRule="auto"/>
              <w:rPr>
                <w:rFonts w:cs="Arial"/>
                <w:sz w:val="20"/>
                <w:szCs w:val="20"/>
              </w:rPr>
            </w:pPr>
          </w:p>
          <w:p w14:paraId="159C3427" w14:textId="77777777" w:rsidR="00841348" w:rsidRPr="00522CD2" w:rsidRDefault="00841348" w:rsidP="00290AAF">
            <w:pPr>
              <w:spacing w:line="276" w:lineRule="auto"/>
              <w:rPr>
                <w:rFonts w:cs="Arial"/>
                <w:sz w:val="20"/>
                <w:szCs w:val="20"/>
              </w:rPr>
            </w:pPr>
            <w:r w:rsidRPr="00522CD2">
              <w:rPr>
                <w:rFonts w:cs="Arial"/>
                <w:sz w:val="20"/>
                <w:szCs w:val="20"/>
              </w:rPr>
              <w:t>Follow up: up to 9 years</w:t>
            </w:r>
          </w:p>
        </w:tc>
        <w:tc>
          <w:tcPr>
            <w:tcW w:w="1136" w:type="dxa"/>
            <w:tcBorders>
              <w:left w:val="single" w:sz="4" w:space="0" w:color="FFFFFF" w:themeColor="background1"/>
              <w:right w:val="single" w:sz="4" w:space="0" w:color="FFFFFF" w:themeColor="background1"/>
            </w:tcBorders>
          </w:tcPr>
          <w:p w14:paraId="2489853A" w14:textId="77777777" w:rsidR="00841348" w:rsidRPr="00522CD2" w:rsidRDefault="00841348" w:rsidP="00290AAF">
            <w:pPr>
              <w:spacing w:line="276" w:lineRule="auto"/>
              <w:jc w:val="center"/>
              <w:rPr>
                <w:rFonts w:cs="Arial"/>
                <w:sz w:val="20"/>
                <w:szCs w:val="20"/>
              </w:rPr>
            </w:pPr>
            <w:r w:rsidRPr="00522CD2">
              <w:rPr>
                <w:rFonts w:cs="Arial"/>
                <w:sz w:val="20"/>
                <w:szCs w:val="20"/>
              </w:rPr>
              <w:t>145</w:t>
            </w:r>
          </w:p>
        </w:tc>
        <w:tc>
          <w:tcPr>
            <w:tcW w:w="3708" w:type="dxa"/>
            <w:tcBorders>
              <w:left w:val="single" w:sz="4" w:space="0" w:color="FFFFFF" w:themeColor="background1"/>
              <w:right w:val="single" w:sz="4" w:space="0" w:color="FFFFFF" w:themeColor="background1"/>
            </w:tcBorders>
          </w:tcPr>
          <w:p w14:paraId="4AC8B95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117C26F0"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p w14:paraId="62EE8C38"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p w14:paraId="748621AC"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p w14:paraId="4EA2361F" w14:textId="77777777" w:rsidR="00223877" w:rsidRPr="00522CD2" w:rsidRDefault="00223877" w:rsidP="00386B2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52"/>
              <w:rPr>
                <w:rFonts w:cs="Arial"/>
                <w:sz w:val="20"/>
                <w:szCs w:val="20"/>
              </w:rPr>
            </w:pPr>
          </w:p>
          <w:p w14:paraId="58C6C1D0"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Time to reoffend</w:t>
            </w:r>
          </w:p>
        </w:tc>
        <w:tc>
          <w:tcPr>
            <w:tcW w:w="5862" w:type="dxa"/>
            <w:gridSpan w:val="2"/>
            <w:tcBorders>
              <w:left w:val="single" w:sz="4" w:space="0" w:color="FFFFFF" w:themeColor="background1"/>
              <w:right w:val="single" w:sz="4" w:space="0" w:color="FFFFFF" w:themeColor="background1"/>
            </w:tcBorders>
          </w:tcPr>
          <w:p w14:paraId="5C062BF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Median number of days and age on discharge</w:t>
            </w:r>
          </w:p>
          <w:p w14:paraId="73D28A8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PCL:SV pre-treatment scores (clinician rated)</w:t>
            </w:r>
          </w:p>
          <w:p w14:paraId="6F198CBF"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HCR-20 pre-treatment scores (clinician rated)</w:t>
            </w:r>
          </w:p>
          <w:p w14:paraId="423979A4"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Reconvictions at 1, 2 and 5 years follow up. Categorised as serious/violent offending (as defined by Home Office) </w:t>
            </w:r>
          </w:p>
          <w:p w14:paraId="31FC64F7"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The difference between discharge date and reconviction date for subsequent offence (median)</w:t>
            </w:r>
          </w:p>
        </w:tc>
      </w:tr>
      <w:tr w:rsidR="00841348" w:rsidRPr="00522CD2" w14:paraId="0F526696" w14:textId="77777777" w:rsidTr="006A50DE">
        <w:trPr>
          <w:trHeight w:val="257"/>
        </w:trPr>
        <w:tc>
          <w:tcPr>
            <w:tcW w:w="15490" w:type="dxa"/>
            <w:gridSpan w:val="6"/>
            <w:tcBorders>
              <w:left w:val="single" w:sz="4" w:space="0" w:color="FFFFFF" w:themeColor="background1"/>
              <w:right w:val="single" w:sz="4" w:space="0" w:color="FFFFFF" w:themeColor="background1"/>
            </w:tcBorders>
          </w:tcPr>
          <w:p w14:paraId="13D5E22C" w14:textId="154DD131" w:rsidR="00A64B27" w:rsidRPr="00522CD2" w:rsidRDefault="00841348" w:rsidP="00386B2B">
            <w:pPr>
              <w:spacing w:line="276" w:lineRule="auto"/>
              <w:rPr>
                <w:rFonts w:cs="Arial"/>
                <w:sz w:val="19"/>
                <w:szCs w:val="19"/>
              </w:rPr>
            </w:pPr>
            <w:r w:rsidRPr="00522CD2">
              <w:rPr>
                <w:rFonts w:cs="Arial"/>
                <w:i/>
                <w:sz w:val="19"/>
                <w:szCs w:val="19"/>
              </w:rPr>
              <w:t xml:space="preserve">Note. </w:t>
            </w:r>
            <w:r w:rsidR="00046078" w:rsidRPr="00522CD2">
              <w:t>¹</w:t>
            </w:r>
            <w:r w:rsidRPr="00522CD2">
              <w:rPr>
                <w:sz w:val="19"/>
                <w:szCs w:val="19"/>
              </w:rPr>
              <w:t>The sample in Alexander et al. (20</w:t>
            </w:r>
            <w:r w:rsidR="00DA49A0" w:rsidRPr="00522CD2">
              <w:rPr>
                <w:sz w:val="19"/>
                <w:szCs w:val="19"/>
              </w:rPr>
              <w:t>10</w:t>
            </w:r>
            <w:r w:rsidRPr="00522CD2">
              <w:rPr>
                <w:sz w:val="19"/>
                <w:szCs w:val="19"/>
              </w:rPr>
              <w:t>) overlaps with that of Alexander et al., (</w:t>
            </w:r>
            <w:r w:rsidR="00D3043C" w:rsidRPr="00522CD2">
              <w:rPr>
                <w:sz w:val="19"/>
                <w:szCs w:val="19"/>
              </w:rPr>
              <w:t xml:space="preserve">2011; </w:t>
            </w:r>
            <w:r w:rsidRPr="00522CD2">
              <w:rPr>
                <w:sz w:val="19"/>
                <w:szCs w:val="19"/>
              </w:rPr>
              <w:t>2015)</w:t>
            </w:r>
            <w:r w:rsidR="00DA49A0" w:rsidRPr="00522CD2">
              <w:rPr>
                <w:sz w:val="19"/>
                <w:szCs w:val="19"/>
              </w:rPr>
              <w:t xml:space="preserve"> and </w:t>
            </w:r>
            <w:r w:rsidRPr="00522CD2">
              <w:rPr>
                <w:sz w:val="19"/>
                <w:szCs w:val="19"/>
              </w:rPr>
              <w:t xml:space="preserve">Esan et al. (2015). </w:t>
            </w:r>
            <w:r w:rsidRPr="00522CD2">
              <w:rPr>
                <w:rFonts w:cs="Arial"/>
                <w:sz w:val="19"/>
                <w:szCs w:val="19"/>
              </w:rPr>
              <w:t xml:space="preserve">CPA = </w:t>
            </w:r>
            <w:r w:rsidR="00920272" w:rsidRPr="00522CD2">
              <w:rPr>
                <w:rFonts w:cs="Arial"/>
                <w:sz w:val="19"/>
                <w:szCs w:val="19"/>
              </w:rPr>
              <w:t>Care Programme Approach; MHA = Mental Health Act; MH = mental health; CGIS = Clinical Global Impressions Scale; PCL: SV = Psychopathy Checklist: Screening V</w:t>
            </w:r>
            <w:r w:rsidRPr="00522CD2">
              <w:rPr>
                <w:rFonts w:cs="Arial"/>
                <w:sz w:val="19"/>
                <w:szCs w:val="19"/>
              </w:rPr>
              <w:t xml:space="preserve">ersion; HCR-20 = </w:t>
            </w:r>
            <w:r w:rsidR="00920272" w:rsidRPr="00522CD2">
              <w:rPr>
                <w:rFonts w:cs="Arial"/>
                <w:sz w:val="19"/>
                <w:szCs w:val="19"/>
              </w:rPr>
              <w:t>Historical, Clinical, Risk M</w:t>
            </w:r>
            <w:r w:rsidRPr="00522CD2">
              <w:rPr>
                <w:rFonts w:cs="Arial"/>
                <w:sz w:val="19"/>
                <w:szCs w:val="19"/>
              </w:rPr>
              <w:t>anagement</w:t>
            </w:r>
            <w:r w:rsidR="00FE66B0" w:rsidRPr="00522CD2">
              <w:rPr>
                <w:rFonts w:cs="Arial"/>
                <w:sz w:val="19"/>
                <w:szCs w:val="19"/>
              </w:rPr>
              <w:t>-20</w:t>
            </w:r>
            <w:r w:rsidRPr="00522CD2">
              <w:rPr>
                <w:rFonts w:cs="Arial"/>
                <w:sz w:val="19"/>
                <w:szCs w:val="19"/>
              </w:rPr>
              <w:t>.</w:t>
            </w:r>
          </w:p>
        </w:tc>
      </w:tr>
      <w:tr w:rsidR="00841348" w:rsidRPr="00522CD2" w14:paraId="5BC819F2" w14:textId="77777777" w:rsidTr="006A50DE">
        <w:trPr>
          <w:trHeight w:val="95"/>
        </w:trPr>
        <w:tc>
          <w:tcPr>
            <w:tcW w:w="15490" w:type="dxa"/>
            <w:gridSpan w:val="6"/>
            <w:tcBorders>
              <w:top w:val="single" w:sz="4" w:space="0" w:color="FFFFFF" w:themeColor="background1"/>
              <w:left w:val="single" w:sz="4" w:space="0" w:color="FFFFFF" w:themeColor="background1"/>
              <w:right w:val="single" w:sz="4" w:space="0" w:color="FFFFFF" w:themeColor="background1"/>
            </w:tcBorders>
          </w:tcPr>
          <w:p w14:paraId="67364F99" w14:textId="77777777" w:rsidR="00841348" w:rsidRPr="00522CD2" w:rsidRDefault="00841348" w:rsidP="00290AAF">
            <w:pPr>
              <w:spacing w:line="276" w:lineRule="auto"/>
              <w:rPr>
                <w:rFonts w:cs="Arial"/>
                <w:sz w:val="20"/>
                <w:szCs w:val="20"/>
              </w:rPr>
            </w:pPr>
            <w:r w:rsidRPr="00522CD2">
              <w:rPr>
                <w:rFonts w:cs="Arial"/>
                <w:b/>
                <w:sz w:val="18"/>
                <w:szCs w:val="20"/>
              </w:rPr>
              <w:t xml:space="preserve">Table </w:t>
            </w:r>
            <w:r w:rsidR="00C717E1" w:rsidRPr="00522CD2">
              <w:rPr>
                <w:rFonts w:cs="Arial"/>
                <w:b/>
                <w:sz w:val="18"/>
                <w:szCs w:val="20"/>
              </w:rPr>
              <w:t>1</w:t>
            </w:r>
            <w:r w:rsidRPr="00522CD2">
              <w:rPr>
                <w:rFonts w:cs="Arial"/>
                <w:b/>
                <w:sz w:val="18"/>
                <w:szCs w:val="20"/>
              </w:rPr>
              <w:t xml:space="preserve">. </w:t>
            </w:r>
            <w:r w:rsidRPr="00522CD2">
              <w:rPr>
                <w:rFonts w:cs="Arial"/>
                <w:sz w:val="20"/>
                <w:szCs w:val="20"/>
              </w:rPr>
              <w:t xml:space="preserve"> continued</w:t>
            </w:r>
          </w:p>
          <w:p w14:paraId="299888E2" w14:textId="77777777" w:rsidR="00841348" w:rsidRPr="00522CD2" w:rsidRDefault="00841348" w:rsidP="00290AAF">
            <w:pPr>
              <w:spacing w:line="276" w:lineRule="auto"/>
              <w:rPr>
                <w:rFonts w:cs="Arial"/>
                <w:sz w:val="18"/>
                <w:szCs w:val="20"/>
              </w:rPr>
            </w:pPr>
            <w:r w:rsidRPr="00522CD2">
              <w:rPr>
                <w:rFonts w:cs="Arial"/>
                <w:sz w:val="20"/>
                <w:szCs w:val="20"/>
              </w:rPr>
              <w:t>Summary of studies presenting data on the outcome domain of effectiveness (cohort studies).</w:t>
            </w:r>
          </w:p>
        </w:tc>
      </w:tr>
      <w:tr w:rsidR="00841348" w:rsidRPr="00522CD2" w14:paraId="6A0AEA6C" w14:textId="77777777" w:rsidTr="006A50DE">
        <w:trPr>
          <w:trHeight w:val="340"/>
        </w:trPr>
        <w:tc>
          <w:tcPr>
            <w:tcW w:w="2399" w:type="dxa"/>
            <w:tcBorders>
              <w:left w:val="single" w:sz="4" w:space="0" w:color="FFFFFF" w:themeColor="background1"/>
              <w:right w:val="single" w:sz="4" w:space="0" w:color="FFFFFF" w:themeColor="background1"/>
            </w:tcBorders>
          </w:tcPr>
          <w:p w14:paraId="26983C92" w14:textId="77777777" w:rsidR="00841348" w:rsidRPr="00522CD2" w:rsidRDefault="00841348" w:rsidP="00290AAF">
            <w:pPr>
              <w:jc w:val="center"/>
              <w:rPr>
                <w:rFonts w:cs="Arial"/>
                <w:b/>
                <w:sz w:val="20"/>
                <w:szCs w:val="20"/>
              </w:rPr>
            </w:pPr>
            <w:r w:rsidRPr="00522CD2">
              <w:rPr>
                <w:rFonts w:cs="Arial"/>
                <w:b/>
                <w:sz w:val="20"/>
                <w:szCs w:val="20"/>
              </w:rPr>
              <w:t>Study and Setting</w:t>
            </w:r>
          </w:p>
        </w:tc>
        <w:tc>
          <w:tcPr>
            <w:tcW w:w="2385" w:type="dxa"/>
            <w:tcBorders>
              <w:left w:val="single" w:sz="4" w:space="0" w:color="FFFFFF" w:themeColor="background1"/>
              <w:right w:val="single" w:sz="4" w:space="0" w:color="FFFFFF" w:themeColor="background1"/>
            </w:tcBorders>
          </w:tcPr>
          <w:p w14:paraId="395876D8" w14:textId="77777777" w:rsidR="00841348" w:rsidRPr="00522CD2" w:rsidRDefault="00841348" w:rsidP="00290AAF">
            <w:pPr>
              <w:jc w:val="center"/>
              <w:rPr>
                <w:rFonts w:cs="Arial"/>
                <w:b/>
                <w:sz w:val="20"/>
                <w:szCs w:val="20"/>
              </w:rPr>
            </w:pPr>
            <w:r w:rsidRPr="00522CD2">
              <w:rPr>
                <w:rFonts w:cs="Arial"/>
                <w:b/>
                <w:sz w:val="20"/>
                <w:szCs w:val="20"/>
              </w:rPr>
              <w:t>Design</w:t>
            </w:r>
          </w:p>
        </w:tc>
        <w:tc>
          <w:tcPr>
            <w:tcW w:w="1136" w:type="dxa"/>
            <w:tcBorders>
              <w:left w:val="single" w:sz="4" w:space="0" w:color="FFFFFF" w:themeColor="background1"/>
              <w:right w:val="single" w:sz="4" w:space="0" w:color="FFFFFF" w:themeColor="background1"/>
            </w:tcBorders>
          </w:tcPr>
          <w:p w14:paraId="11D41317" w14:textId="77777777" w:rsidR="00841348" w:rsidRPr="00522CD2" w:rsidRDefault="00841348" w:rsidP="00290AAF">
            <w:pPr>
              <w:jc w:val="center"/>
              <w:rPr>
                <w:rFonts w:cs="Arial"/>
                <w:b/>
                <w:sz w:val="20"/>
                <w:szCs w:val="20"/>
              </w:rPr>
            </w:pPr>
            <w:r w:rsidRPr="00522CD2">
              <w:rPr>
                <w:rFonts w:cs="Arial"/>
                <w:b/>
                <w:sz w:val="20"/>
                <w:szCs w:val="20"/>
              </w:rPr>
              <w:t>N</w:t>
            </w:r>
          </w:p>
        </w:tc>
        <w:tc>
          <w:tcPr>
            <w:tcW w:w="3708" w:type="dxa"/>
            <w:tcBorders>
              <w:left w:val="single" w:sz="4" w:space="0" w:color="FFFFFF" w:themeColor="background1"/>
              <w:right w:val="single" w:sz="4" w:space="0" w:color="FFFFFF" w:themeColor="background1"/>
            </w:tcBorders>
          </w:tcPr>
          <w:p w14:paraId="0FED0BEF" w14:textId="77777777" w:rsidR="00841348" w:rsidRPr="00522CD2" w:rsidRDefault="00841348" w:rsidP="00290AAF">
            <w:pPr>
              <w:jc w:val="center"/>
              <w:rPr>
                <w:rFonts w:cs="Arial"/>
                <w:b/>
                <w:sz w:val="20"/>
                <w:szCs w:val="20"/>
              </w:rPr>
            </w:pPr>
            <w:r w:rsidRPr="00522CD2">
              <w:rPr>
                <w:rFonts w:cs="Arial"/>
                <w:b/>
                <w:sz w:val="20"/>
                <w:szCs w:val="20"/>
              </w:rPr>
              <w:t>Outcome Sub-Domain</w:t>
            </w:r>
          </w:p>
        </w:tc>
        <w:tc>
          <w:tcPr>
            <w:tcW w:w="5862" w:type="dxa"/>
            <w:gridSpan w:val="2"/>
            <w:tcBorders>
              <w:left w:val="single" w:sz="4" w:space="0" w:color="FFFFFF" w:themeColor="background1"/>
              <w:right w:val="single" w:sz="4" w:space="0" w:color="FFFFFF" w:themeColor="background1"/>
            </w:tcBorders>
          </w:tcPr>
          <w:p w14:paraId="13EF9A9B" w14:textId="77777777" w:rsidR="00841348" w:rsidRPr="00522CD2" w:rsidRDefault="00841348" w:rsidP="00290AAF">
            <w:pPr>
              <w:jc w:val="center"/>
              <w:rPr>
                <w:rFonts w:cs="Arial"/>
                <w:b/>
                <w:sz w:val="20"/>
                <w:szCs w:val="20"/>
              </w:rPr>
            </w:pPr>
            <w:r w:rsidRPr="00522CD2">
              <w:rPr>
                <w:rFonts w:cs="Arial"/>
                <w:b/>
                <w:sz w:val="20"/>
                <w:szCs w:val="20"/>
              </w:rPr>
              <w:t>Measure/Indicator</w:t>
            </w:r>
          </w:p>
        </w:tc>
      </w:tr>
      <w:tr w:rsidR="00841348" w:rsidRPr="00522CD2" w14:paraId="67116A63" w14:textId="77777777" w:rsidTr="006A50DE">
        <w:trPr>
          <w:trHeight w:val="700"/>
        </w:trPr>
        <w:tc>
          <w:tcPr>
            <w:tcW w:w="2399" w:type="dxa"/>
            <w:tcBorders>
              <w:left w:val="single" w:sz="4" w:space="0" w:color="FFFFFF" w:themeColor="background1"/>
              <w:right w:val="single" w:sz="4" w:space="0" w:color="FFFFFF" w:themeColor="background1"/>
            </w:tcBorders>
          </w:tcPr>
          <w:p w14:paraId="3FD02154" w14:textId="0F386958" w:rsidR="00841348" w:rsidRPr="00522CD2" w:rsidRDefault="00841348" w:rsidP="00290AAF">
            <w:pPr>
              <w:spacing w:line="276" w:lineRule="auto"/>
              <w:rPr>
                <w:rFonts w:cs="Arial"/>
                <w:sz w:val="20"/>
                <w:szCs w:val="20"/>
              </w:rPr>
            </w:pPr>
            <w:r w:rsidRPr="00522CD2">
              <w:rPr>
                <w:rFonts w:cs="Arial"/>
                <w:sz w:val="20"/>
                <w:szCs w:val="20"/>
              </w:rPr>
              <w:t>Ayres &amp; Roy (2009)</w:t>
            </w:r>
            <w:r w:rsidR="00042C50" w:rsidRPr="00522CD2">
              <w:rPr>
                <w:rFonts w:cs="Arial"/>
                <w:sz w:val="20"/>
                <w:szCs w:val="20"/>
              </w:rPr>
              <w:t xml:space="preserve"> </w:t>
            </w:r>
            <w:r w:rsidR="00042C50" w:rsidRPr="00522CD2">
              <w:rPr>
                <w:rFonts w:cs="Arial"/>
                <w:sz w:val="20"/>
                <w:szCs w:val="20"/>
              </w:rPr>
              <w:fldChar w:fldCharType="begin" w:fldLock="1"/>
            </w:r>
            <w:r w:rsidR="00E353A8" w:rsidRPr="00522CD2">
              <w:rPr>
                <w:rFonts w:cs="Arial"/>
                <w:sz w:val="20"/>
                <w:szCs w:val="20"/>
              </w:rPr>
              <w:instrText>ADDIN CSL_CITATION { "citationItems" : [ { "id" : "ITEM-1", "itemData" : { "abstract" : "This paper reports on the development and service delivery of the Supported Living Outreach Team for people with severe psychiatric, behavioural and forensic needs in a city with a population of 1.1 million. The authors discuss the reasons why the team was formed, and the partnerships it has formed with local housing and care providers in order to enable people with very complex needs to lead ordinary lives in their local communities. The pathway of team involvement is described, starting with the initial assessment, setting up and monitoring of new schemes, through to discharge. Also described are the measures the team uses to monitor its effectiveness, the benefits the team has brought to the service, and the hurdles and barriers it has had to overcome on its journey to support people with complex needs to live safely in their local communities.", "author" : [ { "dropping-particle" : "", "family" : "Ayres", "given" : "Martin", "non-dropping-particle" : "", "parse-names" : false, "suffix" : "" }, { "dropping-particle" : "", "family" : "Roy", "given" : "Ashok", "non-dropping-particle" : "", "parse-names" : false, "suffix" : "" } ], "container-title" : "Tizard Learning Disability Review", "id" : "ITEM-1", "issue" : "1", "issued" : { "date-parts" : [ [ "2013" ] ] }, "page" : "29-39", "publisher" : "Emerald Group Publishing Limited", "title" : "Supporting people with complex mental health needs to get a life! The role of the Supported Living Outreach Team", "type" : "article-journal", "volume" : "14" }, "uris" : [ "http://www.mendeley.com/documents/?uuid=e8c39f68-cd1a-3c78-afba-b2db815babd6" ] } ], "mendeley" : { "formattedCitation" : "(39)", "plainTextFormattedCitation" : "(39)", "previouslyFormattedCitation" : "(39)" }, "properties" : { "noteIndex" : 0 }, "schema" : "https://github.com/citation-style-language/schema/raw/master/csl-citation.json" }</w:instrText>
            </w:r>
            <w:r w:rsidR="00042C50" w:rsidRPr="00522CD2">
              <w:rPr>
                <w:rFonts w:cs="Arial"/>
                <w:sz w:val="20"/>
                <w:szCs w:val="20"/>
              </w:rPr>
              <w:fldChar w:fldCharType="separate"/>
            </w:r>
            <w:r w:rsidR="00E353A8" w:rsidRPr="00522CD2">
              <w:rPr>
                <w:rFonts w:cs="Arial"/>
                <w:noProof/>
                <w:sz w:val="20"/>
                <w:szCs w:val="20"/>
              </w:rPr>
              <w:t>(39)</w:t>
            </w:r>
            <w:r w:rsidR="00042C50" w:rsidRPr="00522CD2">
              <w:rPr>
                <w:rFonts w:cs="Arial"/>
                <w:sz w:val="20"/>
                <w:szCs w:val="20"/>
              </w:rPr>
              <w:fldChar w:fldCharType="end"/>
            </w:r>
          </w:p>
          <w:p w14:paraId="2E9B632A" w14:textId="77777777" w:rsidR="00841348" w:rsidRPr="00522CD2" w:rsidRDefault="00841348" w:rsidP="00290AAF">
            <w:pPr>
              <w:spacing w:line="276" w:lineRule="auto"/>
              <w:rPr>
                <w:rFonts w:cs="Arial"/>
                <w:sz w:val="20"/>
                <w:szCs w:val="20"/>
              </w:rPr>
            </w:pPr>
            <w:r w:rsidRPr="00522CD2">
              <w:rPr>
                <w:rFonts w:cs="Arial"/>
                <w:sz w:val="20"/>
                <w:szCs w:val="20"/>
              </w:rPr>
              <w:t>Community</w:t>
            </w:r>
          </w:p>
          <w:p w14:paraId="1A381F52" w14:textId="77777777" w:rsidR="00841348" w:rsidRPr="00522CD2" w:rsidRDefault="00841348" w:rsidP="00290AAF">
            <w:pPr>
              <w:spacing w:line="276" w:lineRule="auto"/>
              <w:rPr>
                <w:rFonts w:cs="Arial"/>
                <w:sz w:val="20"/>
                <w:szCs w:val="20"/>
              </w:rPr>
            </w:pPr>
          </w:p>
        </w:tc>
        <w:tc>
          <w:tcPr>
            <w:tcW w:w="2385" w:type="dxa"/>
            <w:tcBorders>
              <w:left w:val="single" w:sz="4" w:space="0" w:color="FFFFFF" w:themeColor="background1"/>
              <w:right w:val="single" w:sz="4" w:space="0" w:color="FFFFFF" w:themeColor="background1"/>
            </w:tcBorders>
          </w:tcPr>
          <w:p w14:paraId="76165731" w14:textId="7B50BFB9" w:rsidR="00841348" w:rsidRPr="00522CD2" w:rsidRDefault="00841348" w:rsidP="00290AAF">
            <w:pPr>
              <w:spacing w:line="276" w:lineRule="auto"/>
              <w:rPr>
                <w:rFonts w:cs="Arial"/>
                <w:sz w:val="20"/>
                <w:szCs w:val="20"/>
              </w:rPr>
            </w:pPr>
            <w:r w:rsidRPr="00522CD2">
              <w:rPr>
                <w:rFonts w:cs="Arial"/>
                <w:sz w:val="20"/>
                <w:szCs w:val="20"/>
              </w:rPr>
              <w:t>Case serie</w:t>
            </w:r>
            <w:r w:rsidR="00A64B27" w:rsidRPr="00522CD2">
              <w:rPr>
                <w:rFonts w:cs="Arial"/>
                <w:sz w:val="20"/>
                <w:szCs w:val="20"/>
              </w:rPr>
              <w:t>s</w:t>
            </w:r>
          </w:p>
          <w:p w14:paraId="3686C9E2" w14:textId="0ED7054D" w:rsidR="003002B9" w:rsidRPr="00522CD2" w:rsidRDefault="003002B9" w:rsidP="00290AAF">
            <w:pPr>
              <w:spacing w:line="276" w:lineRule="auto"/>
              <w:rPr>
                <w:rFonts w:cs="Arial"/>
                <w:sz w:val="20"/>
                <w:szCs w:val="20"/>
              </w:rPr>
            </w:pPr>
            <w:r w:rsidRPr="00522CD2">
              <w:rPr>
                <w:rFonts w:cs="Arial"/>
                <w:sz w:val="20"/>
                <w:szCs w:val="20"/>
              </w:rPr>
              <w:t>(70% male)</w:t>
            </w:r>
          </w:p>
          <w:p w14:paraId="521BDACD" w14:textId="6F159718" w:rsidR="00841348" w:rsidRPr="00522CD2" w:rsidRDefault="003002B9" w:rsidP="00290AAF">
            <w:pPr>
              <w:spacing w:line="276" w:lineRule="auto"/>
              <w:rPr>
                <w:rFonts w:cs="Arial"/>
                <w:sz w:val="20"/>
                <w:szCs w:val="20"/>
              </w:rPr>
            </w:pPr>
            <w:r w:rsidRPr="00522CD2">
              <w:rPr>
                <w:rFonts w:cs="Arial"/>
                <w:sz w:val="20"/>
                <w:szCs w:val="20"/>
              </w:rPr>
              <w:t>Follow up: up to 3 years</w:t>
            </w:r>
          </w:p>
        </w:tc>
        <w:tc>
          <w:tcPr>
            <w:tcW w:w="1136" w:type="dxa"/>
            <w:tcBorders>
              <w:left w:val="single" w:sz="4" w:space="0" w:color="FFFFFF" w:themeColor="background1"/>
              <w:right w:val="single" w:sz="4" w:space="0" w:color="FFFFFF" w:themeColor="background1"/>
            </w:tcBorders>
          </w:tcPr>
          <w:p w14:paraId="11A5C8CF" w14:textId="77777777" w:rsidR="00841348" w:rsidRPr="00522CD2" w:rsidRDefault="00841348" w:rsidP="00290AAF">
            <w:pPr>
              <w:spacing w:line="276" w:lineRule="auto"/>
              <w:jc w:val="center"/>
              <w:rPr>
                <w:rFonts w:cs="Arial"/>
                <w:sz w:val="20"/>
                <w:szCs w:val="20"/>
              </w:rPr>
            </w:pPr>
            <w:r w:rsidRPr="00522CD2">
              <w:rPr>
                <w:rFonts w:cs="Arial"/>
                <w:sz w:val="20"/>
                <w:szCs w:val="20"/>
              </w:rPr>
              <w:t>26</w:t>
            </w:r>
          </w:p>
          <w:p w14:paraId="20157AFA" w14:textId="2A5268AF" w:rsidR="00841348" w:rsidRPr="00522CD2" w:rsidRDefault="00841348" w:rsidP="00290AAF">
            <w:pPr>
              <w:spacing w:line="276" w:lineRule="auto"/>
              <w:jc w:val="center"/>
              <w:rPr>
                <w:rFonts w:cs="Arial"/>
                <w:sz w:val="20"/>
                <w:szCs w:val="20"/>
              </w:rPr>
            </w:pPr>
          </w:p>
        </w:tc>
        <w:tc>
          <w:tcPr>
            <w:tcW w:w="3708" w:type="dxa"/>
            <w:tcBorders>
              <w:left w:val="single" w:sz="4" w:space="0" w:color="FFFFFF" w:themeColor="background1"/>
              <w:right w:val="single" w:sz="4" w:space="0" w:color="FFFFFF" w:themeColor="background1"/>
            </w:tcBorders>
          </w:tcPr>
          <w:p w14:paraId="731B9120"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Cost</w:t>
            </w:r>
          </w:p>
          <w:p w14:paraId="039B5D55" w14:textId="77777777" w:rsidR="00841348" w:rsidRPr="00522CD2" w:rsidRDefault="00841348" w:rsidP="00290AAF">
            <w:pPr>
              <w:spacing w:line="276" w:lineRule="auto"/>
              <w:ind w:left="252"/>
              <w:rPr>
                <w:rFonts w:cs="Arial"/>
                <w:sz w:val="20"/>
                <w:szCs w:val="20"/>
              </w:rPr>
            </w:pPr>
          </w:p>
          <w:p w14:paraId="7A583E26"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Level of support</w:t>
            </w:r>
          </w:p>
        </w:tc>
        <w:tc>
          <w:tcPr>
            <w:tcW w:w="5862" w:type="dxa"/>
            <w:gridSpan w:val="2"/>
            <w:tcBorders>
              <w:left w:val="single" w:sz="4" w:space="0" w:color="FFFFFF" w:themeColor="background1"/>
              <w:right w:val="single" w:sz="4" w:space="0" w:color="FFFFFF" w:themeColor="background1"/>
            </w:tcBorders>
          </w:tcPr>
          <w:p w14:paraId="2655217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Average saving cost per patient (based on hourly rate of support) and for the service over 3 years</w:t>
            </w:r>
          </w:p>
          <w:p w14:paraId="2AF13D7A"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Hours per annum providing both direct /indirect support </w:t>
            </w:r>
          </w:p>
          <w:p w14:paraId="03D03F1A" w14:textId="77777777" w:rsidR="00841348" w:rsidRPr="00522CD2" w:rsidRDefault="00841348" w:rsidP="00290AAF">
            <w:pPr>
              <w:spacing w:line="276" w:lineRule="auto"/>
              <w:ind w:left="252"/>
              <w:rPr>
                <w:rFonts w:cs="Arial"/>
                <w:sz w:val="20"/>
                <w:szCs w:val="20"/>
              </w:rPr>
            </w:pPr>
          </w:p>
        </w:tc>
      </w:tr>
      <w:tr w:rsidR="00841348" w:rsidRPr="00522CD2" w14:paraId="524DD3E7" w14:textId="77777777" w:rsidTr="006A50DE">
        <w:trPr>
          <w:trHeight w:val="1053"/>
        </w:trPr>
        <w:tc>
          <w:tcPr>
            <w:tcW w:w="2399" w:type="dxa"/>
            <w:tcBorders>
              <w:left w:val="single" w:sz="4" w:space="0" w:color="FFFFFF" w:themeColor="background1"/>
              <w:right w:val="single" w:sz="4" w:space="0" w:color="FFFFFF" w:themeColor="background1"/>
            </w:tcBorders>
          </w:tcPr>
          <w:p w14:paraId="222B3CAC" w14:textId="06A851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Barron et al. (2004)</w:t>
            </w:r>
            <w:r w:rsidR="00042C50" w:rsidRPr="00522CD2">
              <w:rPr>
                <w:rFonts w:cs="Arial"/>
                <w:kern w:val="28"/>
                <w:sz w:val="20"/>
                <w:szCs w:val="20"/>
                <w:lang w:val="en-CA" w:eastAsia="en-GB"/>
              </w:rPr>
              <w:t xml:space="preserve"> </w:t>
            </w:r>
            <w:r w:rsidR="00042C50"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"ISSN" : "0964-2633", "PMID" : "14675234", "abstract" : "BACKGROUND Intellectually disabled offenders (IDO) are a poorly served and under-recognized group, who are likely to require long-term specialist treatments and interventions. METHOD This prospective study investigated the characteristics and factors that influence outcome in this group, with particular reference to therapeutic interventions. Sixty-one individuals were identified from contact with either (1) specialist health and social services for people with intellectual disability (ID) or (2) nonspecialist services in the criminal justice or (forensic) mental health/social service systems. The participants were assessed at baseline and after a mean of 10 months in order to compare recidivism rates and the impact of therapeutic interventions. RESULTS The findings suggest that IDO start offending at an early age, that they frequently have a history of multiple offences, and that sex offending and arson are over-represented offence types. Those participants recruited from nonspecialist ID services had significantly higher IQs and were less likely to have had contact with community social and health support agencies. Despite the high rates of psychopathology, there was little evidence for efficacy of therapeutic interventions, which, where offered, appeared to be of a nonspecific nature. At second interview, approximately half of the sample had re-offended.", "author" : [ { "dropping-particle" : "", "family" : "Barron", "given" : "P", "non-dropping-particle" : "", "parse-names" : false, "suffix" : "" }, { "dropping-particle" : "", "family" : "Hassiotis", "given" : "A", "non-dropping-particle" : "", "parse-names" : false, "suffix" : "" }, { "dropping-particle" : "", "family" : "Banes", "given" : "J", "non-dropping-particle" : "", "parse-names" : false, "suffix" : "" } ], "container-title" : "Journal of intellectual disability research : JIDR", "id" : "ITEM-1", "issue" : "1", "issued" : { "date-parts" : [ [ "2004", "1" ] ] }, "page" : "69-76", "title" : "Offenders with intellectual disability: a prospective comparative study.", "type" : "article-journal", "volume" : "48" }, "uris" : [ "http://www.mendeley.com/documents/?uuid=4bcb2a0e-9d1d-316e-8b4d-de2255922bcc" ] } ], "mendeley" : { "formattedCitation" : "(40)", "plainTextFormattedCitation" : "(40)", "previouslyFormattedCitation" : "(40)" }, "properties" : { "noteIndex" : 0 }, "schema" : "https://github.com/citation-style-language/schema/raw/master/csl-citation.json" }</w:instrText>
            </w:r>
            <w:r w:rsidR="00042C50"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(40)</w:t>
            </w:r>
            <w:r w:rsidR="00042C50" w:rsidRPr="00522CD2">
              <w:rPr>
                <w:rFonts w:cs="Arial"/>
                <w:kern w:val="28"/>
                <w:sz w:val="20"/>
                <w:szCs w:val="20"/>
                <w:lang w:val="en-CA" w:eastAsia="en-GB"/>
              </w:rPr>
              <w:fldChar w:fldCharType="end"/>
            </w:r>
          </w:p>
          <w:p w14:paraId="6FC34AC1"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Community</w:t>
            </w:r>
          </w:p>
        </w:tc>
        <w:tc>
          <w:tcPr>
            <w:tcW w:w="2385" w:type="dxa"/>
            <w:tcBorders>
              <w:left w:val="single" w:sz="4" w:space="0" w:color="FFFFFF" w:themeColor="background1"/>
              <w:right w:val="single" w:sz="4" w:space="0" w:color="FFFFFF" w:themeColor="background1"/>
            </w:tcBorders>
          </w:tcPr>
          <w:p w14:paraId="3217B7C3" w14:textId="63D816A3" w:rsidR="00841348" w:rsidRPr="00522CD2" w:rsidRDefault="00841348" w:rsidP="00290AAF">
            <w:pPr>
              <w:spacing w:line="276" w:lineRule="auto"/>
              <w:rPr>
                <w:rFonts w:cs="Arial"/>
                <w:sz w:val="20"/>
                <w:szCs w:val="20"/>
              </w:rPr>
            </w:pPr>
            <w:r w:rsidRPr="00522CD2">
              <w:rPr>
                <w:rFonts w:cs="Arial"/>
                <w:sz w:val="20"/>
                <w:szCs w:val="20"/>
              </w:rPr>
              <w:t>Cohort Study</w:t>
            </w:r>
          </w:p>
          <w:p w14:paraId="52F1922C" w14:textId="77777777" w:rsidR="00841348" w:rsidRPr="00522CD2" w:rsidRDefault="00841348" w:rsidP="00290AAF">
            <w:pPr>
              <w:spacing w:line="276" w:lineRule="auto"/>
              <w:rPr>
                <w:rFonts w:cs="Arial"/>
                <w:sz w:val="20"/>
                <w:szCs w:val="20"/>
              </w:rPr>
            </w:pPr>
            <w:r w:rsidRPr="00522CD2">
              <w:rPr>
                <w:rFonts w:cs="Arial"/>
                <w:sz w:val="20"/>
                <w:szCs w:val="20"/>
              </w:rPr>
              <w:t>Follow-up: 9.5 months average</w:t>
            </w:r>
          </w:p>
        </w:tc>
        <w:tc>
          <w:tcPr>
            <w:tcW w:w="1136" w:type="dxa"/>
            <w:tcBorders>
              <w:left w:val="single" w:sz="4" w:space="0" w:color="FFFFFF" w:themeColor="background1"/>
              <w:right w:val="single" w:sz="4" w:space="0" w:color="FFFFFF" w:themeColor="background1"/>
            </w:tcBorders>
          </w:tcPr>
          <w:p w14:paraId="18819620" w14:textId="77777777" w:rsidR="00841348" w:rsidRPr="00522CD2" w:rsidRDefault="00841348" w:rsidP="00290AAF">
            <w:pPr>
              <w:spacing w:line="276" w:lineRule="auto"/>
              <w:jc w:val="center"/>
              <w:rPr>
                <w:rFonts w:cs="Arial"/>
                <w:sz w:val="20"/>
                <w:szCs w:val="20"/>
              </w:rPr>
            </w:pPr>
            <w:r w:rsidRPr="00522CD2">
              <w:rPr>
                <w:rFonts w:cs="Arial"/>
                <w:sz w:val="20"/>
                <w:szCs w:val="20"/>
              </w:rPr>
              <w:t>61</w:t>
            </w:r>
          </w:p>
        </w:tc>
        <w:tc>
          <w:tcPr>
            <w:tcW w:w="3708" w:type="dxa"/>
            <w:tcBorders>
              <w:left w:val="single" w:sz="4" w:space="0" w:color="FFFFFF" w:themeColor="background1"/>
              <w:right w:val="single" w:sz="4" w:space="0" w:color="FFFFFF" w:themeColor="background1"/>
            </w:tcBorders>
          </w:tcPr>
          <w:p w14:paraId="3E6911E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p w14:paraId="5FE1BC2A"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Treatment engagement</w:t>
            </w:r>
          </w:p>
          <w:p w14:paraId="71FC75E4"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p w14:paraId="7D439579" w14:textId="77777777" w:rsidR="00841348" w:rsidRPr="00522CD2" w:rsidRDefault="00841348" w:rsidP="00290AAF">
            <w:pPr>
              <w:spacing w:line="276" w:lineRule="auto"/>
              <w:ind w:left="252"/>
              <w:rPr>
                <w:rFonts w:cs="Arial"/>
                <w:sz w:val="20"/>
                <w:szCs w:val="20"/>
              </w:rPr>
            </w:pPr>
          </w:p>
          <w:p w14:paraId="24CA47A8" w14:textId="7D4F874A" w:rsidR="00841348" w:rsidRPr="00522CD2" w:rsidRDefault="00920272"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‘Offending</w:t>
            </w:r>
            <w:r w:rsidR="00841348" w:rsidRPr="00522CD2">
              <w:rPr>
                <w:rFonts w:cs="Arial"/>
                <w:sz w:val="20"/>
                <w:szCs w:val="20"/>
              </w:rPr>
              <w:t>-like</w:t>
            </w:r>
            <w:r w:rsidRPr="00522CD2">
              <w:rPr>
                <w:rFonts w:cs="Arial"/>
                <w:sz w:val="20"/>
                <w:szCs w:val="20"/>
              </w:rPr>
              <w:t>’</w:t>
            </w:r>
            <w:r w:rsidR="00841348" w:rsidRPr="00522CD2">
              <w:rPr>
                <w:rFonts w:cs="Arial"/>
                <w:sz w:val="20"/>
                <w:szCs w:val="20"/>
              </w:rPr>
              <w:t xml:space="preserve"> </w:t>
            </w:r>
            <w:r w:rsidR="00B801DD" w:rsidRPr="00522CD2">
              <w:rPr>
                <w:rFonts w:cs="Arial"/>
                <w:sz w:val="20"/>
                <w:szCs w:val="20"/>
              </w:rPr>
              <w:t>behavior</w:t>
            </w:r>
          </w:p>
        </w:tc>
        <w:tc>
          <w:tcPr>
            <w:tcW w:w="5862" w:type="dxa"/>
            <w:gridSpan w:val="2"/>
            <w:tcBorders>
              <w:left w:val="single" w:sz="4" w:space="0" w:color="FFFFFF" w:themeColor="background1"/>
              <w:right w:val="single" w:sz="4" w:space="0" w:color="FFFFFF" w:themeColor="background1"/>
            </w:tcBorders>
          </w:tcPr>
          <w:p w14:paraId="7F2BC5E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ABC and Mini PAS-ADD (clinician rated)</w:t>
            </w:r>
          </w:p>
          <w:p w14:paraId="4D533E60"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Categorised treatment use and % with history of service use </w:t>
            </w:r>
          </w:p>
          <w:p w14:paraId="0D8CC99C"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who reoffended; mean number of offences per patient</w:t>
            </w:r>
          </w:p>
          <w:p w14:paraId="6D1F2C40"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Telephone call with carers regarding police contact </w:t>
            </w:r>
          </w:p>
          <w:p w14:paraId="5FF1977F" w14:textId="77777777" w:rsidR="00841348" w:rsidRPr="00522CD2" w:rsidRDefault="00841348" w:rsidP="00290AAF">
            <w:pPr>
              <w:spacing w:line="276" w:lineRule="auto"/>
              <w:ind w:left="252"/>
              <w:rPr>
                <w:rFonts w:cs="Arial"/>
                <w:sz w:val="20"/>
                <w:szCs w:val="20"/>
              </w:rPr>
            </w:pPr>
          </w:p>
        </w:tc>
      </w:tr>
      <w:tr w:rsidR="00841348" w:rsidRPr="00522CD2" w14:paraId="2F2BC637" w14:textId="77777777" w:rsidTr="006A50DE">
        <w:trPr>
          <w:trHeight w:val="700"/>
        </w:trPr>
        <w:tc>
          <w:tcPr>
            <w:tcW w:w="2399" w:type="dxa"/>
            <w:tcBorders>
              <w:left w:val="single" w:sz="4" w:space="0" w:color="FFFFFF" w:themeColor="background1"/>
              <w:right w:val="single" w:sz="4" w:space="0" w:color="FFFFFF" w:themeColor="background1"/>
            </w:tcBorders>
          </w:tcPr>
          <w:p w14:paraId="0EC72CEC" w14:textId="2D6F5CE0" w:rsidR="00841348" w:rsidRPr="00522CD2" w:rsidRDefault="00841348" w:rsidP="00290AAF">
            <w:pPr>
              <w:autoSpaceDE w:val="0"/>
              <w:autoSpaceDN w:val="0"/>
              <w:adjustRightInd w:val="0"/>
              <w:spacing w:line="276" w:lineRule="auto"/>
              <w:rPr>
                <w:rFonts w:cs="Arial"/>
                <w:sz w:val="20"/>
                <w:szCs w:val="20"/>
                <w:lang w:eastAsia="en-GB"/>
              </w:rPr>
            </w:pPr>
            <w:r w:rsidRPr="00522CD2">
              <w:rPr>
                <w:rFonts w:cs="Arial"/>
                <w:sz w:val="20"/>
                <w:szCs w:val="20"/>
                <w:lang w:eastAsia="en-GB"/>
              </w:rPr>
              <w:t>Benton &amp; Roy (2008)</w:t>
            </w:r>
            <w:r w:rsidR="00042C50" w:rsidRPr="00522CD2">
              <w:rPr>
                <w:rFonts w:cs="Arial"/>
                <w:sz w:val="20"/>
                <w:szCs w:val="20"/>
                <w:lang w:eastAsia="en-GB"/>
              </w:rPr>
              <w:t xml:space="preserve"> </w:t>
            </w:r>
            <w:r w:rsidR="00046078" w:rsidRPr="00522CD2">
              <w:rPr>
                <w:rFonts w:cs="Arial"/>
                <w:sz w:val="20"/>
                <w:szCs w:val="20"/>
                <w:lang w:eastAsia="en-GB"/>
              </w:rPr>
              <w:fldChar w:fldCharType="begin" w:fldLock="1"/>
            </w:r>
            <w:r w:rsidR="00E353A8" w:rsidRPr="00522CD2">
              <w:rPr>
                <w:rFonts w:cs="Arial"/>
                <w:sz w:val="20"/>
                <w:szCs w:val="20"/>
                <w:lang w:eastAsia="en-GB"/>
              </w:rPr>
              <w:instrText>ADDIN CSL_CITATION { "citationItems" : [ { "id" : "ITEM-1", "itemData" : { "DOI" : "10.1108/14636646200800008", "ISBN" : "1463-6646", "ISSN" : "1463-6646", "abstract" : "This paper reports on the first three years of a community forensic team in Birmingham working with individuals with learning disabilities who have offended or are at risk of doing so. Using an interprofessional model, the team provided assessment, intervention and management, enabling individuals to live in the least restrictive environment. There were 113 referrals, the majority (94%) of whom were males. Only 26 had been convicted. The problems this raised for the team are discussed, along with the cost?effectiveness, impact on admission rates and benefits of providing such a service. Two case scenarios are presented to highlight some of the issues encountered by the team. The paper supports the development of such services.", "author" : [ { "dropping-particle" : "", "family" : "Benton", "given" : "Carl", "non-dropping-particle" : "", "parse-names" : false, "suffix" : "" }, { "dropping-particle" : "", "family" : "Roy", "given" : "Ashok", "non-dropping-particle" : "", "parse-names" : false, "suffix" : "" } ], "container-title" : "The British Journal of Forensic Practice", "id" : "ITEM-1", "issue" : "2", "issued" : { "date-parts" : [ [ "2006" ] ] }, "page" : "4-12", "publisher" : "Emerald Group Publishing Limited", "title" : "The first three years of a community forensic service for people with a learning disability", "type" : "article-journal", "volume" : "10" }, "uris" : [ "http://www.mendeley.com/documents/?uuid=337356bd-fd96-3a65-b3a9-97418829f7cc" ] } ], "mendeley" : { "formattedCitation" : "(41)", "plainTextFormattedCitation" : "(41)", "previouslyFormattedCitation" : "(41)" }, "properties" : { "noteIndex" : 0 }, "schema" : "https://github.com/citation-style-language/schema/raw/master/csl-citation.json" }</w:instrText>
            </w:r>
            <w:r w:rsidR="00046078" w:rsidRPr="00522CD2">
              <w:rPr>
                <w:rFonts w:cs="Arial"/>
                <w:sz w:val="20"/>
                <w:szCs w:val="20"/>
                <w:lang w:eastAsia="en-GB"/>
              </w:rPr>
              <w:fldChar w:fldCharType="separate"/>
            </w:r>
            <w:r w:rsidR="00E353A8" w:rsidRPr="00522CD2">
              <w:rPr>
                <w:rFonts w:cs="Arial"/>
                <w:noProof/>
                <w:sz w:val="20"/>
                <w:szCs w:val="20"/>
                <w:lang w:eastAsia="en-GB"/>
              </w:rPr>
              <w:t>(41)</w:t>
            </w:r>
            <w:r w:rsidR="00046078" w:rsidRPr="00522CD2">
              <w:rPr>
                <w:rFonts w:cs="Arial"/>
                <w:sz w:val="20"/>
                <w:szCs w:val="20"/>
                <w:lang w:eastAsia="en-GB"/>
              </w:rPr>
              <w:fldChar w:fldCharType="end"/>
            </w:r>
          </w:p>
          <w:p w14:paraId="0A1311B6" w14:textId="77777777" w:rsidR="00841348" w:rsidRPr="00522CD2" w:rsidRDefault="00841348" w:rsidP="00290AAF">
            <w:pPr>
              <w:autoSpaceDE w:val="0"/>
              <w:autoSpaceDN w:val="0"/>
              <w:adjustRightInd w:val="0"/>
              <w:spacing w:line="276" w:lineRule="auto"/>
              <w:rPr>
                <w:rFonts w:cs="Arial"/>
                <w:bCs/>
                <w:sz w:val="20"/>
                <w:szCs w:val="20"/>
                <w:lang w:eastAsia="en-GB"/>
              </w:rPr>
            </w:pPr>
            <w:r w:rsidRPr="00522CD2">
              <w:rPr>
                <w:rFonts w:cs="Arial"/>
                <w:sz w:val="20"/>
                <w:szCs w:val="20"/>
                <w:lang w:eastAsia="en-GB"/>
              </w:rPr>
              <w:t>Community</w:t>
            </w:r>
          </w:p>
        </w:tc>
        <w:tc>
          <w:tcPr>
            <w:tcW w:w="2385" w:type="dxa"/>
            <w:tcBorders>
              <w:left w:val="single" w:sz="4" w:space="0" w:color="FFFFFF" w:themeColor="background1"/>
              <w:right w:val="single" w:sz="4" w:space="0" w:color="FFFFFF" w:themeColor="background1"/>
            </w:tcBorders>
          </w:tcPr>
          <w:p w14:paraId="189B1A88" w14:textId="73E963EC" w:rsidR="00841348" w:rsidRPr="00522CD2" w:rsidRDefault="00841348" w:rsidP="00290AAF">
            <w:pPr>
              <w:spacing w:line="276" w:lineRule="auto"/>
              <w:rPr>
                <w:rFonts w:cs="Arial"/>
                <w:sz w:val="20"/>
                <w:szCs w:val="20"/>
              </w:rPr>
            </w:pPr>
            <w:r w:rsidRPr="00522CD2">
              <w:rPr>
                <w:rFonts w:cs="Arial"/>
                <w:sz w:val="20"/>
                <w:szCs w:val="20"/>
              </w:rPr>
              <w:t>Cohort Study</w:t>
            </w:r>
          </w:p>
          <w:p w14:paraId="11559BB7" w14:textId="77777777" w:rsidR="00841348" w:rsidRPr="00522CD2" w:rsidRDefault="00841348" w:rsidP="00290AAF">
            <w:pPr>
              <w:spacing w:line="276" w:lineRule="auto"/>
              <w:rPr>
                <w:rFonts w:cs="Arial"/>
                <w:sz w:val="20"/>
                <w:szCs w:val="20"/>
              </w:rPr>
            </w:pPr>
            <w:r w:rsidRPr="00522CD2">
              <w:rPr>
                <w:rFonts w:cs="Arial"/>
                <w:sz w:val="20"/>
                <w:szCs w:val="20"/>
              </w:rPr>
              <w:t>Follow up: up to 3 years</w:t>
            </w:r>
          </w:p>
        </w:tc>
        <w:tc>
          <w:tcPr>
            <w:tcW w:w="1136" w:type="dxa"/>
            <w:tcBorders>
              <w:left w:val="single" w:sz="4" w:space="0" w:color="FFFFFF" w:themeColor="background1"/>
              <w:right w:val="single" w:sz="4" w:space="0" w:color="FFFFFF" w:themeColor="background1"/>
            </w:tcBorders>
          </w:tcPr>
          <w:p w14:paraId="1C4379D3" w14:textId="77777777" w:rsidR="00841348" w:rsidRPr="00522CD2" w:rsidRDefault="00841348" w:rsidP="00290AAF">
            <w:pPr>
              <w:spacing w:line="276" w:lineRule="auto"/>
              <w:jc w:val="center"/>
              <w:rPr>
                <w:rFonts w:cs="Arial"/>
                <w:sz w:val="20"/>
                <w:szCs w:val="20"/>
              </w:rPr>
            </w:pPr>
            <w:r w:rsidRPr="00522CD2">
              <w:rPr>
                <w:rFonts w:cs="Arial"/>
                <w:sz w:val="20"/>
                <w:szCs w:val="20"/>
              </w:rPr>
              <w:t>113</w:t>
            </w:r>
          </w:p>
        </w:tc>
        <w:tc>
          <w:tcPr>
            <w:tcW w:w="3708" w:type="dxa"/>
            <w:tcBorders>
              <w:left w:val="single" w:sz="4" w:space="0" w:color="FFFFFF" w:themeColor="background1"/>
              <w:right w:val="single" w:sz="4" w:space="0" w:color="FFFFFF" w:themeColor="background1"/>
            </w:tcBorders>
          </w:tcPr>
          <w:p w14:paraId="63A54BEC"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p w14:paraId="575E8662"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p w14:paraId="60563BC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p w14:paraId="67407438"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Prevention of inpatient admissions</w:t>
            </w:r>
          </w:p>
        </w:tc>
        <w:tc>
          <w:tcPr>
            <w:tcW w:w="5862" w:type="dxa"/>
            <w:gridSpan w:val="2"/>
            <w:tcBorders>
              <w:left w:val="single" w:sz="4" w:space="0" w:color="FFFFFF" w:themeColor="background1"/>
              <w:right w:val="single" w:sz="4" w:space="0" w:color="FFFFFF" w:themeColor="background1"/>
            </w:tcBorders>
          </w:tcPr>
          <w:p w14:paraId="2EB77F42"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arrested, reconvicted and cases dropped</w:t>
            </w:r>
          </w:p>
          <w:p w14:paraId="5099C49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Level security/type of placement at discharge </w:t>
            </w:r>
          </w:p>
          <w:p w14:paraId="3616D45B"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referrals discharged</w:t>
            </w:r>
          </w:p>
          <w:p w14:paraId="24DD6D32"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whose inpatient admission was prevented via community treatment</w:t>
            </w:r>
          </w:p>
          <w:p w14:paraId="5DB2CB3D" w14:textId="77777777" w:rsidR="00991F00" w:rsidRPr="00522CD2" w:rsidRDefault="00991F00" w:rsidP="00290AAF">
            <w:pPr>
              <w:spacing w:line="276" w:lineRule="auto"/>
              <w:rPr>
                <w:rFonts w:cs="Arial"/>
                <w:sz w:val="20"/>
                <w:szCs w:val="20"/>
              </w:rPr>
            </w:pPr>
          </w:p>
        </w:tc>
      </w:tr>
      <w:tr w:rsidR="00841348" w:rsidRPr="00522CD2" w14:paraId="279097A5" w14:textId="77777777" w:rsidTr="006A50DE">
        <w:trPr>
          <w:trHeight w:val="700"/>
        </w:trPr>
        <w:tc>
          <w:tcPr>
            <w:tcW w:w="2399" w:type="dxa"/>
            <w:tcBorders>
              <w:left w:val="single" w:sz="4" w:space="0" w:color="FFFFFF" w:themeColor="background1"/>
              <w:right w:val="single" w:sz="4" w:space="0" w:color="FFFFFF" w:themeColor="background1"/>
            </w:tcBorders>
          </w:tcPr>
          <w:p w14:paraId="3D600AC4" w14:textId="310ED81F"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 xml:space="preserve">Butwell et al. (2000) </w:t>
            </w:r>
            <w:r w:rsidR="00046078"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"10.1192/bjp.176.3.260", "ISSN" : "0007-1250", "PMID" : "10755074", "abstract" : "BACKGROUND It has been argued that many patients in special hospital beds do not need to be there. In the 1990s there were initiatives to discharge women and people with learning difficulties. AIMS To test for trends in special hospital discharges and to examine annual resident cohorts. METHOD This study was from case registers and hospital records. The main measures were numbers and annual rates for referrals and beds offered; the Mental Health Act 1983 (MHA) classification of mental disorder; adjusted population rates by region; admission episodes; legal category of detention; admission source and type of offence. RESULTS The median annual number of residents was 1859 (range 1697-1910), with an 8% fall for the period. This particularly affected people in mental impairment categories. Numbers were sustained in the male mental illness groups. Discharges, mainly to other institutions, increased. There was no overall change over the 10 years in length of stay for treatment, but successive admission cohorts from 1986 did show some reduction, even with solely remand order cases excluded. CONCLUSIONS Service planners need a longitudinal perspective on service use. Trends over 10 years to both fewer admissions and more discharges have reduced the special hospital population, but despite new treatments for schizophrenia, men under mental illness classification, as well as transfer from other secure settings, have gone against this trend.", "author" : [ { "dropping-particle" : "", "family" : "Butwell", "given" : "M", "non-dropping-particle" : "", "parse-names" : false, "suffix" : "" }, { "dropping-particle" : "", "family" : "Jamieson", "given" : "E", "non-dropping-particle" : "", "parse-names" : false, "suffix" : "" }, { "dropping-particle" : "", "family" : "Leese", "given" : "M", "non-dropping-particle" : "", "parse-names" : false, "suffix" : "" }, { "dropping-particle" : "", "family" : "Taylor", "given" : "P", "non-dropping-particle" : "", "parse-names" : false, "suffix" : "" } ], "container-title" : "The British journal of psychiatry : the journal of mental science", "id" : "ITEM-1", "issue" : "3", "issued" : { "date-parts" : [ [ "2000", "3" ] ] }, "page" : "260-5", "publisher" : "The Royal College of Psychiatrists", "title" : "Trends in special (high-security) hospitals. 2: Residency and discharge episodes, 1986-1995.", "type" : "article-journal", "volume" : "176" }, "uris" : [ "http://www.mendeley.com/documents/?uuid=78e97946-86c5-3f9b-a15d-f4c7d4685386" ] } ], "mendeley" : { "formattedCitation" : "(42)", "plainTextFormattedCitation" : "(42)", "previouslyFormattedCitation" : "(42)" }, "properties" : { "noteIndex" : 0 }, "schema" : "https://github.com/citation-style-language/schema/raw/master/csl-citation.json" }</w:instrText>
            </w:r>
            <w:r w:rsidR="00046078"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(42)</w:t>
            </w:r>
            <w:r w:rsidR="00046078" w:rsidRPr="00522CD2">
              <w:rPr>
                <w:rFonts w:cs="Arial"/>
                <w:kern w:val="28"/>
                <w:sz w:val="20"/>
                <w:szCs w:val="20"/>
                <w:lang w:val="en-CA" w:eastAsia="en-GB"/>
              </w:rPr>
              <w:fldChar w:fldCharType="end"/>
            </w:r>
          </w:p>
          <w:p w14:paraId="2889D26D"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High secure</w:t>
            </w:r>
          </w:p>
          <w:p w14:paraId="4A5A758A"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p>
          <w:p w14:paraId="0B5C1616"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p>
        </w:tc>
        <w:tc>
          <w:tcPr>
            <w:tcW w:w="2385" w:type="dxa"/>
            <w:tcBorders>
              <w:left w:val="single" w:sz="4" w:space="0" w:color="FFFFFF" w:themeColor="background1"/>
              <w:right w:val="single" w:sz="4" w:space="0" w:color="FFFFFF" w:themeColor="background1"/>
            </w:tcBorders>
          </w:tcPr>
          <w:p w14:paraId="66C8137F" w14:textId="5BAB4679" w:rsidR="00841348" w:rsidRPr="00522CD2" w:rsidRDefault="00841348" w:rsidP="00290AAF">
            <w:pPr>
              <w:spacing w:line="276" w:lineRule="auto"/>
              <w:rPr>
                <w:rFonts w:cs="Arial"/>
                <w:sz w:val="20"/>
                <w:szCs w:val="20"/>
              </w:rPr>
            </w:pPr>
            <w:r w:rsidRPr="00522CD2">
              <w:rPr>
                <w:rFonts w:cs="Arial"/>
                <w:sz w:val="20"/>
                <w:szCs w:val="20"/>
              </w:rPr>
              <w:t>Cohort Study</w:t>
            </w:r>
          </w:p>
          <w:p w14:paraId="24A0D03F" w14:textId="77777777" w:rsidR="00841348" w:rsidRPr="00522CD2" w:rsidRDefault="00841348" w:rsidP="00290AAF">
            <w:pPr>
              <w:spacing w:line="276" w:lineRule="auto"/>
              <w:rPr>
                <w:rFonts w:cs="Arial"/>
                <w:sz w:val="20"/>
                <w:szCs w:val="20"/>
              </w:rPr>
            </w:pPr>
            <w:r w:rsidRPr="00522CD2">
              <w:rPr>
                <w:rFonts w:cs="Arial"/>
                <w:sz w:val="20"/>
                <w:szCs w:val="20"/>
              </w:rPr>
              <w:t>Follow up: 10 years</w:t>
            </w:r>
          </w:p>
        </w:tc>
        <w:tc>
          <w:tcPr>
            <w:tcW w:w="1136" w:type="dxa"/>
            <w:tcBorders>
              <w:left w:val="single" w:sz="4" w:space="0" w:color="FFFFFF" w:themeColor="background1"/>
              <w:right w:val="single" w:sz="4" w:space="0" w:color="FFFFFF" w:themeColor="background1"/>
            </w:tcBorders>
          </w:tcPr>
          <w:p w14:paraId="4861C3F3" w14:textId="77777777" w:rsidR="00841348" w:rsidRPr="00522CD2" w:rsidRDefault="00841348" w:rsidP="00290AAF">
            <w:pPr>
              <w:spacing w:line="276" w:lineRule="auto"/>
              <w:jc w:val="center"/>
              <w:rPr>
                <w:rFonts w:cs="Arial"/>
                <w:sz w:val="20"/>
                <w:szCs w:val="20"/>
              </w:rPr>
            </w:pPr>
            <w:r w:rsidRPr="00522CD2">
              <w:rPr>
                <w:rFonts w:cs="Arial"/>
                <w:sz w:val="20"/>
                <w:szCs w:val="20"/>
              </w:rPr>
              <w:t>Up to 278</w:t>
            </w:r>
          </w:p>
        </w:tc>
        <w:tc>
          <w:tcPr>
            <w:tcW w:w="3708" w:type="dxa"/>
            <w:tcBorders>
              <w:left w:val="single" w:sz="4" w:space="0" w:color="FFFFFF" w:themeColor="background1"/>
              <w:right w:val="single" w:sz="4" w:space="0" w:color="FFFFFF" w:themeColor="background1"/>
            </w:tcBorders>
          </w:tcPr>
          <w:p w14:paraId="69A70A8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484CDC27"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tc>
        <w:tc>
          <w:tcPr>
            <w:tcW w:w="5862" w:type="dxa"/>
            <w:gridSpan w:val="2"/>
            <w:tcBorders>
              <w:left w:val="single" w:sz="4" w:space="0" w:color="FFFFFF" w:themeColor="background1"/>
              <w:right w:val="single" w:sz="4" w:space="0" w:color="FFFFFF" w:themeColor="background1"/>
            </w:tcBorders>
          </w:tcPr>
          <w:p w14:paraId="47A69398"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Median and mean years, calculated per episode</w:t>
            </w:r>
          </w:p>
          <w:p w14:paraId="5C78F660"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Level security/type of placement at discharge</w:t>
            </w:r>
          </w:p>
        </w:tc>
      </w:tr>
      <w:tr w:rsidR="00841348" w:rsidRPr="00522CD2" w14:paraId="71D57CE2" w14:textId="77777777" w:rsidTr="006A50DE">
        <w:trPr>
          <w:trHeight w:val="2225"/>
        </w:trPr>
        <w:tc>
          <w:tcPr>
            <w:tcW w:w="2399" w:type="dxa"/>
            <w:tcBorders>
              <w:left w:val="single" w:sz="4" w:space="0" w:color="FFFFFF" w:themeColor="background1"/>
              <w:right w:val="single" w:sz="4" w:space="0" w:color="FFFFFF" w:themeColor="background1"/>
            </w:tcBorders>
          </w:tcPr>
          <w:p w14:paraId="71165574" w14:textId="0A766AB2"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 xml:space="preserve">Day (1988) </w:t>
            </w:r>
            <w:r w:rsidR="00046078"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"10.1192/bjp.153.5.635", "ISSN" : "0007-1250", "PMID" : "2855609", "abstract" : "The paper describes a special hospital-based treatment programme for male mentally handicapped offenders, comprising a package of practical and personal skills training coupled with a socialisation programme based on token-economy strategies within a controlled and structured environment. Twenty patients admitted to the programme and followed up after discharge for an average of 3.3 years were studied in detail. All had committed serious or persistent offences and showed a high level of psychosocial pathology. A good or fair response to the treatment programme was made by 85%, and 65% were judged well adjusted or reasonably well adjusted at last follow-up contact. A good outcome was associated with more than two years' in-patient care, a good response to the treatment programme and stable residential placement, regular occupation and regular supervision and support in the community. Offenders against the person (sex and assault) had a better prognosis than and showed other interesting differences from property offenders (property and arson).", "author" : [ { "dropping-particle" : "", "family" : "Day", "given" : "K", "non-dropping-particle" : "", "parse-names" : false, "suffix" : "" } ], "container-title" : "The British journal of psychiatry : the journal of mental science", "id" : "ITEM-1", "issue" : "5", "issued" : { "date-parts" : [ [ "1988", "11" ] ] }, "page" : "635-44", "publisher" : "The Royal College of Psychiatrists", "title" : "A hospital-based treatment programme for male mentally handicapped offenders.", "type" : "article-journal", "volume" : "153" }, "uris" : [ "http://www.mendeley.com/documents/?uuid=3286093f-e3fa-374d-8a9a-5d1b091ea4f7" ] } ], "mendeley" : { "formattedCitation" : "(43)", "plainTextFormattedCitation" : "(43)", "previouslyFormattedCitation" : "(43)" }, "properties" : { "noteIndex" : 0 }, "schema" : "https://github.com/citation-style-language/schema/raw/master/csl-citation.json" }</w:instrText>
            </w:r>
            <w:r w:rsidR="00046078"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(43)</w:t>
            </w:r>
            <w:r w:rsidR="00046078" w:rsidRPr="00522CD2">
              <w:rPr>
                <w:rFonts w:cs="Arial"/>
                <w:kern w:val="28"/>
                <w:sz w:val="20"/>
                <w:szCs w:val="20"/>
                <w:lang w:val="en-CA" w:eastAsia="en-GB"/>
              </w:rPr>
              <w:fldChar w:fldCharType="end"/>
            </w:r>
          </w:p>
          <w:p w14:paraId="00D92C0B"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Medium secure</w:t>
            </w:r>
          </w:p>
        </w:tc>
        <w:tc>
          <w:tcPr>
            <w:tcW w:w="2385" w:type="dxa"/>
            <w:tcBorders>
              <w:left w:val="single" w:sz="4" w:space="0" w:color="FFFFFF" w:themeColor="background1"/>
              <w:right w:val="single" w:sz="4" w:space="0" w:color="FFFFFF" w:themeColor="background1"/>
            </w:tcBorders>
          </w:tcPr>
          <w:p w14:paraId="267B60DD" w14:textId="54BB85F8" w:rsidR="00841348" w:rsidRPr="00522CD2" w:rsidRDefault="00841348" w:rsidP="00290AAF">
            <w:pPr>
              <w:spacing w:line="276" w:lineRule="auto"/>
              <w:rPr>
                <w:rFonts w:cs="Arial"/>
                <w:sz w:val="20"/>
                <w:szCs w:val="20"/>
              </w:rPr>
            </w:pPr>
            <w:r w:rsidRPr="00522CD2">
              <w:rPr>
                <w:rFonts w:cs="Arial"/>
                <w:sz w:val="20"/>
                <w:szCs w:val="20"/>
              </w:rPr>
              <w:t>Cohort study</w:t>
            </w:r>
          </w:p>
          <w:p w14:paraId="663FC0F8" w14:textId="77777777" w:rsidR="00841348" w:rsidRPr="00522CD2" w:rsidRDefault="00841348" w:rsidP="00290AAF">
            <w:pPr>
              <w:spacing w:line="276" w:lineRule="auto"/>
              <w:rPr>
                <w:rFonts w:cs="Arial"/>
                <w:sz w:val="20"/>
                <w:szCs w:val="20"/>
              </w:rPr>
            </w:pPr>
            <w:r w:rsidRPr="00522CD2">
              <w:rPr>
                <w:rFonts w:cs="Arial"/>
                <w:sz w:val="20"/>
                <w:szCs w:val="20"/>
              </w:rPr>
              <w:t>Follow-up: 3 years</w:t>
            </w:r>
          </w:p>
        </w:tc>
        <w:tc>
          <w:tcPr>
            <w:tcW w:w="1136" w:type="dxa"/>
            <w:tcBorders>
              <w:left w:val="single" w:sz="4" w:space="0" w:color="FFFFFF" w:themeColor="background1"/>
              <w:right w:val="single" w:sz="4" w:space="0" w:color="FFFFFF" w:themeColor="background1"/>
            </w:tcBorders>
          </w:tcPr>
          <w:p w14:paraId="36DAE8C3" w14:textId="77777777" w:rsidR="00841348" w:rsidRPr="00522CD2" w:rsidRDefault="00841348" w:rsidP="00290AAF">
            <w:pPr>
              <w:spacing w:line="276" w:lineRule="auto"/>
              <w:jc w:val="center"/>
              <w:rPr>
                <w:rFonts w:cs="Arial"/>
                <w:sz w:val="20"/>
                <w:szCs w:val="20"/>
              </w:rPr>
            </w:pPr>
            <w:r w:rsidRPr="00522CD2">
              <w:rPr>
                <w:rFonts w:cs="Arial"/>
                <w:sz w:val="20"/>
                <w:szCs w:val="20"/>
              </w:rPr>
              <w:t>20</w:t>
            </w:r>
          </w:p>
        </w:tc>
        <w:tc>
          <w:tcPr>
            <w:tcW w:w="3708" w:type="dxa"/>
            <w:tcBorders>
              <w:left w:val="single" w:sz="4" w:space="0" w:color="FFFFFF" w:themeColor="background1"/>
              <w:right w:val="single" w:sz="4" w:space="0" w:color="FFFFFF" w:themeColor="background1"/>
            </w:tcBorders>
          </w:tcPr>
          <w:p w14:paraId="072049F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7CC293B8"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Treatment response</w:t>
            </w:r>
          </w:p>
          <w:p w14:paraId="4FA9F7DF" w14:textId="77777777" w:rsidR="00841348" w:rsidRPr="00522CD2" w:rsidRDefault="00841348" w:rsidP="00290AAF">
            <w:pPr>
              <w:spacing w:line="276" w:lineRule="auto"/>
              <w:rPr>
                <w:rFonts w:cs="Arial"/>
                <w:sz w:val="20"/>
                <w:szCs w:val="20"/>
              </w:rPr>
            </w:pPr>
          </w:p>
          <w:p w14:paraId="469713E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p w14:paraId="2CE47D36"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p w14:paraId="54A43BBC" w14:textId="77777777" w:rsidR="00841348" w:rsidRPr="00522CD2" w:rsidRDefault="00841348" w:rsidP="00290AAF">
            <w:pPr>
              <w:spacing w:line="276" w:lineRule="auto"/>
              <w:ind w:left="252"/>
              <w:rPr>
                <w:rFonts w:cs="Arial"/>
                <w:sz w:val="20"/>
                <w:szCs w:val="20"/>
              </w:rPr>
            </w:pPr>
          </w:p>
          <w:p w14:paraId="3B948133"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Readmission</w:t>
            </w:r>
          </w:p>
          <w:p w14:paraId="4B2D5C9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tc>
        <w:tc>
          <w:tcPr>
            <w:tcW w:w="5862" w:type="dxa"/>
            <w:gridSpan w:val="2"/>
            <w:tcBorders>
              <w:left w:val="single" w:sz="4" w:space="0" w:color="FFFFFF" w:themeColor="background1"/>
              <w:right w:val="single" w:sz="4" w:space="0" w:color="FFFFFF" w:themeColor="background1"/>
            </w:tcBorders>
          </w:tcPr>
          <w:p w14:paraId="2644F4C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number of months</w:t>
            </w:r>
          </w:p>
          <w:p w14:paraId="3E6E4DE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Categorised as either good (settled and co-operative), fair (continuing lesser problems) or poor (severe problems). </w:t>
            </w:r>
          </w:p>
          <w:p w14:paraId="28B077AF"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discharged to rehab villa, community or hostel.</w:t>
            </w:r>
          </w:p>
          <w:p w14:paraId="14EC2E5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Level of adjustment at follow up, based on personal knowledge, hospital notes and liaison with involved agencies</w:t>
            </w:r>
          </w:p>
          <w:p w14:paraId="43BAC188"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readmitted to the same unit</w:t>
            </w:r>
          </w:p>
          <w:p w14:paraId="6E9F56E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who reoffended or returned to prison</w:t>
            </w:r>
          </w:p>
        </w:tc>
      </w:tr>
      <w:tr w:rsidR="00841348" w:rsidRPr="00522CD2" w14:paraId="70CA8941" w14:textId="77777777" w:rsidTr="006A50DE">
        <w:trPr>
          <w:trHeight w:val="337"/>
        </w:trPr>
        <w:tc>
          <w:tcPr>
            <w:tcW w:w="15490" w:type="dxa"/>
            <w:gridSpan w:val="6"/>
            <w:tcBorders>
              <w:left w:val="single" w:sz="4" w:space="0" w:color="FFFFFF" w:themeColor="background1"/>
              <w:right w:val="single" w:sz="4" w:space="0" w:color="FFFFFF" w:themeColor="background1"/>
            </w:tcBorders>
          </w:tcPr>
          <w:p w14:paraId="2624E74F" w14:textId="7C0018F8" w:rsidR="00841348" w:rsidRPr="00522CD2" w:rsidRDefault="00841348" w:rsidP="00290AAF">
            <w:pPr>
              <w:spacing w:line="276" w:lineRule="auto"/>
              <w:ind w:left="284"/>
              <w:rPr>
                <w:rFonts w:cs="Arial"/>
                <w:sz w:val="20"/>
                <w:szCs w:val="20"/>
              </w:rPr>
            </w:pPr>
            <w:r w:rsidRPr="00522CD2">
              <w:rPr>
                <w:rFonts w:cs="Arial"/>
                <w:i/>
                <w:sz w:val="20"/>
                <w:szCs w:val="20"/>
              </w:rPr>
              <w:t>Note.</w:t>
            </w:r>
            <w:r w:rsidR="00920272" w:rsidRPr="00522CD2">
              <w:rPr>
                <w:rFonts w:cs="Arial"/>
                <w:sz w:val="20"/>
                <w:szCs w:val="20"/>
              </w:rPr>
              <w:t xml:space="preserve"> ABC = Aberrant Behaviour Checklist; Mini PAS-ADD = M</w:t>
            </w:r>
            <w:r w:rsidRPr="00522CD2">
              <w:rPr>
                <w:rFonts w:cs="Arial"/>
                <w:sz w:val="20"/>
                <w:szCs w:val="20"/>
              </w:rPr>
              <w:t>ini</w:t>
            </w:r>
            <w:r w:rsidRPr="00522CD2">
              <w:rPr>
                <w:rFonts w:cs="Arial"/>
                <w:color w:val="4D4D4D"/>
                <w:sz w:val="20"/>
                <w:szCs w:val="20"/>
                <w:shd w:val="clear" w:color="auto" w:fill="FFFFFF"/>
              </w:rPr>
              <w:t xml:space="preserve"> </w:t>
            </w:r>
            <w:r w:rsidR="00920272" w:rsidRPr="00522CD2">
              <w:rPr>
                <w:rFonts w:cs="Arial"/>
                <w:sz w:val="20"/>
                <w:szCs w:val="20"/>
              </w:rPr>
              <w:t>Psychiatric Assessment Schedules for Adults with Developmental D</w:t>
            </w:r>
            <w:r w:rsidRPr="00522CD2">
              <w:rPr>
                <w:rFonts w:cs="Arial"/>
                <w:sz w:val="20"/>
                <w:szCs w:val="20"/>
              </w:rPr>
              <w:t>isabilities.</w:t>
            </w:r>
          </w:p>
        </w:tc>
      </w:tr>
      <w:tr w:rsidR="00841348" w:rsidRPr="00522CD2" w14:paraId="6BD15E1B" w14:textId="77777777" w:rsidTr="006A50DE">
        <w:trPr>
          <w:trHeight w:val="274"/>
        </w:trPr>
        <w:tc>
          <w:tcPr>
            <w:tcW w:w="15490" w:type="dxa"/>
            <w:gridSpan w:val="6"/>
            <w:tcBorders>
              <w:top w:val="single" w:sz="4" w:space="0" w:color="FFFFFF" w:themeColor="background1"/>
              <w:left w:val="single" w:sz="4" w:space="0" w:color="FFFFFF" w:themeColor="background1"/>
              <w:right w:val="single" w:sz="4" w:space="0" w:color="FFFFFF" w:themeColor="background1"/>
            </w:tcBorders>
          </w:tcPr>
          <w:p w14:paraId="25006E5D" w14:textId="77777777" w:rsidR="00991F00" w:rsidRPr="00522CD2" w:rsidRDefault="00991F00" w:rsidP="00290AAF">
            <w:pPr>
              <w:spacing w:line="276" w:lineRule="auto"/>
              <w:rPr>
                <w:rFonts w:cs="Arial"/>
                <w:b/>
                <w:sz w:val="20"/>
                <w:szCs w:val="20"/>
              </w:rPr>
            </w:pPr>
          </w:p>
          <w:p w14:paraId="1C96A10E" w14:textId="77777777" w:rsidR="00841348" w:rsidRPr="00522CD2" w:rsidRDefault="00841348" w:rsidP="00290AAF">
            <w:pPr>
              <w:spacing w:line="276" w:lineRule="auto"/>
              <w:rPr>
                <w:rFonts w:cs="Arial"/>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 xml:space="preserve">. </w:t>
            </w:r>
            <w:r w:rsidRPr="00522CD2">
              <w:rPr>
                <w:rFonts w:cs="Arial"/>
                <w:sz w:val="20"/>
                <w:szCs w:val="20"/>
              </w:rPr>
              <w:t>continued</w:t>
            </w:r>
          </w:p>
          <w:p w14:paraId="59AD6390" w14:textId="77777777" w:rsidR="00841348" w:rsidRPr="00522CD2" w:rsidRDefault="00841348" w:rsidP="00290AAF">
            <w:pPr>
              <w:spacing w:line="276" w:lineRule="auto"/>
              <w:rPr>
                <w:rFonts w:cs="Arial"/>
                <w:sz w:val="20"/>
                <w:szCs w:val="20"/>
              </w:rPr>
            </w:pPr>
            <w:r w:rsidRPr="00522CD2">
              <w:rPr>
                <w:rFonts w:cs="Arial"/>
                <w:sz w:val="20"/>
                <w:szCs w:val="20"/>
              </w:rPr>
              <w:t>Summary of studies presenting data on the outcome domain of effectiveness (cohort studies).</w:t>
            </w:r>
          </w:p>
        </w:tc>
      </w:tr>
      <w:tr w:rsidR="00841348" w:rsidRPr="00522CD2" w14:paraId="451A0A89" w14:textId="77777777" w:rsidTr="006A50DE">
        <w:trPr>
          <w:trHeight w:val="340"/>
        </w:trPr>
        <w:tc>
          <w:tcPr>
            <w:tcW w:w="2399" w:type="dxa"/>
            <w:tcBorders>
              <w:left w:val="single" w:sz="4" w:space="0" w:color="FFFFFF" w:themeColor="background1"/>
              <w:right w:val="single" w:sz="4" w:space="0" w:color="FFFFFF" w:themeColor="background1"/>
            </w:tcBorders>
          </w:tcPr>
          <w:p w14:paraId="5A1426FF" w14:textId="77777777" w:rsidR="00841348" w:rsidRPr="00522CD2" w:rsidRDefault="00841348" w:rsidP="00290AAF">
            <w:pPr>
              <w:jc w:val="center"/>
              <w:rPr>
                <w:rFonts w:cs="Arial"/>
                <w:b/>
                <w:sz w:val="20"/>
                <w:szCs w:val="20"/>
              </w:rPr>
            </w:pPr>
            <w:r w:rsidRPr="00522CD2">
              <w:rPr>
                <w:rFonts w:cs="Arial"/>
                <w:b/>
                <w:sz w:val="20"/>
                <w:szCs w:val="20"/>
              </w:rPr>
              <w:t>Study and Setting</w:t>
            </w:r>
          </w:p>
        </w:tc>
        <w:tc>
          <w:tcPr>
            <w:tcW w:w="2385" w:type="dxa"/>
            <w:tcBorders>
              <w:left w:val="single" w:sz="4" w:space="0" w:color="FFFFFF" w:themeColor="background1"/>
              <w:right w:val="single" w:sz="4" w:space="0" w:color="FFFFFF" w:themeColor="background1"/>
            </w:tcBorders>
          </w:tcPr>
          <w:p w14:paraId="5228E1C6" w14:textId="77777777" w:rsidR="00841348" w:rsidRPr="00522CD2" w:rsidRDefault="00841348" w:rsidP="00290AAF">
            <w:pPr>
              <w:jc w:val="center"/>
              <w:rPr>
                <w:rFonts w:cs="Arial"/>
                <w:b/>
                <w:sz w:val="20"/>
                <w:szCs w:val="20"/>
              </w:rPr>
            </w:pPr>
            <w:r w:rsidRPr="00522CD2">
              <w:rPr>
                <w:rFonts w:cs="Arial"/>
                <w:b/>
                <w:sz w:val="20"/>
                <w:szCs w:val="20"/>
              </w:rPr>
              <w:t>Design</w:t>
            </w:r>
          </w:p>
        </w:tc>
        <w:tc>
          <w:tcPr>
            <w:tcW w:w="1136" w:type="dxa"/>
            <w:tcBorders>
              <w:left w:val="single" w:sz="4" w:space="0" w:color="FFFFFF" w:themeColor="background1"/>
              <w:right w:val="single" w:sz="4" w:space="0" w:color="FFFFFF" w:themeColor="background1"/>
            </w:tcBorders>
          </w:tcPr>
          <w:p w14:paraId="056A3A4E" w14:textId="77777777" w:rsidR="00841348" w:rsidRPr="00522CD2" w:rsidRDefault="00841348" w:rsidP="00290AAF">
            <w:pPr>
              <w:jc w:val="center"/>
              <w:rPr>
                <w:rFonts w:cs="Arial"/>
                <w:b/>
                <w:sz w:val="20"/>
                <w:szCs w:val="20"/>
              </w:rPr>
            </w:pPr>
            <w:r w:rsidRPr="00522CD2">
              <w:rPr>
                <w:rFonts w:cs="Arial"/>
                <w:b/>
                <w:sz w:val="20"/>
                <w:szCs w:val="20"/>
              </w:rPr>
              <w:t>N</w:t>
            </w:r>
          </w:p>
        </w:tc>
        <w:tc>
          <w:tcPr>
            <w:tcW w:w="3708" w:type="dxa"/>
            <w:tcBorders>
              <w:left w:val="single" w:sz="4" w:space="0" w:color="FFFFFF" w:themeColor="background1"/>
              <w:right w:val="single" w:sz="4" w:space="0" w:color="FFFFFF" w:themeColor="background1"/>
            </w:tcBorders>
          </w:tcPr>
          <w:p w14:paraId="574B7FDA" w14:textId="77777777" w:rsidR="00841348" w:rsidRPr="00522CD2" w:rsidRDefault="00841348" w:rsidP="00290AAF">
            <w:pPr>
              <w:jc w:val="center"/>
              <w:rPr>
                <w:rFonts w:cs="Arial"/>
                <w:b/>
                <w:sz w:val="20"/>
                <w:szCs w:val="20"/>
              </w:rPr>
            </w:pPr>
            <w:r w:rsidRPr="00522CD2">
              <w:rPr>
                <w:rFonts w:cs="Arial"/>
                <w:b/>
                <w:sz w:val="20"/>
                <w:szCs w:val="20"/>
              </w:rPr>
              <w:t>Outcome Sub-Domain</w:t>
            </w:r>
          </w:p>
        </w:tc>
        <w:tc>
          <w:tcPr>
            <w:tcW w:w="5862" w:type="dxa"/>
            <w:gridSpan w:val="2"/>
            <w:tcBorders>
              <w:left w:val="single" w:sz="4" w:space="0" w:color="FFFFFF" w:themeColor="background1"/>
              <w:right w:val="single" w:sz="4" w:space="0" w:color="FFFFFF" w:themeColor="background1"/>
            </w:tcBorders>
          </w:tcPr>
          <w:p w14:paraId="0674ACE9" w14:textId="77777777" w:rsidR="00841348" w:rsidRPr="00522CD2" w:rsidRDefault="00841348" w:rsidP="00290AAF">
            <w:pPr>
              <w:jc w:val="center"/>
              <w:rPr>
                <w:rFonts w:cs="Arial"/>
                <w:b/>
                <w:sz w:val="20"/>
                <w:szCs w:val="20"/>
              </w:rPr>
            </w:pPr>
            <w:r w:rsidRPr="00522CD2">
              <w:rPr>
                <w:rFonts w:cs="Arial"/>
                <w:b/>
                <w:sz w:val="20"/>
                <w:szCs w:val="20"/>
              </w:rPr>
              <w:t>Measure/Indicator</w:t>
            </w:r>
          </w:p>
        </w:tc>
      </w:tr>
      <w:tr w:rsidR="00841348" w:rsidRPr="00522CD2" w14:paraId="5A1CA494" w14:textId="77777777" w:rsidTr="006A50DE">
        <w:trPr>
          <w:trHeight w:val="558"/>
        </w:trPr>
        <w:tc>
          <w:tcPr>
            <w:tcW w:w="2399" w:type="dxa"/>
            <w:tcBorders>
              <w:left w:val="single" w:sz="4" w:space="0" w:color="FFFFFF" w:themeColor="background1"/>
              <w:right w:val="single" w:sz="4" w:space="0" w:color="FFFFFF" w:themeColor="background1"/>
            </w:tcBorders>
          </w:tcPr>
          <w:p w14:paraId="131303D6" w14:textId="5D5A4ADE" w:rsidR="00841348" w:rsidRPr="00522CD2" w:rsidRDefault="00841348" w:rsidP="00290AAF">
            <w:pPr>
              <w:spacing w:line="276" w:lineRule="auto"/>
              <w:rPr>
                <w:rFonts w:cs="Arial"/>
                <w:sz w:val="20"/>
                <w:szCs w:val="20"/>
              </w:rPr>
            </w:pPr>
            <w:r w:rsidRPr="00522CD2">
              <w:rPr>
                <w:rFonts w:cs="Arial"/>
                <w:sz w:val="20"/>
                <w:szCs w:val="20"/>
              </w:rPr>
              <w:t xml:space="preserve">Dickens et al. (2010) </w:t>
            </w:r>
            <w:r w:rsidR="00046078" w:rsidRPr="00522CD2">
              <w:rPr>
                <w:rFonts w:cs="Arial"/>
                <w:sz w:val="20"/>
                <w:szCs w:val="20"/>
              </w:rPr>
              <w:fldChar w:fldCharType="begin" w:fldLock="1"/>
            </w:r>
            <w:r w:rsidR="00E353A8" w:rsidRPr="00522CD2">
              <w:rPr>
                <w:rFonts w:cs="Arial"/>
                <w:sz w:val="20"/>
                <w:szCs w:val="20"/>
              </w:rPr>
              <w:instrText>ADDIN CSL_CITATION { "citationItems" : [ { "id" : "ITEM-1", "itemData" : { "DOI" : "http://dx.doi.org/10.5042/bjfp.2010.0613", "ISBN" : "1463-6646", "ISSN" : "2042-8340", "abstract" : "In this study we demonstrate how the Health of the Nation Outcomes Scales for secure and forensic service users (HoNOS-secure) tracks risk and recovery in men with mental illness and men with learning disability in a secure care pathway. Total and individual HoNOS-secure item ratings made by multi-disciplinary teams across the course of a period of admission (mean 15 months) for 180 men were examined. There was significant positive change on the clinical and risk-related scales of HoNOS-secure for patients in the learning disability care pathway (N = 48) between initial and final ratings. In the mental health care pathway (N = 132 patients) an apparent lack of change masked a more complex picture, where initial decline in HoNOS-secure ratings was succeeded by significant improvement. Results suggest that it is challenging to measure clinical and risk-related medium-term clinical outcomes objectively for these patients, particularly in relation to core issues of treatment of mental disorder, and reduction of both problem behaviour and risk to others. However, it is important that practitioners continue to strive to demonstrate the benefits of care and treatment through appropriate outcomes measures. (PsycINFO Database Record (c) 2012 APA, all rights reserved) (journal abstract)", "author" : [ { "dropping-particle" : "", "family" : "Dickens", "given" : "Geoff", "non-dropping-particle" : "", "parse-names" : false, "suffix" : "" }, { "dropping-particle" : "", "family" : "Sugarman", "given" : "Philip", "non-dropping-particle" : "", "parse-names" : false, "suffix" : "" }, { "dropping-particle" : "", "family" : "Picchioni", "given" : "Marco", "non-dropping-particle" : "", "parse-names" : false, "suffix" : "" }, { "dropping-particle" : "", "family" : "Long", "given" : "Clive", "non-dropping-particle" : "", "parse-names" : false, "suffix" : "" } ], "container-title" : "The British Journal of Forensic Practice", "id" : "ITEM-1", "issue" : "4", "issued" : { "date-parts" : [ [ "2010" ] ] }, "page" : "36-46", "publisher" : "Emerald Group Publishing Limited", "title" : "HoNOS-Secure: Tracking risk and recovery for men in secure care.", "type" : "article-journal", "volume" : "12" }, "uris" : [ "http://www.mendeley.com/documents/?uuid=9d8d6af0-c4c5-31b1-b6f7-8ed2ab7a656d" ] } ], "mendeley" : { "formattedCitation" : "(44)", "plainTextFormattedCitation" : "(44)", "previouslyFormattedCitation" : "(44)" }, "properties" : { "noteIndex" : 0 }, "schema" : "https://github.com/citation-style-language/schema/raw/master/csl-citation.json" }</w:instrText>
            </w:r>
            <w:r w:rsidR="00046078" w:rsidRPr="00522CD2">
              <w:rPr>
                <w:rFonts w:cs="Arial"/>
                <w:sz w:val="20"/>
                <w:szCs w:val="20"/>
              </w:rPr>
              <w:fldChar w:fldCharType="separate"/>
            </w:r>
            <w:r w:rsidR="00E353A8" w:rsidRPr="00522CD2">
              <w:rPr>
                <w:rFonts w:cs="Arial"/>
                <w:noProof/>
                <w:sz w:val="20"/>
                <w:szCs w:val="20"/>
              </w:rPr>
              <w:t>(44)</w:t>
            </w:r>
            <w:r w:rsidR="00046078" w:rsidRPr="00522CD2">
              <w:rPr>
                <w:rFonts w:cs="Arial"/>
                <w:sz w:val="20"/>
                <w:szCs w:val="20"/>
              </w:rPr>
              <w:fldChar w:fldCharType="end"/>
            </w:r>
          </w:p>
          <w:p w14:paraId="5B86E8F4" w14:textId="77777777" w:rsidR="00841348" w:rsidRPr="00522CD2" w:rsidRDefault="00841348" w:rsidP="00290AAF">
            <w:pPr>
              <w:spacing w:line="276" w:lineRule="auto"/>
              <w:rPr>
                <w:rFonts w:cs="Arial"/>
                <w:sz w:val="20"/>
                <w:szCs w:val="20"/>
              </w:rPr>
            </w:pPr>
            <w:r w:rsidRPr="00522CD2">
              <w:rPr>
                <w:rFonts w:cs="Arial"/>
                <w:sz w:val="20"/>
                <w:szCs w:val="20"/>
              </w:rPr>
              <w:t>Medium and low secure</w:t>
            </w:r>
          </w:p>
        </w:tc>
        <w:tc>
          <w:tcPr>
            <w:tcW w:w="2385" w:type="dxa"/>
            <w:tcBorders>
              <w:left w:val="single" w:sz="4" w:space="0" w:color="FFFFFF" w:themeColor="background1"/>
              <w:right w:val="single" w:sz="4" w:space="0" w:color="FFFFFF" w:themeColor="background1"/>
            </w:tcBorders>
          </w:tcPr>
          <w:p w14:paraId="61A3CC07" w14:textId="390F5828" w:rsidR="00841348" w:rsidRPr="00522CD2" w:rsidRDefault="00841348" w:rsidP="00290AAF">
            <w:pPr>
              <w:spacing w:line="276" w:lineRule="auto"/>
              <w:rPr>
                <w:rFonts w:cs="Arial"/>
                <w:sz w:val="20"/>
                <w:szCs w:val="20"/>
              </w:rPr>
            </w:pPr>
            <w:r w:rsidRPr="00522CD2">
              <w:rPr>
                <w:rFonts w:cs="Arial"/>
                <w:sz w:val="20"/>
                <w:szCs w:val="20"/>
              </w:rPr>
              <w:t xml:space="preserve">Retrospective cohort study </w:t>
            </w:r>
          </w:p>
          <w:p w14:paraId="63D71E41" w14:textId="77777777" w:rsidR="00841348" w:rsidRPr="00522CD2" w:rsidRDefault="00841348" w:rsidP="00290AAF">
            <w:pPr>
              <w:spacing w:line="276" w:lineRule="auto"/>
              <w:rPr>
                <w:rFonts w:cs="Arial"/>
                <w:sz w:val="20"/>
                <w:szCs w:val="20"/>
              </w:rPr>
            </w:pPr>
            <w:r w:rsidRPr="00522CD2">
              <w:rPr>
                <w:rFonts w:cs="Arial"/>
                <w:sz w:val="20"/>
                <w:szCs w:val="20"/>
              </w:rPr>
              <w:t>Follow up: 15 months</w:t>
            </w:r>
          </w:p>
        </w:tc>
        <w:tc>
          <w:tcPr>
            <w:tcW w:w="1136" w:type="dxa"/>
            <w:tcBorders>
              <w:left w:val="single" w:sz="4" w:space="0" w:color="FFFFFF" w:themeColor="background1"/>
              <w:right w:val="single" w:sz="4" w:space="0" w:color="FFFFFF" w:themeColor="background1"/>
            </w:tcBorders>
          </w:tcPr>
          <w:p w14:paraId="4EB08B2A" w14:textId="409C6C4C" w:rsidR="00841348" w:rsidRPr="00522CD2" w:rsidRDefault="000344E3" w:rsidP="00290AAF">
            <w:pPr>
              <w:spacing w:line="276" w:lineRule="auto"/>
              <w:ind w:left="252"/>
              <w:rPr>
                <w:rFonts w:cs="Arial"/>
                <w:sz w:val="20"/>
                <w:szCs w:val="20"/>
              </w:rPr>
            </w:pPr>
            <w:r w:rsidRPr="00522CD2">
              <w:rPr>
                <w:rFonts w:cs="Arial"/>
                <w:sz w:val="20"/>
                <w:szCs w:val="20"/>
              </w:rPr>
              <w:t xml:space="preserve">  </w:t>
            </w:r>
            <w:r w:rsidR="00841348" w:rsidRPr="00522CD2">
              <w:rPr>
                <w:rFonts w:cs="Arial"/>
                <w:sz w:val="20"/>
                <w:szCs w:val="20"/>
              </w:rPr>
              <w:t>48</w:t>
            </w:r>
          </w:p>
        </w:tc>
        <w:tc>
          <w:tcPr>
            <w:tcW w:w="3708" w:type="dxa"/>
            <w:tcBorders>
              <w:left w:val="single" w:sz="4" w:space="0" w:color="FFFFFF" w:themeColor="background1"/>
              <w:right w:val="single" w:sz="4" w:space="0" w:color="FFFFFF" w:themeColor="background1"/>
            </w:tcBorders>
          </w:tcPr>
          <w:p w14:paraId="65D7A52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1CE762F2"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tc>
        <w:tc>
          <w:tcPr>
            <w:tcW w:w="5862" w:type="dxa"/>
            <w:gridSpan w:val="2"/>
            <w:tcBorders>
              <w:left w:val="single" w:sz="4" w:space="0" w:color="FFFFFF" w:themeColor="background1"/>
              <w:right w:val="single" w:sz="4" w:space="0" w:color="FFFFFF" w:themeColor="background1"/>
            </w:tcBorders>
          </w:tcPr>
          <w:p w14:paraId="73CBA3F8" w14:textId="77777777" w:rsidR="00841348" w:rsidRPr="00522CD2" w:rsidRDefault="00841348" w:rsidP="00290A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0"/>
              </w:tabs>
              <w:spacing w:line="276" w:lineRule="auto"/>
              <w:ind w:left="250" w:hanging="240"/>
              <w:rPr>
                <w:rFonts w:cs="Arial"/>
                <w:sz w:val="20"/>
                <w:szCs w:val="20"/>
              </w:rPr>
            </w:pPr>
            <w:r w:rsidRPr="00522CD2">
              <w:rPr>
                <w:rFonts w:cs="Arial"/>
                <w:sz w:val="20"/>
                <w:szCs w:val="20"/>
              </w:rPr>
              <w:t>Mean number of days</w:t>
            </w:r>
          </w:p>
          <w:p w14:paraId="665E5AED" w14:textId="2EE06D4E" w:rsidR="00841348" w:rsidRPr="00522CD2" w:rsidRDefault="00841348" w:rsidP="00290A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0"/>
              </w:tabs>
              <w:spacing w:line="276" w:lineRule="auto"/>
              <w:ind w:left="250" w:hanging="240"/>
              <w:rPr>
                <w:rFonts w:cs="Arial"/>
                <w:sz w:val="20"/>
                <w:szCs w:val="20"/>
              </w:rPr>
            </w:pPr>
            <w:r w:rsidRPr="00522CD2">
              <w:rPr>
                <w:rFonts w:cs="Arial"/>
                <w:sz w:val="20"/>
                <w:szCs w:val="20"/>
              </w:rPr>
              <w:t>HoNOS</w:t>
            </w:r>
            <w:r w:rsidR="000344E3" w:rsidRPr="00522CD2">
              <w:rPr>
                <w:rFonts w:cs="Arial"/>
                <w:sz w:val="20"/>
                <w:szCs w:val="20"/>
              </w:rPr>
              <w:t xml:space="preserve"> Secure</w:t>
            </w:r>
            <w:r w:rsidRPr="00522CD2">
              <w:rPr>
                <w:rFonts w:cs="Arial"/>
                <w:sz w:val="20"/>
                <w:szCs w:val="20"/>
              </w:rPr>
              <w:t>: change between baseline and final rating. Quartile points used to allow for different lengths of stay (clinician rated)</w:t>
            </w:r>
          </w:p>
          <w:p w14:paraId="4CD31D6C" w14:textId="77777777" w:rsidR="00841348" w:rsidRPr="00522CD2" w:rsidRDefault="00841348" w:rsidP="00290AAF">
            <w:pPr>
              <w:spacing w:line="276" w:lineRule="auto"/>
              <w:ind w:left="250"/>
              <w:rPr>
                <w:rFonts w:cs="Arial"/>
                <w:sz w:val="20"/>
                <w:szCs w:val="20"/>
              </w:rPr>
            </w:pPr>
          </w:p>
        </w:tc>
      </w:tr>
      <w:tr w:rsidR="00841348" w:rsidRPr="00522CD2" w14:paraId="635F0B62" w14:textId="77777777" w:rsidTr="006A50DE">
        <w:trPr>
          <w:trHeight w:val="558"/>
        </w:trPr>
        <w:tc>
          <w:tcPr>
            <w:tcW w:w="2399" w:type="dxa"/>
            <w:tcBorders>
              <w:left w:val="single" w:sz="4" w:space="0" w:color="FFFFFF" w:themeColor="background1"/>
              <w:right w:val="single" w:sz="4" w:space="0" w:color="FFFFFF" w:themeColor="background1"/>
            </w:tcBorders>
          </w:tcPr>
          <w:p w14:paraId="17E2B4A2" w14:textId="3BC9D225" w:rsidR="00841348" w:rsidRPr="00522CD2" w:rsidRDefault="00841348" w:rsidP="00290AAF">
            <w:pPr>
              <w:autoSpaceDE w:val="0"/>
              <w:autoSpaceDN w:val="0"/>
              <w:adjustRightInd w:val="0"/>
              <w:spacing w:line="276" w:lineRule="auto"/>
            </w:pPr>
            <w:r w:rsidRPr="00522CD2">
              <w:rPr>
                <w:rFonts w:cs="Arial"/>
                <w:kern w:val="28"/>
                <w:sz w:val="20"/>
                <w:szCs w:val="20"/>
                <w:lang w:val="en-CA" w:eastAsia="en-GB"/>
              </w:rPr>
              <w:t>Fitzgerald et al. (2011)</w:t>
            </w:r>
            <w:r w:rsidRPr="00522CD2">
              <w:rPr>
                <w:rStyle w:val="FootnoteReference"/>
                <w:rFonts w:cs="Arial"/>
                <w:kern w:val="28"/>
                <w:sz w:val="20"/>
                <w:szCs w:val="20"/>
                <w:lang w:val="en-CA" w:eastAsia="en-GB"/>
              </w:rPr>
              <w:t>2</w:t>
            </w:r>
          </w:p>
          <w:p w14:paraId="488FAB9C" w14:textId="4AB7552A" w:rsidR="000344E3" w:rsidRPr="00522CD2" w:rsidRDefault="000344E3" w:rsidP="00290AAF">
            <w:pPr>
              <w:autoSpaceDE w:val="0"/>
              <w:autoSpaceDN w:val="0"/>
              <w:adjustRightInd w:val="0"/>
              <w:spacing w:line="276" w:lineRule="auto"/>
              <w:rPr>
                <w:rFonts w:cs="Arial"/>
                <w:kern w:val="28"/>
                <w:sz w:val="20"/>
                <w:szCs w:val="20"/>
                <w:lang w:val="en-CA" w:eastAsia="en-GB"/>
              </w:rPr>
            </w:pPr>
            <w:r w:rsidRPr="00522CD2">
              <w:rPr>
                <w:sz w:val="20"/>
                <w:szCs w:val="20"/>
              </w:rPr>
              <w:t>(22)</w:t>
            </w:r>
          </w:p>
          <w:p w14:paraId="6F386FC8"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sz w:val="20"/>
                <w:szCs w:val="20"/>
              </w:rPr>
              <w:t>Medium secure</w:t>
            </w:r>
          </w:p>
        </w:tc>
        <w:tc>
          <w:tcPr>
            <w:tcW w:w="2385" w:type="dxa"/>
            <w:tcBorders>
              <w:left w:val="single" w:sz="4" w:space="0" w:color="FFFFFF" w:themeColor="background1"/>
              <w:right w:val="single" w:sz="4" w:space="0" w:color="FFFFFF" w:themeColor="background1"/>
            </w:tcBorders>
          </w:tcPr>
          <w:p w14:paraId="6325500D" w14:textId="1CB5C0F0" w:rsidR="00841348" w:rsidRPr="00522CD2" w:rsidRDefault="00841348" w:rsidP="00290AAF">
            <w:pPr>
              <w:spacing w:line="276" w:lineRule="auto"/>
              <w:rPr>
                <w:rFonts w:cs="Arial"/>
                <w:sz w:val="20"/>
                <w:szCs w:val="20"/>
              </w:rPr>
            </w:pPr>
            <w:r w:rsidRPr="00522CD2">
              <w:rPr>
                <w:rFonts w:cs="Arial"/>
                <w:sz w:val="20"/>
                <w:szCs w:val="20"/>
              </w:rPr>
              <w:t xml:space="preserve">Retrospective cohort study </w:t>
            </w:r>
          </w:p>
          <w:p w14:paraId="297D016E"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Follow up: 2 years</w:t>
            </w:r>
          </w:p>
          <w:p w14:paraId="3BAC925B"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p>
        </w:tc>
        <w:tc>
          <w:tcPr>
            <w:tcW w:w="1136" w:type="dxa"/>
            <w:tcBorders>
              <w:left w:val="single" w:sz="4" w:space="0" w:color="FFFFFF" w:themeColor="background1"/>
              <w:right w:val="single" w:sz="4" w:space="0" w:color="FFFFFF" w:themeColor="background1"/>
            </w:tcBorders>
          </w:tcPr>
          <w:p w14:paraId="66778C24" w14:textId="77777777" w:rsidR="00841348" w:rsidRPr="00522CD2" w:rsidRDefault="00841348" w:rsidP="00290AAF">
            <w:pPr>
              <w:autoSpaceDE w:val="0"/>
              <w:autoSpaceDN w:val="0"/>
              <w:adjustRightInd w:val="0"/>
              <w:spacing w:line="276" w:lineRule="auto"/>
              <w:jc w:val="center"/>
              <w:rPr>
                <w:rFonts w:cs="Arial"/>
                <w:kern w:val="28"/>
                <w:sz w:val="20"/>
                <w:szCs w:val="20"/>
                <w:lang w:val="en-CA" w:eastAsia="en-GB"/>
              </w:rPr>
            </w:pPr>
            <w:r w:rsidRPr="00522CD2">
              <w:rPr>
                <w:rFonts w:cs="Arial"/>
                <w:kern w:val="28"/>
                <w:sz w:val="20"/>
                <w:szCs w:val="20"/>
                <w:lang w:val="en-CA" w:eastAsia="en-GB"/>
              </w:rPr>
              <w:t>145</w:t>
            </w:r>
          </w:p>
        </w:tc>
        <w:tc>
          <w:tcPr>
            <w:tcW w:w="3708" w:type="dxa"/>
            <w:tcBorders>
              <w:left w:val="single" w:sz="4" w:space="0" w:color="FFFFFF" w:themeColor="background1"/>
              <w:right w:val="single" w:sz="4" w:space="0" w:color="FFFFFF" w:themeColor="background1"/>
            </w:tcBorders>
          </w:tcPr>
          <w:p w14:paraId="764B0FC2"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p w14:paraId="5CCB2A2D" w14:textId="77777777" w:rsidR="000344E3" w:rsidRPr="00522CD2" w:rsidRDefault="000344E3" w:rsidP="000344E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Arial"/>
                <w:sz w:val="20"/>
                <w:szCs w:val="20"/>
              </w:rPr>
            </w:pPr>
          </w:p>
          <w:p w14:paraId="13482E2D" w14:textId="711643CE" w:rsidR="000344E3" w:rsidRPr="00522CD2" w:rsidRDefault="000344E3" w:rsidP="000344E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tc>
        <w:tc>
          <w:tcPr>
            <w:tcW w:w="5862" w:type="dxa"/>
            <w:gridSpan w:val="2"/>
            <w:tcBorders>
              <w:left w:val="single" w:sz="4" w:space="0" w:color="FFFFFF" w:themeColor="background1"/>
              <w:right w:val="single" w:sz="4" w:space="0" w:color="FFFFFF" w:themeColor="background1"/>
            </w:tcBorders>
          </w:tcPr>
          <w:p w14:paraId="16567C4A" w14:textId="10791CA0" w:rsidR="000023DF" w:rsidRPr="00522CD2" w:rsidRDefault="000344E3"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Home Office records;</w:t>
            </w:r>
            <w:r w:rsidR="00841348" w:rsidRPr="00522CD2">
              <w:rPr>
                <w:rFonts w:cs="Arial"/>
                <w:sz w:val="20"/>
                <w:szCs w:val="20"/>
              </w:rPr>
              <w:t xml:space="preserve"> % of patients with both general and violent offences</w:t>
            </w:r>
            <w:r w:rsidR="000023DF" w:rsidRPr="00522CD2">
              <w:rPr>
                <w:rFonts w:cs="Arial"/>
                <w:sz w:val="20"/>
                <w:szCs w:val="20"/>
              </w:rPr>
              <w:t xml:space="preserve">. </w:t>
            </w:r>
          </w:p>
          <w:p w14:paraId="114BE418"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 OGRS</w:t>
            </w:r>
          </w:p>
          <w:p w14:paraId="0EEADE4E" w14:textId="77777777" w:rsidR="000344E3" w:rsidRPr="00522CD2" w:rsidRDefault="000344E3" w:rsidP="000344E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52"/>
              <w:rPr>
                <w:rFonts w:cs="Arial"/>
                <w:sz w:val="20"/>
                <w:szCs w:val="20"/>
              </w:rPr>
            </w:pPr>
          </w:p>
        </w:tc>
      </w:tr>
      <w:tr w:rsidR="00841348" w:rsidRPr="00522CD2" w14:paraId="2BC228CF" w14:textId="77777777" w:rsidTr="006A50DE">
        <w:trPr>
          <w:trHeight w:val="552"/>
        </w:trPr>
        <w:tc>
          <w:tcPr>
            <w:tcW w:w="2399" w:type="dxa"/>
            <w:tcBorders>
              <w:left w:val="single" w:sz="4" w:space="0" w:color="FFFFFF" w:themeColor="background1"/>
              <w:right w:val="single" w:sz="4" w:space="0" w:color="FFFFFF" w:themeColor="background1"/>
            </w:tcBorders>
          </w:tcPr>
          <w:p w14:paraId="50449F85" w14:textId="5D3610DF" w:rsidR="00841348" w:rsidRPr="00522CD2" w:rsidRDefault="000344E3" w:rsidP="00290AAF">
            <w:pPr>
              <w:spacing w:line="276" w:lineRule="auto"/>
              <w:rPr>
                <w:rFonts w:cs="Arial"/>
                <w:sz w:val="20"/>
                <w:szCs w:val="20"/>
              </w:rPr>
            </w:pPr>
            <w:r w:rsidRPr="00522CD2">
              <w:rPr>
                <w:rFonts w:cs="Arial"/>
                <w:sz w:val="20"/>
                <w:szCs w:val="20"/>
              </w:rPr>
              <w:t>Gray et al. (2007</w:t>
            </w:r>
            <w:r w:rsidR="00841348" w:rsidRPr="00522CD2">
              <w:rPr>
                <w:rFonts w:cs="Arial"/>
                <w:sz w:val="20"/>
                <w:szCs w:val="20"/>
              </w:rPr>
              <w:t>)</w:t>
            </w:r>
            <w:r w:rsidR="00046078" w:rsidRPr="00522CD2">
              <w:rPr>
                <w:rFonts w:cs="Arial"/>
                <w:sz w:val="20"/>
                <w:szCs w:val="20"/>
              </w:rPr>
              <w:t xml:space="preserve"> </w:t>
            </w:r>
            <w:r w:rsidR="00046078" w:rsidRPr="00522CD2">
              <w:rPr>
                <w:rFonts w:cs="Arial"/>
                <w:sz w:val="20"/>
                <w:szCs w:val="20"/>
              </w:rPr>
              <w:fldChar w:fldCharType="begin" w:fldLock="1"/>
            </w:r>
            <w:r w:rsidR="00E353A8" w:rsidRPr="00522CD2">
              <w:rPr>
                <w:rFonts w:cs="Arial"/>
                <w:sz w:val="20"/>
                <w:szCs w:val="20"/>
              </w:rPr>
              <w:instrText>ADDIN CSL_CITATION { "citationItems" : [ { "id" : "ITEM-1", "itemData" : { "DOI" : "10.1016/j.psychres.2010.10.011", "ISSN" : "01651781", "abstract" : "We examined whether a leading instrument for the prediction of future violence in those with a mental disorder. The Historical, Clinical, Risk Management-20 (HCR-20) was equally effective across a wide range of mental health diagnoses. Records at the time of discharge from secure psychiatric services were used to score the HCR-20 risk assessment scheme. Patients were stratified according to whether they had received a particular mental health diagnosis. Reconvictions within 2years of discharge were obtained from official sources and classified as to whether the offence was violent or not. Those with a diagnosis of either personality disorder or substance abuse were most likely to be reconvicted, whilst those with either a diagnosis of schizophrenia or mental retardation were the least likely. The HCR-20 was a statistically significant predictor of future violence in all groups; however, it returned only weak effects for the personality disordered group, but strong effects for those in the schizophrenia or mental retardation group. The HCR-20 risk assessment scheme is effective across a wide range of diagnoses. Nevertheless, the prediction of future events appears more difficult in those disorders characterized by impulsive behaviors and further research efforts are needed to understand how such prediction can be improved.", "author" : [ { "dropping-particle" : "", "family" : "Gray", "given" : "Nicola S.", "non-dropping-particle" : "", "parse-names" : false, "suffix" : "" }, { "dropping-particle" : "", "family" : "Taylor", "given" : "John", "non-dropping-particle" : "", "parse-names" : false, "suffix" : "" }, { "dropping-particle" : "", "family" : "Snowden", "given" : "Robert J.", "non-dropping-particle" : "", "parse-names" : false, "suffix" : "" } ], "container-title" : "Psychiatry Research", "id" : "ITEM-1", "issue" : "1", "issued" : { "date-parts" : [ [ "2011" ] ] }, "page" : "248-253", "title" : "Predicting violence using structured professional judgment in patients with different mental and behavioral disorders", "type" : "article-journal", "volume" : "187" }, "uris" : [ "http://www.mendeley.com/documents/?uuid=fb5bd117-e261-3755-ad4b-c52fc7a2398e" ] } ], "mendeley" : { "formattedCitation" : "(45)", "plainTextFormattedCitation" : "(45)", "previouslyFormattedCitation" : "(45)" }, "properties" : { "noteIndex" : 0 }, "schema" : "https://github.com/citation-style-language/schema/raw/master/csl-citation.json" }</w:instrText>
            </w:r>
            <w:r w:rsidR="00046078" w:rsidRPr="00522CD2">
              <w:rPr>
                <w:rFonts w:cs="Arial"/>
                <w:sz w:val="20"/>
                <w:szCs w:val="20"/>
              </w:rPr>
              <w:fldChar w:fldCharType="separate"/>
            </w:r>
            <w:r w:rsidR="00E353A8" w:rsidRPr="00522CD2">
              <w:rPr>
                <w:rFonts w:cs="Arial"/>
                <w:noProof/>
                <w:sz w:val="20"/>
                <w:szCs w:val="20"/>
              </w:rPr>
              <w:t>(45)</w:t>
            </w:r>
            <w:r w:rsidR="00046078" w:rsidRPr="00522CD2">
              <w:rPr>
                <w:rFonts w:cs="Arial"/>
                <w:sz w:val="20"/>
                <w:szCs w:val="20"/>
              </w:rPr>
              <w:fldChar w:fldCharType="end"/>
            </w:r>
          </w:p>
          <w:p w14:paraId="73A880E3" w14:textId="77777777" w:rsidR="00841348" w:rsidRPr="00522CD2" w:rsidRDefault="00841348" w:rsidP="00290AAF">
            <w:pPr>
              <w:spacing w:line="276" w:lineRule="auto"/>
              <w:rPr>
                <w:rFonts w:cs="Arial"/>
                <w:sz w:val="20"/>
                <w:szCs w:val="20"/>
              </w:rPr>
            </w:pPr>
            <w:r w:rsidRPr="00522CD2">
              <w:rPr>
                <w:rFonts w:cs="Arial"/>
                <w:sz w:val="20"/>
                <w:szCs w:val="20"/>
              </w:rPr>
              <w:t>Medium secure</w:t>
            </w:r>
          </w:p>
        </w:tc>
        <w:tc>
          <w:tcPr>
            <w:tcW w:w="2385" w:type="dxa"/>
            <w:tcBorders>
              <w:left w:val="single" w:sz="4" w:space="0" w:color="FFFFFF" w:themeColor="background1"/>
              <w:right w:val="single" w:sz="4" w:space="0" w:color="FFFFFF" w:themeColor="background1"/>
            </w:tcBorders>
          </w:tcPr>
          <w:p w14:paraId="226580EC" w14:textId="30A314FD" w:rsidR="00841348" w:rsidRPr="00522CD2" w:rsidRDefault="00841348" w:rsidP="00290AAF">
            <w:pPr>
              <w:spacing w:line="276" w:lineRule="auto"/>
              <w:rPr>
                <w:rFonts w:cs="Arial"/>
                <w:sz w:val="20"/>
                <w:szCs w:val="20"/>
              </w:rPr>
            </w:pPr>
            <w:r w:rsidRPr="00522CD2">
              <w:rPr>
                <w:rFonts w:cs="Arial"/>
                <w:sz w:val="20"/>
                <w:szCs w:val="20"/>
              </w:rPr>
              <w:t xml:space="preserve">Retrospective cohort </w:t>
            </w:r>
            <w:r w:rsidR="00A64B27" w:rsidRPr="00522CD2">
              <w:rPr>
                <w:rFonts w:cs="Arial"/>
                <w:sz w:val="20"/>
                <w:szCs w:val="20"/>
              </w:rPr>
              <w:t>s</w:t>
            </w:r>
            <w:r w:rsidRPr="00522CD2">
              <w:rPr>
                <w:rFonts w:cs="Arial"/>
                <w:sz w:val="20"/>
                <w:szCs w:val="20"/>
              </w:rPr>
              <w:t>tudy</w:t>
            </w:r>
          </w:p>
          <w:p w14:paraId="2B0FAC56" w14:textId="77777777" w:rsidR="00841348" w:rsidRPr="00522CD2" w:rsidRDefault="00841348" w:rsidP="00290AAF">
            <w:pPr>
              <w:spacing w:line="276" w:lineRule="auto"/>
              <w:rPr>
                <w:rFonts w:cs="Arial"/>
                <w:sz w:val="20"/>
                <w:szCs w:val="20"/>
              </w:rPr>
            </w:pPr>
            <w:r w:rsidRPr="00522CD2">
              <w:rPr>
                <w:rFonts w:cs="Arial"/>
                <w:sz w:val="20"/>
                <w:szCs w:val="20"/>
              </w:rPr>
              <w:t>Follow up: 2 years</w:t>
            </w:r>
          </w:p>
        </w:tc>
        <w:tc>
          <w:tcPr>
            <w:tcW w:w="1136" w:type="dxa"/>
            <w:tcBorders>
              <w:left w:val="single" w:sz="4" w:space="0" w:color="FFFFFF" w:themeColor="background1"/>
              <w:right w:val="single" w:sz="4" w:space="0" w:color="FFFFFF" w:themeColor="background1"/>
            </w:tcBorders>
          </w:tcPr>
          <w:p w14:paraId="1353277A" w14:textId="77777777" w:rsidR="00841348" w:rsidRPr="00522CD2" w:rsidRDefault="00841348" w:rsidP="00290AAF">
            <w:pPr>
              <w:spacing w:line="276" w:lineRule="auto"/>
              <w:ind w:left="252"/>
              <w:rPr>
                <w:rFonts w:cs="Arial"/>
                <w:sz w:val="20"/>
                <w:szCs w:val="20"/>
              </w:rPr>
            </w:pPr>
            <w:r w:rsidRPr="00522CD2">
              <w:rPr>
                <w:rFonts w:cs="Arial"/>
                <w:sz w:val="20"/>
                <w:szCs w:val="20"/>
              </w:rPr>
              <w:t>115</w:t>
            </w:r>
          </w:p>
        </w:tc>
        <w:tc>
          <w:tcPr>
            <w:tcW w:w="3708" w:type="dxa"/>
            <w:tcBorders>
              <w:left w:val="single" w:sz="4" w:space="0" w:color="FFFFFF" w:themeColor="background1"/>
              <w:right w:val="single" w:sz="4" w:space="0" w:color="FFFFFF" w:themeColor="background1"/>
            </w:tcBorders>
          </w:tcPr>
          <w:p w14:paraId="781E2AB0"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p w14:paraId="3858AB0F" w14:textId="77777777" w:rsidR="00841348" w:rsidRPr="00522CD2" w:rsidRDefault="00841348" w:rsidP="00290AAF">
            <w:pPr>
              <w:spacing w:line="276" w:lineRule="auto"/>
              <w:ind w:left="252"/>
              <w:rPr>
                <w:rFonts w:cs="Arial"/>
                <w:sz w:val="20"/>
                <w:szCs w:val="20"/>
              </w:rPr>
            </w:pPr>
          </w:p>
          <w:p w14:paraId="3CA72183"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tc>
        <w:tc>
          <w:tcPr>
            <w:tcW w:w="5862" w:type="dxa"/>
            <w:gridSpan w:val="2"/>
            <w:tcBorders>
              <w:left w:val="single" w:sz="4" w:space="0" w:color="FFFFFF" w:themeColor="background1"/>
              <w:right w:val="single" w:sz="4" w:space="0" w:color="FFFFFF" w:themeColor="background1"/>
            </w:tcBorders>
          </w:tcPr>
          <w:p w14:paraId="72BD67D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Home Office records</w:t>
            </w:r>
            <w:r w:rsidR="00D3043C" w:rsidRPr="00522CD2">
              <w:rPr>
                <w:rFonts w:cs="Arial"/>
                <w:sz w:val="20"/>
                <w:szCs w:val="20"/>
              </w:rPr>
              <w:t xml:space="preserve">: </w:t>
            </w:r>
            <w:r w:rsidRPr="00522CD2">
              <w:rPr>
                <w:rFonts w:cs="Arial"/>
                <w:sz w:val="20"/>
                <w:szCs w:val="20"/>
              </w:rPr>
              <w:t>% of patients with both general and violent offences</w:t>
            </w:r>
          </w:p>
          <w:p w14:paraId="6746A236" w14:textId="0BC28607" w:rsidR="00841348" w:rsidRPr="00522CD2" w:rsidRDefault="000344E3"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HCR-20,VRAG, PCL: SV (rated once)</w:t>
            </w:r>
          </w:p>
          <w:p w14:paraId="1BC9E77B" w14:textId="77777777" w:rsidR="00841348" w:rsidRPr="00522CD2" w:rsidRDefault="00841348" w:rsidP="00290AAF">
            <w:pPr>
              <w:spacing w:line="276" w:lineRule="auto"/>
              <w:ind w:left="252"/>
              <w:rPr>
                <w:rFonts w:cs="Arial"/>
                <w:sz w:val="20"/>
                <w:szCs w:val="20"/>
              </w:rPr>
            </w:pPr>
          </w:p>
        </w:tc>
      </w:tr>
      <w:tr w:rsidR="00841348" w:rsidRPr="00522CD2" w14:paraId="5E8C806B" w14:textId="77777777" w:rsidTr="006A50DE">
        <w:trPr>
          <w:trHeight w:val="558"/>
        </w:trPr>
        <w:tc>
          <w:tcPr>
            <w:tcW w:w="2399" w:type="dxa"/>
            <w:tcBorders>
              <w:left w:val="single" w:sz="4" w:space="0" w:color="FFFFFF" w:themeColor="background1"/>
              <w:right w:val="single" w:sz="4" w:space="0" w:color="FFFFFF" w:themeColor="background1"/>
            </w:tcBorders>
          </w:tcPr>
          <w:p w14:paraId="52A45FD8" w14:textId="7A29CB08"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 xml:space="preserve">Halstead et al. (2001) </w:t>
            </w:r>
            <w:r w:rsidR="00046078"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"abstract" : "Thirty\u2010five patients who had received at least one year's treatment in a learning\u2010disability medium secure unit were followed up for a maximum of five years. A good treatment outcome was more common in those with significant learning disability. At the end of follow\u2010up, 21 subjects (60%) were living in the community with support. The early months after discharge were a peak period for relapse. A very low level of reconviction was found, affecting only one subject. Patients who were older on discharge were less likely to re\u2010offend. The two deaths that occurred during follow\u2010up, and the three patients who required special (high security) hospital referral, are reported in detail. The findings are contrasted with the only comparable study (Day, 1988).", "author" : [ { "dropping-particle" : "", "family" : "Halstead", "given" : "Simon", "non-dropping-particle" : "", "parse-names" : false, "suffix" : "" }, { "dropping-particle" : "", "family" : "Cahill", "given" : "Alyson", "non-dropping-particle" : "", "parse-names" : false, "suffix" : "" }, { "dropping-particle" : "", "family" : "Fernando", "given" : "Lalini", "non-dropping-particle" : "", "parse-names" : false, "suffix" : "" }, { "dropping-particle" : "", "family" : "Isweran", "given" : "Mike", "non-dropping-particle" : "", "parse-names" : false, "suffix" : "" } ], "container-title" : "The British Journal of Forensic Practice", "id" : "ITEM-1", "issue" : "1", "issued" : { "date-parts" : [ [ "2001" ] ] }, "page" : "11-21", "publisher" : "MCB UP Ltd", "title" : "Discharges from a Learning-disability medium Secure Unit: What Happens to Them?", "type" : "article-journal", "volume" : "3" }, "uris" : [ "http://www.mendeley.com/documents/?uuid=6b19b4d4-93e1-3b0b-9c12-d05a400339a7" ] } ], "mendeley" : { "formattedCitation" : "(27)", "plainTextFormattedCitation" : "(27)", "previouslyFormattedCitation" : "(27)" }, "properties" : { "noteIndex" : 0 }, "schema" : "https://github.com/citation-style-language/schema/raw/master/csl-citation.json" }</w:instrText>
            </w:r>
            <w:r w:rsidR="00046078"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(27)</w:t>
            </w:r>
            <w:r w:rsidR="00046078" w:rsidRPr="00522CD2">
              <w:rPr>
                <w:rFonts w:cs="Arial"/>
                <w:kern w:val="28"/>
                <w:sz w:val="20"/>
                <w:szCs w:val="20"/>
                <w:lang w:val="en-CA" w:eastAsia="en-GB"/>
              </w:rPr>
              <w:fldChar w:fldCharType="end"/>
            </w:r>
          </w:p>
          <w:p w14:paraId="06FDC8B9"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Medium secure</w:t>
            </w:r>
          </w:p>
        </w:tc>
        <w:tc>
          <w:tcPr>
            <w:tcW w:w="2385" w:type="dxa"/>
            <w:tcBorders>
              <w:left w:val="single" w:sz="4" w:space="0" w:color="FFFFFF" w:themeColor="background1"/>
              <w:right w:val="single" w:sz="4" w:space="0" w:color="FFFFFF" w:themeColor="background1"/>
            </w:tcBorders>
          </w:tcPr>
          <w:p w14:paraId="510A2039" w14:textId="7B68FBAF" w:rsidR="00841348" w:rsidRPr="00522CD2" w:rsidRDefault="00841348" w:rsidP="00290AAF">
            <w:pPr>
              <w:spacing w:line="276" w:lineRule="auto"/>
              <w:rPr>
                <w:rFonts w:cs="Arial"/>
                <w:sz w:val="20"/>
                <w:szCs w:val="20"/>
              </w:rPr>
            </w:pPr>
            <w:r w:rsidRPr="00522CD2">
              <w:rPr>
                <w:rFonts w:cs="Arial"/>
                <w:sz w:val="20"/>
                <w:szCs w:val="20"/>
              </w:rPr>
              <w:t>Cohort study</w:t>
            </w:r>
          </w:p>
          <w:p w14:paraId="0C82FB55" w14:textId="77777777" w:rsidR="00841348" w:rsidRPr="00522CD2" w:rsidRDefault="00841348" w:rsidP="00290AAF">
            <w:pPr>
              <w:spacing w:line="276" w:lineRule="auto"/>
              <w:rPr>
                <w:rFonts w:cs="Arial"/>
                <w:sz w:val="20"/>
                <w:szCs w:val="20"/>
              </w:rPr>
            </w:pPr>
            <w:r w:rsidRPr="00522CD2">
              <w:rPr>
                <w:rFonts w:cs="Arial"/>
                <w:sz w:val="20"/>
                <w:szCs w:val="20"/>
              </w:rPr>
              <w:t>Discharged patients</w:t>
            </w:r>
          </w:p>
          <w:p w14:paraId="17F0B071" w14:textId="77777777" w:rsidR="00841348" w:rsidRPr="00522CD2" w:rsidRDefault="00841348" w:rsidP="00290AAF">
            <w:pPr>
              <w:spacing w:line="276" w:lineRule="auto"/>
              <w:rPr>
                <w:rFonts w:cs="Arial"/>
                <w:sz w:val="20"/>
                <w:szCs w:val="20"/>
              </w:rPr>
            </w:pPr>
            <w:r w:rsidRPr="00522CD2">
              <w:rPr>
                <w:rFonts w:cs="Arial"/>
                <w:sz w:val="20"/>
                <w:szCs w:val="20"/>
              </w:rPr>
              <w:t>Follow up: up to 13 years</w:t>
            </w:r>
          </w:p>
        </w:tc>
        <w:tc>
          <w:tcPr>
            <w:tcW w:w="1136" w:type="dxa"/>
            <w:tcBorders>
              <w:left w:val="single" w:sz="4" w:space="0" w:color="FFFFFF" w:themeColor="background1"/>
              <w:right w:val="single" w:sz="4" w:space="0" w:color="FFFFFF" w:themeColor="background1"/>
            </w:tcBorders>
          </w:tcPr>
          <w:p w14:paraId="07AD9A3F" w14:textId="77777777" w:rsidR="00841348" w:rsidRPr="00522CD2" w:rsidRDefault="00841348" w:rsidP="00290AAF">
            <w:pPr>
              <w:spacing w:line="276" w:lineRule="auto"/>
              <w:jc w:val="center"/>
              <w:rPr>
                <w:rFonts w:cs="Arial"/>
                <w:sz w:val="20"/>
                <w:szCs w:val="20"/>
              </w:rPr>
            </w:pPr>
            <w:r w:rsidRPr="00522CD2">
              <w:rPr>
                <w:rFonts w:cs="Arial"/>
                <w:sz w:val="20"/>
                <w:szCs w:val="20"/>
              </w:rPr>
              <w:t>35</w:t>
            </w:r>
          </w:p>
        </w:tc>
        <w:tc>
          <w:tcPr>
            <w:tcW w:w="3708" w:type="dxa"/>
            <w:tcBorders>
              <w:left w:val="single" w:sz="4" w:space="0" w:color="FFFFFF" w:themeColor="background1"/>
              <w:right w:val="single" w:sz="4" w:space="0" w:color="FFFFFF" w:themeColor="background1"/>
            </w:tcBorders>
          </w:tcPr>
          <w:p w14:paraId="2A03296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Length of stay </w:t>
            </w:r>
          </w:p>
          <w:p w14:paraId="5657DE9B"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Treatment outcome</w:t>
            </w:r>
          </w:p>
          <w:p w14:paraId="0403D520" w14:textId="77777777" w:rsidR="00841348" w:rsidRPr="00522CD2" w:rsidRDefault="00841348" w:rsidP="00290AAF">
            <w:pPr>
              <w:spacing w:line="276" w:lineRule="auto"/>
              <w:rPr>
                <w:rFonts w:cs="Arial"/>
                <w:sz w:val="20"/>
                <w:szCs w:val="20"/>
              </w:rPr>
            </w:pPr>
          </w:p>
          <w:p w14:paraId="2213E6EC" w14:textId="77777777" w:rsidR="00841348" w:rsidRPr="00522CD2" w:rsidRDefault="00841348" w:rsidP="00290AAF">
            <w:pPr>
              <w:spacing w:line="276" w:lineRule="auto"/>
              <w:rPr>
                <w:rFonts w:cs="Arial"/>
                <w:sz w:val="20"/>
                <w:szCs w:val="20"/>
              </w:rPr>
            </w:pPr>
          </w:p>
          <w:p w14:paraId="708EAB5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p w14:paraId="2C505757"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p w14:paraId="21336E90"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Relapse in MH</w:t>
            </w:r>
          </w:p>
          <w:p w14:paraId="4D25488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Readmissions</w:t>
            </w:r>
          </w:p>
          <w:p w14:paraId="2A5B4D90"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Offender-like behaviour</w:t>
            </w:r>
          </w:p>
          <w:p w14:paraId="0BBB58D8"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tc>
        <w:tc>
          <w:tcPr>
            <w:tcW w:w="5862" w:type="dxa"/>
            <w:gridSpan w:val="2"/>
            <w:tcBorders>
              <w:left w:val="single" w:sz="4" w:space="0" w:color="FFFFFF" w:themeColor="background1"/>
              <w:right w:val="single" w:sz="4" w:space="0" w:color="FFFFFF" w:themeColor="background1"/>
            </w:tcBorders>
          </w:tcPr>
          <w:p w14:paraId="2D4C0D8B"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Mean and median months </w:t>
            </w:r>
          </w:p>
          <w:p w14:paraId="59B0546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Rated as either good (risks reduced, safe for discharge), some (progress made in some areas, risk remains), none (no change) or poor (worse than admission)</w:t>
            </w:r>
          </w:p>
          <w:p w14:paraId="5CA1E0A2"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discharged</w:t>
            </w:r>
          </w:p>
          <w:p w14:paraId="4933870F"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Level security/type of placement at discharge and follow up</w:t>
            </w:r>
          </w:p>
          <w:p w14:paraId="58D12CFB"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Recurrence of symptoms of illness or challenging behaviour</w:t>
            </w:r>
          </w:p>
          <w:p w14:paraId="6BB76D8D"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re-admitted to hospital</w:t>
            </w:r>
          </w:p>
          <w:p w14:paraId="76F2A84A"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Behaviour which could be interpreted as an offence</w:t>
            </w:r>
          </w:p>
          <w:p w14:paraId="562F18A4"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reconvicted</w:t>
            </w:r>
          </w:p>
          <w:p w14:paraId="67D12BDC" w14:textId="77777777" w:rsidR="00841348" w:rsidRPr="00522CD2" w:rsidRDefault="00841348" w:rsidP="00290AAF">
            <w:pPr>
              <w:spacing w:line="276" w:lineRule="auto"/>
              <w:ind w:left="252"/>
              <w:rPr>
                <w:rFonts w:cs="Arial"/>
                <w:sz w:val="20"/>
                <w:szCs w:val="20"/>
              </w:rPr>
            </w:pPr>
          </w:p>
        </w:tc>
      </w:tr>
      <w:tr w:rsidR="00841348" w:rsidRPr="00522CD2" w14:paraId="3027F941" w14:textId="77777777" w:rsidTr="006A50DE">
        <w:trPr>
          <w:trHeight w:val="841"/>
        </w:trPr>
        <w:tc>
          <w:tcPr>
            <w:tcW w:w="2399" w:type="dxa"/>
            <w:tcBorders>
              <w:left w:val="single" w:sz="4" w:space="0" w:color="FFFFFF" w:themeColor="background1"/>
              <w:right w:val="single" w:sz="4" w:space="0" w:color="FFFFFF" w:themeColor="background1"/>
            </w:tcBorders>
          </w:tcPr>
          <w:p w14:paraId="4F277F7B" w14:textId="12D2EA16" w:rsidR="00841348" w:rsidRPr="00522CD2" w:rsidRDefault="00841348" w:rsidP="00290AAF">
            <w:pPr>
              <w:spacing w:line="276" w:lineRule="auto"/>
              <w:rPr>
                <w:rFonts w:cs="Arial"/>
                <w:sz w:val="20"/>
                <w:szCs w:val="20"/>
              </w:rPr>
            </w:pPr>
            <w:r w:rsidRPr="00522CD2">
              <w:rPr>
                <w:rFonts w:cs="Arial"/>
                <w:sz w:val="20"/>
                <w:szCs w:val="20"/>
              </w:rPr>
              <w:t>Lindsay et al. (2002)</w:t>
            </w:r>
            <w:r w:rsidRPr="00522CD2">
              <w:rPr>
                <w:rFonts w:cs="Arial"/>
                <w:sz w:val="20"/>
                <w:szCs w:val="20"/>
                <w:vertAlign w:val="superscript"/>
              </w:rPr>
              <w:t xml:space="preserve">3 </w:t>
            </w:r>
            <w:r w:rsidR="00046078" w:rsidRPr="00522CD2">
              <w:rPr>
                <w:rFonts w:cs="Arial"/>
                <w:sz w:val="20"/>
                <w:szCs w:val="20"/>
                <w:vertAlign w:val="superscript"/>
              </w:rPr>
              <w:fldChar w:fldCharType="begin" w:fldLock="1"/>
            </w:r>
            <w:r w:rsidR="00E353A8" w:rsidRPr="00522CD2">
              <w:rPr>
                <w:rFonts w:cs="Arial"/>
                <w:sz w:val="20"/>
                <w:szCs w:val="20"/>
                <w:vertAlign w:val="superscript"/>
              </w:rPr>
              <w:instrText>ADDIN CSL_CITATION { "citationItems" : [ { "id" : "ITEM-1", "itemData" : { "DOI" : "10.1046/j.1468-3148.2002.00111.x", "ISSN" : "1360-2322", "author" : [ { "dropping-particle" : "", "family" : "Lindsay", "given" : "William R.", "non-dropping-particle" : "", "parse-names" : false, "suffix" : "" }, { "dropping-particle" : "", "family" : "Smith", "given" : "Anne H. W.", "non-dropping-particle" : "", "parse-names" : false, "suffix" : "" }, { "dropping-particle" : "", "family" : "Law", "given" : "Jacqueline", "non-dropping-particle" : "", "parse-names" : false, "suffix" : "" }, { "dropping-particle" : "", "family" : "Quinn", "given" : "Kathleen", "non-dropping-particle" : "", "parse-names" : false, "suffix" : "" }, { "dropping-particle" : "", "family" : "Anderson", "given" : "Andrew", "non-dropping-particle" : "", "parse-names" : false, "suffix" : "" }, { "dropping-particle" : "", "family" : "Smith", "given" : "Astrid", "non-dropping-particle" : "", "parse-names" : false, "suffix" : "" }, { "dropping-particle" : "", "family" : "Overend", "given" : "Tim", "non-dropping-particle" : "", "parse-names" : false, "suffix" : "" }, { "dropping-particle" : "", "family" : "Allan", "given" : "Ronald", "non-dropping-particle" : "", "parse-names" : false, "suffix" : "" } ], "container-title" : "Journal of Applied Research in Intellectual Disabilities", "id" : "ITEM-1", "issue" : "2", "issued" : { "date-parts" : [ [ "2002", "6" ] ] }, "page" : "166-174", "publisher" : "Blackwell Science, Ltd", "title" : "A Treatment Service for Sex Offenders and Abusers with Intellectual Disability: Characteristics of Referrals and Evaluation", "type" : "article-journal", "volume" : "15" }, "uris" : [ "http://www.mendeley.com/documents/?uuid=5cf079fa-ab2e-33c0-b3c6-452b8e960313" ] } ], "mendeley" : { "formattedCitation" : "(28)", "plainTextFormattedCitation" : "(28)", "previouslyFormattedCitation" : "(28)" }, "properties" : { "noteIndex" : 0 }, "schema" : "https://github.com/citation-style-language/schema/raw/master/csl-citation.json" }</w:instrText>
            </w:r>
            <w:r w:rsidR="00046078" w:rsidRPr="00522CD2">
              <w:rPr>
                <w:rFonts w:cs="Arial"/>
                <w:sz w:val="20"/>
                <w:szCs w:val="20"/>
                <w:vertAlign w:val="superscript"/>
              </w:rPr>
              <w:fldChar w:fldCharType="separate"/>
            </w:r>
            <w:r w:rsidR="00E353A8" w:rsidRPr="00522CD2">
              <w:rPr>
                <w:rFonts w:cs="Arial"/>
                <w:noProof/>
                <w:sz w:val="20"/>
                <w:szCs w:val="20"/>
              </w:rPr>
              <w:t>(28)</w:t>
            </w:r>
            <w:r w:rsidR="00046078" w:rsidRPr="00522CD2">
              <w:rPr>
                <w:rFonts w:cs="Arial"/>
                <w:sz w:val="20"/>
                <w:szCs w:val="20"/>
                <w:vertAlign w:val="superscript"/>
              </w:rPr>
              <w:fldChar w:fldCharType="end"/>
            </w:r>
          </w:p>
          <w:p w14:paraId="39528021" w14:textId="77777777" w:rsidR="00841348" w:rsidRPr="00522CD2" w:rsidRDefault="00841348" w:rsidP="00290AAF">
            <w:pPr>
              <w:spacing w:line="276" w:lineRule="auto"/>
              <w:rPr>
                <w:rFonts w:cs="Arial"/>
                <w:sz w:val="20"/>
                <w:szCs w:val="20"/>
              </w:rPr>
            </w:pPr>
            <w:r w:rsidRPr="00522CD2">
              <w:rPr>
                <w:rFonts w:cs="Arial"/>
                <w:sz w:val="20"/>
                <w:szCs w:val="20"/>
              </w:rPr>
              <w:t>Community</w:t>
            </w:r>
          </w:p>
        </w:tc>
        <w:tc>
          <w:tcPr>
            <w:tcW w:w="2385" w:type="dxa"/>
            <w:tcBorders>
              <w:left w:val="single" w:sz="4" w:space="0" w:color="FFFFFF" w:themeColor="background1"/>
              <w:right w:val="single" w:sz="4" w:space="0" w:color="FFFFFF" w:themeColor="background1"/>
            </w:tcBorders>
          </w:tcPr>
          <w:p w14:paraId="2D0A41CA" w14:textId="058C573F" w:rsidR="00841348" w:rsidRPr="00522CD2" w:rsidRDefault="00841348" w:rsidP="00290AAF">
            <w:pPr>
              <w:spacing w:line="276" w:lineRule="auto"/>
              <w:rPr>
                <w:rFonts w:cs="Arial"/>
                <w:sz w:val="20"/>
                <w:szCs w:val="20"/>
              </w:rPr>
            </w:pPr>
            <w:r w:rsidRPr="00522CD2">
              <w:rPr>
                <w:rFonts w:cs="Arial"/>
                <w:sz w:val="20"/>
                <w:szCs w:val="20"/>
              </w:rPr>
              <w:t>Cohort study</w:t>
            </w:r>
          </w:p>
          <w:p w14:paraId="7D8AA704" w14:textId="77777777" w:rsidR="00841348" w:rsidRPr="00522CD2" w:rsidRDefault="00841348" w:rsidP="00290AAF">
            <w:pPr>
              <w:spacing w:line="276" w:lineRule="auto"/>
              <w:rPr>
                <w:rFonts w:cs="Arial"/>
                <w:sz w:val="20"/>
                <w:szCs w:val="20"/>
              </w:rPr>
            </w:pPr>
            <w:r w:rsidRPr="00522CD2">
              <w:rPr>
                <w:rFonts w:cs="Arial"/>
                <w:sz w:val="20"/>
                <w:szCs w:val="20"/>
              </w:rPr>
              <w:t>Follow up: 13 years</w:t>
            </w:r>
          </w:p>
        </w:tc>
        <w:tc>
          <w:tcPr>
            <w:tcW w:w="1136" w:type="dxa"/>
            <w:tcBorders>
              <w:left w:val="single" w:sz="4" w:space="0" w:color="FFFFFF" w:themeColor="background1"/>
              <w:right w:val="single" w:sz="4" w:space="0" w:color="FFFFFF" w:themeColor="background1"/>
            </w:tcBorders>
          </w:tcPr>
          <w:p w14:paraId="4B362CFA" w14:textId="77777777" w:rsidR="00841348" w:rsidRPr="00522CD2" w:rsidRDefault="00841348" w:rsidP="00290AAF">
            <w:pPr>
              <w:spacing w:line="276" w:lineRule="auto"/>
              <w:jc w:val="center"/>
              <w:rPr>
                <w:rFonts w:cs="Arial"/>
                <w:sz w:val="20"/>
                <w:szCs w:val="20"/>
              </w:rPr>
            </w:pPr>
            <w:r w:rsidRPr="00522CD2">
              <w:rPr>
                <w:rFonts w:cs="Arial"/>
                <w:sz w:val="20"/>
                <w:szCs w:val="20"/>
              </w:rPr>
              <w:t>62</w:t>
            </w:r>
          </w:p>
        </w:tc>
        <w:tc>
          <w:tcPr>
            <w:tcW w:w="3708" w:type="dxa"/>
            <w:tcBorders>
              <w:left w:val="single" w:sz="4" w:space="0" w:color="FFFFFF" w:themeColor="background1"/>
              <w:right w:val="single" w:sz="4" w:space="0" w:color="FFFFFF" w:themeColor="background1"/>
            </w:tcBorders>
          </w:tcPr>
          <w:p w14:paraId="78685BA4" w14:textId="1CACD76E" w:rsidR="00841348" w:rsidRPr="00522CD2" w:rsidRDefault="000344E3"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‘Offending</w:t>
            </w:r>
            <w:r w:rsidR="00841348" w:rsidRPr="00522CD2">
              <w:rPr>
                <w:rFonts w:cs="Arial"/>
                <w:sz w:val="20"/>
                <w:szCs w:val="20"/>
              </w:rPr>
              <w:t>-like</w:t>
            </w:r>
            <w:r w:rsidRPr="00522CD2">
              <w:rPr>
                <w:rFonts w:cs="Arial"/>
                <w:sz w:val="20"/>
                <w:szCs w:val="20"/>
              </w:rPr>
              <w:t>’</w:t>
            </w:r>
            <w:r w:rsidR="00841348" w:rsidRPr="00522CD2">
              <w:rPr>
                <w:rFonts w:cs="Arial"/>
                <w:sz w:val="20"/>
                <w:szCs w:val="20"/>
              </w:rPr>
              <w:t xml:space="preserve"> </w:t>
            </w:r>
            <w:r w:rsidR="00BC2682" w:rsidRPr="00522CD2">
              <w:rPr>
                <w:rFonts w:cs="Arial"/>
                <w:sz w:val="20"/>
                <w:szCs w:val="20"/>
              </w:rPr>
              <w:t>behavio</w:t>
            </w:r>
            <w:r w:rsidRPr="00522CD2">
              <w:rPr>
                <w:rFonts w:cs="Arial"/>
                <w:sz w:val="20"/>
                <w:szCs w:val="20"/>
              </w:rPr>
              <w:t>u</w:t>
            </w:r>
            <w:r w:rsidR="00BC2682" w:rsidRPr="00522CD2">
              <w:rPr>
                <w:rFonts w:cs="Arial"/>
                <w:sz w:val="20"/>
                <w:szCs w:val="20"/>
              </w:rPr>
              <w:t>r</w:t>
            </w:r>
          </w:p>
          <w:p w14:paraId="5690A733"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tc>
        <w:tc>
          <w:tcPr>
            <w:tcW w:w="5862" w:type="dxa"/>
            <w:gridSpan w:val="2"/>
            <w:tcBorders>
              <w:left w:val="single" w:sz="4" w:space="0" w:color="FFFFFF" w:themeColor="background1"/>
              <w:right w:val="single" w:sz="4" w:space="0" w:color="FFFFFF" w:themeColor="background1"/>
            </w:tcBorders>
          </w:tcPr>
          <w:p w14:paraId="066B3CDA" w14:textId="15E84C44"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 of patients </w:t>
            </w:r>
            <w:r w:rsidR="000344E3" w:rsidRPr="00522CD2">
              <w:rPr>
                <w:rFonts w:cs="Arial"/>
                <w:sz w:val="20"/>
                <w:szCs w:val="20"/>
              </w:rPr>
              <w:t>‘</w:t>
            </w:r>
            <w:r w:rsidRPr="00522CD2">
              <w:rPr>
                <w:rFonts w:cs="Arial"/>
                <w:sz w:val="20"/>
                <w:szCs w:val="20"/>
              </w:rPr>
              <w:t>suspected of</w:t>
            </w:r>
            <w:r w:rsidR="000344E3" w:rsidRPr="00522CD2">
              <w:rPr>
                <w:rFonts w:cs="Arial"/>
                <w:sz w:val="20"/>
                <w:szCs w:val="20"/>
              </w:rPr>
              <w:t>’</w:t>
            </w:r>
            <w:r w:rsidRPr="00522CD2">
              <w:rPr>
                <w:rFonts w:cs="Arial"/>
                <w:sz w:val="20"/>
                <w:szCs w:val="20"/>
              </w:rPr>
              <w:t xml:space="preserve"> re-offending </w:t>
            </w:r>
          </w:p>
          <w:p w14:paraId="5B0A2B32"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with clear evidence of re-offending</w:t>
            </w:r>
          </w:p>
        </w:tc>
      </w:tr>
      <w:tr w:rsidR="00841348" w:rsidRPr="00522CD2" w14:paraId="6190A261" w14:textId="77777777" w:rsidTr="006A50DE">
        <w:trPr>
          <w:gridAfter w:val="1"/>
          <w:wAfter w:w="240" w:type="dxa"/>
          <w:trHeight w:val="510"/>
        </w:trPr>
        <w:tc>
          <w:tcPr>
            <w:tcW w:w="15250" w:type="dxa"/>
            <w:gridSpan w:val="5"/>
            <w:tcBorders>
              <w:left w:val="single" w:sz="4" w:space="0" w:color="FFFFFF" w:themeColor="background1"/>
              <w:right w:val="single" w:sz="4" w:space="0" w:color="FFFFFF" w:themeColor="background1"/>
            </w:tcBorders>
          </w:tcPr>
          <w:p w14:paraId="0891EF29" w14:textId="3E2A074F" w:rsidR="00841348" w:rsidRPr="00522CD2" w:rsidRDefault="00841348" w:rsidP="00290AAF">
            <w:pPr>
              <w:spacing w:line="276" w:lineRule="auto"/>
              <w:ind w:left="284"/>
              <w:rPr>
                <w:rFonts w:cs="Arial"/>
                <w:sz w:val="20"/>
                <w:szCs w:val="20"/>
              </w:rPr>
            </w:pPr>
            <w:r w:rsidRPr="00522CD2">
              <w:rPr>
                <w:rFonts w:cs="Arial"/>
                <w:i/>
                <w:sz w:val="20"/>
                <w:szCs w:val="20"/>
              </w:rPr>
              <w:t>Note.</w:t>
            </w:r>
            <w:r w:rsidRPr="00522CD2">
              <w:rPr>
                <w:rFonts w:cs="Arial"/>
                <w:sz w:val="20"/>
                <w:szCs w:val="20"/>
              </w:rPr>
              <w:t xml:space="preserve"> </w:t>
            </w:r>
            <w:r w:rsidRPr="00522CD2">
              <w:rPr>
                <w:rStyle w:val="EndnoteReference"/>
                <w:sz w:val="20"/>
                <w:szCs w:val="20"/>
              </w:rPr>
              <w:t>2</w:t>
            </w:r>
            <w:r w:rsidRPr="00522CD2">
              <w:rPr>
                <w:sz w:val="20"/>
                <w:szCs w:val="20"/>
              </w:rPr>
              <w:t xml:space="preserve">The sample in Fitzgerald et al., (2011) overlaps with </w:t>
            </w:r>
            <w:r w:rsidR="00920272" w:rsidRPr="00522CD2">
              <w:rPr>
                <w:sz w:val="20"/>
                <w:szCs w:val="20"/>
              </w:rPr>
              <w:t>that of Gray et al., (2007</w:t>
            </w:r>
            <w:r w:rsidRPr="00522CD2">
              <w:rPr>
                <w:sz w:val="20"/>
                <w:szCs w:val="20"/>
              </w:rPr>
              <w:t xml:space="preserve">). </w:t>
            </w:r>
            <w:r w:rsidRPr="00522CD2">
              <w:rPr>
                <w:rStyle w:val="EndnoteReference"/>
                <w:sz w:val="20"/>
                <w:szCs w:val="20"/>
              </w:rPr>
              <w:t>3</w:t>
            </w:r>
            <w:r w:rsidRPr="00522CD2">
              <w:rPr>
                <w:sz w:val="20"/>
                <w:szCs w:val="20"/>
              </w:rPr>
              <w:t xml:space="preserve">The sample in Lindsay et al (2002) overlaps with that of Lindsay et al (2004a; 2004b; 2004c; 2006; 2013). </w:t>
            </w:r>
            <w:r w:rsidR="000344E3" w:rsidRPr="00522CD2">
              <w:rPr>
                <w:rFonts w:cs="Arial"/>
                <w:sz w:val="20"/>
                <w:szCs w:val="20"/>
              </w:rPr>
              <w:t>HoNOS = H</w:t>
            </w:r>
            <w:r w:rsidRPr="00522CD2">
              <w:rPr>
                <w:rFonts w:cs="Arial"/>
                <w:sz w:val="20"/>
                <w:szCs w:val="20"/>
              </w:rPr>
              <w:t>ealth of th</w:t>
            </w:r>
            <w:r w:rsidR="000344E3" w:rsidRPr="00522CD2">
              <w:rPr>
                <w:rFonts w:cs="Arial"/>
                <w:sz w:val="20"/>
                <w:szCs w:val="20"/>
              </w:rPr>
              <w:t>e Nation Outcome Scale; OGRS = Offender Group Reconviction S</w:t>
            </w:r>
            <w:r w:rsidRPr="00522CD2">
              <w:rPr>
                <w:rFonts w:cs="Arial"/>
                <w:sz w:val="20"/>
                <w:szCs w:val="20"/>
              </w:rPr>
              <w:t>cale</w:t>
            </w:r>
            <w:r w:rsidR="000344E3" w:rsidRPr="00522CD2">
              <w:rPr>
                <w:rFonts w:cs="Arial"/>
                <w:sz w:val="20"/>
                <w:szCs w:val="20"/>
              </w:rPr>
              <w:t>;</w:t>
            </w:r>
            <w:r w:rsidR="000D7C0A" w:rsidRPr="00522CD2">
              <w:rPr>
                <w:rFonts w:cs="Arial"/>
                <w:sz w:val="20"/>
                <w:szCs w:val="20"/>
              </w:rPr>
              <w:t xml:space="preserve"> </w:t>
            </w:r>
            <w:r w:rsidR="000344E3" w:rsidRPr="00522CD2">
              <w:rPr>
                <w:rFonts w:cs="Arial"/>
                <w:sz w:val="20"/>
                <w:szCs w:val="20"/>
              </w:rPr>
              <w:t>VRAG = Violence Risk Appraisal Guide</w:t>
            </w:r>
          </w:p>
        </w:tc>
      </w:tr>
      <w:tr w:rsidR="00841348" w:rsidRPr="00522CD2" w14:paraId="645E7BFA" w14:textId="77777777" w:rsidTr="006A50DE">
        <w:trPr>
          <w:trHeight w:val="57"/>
        </w:trPr>
        <w:tc>
          <w:tcPr>
            <w:tcW w:w="15490" w:type="dxa"/>
            <w:gridSpan w:val="6"/>
            <w:tcBorders>
              <w:top w:val="single" w:sz="4" w:space="0" w:color="FFFFFF" w:themeColor="background1"/>
              <w:left w:val="single" w:sz="4" w:space="0" w:color="FFFFFF" w:themeColor="background1"/>
              <w:right w:val="single" w:sz="4" w:space="0" w:color="FFFFFF" w:themeColor="background1"/>
            </w:tcBorders>
          </w:tcPr>
          <w:p w14:paraId="04B23CB5" w14:textId="1B0A3A64" w:rsidR="000B4BE8" w:rsidRPr="00522CD2" w:rsidRDefault="000B4BE8" w:rsidP="00290AAF">
            <w:pPr>
              <w:spacing w:line="276" w:lineRule="auto"/>
              <w:rPr>
                <w:rFonts w:cs="Arial"/>
                <w:b/>
                <w:sz w:val="20"/>
                <w:szCs w:val="20"/>
              </w:rPr>
            </w:pPr>
          </w:p>
          <w:p w14:paraId="44CF9A96" w14:textId="77777777" w:rsidR="00841348" w:rsidRPr="00522CD2" w:rsidRDefault="00841348" w:rsidP="00290AAF">
            <w:pPr>
              <w:spacing w:line="276" w:lineRule="auto"/>
              <w:rPr>
                <w:rFonts w:cs="Arial"/>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w:t>
            </w:r>
            <w:r w:rsidRPr="00522CD2">
              <w:rPr>
                <w:rFonts w:cs="Arial"/>
                <w:sz w:val="20"/>
                <w:szCs w:val="20"/>
              </w:rPr>
              <w:t xml:space="preserve"> continued</w:t>
            </w:r>
          </w:p>
          <w:p w14:paraId="6B6A341F" w14:textId="77777777" w:rsidR="00841348" w:rsidRPr="00522CD2" w:rsidRDefault="00841348" w:rsidP="00290AAF">
            <w:pPr>
              <w:spacing w:line="276" w:lineRule="auto"/>
              <w:rPr>
                <w:rFonts w:cs="Arial"/>
                <w:sz w:val="20"/>
                <w:szCs w:val="20"/>
              </w:rPr>
            </w:pPr>
            <w:r w:rsidRPr="00522CD2">
              <w:rPr>
                <w:rFonts w:cs="Arial"/>
                <w:sz w:val="20"/>
                <w:szCs w:val="20"/>
              </w:rPr>
              <w:t>Summary of studies presenting data on the outcome domain of effectiveness (cohort studies).</w:t>
            </w:r>
          </w:p>
        </w:tc>
      </w:tr>
      <w:tr w:rsidR="00841348" w:rsidRPr="00522CD2" w14:paraId="45614BF9" w14:textId="77777777" w:rsidTr="006A50DE">
        <w:trPr>
          <w:trHeight w:val="340"/>
        </w:trPr>
        <w:tc>
          <w:tcPr>
            <w:tcW w:w="2399" w:type="dxa"/>
            <w:tcBorders>
              <w:left w:val="single" w:sz="4" w:space="0" w:color="FFFFFF" w:themeColor="background1"/>
              <w:right w:val="single" w:sz="4" w:space="0" w:color="FFFFFF" w:themeColor="background1"/>
            </w:tcBorders>
          </w:tcPr>
          <w:p w14:paraId="17C70342" w14:textId="77777777" w:rsidR="00841348" w:rsidRPr="00522CD2" w:rsidRDefault="00841348" w:rsidP="00290AAF">
            <w:pPr>
              <w:jc w:val="center"/>
              <w:rPr>
                <w:rFonts w:cs="Arial"/>
                <w:b/>
                <w:sz w:val="20"/>
                <w:szCs w:val="20"/>
              </w:rPr>
            </w:pPr>
            <w:r w:rsidRPr="00522CD2">
              <w:rPr>
                <w:rFonts w:cs="Arial"/>
                <w:b/>
                <w:sz w:val="20"/>
                <w:szCs w:val="20"/>
              </w:rPr>
              <w:t>Study and Setting</w:t>
            </w:r>
          </w:p>
        </w:tc>
        <w:tc>
          <w:tcPr>
            <w:tcW w:w="2385" w:type="dxa"/>
            <w:tcBorders>
              <w:left w:val="single" w:sz="4" w:space="0" w:color="FFFFFF" w:themeColor="background1"/>
              <w:right w:val="single" w:sz="4" w:space="0" w:color="FFFFFF" w:themeColor="background1"/>
            </w:tcBorders>
          </w:tcPr>
          <w:p w14:paraId="48D4C1DC" w14:textId="77777777" w:rsidR="00841348" w:rsidRPr="00522CD2" w:rsidRDefault="00841348" w:rsidP="00290AAF">
            <w:pPr>
              <w:jc w:val="center"/>
              <w:rPr>
                <w:rFonts w:cs="Arial"/>
                <w:b/>
                <w:sz w:val="20"/>
                <w:szCs w:val="20"/>
              </w:rPr>
            </w:pPr>
            <w:r w:rsidRPr="00522CD2">
              <w:rPr>
                <w:rFonts w:cs="Arial"/>
                <w:b/>
                <w:sz w:val="20"/>
                <w:szCs w:val="20"/>
              </w:rPr>
              <w:t>Design</w:t>
            </w:r>
          </w:p>
        </w:tc>
        <w:tc>
          <w:tcPr>
            <w:tcW w:w="1136" w:type="dxa"/>
            <w:tcBorders>
              <w:left w:val="single" w:sz="4" w:space="0" w:color="FFFFFF" w:themeColor="background1"/>
              <w:right w:val="single" w:sz="4" w:space="0" w:color="FFFFFF" w:themeColor="background1"/>
            </w:tcBorders>
          </w:tcPr>
          <w:p w14:paraId="251DE852" w14:textId="77777777" w:rsidR="00841348" w:rsidRPr="00522CD2" w:rsidRDefault="00841348" w:rsidP="00290AAF">
            <w:pPr>
              <w:jc w:val="center"/>
              <w:rPr>
                <w:rFonts w:cs="Arial"/>
                <w:b/>
                <w:sz w:val="20"/>
                <w:szCs w:val="20"/>
              </w:rPr>
            </w:pPr>
            <w:r w:rsidRPr="00522CD2">
              <w:rPr>
                <w:rFonts w:cs="Arial"/>
                <w:b/>
                <w:sz w:val="20"/>
                <w:szCs w:val="20"/>
              </w:rPr>
              <w:t>N</w:t>
            </w:r>
          </w:p>
        </w:tc>
        <w:tc>
          <w:tcPr>
            <w:tcW w:w="3708" w:type="dxa"/>
            <w:tcBorders>
              <w:left w:val="single" w:sz="4" w:space="0" w:color="FFFFFF" w:themeColor="background1"/>
              <w:right w:val="single" w:sz="4" w:space="0" w:color="FFFFFF" w:themeColor="background1"/>
            </w:tcBorders>
          </w:tcPr>
          <w:p w14:paraId="07664BA3" w14:textId="77777777" w:rsidR="00841348" w:rsidRPr="00522CD2" w:rsidRDefault="00841348" w:rsidP="00290AAF">
            <w:pPr>
              <w:jc w:val="center"/>
              <w:rPr>
                <w:rFonts w:cs="Arial"/>
                <w:b/>
                <w:sz w:val="20"/>
                <w:szCs w:val="20"/>
              </w:rPr>
            </w:pPr>
            <w:r w:rsidRPr="00522CD2">
              <w:rPr>
                <w:rFonts w:cs="Arial"/>
                <w:b/>
                <w:sz w:val="20"/>
                <w:szCs w:val="20"/>
              </w:rPr>
              <w:t>Outcome Sub-Domain</w:t>
            </w:r>
          </w:p>
        </w:tc>
        <w:tc>
          <w:tcPr>
            <w:tcW w:w="5862" w:type="dxa"/>
            <w:gridSpan w:val="2"/>
            <w:tcBorders>
              <w:left w:val="single" w:sz="4" w:space="0" w:color="FFFFFF" w:themeColor="background1"/>
              <w:right w:val="single" w:sz="4" w:space="0" w:color="FFFFFF" w:themeColor="background1"/>
            </w:tcBorders>
          </w:tcPr>
          <w:p w14:paraId="7A706861" w14:textId="77777777" w:rsidR="00841348" w:rsidRPr="00522CD2" w:rsidRDefault="00841348" w:rsidP="00290AAF">
            <w:pPr>
              <w:jc w:val="center"/>
              <w:rPr>
                <w:rFonts w:cs="Arial"/>
                <w:b/>
                <w:sz w:val="20"/>
                <w:szCs w:val="20"/>
              </w:rPr>
            </w:pPr>
            <w:r w:rsidRPr="00522CD2">
              <w:rPr>
                <w:rFonts w:cs="Arial"/>
                <w:b/>
                <w:sz w:val="20"/>
                <w:szCs w:val="20"/>
              </w:rPr>
              <w:t>Measure/Indicator</w:t>
            </w:r>
          </w:p>
        </w:tc>
      </w:tr>
      <w:tr w:rsidR="00841348" w:rsidRPr="00522CD2" w14:paraId="3024B413" w14:textId="77777777" w:rsidTr="006A50DE">
        <w:trPr>
          <w:trHeight w:val="578"/>
        </w:trPr>
        <w:tc>
          <w:tcPr>
            <w:tcW w:w="2399" w:type="dxa"/>
            <w:tcBorders>
              <w:left w:val="single" w:sz="4" w:space="0" w:color="FFFFFF" w:themeColor="background1"/>
              <w:right w:val="single" w:sz="4" w:space="0" w:color="FFFFFF" w:themeColor="background1"/>
            </w:tcBorders>
          </w:tcPr>
          <w:p w14:paraId="40AC5750" w14:textId="4B307E99" w:rsidR="00841348" w:rsidRPr="00522CD2" w:rsidRDefault="00841348" w:rsidP="00290AAF">
            <w:pPr>
              <w:spacing w:line="276" w:lineRule="auto"/>
              <w:rPr>
                <w:rFonts w:cs="Arial"/>
                <w:sz w:val="20"/>
                <w:szCs w:val="20"/>
              </w:rPr>
            </w:pPr>
            <w:r w:rsidRPr="00522CD2">
              <w:rPr>
                <w:rFonts w:cs="Arial"/>
                <w:sz w:val="20"/>
                <w:szCs w:val="20"/>
              </w:rPr>
              <w:t xml:space="preserve">Lindsay et al. (2004a) </w:t>
            </w:r>
            <w:r w:rsidR="00046078" w:rsidRPr="00522CD2">
              <w:rPr>
                <w:rFonts w:cs="Arial"/>
                <w:sz w:val="20"/>
                <w:szCs w:val="20"/>
              </w:rPr>
              <w:fldChar w:fldCharType="begin" w:fldLock="1"/>
            </w:r>
            <w:r w:rsidR="00E353A8" w:rsidRPr="00522CD2">
              <w:rPr>
                <w:rFonts w:cs="Arial"/>
                <w:sz w:val="20"/>
                <w:szCs w:val="20"/>
              </w:rPr>
              <w:instrText>ADDIN CSL_CITATION { "citationItems" : [ { "id" : "ITEM-1", "itemData" : { "DOI" : "10.1111/j.1365-2788.2004.00627.x", "ISSN" : "0964-2633", "PMID" : "15312059", "abstract" : "BACKGROUND There have been a few reports describing the characteristics and outcomes of male offenders with intellectual disability (ID). Therefore, while we are building up a reasonable picture of this client group, there are almost no reports of female offenders with ID. This paper is a preliminary attempt to present information on a small cohort of female offenders. METHODS Characteristics of female offenders are presented including information on age, IQ, mental illness, referring agents, crimes committed, problems identified, sexual and physical abuse and outcome. Some comparisons are made with corresponding descriptions of male cohorts in Lindsay et al. (2004). RESULTS The main result is that females constitute 9% of referrals to the service. Other notable results are that: at 61% sexual abuse in the cohort of female offenders is higher than in male cohorts but at 38.5% physical abuse is no higher than in appropriate comparison groups; as with mainstream female offenders identification of mental illness is high at 67%; and total re-offending over 5 years was 22% but, excluding prostitution, was only 16.5%. CONCLUSIONS In some respects, this cohort of female offenders shows similar characteristics to their male counterparts. However, there are higher levels of mental illness, higher levels of sexual abuse and lower levels of re-offending. It is hypothesized that as females constitute such a low percentage of referrals, it suggests that women with ID do not show the same levels of sexually abusive behaviour or aggressive behaviour--the two most frequent reasons for male referral. Therefore, an intervening variable such as mental illness may indeed be a significant factor. Lower re-offending rates may indicate the success of interventions directed at psychological problems and mental illness.", "author" : [ { "dropping-particle" : "", "family" : "Lindsay", "given" : "W R", "non-dropping-particle" : "", "parse-names" : false, "suffix" : "" }, { "dropping-particle" : "", "family" : "Smith", "given" : "A H W", "non-dropping-particle" : "", "parse-names" : false, "suffix" : "" }, { "dropping-particle" : "", "family" : "Quinn", "given" : "K", "non-dropping-particle" : "", "parse-names" : false, "suffix" : "" }, { "dropping-particle" : "", "family" : "Anderson", "given" : "A", "non-dropping-particle" : "", "parse-names" : false, "suffix" : "" }, { "dropping-particle" : "", "family" : "Smith", "given" : "A", "non-dropping-particle" : "", "parse-names" : false, "suffix" : "" }, { "dropping-particle" : "", "family" : "Allan", "given" : "R", "non-dropping-particle" : "", "parse-names" : false, "suffix" : "" }, { "dropping-particle" : "", "family" : "Law", "given" : "J", "non-dropping-particle" : "", "parse-names" : false, "suffix" : "" } ], "container-title" : "Journal of intellectual disability research : JIDR", "id" : "ITEM-1", "issue" : "Pt 6", "issued" : { "date-parts" : [ [ "2004", "9" ] ] }, "page" : "580-90", "title" : "Women with intellectual disability who have offended: characteristics and outcome.", "type" : "article-journal", "volume" : "48" }, "uris" : [ "http://www.mendeley.com/documents/?uuid=22d2ef6c-a138-383e-8f88-0c94a62c4462" ] } ], "mendeley" : { "formattedCitation" : "(46)", "plainTextFormattedCitation" : "(46)", "previouslyFormattedCitation" : "(46)" }, "properties" : { "noteIndex" : 0 }, "schema" : "https://github.com/citation-style-language/schema/raw/master/csl-citation.json" }</w:instrText>
            </w:r>
            <w:r w:rsidR="00046078" w:rsidRPr="00522CD2">
              <w:rPr>
                <w:rFonts w:cs="Arial"/>
                <w:sz w:val="20"/>
                <w:szCs w:val="20"/>
              </w:rPr>
              <w:fldChar w:fldCharType="separate"/>
            </w:r>
            <w:r w:rsidR="00E353A8" w:rsidRPr="00522CD2">
              <w:rPr>
                <w:rFonts w:cs="Arial"/>
                <w:noProof/>
                <w:sz w:val="20"/>
                <w:szCs w:val="20"/>
              </w:rPr>
              <w:t>(46)</w:t>
            </w:r>
            <w:r w:rsidR="00046078" w:rsidRPr="00522CD2">
              <w:rPr>
                <w:rFonts w:cs="Arial"/>
                <w:sz w:val="20"/>
                <w:szCs w:val="20"/>
              </w:rPr>
              <w:fldChar w:fldCharType="end"/>
            </w:r>
          </w:p>
          <w:p w14:paraId="2E9E7952" w14:textId="77777777" w:rsidR="00841348" w:rsidRPr="00522CD2" w:rsidRDefault="00841348" w:rsidP="00290AAF">
            <w:pPr>
              <w:spacing w:line="276" w:lineRule="auto"/>
              <w:rPr>
                <w:rFonts w:cs="Arial"/>
                <w:sz w:val="20"/>
                <w:szCs w:val="20"/>
              </w:rPr>
            </w:pPr>
            <w:r w:rsidRPr="00522CD2">
              <w:rPr>
                <w:rFonts w:cs="Arial"/>
                <w:sz w:val="20"/>
                <w:szCs w:val="20"/>
              </w:rPr>
              <w:t>Community</w:t>
            </w:r>
          </w:p>
          <w:p w14:paraId="10A10FCA" w14:textId="77777777" w:rsidR="00841348" w:rsidRPr="00522CD2" w:rsidRDefault="00841348" w:rsidP="00290AAF">
            <w:pPr>
              <w:spacing w:line="276" w:lineRule="auto"/>
              <w:rPr>
                <w:rFonts w:cs="Arial"/>
                <w:sz w:val="20"/>
                <w:szCs w:val="20"/>
              </w:rPr>
            </w:pPr>
          </w:p>
        </w:tc>
        <w:tc>
          <w:tcPr>
            <w:tcW w:w="2385" w:type="dxa"/>
            <w:tcBorders>
              <w:left w:val="single" w:sz="4" w:space="0" w:color="FFFFFF" w:themeColor="background1"/>
              <w:right w:val="single" w:sz="4" w:space="0" w:color="FFFFFF" w:themeColor="background1"/>
            </w:tcBorders>
          </w:tcPr>
          <w:p w14:paraId="0DE7796D" w14:textId="73FBCA4D" w:rsidR="00841348" w:rsidRPr="00522CD2" w:rsidRDefault="00841348" w:rsidP="00290AAF">
            <w:pPr>
              <w:spacing w:line="276" w:lineRule="auto"/>
              <w:rPr>
                <w:rFonts w:cs="Arial"/>
                <w:sz w:val="20"/>
                <w:szCs w:val="20"/>
              </w:rPr>
            </w:pPr>
            <w:r w:rsidRPr="00522CD2">
              <w:rPr>
                <w:rFonts w:cs="Arial"/>
                <w:sz w:val="20"/>
                <w:szCs w:val="20"/>
              </w:rPr>
              <w:t>Cohort Study</w:t>
            </w:r>
          </w:p>
          <w:p w14:paraId="0429F131" w14:textId="77777777" w:rsidR="00841348" w:rsidRPr="00522CD2" w:rsidRDefault="00841348" w:rsidP="00290AAF">
            <w:pPr>
              <w:spacing w:line="276" w:lineRule="auto"/>
              <w:rPr>
                <w:rFonts w:cs="Arial"/>
                <w:sz w:val="20"/>
                <w:szCs w:val="20"/>
              </w:rPr>
            </w:pPr>
            <w:r w:rsidRPr="00522CD2">
              <w:rPr>
                <w:rFonts w:cs="Arial"/>
                <w:sz w:val="20"/>
                <w:szCs w:val="20"/>
              </w:rPr>
              <w:t>Follow up: 7 years</w:t>
            </w:r>
          </w:p>
          <w:p w14:paraId="581686D1" w14:textId="77777777" w:rsidR="00841348" w:rsidRPr="00522CD2" w:rsidRDefault="00841348" w:rsidP="00290AAF">
            <w:pPr>
              <w:spacing w:line="276" w:lineRule="auto"/>
              <w:ind w:left="132"/>
              <w:rPr>
                <w:rFonts w:cs="Arial"/>
                <w:sz w:val="20"/>
                <w:szCs w:val="20"/>
              </w:rPr>
            </w:pPr>
          </w:p>
        </w:tc>
        <w:tc>
          <w:tcPr>
            <w:tcW w:w="1136" w:type="dxa"/>
            <w:tcBorders>
              <w:left w:val="single" w:sz="4" w:space="0" w:color="FFFFFF" w:themeColor="background1"/>
              <w:right w:val="single" w:sz="4" w:space="0" w:color="FFFFFF" w:themeColor="background1"/>
            </w:tcBorders>
          </w:tcPr>
          <w:p w14:paraId="733EEB98" w14:textId="77777777" w:rsidR="00841348" w:rsidRPr="00522CD2" w:rsidRDefault="00841348" w:rsidP="00290AAF">
            <w:pPr>
              <w:spacing w:line="276" w:lineRule="auto"/>
              <w:jc w:val="center"/>
              <w:rPr>
                <w:rFonts w:cs="Arial"/>
                <w:sz w:val="20"/>
                <w:szCs w:val="20"/>
              </w:rPr>
            </w:pPr>
            <w:r w:rsidRPr="00522CD2">
              <w:rPr>
                <w:rFonts w:cs="Arial"/>
                <w:sz w:val="20"/>
                <w:szCs w:val="20"/>
              </w:rPr>
              <w:t>184</w:t>
            </w:r>
          </w:p>
        </w:tc>
        <w:tc>
          <w:tcPr>
            <w:tcW w:w="3708" w:type="dxa"/>
            <w:tcBorders>
              <w:left w:val="single" w:sz="4" w:space="0" w:color="FFFFFF" w:themeColor="background1"/>
              <w:right w:val="single" w:sz="4" w:space="0" w:color="FFFFFF" w:themeColor="background1"/>
            </w:tcBorders>
          </w:tcPr>
          <w:p w14:paraId="4FE12718"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p w14:paraId="0BA5ADBF"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Harm reduction</w:t>
            </w:r>
          </w:p>
          <w:p w14:paraId="6E072CAF" w14:textId="77777777" w:rsidR="00841348" w:rsidRPr="00522CD2" w:rsidRDefault="00841348" w:rsidP="00290AAF">
            <w:pPr>
              <w:spacing w:line="276" w:lineRule="auto"/>
              <w:rPr>
                <w:rFonts w:cs="Arial"/>
                <w:sz w:val="20"/>
                <w:szCs w:val="20"/>
              </w:rPr>
            </w:pPr>
          </w:p>
        </w:tc>
        <w:tc>
          <w:tcPr>
            <w:tcW w:w="5862" w:type="dxa"/>
            <w:gridSpan w:val="2"/>
            <w:tcBorders>
              <w:left w:val="single" w:sz="4" w:space="0" w:color="FFFFFF" w:themeColor="background1"/>
              <w:right w:val="single" w:sz="4" w:space="0" w:color="FFFFFF" w:themeColor="background1"/>
            </w:tcBorders>
          </w:tcPr>
          <w:p w14:paraId="244A2D8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with clear evidence of re-offending</w:t>
            </w:r>
          </w:p>
          <w:p w14:paraId="4CC1B344"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Decrease in the number of incidents 2 years before referral vs incident data at follow up</w:t>
            </w:r>
          </w:p>
          <w:p w14:paraId="3E071105" w14:textId="77777777" w:rsidR="00841348" w:rsidRPr="00522CD2" w:rsidRDefault="00841348" w:rsidP="00290AAF">
            <w:pPr>
              <w:spacing w:line="276" w:lineRule="auto"/>
              <w:ind w:left="252"/>
              <w:rPr>
                <w:rFonts w:cs="Arial"/>
                <w:sz w:val="20"/>
                <w:szCs w:val="20"/>
              </w:rPr>
            </w:pPr>
          </w:p>
        </w:tc>
      </w:tr>
      <w:tr w:rsidR="00841348" w:rsidRPr="00522CD2" w14:paraId="05A129D9" w14:textId="77777777" w:rsidTr="006A50DE">
        <w:trPr>
          <w:trHeight w:val="578"/>
        </w:trPr>
        <w:tc>
          <w:tcPr>
            <w:tcW w:w="2399" w:type="dxa"/>
            <w:tcBorders>
              <w:left w:val="single" w:sz="4" w:space="0" w:color="FFFFFF" w:themeColor="background1"/>
              <w:right w:val="single" w:sz="4" w:space="0" w:color="FFFFFF" w:themeColor="background1"/>
            </w:tcBorders>
          </w:tcPr>
          <w:p w14:paraId="0B1D0CC8" w14:textId="63BE7230" w:rsidR="00841348" w:rsidRPr="00522CD2" w:rsidRDefault="00841348" w:rsidP="00290AAF">
            <w:pPr>
              <w:spacing w:line="276" w:lineRule="auto"/>
              <w:rPr>
                <w:rFonts w:cs="Arial"/>
                <w:sz w:val="20"/>
                <w:szCs w:val="20"/>
              </w:rPr>
            </w:pPr>
            <w:r w:rsidRPr="00522CD2">
              <w:rPr>
                <w:rFonts w:cs="Arial"/>
                <w:sz w:val="20"/>
                <w:szCs w:val="20"/>
              </w:rPr>
              <w:t xml:space="preserve">Lindsay et al.  (2004b) </w:t>
            </w:r>
            <w:r w:rsidR="00DD386F" w:rsidRPr="00522CD2">
              <w:rPr>
                <w:rFonts w:cs="Arial"/>
                <w:sz w:val="20"/>
                <w:szCs w:val="20"/>
              </w:rPr>
              <w:fldChar w:fldCharType="begin" w:fldLock="1"/>
            </w:r>
            <w:r w:rsidR="00E353A8" w:rsidRPr="00522CD2">
              <w:rPr>
                <w:rFonts w:cs="Arial"/>
                <w:sz w:val="20"/>
                <w:szCs w:val="20"/>
              </w:rPr>
              <w:instrText>ADDIN CSL_CITATION { "citationItems" : [ { "id" : "ITEM-1", "itemData" : { "DOI" : "10.1111/j.1365-2788.2004.00627.x", "ISSN" : "0964-2633", "PMID" : "15312059", "abstract" : "BACKGROUND There have been a few reports describing the characteristics and outcomes of male offenders with intellectual disability (ID). Therefore, while we are building up a reasonable picture of this client group, there are almost no reports of female offenders with ID. This paper is a preliminary attempt to present information on a small cohort of female offenders. METHODS Characteristics of female offenders are presented including information on age, IQ, mental illness, referring agents, crimes committed, problems identified, sexual and physical abuse and outcome. Some comparisons are made with corresponding descriptions of male cohorts in Lindsay et al. (2004). RESULTS The main result is that females constitute 9% of referrals to the service. Other notable results are that: at 61% sexual abuse in the cohort of female offenders is higher than in male cohorts but at 38.5% physical abuse is no higher than in appropriate comparison groups; as with mainstream female offenders identification of mental illness is high at 67%; and total re-offending over 5 years was 22% but, excluding prostitution, was only 16.5%. CONCLUSIONS In some respects, this cohort of female offenders shows similar characteristics to their male counterparts. However, there are higher levels of mental illness, higher levels of sexual abuse and lower levels of re-offending. It is hypothesized that as females constitute such a low percentage of referrals, it suggests that women with ID do not show the same levels of sexually abusive behaviour or aggressive behaviour--the two most frequent reasons for male referral. Therefore, an intervening variable such as mental illness may indeed be a significant factor. Lower re-offending rates may indicate the success of interventions directed at psychological problems and mental illness.", "author" : [ { "dropping-particle" : "", "family" : "Lindsay", "given" : "W R", "non-dropping-particle" : "", "parse-names" : false, "suffix" : "" }, { "dropping-particle" : "", "family" : "Smith", "given" : "A H W", "non-dropping-particle" : "", "parse-names" : false, "suffix" : "" }, { "dropping-particle" : "", "family" : "Quinn", "given" : "K", "non-dropping-particle" : "", "parse-names" : false, "suffix" : "" }, { "dropping-particle" : "", "family" : "Anderson", "given" : "A", "non-dropping-particle" : "", "parse-names" : false, "suffix" : "" }, { "dropping-particle" : "", "family" : "Smith", "given" : "A", "non-dropping-particle" : "", "parse-names" : false, "suffix" : "" }, { "dropping-particle" : "", "family" : "Allan", "given" : "R", "non-dropping-particle" : "", "parse-names" : false, "suffix" : "" }, { "dropping-particle" : "", "family" : "Law", "given" : "J", "non-dropping-particle" : "", "parse-names" : false, "suffix" : "" } ], "container-title" : "Journal of intellectual disability research : JIDR", "id" : "ITEM-1", "issue" : "Pt 6", "issued" : { "date-parts" : [ [ "2004", "9" ] ] }, "page" : "580-90", "title" : "Women with intellectual disability who have offended: characteristics and outcome.", "type" : "article-journal", "volume" : "48" }, "uris" : [ "http://www.mendeley.com/documents/?uuid=22d2ef6c-a138-383e-8f88-0c94a62c4462" ] } ], "mendeley" : { "formattedCitation" : "(46)", "plainTextFormattedCitation" : "(46)", "previouslyFormattedCitation" : "(46)" }, "properties" : { "noteIndex" : 0 }, "schema" : "https://github.com/citation-style-language/schema/raw/master/csl-citation.json" }</w:instrText>
            </w:r>
            <w:r w:rsidR="00DD386F" w:rsidRPr="00522CD2">
              <w:rPr>
                <w:rFonts w:cs="Arial"/>
                <w:sz w:val="20"/>
                <w:szCs w:val="20"/>
              </w:rPr>
              <w:fldChar w:fldCharType="separate"/>
            </w:r>
            <w:r w:rsidR="00E353A8" w:rsidRPr="00522CD2">
              <w:rPr>
                <w:rFonts w:cs="Arial"/>
                <w:noProof/>
                <w:sz w:val="20"/>
                <w:szCs w:val="20"/>
              </w:rPr>
              <w:t>(46)</w:t>
            </w:r>
            <w:r w:rsidR="00DD386F" w:rsidRPr="00522CD2">
              <w:rPr>
                <w:rFonts w:cs="Arial"/>
                <w:sz w:val="20"/>
                <w:szCs w:val="20"/>
              </w:rPr>
              <w:fldChar w:fldCharType="end"/>
            </w:r>
          </w:p>
          <w:p w14:paraId="747FF9E5" w14:textId="77777777" w:rsidR="00841348" w:rsidRPr="00522CD2" w:rsidRDefault="00841348" w:rsidP="00290AAF">
            <w:pPr>
              <w:spacing w:line="276" w:lineRule="auto"/>
              <w:rPr>
                <w:rFonts w:cs="Arial"/>
                <w:sz w:val="20"/>
                <w:szCs w:val="20"/>
              </w:rPr>
            </w:pPr>
            <w:r w:rsidRPr="00522CD2">
              <w:rPr>
                <w:rFonts w:cs="Arial"/>
                <w:sz w:val="20"/>
                <w:szCs w:val="20"/>
              </w:rPr>
              <w:t xml:space="preserve">Community </w:t>
            </w:r>
          </w:p>
          <w:p w14:paraId="37777258" w14:textId="691CCDEE" w:rsidR="00841348" w:rsidRPr="00522CD2" w:rsidRDefault="00841348" w:rsidP="00290AAF">
            <w:pPr>
              <w:spacing w:line="276" w:lineRule="auto"/>
              <w:rPr>
                <w:rFonts w:cs="Arial"/>
                <w:sz w:val="20"/>
                <w:szCs w:val="20"/>
              </w:rPr>
            </w:pPr>
            <w:r w:rsidRPr="00522CD2">
              <w:rPr>
                <w:rFonts w:cs="Arial"/>
                <w:sz w:val="20"/>
                <w:szCs w:val="20"/>
              </w:rPr>
              <w:t>Females only</w:t>
            </w:r>
          </w:p>
        </w:tc>
        <w:tc>
          <w:tcPr>
            <w:tcW w:w="2385" w:type="dxa"/>
            <w:tcBorders>
              <w:left w:val="single" w:sz="4" w:space="0" w:color="FFFFFF" w:themeColor="background1"/>
              <w:right w:val="single" w:sz="4" w:space="0" w:color="FFFFFF" w:themeColor="background1"/>
            </w:tcBorders>
          </w:tcPr>
          <w:p w14:paraId="7C6A6DCF" w14:textId="1D8CD194" w:rsidR="00841348" w:rsidRPr="00522CD2" w:rsidRDefault="00841348" w:rsidP="00290AAF">
            <w:pPr>
              <w:spacing w:line="276" w:lineRule="auto"/>
              <w:rPr>
                <w:rFonts w:cs="Arial"/>
                <w:sz w:val="20"/>
                <w:szCs w:val="20"/>
              </w:rPr>
            </w:pPr>
            <w:r w:rsidRPr="00522CD2">
              <w:rPr>
                <w:rFonts w:cs="Arial"/>
                <w:sz w:val="20"/>
                <w:szCs w:val="20"/>
              </w:rPr>
              <w:t>Case Series</w:t>
            </w:r>
          </w:p>
          <w:p w14:paraId="1A03A838" w14:textId="77777777" w:rsidR="00841348" w:rsidRPr="00522CD2" w:rsidRDefault="00841348" w:rsidP="00290AAF">
            <w:pPr>
              <w:spacing w:line="276" w:lineRule="auto"/>
              <w:rPr>
                <w:rFonts w:cs="Arial"/>
                <w:sz w:val="20"/>
                <w:szCs w:val="20"/>
              </w:rPr>
            </w:pPr>
            <w:r w:rsidRPr="00522CD2">
              <w:rPr>
                <w:rFonts w:cs="Arial"/>
                <w:sz w:val="20"/>
                <w:szCs w:val="20"/>
              </w:rPr>
              <w:t>Follow up: 3 years</w:t>
            </w:r>
          </w:p>
        </w:tc>
        <w:tc>
          <w:tcPr>
            <w:tcW w:w="1136" w:type="dxa"/>
            <w:tcBorders>
              <w:left w:val="single" w:sz="4" w:space="0" w:color="FFFFFF" w:themeColor="background1"/>
              <w:right w:val="single" w:sz="4" w:space="0" w:color="FFFFFF" w:themeColor="background1"/>
            </w:tcBorders>
          </w:tcPr>
          <w:p w14:paraId="1959364D" w14:textId="77777777" w:rsidR="00841348" w:rsidRPr="00522CD2" w:rsidRDefault="00841348" w:rsidP="00290AAF">
            <w:pPr>
              <w:spacing w:line="276" w:lineRule="auto"/>
              <w:jc w:val="center"/>
              <w:rPr>
                <w:rFonts w:cs="Arial"/>
                <w:sz w:val="20"/>
                <w:szCs w:val="20"/>
              </w:rPr>
            </w:pPr>
            <w:r w:rsidRPr="00522CD2">
              <w:rPr>
                <w:rFonts w:cs="Arial"/>
                <w:sz w:val="20"/>
                <w:szCs w:val="20"/>
              </w:rPr>
              <w:t>18</w:t>
            </w:r>
          </w:p>
          <w:p w14:paraId="0E84E62B" w14:textId="77777777" w:rsidR="00841348" w:rsidRPr="00522CD2" w:rsidRDefault="00841348" w:rsidP="00290AAF">
            <w:pPr>
              <w:spacing w:line="276" w:lineRule="auto"/>
              <w:jc w:val="center"/>
              <w:rPr>
                <w:rFonts w:cs="Arial"/>
                <w:sz w:val="20"/>
                <w:szCs w:val="20"/>
              </w:rPr>
            </w:pPr>
          </w:p>
        </w:tc>
        <w:tc>
          <w:tcPr>
            <w:tcW w:w="3708" w:type="dxa"/>
            <w:tcBorders>
              <w:left w:val="single" w:sz="4" w:space="0" w:color="FFFFFF" w:themeColor="background1"/>
              <w:right w:val="single" w:sz="4" w:space="0" w:color="FFFFFF" w:themeColor="background1"/>
            </w:tcBorders>
          </w:tcPr>
          <w:p w14:paraId="1B7EA9F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tc>
        <w:tc>
          <w:tcPr>
            <w:tcW w:w="5862" w:type="dxa"/>
            <w:gridSpan w:val="2"/>
            <w:tcBorders>
              <w:left w:val="single" w:sz="4" w:space="0" w:color="FFFFFF" w:themeColor="background1"/>
              <w:right w:val="single" w:sz="4" w:space="0" w:color="FFFFFF" w:themeColor="background1"/>
            </w:tcBorders>
          </w:tcPr>
          <w:p w14:paraId="654AE788"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with clear evidence of re-offending</w:t>
            </w:r>
          </w:p>
        </w:tc>
      </w:tr>
      <w:tr w:rsidR="00841348" w:rsidRPr="00522CD2" w14:paraId="56EAA572" w14:textId="77777777" w:rsidTr="006A50DE">
        <w:trPr>
          <w:trHeight w:val="841"/>
        </w:trPr>
        <w:tc>
          <w:tcPr>
            <w:tcW w:w="2399" w:type="dxa"/>
            <w:tcBorders>
              <w:left w:val="single" w:sz="4" w:space="0" w:color="FFFFFF" w:themeColor="background1"/>
              <w:right w:val="single" w:sz="4" w:space="0" w:color="FFFFFF" w:themeColor="background1"/>
            </w:tcBorders>
          </w:tcPr>
          <w:p w14:paraId="12CF0A5B" w14:textId="1C956228" w:rsidR="00841348" w:rsidRPr="00522CD2" w:rsidRDefault="00841348" w:rsidP="00290AAF">
            <w:pPr>
              <w:spacing w:line="276" w:lineRule="auto"/>
              <w:rPr>
                <w:rFonts w:cs="Arial"/>
                <w:sz w:val="20"/>
                <w:szCs w:val="20"/>
              </w:rPr>
            </w:pPr>
            <w:r w:rsidRPr="00522CD2">
              <w:rPr>
                <w:rFonts w:cs="Arial"/>
                <w:sz w:val="20"/>
                <w:szCs w:val="20"/>
              </w:rPr>
              <w:t xml:space="preserve">Lindsay et al. (2006) </w:t>
            </w:r>
            <w:r w:rsidR="00046078" w:rsidRPr="00522CD2">
              <w:rPr>
                <w:rFonts w:cs="Arial"/>
                <w:sz w:val="20"/>
                <w:szCs w:val="20"/>
              </w:rPr>
              <w:fldChar w:fldCharType="begin" w:fldLock="1"/>
            </w:r>
            <w:r w:rsidR="00E353A8" w:rsidRPr="00522CD2">
              <w:rPr>
                <w:rFonts w:cs="Arial"/>
                <w:sz w:val="20"/>
                <w:szCs w:val="20"/>
              </w:rPr>
              <w:instrText>ADDIN CSL_CITATION { "citationItems" : [ { "id" : "ITEM-1", "itemData" : { "DOI" : "10.1348/135532505X55669", "ISSN" : "13553259", "author" : [ { "dropping-particle" : "", "family" : "Lindsay", "given" : "William R.", "non-dropping-particle" : "", "parse-names" : false, "suffix" : "" }, { "dropping-particle" : "", "family" : "Steele", "given" : "Lynn", "non-dropping-particle" : "", "parse-names" : false, "suffix" : "" }, { "dropping-particle" : "", "family" : "Smith", "given" : "Anne H. W.", "non-dropping-particle" : "", "parse-names" : false, "suffix" : "" }, { "dropping-particle" : "", "family" : "Quinn", "given" : "Kathleen", "non-dropping-particle" : "", "parse-names" : false, "suffix" : "" }, { "dropping-particle" : "", "family" : "Allan", "given" : "Ronald", "non-dropping-particle" : "", "parse-names" : false, "suffix" : "" } ], "container-title" : "Legal and Criminological Psychology", "id" : "ITEM-1", "issue" : "1", "issued" : { "date-parts" : [ [ "2006", "2", "1" ] ] }, "page" : "113-130", "publisher" : "Blackwell Publishing Ltd", "title" : "A community forensic intellectual disability service: Twelve year follow up of referrals, analysis of referral patterns and assessment of harm reduction", "type" : "article-journal", "volume" : "11" }, "uris" : [ "http://www.mendeley.com/documents/?uuid=b119ce6c-8d0b-3df1-938b-0d8366d29922" ] } ], "mendeley" : { "formattedCitation" : "(26)", "plainTextFormattedCitation" : "(26)", "previouslyFormattedCitation" : "(26)" }, "properties" : { "noteIndex" : 0 }, "schema" : "https://github.com/citation-style-language/schema/raw/master/csl-citation.json" }</w:instrText>
            </w:r>
            <w:r w:rsidR="00046078" w:rsidRPr="00522CD2">
              <w:rPr>
                <w:rFonts w:cs="Arial"/>
                <w:sz w:val="20"/>
                <w:szCs w:val="20"/>
              </w:rPr>
              <w:fldChar w:fldCharType="separate"/>
            </w:r>
            <w:r w:rsidR="00E353A8" w:rsidRPr="00522CD2">
              <w:rPr>
                <w:rFonts w:cs="Arial"/>
                <w:noProof/>
                <w:sz w:val="20"/>
                <w:szCs w:val="20"/>
              </w:rPr>
              <w:t>(26)</w:t>
            </w:r>
            <w:r w:rsidR="00046078" w:rsidRPr="00522CD2">
              <w:rPr>
                <w:rFonts w:cs="Arial"/>
                <w:sz w:val="20"/>
                <w:szCs w:val="20"/>
              </w:rPr>
              <w:fldChar w:fldCharType="end"/>
            </w:r>
          </w:p>
          <w:p w14:paraId="2BCCF218" w14:textId="77777777" w:rsidR="00841348" w:rsidRPr="00522CD2" w:rsidRDefault="00841348" w:rsidP="00290AAF">
            <w:pPr>
              <w:spacing w:line="276" w:lineRule="auto"/>
              <w:rPr>
                <w:rFonts w:cs="Arial"/>
                <w:sz w:val="20"/>
                <w:szCs w:val="20"/>
              </w:rPr>
            </w:pPr>
            <w:r w:rsidRPr="00522CD2">
              <w:rPr>
                <w:rFonts w:cs="Arial"/>
                <w:sz w:val="20"/>
                <w:szCs w:val="20"/>
              </w:rPr>
              <w:t>Community</w:t>
            </w:r>
          </w:p>
        </w:tc>
        <w:tc>
          <w:tcPr>
            <w:tcW w:w="2385" w:type="dxa"/>
            <w:tcBorders>
              <w:left w:val="single" w:sz="4" w:space="0" w:color="FFFFFF" w:themeColor="background1"/>
              <w:right w:val="single" w:sz="4" w:space="0" w:color="FFFFFF" w:themeColor="background1"/>
            </w:tcBorders>
          </w:tcPr>
          <w:p w14:paraId="70703C90" w14:textId="3E50D9EE" w:rsidR="00841348" w:rsidRPr="00522CD2" w:rsidRDefault="00841348" w:rsidP="00290AAF">
            <w:pPr>
              <w:spacing w:line="276" w:lineRule="auto"/>
              <w:rPr>
                <w:rFonts w:cs="Arial"/>
                <w:sz w:val="20"/>
                <w:szCs w:val="20"/>
              </w:rPr>
            </w:pPr>
            <w:r w:rsidRPr="00522CD2">
              <w:rPr>
                <w:rFonts w:cs="Arial"/>
                <w:sz w:val="20"/>
                <w:szCs w:val="20"/>
              </w:rPr>
              <w:t>Cohort Study</w:t>
            </w:r>
          </w:p>
          <w:p w14:paraId="1CD042D8" w14:textId="77777777" w:rsidR="00841348" w:rsidRPr="00522CD2" w:rsidRDefault="00841348" w:rsidP="00290AAF">
            <w:pPr>
              <w:spacing w:line="276" w:lineRule="auto"/>
              <w:rPr>
                <w:rFonts w:cs="Arial"/>
                <w:sz w:val="20"/>
                <w:szCs w:val="20"/>
              </w:rPr>
            </w:pPr>
            <w:r w:rsidRPr="00522CD2">
              <w:rPr>
                <w:rFonts w:cs="Arial"/>
                <w:sz w:val="20"/>
                <w:szCs w:val="20"/>
              </w:rPr>
              <w:t>Follow up: 12 years</w:t>
            </w:r>
          </w:p>
        </w:tc>
        <w:tc>
          <w:tcPr>
            <w:tcW w:w="1136" w:type="dxa"/>
            <w:tcBorders>
              <w:left w:val="single" w:sz="4" w:space="0" w:color="FFFFFF" w:themeColor="background1"/>
              <w:right w:val="single" w:sz="4" w:space="0" w:color="FFFFFF" w:themeColor="background1"/>
            </w:tcBorders>
          </w:tcPr>
          <w:p w14:paraId="7CA12CE9" w14:textId="77777777" w:rsidR="00841348" w:rsidRPr="00522CD2" w:rsidRDefault="00841348" w:rsidP="00290AAF">
            <w:pPr>
              <w:spacing w:line="276" w:lineRule="auto"/>
              <w:jc w:val="center"/>
              <w:rPr>
                <w:rFonts w:cs="Arial"/>
                <w:sz w:val="20"/>
                <w:szCs w:val="20"/>
              </w:rPr>
            </w:pPr>
            <w:r w:rsidRPr="00522CD2">
              <w:rPr>
                <w:rFonts w:cs="Arial"/>
                <w:sz w:val="20"/>
                <w:szCs w:val="20"/>
              </w:rPr>
              <w:t>247</w:t>
            </w:r>
          </w:p>
        </w:tc>
        <w:tc>
          <w:tcPr>
            <w:tcW w:w="3708" w:type="dxa"/>
            <w:tcBorders>
              <w:left w:val="single" w:sz="4" w:space="0" w:color="FFFFFF" w:themeColor="background1"/>
              <w:right w:val="single" w:sz="4" w:space="0" w:color="FFFFFF" w:themeColor="background1"/>
            </w:tcBorders>
          </w:tcPr>
          <w:p w14:paraId="4E44DBAF"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p w14:paraId="42AC97EC"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Harm reduction</w:t>
            </w:r>
          </w:p>
        </w:tc>
        <w:tc>
          <w:tcPr>
            <w:tcW w:w="5862" w:type="dxa"/>
            <w:gridSpan w:val="2"/>
            <w:tcBorders>
              <w:left w:val="single" w:sz="4" w:space="0" w:color="FFFFFF" w:themeColor="background1"/>
              <w:right w:val="single" w:sz="4" w:space="0" w:color="FFFFFF" w:themeColor="background1"/>
            </w:tcBorders>
          </w:tcPr>
          <w:p w14:paraId="724D2048"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Number of patients with clear evidence of re-offending </w:t>
            </w:r>
          </w:p>
          <w:p w14:paraId="0A115B5D" w14:textId="111503AC"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Decrease in the number of incidents 2 years before referral vs incident data at follow up </w:t>
            </w:r>
          </w:p>
        </w:tc>
      </w:tr>
      <w:tr w:rsidR="00841348" w:rsidRPr="00522CD2" w14:paraId="660C03FB" w14:textId="77777777" w:rsidTr="006A50DE">
        <w:trPr>
          <w:trHeight w:val="841"/>
        </w:trPr>
        <w:tc>
          <w:tcPr>
            <w:tcW w:w="2399" w:type="dxa"/>
            <w:tcBorders>
              <w:left w:val="single" w:sz="4" w:space="0" w:color="FFFFFF" w:themeColor="background1"/>
              <w:right w:val="single" w:sz="4" w:space="0" w:color="FFFFFF" w:themeColor="background1"/>
            </w:tcBorders>
          </w:tcPr>
          <w:p w14:paraId="02D9FC21" w14:textId="329B9CC8" w:rsidR="00841348" w:rsidRPr="00522CD2" w:rsidRDefault="00841348" w:rsidP="00290AAF">
            <w:pPr>
              <w:spacing w:line="276" w:lineRule="auto"/>
              <w:rPr>
                <w:rFonts w:cs="Arial"/>
                <w:sz w:val="20"/>
                <w:szCs w:val="20"/>
              </w:rPr>
            </w:pPr>
            <w:r w:rsidRPr="00522CD2">
              <w:rPr>
                <w:rFonts w:cs="Arial"/>
                <w:sz w:val="20"/>
                <w:szCs w:val="20"/>
              </w:rPr>
              <w:t xml:space="preserve">Lindsay  et al. (2013) </w:t>
            </w:r>
            <w:r w:rsidR="00046078" w:rsidRPr="00522CD2">
              <w:rPr>
                <w:rFonts w:cs="Arial"/>
                <w:sz w:val="20"/>
                <w:szCs w:val="20"/>
              </w:rPr>
              <w:fldChar w:fldCharType="begin" w:fldLock="1"/>
            </w:r>
            <w:r w:rsidR="00E353A8" w:rsidRPr="00522CD2">
              <w:rPr>
                <w:rFonts w:cs="Arial"/>
                <w:sz w:val="20"/>
                <w:szCs w:val="20"/>
              </w:rPr>
              <w:instrText>ADDIN CSL_CITATION { "citationItems" : [ { "id" : "ITEM-1", "itemData" : { "DOI" : "10.1002/cbm.1859", "ISSN" : "1471-2857", "PMID" : "23595864", "abstract" : "BACKGROUND Since the middle of the 20th century, there have been several heterogeneous studies of recidivism by offenders with intellectual disabilities (ID) who have been in specialist mental health services after an index offence. Although some were long term, as befits a chronically needy group, laws and services have changed in that time. It may no longer be appropriate to rely on findings from the 1960s and 1970s. AIMS To compare mental health presentations and recidivism between male sex offenders, men convicted of other offences and female offenders from a 1986-2008 cohort of offenders referred to specialist forensic ID services in Scotland. METHOD A 20-year follow-up of an assessment and treatment service for 309 offenders with ID (156 sex offenders, 126 non sexual male offenders and 27 women) was conducted. RESULTS Sex offenders were more likely to be referred from the courts and had lower anger levels. Women were more likely to be diagnosed with mental illness. There was a split between groups with sex offenders committing few nonsexual offences and the other groups showing few sexual offences. During the study period, 16% of sexual offenders, 43% of male nonsexual offenders and 23% of women committed at least one further offence. Following assessment and treatment there was a 90-95% reduction in offending incidents. CONCLUSIONS Although recidivism rates are disappointing, harm reduction data suggests that assessment and treatment for offenders with ID can be highly successful in terms of public safety.", "author" : [ { "dropping-particle" : "", "family" : "Lindsay", "given" : "William R", "non-dropping-particle" : "", "parse-names" : false, "suffix" : "" }, { "dropping-particle" : "", "family" : "Steptoe", "given" : "Lesley", "non-dropping-particle" : "", "parse-names" : false, "suffix" : "" }, { "dropping-particle" : "", "family" : "Wallace", "given" : "Lisa", "non-dropping-particle" : "", "parse-names" : false, "suffix" : "" }, { "dropping-particle" : "", "family" : "Haut", "given" : "Fabian", "non-dropping-particle" : "", "parse-names" : false, "suffix" : "" }, { "dropping-particle" : "", "family" : "Brewster", "given" : "Eleanor", "non-dropping-particle" : "", "parse-names" : false, "suffix" : "" } ], "container-title" : "Criminal behaviour and mental health : CBMH", "id" : "ITEM-1", "issue" : "2", "issued" : { "date-parts" : [ [ "2013", "4" ] ] }, "page" : "138-49", "title" : "An evaluation and 20-year follow-up of a community forensic intellectual disability service.", "type" : "article-journal", "volume" : "23" }, "uris" : [ "http://www.mendeley.com/documents/?uuid=799653e0-ac74-3888-8f04-0774c658a1a2" ] } ], "mendeley" : { "formattedCitation" : "(24)", "plainTextFormattedCitation" : "(24)", "previouslyFormattedCitation" : "(24)" }, "properties" : { "noteIndex" : 0 }, "schema" : "https://github.com/citation-style-language/schema/raw/master/csl-citation.json" }</w:instrText>
            </w:r>
            <w:r w:rsidR="00046078" w:rsidRPr="00522CD2">
              <w:rPr>
                <w:rFonts w:cs="Arial"/>
                <w:sz w:val="20"/>
                <w:szCs w:val="20"/>
              </w:rPr>
              <w:fldChar w:fldCharType="separate"/>
            </w:r>
            <w:r w:rsidR="00E353A8" w:rsidRPr="00522CD2">
              <w:rPr>
                <w:rFonts w:cs="Arial"/>
                <w:noProof/>
                <w:sz w:val="20"/>
                <w:szCs w:val="20"/>
              </w:rPr>
              <w:t>(24)</w:t>
            </w:r>
            <w:r w:rsidR="00046078" w:rsidRPr="00522CD2">
              <w:rPr>
                <w:rFonts w:cs="Arial"/>
                <w:sz w:val="20"/>
                <w:szCs w:val="20"/>
              </w:rPr>
              <w:fldChar w:fldCharType="end"/>
            </w:r>
          </w:p>
          <w:p w14:paraId="7FAA3F2C" w14:textId="77777777" w:rsidR="00841348" w:rsidRPr="00522CD2" w:rsidRDefault="00841348" w:rsidP="00290AAF">
            <w:pPr>
              <w:spacing w:line="276" w:lineRule="auto"/>
              <w:rPr>
                <w:rFonts w:cs="Arial"/>
                <w:sz w:val="20"/>
                <w:szCs w:val="20"/>
              </w:rPr>
            </w:pPr>
            <w:r w:rsidRPr="00522CD2">
              <w:rPr>
                <w:rFonts w:cs="Arial"/>
                <w:sz w:val="20"/>
                <w:szCs w:val="20"/>
              </w:rPr>
              <w:t>Community</w:t>
            </w:r>
          </w:p>
        </w:tc>
        <w:tc>
          <w:tcPr>
            <w:tcW w:w="2385" w:type="dxa"/>
            <w:tcBorders>
              <w:left w:val="single" w:sz="4" w:space="0" w:color="FFFFFF" w:themeColor="background1"/>
              <w:right w:val="single" w:sz="4" w:space="0" w:color="FFFFFF" w:themeColor="background1"/>
            </w:tcBorders>
          </w:tcPr>
          <w:p w14:paraId="41467C3D" w14:textId="3EC55E05" w:rsidR="00841348" w:rsidRPr="00522CD2" w:rsidRDefault="00841348" w:rsidP="00290AAF">
            <w:pPr>
              <w:spacing w:line="276" w:lineRule="auto"/>
              <w:rPr>
                <w:rFonts w:cs="Arial"/>
                <w:sz w:val="20"/>
                <w:szCs w:val="20"/>
              </w:rPr>
            </w:pPr>
            <w:r w:rsidRPr="00522CD2">
              <w:rPr>
                <w:rFonts w:cs="Arial"/>
                <w:sz w:val="20"/>
                <w:szCs w:val="20"/>
              </w:rPr>
              <w:t>Cohort Study</w:t>
            </w:r>
          </w:p>
          <w:p w14:paraId="4819074D" w14:textId="77777777" w:rsidR="00841348" w:rsidRPr="00522CD2" w:rsidRDefault="00841348" w:rsidP="00290AAF">
            <w:pPr>
              <w:spacing w:line="276" w:lineRule="auto"/>
              <w:rPr>
                <w:rFonts w:cs="Arial"/>
                <w:sz w:val="20"/>
                <w:szCs w:val="20"/>
              </w:rPr>
            </w:pPr>
            <w:r w:rsidRPr="00522CD2">
              <w:rPr>
                <w:rFonts w:cs="Arial"/>
                <w:sz w:val="20"/>
                <w:szCs w:val="20"/>
              </w:rPr>
              <w:t>Follow up: up to 20 years</w:t>
            </w:r>
          </w:p>
        </w:tc>
        <w:tc>
          <w:tcPr>
            <w:tcW w:w="1136" w:type="dxa"/>
            <w:tcBorders>
              <w:left w:val="single" w:sz="4" w:space="0" w:color="FFFFFF" w:themeColor="background1"/>
              <w:right w:val="single" w:sz="4" w:space="0" w:color="FFFFFF" w:themeColor="background1"/>
            </w:tcBorders>
          </w:tcPr>
          <w:p w14:paraId="0339F855" w14:textId="77777777" w:rsidR="00841348" w:rsidRPr="00522CD2" w:rsidRDefault="00841348" w:rsidP="00290AAF">
            <w:pPr>
              <w:spacing w:line="276" w:lineRule="auto"/>
              <w:jc w:val="center"/>
              <w:rPr>
                <w:rFonts w:cs="Arial"/>
                <w:sz w:val="20"/>
                <w:szCs w:val="20"/>
              </w:rPr>
            </w:pPr>
            <w:r w:rsidRPr="00522CD2">
              <w:rPr>
                <w:rFonts w:cs="Arial"/>
                <w:sz w:val="20"/>
                <w:szCs w:val="20"/>
              </w:rPr>
              <w:t>309</w:t>
            </w:r>
          </w:p>
        </w:tc>
        <w:tc>
          <w:tcPr>
            <w:tcW w:w="3708" w:type="dxa"/>
            <w:tcBorders>
              <w:left w:val="single" w:sz="4" w:space="0" w:color="FFFFFF" w:themeColor="background1"/>
              <w:right w:val="single" w:sz="4" w:space="0" w:color="FFFFFF" w:themeColor="background1"/>
            </w:tcBorders>
          </w:tcPr>
          <w:p w14:paraId="61F882CF"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p w14:paraId="15BF264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Harm reduction</w:t>
            </w:r>
          </w:p>
          <w:p w14:paraId="612D466A" w14:textId="77777777" w:rsidR="00841348" w:rsidRPr="00522CD2" w:rsidRDefault="00841348" w:rsidP="00290AAF">
            <w:pPr>
              <w:spacing w:line="276" w:lineRule="auto"/>
              <w:ind w:left="12"/>
              <w:rPr>
                <w:rFonts w:cs="Arial"/>
                <w:sz w:val="20"/>
                <w:szCs w:val="20"/>
              </w:rPr>
            </w:pPr>
          </w:p>
        </w:tc>
        <w:tc>
          <w:tcPr>
            <w:tcW w:w="5862" w:type="dxa"/>
            <w:gridSpan w:val="2"/>
            <w:tcBorders>
              <w:left w:val="single" w:sz="4" w:space="0" w:color="FFFFFF" w:themeColor="background1"/>
              <w:right w:val="single" w:sz="4" w:space="0" w:color="FFFFFF" w:themeColor="background1"/>
            </w:tcBorders>
          </w:tcPr>
          <w:p w14:paraId="20F346AC"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Number of patients with clear evidence of re-offending </w:t>
            </w:r>
          </w:p>
          <w:p w14:paraId="6463DC6C" w14:textId="6E3A99A6"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Standardised service incident report data; number of offences committed in the 2 years before referral vs follow up re-offending data</w:t>
            </w:r>
          </w:p>
        </w:tc>
      </w:tr>
      <w:tr w:rsidR="00841348" w:rsidRPr="00522CD2" w14:paraId="0C68196F" w14:textId="77777777" w:rsidTr="006A50DE">
        <w:trPr>
          <w:trHeight w:val="896"/>
        </w:trPr>
        <w:tc>
          <w:tcPr>
            <w:tcW w:w="2399" w:type="dxa"/>
            <w:tcBorders>
              <w:left w:val="single" w:sz="4" w:space="0" w:color="FFFFFF" w:themeColor="background1"/>
              <w:right w:val="single" w:sz="4" w:space="0" w:color="FFFFFF" w:themeColor="background1"/>
            </w:tcBorders>
          </w:tcPr>
          <w:p w14:paraId="7601B1D6" w14:textId="5016BC1F" w:rsidR="00841348" w:rsidRPr="00522CD2" w:rsidRDefault="00841348" w:rsidP="00290AAF">
            <w:pPr>
              <w:spacing w:line="276" w:lineRule="auto"/>
              <w:rPr>
                <w:rFonts w:cs="Arial"/>
                <w:sz w:val="20"/>
                <w:szCs w:val="20"/>
                <w:lang w:eastAsia="en-GB"/>
              </w:rPr>
            </w:pPr>
            <w:r w:rsidRPr="00522CD2">
              <w:rPr>
                <w:rFonts w:cs="Arial"/>
                <w:sz w:val="20"/>
                <w:szCs w:val="20"/>
                <w:lang w:eastAsia="en-GB"/>
              </w:rPr>
              <w:t>Lindsay et al. (2010a)</w:t>
            </w:r>
            <w:r w:rsidR="005A125F" w:rsidRPr="00522CD2">
              <w:rPr>
                <w:rFonts w:cs="Arial"/>
                <w:sz w:val="20"/>
                <w:szCs w:val="20"/>
                <w:lang w:eastAsia="en-GB"/>
              </w:rPr>
              <w:t xml:space="preserve"> </w:t>
            </w:r>
            <w:r w:rsidR="00DD386F" w:rsidRPr="00522CD2">
              <w:rPr>
                <w:rFonts w:cs="Arial"/>
                <w:sz w:val="20"/>
                <w:szCs w:val="20"/>
                <w:lang w:eastAsia="en-GB"/>
              </w:rPr>
              <w:fldChar w:fldCharType="begin" w:fldLock="1"/>
            </w:r>
            <w:r w:rsidR="00E353A8" w:rsidRPr="00522CD2">
              <w:rPr>
                <w:rFonts w:cs="Arial"/>
                <w:sz w:val="20"/>
                <w:szCs w:val="20"/>
                <w:lang w:eastAsia="en-GB"/>
              </w:rPr>
              <w:instrText>ADDIN CSL_CITATION { "citationItems" : [ { "id" : "ITEM-1", "itemData" : { "DOI" : "10.1352/1944-7558-115.3.250", "ISSN" : "1944-7515", "PMID" : "20441394", "abstract" : "The pathways through services for offenders with intellectual disability were reviewed. Participants were 197 offenders with intellectual disability accepted into three types of community and three types of secure forensic intellectual disability services. They were first compared with 280 participants referred but not accepted into services and were then followed-up for 2 years to review pathways through services. Those accepted into services had a higher charge rate than did those who were referred (46% and 25%, respectively). The greatest diversity in pathway was seen in participants in community forensic intellectual disability and inpatient services. Individuals in secure settings showed the least diversity over time, and, similarly, a relatively high percentage of those accepted into generic community services remained in these services.", "author" : [ { "dropping-particle" : "", "family" : "Lindsay", "given" : "William R", "non-dropping-particle" : "", "parse-names" : false, "suffix" : "" }, { "dropping-particle" : "", "family" : "Holland", "given" : "Tony", "non-dropping-particle" : "", "parse-names" : false, "suffix" : "" }, { "dropping-particle" : "", "family" : "Wheeler", "given" : "Jessica R", "non-dropping-particle" : "", "parse-names" : false, "suffix" : "" }, { "dropping-particle" : "", "family" : "Carson", "given" : "Derek", "non-dropping-particle" : "", "parse-names" : false, "suffix" : "" }, { "dropping-particle" : "", "family" : "O'Brien", "given" : "Gregory", "non-dropping-particle" : "", "parse-names" : false, "suffix" : "" }, { "dropping-particle" : "", "family" : "Taylor", "given" : "John L", "non-dropping-particle" : "", "parse-names" : false, "suffix" : "" }, { "dropping-particle" : "", "family" : "Steptoe", "given" : "Lesley", "non-dropping-particle" : "", "parse-names" : false, "suffix" : "" }, { "dropping-particle" : "", "family" : "Middleton", "given" : "Claire", "non-dropping-particle" : "", "parse-names" : false, "suffix" : "" }, { "dropping-particle" : "", "family" : "Price", "given" : "Karen", "non-dropping-particle" : "", "parse-names" : false, "suffix" : "" }, { "dropping-particle" : "", "family" : "Johnston", "given" : "Susan", "non-dropping-particle" : "", "parse-names" : false, "suffix" : "" }, { "dropping-particle" : "", "family" : "Young", "given" : "Steven J", "non-dropping-particle" : "", "parse-names" : false, "suffix" : "" } ], "container-title" : "American journal on intellectual and developmental disabilities", "id" : "ITEM-1", "issue" : "3", "issued" : { "date-parts" : [ [ "2010", "5" ] ] }, "page" : "250-62", "title" : "Pathways through services for offenders with intellectual disability: a one- and two-year follow-up study.", "type" : "article-journal", "volume" : "115" }, "uris" : [ "http://www.mendeley.com/documents/?uuid=627a8c56-cf77-3d30-b39d-9edc78b9834a" ] } ], "mendeley" : { "formattedCitation" : "(47)", "plainTextFormattedCitation" : "(47)", "previouslyFormattedCitation" : "(47)" }, "properties" : { "noteIndex" : 0 }, "schema" : "https://github.com/citation-style-language/schema/raw/master/csl-citation.json" }</w:instrText>
            </w:r>
            <w:r w:rsidR="00DD386F" w:rsidRPr="00522CD2">
              <w:rPr>
                <w:rFonts w:cs="Arial"/>
                <w:sz w:val="20"/>
                <w:szCs w:val="20"/>
                <w:lang w:eastAsia="en-GB"/>
              </w:rPr>
              <w:fldChar w:fldCharType="separate"/>
            </w:r>
            <w:r w:rsidR="00E353A8" w:rsidRPr="00522CD2">
              <w:rPr>
                <w:rFonts w:cs="Arial"/>
                <w:noProof/>
                <w:sz w:val="20"/>
                <w:szCs w:val="20"/>
                <w:lang w:eastAsia="en-GB"/>
              </w:rPr>
              <w:t>(47)</w:t>
            </w:r>
            <w:r w:rsidR="00DD386F" w:rsidRPr="00522CD2">
              <w:rPr>
                <w:rFonts w:cs="Arial"/>
                <w:sz w:val="20"/>
                <w:szCs w:val="20"/>
                <w:lang w:eastAsia="en-GB"/>
              </w:rPr>
              <w:fldChar w:fldCharType="end"/>
            </w:r>
          </w:p>
          <w:p w14:paraId="3A105009" w14:textId="77777777" w:rsidR="00841348" w:rsidRPr="00522CD2" w:rsidRDefault="00841348" w:rsidP="00290AAF">
            <w:pPr>
              <w:autoSpaceDE w:val="0"/>
              <w:autoSpaceDN w:val="0"/>
              <w:adjustRightInd w:val="0"/>
              <w:spacing w:line="276" w:lineRule="auto"/>
              <w:rPr>
                <w:rFonts w:cs="Arial"/>
                <w:sz w:val="20"/>
                <w:szCs w:val="20"/>
                <w:lang w:eastAsia="en-GB"/>
              </w:rPr>
            </w:pPr>
            <w:r w:rsidRPr="00522CD2">
              <w:rPr>
                <w:rFonts w:cs="Arial"/>
                <w:sz w:val="20"/>
                <w:szCs w:val="20"/>
                <w:lang w:eastAsia="en-GB"/>
              </w:rPr>
              <w:t>Mixed services</w:t>
            </w:r>
          </w:p>
          <w:p w14:paraId="1EDB3553"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p>
        </w:tc>
        <w:tc>
          <w:tcPr>
            <w:tcW w:w="2385" w:type="dxa"/>
            <w:tcBorders>
              <w:left w:val="single" w:sz="4" w:space="0" w:color="FFFFFF" w:themeColor="background1"/>
              <w:right w:val="single" w:sz="4" w:space="0" w:color="FFFFFF" w:themeColor="background1"/>
            </w:tcBorders>
          </w:tcPr>
          <w:p w14:paraId="5A9972A3" w14:textId="34B4C87F" w:rsidR="00841348" w:rsidRPr="00522CD2" w:rsidRDefault="00841348" w:rsidP="00290AAF">
            <w:pPr>
              <w:spacing w:line="276" w:lineRule="auto"/>
              <w:rPr>
                <w:rFonts w:cs="Arial"/>
                <w:sz w:val="20"/>
                <w:szCs w:val="20"/>
              </w:rPr>
            </w:pPr>
            <w:r w:rsidRPr="00522CD2">
              <w:rPr>
                <w:rFonts w:cs="Arial"/>
                <w:sz w:val="20"/>
                <w:szCs w:val="20"/>
              </w:rPr>
              <w:t>Cohort study</w:t>
            </w:r>
          </w:p>
          <w:p w14:paraId="4BCFCDFA" w14:textId="77777777" w:rsidR="00841348" w:rsidRPr="00522CD2" w:rsidRDefault="00841348" w:rsidP="00290AAF">
            <w:pPr>
              <w:spacing w:line="276" w:lineRule="auto"/>
              <w:rPr>
                <w:rFonts w:cs="Arial"/>
                <w:sz w:val="20"/>
                <w:szCs w:val="20"/>
              </w:rPr>
            </w:pPr>
            <w:r w:rsidRPr="00522CD2">
              <w:rPr>
                <w:rFonts w:cs="Arial"/>
                <w:sz w:val="20"/>
                <w:szCs w:val="20"/>
              </w:rPr>
              <w:t>Follow up: 2 years</w:t>
            </w:r>
          </w:p>
        </w:tc>
        <w:tc>
          <w:tcPr>
            <w:tcW w:w="1136" w:type="dxa"/>
            <w:tcBorders>
              <w:left w:val="single" w:sz="4" w:space="0" w:color="FFFFFF" w:themeColor="background1"/>
              <w:right w:val="single" w:sz="4" w:space="0" w:color="FFFFFF" w:themeColor="background1"/>
            </w:tcBorders>
          </w:tcPr>
          <w:p w14:paraId="7E1DC5D6" w14:textId="77777777" w:rsidR="00841348" w:rsidRPr="00522CD2" w:rsidRDefault="00841348" w:rsidP="00290AAF">
            <w:pPr>
              <w:spacing w:line="276" w:lineRule="auto"/>
              <w:jc w:val="center"/>
              <w:rPr>
                <w:rFonts w:cs="Arial"/>
                <w:sz w:val="20"/>
                <w:szCs w:val="20"/>
              </w:rPr>
            </w:pPr>
            <w:r w:rsidRPr="00522CD2">
              <w:rPr>
                <w:rFonts w:cs="Arial"/>
                <w:sz w:val="20"/>
                <w:szCs w:val="20"/>
              </w:rPr>
              <w:t>197</w:t>
            </w:r>
          </w:p>
        </w:tc>
        <w:tc>
          <w:tcPr>
            <w:tcW w:w="3708" w:type="dxa"/>
            <w:tcBorders>
              <w:left w:val="single" w:sz="4" w:space="0" w:color="FFFFFF" w:themeColor="background1"/>
              <w:right w:val="single" w:sz="4" w:space="0" w:color="FFFFFF" w:themeColor="background1"/>
            </w:tcBorders>
          </w:tcPr>
          <w:p w14:paraId="573B90A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tc>
        <w:tc>
          <w:tcPr>
            <w:tcW w:w="5862" w:type="dxa"/>
            <w:gridSpan w:val="2"/>
            <w:tcBorders>
              <w:left w:val="single" w:sz="4" w:space="0" w:color="FFFFFF" w:themeColor="background1"/>
              <w:right w:val="single" w:sz="4" w:space="0" w:color="FFFFFF" w:themeColor="background1"/>
            </w:tcBorders>
          </w:tcPr>
          <w:p w14:paraId="23298F38" w14:textId="4BF36A76"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Number of patients discharged and  level security/type of placement at discharge, 1 </w:t>
            </w:r>
            <w:r w:rsidR="000344E3" w:rsidRPr="00522CD2">
              <w:rPr>
                <w:rFonts w:cs="Arial"/>
                <w:sz w:val="20"/>
                <w:szCs w:val="20"/>
              </w:rPr>
              <w:t xml:space="preserve">year </w:t>
            </w:r>
            <w:r w:rsidRPr="00522CD2">
              <w:rPr>
                <w:rFonts w:cs="Arial"/>
                <w:sz w:val="20"/>
                <w:szCs w:val="20"/>
              </w:rPr>
              <w:t>and 2 year follow-up</w:t>
            </w:r>
          </w:p>
        </w:tc>
      </w:tr>
      <w:tr w:rsidR="00841348" w:rsidRPr="00522CD2" w14:paraId="38C6D59C" w14:textId="77777777" w:rsidTr="006A50DE">
        <w:trPr>
          <w:trHeight w:val="552"/>
        </w:trPr>
        <w:tc>
          <w:tcPr>
            <w:tcW w:w="2399" w:type="dxa"/>
            <w:tcBorders>
              <w:left w:val="single" w:sz="4" w:space="0" w:color="FFFFFF" w:themeColor="background1"/>
              <w:right w:val="single" w:sz="4" w:space="0" w:color="FFFFFF" w:themeColor="background1"/>
            </w:tcBorders>
          </w:tcPr>
          <w:p w14:paraId="10A472BF" w14:textId="1F59727F" w:rsidR="00841348" w:rsidRPr="00522CD2" w:rsidRDefault="00841348" w:rsidP="00290AAF">
            <w:pPr>
              <w:spacing w:line="276" w:lineRule="auto"/>
              <w:rPr>
                <w:rFonts w:cs="Arial"/>
                <w:sz w:val="20"/>
                <w:szCs w:val="20"/>
              </w:rPr>
            </w:pPr>
            <w:r w:rsidRPr="00522CD2">
              <w:rPr>
                <w:rFonts w:cs="Arial"/>
                <w:sz w:val="20"/>
                <w:szCs w:val="20"/>
              </w:rPr>
              <w:t xml:space="preserve">Linhorst et al. (2003) </w:t>
            </w:r>
            <w:r w:rsidR="005A125F" w:rsidRPr="00522CD2">
              <w:rPr>
                <w:rFonts w:cs="Arial"/>
                <w:sz w:val="20"/>
                <w:szCs w:val="20"/>
              </w:rPr>
              <w:fldChar w:fldCharType="begin" w:fldLock="1"/>
            </w:r>
            <w:r w:rsidR="00E353A8" w:rsidRPr="00522CD2">
              <w:rPr>
                <w:rFonts w:cs="Arial"/>
                <w:sz w:val="20"/>
                <w:szCs w:val="20"/>
              </w:rPr>
              <w:instrText>ADDIN CSL_CITATION { "citationItems" : [ { "id" : "ITEM-1", "itemData" : { "DOI" : "10.1016/S0891-4222(03)00029-5", "ISSN" : "08914222", "abstract" : "This study examined recidivism, defined as arrests, among 252 clients who were accepted into a case management program for offenders with developmental disabilities. Overall, 40% of clients were arrested while participating in the program, and 34% were arrested within 6 months after case closure. The crimes for which clients were arrested tended to be minor: 21% were for probation or parole violations not associated with new criminal acts, 39% were for misdemeanors, 27% were nonviolent felonies, and 12% were for felonies against persons. Clients who completed the program (N=115) were less likely to be arrested after case closure than those who dropped out of the program (N=112), 25 and 43%, respectively. Other factors associated with arrests after case closure included having a developmental disability other than mental retardation, living in an urban area, being referred to the program by a criminal justice agency or through a private referral rather than a social service agency, and being arrested while in the program. Implications are discussed for service provision and evaluation of programs that work with offenders with developmental disabilities.", "author" : [ { "dropping-particle" : "", "family" : "Linhorst", "given" : "Donald M", "non-dropping-particle" : "", "parse-names" : false, "suffix" : "" }, { "dropping-particle" : "", "family" : "McCutchen", "given" : "Tami A", "non-dropping-particle" : "", "parse-names" : false, "suffix" : "" }, { "dropping-particle" : "", "family" : "Bennett", "given" : "Leslie", "non-dropping-particle" : "", "parse-names" : false, "suffix" : "" } ], "container-title" : "Research in Developmental Disabilities", "id" : "ITEM-1", "issue" : "3", "issued" : { "date-parts" : [ [ "2003" ] ] }, "page" : "210-230", "title" : "Recidivism among offenders with developmental disabilities participating in a case management program", "type" : "article-journal", "volume" : "24" }, "uris" : [ "http://www.mendeley.com/documents/?uuid=08444207-17a6-3529-acc5-90f6c6ff222b" ] } ], "mendeley" : { "formattedCitation" : "(29)", "plainTextFormattedCitation" : "(29)", "previouslyFormattedCitation" : "(29)" }, "properties" : { "noteIndex" : 0 }, "schema" : "https://github.com/citation-style-language/schema/raw/master/csl-citation.json" }</w:instrText>
            </w:r>
            <w:r w:rsidR="005A125F" w:rsidRPr="00522CD2">
              <w:rPr>
                <w:rFonts w:cs="Arial"/>
                <w:sz w:val="20"/>
                <w:szCs w:val="20"/>
              </w:rPr>
              <w:fldChar w:fldCharType="separate"/>
            </w:r>
            <w:r w:rsidR="00E353A8" w:rsidRPr="00522CD2">
              <w:rPr>
                <w:rFonts w:cs="Arial"/>
                <w:noProof/>
                <w:sz w:val="20"/>
                <w:szCs w:val="20"/>
              </w:rPr>
              <w:t>(29)</w:t>
            </w:r>
            <w:r w:rsidR="005A125F" w:rsidRPr="00522CD2">
              <w:rPr>
                <w:rFonts w:cs="Arial"/>
                <w:sz w:val="20"/>
                <w:szCs w:val="20"/>
              </w:rPr>
              <w:fldChar w:fldCharType="end"/>
            </w:r>
          </w:p>
          <w:p w14:paraId="0FD2BE70" w14:textId="77777777" w:rsidR="00841348" w:rsidRPr="00522CD2" w:rsidRDefault="00841348" w:rsidP="00290AAF">
            <w:pPr>
              <w:spacing w:line="276" w:lineRule="auto"/>
              <w:rPr>
                <w:rFonts w:cs="Arial"/>
                <w:sz w:val="20"/>
                <w:szCs w:val="20"/>
              </w:rPr>
            </w:pPr>
            <w:r w:rsidRPr="00522CD2">
              <w:rPr>
                <w:rFonts w:cs="Arial"/>
                <w:sz w:val="20"/>
                <w:szCs w:val="20"/>
              </w:rPr>
              <w:t>USA Community service</w:t>
            </w:r>
          </w:p>
          <w:p w14:paraId="22E0993E" w14:textId="77777777" w:rsidR="00841348" w:rsidRPr="00522CD2" w:rsidRDefault="00841348" w:rsidP="00290AAF">
            <w:pPr>
              <w:spacing w:line="276" w:lineRule="auto"/>
              <w:rPr>
                <w:rFonts w:cs="Arial"/>
                <w:sz w:val="20"/>
                <w:szCs w:val="20"/>
              </w:rPr>
            </w:pPr>
          </w:p>
        </w:tc>
        <w:tc>
          <w:tcPr>
            <w:tcW w:w="2385" w:type="dxa"/>
            <w:tcBorders>
              <w:left w:val="single" w:sz="4" w:space="0" w:color="FFFFFF" w:themeColor="background1"/>
              <w:right w:val="single" w:sz="4" w:space="0" w:color="FFFFFF" w:themeColor="background1"/>
            </w:tcBorders>
          </w:tcPr>
          <w:p w14:paraId="1D63AF1A" w14:textId="167C9272" w:rsidR="00841348" w:rsidRPr="00522CD2" w:rsidRDefault="00841348" w:rsidP="00290AAF">
            <w:pPr>
              <w:spacing w:line="276" w:lineRule="auto"/>
              <w:rPr>
                <w:rFonts w:cs="Arial"/>
                <w:sz w:val="20"/>
                <w:szCs w:val="20"/>
              </w:rPr>
            </w:pPr>
            <w:r w:rsidRPr="00522CD2">
              <w:rPr>
                <w:rFonts w:cs="Arial"/>
                <w:sz w:val="20"/>
                <w:szCs w:val="20"/>
              </w:rPr>
              <w:t>Cohort Study</w:t>
            </w:r>
          </w:p>
          <w:p w14:paraId="1441282D" w14:textId="77777777" w:rsidR="00841348" w:rsidRPr="00522CD2" w:rsidRDefault="00841348" w:rsidP="00290AAF">
            <w:pPr>
              <w:spacing w:line="276" w:lineRule="auto"/>
              <w:rPr>
                <w:rFonts w:cs="Arial"/>
                <w:sz w:val="20"/>
                <w:szCs w:val="20"/>
              </w:rPr>
            </w:pPr>
            <w:r w:rsidRPr="00522CD2">
              <w:rPr>
                <w:rFonts w:cs="Arial"/>
                <w:sz w:val="20"/>
                <w:szCs w:val="20"/>
              </w:rPr>
              <w:t>Follow up: 6 months</w:t>
            </w:r>
          </w:p>
        </w:tc>
        <w:tc>
          <w:tcPr>
            <w:tcW w:w="1136" w:type="dxa"/>
            <w:tcBorders>
              <w:left w:val="single" w:sz="4" w:space="0" w:color="FFFFFF" w:themeColor="background1"/>
              <w:right w:val="single" w:sz="4" w:space="0" w:color="FFFFFF" w:themeColor="background1"/>
            </w:tcBorders>
          </w:tcPr>
          <w:p w14:paraId="22AF14E0" w14:textId="77777777" w:rsidR="00841348" w:rsidRPr="00522CD2" w:rsidRDefault="00841348" w:rsidP="00290AAF">
            <w:pPr>
              <w:spacing w:line="276" w:lineRule="auto"/>
              <w:jc w:val="center"/>
              <w:rPr>
                <w:rFonts w:cs="Arial"/>
                <w:sz w:val="20"/>
                <w:szCs w:val="20"/>
              </w:rPr>
            </w:pPr>
            <w:r w:rsidRPr="00522CD2">
              <w:rPr>
                <w:rFonts w:cs="Arial"/>
                <w:sz w:val="20"/>
                <w:szCs w:val="20"/>
              </w:rPr>
              <w:t>252</w:t>
            </w:r>
          </w:p>
        </w:tc>
        <w:tc>
          <w:tcPr>
            <w:tcW w:w="3708" w:type="dxa"/>
            <w:tcBorders>
              <w:left w:val="single" w:sz="4" w:space="0" w:color="FFFFFF" w:themeColor="background1"/>
              <w:right w:val="single" w:sz="4" w:space="0" w:color="FFFFFF" w:themeColor="background1"/>
            </w:tcBorders>
          </w:tcPr>
          <w:p w14:paraId="31C096A4"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p w14:paraId="445FCD12"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Treatment response/engagement </w:t>
            </w:r>
          </w:p>
        </w:tc>
        <w:tc>
          <w:tcPr>
            <w:tcW w:w="5862" w:type="dxa"/>
            <w:gridSpan w:val="2"/>
            <w:tcBorders>
              <w:left w:val="single" w:sz="4" w:space="0" w:color="FFFFFF" w:themeColor="background1"/>
              <w:right w:val="single" w:sz="4" w:space="0" w:color="FFFFFF" w:themeColor="background1"/>
            </w:tcBorders>
          </w:tcPr>
          <w:p w14:paraId="2A4B0DEC"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Local law agency data and arrests frequencies used</w:t>
            </w:r>
          </w:p>
          <w:p w14:paraId="1C61DD2B"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who completed treatment</w:t>
            </w:r>
          </w:p>
          <w:p w14:paraId="716E8A91" w14:textId="77777777" w:rsidR="00841348" w:rsidRPr="00522CD2" w:rsidRDefault="00841348" w:rsidP="00290AAF">
            <w:pPr>
              <w:spacing w:line="276" w:lineRule="auto"/>
              <w:ind w:left="252"/>
              <w:rPr>
                <w:rFonts w:cs="Arial"/>
                <w:sz w:val="20"/>
                <w:szCs w:val="20"/>
              </w:rPr>
            </w:pPr>
          </w:p>
        </w:tc>
      </w:tr>
      <w:tr w:rsidR="00841348" w:rsidRPr="00522CD2" w14:paraId="3DB478AC" w14:textId="77777777" w:rsidTr="006A50DE">
        <w:trPr>
          <w:trHeight w:val="1185"/>
        </w:trPr>
        <w:tc>
          <w:tcPr>
            <w:tcW w:w="2399" w:type="dxa"/>
            <w:tcBorders>
              <w:left w:val="single" w:sz="4" w:space="0" w:color="FFFFFF" w:themeColor="background1"/>
              <w:right w:val="single" w:sz="4" w:space="0" w:color="FFFFFF" w:themeColor="background1"/>
            </w:tcBorders>
          </w:tcPr>
          <w:p w14:paraId="3EFDA21B" w14:textId="39F00241" w:rsidR="00841348" w:rsidRPr="00522CD2" w:rsidRDefault="00841348" w:rsidP="00290AAF">
            <w:pPr>
              <w:spacing w:line="276" w:lineRule="auto"/>
              <w:rPr>
                <w:rFonts w:cs="Arial"/>
                <w:sz w:val="20"/>
                <w:szCs w:val="20"/>
              </w:rPr>
            </w:pPr>
            <w:r w:rsidRPr="00522CD2">
              <w:rPr>
                <w:rFonts w:cs="Arial"/>
                <w:sz w:val="20"/>
                <w:szCs w:val="20"/>
              </w:rPr>
              <w:t>Marks (2011)</w:t>
            </w:r>
            <w:r w:rsidR="005A125F" w:rsidRPr="00522CD2">
              <w:rPr>
                <w:rFonts w:cs="Arial"/>
                <w:sz w:val="20"/>
                <w:szCs w:val="20"/>
              </w:rPr>
              <w:t xml:space="preserve"> </w:t>
            </w:r>
            <w:r w:rsidR="005A125F" w:rsidRPr="00522CD2">
              <w:rPr>
                <w:rFonts w:cs="Arial"/>
                <w:sz w:val="20"/>
                <w:szCs w:val="20"/>
              </w:rPr>
              <w:fldChar w:fldCharType="begin" w:fldLock="1"/>
            </w:r>
            <w:r w:rsidR="00E353A8" w:rsidRPr="00522CD2">
              <w:rPr>
                <w:rFonts w:cs="Arial"/>
                <w:sz w:val="20"/>
                <w:szCs w:val="20"/>
              </w:rPr>
              <w:instrText>ADDIN CSL_CITATION { "citationItems" : [ { "id" : "ITEM-1", "itemData" : { "author" : [ { "dropping-particle" : "", "family" : "Marks", "given" : "K.", "non-dropping-particle" : "", "parse-names" : false, "suffix" : "" } ], "id" : "ITEM-1", "issued" : { "date-parts" : [ [ "2011" ] ] }, "publisher" : "University of Birmingham", "title" : "Assessing Risk and Outcomes in Offenders Detained in Intellectual Disability and Mental Health Medium Secure Units in the United Kingdom.", "type" : "thesis" }, "uris" : [ "http://www.mendeley.com/documents/?uuid=20b5d144-bdcd-4cd7-8ddf-0039ce998ae7" ] } ], "mendeley" : { "formattedCitation" : "(48)", "plainTextFormattedCitation" : "(48)", "previouslyFormattedCitation" : "(48)" }, "properties" : { "noteIndex" : 0 }, "schema" : "https://github.com/citation-style-language/schema/raw/master/csl-citation.json" }</w:instrText>
            </w:r>
            <w:r w:rsidR="005A125F" w:rsidRPr="00522CD2">
              <w:rPr>
                <w:rFonts w:cs="Arial"/>
                <w:sz w:val="20"/>
                <w:szCs w:val="20"/>
              </w:rPr>
              <w:fldChar w:fldCharType="separate"/>
            </w:r>
            <w:r w:rsidR="00E353A8" w:rsidRPr="00522CD2">
              <w:rPr>
                <w:rFonts w:cs="Arial"/>
                <w:noProof/>
                <w:sz w:val="20"/>
                <w:szCs w:val="20"/>
              </w:rPr>
              <w:t>(48)</w:t>
            </w:r>
            <w:r w:rsidR="005A125F" w:rsidRPr="00522CD2">
              <w:rPr>
                <w:rFonts w:cs="Arial"/>
                <w:sz w:val="20"/>
                <w:szCs w:val="20"/>
              </w:rPr>
              <w:fldChar w:fldCharType="end"/>
            </w:r>
          </w:p>
          <w:p w14:paraId="2340B6E2" w14:textId="77777777" w:rsidR="00841348" w:rsidRPr="00522CD2" w:rsidRDefault="00841348" w:rsidP="00290AAF">
            <w:pPr>
              <w:spacing w:line="276" w:lineRule="auto"/>
              <w:rPr>
                <w:rFonts w:cs="Arial"/>
                <w:sz w:val="20"/>
                <w:szCs w:val="20"/>
              </w:rPr>
            </w:pPr>
            <w:r w:rsidRPr="00522CD2">
              <w:rPr>
                <w:rFonts w:cs="Arial"/>
                <w:sz w:val="20"/>
                <w:szCs w:val="20"/>
              </w:rPr>
              <w:t>[unpublished thesis]</w:t>
            </w:r>
          </w:p>
          <w:p w14:paraId="04B4C41D" w14:textId="77777777" w:rsidR="00841348" w:rsidRPr="00522CD2" w:rsidRDefault="00841348" w:rsidP="00290AAF">
            <w:pPr>
              <w:spacing w:line="276" w:lineRule="auto"/>
              <w:rPr>
                <w:rFonts w:cs="Arial"/>
                <w:sz w:val="20"/>
                <w:szCs w:val="20"/>
              </w:rPr>
            </w:pPr>
            <w:r w:rsidRPr="00522CD2">
              <w:rPr>
                <w:rFonts w:cs="Arial"/>
                <w:sz w:val="20"/>
                <w:szCs w:val="20"/>
              </w:rPr>
              <w:t>Medium secure</w:t>
            </w:r>
          </w:p>
        </w:tc>
        <w:tc>
          <w:tcPr>
            <w:tcW w:w="2385" w:type="dxa"/>
            <w:tcBorders>
              <w:left w:val="single" w:sz="4" w:space="0" w:color="FFFFFF" w:themeColor="background1"/>
              <w:right w:val="single" w:sz="4" w:space="0" w:color="FFFFFF" w:themeColor="background1"/>
            </w:tcBorders>
          </w:tcPr>
          <w:p w14:paraId="25D42F01" w14:textId="440ADEE1" w:rsidR="00841348" w:rsidRPr="00522CD2" w:rsidRDefault="00841348" w:rsidP="00290AAF">
            <w:pPr>
              <w:spacing w:line="276" w:lineRule="auto"/>
              <w:rPr>
                <w:rFonts w:cs="Arial"/>
                <w:sz w:val="20"/>
                <w:szCs w:val="20"/>
              </w:rPr>
            </w:pPr>
            <w:r w:rsidRPr="00522CD2">
              <w:rPr>
                <w:rFonts w:cs="Arial"/>
                <w:sz w:val="20"/>
                <w:szCs w:val="20"/>
              </w:rPr>
              <w:t xml:space="preserve">Retrospective cohort study </w:t>
            </w:r>
          </w:p>
          <w:p w14:paraId="581C021E" w14:textId="77777777" w:rsidR="00841348" w:rsidRPr="00522CD2" w:rsidRDefault="00841348" w:rsidP="00290AAF">
            <w:pPr>
              <w:spacing w:line="276" w:lineRule="auto"/>
              <w:rPr>
                <w:rFonts w:cs="Arial"/>
                <w:sz w:val="20"/>
                <w:szCs w:val="20"/>
              </w:rPr>
            </w:pPr>
            <w:r w:rsidRPr="00522CD2">
              <w:rPr>
                <w:rFonts w:cs="Arial"/>
                <w:sz w:val="20"/>
                <w:szCs w:val="20"/>
              </w:rPr>
              <w:t>Follow up: 4 years</w:t>
            </w:r>
          </w:p>
        </w:tc>
        <w:tc>
          <w:tcPr>
            <w:tcW w:w="1136" w:type="dxa"/>
            <w:tcBorders>
              <w:left w:val="single" w:sz="4" w:space="0" w:color="FFFFFF" w:themeColor="background1"/>
              <w:right w:val="single" w:sz="4" w:space="0" w:color="FFFFFF" w:themeColor="background1"/>
            </w:tcBorders>
          </w:tcPr>
          <w:p w14:paraId="458A210C" w14:textId="77777777" w:rsidR="00841348" w:rsidRPr="00522CD2" w:rsidRDefault="00841348" w:rsidP="00290AAF">
            <w:pPr>
              <w:spacing w:line="276" w:lineRule="auto"/>
              <w:jc w:val="center"/>
              <w:rPr>
                <w:rFonts w:cs="Arial"/>
                <w:sz w:val="20"/>
                <w:szCs w:val="20"/>
              </w:rPr>
            </w:pPr>
            <w:r w:rsidRPr="00522CD2">
              <w:rPr>
                <w:rFonts w:cs="Arial"/>
                <w:sz w:val="20"/>
                <w:szCs w:val="20"/>
              </w:rPr>
              <w:t>28</w:t>
            </w:r>
          </w:p>
        </w:tc>
        <w:tc>
          <w:tcPr>
            <w:tcW w:w="3708" w:type="dxa"/>
            <w:tcBorders>
              <w:left w:val="single" w:sz="4" w:space="0" w:color="FFFFFF" w:themeColor="background1"/>
              <w:right w:val="single" w:sz="4" w:space="0" w:color="FFFFFF" w:themeColor="background1"/>
            </w:tcBorders>
          </w:tcPr>
          <w:p w14:paraId="5F22B5A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p w14:paraId="519ECD62" w14:textId="77777777" w:rsidR="00841348" w:rsidRPr="00522CD2" w:rsidRDefault="00841348" w:rsidP="00290AAF">
            <w:pPr>
              <w:spacing w:line="276" w:lineRule="auto"/>
              <w:ind w:left="252"/>
              <w:rPr>
                <w:rFonts w:cs="Arial"/>
                <w:sz w:val="20"/>
                <w:szCs w:val="20"/>
              </w:rPr>
            </w:pPr>
          </w:p>
          <w:p w14:paraId="543A180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53B8557A"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tc>
        <w:tc>
          <w:tcPr>
            <w:tcW w:w="5862" w:type="dxa"/>
            <w:gridSpan w:val="2"/>
            <w:tcBorders>
              <w:left w:val="single" w:sz="4" w:space="0" w:color="FFFFFF" w:themeColor="background1"/>
              <w:right w:val="single" w:sz="4" w:space="0" w:color="FFFFFF" w:themeColor="background1"/>
            </w:tcBorders>
          </w:tcPr>
          <w:p w14:paraId="61B4051B" w14:textId="6D731508"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who reoffended (even if this did</w:t>
            </w:r>
            <w:r w:rsidR="000344E3" w:rsidRPr="00522CD2">
              <w:rPr>
                <w:rFonts w:cs="Arial"/>
                <w:sz w:val="20"/>
                <w:szCs w:val="20"/>
              </w:rPr>
              <w:t xml:space="preserve"> not lead to police contact) determined by</w:t>
            </w:r>
            <w:r w:rsidRPr="00522CD2">
              <w:rPr>
                <w:rFonts w:cs="Arial"/>
                <w:sz w:val="20"/>
                <w:szCs w:val="20"/>
              </w:rPr>
              <w:t xml:space="preserve"> interview with current care team</w:t>
            </w:r>
          </w:p>
          <w:p w14:paraId="5234CA34"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and median number of years</w:t>
            </w:r>
          </w:p>
          <w:p w14:paraId="4E3E0E3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in high, medium, low and community services</w:t>
            </w:r>
          </w:p>
        </w:tc>
      </w:tr>
      <w:tr w:rsidR="00841348" w:rsidRPr="00522CD2" w14:paraId="6C95C987" w14:textId="77777777" w:rsidTr="006A50DE">
        <w:trPr>
          <w:trHeight w:val="794"/>
        </w:trPr>
        <w:tc>
          <w:tcPr>
            <w:tcW w:w="15490" w:type="dxa"/>
            <w:gridSpan w:val="6"/>
            <w:tcBorders>
              <w:left w:val="single" w:sz="4" w:space="0" w:color="FFFFFF" w:themeColor="background1"/>
              <w:bottom w:val="single" w:sz="4" w:space="0" w:color="FFFFFF"/>
              <w:right w:val="single" w:sz="4" w:space="0" w:color="FFFFFF" w:themeColor="background1"/>
            </w:tcBorders>
          </w:tcPr>
          <w:p w14:paraId="55BF8DE2" w14:textId="77777777" w:rsidR="00841348" w:rsidRPr="00522CD2" w:rsidRDefault="00841348" w:rsidP="00290AAF">
            <w:pPr>
              <w:spacing w:line="276" w:lineRule="auto"/>
              <w:rPr>
                <w:rFonts w:cs="Arial"/>
                <w:sz w:val="20"/>
                <w:szCs w:val="20"/>
              </w:rPr>
            </w:pPr>
          </w:p>
          <w:p w14:paraId="30B2E87A" w14:textId="77777777" w:rsidR="00FC3FE5" w:rsidRPr="00522CD2" w:rsidRDefault="00FC3FE5" w:rsidP="00290AAF">
            <w:pPr>
              <w:spacing w:line="276" w:lineRule="auto"/>
              <w:rPr>
                <w:rFonts w:cs="Arial"/>
                <w:sz w:val="20"/>
                <w:szCs w:val="20"/>
              </w:rPr>
            </w:pPr>
          </w:p>
          <w:p w14:paraId="4F8641C4" w14:textId="77777777" w:rsidR="00FC3FE5" w:rsidRPr="00522CD2" w:rsidRDefault="00FC3FE5" w:rsidP="00290AAF">
            <w:pPr>
              <w:spacing w:line="276" w:lineRule="auto"/>
              <w:rPr>
                <w:rFonts w:cs="Arial"/>
                <w:sz w:val="20"/>
                <w:szCs w:val="20"/>
              </w:rPr>
            </w:pPr>
          </w:p>
        </w:tc>
      </w:tr>
      <w:tr w:rsidR="00272555" w:rsidRPr="00522CD2" w14:paraId="178AD69E" w14:textId="77777777" w:rsidTr="006A50DE">
        <w:tc>
          <w:tcPr>
            <w:tcW w:w="15490" w:type="dxa"/>
            <w:gridSpan w:val="6"/>
            <w:tcBorders>
              <w:top w:val="single" w:sz="4" w:space="0" w:color="FFFFFF"/>
              <w:left w:val="single" w:sz="4" w:space="0" w:color="FFFFFF" w:themeColor="background1"/>
              <w:bottom w:val="single" w:sz="4" w:space="0" w:color="FFFFFF"/>
              <w:right w:val="single" w:sz="4" w:space="0" w:color="FFFFFF" w:themeColor="background1"/>
            </w:tcBorders>
          </w:tcPr>
          <w:p w14:paraId="1F1C30DA" w14:textId="77777777" w:rsidR="00272555" w:rsidRPr="00522CD2" w:rsidRDefault="00272555" w:rsidP="00290AAF">
            <w:pPr>
              <w:spacing w:line="276" w:lineRule="auto"/>
              <w:rPr>
                <w:rFonts w:cs="Arial"/>
                <w:sz w:val="20"/>
                <w:szCs w:val="20"/>
              </w:rPr>
            </w:pPr>
          </w:p>
        </w:tc>
      </w:tr>
      <w:tr w:rsidR="00841348" w:rsidRPr="00522CD2" w14:paraId="4C9E8FD3" w14:textId="77777777" w:rsidTr="006A50DE">
        <w:trPr>
          <w:trHeight w:val="274"/>
        </w:trPr>
        <w:tc>
          <w:tcPr>
            <w:tcW w:w="15490" w:type="dxa"/>
            <w:gridSpan w:val="6"/>
            <w:tcBorders>
              <w:top w:val="single" w:sz="4" w:space="0" w:color="FFFFFF"/>
              <w:left w:val="single" w:sz="4" w:space="0" w:color="FFFFFF" w:themeColor="background1"/>
              <w:right w:val="single" w:sz="4" w:space="0" w:color="FFFFFF" w:themeColor="background1"/>
            </w:tcBorders>
          </w:tcPr>
          <w:p w14:paraId="49612B44" w14:textId="77777777" w:rsidR="00841348" w:rsidRPr="00522CD2" w:rsidRDefault="00841348" w:rsidP="00290AAF">
            <w:pPr>
              <w:spacing w:line="276" w:lineRule="auto"/>
              <w:rPr>
                <w:rFonts w:cs="Arial"/>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 xml:space="preserve">. </w:t>
            </w:r>
            <w:r w:rsidRPr="00522CD2">
              <w:rPr>
                <w:rFonts w:cs="Arial"/>
                <w:sz w:val="20"/>
                <w:szCs w:val="20"/>
              </w:rPr>
              <w:t>continued</w:t>
            </w:r>
          </w:p>
          <w:p w14:paraId="2FC5A6D9" w14:textId="77777777" w:rsidR="00841348" w:rsidRPr="00522CD2" w:rsidRDefault="00841348" w:rsidP="00290AAF">
            <w:pPr>
              <w:spacing w:line="276" w:lineRule="auto"/>
              <w:rPr>
                <w:rFonts w:cs="Arial"/>
                <w:i/>
                <w:sz w:val="20"/>
                <w:szCs w:val="20"/>
              </w:rPr>
            </w:pPr>
            <w:r w:rsidRPr="00522CD2">
              <w:rPr>
                <w:rFonts w:cs="Arial"/>
                <w:sz w:val="20"/>
                <w:szCs w:val="20"/>
              </w:rPr>
              <w:t>Summary of studies presenting data on the outcome domain of effectiveness (cohort studies).</w:t>
            </w:r>
          </w:p>
        </w:tc>
      </w:tr>
      <w:tr w:rsidR="00841348" w:rsidRPr="00522CD2" w14:paraId="2D0B1378" w14:textId="77777777" w:rsidTr="006A50DE">
        <w:trPr>
          <w:trHeight w:val="340"/>
        </w:trPr>
        <w:tc>
          <w:tcPr>
            <w:tcW w:w="2399" w:type="dxa"/>
            <w:tcBorders>
              <w:left w:val="single" w:sz="4" w:space="0" w:color="FFFFFF" w:themeColor="background1"/>
              <w:right w:val="single" w:sz="4" w:space="0" w:color="FFFFFF" w:themeColor="background1"/>
            </w:tcBorders>
          </w:tcPr>
          <w:p w14:paraId="7A0065F2" w14:textId="77777777" w:rsidR="00841348" w:rsidRPr="00522CD2" w:rsidRDefault="00841348" w:rsidP="00290AAF">
            <w:pPr>
              <w:jc w:val="center"/>
              <w:rPr>
                <w:rFonts w:cs="Arial"/>
                <w:b/>
                <w:sz w:val="20"/>
                <w:szCs w:val="20"/>
              </w:rPr>
            </w:pPr>
            <w:r w:rsidRPr="00522CD2">
              <w:rPr>
                <w:rFonts w:cs="Arial"/>
                <w:b/>
                <w:sz w:val="20"/>
                <w:szCs w:val="20"/>
              </w:rPr>
              <w:t>Study and Setting</w:t>
            </w:r>
          </w:p>
        </w:tc>
        <w:tc>
          <w:tcPr>
            <w:tcW w:w="2385" w:type="dxa"/>
            <w:tcBorders>
              <w:left w:val="single" w:sz="4" w:space="0" w:color="FFFFFF" w:themeColor="background1"/>
              <w:right w:val="single" w:sz="4" w:space="0" w:color="FFFFFF" w:themeColor="background1"/>
            </w:tcBorders>
          </w:tcPr>
          <w:p w14:paraId="7C53DC03" w14:textId="77777777" w:rsidR="00841348" w:rsidRPr="00522CD2" w:rsidRDefault="00841348" w:rsidP="00290AAF">
            <w:pPr>
              <w:jc w:val="center"/>
              <w:rPr>
                <w:rFonts w:cs="Arial"/>
                <w:b/>
                <w:sz w:val="20"/>
                <w:szCs w:val="20"/>
              </w:rPr>
            </w:pPr>
            <w:r w:rsidRPr="00522CD2">
              <w:rPr>
                <w:rFonts w:cs="Arial"/>
                <w:b/>
                <w:sz w:val="20"/>
                <w:szCs w:val="20"/>
              </w:rPr>
              <w:t>Design</w:t>
            </w:r>
          </w:p>
        </w:tc>
        <w:tc>
          <w:tcPr>
            <w:tcW w:w="1136" w:type="dxa"/>
            <w:tcBorders>
              <w:left w:val="single" w:sz="4" w:space="0" w:color="FFFFFF" w:themeColor="background1"/>
              <w:right w:val="single" w:sz="4" w:space="0" w:color="FFFFFF" w:themeColor="background1"/>
            </w:tcBorders>
          </w:tcPr>
          <w:p w14:paraId="382C5CE5" w14:textId="77777777" w:rsidR="00841348" w:rsidRPr="00522CD2" w:rsidRDefault="00841348" w:rsidP="00290AAF">
            <w:pPr>
              <w:jc w:val="center"/>
              <w:rPr>
                <w:rFonts w:cs="Arial"/>
                <w:b/>
                <w:sz w:val="20"/>
                <w:szCs w:val="20"/>
              </w:rPr>
            </w:pPr>
            <w:r w:rsidRPr="00522CD2">
              <w:rPr>
                <w:rFonts w:cs="Arial"/>
                <w:b/>
                <w:sz w:val="20"/>
                <w:szCs w:val="20"/>
              </w:rPr>
              <w:t>N</w:t>
            </w:r>
          </w:p>
        </w:tc>
        <w:tc>
          <w:tcPr>
            <w:tcW w:w="3708" w:type="dxa"/>
            <w:tcBorders>
              <w:left w:val="single" w:sz="4" w:space="0" w:color="FFFFFF" w:themeColor="background1"/>
              <w:right w:val="single" w:sz="4" w:space="0" w:color="FFFFFF" w:themeColor="background1"/>
            </w:tcBorders>
          </w:tcPr>
          <w:p w14:paraId="18F49622" w14:textId="77777777" w:rsidR="00841348" w:rsidRPr="00522CD2" w:rsidRDefault="00841348" w:rsidP="00290AAF">
            <w:pPr>
              <w:jc w:val="center"/>
              <w:rPr>
                <w:rFonts w:cs="Arial"/>
                <w:b/>
                <w:sz w:val="20"/>
                <w:szCs w:val="20"/>
              </w:rPr>
            </w:pPr>
            <w:r w:rsidRPr="00522CD2">
              <w:rPr>
                <w:rFonts w:cs="Arial"/>
                <w:b/>
                <w:sz w:val="20"/>
                <w:szCs w:val="20"/>
              </w:rPr>
              <w:t>Outcome Sub-Domain</w:t>
            </w:r>
          </w:p>
        </w:tc>
        <w:tc>
          <w:tcPr>
            <w:tcW w:w="5862" w:type="dxa"/>
            <w:gridSpan w:val="2"/>
            <w:tcBorders>
              <w:left w:val="single" w:sz="4" w:space="0" w:color="FFFFFF" w:themeColor="background1"/>
              <w:right w:val="single" w:sz="4" w:space="0" w:color="FFFFFF" w:themeColor="background1"/>
            </w:tcBorders>
          </w:tcPr>
          <w:p w14:paraId="7A306120" w14:textId="77777777" w:rsidR="00841348" w:rsidRPr="00522CD2" w:rsidRDefault="00841348" w:rsidP="00290AAF">
            <w:pPr>
              <w:jc w:val="center"/>
              <w:rPr>
                <w:rFonts w:cs="Arial"/>
                <w:b/>
                <w:sz w:val="20"/>
                <w:szCs w:val="20"/>
              </w:rPr>
            </w:pPr>
            <w:r w:rsidRPr="00522CD2">
              <w:rPr>
                <w:rFonts w:cs="Arial"/>
                <w:b/>
                <w:sz w:val="20"/>
                <w:szCs w:val="20"/>
              </w:rPr>
              <w:t>Measure/Indicator</w:t>
            </w:r>
          </w:p>
        </w:tc>
      </w:tr>
      <w:tr w:rsidR="00841348" w:rsidRPr="00522CD2" w14:paraId="2FB6B29A" w14:textId="77777777" w:rsidTr="006A50DE">
        <w:trPr>
          <w:trHeight w:val="700"/>
        </w:trPr>
        <w:tc>
          <w:tcPr>
            <w:tcW w:w="2399" w:type="dxa"/>
            <w:tcBorders>
              <w:left w:val="single" w:sz="4" w:space="0" w:color="FFFFFF" w:themeColor="background1"/>
              <w:right w:val="single" w:sz="4" w:space="0" w:color="FFFFFF" w:themeColor="background1"/>
            </w:tcBorders>
          </w:tcPr>
          <w:p w14:paraId="1CF6AC67" w14:textId="77777777" w:rsidR="00841348" w:rsidRPr="00522CD2" w:rsidRDefault="00841348" w:rsidP="00290AAF">
            <w:pPr>
              <w:spacing w:line="276" w:lineRule="auto"/>
              <w:rPr>
                <w:rFonts w:cs="Arial"/>
                <w:sz w:val="20"/>
                <w:szCs w:val="20"/>
                <w:lang w:eastAsia="en-GB"/>
              </w:rPr>
            </w:pPr>
            <w:r w:rsidRPr="00522CD2">
              <w:rPr>
                <w:rFonts w:cs="Arial"/>
                <w:sz w:val="20"/>
                <w:szCs w:val="20"/>
                <w:lang w:eastAsia="en-GB"/>
              </w:rPr>
              <w:t>Morrissey &amp; Taylor</w:t>
            </w:r>
          </w:p>
          <w:p w14:paraId="3E409BAC" w14:textId="3CD4A394" w:rsidR="00841348" w:rsidRPr="00522CD2" w:rsidRDefault="00FD6CB9" w:rsidP="00290AAF">
            <w:pPr>
              <w:spacing w:line="276" w:lineRule="auto"/>
              <w:rPr>
                <w:rFonts w:cs="Arial"/>
                <w:sz w:val="20"/>
                <w:szCs w:val="20"/>
                <w:lang w:eastAsia="en-GB"/>
              </w:rPr>
            </w:pPr>
            <w:r w:rsidRPr="00522CD2">
              <w:rPr>
                <w:rFonts w:cs="Arial"/>
                <w:sz w:val="20"/>
                <w:szCs w:val="20"/>
                <w:lang w:eastAsia="en-GB"/>
              </w:rPr>
              <w:t>(2014</w:t>
            </w:r>
            <w:r w:rsidR="00841348" w:rsidRPr="00522CD2">
              <w:rPr>
                <w:rFonts w:cs="Arial"/>
                <w:sz w:val="20"/>
                <w:szCs w:val="20"/>
                <w:lang w:eastAsia="en-GB"/>
              </w:rPr>
              <w:t xml:space="preserve">) </w:t>
            </w:r>
            <w:r w:rsidR="005A125F" w:rsidRPr="00522CD2">
              <w:rPr>
                <w:rFonts w:cs="Arial"/>
                <w:sz w:val="20"/>
                <w:szCs w:val="20"/>
                <w:lang w:eastAsia="en-GB"/>
              </w:rPr>
              <w:fldChar w:fldCharType="begin" w:fldLock="1"/>
            </w:r>
            <w:r w:rsidR="00E353A8" w:rsidRPr="00522CD2">
              <w:rPr>
                <w:rFonts w:cs="Arial"/>
                <w:sz w:val="20"/>
                <w:szCs w:val="20"/>
                <w:lang w:eastAsia="en-GB"/>
              </w:rPr>
              <w:instrText>ADDIN CSL_CITATION { "citationItems" : [ { "id" : "ITEM-1", "itemData" : { "DOI" : "10.1080/19315864.2014.930548", "ISBN" : "1931-5864", "ISSN" : "19315864 (ISSN)", "abstract" : "Therapeutic community treatment models have not previously been applied to forensic patients with mild intellectual disabilities (IDs) with a comorbid diagnosis of personality disorder. Thirteen patients with mild IDs were allocated to a unit within a high secure psychiatric service operating a model of treatment based on the principles and practices of therapeutic communities. After 2 years, 9 patients remained in treatment. Self-rated personality disorder traits, maladaptive schema relating to personality disorder, and clinician-rated psychopathy were measured at start of treatment and after 2 years. Seclusion hours were measured for 6 months before treatment and during the 2 years of treatment. There were significant reductions in antisocial, schizoid and paranoid traits, and in schemas relating to entitlement, defectiveness, emotional inhibition, and vulnerability. There were no changes in ratings of psychopathic traits. Mean seclusion hours had reduced by over 90% in the latter 6 months of treatment compared with the 6 months before treatment. The results provide encouraging support for a therapeutic community approach for some individuals with mild IDs and personality disorder diagnoses and are discussed in the light of the severe pathology of the patients undergoing treatment. Therapeutic community approaches are nevertheless consistent with the move toward greater patient involvement in services and treatment. \u00a9 2014 Taylor &amp; Francis Group, LLC.", "author" : [ { "dropping-particle" : "", "family" : "C.", "given" : "Morrissey", "non-dropping-particle" : "", "parse-names" : false, "suffix" : "" }, { "dropping-particle" : "", "family" : "J.", "given" : "Taylor", "non-dropping-particle" : "", "parse-names" : false, "suffix" : "" } ], "container-title" : "Journal of Mental Health Research in Intellectual Disabilities", "id" : "ITEM-1", "issue" : "4", "issued" : { "date-parts" : [ [ "2014" ] ] }, "page" : "323-336", "publisher" : "Routledge", "title" : "Changes in Personality Disorder Traits Following 2 Years of Treatment in a Secure Therapeutic Community Milieu", "type" : "article-journal", "volume" : "7" }, "uris" : [ "http://www.mendeley.com/documents/?uuid=a6ba7fe1-3016-36f0-93fe-e24d2ce70617" ] } ], "mendeley" : { "formattedCitation" : "(49)", "plainTextFormattedCitation" : "(49)", "previouslyFormattedCitation" : "(49)" }, "properties" : { "noteIndex" : 0 }, "schema" : "https://github.com/citation-style-language/schema/raw/master/csl-citation.json" }</w:instrText>
            </w:r>
            <w:r w:rsidR="005A125F" w:rsidRPr="00522CD2">
              <w:rPr>
                <w:rFonts w:cs="Arial"/>
                <w:sz w:val="20"/>
                <w:szCs w:val="20"/>
                <w:lang w:eastAsia="en-GB"/>
              </w:rPr>
              <w:fldChar w:fldCharType="separate"/>
            </w:r>
            <w:r w:rsidR="00E353A8" w:rsidRPr="00522CD2">
              <w:rPr>
                <w:rFonts w:cs="Arial"/>
                <w:noProof/>
                <w:sz w:val="20"/>
                <w:szCs w:val="20"/>
                <w:lang w:eastAsia="en-GB"/>
              </w:rPr>
              <w:t>(49)</w:t>
            </w:r>
            <w:r w:rsidR="005A125F" w:rsidRPr="00522CD2">
              <w:rPr>
                <w:rFonts w:cs="Arial"/>
                <w:sz w:val="20"/>
                <w:szCs w:val="20"/>
                <w:lang w:eastAsia="en-GB"/>
              </w:rPr>
              <w:fldChar w:fldCharType="end"/>
            </w:r>
          </w:p>
          <w:p w14:paraId="4FA0EE6C" w14:textId="77777777" w:rsidR="00841348" w:rsidRPr="00522CD2" w:rsidRDefault="00841348" w:rsidP="00290AAF">
            <w:pPr>
              <w:spacing w:line="276" w:lineRule="auto"/>
              <w:rPr>
                <w:rFonts w:cs="Arial"/>
                <w:sz w:val="20"/>
                <w:szCs w:val="20"/>
                <w:lang w:eastAsia="en-GB"/>
              </w:rPr>
            </w:pPr>
            <w:r w:rsidRPr="00522CD2">
              <w:rPr>
                <w:rFonts w:cs="Arial"/>
                <w:sz w:val="20"/>
                <w:szCs w:val="20"/>
                <w:lang w:eastAsia="en-GB"/>
              </w:rPr>
              <w:t>High secure</w:t>
            </w:r>
          </w:p>
        </w:tc>
        <w:tc>
          <w:tcPr>
            <w:tcW w:w="2385" w:type="dxa"/>
            <w:tcBorders>
              <w:left w:val="single" w:sz="4" w:space="0" w:color="FFFFFF" w:themeColor="background1"/>
              <w:right w:val="single" w:sz="4" w:space="0" w:color="FFFFFF" w:themeColor="background1"/>
            </w:tcBorders>
          </w:tcPr>
          <w:p w14:paraId="6BE79660" w14:textId="701531CE" w:rsidR="00841348" w:rsidRPr="00522CD2" w:rsidRDefault="00841348" w:rsidP="00290AAF">
            <w:pPr>
              <w:spacing w:line="276" w:lineRule="auto"/>
              <w:rPr>
                <w:rFonts w:cs="Arial"/>
                <w:sz w:val="20"/>
                <w:szCs w:val="20"/>
              </w:rPr>
            </w:pPr>
            <w:r w:rsidRPr="00522CD2">
              <w:rPr>
                <w:rFonts w:cs="Arial"/>
                <w:sz w:val="20"/>
                <w:szCs w:val="20"/>
              </w:rPr>
              <w:t>Case reports</w:t>
            </w:r>
          </w:p>
          <w:p w14:paraId="2E80C55B" w14:textId="2A399342" w:rsidR="00841348" w:rsidRPr="00522CD2" w:rsidRDefault="000344E3" w:rsidP="00290AAF">
            <w:pPr>
              <w:spacing w:line="276" w:lineRule="auto"/>
              <w:rPr>
                <w:rFonts w:cs="Arial"/>
                <w:sz w:val="20"/>
                <w:szCs w:val="20"/>
              </w:rPr>
            </w:pPr>
            <w:r w:rsidRPr="00522CD2">
              <w:rPr>
                <w:rFonts w:cs="Arial"/>
                <w:sz w:val="20"/>
                <w:szCs w:val="20"/>
              </w:rPr>
              <w:t>Follow up: 2</w:t>
            </w:r>
            <w:r w:rsidR="00841348" w:rsidRPr="00522CD2">
              <w:rPr>
                <w:rFonts w:cs="Arial"/>
                <w:sz w:val="20"/>
                <w:szCs w:val="20"/>
              </w:rPr>
              <w:t xml:space="preserve"> year</w:t>
            </w:r>
            <w:r w:rsidRPr="00522CD2">
              <w:rPr>
                <w:rFonts w:cs="Arial"/>
                <w:sz w:val="20"/>
                <w:szCs w:val="20"/>
              </w:rPr>
              <w:t>s</w:t>
            </w:r>
          </w:p>
        </w:tc>
        <w:tc>
          <w:tcPr>
            <w:tcW w:w="1136" w:type="dxa"/>
            <w:tcBorders>
              <w:left w:val="single" w:sz="4" w:space="0" w:color="FFFFFF" w:themeColor="background1"/>
              <w:right w:val="single" w:sz="4" w:space="0" w:color="FFFFFF" w:themeColor="background1"/>
            </w:tcBorders>
          </w:tcPr>
          <w:p w14:paraId="1D1FFDDE" w14:textId="77777777" w:rsidR="00841348" w:rsidRPr="00522CD2" w:rsidRDefault="00841348" w:rsidP="00290AAF">
            <w:pPr>
              <w:spacing w:line="276" w:lineRule="auto"/>
              <w:jc w:val="center"/>
              <w:rPr>
                <w:rFonts w:cs="Arial"/>
                <w:sz w:val="20"/>
                <w:szCs w:val="20"/>
              </w:rPr>
            </w:pPr>
            <w:r w:rsidRPr="00522CD2">
              <w:rPr>
                <w:rFonts w:cs="Arial"/>
                <w:sz w:val="20"/>
                <w:szCs w:val="20"/>
              </w:rPr>
              <w:t>13</w:t>
            </w:r>
          </w:p>
        </w:tc>
        <w:tc>
          <w:tcPr>
            <w:tcW w:w="3708" w:type="dxa"/>
            <w:tcBorders>
              <w:left w:val="single" w:sz="4" w:space="0" w:color="FFFFFF" w:themeColor="background1"/>
              <w:right w:val="single" w:sz="4" w:space="0" w:color="FFFFFF" w:themeColor="background1"/>
            </w:tcBorders>
          </w:tcPr>
          <w:p w14:paraId="6F5ADDE6"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Clinical symptoms </w:t>
            </w:r>
          </w:p>
          <w:p w14:paraId="0BFFBFDD" w14:textId="77777777" w:rsidR="00841348" w:rsidRPr="00522CD2" w:rsidRDefault="00841348" w:rsidP="00290AAF">
            <w:pPr>
              <w:spacing w:line="276" w:lineRule="auto"/>
              <w:ind w:left="252"/>
              <w:rPr>
                <w:rFonts w:cs="Arial"/>
                <w:sz w:val="20"/>
                <w:szCs w:val="20"/>
              </w:rPr>
            </w:pPr>
          </w:p>
          <w:p w14:paraId="6D7025C6"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tc>
        <w:tc>
          <w:tcPr>
            <w:tcW w:w="5862" w:type="dxa"/>
            <w:gridSpan w:val="2"/>
            <w:tcBorders>
              <w:left w:val="single" w:sz="4" w:space="0" w:color="FFFFFF" w:themeColor="background1"/>
              <w:right w:val="single" w:sz="4" w:space="0" w:color="FFFFFF" w:themeColor="background1"/>
            </w:tcBorders>
          </w:tcPr>
          <w:p w14:paraId="02660862" w14:textId="77777777" w:rsidR="00841348" w:rsidRPr="00522CD2" w:rsidRDefault="00841348" w:rsidP="00290AA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YSQ (patient rated), IPDE and PCL:SV (clinician rated): change in mean scores</w:t>
            </w:r>
          </w:p>
          <w:p w14:paraId="1F5C3700"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remaining in treatment, discharged to medium secure or transferred to another high secure ward</w:t>
            </w:r>
          </w:p>
        </w:tc>
      </w:tr>
      <w:tr w:rsidR="00841348" w:rsidRPr="00522CD2" w14:paraId="4589CB4D" w14:textId="77777777" w:rsidTr="006A50DE">
        <w:trPr>
          <w:trHeight w:val="446"/>
        </w:trPr>
        <w:tc>
          <w:tcPr>
            <w:tcW w:w="2399" w:type="dxa"/>
            <w:tcBorders>
              <w:left w:val="single" w:sz="4" w:space="0" w:color="FFFFFF" w:themeColor="background1"/>
              <w:right w:val="single" w:sz="4" w:space="0" w:color="FFFFFF" w:themeColor="background1"/>
            </w:tcBorders>
          </w:tcPr>
          <w:p w14:paraId="77722B91" w14:textId="4B3EFF77" w:rsidR="00841348" w:rsidRPr="00522CD2" w:rsidRDefault="000344E3" w:rsidP="00290AAF">
            <w:pPr>
              <w:spacing w:line="276" w:lineRule="auto"/>
              <w:rPr>
                <w:rFonts w:cs="Arial"/>
                <w:sz w:val="20"/>
                <w:szCs w:val="20"/>
              </w:rPr>
            </w:pPr>
            <w:r w:rsidRPr="00522CD2">
              <w:rPr>
                <w:rFonts w:cs="Arial"/>
                <w:sz w:val="20"/>
                <w:szCs w:val="20"/>
              </w:rPr>
              <w:t>Morrissey et al. (2014</w:t>
            </w:r>
            <w:r w:rsidR="00841348" w:rsidRPr="00522CD2">
              <w:rPr>
                <w:rFonts w:cs="Arial"/>
                <w:sz w:val="20"/>
                <w:szCs w:val="20"/>
              </w:rPr>
              <w:t>)</w:t>
            </w:r>
            <w:r w:rsidR="005A125F" w:rsidRPr="00522CD2">
              <w:rPr>
                <w:rFonts w:cs="Arial"/>
                <w:sz w:val="20"/>
                <w:szCs w:val="20"/>
              </w:rPr>
              <w:t xml:space="preserve"> </w:t>
            </w:r>
            <w:r w:rsidR="005A125F" w:rsidRPr="00522CD2">
              <w:rPr>
                <w:rFonts w:cs="Arial"/>
                <w:sz w:val="20"/>
                <w:szCs w:val="20"/>
              </w:rPr>
              <w:fldChar w:fldCharType="begin" w:fldLock="1"/>
            </w:r>
            <w:r w:rsidR="00E353A8" w:rsidRPr="00522CD2">
              <w:rPr>
                <w:rFonts w:cs="Arial"/>
                <w:sz w:val="20"/>
                <w:szCs w:val="20"/>
              </w:rPr>
              <w:instrText>ADDIN CSL_CITATION { "citationItems" : [ { "id" : "ITEM-1", "itemData" : { "DOI" : "10.1002/cbm.1893", "ISSN" : "09579664", "author" : [ { "dropping-particle" : "", "family" : "Morrissey", "given" : "Catrin", "non-dropping-particle" : "", "parse-names" : false, "suffix" : "" }, { "dropping-particle" : "", "family" : "Beeley", "given" : "Chris", "non-dropping-particle" : "", "parse-names" : false, "suffix" : "" }, { "dropping-particle" : "", "family" : "Milton", "given" : "John", "non-dropping-particle" : "", "parse-names" : false, "suffix" : "" } ], "container-title" : "Criminal Behaviour and Mental Health", "id" : "ITEM-1", "issue" : "3", "issued" : { "date-parts" : [ [ "2014", "7" ] ] }, "page" : "169-180", "title" : "Longitudinal HCR-20 scores in a high-secure psychiatric hospital", "type" : "article-journal", "volume" : "24" }, "uris" : [ "http://www.mendeley.com/documents/?uuid=c56d1808-0fc9-3082-9b96-c6e13022a010" ] } ], "mendeley" : { "formattedCitation" : "(33)", "plainTextFormattedCitation" : "(33)", "previouslyFormattedCitation" : "(33)" }, "properties" : { "noteIndex" : 0 }, "schema" : "https://github.com/citation-style-language/schema/raw/master/csl-citation.json" }</w:instrText>
            </w:r>
            <w:r w:rsidR="005A125F" w:rsidRPr="00522CD2">
              <w:rPr>
                <w:rFonts w:cs="Arial"/>
                <w:sz w:val="20"/>
                <w:szCs w:val="20"/>
              </w:rPr>
              <w:fldChar w:fldCharType="separate"/>
            </w:r>
            <w:r w:rsidR="00E353A8" w:rsidRPr="00522CD2">
              <w:rPr>
                <w:rFonts w:cs="Arial"/>
                <w:noProof/>
                <w:sz w:val="20"/>
                <w:szCs w:val="20"/>
              </w:rPr>
              <w:t>(33)</w:t>
            </w:r>
            <w:r w:rsidR="005A125F" w:rsidRPr="00522CD2">
              <w:rPr>
                <w:rFonts w:cs="Arial"/>
                <w:sz w:val="20"/>
                <w:szCs w:val="20"/>
              </w:rPr>
              <w:fldChar w:fldCharType="end"/>
            </w:r>
          </w:p>
          <w:p w14:paraId="71FE49FE" w14:textId="77777777" w:rsidR="00841348" w:rsidRPr="00522CD2" w:rsidRDefault="00841348" w:rsidP="00290AAF">
            <w:pPr>
              <w:spacing w:line="276" w:lineRule="auto"/>
              <w:rPr>
                <w:rFonts w:cs="Arial"/>
                <w:kern w:val="28"/>
                <w:sz w:val="20"/>
                <w:szCs w:val="20"/>
                <w:lang w:val="en-CA" w:eastAsia="en-GB"/>
              </w:rPr>
            </w:pPr>
            <w:r w:rsidRPr="00522CD2">
              <w:rPr>
                <w:rFonts w:cs="Arial"/>
                <w:kern w:val="28"/>
                <w:sz w:val="20"/>
                <w:szCs w:val="20"/>
                <w:lang w:val="en-CA" w:eastAsia="en-GB"/>
              </w:rPr>
              <w:t>High secure</w:t>
            </w:r>
          </w:p>
          <w:p w14:paraId="436979E7" w14:textId="77777777" w:rsidR="00841348" w:rsidRPr="00522CD2" w:rsidRDefault="00841348" w:rsidP="00290AAF">
            <w:pPr>
              <w:spacing w:line="276" w:lineRule="auto"/>
              <w:rPr>
                <w:rFonts w:cs="Arial"/>
                <w:sz w:val="20"/>
                <w:szCs w:val="20"/>
              </w:rPr>
            </w:pPr>
          </w:p>
        </w:tc>
        <w:tc>
          <w:tcPr>
            <w:tcW w:w="2385" w:type="dxa"/>
            <w:tcBorders>
              <w:left w:val="single" w:sz="4" w:space="0" w:color="FFFFFF" w:themeColor="background1"/>
              <w:right w:val="single" w:sz="4" w:space="0" w:color="FFFFFF" w:themeColor="background1"/>
            </w:tcBorders>
          </w:tcPr>
          <w:p w14:paraId="40766AA9" w14:textId="6335D2B0" w:rsidR="00841348" w:rsidRPr="00522CD2" w:rsidRDefault="000344E3" w:rsidP="00290AAF">
            <w:pPr>
              <w:spacing w:line="276" w:lineRule="auto"/>
              <w:rPr>
                <w:rFonts w:cs="Arial"/>
                <w:sz w:val="20"/>
                <w:szCs w:val="20"/>
              </w:rPr>
            </w:pPr>
            <w:r w:rsidRPr="00522CD2">
              <w:rPr>
                <w:rFonts w:cs="Arial"/>
                <w:sz w:val="20"/>
                <w:szCs w:val="20"/>
              </w:rPr>
              <w:t>Retrospective c</w:t>
            </w:r>
            <w:r w:rsidR="00841348" w:rsidRPr="00522CD2">
              <w:rPr>
                <w:rFonts w:cs="Arial"/>
                <w:sz w:val="20"/>
                <w:szCs w:val="20"/>
              </w:rPr>
              <w:t>ohort study</w:t>
            </w:r>
          </w:p>
          <w:p w14:paraId="22E08786" w14:textId="7C1FDB97" w:rsidR="000344E3" w:rsidRPr="00522CD2" w:rsidRDefault="000344E3" w:rsidP="00290AAF">
            <w:pPr>
              <w:spacing w:line="276" w:lineRule="auto"/>
              <w:rPr>
                <w:rFonts w:cs="Arial"/>
                <w:sz w:val="20"/>
                <w:szCs w:val="20"/>
              </w:rPr>
            </w:pPr>
            <w:r w:rsidRPr="00522CD2">
              <w:rPr>
                <w:rFonts w:cs="Arial"/>
                <w:sz w:val="20"/>
                <w:szCs w:val="20"/>
              </w:rPr>
              <w:t xml:space="preserve">(ID vs other </w:t>
            </w:r>
            <w:r w:rsidR="00FD6CB9" w:rsidRPr="00522CD2">
              <w:rPr>
                <w:rFonts w:cs="Arial"/>
                <w:sz w:val="20"/>
                <w:szCs w:val="20"/>
              </w:rPr>
              <w:t xml:space="preserve">non-ID </w:t>
            </w:r>
            <w:r w:rsidRPr="00522CD2">
              <w:rPr>
                <w:rFonts w:cs="Arial"/>
                <w:sz w:val="20"/>
                <w:szCs w:val="20"/>
              </w:rPr>
              <w:t>services)</w:t>
            </w:r>
          </w:p>
          <w:p w14:paraId="19E6A3C6" w14:textId="77777777" w:rsidR="00841348" w:rsidRPr="00522CD2" w:rsidRDefault="00841348" w:rsidP="00290AAF">
            <w:pPr>
              <w:spacing w:line="276" w:lineRule="auto"/>
              <w:rPr>
                <w:rFonts w:cs="Arial"/>
                <w:sz w:val="20"/>
                <w:szCs w:val="20"/>
              </w:rPr>
            </w:pPr>
            <w:r w:rsidRPr="00522CD2">
              <w:rPr>
                <w:rFonts w:cs="Arial"/>
                <w:sz w:val="20"/>
                <w:szCs w:val="20"/>
              </w:rPr>
              <w:t>Follow up: 5 years</w:t>
            </w:r>
          </w:p>
        </w:tc>
        <w:tc>
          <w:tcPr>
            <w:tcW w:w="1136" w:type="dxa"/>
            <w:tcBorders>
              <w:left w:val="single" w:sz="4" w:space="0" w:color="FFFFFF" w:themeColor="background1"/>
              <w:right w:val="single" w:sz="4" w:space="0" w:color="FFFFFF" w:themeColor="background1"/>
            </w:tcBorders>
          </w:tcPr>
          <w:p w14:paraId="40259642" w14:textId="77777777" w:rsidR="00841348" w:rsidRPr="00522CD2" w:rsidRDefault="00841348" w:rsidP="00290AAF">
            <w:pPr>
              <w:spacing w:line="276" w:lineRule="auto"/>
              <w:jc w:val="center"/>
              <w:rPr>
                <w:rFonts w:cs="Arial"/>
                <w:sz w:val="20"/>
                <w:szCs w:val="20"/>
              </w:rPr>
            </w:pPr>
            <w:r w:rsidRPr="00522CD2">
              <w:rPr>
                <w:rFonts w:cs="Arial"/>
                <w:sz w:val="20"/>
                <w:szCs w:val="20"/>
              </w:rPr>
              <w:t>70</w:t>
            </w:r>
          </w:p>
        </w:tc>
        <w:tc>
          <w:tcPr>
            <w:tcW w:w="3708" w:type="dxa"/>
            <w:tcBorders>
              <w:left w:val="single" w:sz="4" w:space="0" w:color="FFFFFF" w:themeColor="background1"/>
              <w:right w:val="single" w:sz="4" w:space="0" w:color="FFFFFF" w:themeColor="background1"/>
            </w:tcBorders>
          </w:tcPr>
          <w:p w14:paraId="7D0225B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tc>
        <w:tc>
          <w:tcPr>
            <w:tcW w:w="5862" w:type="dxa"/>
            <w:gridSpan w:val="2"/>
            <w:tcBorders>
              <w:left w:val="single" w:sz="4" w:space="0" w:color="FFFFFF" w:themeColor="background1"/>
              <w:right w:val="single" w:sz="4" w:space="0" w:color="FFFFFF" w:themeColor="background1"/>
            </w:tcBorders>
          </w:tcPr>
          <w:p w14:paraId="566D98BF"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HCR-20: change in mean scores</w:t>
            </w:r>
          </w:p>
        </w:tc>
      </w:tr>
      <w:tr w:rsidR="00841348" w:rsidRPr="00522CD2" w14:paraId="1ED5FB5E" w14:textId="77777777" w:rsidTr="006A50DE">
        <w:trPr>
          <w:trHeight w:val="274"/>
        </w:trPr>
        <w:tc>
          <w:tcPr>
            <w:tcW w:w="2399" w:type="dxa"/>
            <w:tcBorders>
              <w:left w:val="single" w:sz="4" w:space="0" w:color="FFFFFF" w:themeColor="background1"/>
              <w:right w:val="single" w:sz="4" w:space="0" w:color="FFFFFF" w:themeColor="background1"/>
            </w:tcBorders>
          </w:tcPr>
          <w:p w14:paraId="524922BC" w14:textId="056C3AE8"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Morrissey et al.</w:t>
            </w:r>
            <w:r w:rsidR="00FD6CB9" w:rsidRPr="00522CD2">
              <w:rPr>
                <w:rFonts w:cs="Arial"/>
                <w:kern w:val="28"/>
                <w:sz w:val="20"/>
                <w:szCs w:val="20"/>
                <w:lang w:val="en-CA" w:eastAsia="en-GB"/>
              </w:rPr>
              <w:t xml:space="preserve"> (2007</w:t>
            </w:r>
            <w:r w:rsidRPr="00522CD2">
              <w:rPr>
                <w:rFonts w:cs="Arial"/>
                <w:kern w:val="28"/>
                <w:sz w:val="20"/>
                <w:szCs w:val="20"/>
                <w:lang w:val="en-CA" w:eastAsia="en-GB"/>
              </w:rPr>
              <w:t xml:space="preserve">) </w:t>
            </w:r>
            <w:r w:rsidR="005A125F"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"10.1080/13668250701383116", "ISSN" : "1366-8250", "PMID" : "17613683", "abstract" : "BACKGROUND Among mainstream offenders, the severe personality disorder of psychopathy has considerable importance as a construct. The disorder has long been associated with failure to make treatment progress. Previous work has identified that psychopathy as a disorder occurs in samples of offenders with intellectual disability (ID), and suggests that the Psychopathy Checklist - Revised (PCL-R: Hare, 1991, 2003) as a measure of the disorder has adequate reliability and validity (Morrissey et al., 2005). The present study aimed to compare the predictive power of the PCL-R in relation to treatment progress with a more general assessment of violence risk, the HCR-20 (Webster, Douglas, Eaves, &amp; Hart, 1997). METHOD A sample of 73 residents in a high security intellectual disability service, who had previously been assessed using the PCL-R and the HCR-20, were followed up at 2 years post-assessment, and their outcome determined in terms of two distinct dichotomous variables reflecting definite positive treatment progress and definite negative treatment progress respectively. RESULTS In line with predictions, the PCL-R Total score and Factor 1 score (Interpersonal and Affective aspects of psychopathy) and the HCR-20 Total score were significantly inversely associated with a positive move from high to medium security hospital conditions within 2 years of assessment. However against prediction, the PCL-R Total score had incremental validity over the HCR-20. The PCL-R Total and Factor 1, but not the HCR-20 Total score, were also significantly associated with negative treatment progress in terms of a move to more restricted treatment conditions. CONCLUSION Psychopathy, and in particular its interpersonal and affective manifestations, is a construct which appears to be associated with indirect measures of treatment progress in this high security ID group. However, caution should be applied in the use of a construct with potentially negative connotations in an already devalued population.", "author" : [ { "dropping-particle" : "", "family" : "Morrissey", "given" : "Catrin", "non-dropping-particle" : "", "parse-names" : false, "suffix" : "" }, { "dropping-particle" : "", "family" : "Mooney", "given" : "Paul", "non-dropping-particle" : "", "parse-names" : false, "suffix" : "" }, { "dropping-particle" : "", "family" : "Hogue", "given" : "Todd E", "non-dropping-particle" : "", "parse-names" : false, "suffix" : "" }, { "dropping-particle" : "", "family" : "Lindsay", "given" : "William R", "non-dropping-particle" : "", "parse-names" : false, "suffix" : "" }, { "dropping-particle" : "", "family" : "Taylor", "given" : "John L", "non-dropping-particle" : "", "parse-names" : false, "suffix" : "" } ], "container-title" : "Journal of intellectual &amp; developmental disability", "id" : "ITEM-1", "issue" : "2", "issued" : { "date-parts" : [ [ "2007", "6" ] ] }, "page" : "125-33", "title" : "Predictive validity of the PCL-R for offenders with intellectual disability in a high security hospital: treatment progress.", "type" : "article-journal", "volume" : "32" }, "uris" : [ "http://www.mendeley.com/documents/?uuid=564c8ea4-29ea-3ffc-93c6-c0f67f5b87ba" ] } ], "mendeley" : { "formattedCitation" : "(50)", "plainTextFormattedCitation" : "(50)", "previouslyFormattedCitation" : "(50)" }, "properties" : { "noteIndex" : 0 }, "schema" : "https://github.com/citation-style-language/schema/raw/master/csl-citation.json" }</w:instrText>
            </w:r>
            <w:r w:rsidR="005A125F"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(50)</w:t>
            </w:r>
            <w:r w:rsidR="005A125F" w:rsidRPr="00522CD2">
              <w:rPr>
                <w:rFonts w:cs="Arial"/>
                <w:kern w:val="28"/>
                <w:sz w:val="20"/>
                <w:szCs w:val="20"/>
                <w:lang w:val="en-CA" w:eastAsia="en-GB"/>
              </w:rPr>
              <w:fldChar w:fldCharType="end"/>
            </w:r>
          </w:p>
          <w:p w14:paraId="5AC6775D"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High secure</w:t>
            </w:r>
          </w:p>
        </w:tc>
        <w:tc>
          <w:tcPr>
            <w:tcW w:w="2385" w:type="dxa"/>
            <w:tcBorders>
              <w:left w:val="single" w:sz="4" w:space="0" w:color="FFFFFF" w:themeColor="background1"/>
              <w:right w:val="single" w:sz="4" w:space="0" w:color="FFFFFF" w:themeColor="background1"/>
            </w:tcBorders>
          </w:tcPr>
          <w:p w14:paraId="0ADE084D" w14:textId="30C39A92" w:rsidR="00841348" w:rsidRPr="00522CD2" w:rsidRDefault="00841348" w:rsidP="00290AAF">
            <w:pPr>
              <w:spacing w:line="276" w:lineRule="auto"/>
              <w:rPr>
                <w:rFonts w:cs="Arial"/>
                <w:sz w:val="20"/>
                <w:szCs w:val="20"/>
              </w:rPr>
            </w:pPr>
            <w:r w:rsidRPr="00522CD2">
              <w:rPr>
                <w:rFonts w:cs="Arial"/>
                <w:sz w:val="20"/>
                <w:szCs w:val="20"/>
              </w:rPr>
              <w:t xml:space="preserve">Prospective cohort study </w:t>
            </w:r>
          </w:p>
          <w:p w14:paraId="02F11977" w14:textId="77777777" w:rsidR="00841348" w:rsidRPr="00522CD2" w:rsidRDefault="00841348" w:rsidP="00290AAF">
            <w:pPr>
              <w:spacing w:line="276" w:lineRule="auto"/>
              <w:rPr>
                <w:rFonts w:cs="Arial"/>
                <w:sz w:val="20"/>
                <w:szCs w:val="20"/>
              </w:rPr>
            </w:pPr>
            <w:r w:rsidRPr="00522CD2">
              <w:rPr>
                <w:rFonts w:cs="Arial"/>
                <w:sz w:val="20"/>
                <w:szCs w:val="20"/>
              </w:rPr>
              <w:t>Follow up: 2 years</w:t>
            </w:r>
          </w:p>
        </w:tc>
        <w:tc>
          <w:tcPr>
            <w:tcW w:w="1136" w:type="dxa"/>
            <w:tcBorders>
              <w:left w:val="single" w:sz="4" w:space="0" w:color="FFFFFF" w:themeColor="background1"/>
              <w:right w:val="single" w:sz="4" w:space="0" w:color="FFFFFF" w:themeColor="background1"/>
            </w:tcBorders>
          </w:tcPr>
          <w:p w14:paraId="766A9323" w14:textId="77777777" w:rsidR="00841348" w:rsidRPr="00522CD2" w:rsidRDefault="00841348" w:rsidP="00290AAF">
            <w:pPr>
              <w:spacing w:line="276" w:lineRule="auto"/>
              <w:jc w:val="center"/>
              <w:rPr>
                <w:rFonts w:cs="Arial"/>
                <w:sz w:val="20"/>
                <w:szCs w:val="20"/>
              </w:rPr>
            </w:pPr>
            <w:r w:rsidRPr="00522CD2">
              <w:rPr>
                <w:rFonts w:cs="Arial"/>
                <w:sz w:val="20"/>
                <w:szCs w:val="20"/>
              </w:rPr>
              <w:t>73</w:t>
            </w:r>
          </w:p>
        </w:tc>
        <w:tc>
          <w:tcPr>
            <w:tcW w:w="3708" w:type="dxa"/>
            <w:tcBorders>
              <w:left w:val="single" w:sz="4" w:space="0" w:color="FFFFFF" w:themeColor="background1"/>
              <w:right w:val="single" w:sz="4" w:space="0" w:color="FFFFFF" w:themeColor="background1"/>
            </w:tcBorders>
          </w:tcPr>
          <w:p w14:paraId="719BACA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p w14:paraId="7C3BC567" w14:textId="77777777" w:rsidR="00841348" w:rsidRPr="00522CD2" w:rsidRDefault="00841348" w:rsidP="00290AAF">
            <w:pPr>
              <w:spacing w:line="276" w:lineRule="auto"/>
              <w:rPr>
                <w:rFonts w:cs="Arial"/>
                <w:sz w:val="20"/>
                <w:szCs w:val="20"/>
              </w:rPr>
            </w:pPr>
          </w:p>
          <w:p w14:paraId="1C1103EB"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p w14:paraId="53D01FD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tc>
        <w:tc>
          <w:tcPr>
            <w:tcW w:w="5862" w:type="dxa"/>
            <w:gridSpan w:val="2"/>
            <w:tcBorders>
              <w:left w:val="single" w:sz="4" w:space="0" w:color="FFFFFF" w:themeColor="background1"/>
              <w:right w:val="single" w:sz="4" w:space="0" w:color="FFFFFF" w:themeColor="background1"/>
            </w:tcBorders>
          </w:tcPr>
          <w:p w14:paraId="72617FC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who made positive (move to a lower level of security) or negative (the same level of security) progress</w:t>
            </w:r>
          </w:p>
          <w:p w14:paraId="216FA98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HCR-20</w:t>
            </w:r>
          </w:p>
          <w:p w14:paraId="53C71E0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PCL-R (clinician rated)</w:t>
            </w:r>
          </w:p>
          <w:p w14:paraId="18D78354" w14:textId="77777777" w:rsidR="00841348" w:rsidRPr="00522CD2" w:rsidRDefault="00841348" w:rsidP="00290AAF">
            <w:pPr>
              <w:spacing w:line="276" w:lineRule="auto"/>
              <w:ind w:left="252"/>
              <w:rPr>
                <w:rFonts w:cs="Arial"/>
                <w:sz w:val="20"/>
                <w:szCs w:val="20"/>
              </w:rPr>
            </w:pPr>
          </w:p>
        </w:tc>
      </w:tr>
      <w:tr w:rsidR="00841348" w:rsidRPr="00522CD2" w14:paraId="07F67BA4" w14:textId="77777777" w:rsidTr="006A50DE">
        <w:trPr>
          <w:trHeight w:val="700"/>
        </w:trPr>
        <w:tc>
          <w:tcPr>
            <w:tcW w:w="2399" w:type="dxa"/>
            <w:tcBorders>
              <w:left w:val="single" w:sz="4" w:space="0" w:color="FFFFFF" w:themeColor="background1"/>
              <w:right w:val="single" w:sz="4" w:space="0" w:color="FFFFFF" w:themeColor="background1"/>
            </w:tcBorders>
          </w:tcPr>
          <w:p w14:paraId="1219146D" w14:textId="33D3378D"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 xml:space="preserve">Morrissey et al. (2015) </w:t>
            </w:r>
            <w:r w:rsidR="005A125F"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"10.1108/AMHID-06-2014-0023", "ISSN" : "2044-1282", "author" : [ { "dropping-particle" : "", "family" : "Morrissey", "given" : "Catrin", "non-dropping-particle" : "", "parse-names" : false, "suffix" : "" }, { "dropping-particle" : "", "family" : "Hobson", "given" : "Ben", "non-dropping-particle" : "", "parse-names" : false, "suffix" : "" }, { "dropping-particle" : "", "family" : "Faulkner", "given" : "Emma", "non-dropping-particle" : "", "parse-names" : false, "suffix" : "" }, { "dropping-particle" : "", "family" : "James", "given" : "Tamsin", "non-dropping-particle" : "", "parse-names" : false, "suffix" : "" } ], "container-title" : "Advances in Mental Health and Intellectual Disabilities", "editor" : [ { "dropping-particle" : "", "family" : "Regi Alexander", "given" : "Dr", "non-dropping-particle" : "", "parse-names" : false, "suffix" : "" } ], "id" : "ITEM-1", "issue" : "3", "issued" : { "date-parts" : [ [ "2015", "5", "5" ] ] }, "page" : "116-123", "title" : "Outcomes from the National High Secure Learning Disability Service: findings and challenges", "type" : "article-journal", "volume" : "9" }, "uris" : [ "http://www.mendeley.com/documents/?uuid=0610548e-a7c0-3f37-a712-41d7dad1c288" ] } ], "mendeley" : { "formattedCitation" : "(51)", "plainTextFormattedCitation" : "(51)", "previouslyFormattedCitation" : "(51)" }, "properties" : { "noteIndex" : 0 }, "schema" : "https://github.com/citation-style-language/schema/raw/master/csl-citation.json" }</w:instrText>
            </w:r>
            <w:r w:rsidR="005A125F"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(51)</w:t>
            </w:r>
            <w:r w:rsidR="005A125F" w:rsidRPr="00522CD2">
              <w:rPr>
                <w:rFonts w:cs="Arial"/>
                <w:kern w:val="28"/>
                <w:sz w:val="20"/>
                <w:szCs w:val="20"/>
                <w:lang w:val="en-CA" w:eastAsia="en-GB"/>
              </w:rPr>
              <w:fldChar w:fldCharType="end"/>
            </w:r>
          </w:p>
          <w:p w14:paraId="673153D1"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High secure</w:t>
            </w:r>
          </w:p>
        </w:tc>
        <w:tc>
          <w:tcPr>
            <w:tcW w:w="2385" w:type="dxa"/>
            <w:tcBorders>
              <w:left w:val="single" w:sz="4" w:space="0" w:color="FFFFFF" w:themeColor="background1"/>
              <w:right w:val="single" w:sz="4" w:space="0" w:color="FFFFFF" w:themeColor="background1"/>
            </w:tcBorders>
          </w:tcPr>
          <w:p w14:paraId="6A6957EF" w14:textId="5B0DB1D2" w:rsidR="00841348" w:rsidRPr="00522CD2" w:rsidRDefault="00841348" w:rsidP="00290AAF">
            <w:pPr>
              <w:spacing w:line="276" w:lineRule="auto"/>
              <w:rPr>
                <w:rFonts w:cs="Arial"/>
                <w:sz w:val="20"/>
                <w:szCs w:val="20"/>
              </w:rPr>
            </w:pPr>
            <w:r w:rsidRPr="00522CD2">
              <w:rPr>
                <w:rFonts w:cs="Arial"/>
                <w:sz w:val="20"/>
                <w:szCs w:val="20"/>
              </w:rPr>
              <w:t>Retrospective cohort study</w:t>
            </w:r>
          </w:p>
          <w:p w14:paraId="665F51F3" w14:textId="1F20B69D" w:rsidR="00841348" w:rsidRPr="00522CD2" w:rsidRDefault="00FD6CB9" w:rsidP="00290AAF">
            <w:pPr>
              <w:spacing w:line="276" w:lineRule="auto"/>
              <w:rPr>
                <w:rFonts w:cs="Arial"/>
                <w:sz w:val="20"/>
                <w:szCs w:val="20"/>
              </w:rPr>
            </w:pPr>
            <w:r w:rsidRPr="00522CD2">
              <w:rPr>
                <w:rFonts w:cs="Arial"/>
                <w:sz w:val="20"/>
                <w:szCs w:val="20"/>
              </w:rPr>
              <w:t>(Two cohorts:</w:t>
            </w:r>
            <w:r w:rsidR="00841348" w:rsidRPr="00522CD2">
              <w:rPr>
                <w:rFonts w:cs="Arial"/>
                <w:sz w:val="20"/>
                <w:szCs w:val="20"/>
              </w:rPr>
              <w:t>In-treatment and  admission cohort</w:t>
            </w:r>
            <w:r w:rsidRPr="00522CD2">
              <w:rPr>
                <w:rFonts w:cs="Arial"/>
                <w:sz w:val="20"/>
                <w:szCs w:val="20"/>
              </w:rPr>
              <w:t>)</w:t>
            </w:r>
          </w:p>
          <w:p w14:paraId="71D7C738" w14:textId="77777777" w:rsidR="00841348" w:rsidRPr="00522CD2" w:rsidRDefault="00841348" w:rsidP="00290AAF">
            <w:pPr>
              <w:spacing w:line="276" w:lineRule="auto"/>
              <w:rPr>
                <w:rFonts w:cs="Arial"/>
                <w:sz w:val="20"/>
                <w:szCs w:val="20"/>
              </w:rPr>
            </w:pPr>
            <w:r w:rsidRPr="00522CD2">
              <w:rPr>
                <w:rFonts w:cs="Arial"/>
                <w:sz w:val="20"/>
                <w:szCs w:val="20"/>
              </w:rPr>
              <w:t>Follow up: up to 6 years</w:t>
            </w:r>
          </w:p>
          <w:p w14:paraId="7E02976A" w14:textId="77777777" w:rsidR="00841348" w:rsidRPr="00522CD2" w:rsidRDefault="00841348" w:rsidP="00290AAF">
            <w:pPr>
              <w:spacing w:line="276" w:lineRule="auto"/>
              <w:rPr>
                <w:rFonts w:cs="Arial"/>
                <w:sz w:val="20"/>
                <w:szCs w:val="20"/>
              </w:rPr>
            </w:pPr>
          </w:p>
          <w:p w14:paraId="4477C940" w14:textId="77777777" w:rsidR="00841348" w:rsidRPr="00522CD2" w:rsidRDefault="00841348" w:rsidP="00290AAF">
            <w:pPr>
              <w:spacing w:line="276" w:lineRule="auto"/>
              <w:rPr>
                <w:rFonts w:cs="Arial"/>
                <w:sz w:val="20"/>
                <w:szCs w:val="20"/>
              </w:rPr>
            </w:pPr>
          </w:p>
        </w:tc>
        <w:tc>
          <w:tcPr>
            <w:tcW w:w="1136" w:type="dxa"/>
            <w:tcBorders>
              <w:left w:val="single" w:sz="4" w:space="0" w:color="FFFFFF" w:themeColor="background1"/>
              <w:right w:val="single" w:sz="4" w:space="0" w:color="FFFFFF" w:themeColor="background1"/>
            </w:tcBorders>
          </w:tcPr>
          <w:p w14:paraId="42706CF3" w14:textId="77777777" w:rsidR="00841348" w:rsidRPr="00522CD2" w:rsidRDefault="00841348" w:rsidP="00290AAF">
            <w:pPr>
              <w:spacing w:line="276" w:lineRule="auto"/>
              <w:jc w:val="center"/>
              <w:rPr>
                <w:rFonts w:cs="Arial"/>
                <w:sz w:val="20"/>
                <w:szCs w:val="20"/>
              </w:rPr>
            </w:pPr>
            <w:r w:rsidRPr="00522CD2">
              <w:rPr>
                <w:rFonts w:cs="Arial"/>
                <w:sz w:val="20"/>
                <w:szCs w:val="20"/>
              </w:rPr>
              <w:t>68</w:t>
            </w:r>
          </w:p>
          <w:p w14:paraId="6E1071CD" w14:textId="77777777" w:rsidR="00841348" w:rsidRPr="00522CD2" w:rsidRDefault="00841348" w:rsidP="00290AAF">
            <w:pPr>
              <w:spacing w:line="276" w:lineRule="auto"/>
              <w:jc w:val="center"/>
              <w:rPr>
                <w:rFonts w:cs="Arial"/>
                <w:sz w:val="20"/>
                <w:szCs w:val="20"/>
              </w:rPr>
            </w:pPr>
            <w:r w:rsidRPr="00522CD2">
              <w:rPr>
                <w:rFonts w:cs="Arial"/>
                <w:sz w:val="20"/>
                <w:szCs w:val="20"/>
              </w:rPr>
              <w:t>and</w:t>
            </w:r>
          </w:p>
          <w:p w14:paraId="07EAC946" w14:textId="77777777" w:rsidR="00841348" w:rsidRPr="00522CD2" w:rsidRDefault="00841348" w:rsidP="00290AAF">
            <w:pPr>
              <w:spacing w:line="276" w:lineRule="auto"/>
              <w:jc w:val="center"/>
              <w:rPr>
                <w:rFonts w:cs="Arial"/>
                <w:sz w:val="20"/>
                <w:szCs w:val="20"/>
              </w:rPr>
            </w:pPr>
            <w:r w:rsidRPr="00522CD2">
              <w:rPr>
                <w:rFonts w:cs="Arial"/>
                <w:sz w:val="20"/>
                <w:szCs w:val="20"/>
              </w:rPr>
              <w:t>24</w:t>
            </w:r>
          </w:p>
        </w:tc>
        <w:tc>
          <w:tcPr>
            <w:tcW w:w="3708" w:type="dxa"/>
            <w:tcBorders>
              <w:left w:val="single" w:sz="4" w:space="0" w:color="FFFFFF" w:themeColor="background1"/>
              <w:right w:val="single" w:sz="4" w:space="0" w:color="FFFFFF" w:themeColor="background1"/>
            </w:tcBorders>
          </w:tcPr>
          <w:p w14:paraId="55384963"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6B643553"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Incidents</w:t>
            </w:r>
          </w:p>
          <w:p w14:paraId="121CFDEE" w14:textId="77777777" w:rsidR="00841348" w:rsidRPr="00522CD2" w:rsidRDefault="00841348" w:rsidP="00290AAF">
            <w:pPr>
              <w:spacing w:line="276" w:lineRule="auto"/>
              <w:rPr>
                <w:rFonts w:cs="Arial"/>
                <w:sz w:val="20"/>
                <w:szCs w:val="20"/>
              </w:rPr>
            </w:pPr>
          </w:p>
          <w:p w14:paraId="7D4644FC"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Clinical symptoms </w:t>
            </w:r>
          </w:p>
          <w:p w14:paraId="0BD17A3A"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p w14:paraId="7E4AAE27"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p w14:paraId="56E8E931" w14:textId="59257009"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Readmission</w:t>
            </w:r>
          </w:p>
        </w:tc>
        <w:tc>
          <w:tcPr>
            <w:tcW w:w="5862" w:type="dxa"/>
            <w:gridSpan w:val="2"/>
            <w:tcBorders>
              <w:left w:val="single" w:sz="4" w:space="0" w:color="FFFFFF" w:themeColor="background1"/>
              <w:right w:val="single" w:sz="4" w:space="0" w:color="FFFFFF" w:themeColor="background1"/>
            </w:tcBorders>
          </w:tcPr>
          <w:p w14:paraId="4046D55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Median number of years </w:t>
            </w:r>
          </w:p>
          <w:p w14:paraId="450A762F" w14:textId="15EB3A14" w:rsidR="00FD6CB9" w:rsidRPr="00522CD2" w:rsidRDefault="00841348" w:rsidP="00FD6CB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Frequency per year in the first 4 years of treatment using hospital incident records. Mean number of violent incidents per patient/year</w:t>
            </w:r>
          </w:p>
          <w:p w14:paraId="1F991F80"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EPS-BRS (clinician rated) &amp; EPS-SRS (patient rated)</w:t>
            </w:r>
          </w:p>
          <w:p w14:paraId="505A395B"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Level security/type of placement at discharge</w:t>
            </w:r>
          </w:p>
          <w:p w14:paraId="3057395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who moved to a lower level of security</w:t>
            </w:r>
          </w:p>
          <w:p w14:paraId="1D3EA96D"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returns from trial leave</w:t>
            </w:r>
          </w:p>
        </w:tc>
      </w:tr>
      <w:tr w:rsidR="00841348" w:rsidRPr="00522CD2" w14:paraId="44ED4292" w14:textId="77777777" w:rsidTr="006A50DE">
        <w:trPr>
          <w:trHeight w:val="700"/>
        </w:trPr>
        <w:tc>
          <w:tcPr>
            <w:tcW w:w="2399" w:type="dxa"/>
            <w:tcBorders>
              <w:left w:val="single" w:sz="4" w:space="0" w:color="FFFFFF" w:themeColor="background1"/>
              <w:right w:val="single" w:sz="4" w:space="0" w:color="FFFFFF" w:themeColor="background1"/>
            </w:tcBorders>
          </w:tcPr>
          <w:p w14:paraId="15F1E92B" w14:textId="1568ED8E" w:rsidR="00841348" w:rsidRPr="00522CD2" w:rsidRDefault="00841348" w:rsidP="00290AAF">
            <w:pPr>
              <w:spacing w:line="276" w:lineRule="auto"/>
              <w:rPr>
                <w:rFonts w:cs="Arial"/>
                <w:sz w:val="20"/>
                <w:szCs w:val="20"/>
              </w:rPr>
            </w:pPr>
            <w:r w:rsidRPr="00522CD2">
              <w:rPr>
                <w:rFonts w:cs="Arial"/>
                <w:sz w:val="20"/>
                <w:szCs w:val="20"/>
              </w:rPr>
              <w:t>Palucka et al. (2012)</w:t>
            </w:r>
            <w:r w:rsidR="005A125F" w:rsidRPr="00522CD2">
              <w:rPr>
                <w:rFonts w:cs="Arial"/>
                <w:sz w:val="20"/>
                <w:szCs w:val="20"/>
              </w:rPr>
              <w:t xml:space="preserve"> </w:t>
            </w:r>
            <w:r w:rsidR="005A125F" w:rsidRPr="00522CD2">
              <w:rPr>
                <w:rFonts w:cs="Arial"/>
                <w:sz w:val="20"/>
                <w:szCs w:val="20"/>
              </w:rPr>
              <w:fldChar w:fldCharType="begin" w:fldLock="1"/>
            </w:r>
            <w:r w:rsidR="00E353A8" w:rsidRPr="00522CD2">
              <w:rPr>
                <w:rFonts w:cs="Arial"/>
                <w:sz w:val="20"/>
                <w:szCs w:val="20"/>
              </w:rPr>
              <w:instrText>ADDIN CSL_CITATION { "citationItems" : [ { "id" : "ITEM-1", "itemData" : { "DOI" : "10.1108/20420921211327365", "ISBN" : "2042-0927", "ISSN" : "2042-0927", "abstract" : "Purpose \u2013 Individuals with intellectual disability (ID), mental health needs and criminal justice system involvement are likely to be admitted to forensic units; however, not all of those individuals are served in that system. It is, therefore, important to understand the profile of those admitted to non\u2010forensic specialized units for individuals with ID and mental health issues. This paper aims to address this issue.Design/methodology/approach \u2013 Demographic, clinical and criminal profiles of individuals discharged over nine years from a specialized dual diagnosis program were reviewed to delineate clinical subgroups.Findings \u2013 A total of 20 out of 84 total discharges were identified as having past or current criminal justice system involvement. The most common offence was assault and 60 per cent of these individuals had admissions longer than one year. Subgroups by psychiatric diagnosis differed in their age, legal status, offence history, and length of hospital stay, as well as in therapeutic interventi...", "author" : [ { "dropping-particle" : "", "family" : "Palucka", "given" : "Anna M.", "non-dropping-particle" : "", "parse-names" : false, "suffix" : "" }, { "dropping-particle" : "", "family" : "Raina", "given" : "Poonam", "non-dropping-particle" : "", "parse-names" : false, "suffix" : "" }, { "dropping-particle" : "", "family" : "Liu", "given" : "Shi\u2010Kai", "non-dropping-particle" : "", "parse-names" : false, "suffix" : "" }, { "dropping-particle" : "", "family" : "Lunsky", "given" : "Yona", "non-dropping-particle" : "", "parse-names" : false, "suffix" : "" } ], "container-title" : "Journal of Learning Disabilities and Offending Behaviour", "id" : "ITEM-1", "issue" : "4", "issued" : { "date-parts" : [ [ "2012" ] ] }, "page" : "219-227", "publisher" : "Emerald Group Publishing Limited", "title" : "The clinical profiles of forensic inpatients with intellectual disabilities in a specialized unit", "type" : "article-journal", "volume" : "3" }, "uris" : [ "http://www.mendeley.com/documents/?uuid=7549a849-a629-3c8d-bd7d-07b55a277db4" ] } ], "mendeley" : { "formattedCitation" : "(23)", "plainTextFormattedCitation" : "(23)", "previouslyFormattedCitation" : "(23)" }, "properties" : { "noteIndex" : 0 }, "schema" : "https://github.com/citation-style-language/schema/raw/master/csl-citation.json" }</w:instrText>
            </w:r>
            <w:r w:rsidR="005A125F" w:rsidRPr="00522CD2">
              <w:rPr>
                <w:rFonts w:cs="Arial"/>
                <w:sz w:val="20"/>
                <w:szCs w:val="20"/>
              </w:rPr>
              <w:fldChar w:fldCharType="separate"/>
            </w:r>
            <w:r w:rsidR="00E353A8" w:rsidRPr="00522CD2">
              <w:rPr>
                <w:rFonts w:cs="Arial"/>
                <w:noProof/>
                <w:sz w:val="20"/>
                <w:szCs w:val="20"/>
              </w:rPr>
              <w:t>(23)</w:t>
            </w:r>
            <w:r w:rsidR="005A125F" w:rsidRPr="00522CD2">
              <w:rPr>
                <w:rFonts w:cs="Arial"/>
                <w:sz w:val="20"/>
                <w:szCs w:val="20"/>
              </w:rPr>
              <w:fldChar w:fldCharType="end"/>
            </w:r>
          </w:p>
          <w:p w14:paraId="7C8ADF00" w14:textId="77777777" w:rsidR="00841348" w:rsidRPr="00522CD2" w:rsidRDefault="00841348" w:rsidP="00290AAF">
            <w:pPr>
              <w:spacing w:line="276" w:lineRule="auto"/>
              <w:rPr>
                <w:rFonts w:cs="Arial"/>
                <w:sz w:val="20"/>
                <w:szCs w:val="20"/>
              </w:rPr>
            </w:pPr>
            <w:r w:rsidRPr="00522CD2">
              <w:rPr>
                <w:rFonts w:cs="Arial"/>
                <w:sz w:val="20"/>
                <w:szCs w:val="20"/>
              </w:rPr>
              <w:t>Canadian inpatient unit</w:t>
            </w:r>
          </w:p>
        </w:tc>
        <w:tc>
          <w:tcPr>
            <w:tcW w:w="2385" w:type="dxa"/>
            <w:tcBorders>
              <w:left w:val="single" w:sz="4" w:space="0" w:color="FFFFFF" w:themeColor="background1"/>
              <w:right w:val="single" w:sz="4" w:space="0" w:color="FFFFFF" w:themeColor="background1"/>
            </w:tcBorders>
          </w:tcPr>
          <w:p w14:paraId="7699EEAB" w14:textId="376BBCE0" w:rsidR="00841348" w:rsidRPr="00522CD2" w:rsidRDefault="00841348" w:rsidP="00290AAF">
            <w:pPr>
              <w:spacing w:line="276" w:lineRule="auto"/>
              <w:rPr>
                <w:rFonts w:cs="Arial"/>
                <w:sz w:val="20"/>
                <w:szCs w:val="20"/>
              </w:rPr>
            </w:pPr>
            <w:r w:rsidRPr="00522CD2">
              <w:rPr>
                <w:rFonts w:cs="Arial"/>
                <w:sz w:val="20"/>
                <w:szCs w:val="20"/>
              </w:rPr>
              <w:t>Retrospective cohort study</w:t>
            </w:r>
          </w:p>
          <w:p w14:paraId="0A661714" w14:textId="77777777" w:rsidR="00841348" w:rsidRPr="00522CD2" w:rsidRDefault="00841348" w:rsidP="00290AAF">
            <w:pPr>
              <w:spacing w:line="276" w:lineRule="auto"/>
              <w:rPr>
                <w:rFonts w:cs="Arial"/>
                <w:sz w:val="20"/>
                <w:szCs w:val="20"/>
              </w:rPr>
            </w:pPr>
            <w:r w:rsidRPr="00522CD2">
              <w:rPr>
                <w:rFonts w:cs="Arial"/>
                <w:sz w:val="20"/>
                <w:szCs w:val="20"/>
              </w:rPr>
              <w:t>Follow up: up to 9 years</w:t>
            </w:r>
          </w:p>
        </w:tc>
        <w:tc>
          <w:tcPr>
            <w:tcW w:w="1136" w:type="dxa"/>
            <w:tcBorders>
              <w:left w:val="single" w:sz="4" w:space="0" w:color="FFFFFF" w:themeColor="background1"/>
              <w:right w:val="single" w:sz="4" w:space="0" w:color="FFFFFF" w:themeColor="background1"/>
            </w:tcBorders>
          </w:tcPr>
          <w:p w14:paraId="098FFE9C" w14:textId="77777777" w:rsidR="00841348" w:rsidRPr="00522CD2" w:rsidRDefault="00841348" w:rsidP="00290AAF">
            <w:pPr>
              <w:spacing w:line="276" w:lineRule="auto"/>
              <w:jc w:val="center"/>
              <w:rPr>
                <w:rFonts w:cs="Arial"/>
                <w:sz w:val="20"/>
                <w:szCs w:val="20"/>
              </w:rPr>
            </w:pPr>
            <w:r w:rsidRPr="00522CD2">
              <w:rPr>
                <w:rFonts w:cs="Arial"/>
                <w:sz w:val="20"/>
                <w:szCs w:val="20"/>
              </w:rPr>
              <w:t>20</w:t>
            </w:r>
          </w:p>
        </w:tc>
        <w:tc>
          <w:tcPr>
            <w:tcW w:w="3708" w:type="dxa"/>
            <w:tcBorders>
              <w:left w:val="single" w:sz="4" w:space="0" w:color="FFFFFF" w:themeColor="background1"/>
              <w:right w:val="single" w:sz="4" w:space="0" w:color="FFFFFF" w:themeColor="background1"/>
            </w:tcBorders>
          </w:tcPr>
          <w:p w14:paraId="74275DD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25470F24"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p w14:paraId="321CA76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p w14:paraId="104FE827"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tc>
        <w:tc>
          <w:tcPr>
            <w:tcW w:w="5862" w:type="dxa"/>
            <w:gridSpan w:val="2"/>
            <w:tcBorders>
              <w:left w:val="single" w:sz="4" w:space="0" w:color="FFFFFF" w:themeColor="background1"/>
              <w:right w:val="single" w:sz="4" w:space="0" w:color="FFFFFF" w:themeColor="background1"/>
            </w:tcBorders>
          </w:tcPr>
          <w:p w14:paraId="6489D4B1"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Median number of days</w:t>
            </w:r>
          </w:p>
          <w:p w14:paraId="16B170CE"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discharged</w:t>
            </w:r>
          </w:p>
          <w:p w14:paraId="304154E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Level security/type of placement at discharge </w:t>
            </w:r>
          </w:p>
          <w:p w14:paraId="5562A8A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Any criminal justice involvement (even if charges were not pressed)</w:t>
            </w:r>
          </w:p>
        </w:tc>
      </w:tr>
      <w:tr w:rsidR="00841348" w:rsidRPr="00522CD2" w14:paraId="251A4586" w14:textId="77777777" w:rsidTr="006A50DE">
        <w:trPr>
          <w:trHeight w:val="416"/>
        </w:trPr>
        <w:tc>
          <w:tcPr>
            <w:tcW w:w="15490" w:type="dxa"/>
            <w:gridSpan w:val="6"/>
            <w:tcBorders>
              <w:left w:val="single" w:sz="4" w:space="0" w:color="FFFFFF" w:themeColor="background1"/>
              <w:right w:val="single" w:sz="4" w:space="0" w:color="FFFFFF" w:themeColor="background1"/>
            </w:tcBorders>
          </w:tcPr>
          <w:p w14:paraId="6D383740" w14:textId="2FB230CC" w:rsidR="00FC3FE5" w:rsidRPr="00522CD2" w:rsidRDefault="00841348">
            <w:pPr>
              <w:spacing w:line="276" w:lineRule="auto"/>
              <w:ind w:left="284"/>
              <w:rPr>
                <w:rFonts w:cs="Arial"/>
                <w:sz w:val="20"/>
                <w:szCs w:val="20"/>
              </w:rPr>
            </w:pPr>
            <w:r w:rsidRPr="00522CD2">
              <w:rPr>
                <w:rFonts w:cs="Arial"/>
                <w:i/>
                <w:sz w:val="20"/>
                <w:szCs w:val="20"/>
              </w:rPr>
              <w:t>Note.</w:t>
            </w:r>
            <w:r w:rsidR="00FD6CB9" w:rsidRPr="00522CD2">
              <w:rPr>
                <w:rFonts w:cs="Arial"/>
                <w:sz w:val="20"/>
                <w:szCs w:val="20"/>
              </w:rPr>
              <w:t xml:space="preserve"> YSQ = Young Schema Q</w:t>
            </w:r>
            <w:r w:rsidRPr="00522CD2">
              <w:rPr>
                <w:rFonts w:cs="Arial"/>
                <w:sz w:val="20"/>
                <w:szCs w:val="20"/>
              </w:rPr>
              <w:t>uestionnaire; IPDE = International Personality Disorder Examination; PCL-R = Psychopathy Checklist - Revised; EPS-BRS = Emotiona</w:t>
            </w:r>
            <w:r w:rsidR="00FD6CB9" w:rsidRPr="00522CD2">
              <w:rPr>
                <w:rFonts w:cs="Arial"/>
                <w:sz w:val="20"/>
                <w:szCs w:val="20"/>
              </w:rPr>
              <w:t>l Problems S</w:t>
            </w:r>
            <w:r w:rsidRPr="00522CD2">
              <w:rPr>
                <w:rFonts w:cs="Arial"/>
                <w:sz w:val="20"/>
                <w:szCs w:val="20"/>
              </w:rPr>
              <w:t>cale – behaviour rat</w:t>
            </w:r>
            <w:r w:rsidR="00FD6CB9" w:rsidRPr="00522CD2">
              <w:rPr>
                <w:rFonts w:cs="Arial"/>
                <w:sz w:val="20"/>
                <w:szCs w:val="20"/>
              </w:rPr>
              <w:t>ing scale; EPS-SRS = Emotional Problems S</w:t>
            </w:r>
            <w:r w:rsidRPr="00522CD2">
              <w:rPr>
                <w:rFonts w:cs="Arial"/>
                <w:sz w:val="20"/>
                <w:szCs w:val="20"/>
              </w:rPr>
              <w:t>cale – self report scale.</w:t>
            </w:r>
          </w:p>
          <w:p w14:paraId="5D1FB972" w14:textId="3B39B352" w:rsidR="00FD6CB9" w:rsidRPr="00522CD2" w:rsidRDefault="00FD6CB9">
            <w:pPr>
              <w:spacing w:line="276" w:lineRule="auto"/>
              <w:ind w:left="284"/>
              <w:rPr>
                <w:rFonts w:cs="Arial"/>
                <w:sz w:val="20"/>
                <w:szCs w:val="20"/>
              </w:rPr>
            </w:pPr>
          </w:p>
        </w:tc>
      </w:tr>
      <w:tr w:rsidR="00841348" w:rsidRPr="00522CD2" w14:paraId="21F0D2FA" w14:textId="77777777" w:rsidTr="006A50DE">
        <w:trPr>
          <w:trHeight w:val="274"/>
        </w:trPr>
        <w:tc>
          <w:tcPr>
            <w:tcW w:w="15490" w:type="dxa"/>
            <w:gridSpan w:val="6"/>
            <w:tcBorders>
              <w:top w:val="single" w:sz="4" w:space="0" w:color="FFFFFF" w:themeColor="background1"/>
              <w:left w:val="single" w:sz="4" w:space="0" w:color="FFFFFF" w:themeColor="background1"/>
              <w:right w:val="single" w:sz="4" w:space="0" w:color="FFFFFF" w:themeColor="background1"/>
            </w:tcBorders>
          </w:tcPr>
          <w:p w14:paraId="7BE9E9DC" w14:textId="77777777" w:rsidR="00841348" w:rsidRPr="00522CD2" w:rsidRDefault="00841348" w:rsidP="00290AAF">
            <w:pPr>
              <w:spacing w:line="276" w:lineRule="auto"/>
              <w:rPr>
                <w:rFonts w:cs="Arial"/>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 xml:space="preserve">. </w:t>
            </w:r>
            <w:r w:rsidRPr="00522CD2">
              <w:rPr>
                <w:rFonts w:cs="Arial"/>
                <w:sz w:val="20"/>
                <w:szCs w:val="20"/>
              </w:rPr>
              <w:t>continued</w:t>
            </w:r>
          </w:p>
          <w:p w14:paraId="57BDA85D" w14:textId="77777777" w:rsidR="00841348" w:rsidRPr="00522CD2" w:rsidRDefault="00841348" w:rsidP="00290AAF">
            <w:pPr>
              <w:spacing w:line="276" w:lineRule="auto"/>
              <w:rPr>
                <w:rFonts w:cs="Arial"/>
                <w:sz w:val="20"/>
                <w:szCs w:val="20"/>
              </w:rPr>
            </w:pPr>
            <w:r w:rsidRPr="00522CD2">
              <w:rPr>
                <w:rFonts w:cs="Arial"/>
                <w:sz w:val="20"/>
                <w:szCs w:val="20"/>
              </w:rPr>
              <w:t>Summary of studies presenting data on the outcome domain of effectiveness (cohort studies).</w:t>
            </w:r>
          </w:p>
        </w:tc>
      </w:tr>
      <w:tr w:rsidR="00841348" w:rsidRPr="00522CD2" w14:paraId="363F03A7" w14:textId="77777777" w:rsidTr="006A50DE">
        <w:trPr>
          <w:trHeight w:val="340"/>
        </w:trPr>
        <w:tc>
          <w:tcPr>
            <w:tcW w:w="2399" w:type="dxa"/>
            <w:tcBorders>
              <w:left w:val="nil"/>
              <w:bottom w:val="single" w:sz="4" w:space="0" w:color="auto"/>
              <w:right w:val="single" w:sz="4" w:space="0" w:color="FFFFFF" w:themeColor="background1"/>
            </w:tcBorders>
          </w:tcPr>
          <w:p w14:paraId="2EDA7678" w14:textId="77777777" w:rsidR="00841348" w:rsidRPr="00522CD2" w:rsidRDefault="00841348" w:rsidP="00290AAF">
            <w:pPr>
              <w:jc w:val="center"/>
              <w:rPr>
                <w:rFonts w:cs="Arial"/>
                <w:b/>
                <w:sz w:val="20"/>
                <w:szCs w:val="20"/>
              </w:rPr>
            </w:pPr>
            <w:r w:rsidRPr="00522CD2">
              <w:rPr>
                <w:rFonts w:cs="Arial"/>
                <w:b/>
                <w:sz w:val="20"/>
                <w:szCs w:val="20"/>
              </w:rPr>
              <w:t>Study and Setting</w:t>
            </w:r>
          </w:p>
        </w:tc>
        <w:tc>
          <w:tcPr>
            <w:tcW w:w="2385" w:type="dxa"/>
            <w:tcBorders>
              <w:left w:val="single" w:sz="4" w:space="0" w:color="FFFFFF" w:themeColor="background1"/>
              <w:bottom w:val="single" w:sz="4" w:space="0" w:color="auto"/>
              <w:right w:val="single" w:sz="4" w:space="0" w:color="FFFFFF" w:themeColor="background1"/>
            </w:tcBorders>
          </w:tcPr>
          <w:p w14:paraId="0DFFB589" w14:textId="77777777" w:rsidR="00841348" w:rsidRPr="00522CD2" w:rsidRDefault="00841348" w:rsidP="00290AAF">
            <w:pPr>
              <w:rPr>
                <w:rFonts w:cs="Arial"/>
                <w:b/>
                <w:sz w:val="20"/>
                <w:szCs w:val="20"/>
              </w:rPr>
            </w:pPr>
            <w:r w:rsidRPr="00522CD2">
              <w:rPr>
                <w:rFonts w:cs="Arial"/>
                <w:b/>
                <w:sz w:val="20"/>
                <w:szCs w:val="20"/>
              </w:rPr>
              <w:t>Design</w:t>
            </w:r>
          </w:p>
        </w:tc>
        <w:tc>
          <w:tcPr>
            <w:tcW w:w="1136" w:type="dxa"/>
            <w:tcBorders>
              <w:left w:val="single" w:sz="4" w:space="0" w:color="FFFFFF" w:themeColor="background1"/>
              <w:bottom w:val="single" w:sz="4" w:space="0" w:color="auto"/>
              <w:right w:val="single" w:sz="4" w:space="0" w:color="FFFFFF" w:themeColor="background1"/>
            </w:tcBorders>
          </w:tcPr>
          <w:p w14:paraId="25E3F760" w14:textId="77777777" w:rsidR="00841348" w:rsidRPr="00522CD2" w:rsidRDefault="00841348" w:rsidP="00290AAF">
            <w:pPr>
              <w:jc w:val="center"/>
              <w:rPr>
                <w:rFonts w:cs="Arial"/>
                <w:b/>
                <w:sz w:val="20"/>
                <w:szCs w:val="20"/>
              </w:rPr>
            </w:pPr>
            <w:r w:rsidRPr="00522CD2">
              <w:rPr>
                <w:rFonts w:cs="Arial"/>
                <w:b/>
                <w:sz w:val="20"/>
                <w:szCs w:val="20"/>
              </w:rPr>
              <w:t xml:space="preserve">N </w:t>
            </w:r>
          </w:p>
        </w:tc>
        <w:tc>
          <w:tcPr>
            <w:tcW w:w="3708" w:type="dxa"/>
            <w:tcBorders>
              <w:left w:val="single" w:sz="4" w:space="0" w:color="FFFFFF" w:themeColor="background1"/>
              <w:bottom w:val="single" w:sz="4" w:space="0" w:color="auto"/>
              <w:right w:val="single" w:sz="4" w:space="0" w:color="FFFFFF" w:themeColor="background1"/>
            </w:tcBorders>
          </w:tcPr>
          <w:p w14:paraId="3595F6F7" w14:textId="77777777" w:rsidR="00841348" w:rsidRPr="00522CD2" w:rsidRDefault="00841348" w:rsidP="00290AAF">
            <w:pPr>
              <w:jc w:val="center"/>
              <w:rPr>
                <w:rFonts w:cs="Arial"/>
                <w:b/>
                <w:sz w:val="20"/>
                <w:szCs w:val="20"/>
              </w:rPr>
            </w:pPr>
            <w:r w:rsidRPr="00522CD2">
              <w:rPr>
                <w:rFonts w:cs="Arial"/>
                <w:b/>
                <w:sz w:val="20"/>
                <w:szCs w:val="20"/>
              </w:rPr>
              <w:t>Outcome Sub-Domain</w:t>
            </w:r>
          </w:p>
        </w:tc>
        <w:tc>
          <w:tcPr>
            <w:tcW w:w="5862" w:type="dxa"/>
            <w:gridSpan w:val="2"/>
            <w:tcBorders>
              <w:left w:val="single" w:sz="4" w:space="0" w:color="FFFFFF" w:themeColor="background1"/>
              <w:bottom w:val="single" w:sz="4" w:space="0" w:color="auto"/>
              <w:right w:val="single" w:sz="4" w:space="0" w:color="FFFFFF" w:themeColor="background1"/>
            </w:tcBorders>
          </w:tcPr>
          <w:p w14:paraId="55303A72" w14:textId="77777777" w:rsidR="00841348" w:rsidRPr="00522CD2" w:rsidRDefault="00841348" w:rsidP="00290AAF">
            <w:pPr>
              <w:jc w:val="center"/>
              <w:rPr>
                <w:rFonts w:cs="Arial"/>
                <w:b/>
                <w:sz w:val="20"/>
                <w:szCs w:val="20"/>
              </w:rPr>
            </w:pPr>
            <w:r w:rsidRPr="00522CD2">
              <w:rPr>
                <w:rFonts w:cs="Arial"/>
                <w:b/>
                <w:sz w:val="20"/>
                <w:szCs w:val="20"/>
              </w:rPr>
              <w:t>Measure/Indicator</w:t>
            </w:r>
          </w:p>
        </w:tc>
      </w:tr>
      <w:tr w:rsidR="00841348" w:rsidRPr="00522CD2" w14:paraId="0DB8904D" w14:textId="77777777" w:rsidTr="006A50DE">
        <w:trPr>
          <w:trHeight w:val="1053"/>
        </w:trPr>
        <w:tc>
          <w:tcPr>
            <w:tcW w:w="2399" w:type="dxa"/>
            <w:tcBorders>
              <w:top w:val="single" w:sz="4" w:space="0" w:color="auto"/>
              <w:left w:val="single" w:sz="4" w:space="0" w:color="FFFFFF" w:themeColor="background1"/>
              <w:right w:val="single" w:sz="4" w:space="0" w:color="FFFFFF" w:themeColor="background1"/>
            </w:tcBorders>
          </w:tcPr>
          <w:p w14:paraId="2A7BE826" w14:textId="6D8EAF74"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Reed et al. (2004)</w:t>
            </w:r>
            <w:r w:rsidRPr="00522CD2">
              <w:rPr>
                <w:vertAlign w:val="superscript"/>
              </w:rPr>
              <w:t>4</w:t>
            </w:r>
            <w:r w:rsidR="005A125F" w:rsidRPr="00522CD2">
              <w:rPr>
                <w:vertAlign w:val="superscript"/>
              </w:rPr>
              <w:t xml:space="preserve"> </w:t>
            </w:r>
            <w:r w:rsidR="005A125F" w:rsidRPr="00522CD2">
              <w:rPr>
                <w:sz w:val="20"/>
                <w:vertAlign w:val="superscript"/>
              </w:rPr>
              <w:fldChar w:fldCharType="begin" w:fldLock="1"/>
            </w:r>
            <w:r w:rsidR="00E353A8" w:rsidRPr="00522CD2">
              <w:rPr>
                <w:sz w:val="20"/>
                <w:vertAlign w:val="superscript"/>
              </w:rPr>
              <w:instrText>ADDIN CSL_CITATION { "citationItems" : [ { "id" : "ITEM-1", "itemData" : { "DOI" : "10.1192/bjp.185.6.499", "ISSN" : "00071250", "PMID" : "15572741", "abstract" : "Background: People with learning disability who exhibit challenging behaviour are frequently segregated from services and local teams are often reluctant to receive them back into their care. This situation is worse in those whose challenging behaviour includes a forensic history, but the difference between those labelled as challenging and those treated as offenders is not clear, and there is a lack of evidence about treatment effectiveness. Aims: To test between-group differences in aggression and treatment outcome in people with learning disability and challenging behaviour, with and without a forensic history. Method: Clinical records of 86 former in-patients (45 offenders and 41 non-offenders) of a specialist unit were compared on measures of behavioural disturbance and placement outcome. Results: People in the offenders group were significantly less likely to be aggressive to others and to use weapons, but significantly more likely to harm themselves compared with the non-offenders group. Both groups had a significant reduction in their challenging behaviour during admission, and there was no significant difference in treatment outcome. Conclusions: The negative reputation of people with learning disabilities who offend needs to be reconsidered. (PsycINFO Database Record (c) 2005 APA, all rights reserved) (journal abstract).", "author" : [ { "dropping-particle" : "", "family" : "Reed", "given" : "Suzie", "non-dropping-particle" : "", "parse-names" : false, "suffix" : "" }, { "dropping-particle" : "", "family" : "Russell", "given" : "Ailsa", "non-dropping-particle" : "", "parse-names" : false, "suffix" : "" }, { "dropping-particle" : "", "family" : "Xenitidis", "given" : "Kiriakos", "non-dropping-particle" : "", "parse-names" : false, "suffix" : "" }, { "dropping-particle" : "", "family" : "Murphy", "given" : "Declan G M", "non-dropping-particle" : "", "parse-names" : false, "suffix" : "" } ], "container-title" : "British Journal of Psychiatry", "id" : "ITEM-1", "issue" : "DEC.", "issued" : { "date-parts" : [ [ "2004", "12" ] ] }, "page" : "499-504", "title" : "People with learning disabilities in a low secure in-patient unit: Comparison of offenders and non-offenders", "type" : "article-journal", "volume" : "185" }, "uris" : [ "http://www.mendeley.com/documents/?uuid=5cc50c5a-e253-3460-b7a8-04e24e75833e" ] } ], "mendeley" : { "formattedCitation" : "(52)", "plainTextFormattedCitation" : "(52)", "previouslyFormattedCitation" : "(52)" }, "properties" : { "noteIndex" : 0 }, "schema" : "https://github.com/citation-style-language/schema/raw/master/csl-citation.json" }</w:instrText>
            </w:r>
            <w:r w:rsidR="005A125F" w:rsidRPr="00522CD2">
              <w:rPr>
                <w:sz w:val="20"/>
                <w:vertAlign w:val="superscript"/>
              </w:rPr>
              <w:fldChar w:fldCharType="separate"/>
            </w:r>
            <w:r w:rsidR="00E353A8" w:rsidRPr="00522CD2">
              <w:rPr>
                <w:noProof/>
                <w:sz w:val="20"/>
              </w:rPr>
              <w:t>(52)</w:t>
            </w:r>
            <w:r w:rsidR="005A125F" w:rsidRPr="00522CD2">
              <w:rPr>
                <w:sz w:val="20"/>
                <w:vertAlign w:val="superscript"/>
              </w:rPr>
              <w:fldChar w:fldCharType="end"/>
            </w:r>
          </w:p>
          <w:p w14:paraId="6E85C268" w14:textId="77777777" w:rsidR="00841348" w:rsidRPr="00522CD2" w:rsidRDefault="00841348" w:rsidP="00290AAF">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Low secure</w:t>
            </w:r>
          </w:p>
        </w:tc>
        <w:tc>
          <w:tcPr>
            <w:tcW w:w="2385" w:type="dxa"/>
            <w:tcBorders>
              <w:top w:val="single" w:sz="4" w:space="0" w:color="auto"/>
              <w:left w:val="single" w:sz="4" w:space="0" w:color="FFFFFF" w:themeColor="background1"/>
              <w:right w:val="single" w:sz="4" w:space="0" w:color="FFFFFF" w:themeColor="background1"/>
            </w:tcBorders>
          </w:tcPr>
          <w:p w14:paraId="1C80105C" w14:textId="2FA11161" w:rsidR="00841348" w:rsidRPr="00522CD2" w:rsidRDefault="00841348" w:rsidP="00290AAF">
            <w:pPr>
              <w:spacing w:line="276" w:lineRule="auto"/>
              <w:rPr>
                <w:rFonts w:cs="Arial"/>
                <w:sz w:val="20"/>
                <w:szCs w:val="20"/>
              </w:rPr>
            </w:pPr>
            <w:r w:rsidRPr="00522CD2">
              <w:rPr>
                <w:rFonts w:cs="Arial"/>
                <w:sz w:val="20"/>
                <w:szCs w:val="20"/>
              </w:rPr>
              <w:t xml:space="preserve">Retrospective cohort study </w:t>
            </w:r>
          </w:p>
          <w:p w14:paraId="78006792" w14:textId="77777777" w:rsidR="00841348" w:rsidRPr="00522CD2" w:rsidRDefault="00841348" w:rsidP="00290AAF">
            <w:pPr>
              <w:spacing w:line="276" w:lineRule="auto"/>
              <w:rPr>
                <w:rFonts w:cs="Arial"/>
                <w:sz w:val="20"/>
                <w:szCs w:val="20"/>
              </w:rPr>
            </w:pPr>
            <w:r w:rsidRPr="00522CD2">
              <w:rPr>
                <w:rFonts w:cs="Arial"/>
                <w:sz w:val="20"/>
                <w:szCs w:val="20"/>
              </w:rPr>
              <w:t>Follow up: up to 14 years</w:t>
            </w:r>
          </w:p>
        </w:tc>
        <w:tc>
          <w:tcPr>
            <w:tcW w:w="1136" w:type="dxa"/>
            <w:tcBorders>
              <w:top w:val="single" w:sz="4" w:space="0" w:color="auto"/>
              <w:left w:val="single" w:sz="4" w:space="0" w:color="FFFFFF" w:themeColor="background1"/>
              <w:right w:val="single" w:sz="4" w:space="0" w:color="FFFFFF" w:themeColor="background1"/>
            </w:tcBorders>
          </w:tcPr>
          <w:p w14:paraId="42923730" w14:textId="77777777" w:rsidR="00841348" w:rsidRPr="00522CD2" w:rsidRDefault="00841348" w:rsidP="00290AAF">
            <w:pPr>
              <w:spacing w:line="276" w:lineRule="auto"/>
              <w:jc w:val="center"/>
              <w:rPr>
                <w:rFonts w:cs="Arial"/>
                <w:sz w:val="20"/>
                <w:szCs w:val="20"/>
              </w:rPr>
            </w:pPr>
            <w:r w:rsidRPr="00522CD2">
              <w:rPr>
                <w:rFonts w:cs="Arial"/>
                <w:sz w:val="20"/>
                <w:szCs w:val="20"/>
              </w:rPr>
              <w:t>45</w:t>
            </w:r>
          </w:p>
        </w:tc>
        <w:tc>
          <w:tcPr>
            <w:tcW w:w="3708" w:type="dxa"/>
            <w:tcBorders>
              <w:top w:val="single" w:sz="4" w:space="0" w:color="auto"/>
              <w:left w:val="single" w:sz="4" w:space="0" w:color="FFFFFF" w:themeColor="background1"/>
              <w:right w:val="single" w:sz="4" w:space="0" w:color="FFFFFF" w:themeColor="background1"/>
            </w:tcBorders>
          </w:tcPr>
          <w:p w14:paraId="7E5BFCAF"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29F9B405"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pathway</w:t>
            </w:r>
          </w:p>
          <w:p w14:paraId="6B7BF3C3"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p w14:paraId="241C991F" w14:textId="77777777" w:rsidR="00FD6CB9" w:rsidRPr="00522CD2" w:rsidRDefault="00FD6CB9" w:rsidP="00FD6CB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52"/>
              <w:rPr>
                <w:rFonts w:cs="Arial"/>
                <w:sz w:val="20"/>
                <w:szCs w:val="20"/>
              </w:rPr>
            </w:pPr>
          </w:p>
          <w:p w14:paraId="0D4378C7"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Incidents</w:t>
            </w:r>
          </w:p>
        </w:tc>
        <w:tc>
          <w:tcPr>
            <w:tcW w:w="5862" w:type="dxa"/>
            <w:gridSpan w:val="2"/>
            <w:tcBorders>
              <w:top w:val="single" w:sz="4" w:space="0" w:color="auto"/>
              <w:left w:val="single" w:sz="4" w:space="0" w:color="FFFFFF" w:themeColor="background1"/>
              <w:right w:val="single" w:sz="4" w:space="0" w:color="FFFFFF" w:themeColor="background1"/>
            </w:tcBorders>
          </w:tcPr>
          <w:p w14:paraId="707D245C"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number of weeks</w:t>
            </w:r>
          </w:p>
          <w:p w14:paraId="0BE8D4DC"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Level security/type of placement at discharge </w:t>
            </w:r>
          </w:p>
          <w:p w14:paraId="7E3AC413"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Positive (discharged to a level of lower security) or negative (discharged to a level of higher security) outcome</w:t>
            </w:r>
          </w:p>
          <w:p w14:paraId="2F810A09" w14:textId="77777777" w:rsidR="00841348" w:rsidRPr="00522CD2" w:rsidRDefault="00841348" w:rsidP="00290AA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Collected from hospital incident records. Incidents at baseline (week 6 to 10 of stay) were compared to end of stay (last 4 weeks of treatment). Frequency (total number of incidents per month) was adjusted for length of stay. Change in incidents calculated per person per week</w:t>
            </w:r>
          </w:p>
          <w:p w14:paraId="046ABBF0" w14:textId="77777777" w:rsidR="00841348" w:rsidRPr="00522CD2" w:rsidRDefault="00841348" w:rsidP="00290AAF">
            <w:pPr>
              <w:spacing w:line="276" w:lineRule="auto"/>
              <w:ind w:left="252"/>
              <w:rPr>
                <w:rFonts w:cs="Arial"/>
                <w:sz w:val="20"/>
                <w:szCs w:val="20"/>
              </w:rPr>
            </w:pPr>
          </w:p>
        </w:tc>
      </w:tr>
    </w:tbl>
    <w:tbl>
      <w:tblPr>
        <w:tblpPr w:leftFromText="180" w:rightFromText="180" w:vertAnchor="text" w:horzAnchor="margin" w:tblpY="15"/>
        <w:tblOverlap w:val="never"/>
        <w:tblW w:w="1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2385"/>
        <w:gridCol w:w="1136"/>
        <w:gridCol w:w="3708"/>
        <w:gridCol w:w="5862"/>
      </w:tblGrid>
      <w:tr w:rsidR="00272555" w:rsidRPr="00522CD2" w14:paraId="56E58800" w14:textId="77777777" w:rsidTr="00272555">
        <w:trPr>
          <w:trHeight w:val="416"/>
        </w:trPr>
        <w:tc>
          <w:tcPr>
            <w:tcW w:w="2399" w:type="dxa"/>
            <w:tcBorders>
              <w:top w:val="nil"/>
              <w:left w:val="single" w:sz="4" w:space="0" w:color="FFFFFF" w:themeColor="background1"/>
              <w:bottom w:val="single" w:sz="4" w:space="0" w:color="auto"/>
              <w:right w:val="single" w:sz="4" w:space="0" w:color="FFFFFF" w:themeColor="background1"/>
            </w:tcBorders>
            <w:shd w:val="clear" w:color="auto" w:fill="auto"/>
          </w:tcPr>
          <w:p w14:paraId="52D95E0F" w14:textId="77777777" w:rsidR="00272555" w:rsidRPr="00522CD2" w:rsidRDefault="00272555" w:rsidP="00272555">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 xml:space="preserve">Xenitidis et al. (1999) </w:t>
            </w:r>
            <w:r w:rsidRPr="00522CD2">
              <w:rPr>
                <w:rFonts w:cs="Arial"/>
                <w:kern w:val="28"/>
                <w:sz w:val="20"/>
                <w:szCs w:val="20"/>
                <w:lang w:val="en-CA" w:eastAsia="en-GB"/>
              </w:rPr>
              <w:fldChar w:fldCharType="begin" w:fldLock="1"/>
            </w:r>
            <w:r w:rsidRPr="00522CD2">
              <w:rPr>
                <w:rFonts w:cs="Arial"/>
                <w:kern w:val="28"/>
                <w:sz w:val="20"/>
                <w:szCs w:val="20"/>
                <w:lang w:val="en-CA" w:eastAsia="en-GB"/>
              </w:rPr>
              <w:instrText>ADDIN CSL_CITATION { "citationItems" : [ { "id" : "ITEM-1", "itemData" : { "ISSN" : "0964-2633", "PMID" : "10221793", "abstract" : "Following the closure of the large mental handicap hospitals in the UK, the majority of people with intellectual disability (ID) are currently living in the community. However, people with ID who also exhibit challenging behaviour (CB) have been the most difficult-to-place group and use a large amount of service resources. A variety of service options have been proposed for the assessment and treatment of CBs, but there is little information on the effectiveness of these alternatives. The Mental Impairment Evaluation and Treatment Service (MIETS) is one of these service options and the aim of the present study is to describe and evaluate this service. The present authors studied the first 64 patients admitted to MIETS following its opening. A within-subject comparison research design was used. Demographic and clinical data were obtained from case records and the effectiveness of MIETS interventions was evaluated by comparing the number of incidents of challenging behaviour, the use of seclusion, and the place of residence before and after the MIETS intervention. Only 10 (17.5%) of the patients had been admitted from community facilities, but 48 (84.2%) of the patients were discharged to community placements (P &lt; 0.000 I1). The MIETS also significantly reduced the frequency and severity of challenging behaviours (P &lt; 0.0001). It is concluded that the MIETS is an effective treatment model for people with ID and CB, and that there is no place for therapeutic nihilism in this difficult-to-place group of patients.", "author" : [ { "dropping-particle" : "", "family" : "Xenitidis", "given" : "K I", "non-dropping-particle" : "", "parse-names" : false, "suffix" : "" }, { "dropping-particle" : "", "family" : "Henry", "given" : "J", "non-dropping-particle" : "", "parse-names" : false, "suffix" : "" }, { "dropping-particle" : "", "family" : "Russell", "given" : "A J", "non-dropping-particle" : "", "parse-names" : false, "suffix" : "" }, { "dropping-particle" : "", "family" : "Ward", "given" : "A", "non-dropping-particle" : "", "parse-names" : false, "suffix" : "" }, { "dropping-particle" : "", "family" : "Murphy", "given" : "D G", "non-dropping-particle" : "", "parse-names" : false, "suffix" : "" } ], "container-title" : "Journal of intellectual disability research : JIDR", "id" : "ITEM-1", "issued" : { "date-parts" : [ [ "1999", "4" ] ] }, "page" : "128-34", "title" : "An inpatient treatment model for adults with mild intellectual disability and challenging behaviour.", "type" : "article-journal", "volume" : "43 ( Pt 2)" }, "uris" : [ "http://www.mendeley.com/documents/?uuid=6f5a173e-1e58-3b65-8c72-a951754fa829" ] } ], "mendeley" : { "formattedCitation" : "(53)", "plainTextFormattedCitation" : "(53)", "previouslyFormattedCitation" : "(53)" }, "properties" : { "noteIndex" : 0 }, "schema" : "https://github.com/citation-style-language/schema/raw/master/csl-citation.json" }</w:instrText>
            </w:r>
            <w:r w:rsidRPr="00522CD2">
              <w:rPr>
                <w:rFonts w:cs="Arial"/>
                <w:kern w:val="28"/>
                <w:sz w:val="20"/>
                <w:szCs w:val="20"/>
                <w:lang w:val="en-CA" w:eastAsia="en-GB"/>
              </w:rPr>
              <w:fldChar w:fldCharType="separate"/>
            </w:r>
            <w:r w:rsidRPr="00522CD2">
              <w:rPr>
                <w:rFonts w:cs="Arial"/>
                <w:noProof/>
                <w:kern w:val="28"/>
                <w:sz w:val="20"/>
                <w:szCs w:val="20"/>
                <w:lang w:val="en-CA" w:eastAsia="en-GB"/>
              </w:rPr>
              <w:t>(53)</w:t>
            </w:r>
            <w:r w:rsidRPr="00522CD2">
              <w:rPr>
                <w:rFonts w:cs="Arial"/>
                <w:kern w:val="28"/>
                <w:sz w:val="20"/>
                <w:szCs w:val="20"/>
                <w:lang w:val="en-CA" w:eastAsia="en-GB"/>
              </w:rPr>
              <w:fldChar w:fldCharType="end"/>
            </w:r>
          </w:p>
          <w:p w14:paraId="77FA522B" w14:textId="77777777" w:rsidR="00272555" w:rsidRPr="00522CD2" w:rsidRDefault="00272555" w:rsidP="00272555">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Low secure</w:t>
            </w:r>
          </w:p>
          <w:p w14:paraId="592F2AF7" w14:textId="77777777" w:rsidR="00272555" w:rsidRPr="00522CD2" w:rsidRDefault="00272555" w:rsidP="00272555">
            <w:pPr>
              <w:autoSpaceDE w:val="0"/>
              <w:autoSpaceDN w:val="0"/>
              <w:adjustRightInd w:val="0"/>
              <w:spacing w:line="276" w:lineRule="auto"/>
              <w:rPr>
                <w:rFonts w:cs="Arial"/>
                <w:kern w:val="28"/>
                <w:sz w:val="20"/>
                <w:szCs w:val="20"/>
                <w:lang w:val="en-CA" w:eastAsia="en-GB"/>
              </w:rPr>
            </w:pPr>
          </w:p>
        </w:tc>
        <w:tc>
          <w:tcPr>
            <w:tcW w:w="2385" w:type="dxa"/>
            <w:tcBorders>
              <w:top w:val="nil"/>
              <w:left w:val="single" w:sz="4" w:space="0" w:color="FFFFFF" w:themeColor="background1"/>
              <w:bottom w:val="single" w:sz="4" w:space="0" w:color="auto"/>
              <w:right w:val="single" w:sz="4" w:space="0" w:color="FFFFFF" w:themeColor="background1"/>
            </w:tcBorders>
            <w:shd w:val="clear" w:color="auto" w:fill="auto"/>
          </w:tcPr>
          <w:p w14:paraId="01901C94" w14:textId="77777777" w:rsidR="00272555" w:rsidRPr="00522CD2" w:rsidRDefault="00272555" w:rsidP="00272555">
            <w:pPr>
              <w:spacing w:line="276" w:lineRule="auto"/>
              <w:rPr>
                <w:rFonts w:cs="Arial"/>
                <w:sz w:val="20"/>
                <w:szCs w:val="20"/>
              </w:rPr>
            </w:pPr>
            <w:r w:rsidRPr="00522CD2">
              <w:rPr>
                <w:rFonts w:cs="Arial"/>
                <w:sz w:val="20"/>
                <w:szCs w:val="20"/>
              </w:rPr>
              <w:t xml:space="preserve">Retrospective cohort study </w:t>
            </w:r>
          </w:p>
          <w:p w14:paraId="10A4FAE3" w14:textId="77777777" w:rsidR="00272555" w:rsidRPr="00522CD2" w:rsidRDefault="00272555" w:rsidP="00272555">
            <w:pPr>
              <w:spacing w:line="276" w:lineRule="auto"/>
              <w:rPr>
                <w:rFonts w:cs="Arial"/>
                <w:sz w:val="20"/>
                <w:szCs w:val="20"/>
              </w:rPr>
            </w:pPr>
            <w:r w:rsidRPr="00522CD2">
              <w:rPr>
                <w:rFonts w:cs="Arial"/>
                <w:sz w:val="20"/>
                <w:szCs w:val="20"/>
              </w:rPr>
              <w:t>Follow up: up to 11 years</w:t>
            </w:r>
          </w:p>
        </w:tc>
        <w:tc>
          <w:tcPr>
            <w:tcW w:w="1136" w:type="dxa"/>
            <w:tcBorders>
              <w:top w:val="nil"/>
              <w:left w:val="single" w:sz="4" w:space="0" w:color="FFFFFF" w:themeColor="background1"/>
              <w:bottom w:val="single" w:sz="4" w:space="0" w:color="auto"/>
              <w:right w:val="single" w:sz="4" w:space="0" w:color="FFFFFF" w:themeColor="background1"/>
            </w:tcBorders>
          </w:tcPr>
          <w:p w14:paraId="243994E2" w14:textId="77777777" w:rsidR="00272555" w:rsidRPr="00522CD2" w:rsidRDefault="00272555" w:rsidP="00272555">
            <w:pPr>
              <w:spacing w:line="276" w:lineRule="auto"/>
              <w:jc w:val="center"/>
              <w:rPr>
                <w:rFonts w:cs="Arial"/>
                <w:sz w:val="20"/>
                <w:szCs w:val="20"/>
              </w:rPr>
            </w:pPr>
            <w:r w:rsidRPr="00522CD2">
              <w:rPr>
                <w:rFonts w:cs="Arial"/>
                <w:sz w:val="20"/>
                <w:szCs w:val="20"/>
              </w:rPr>
              <w:t>64</w:t>
            </w:r>
          </w:p>
        </w:tc>
        <w:tc>
          <w:tcPr>
            <w:tcW w:w="3708" w:type="dxa"/>
            <w:tcBorders>
              <w:top w:val="nil"/>
              <w:left w:val="single" w:sz="4" w:space="0" w:color="FFFFFF" w:themeColor="background1"/>
              <w:bottom w:val="single" w:sz="4" w:space="0" w:color="auto"/>
              <w:right w:val="single" w:sz="4" w:space="0" w:color="FFFFFF" w:themeColor="background1"/>
            </w:tcBorders>
            <w:shd w:val="clear" w:color="auto" w:fill="auto"/>
          </w:tcPr>
          <w:p w14:paraId="50116CD8" w14:textId="77777777" w:rsidR="00272555" w:rsidRPr="00522CD2" w:rsidRDefault="00272555"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47896848" w14:textId="77777777" w:rsidR="00272555" w:rsidRPr="00522CD2" w:rsidRDefault="00272555"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Discharge pathway </w:t>
            </w:r>
          </w:p>
          <w:p w14:paraId="7D727129" w14:textId="77777777" w:rsidR="00272555" w:rsidRPr="00522CD2" w:rsidRDefault="00272555"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p w14:paraId="2A6C3E63" w14:textId="77777777" w:rsidR="00272555" w:rsidRPr="00522CD2" w:rsidRDefault="00272555" w:rsidP="00272555">
            <w:pPr>
              <w:spacing w:line="276" w:lineRule="auto"/>
              <w:ind w:left="252"/>
              <w:rPr>
                <w:rFonts w:cs="Arial"/>
                <w:sz w:val="20"/>
                <w:szCs w:val="20"/>
              </w:rPr>
            </w:pPr>
          </w:p>
          <w:p w14:paraId="15A2259F" w14:textId="77777777" w:rsidR="00272555" w:rsidRPr="00522CD2" w:rsidRDefault="00272555"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Incidents</w:t>
            </w:r>
          </w:p>
          <w:p w14:paraId="088A0D72" w14:textId="77777777" w:rsidR="00272555" w:rsidRPr="00522CD2" w:rsidRDefault="00272555" w:rsidP="00272555">
            <w:pPr>
              <w:spacing w:line="276" w:lineRule="auto"/>
              <w:ind w:left="12"/>
              <w:rPr>
                <w:rFonts w:cs="Arial"/>
                <w:sz w:val="20"/>
                <w:szCs w:val="20"/>
              </w:rPr>
            </w:pPr>
          </w:p>
        </w:tc>
        <w:tc>
          <w:tcPr>
            <w:tcW w:w="5862" w:type="dxa"/>
            <w:tcBorders>
              <w:top w:val="nil"/>
              <w:left w:val="single" w:sz="4" w:space="0" w:color="FFFFFF" w:themeColor="background1"/>
              <w:bottom w:val="single" w:sz="4" w:space="0" w:color="auto"/>
              <w:right w:val="single" w:sz="4" w:space="0" w:color="FFFFFF" w:themeColor="background1"/>
            </w:tcBorders>
          </w:tcPr>
          <w:p w14:paraId="3332893C" w14:textId="655AB948" w:rsidR="00272555" w:rsidRPr="00522CD2" w:rsidRDefault="00272555"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Mean </w:t>
            </w:r>
            <w:r w:rsidR="00293045" w:rsidRPr="00522CD2">
              <w:rPr>
                <w:rFonts w:cs="Arial"/>
                <w:sz w:val="20"/>
                <w:szCs w:val="20"/>
              </w:rPr>
              <w:t>number of months</w:t>
            </w:r>
          </w:p>
          <w:p w14:paraId="34C78CD4" w14:textId="77777777" w:rsidR="00272555" w:rsidRPr="00522CD2" w:rsidRDefault="00272555"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Level security/type of placement at discharge </w:t>
            </w:r>
          </w:p>
          <w:p w14:paraId="6672662C" w14:textId="77777777" w:rsidR="00272555" w:rsidRPr="00522CD2" w:rsidRDefault="00272555"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Good (discharged to community) or bad (not placed in a community setting) outcome</w:t>
            </w:r>
          </w:p>
          <w:p w14:paraId="4DC698ED" w14:textId="77777777" w:rsidR="00272555" w:rsidRPr="00522CD2" w:rsidRDefault="00272555"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Collected from hospital incident records. Incidents at baseline (week 6 to 10 of stay) were compared to end of stay (last 4 weeks of treatment). Frequency (total number of incidents per month) was adjusted for length of stay.</w:t>
            </w:r>
          </w:p>
        </w:tc>
      </w:tr>
      <w:tr w:rsidR="00272555" w:rsidRPr="00522CD2" w14:paraId="552348B4" w14:textId="77777777" w:rsidTr="00272555">
        <w:trPr>
          <w:trHeight w:val="416"/>
        </w:trPr>
        <w:tc>
          <w:tcPr>
            <w:tcW w:w="15490" w:type="dxa"/>
            <w:gridSpan w:val="5"/>
            <w:tcBorders>
              <w:top w:val="single" w:sz="4" w:space="0" w:color="auto"/>
              <w:left w:val="nil"/>
              <w:bottom w:val="nil"/>
              <w:right w:val="nil"/>
            </w:tcBorders>
            <w:shd w:val="clear" w:color="auto" w:fill="auto"/>
          </w:tcPr>
          <w:p w14:paraId="3E9F41EA" w14:textId="77777777" w:rsidR="00272555" w:rsidRPr="00522CD2" w:rsidRDefault="00272555" w:rsidP="00272555">
            <w:pPr>
              <w:autoSpaceDE w:val="0"/>
              <w:autoSpaceDN w:val="0"/>
              <w:adjustRightInd w:val="0"/>
              <w:spacing w:line="276" w:lineRule="auto"/>
              <w:ind w:left="284"/>
              <w:rPr>
                <w:rFonts w:cs="Arial"/>
                <w:kern w:val="28"/>
                <w:sz w:val="16"/>
                <w:szCs w:val="20"/>
                <w:lang w:val="en-CA" w:eastAsia="en-GB"/>
              </w:rPr>
            </w:pPr>
            <w:r w:rsidRPr="00522CD2">
              <w:rPr>
                <w:i/>
                <w:sz w:val="20"/>
              </w:rPr>
              <w:t xml:space="preserve">Note. </w:t>
            </w:r>
            <w:r w:rsidRPr="00522CD2">
              <w:rPr>
                <w:sz w:val="20"/>
                <w:vertAlign w:val="superscript"/>
              </w:rPr>
              <w:t>4</w:t>
            </w:r>
            <w:r w:rsidRPr="00522CD2">
              <w:rPr>
                <w:sz w:val="20"/>
              </w:rPr>
              <w:t>The sample in Reed et al (2004) overlaps with that of Xenitidis et al. (1999).</w:t>
            </w:r>
          </w:p>
          <w:p w14:paraId="7EB086A5" w14:textId="77777777" w:rsidR="00272555" w:rsidRPr="00522CD2" w:rsidRDefault="00272555" w:rsidP="00272555">
            <w:pPr>
              <w:spacing w:line="276" w:lineRule="auto"/>
              <w:ind w:left="252"/>
              <w:rPr>
                <w:rFonts w:cs="Arial"/>
                <w:sz w:val="20"/>
                <w:szCs w:val="20"/>
              </w:rPr>
            </w:pPr>
          </w:p>
          <w:p w14:paraId="552A6392" w14:textId="77777777" w:rsidR="00272555" w:rsidRPr="00522CD2" w:rsidRDefault="00272555" w:rsidP="00272555">
            <w:pPr>
              <w:spacing w:line="276" w:lineRule="auto"/>
              <w:ind w:left="252"/>
              <w:rPr>
                <w:rFonts w:cs="Arial"/>
                <w:sz w:val="20"/>
                <w:szCs w:val="20"/>
              </w:rPr>
            </w:pPr>
          </w:p>
          <w:p w14:paraId="563ACD27" w14:textId="77777777" w:rsidR="00272555" w:rsidRPr="00522CD2" w:rsidRDefault="00272555" w:rsidP="00272555">
            <w:pPr>
              <w:spacing w:line="276" w:lineRule="auto"/>
              <w:ind w:left="252"/>
              <w:rPr>
                <w:rFonts w:cs="Arial"/>
                <w:sz w:val="20"/>
                <w:szCs w:val="20"/>
              </w:rPr>
            </w:pPr>
          </w:p>
          <w:p w14:paraId="28DD2756" w14:textId="77777777" w:rsidR="00272555" w:rsidRPr="00522CD2" w:rsidRDefault="00272555" w:rsidP="00272555">
            <w:pPr>
              <w:spacing w:line="276" w:lineRule="auto"/>
              <w:ind w:left="252"/>
              <w:rPr>
                <w:rFonts w:cs="Arial"/>
                <w:sz w:val="20"/>
                <w:szCs w:val="20"/>
              </w:rPr>
            </w:pPr>
          </w:p>
          <w:p w14:paraId="473AE3BC" w14:textId="77777777" w:rsidR="00272555" w:rsidRPr="00522CD2" w:rsidRDefault="00272555" w:rsidP="00272555">
            <w:pPr>
              <w:spacing w:line="276" w:lineRule="auto"/>
              <w:ind w:left="252"/>
              <w:rPr>
                <w:rFonts w:cs="Arial"/>
                <w:sz w:val="20"/>
                <w:szCs w:val="20"/>
              </w:rPr>
            </w:pPr>
          </w:p>
          <w:p w14:paraId="393F86CD" w14:textId="77777777" w:rsidR="00272555" w:rsidRPr="00522CD2" w:rsidRDefault="00272555" w:rsidP="00272555">
            <w:pPr>
              <w:spacing w:line="276" w:lineRule="auto"/>
              <w:ind w:left="252"/>
              <w:rPr>
                <w:rFonts w:cs="Arial"/>
                <w:sz w:val="20"/>
                <w:szCs w:val="20"/>
              </w:rPr>
            </w:pPr>
          </w:p>
        </w:tc>
      </w:tr>
    </w:tbl>
    <w:p w14:paraId="7C849098" w14:textId="77777777" w:rsidR="00841348" w:rsidRPr="00522CD2" w:rsidRDefault="00841348" w:rsidP="00841348"/>
    <w:p w14:paraId="22EF6C83" w14:textId="77777777" w:rsidR="00841348" w:rsidRPr="00522CD2" w:rsidRDefault="00841348" w:rsidP="00841348"/>
    <w:tbl>
      <w:tblPr>
        <w:tblpPr w:leftFromText="180" w:rightFromText="180" w:vertAnchor="text" w:horzAnchor="margin" w:tblpX="-504" w:tblpY="-719"/>
        <w:tblOverlap w:val="never"/>
        <w:tblW w:w="1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2385"/>
        <w:gridCol w:w="1019"/>
        <w:gridCol w:w="3825"/>
        <w:gridCol w:w="5862"/>
      </w:tblGrid>
      <w:tr w:rsidR="00841348" w:rsidRPr="00522CD2" w14:paraId="451FF925" w14:textId="77777777" w:rsidTr="00272555">
        <w:trPr>
          <w:trHeight w:val="281"/>
        </w:trPr>
        <w:tc>
          <w:tcPr>
            <w:tcW w:w="15490" w:type="dxa"/>
            <w:gridSpan w:val="5"/>
            <w:tcBorders>
              <w:top w:val="nil"/>
              <w:left w:val="nil"/>
              <w:bottom w:val="single" w:sz="4" w:space="0" w:color="auto"/>
              <w:right w:val="nil"/>
            </w:tcBorders>
            <w:shd w:val="clear" w:color="auto" w:fill="FFFFFF" w:themeFill="background1"/>
          </w:tcPr>
          <w:p w14:paraId="5622AE96" w14:textId="77777777" w:rsidR="00841348" w:rsidRPr="00522CD2" w:rsidRDefault="00841348" w:rsidP="00272555">
            <w:pPr>
              <w:rPr>
                <w:rFonts w:cs="Arial"/>
                <w:b/>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 xml:space="preserve">. </w:t>
            </w:r>
          </w:p>
          <w:p w14:paraId="0B9097E6" w14:textId="77777777" w:rsidR="00841348" w:rsidRPr="00522CD2" w:rsidRDefault="00841348" w:rsidP="00272555">
            <w:pPr>
              <w:rPr>
                <w:rFonts w:cs="Arial"/>
                <w:b/>
                <w:sz w:val="20"/>
                <w:szCs w:val="20"/>
              </w:rPr>
            </w:pPr>
            <w:r w:rsidRPr="00522CD2">
              <w:rPr>
                <w:rFonts w:cs="Arial"/>
                <w:sz w:val="20"/>
                <w:szCs w:val="20"/>
              </w:rPr>
              <w:t>Summary of studies presenting data on the outcome domain of effectiveness (cross-sectional studies).</w:t>
            </w:r>
          </w:p>
        </w:tc>
      </w:tr>
      <w:tr w:rsidR="00841348" w:rsidRPr="00522CD2" w14:paraId="445D54AA" w14:textId="77777777" w:rsidTr="00272555">
        <w:trPr>
          <w:trHeight w:val="340"/>
        </w:trPr>
        <w:tc>
          <w:tcPr>
            <w:tcW w:w="2399" w:type="dxa"/>
            <w:tcBorders>
              <w:left w:val="nil"/>
              <w:bottom w:val="single" w:sz="4" w:space="0" w:color="auto"/>
              <w:right w:val="nil"/>
            </w:tcBorders>
            <w:shd w:val="clear" w:color="auto" w:fill="auto"/>
          </w:tcPr>
          <w:p w14:paraId="76A5C8D2" w14:textId="77777777" w:rsidR="00841348" w:rsidRPr="00522CD2" w:rsidRDefault="00841348" w:rsidP="00272555">
            <w:pPr>
              <w:jc w:val="center"/>
              <w:rPr>
                <w:rFonts w:cs="Arial"/>
                <w:b/>
                <w:sz w:val="20"/>
                <w:szCs w:val="20"/>
              </w:rPr>
            </w:pPr>
            <w:r w:rsidRPr="00522CD2">
              <w:rPr>
                <w:rFonts w:cs="Arial"/>
                <w:b/>
                <w:sz w:val="20"/>
                <w:szCs w:val="20"/>
              </w:rPr>
              <w:t>Study and Setting</w:t>
            </w:r>
          </w:p>
        </w:tc>
        <w:tc>
          <w:tcPr>
            <w:tcW w:w="2385" w:type="dxa"/>
            <w:tcBorders>
              <w:left w:val="nil"/>
              <w:bottom w:val="single" w:sz="4" w:space="0" w:color="auto"/>
              <w:right w:val="nil"/>
            </w:tcBorders>
            <w:shd w:val="clear" w:color="auto" w:fill="auto"/>
          </w:tcPr>
          <w:p w14:paraId="51160BF6" w14:textId="77777777" w:rsidR="00841348" w:rsidRPr="00522CD2" w:rsidRDefault="00841348" w:rsidP="00272555">
            <w:pPr>
              <w:rPr>
                <w:rFonts w:cs="Arial"/>
                <w:b/>
                <w:sz w:val="20"/>
                <w:szCs w:val="20"/>
              </w:rPr>
            </w:pPr>
            <w:r w:rsidRPr="00522CD2">
              <w:rPr>
                <w:rFonts w:cs="Arial"/>
                <w:b/>
                <w:sz w:val="20"/>
                <w:szCs w:val="20"/>
              </w:rPr>
              <w:t>Design</w:t>
            </w:r>
          </w:p>
        </w:tc>
        <w:tc>
          <w:tcPr>
            <w:tcW w:w="1019" w:type="dxa"/>
            <w:tcBorders>
              <w:left w:val="nil"/>
              <w:bottom w:val="single" w:sz="4" w:space="0" w:color="auto"/>
              <w:right w:val="nil"/>
            </w:tcBorders>
            <w:shd w:val="clear" w:color="auto" w:fill="auto"/>
          </w:tcPr>
          <w:p w14:paraId="55D5B6F4" w14:textId="77777777" w:rsidR="00841348" w:rsidRPr="00522CD2" w:rsidRDefault="00841348" w:rsidP="00272555">
            <w:pPr>
              <w:jc w:val="center"/>
              <w:rPr>
                <w:rFonts w:cs="Arial"/>
                <w:b/>
                <w:sz w:val="20"/>
                <w:szCs w:val="20"/>
              </w:rPr>
            </w:pPr>
            <w:r w:rsidRPr="00522CD2">
              <w:rPr>
                <w:rFonts w:cs="Arial"/>
                <w:b/>
                <w:sz w:val="20"/>
                <w:szCs w:val="20"/>
              </w:rPr>
              <w:t>N</w:t>
            </w:r>
          </w:p>
        </w:tc>
        <w:tc>
          <w:tcPr>
            <w:tcW w:w="3825" w:type="dxa"/>
            <w:tcBorders>
              <w:left w:val="nil"/>
              <w:bottom w:val="single" w:sz="4" w:space="0" w:color="auto"/>
              <w:right w:val="nil"/>
            </w:tcBorders>
            <w:shd w:val="clear" w:color="auto" w:fill="auto"/>
          </w:tcPr>
          <w:p w14:paraId="02D89FA3" w14:textId="77777777" w:rsidR="00841348" w:rsidRPr="00522CD2" w:rsidRDefault="00841348" w:rsidP="00272555">
            <w:pPr>
              <w:jc w:val="center"/>
              <w:rPr>
                <w:rFonts w:cs="Arial"/>
                <w:b/>
                <w:sz w:val="20"/>
                <w:szCs w:val="20"/>
              </w:rPr>
            </w:pPr>
            <w:r w:rsidRPr="00522CD2">
              <w:rPr>
                <w:rFonts w:cs="Arial"/>
                <w:b/>
                <w:sz w:val="20"/>
                <w:szCs w:val="20"/>
              </w:rPr>
              <w:t>Outcome Sub-Domain</w:t>
            </w:r>
          </w:p>
        </w:tc>
        <w:tc>
          <w:tcPr>
            <w:tcW w:w="5862" w:type="dxa"/>
            <w:tcBorders>
              <w:left w:val="nil"/>
              <w:bottom w:val="single" w:sz="4" w:space="0" w:color="auto"/>
              <w:right w:val="nil"/>
            </w:tcBorders>
            <w:shd w:val="clear" w:color="auto" w:fill="auto"/>
          </w:tcPr>
          <w:p w14:paraId="4B70E065" w14:textId="77777777" w:rsidR="00841348" w:rsidRPr="00522CD2" w:rsidRDefault="00841348" w:rsidP="00272555">
            <w:pPr>
              <w:jc w:val="center"/>
              <w:rPr>
                <w:rFonts w:cs="Arial"/>
                <w:b/>
                <w:sz w:val="20"/>
                <w:szCs w:val="20"/>
              </w:rPr>
            </w:pPr>
            <w:r w:rsidRPr="00522CD2">
              <w:rPr>
                <w:rFonts w:cs="Arial"/>
                <w:b/>
                <w:sz w:val="20"/>
                <w:szCs w:val="20"/>
              </w:rPr>
              <w:t>Measure/Indicator</w:t>
            </w:r>
          </w:p>
        </w:tc>
      </w:tr>
      <w:tr w:rsidR="00841348" w:rsidRPr="00522CD2" w14:paraId="28C3B8D7" w14:textId="77777777" w:rsidTr="00272555">
        <w:trPr>
          <w:trHeight w:val="416"/>
        </w:trPr>
        <w:tc>
          <w:tcPr>
            <w:tcW w:w="2399" w:type="dxa"/>
            <w:tcBorders>
              <w:left w:val="nil"/>
              <w:bottom w:val="single" w:sz="4" w:space="0" w:color="auto"/>
              <w:right w:val="nil"/>
            </w:tcBorders>
            <w:shd w:val="clear" w:color="auto" w:fill="auto"/>
          </w:tcPr>
          <w:p w14:paraId="4B85E3A9" w14:textId="273E73A8" w:rsidR="00841348" w:rsidRPr="00522CD2" w:rsidRDefault="00841348" w:rsidP="00272555">
            <w:pPr>
              <w:spacing w:line="276" w:lineRule="auto"/>
              <w:rPr>
                <w:rFonts w:cs="Arial"/>
                <w:sz w:val="20"/>
                <w:szCs w:val="20"/>
              </w:rPr>
            </w:pPr>
            <w:r w:rsidRPr="00522CD2">
              <w:rPr>
                <w:rFonts w:cs="Arial"/>
                <w:sz w:val="20"/>
                <w:szCs w:val="20"/>
              </w:rPr>
              <w:t>Ajmal (2008)</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"author" : [ { "dropping-particle" : "", "family" : "Ajmal", "given" : "M.A.", "non-dropping-particle" : "", "parse-names" : false, "suffix" : "" } ], "container-title" : "Pakistan Journal of Social and Clinical Psychology", "id" : "ITEM-1", "issued" : { "date-parts" : [ [ "2008" ] ] }, "page" : "47-58", "title" : "Self-Esteem and Mental Health in a Forensic Learning Disabilities Setting.", "type" : "article-journal", "volume" : "4" }, "uris" : [ "http://www.mendeley.com/documents/?uuid=95dc217b-7adc-4899-a9bd-da17d9bf3284" ] } ], "mendeley" : { "formattedCitation" : "(54)", "plainTextFormattedCitation" : "(54)", "previouslyFormattedCitation" : "(54)"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(54)</w:t>
            </w:r>
            <w:r w:rsidR="00FC3FE5" w:rsidRPr="00522CD2">
              <w:rPr>
                <w:rFonts w:cs="Arial"/>
                <w:sz w:val="20"/>
                <w:szCs w:val="20"/>
              </w:rPr>
              <w:fldChar w:fldCharType="end"/>
            </w:r>
          </w:p>
          <w:p w14:paraId="6A7BA56E" w14:textId="77777777" w:rsidR="00841348" w:rsidRPr="00522CD2" w:rsidRDefault="00841348" w:rsidP="00272555">
            <w:pPr>
              <w:spacing w:line="276" w:lineRule="auto"/>
              <w:rPr>
                <w:rFonts w:cs="Arial"/>
                <w:sz w:val="20"/>
                <w:szCs w:val="20"/>
              </w:rPr>
            </w:pPr>
            <w:r w:rsidRPr="00522CD2">
              <w:rPr>
                <w:rFonts w:cs="Arial"/>
                <w:sz w:val="20"/>
                <w:szCs w:val="20"/>
              </w:rPr>
              <w:t>High secure</w:t>
            </w:r>
          </w:p>
          <w:p w14:paraId="24866167" w14:textId="77777777" w:rsidR="00841348" w:rsidRPr="00522CD2" w:rsidRDefault="00841348" w:rsidP="00272555">
            <w:pPr>
              <w:spacing w:line="276" w:lineRule="auto"/>
              <w:rPr>
                <w:rFonts w:cs="Arial"/>
                <w:sz w:val="20"/>
                <w:szCs w:val="20"/>
              </w:rPr>
            </w:pPr>
          </w:p>
        </w:tc>
        <w:tc>
          <w:tcPr>
            <w:tcW w:w="2385" w:type="dxa"/>
            <w:tcBorders>
              <w:left w:val="nil"/>
              <w:bottom w:val="single" w:sz="4" w:space="0" w:color="auto"/>
              <w:right w:val="nil"/>
            </w:tcBorders>
            <w:shd w:val="clear" w:color="auto" w:fill="auto"/>
          </w:tcPr>
          <w:p w14:paraId="52536A3C" w14:textId="51247FBE" w:rsidR="00841348" w:rsidRPr="00522CD2" w:rsidRDefault="00841348" w:rsidP="00272555">
            <w:pPr>
              <w:spacing w:line="276" w:lineRule="auto"/>
              <w:rPr>
                <w:rFonts w:cs="Arial"/>
                <w:sz w:val="20"/>
                <w:szCs w:val="20"/>
              </w:rPr>
            </w:pPr>
            <w:r w:rsidRPr="00522CD2">
              <w:rPr>
                <w:rFonts w:cs="Arial"/>
                <w:sz w:val="20"/>
                <w:szCs w:val="20"/>
              </w:rPr>
              <w:t xml:space="preserve">Cross-sectional </w:t>
            </w:r>
          </w:p>
        </w:tc>
        <w:tc>
          <w:tcPr>
            <w:tcW w:w="1019" w:type="dxa"/>
            <w:tcBorders>
              <w:left w:val="nil"/>
              <w:bottom w:val="single" w:sz="4" w:space="0" w:color="auto"/>
              <w:right w:val="nil"/>
            </w:tcBorders>
            <w:shd w:val="clear" w:color="auto" w:fill="auto"/>
          </w:tcPr>
          <w:p w14:paraId="651F5404" w14:textId="77777777" w:rsidR="00841348" w:rsidRPr="00522CD2" w:rsidRDefault="00841348" w:rsidP="00272555">
            <w:pPr>
              <w:spacing w:line="276" w:lineRule="auto"/>
              <w:ind w:left="252"/>
              <w:rPr>
                <w:rFonts w:cs="Arial"/>
                <w:sz w:val="20"/>
                <w:szCs w:val="20"/>
              </w:rPr>
            </w:pPr>
            <w:r w:rsidRPr="00522CD2">
              <w:rPr>
                <w:rFonts w:cs="Arial"/>
                <w:sz w:val="20"/>
                <w:szCs w:val="20"/>
              </w:rPr>
              <w:t>79</w:t>
            </w:r>
          </w:p>
        </w:tc>
        <w:tc>
          <w:tcPr>
            <w:tcW w:w="3825" w:type="dxa"/>
            <w:tcBorders>
              <w:left w:val="nil"/>
              <w:bottom w:val="single" w:sz="4" w:space="0" w:color="auto"/>
              <w:right w:val="nil"/>
            </w:tcBorders>
            <w:shd w:val="clear" w:color="auto" w:fill="auto"/>
          </w:tcPr>
          <w:p w14:paraId="7DE6FD95"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p w14:paraId="219B3F0F" w14:textId="77777777" w:rsidR="00841348" w:rsidRPr="00522CD2" w:rsidRDefault="00841348" w:rsidP="00272555">
            <w:pPr>
              <w:spacing w:line="276" w:lineRule="auto"/>
              <w:rPr>
                <w:rFonts w:cs="Arial"/>
                <w:sz w:val="20"/>
                <w:szCs w:val="20"/>
              </w:rPr>
            </w:pPr>
          </w:p>
        </w:tc>
        <w:tc>
          <w:tcPr>
            <w:tcW w:w="5862" w:type="dxa"/>
            <w:tcBorders>
              <w:left w:val="nil"/>
              <w:bottom w:val="single" w:sz="4" w:space="0" w:color="auto"/>
              <w:right w:val="nil"/>
            </w:tcBorders>
            <w:shd w:val="clear" w:color="auto" w:fill="auto"/>
          </w:tcPr>
          <w:p w14:paraId="5BCED4BA"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GSI and RSES (patient rated)</w:t>
            </w:r>
          </w:p>
        </w:tc>
      </w:tr>
      <w:tr w:rsidR="00841348" w:rsidRPr="00522CD2" w14:paraId="0E3380E4" w14:textId="77777777" w:rsidTr="00272555">
        <w:trPr>
          <w:trHeight w:val="694"/>
        </w:trPr>
        <w:tc>
          <w:tcPr>
            <w:tcW w:w="2399" w:type="dxa"/>
            <w:tcBorders>
              <w:top w:val="single" w:sz="4" w:space="0" w:color="auto"/>
              <w:left w:val="nil"/>
              <w:bottom w:val="single" w:sz="4" w:space="0" w:color="auto"/>
              <w:right w:val="nil"/>
            </w:tcBorders>
            <w:shd w:val="clear" w:color="auto" w:fill="auto"/>
          </w:tcPr>
          <w:p w14:paraId="7796DEB4" w14:textId="445BB83F" w:rsidR="00841348" w:rsidRPr="00522CD2" w:rsidRDefault="00841348" w:rsidP="00272555">
            <w:pPr>
              <w:spacing w:line="276" w:lineRule="auto"/>
              <w:rPr>
                <w:rFonts w:cs="Arial"/>
                <w:sz w:val="20"/>
                <w:szCs w:val="20"/>
              </w:rPr>
            </w:pPr>
            <w:r w:rsidRPr="00522CD2">
              <w:rPr>
                <w:rFonts w:cs="Arial"/>
                <w:sz w:val="20"/>
                <w:szCs w:val="20"/>
              </w:rPr>
              <w:t xml:space="preserve">Beer et al. (2005) </w:t>
            </w:r>
            <w:r w:rsidR="00D12489" w:rsidRPr="00522CD2">
              <w:rPr>
                <w:rFonts w:cs="Arial"/>
                <w:sz w:val="20"/>
                <w:szCs w:val="20"/>
              </w:rPr>
              <w:fldChar w:fldCharType="begin" w:fldLock="1"/>
            </w:r>
            <w:r w:rsidR="00E353A8" w:rsidRPr="00522CD2">
              <w:rPr>
                <w:rFonts w:cs="Arial"/>
                <w:sz w:val="20"/>
                <w:szCs w:val="20"/>
              </w:rPr>
              <w:instrText>ADDIN CSL_CITATION { "citationItems" : [ { "id" : "ITEM-1", "itemData" : { "DOI" : "10.1017/S1742646405000063", "ISBN" : "1744-2206(Electronic);1742-6464(Print)", "ISSN" : "1742-6464", "abstract" : "Aims: (1) To ascertain characteristics of patients in low secure units; (2) To examine whether standard 5 of the National Service Frameworks was being followed; (3) To investigate reasons for any delays in discharge and how these could be addressed. Method: Audit survey of National Service Frameworks for Mental Health standard 5 patients being treated in least restrictive environment as close to their home as possible by case notes, interviews with ward manager and questionnaires. Results: Patients in mental health units had greater numbers of admissions to hospital than those from learning disabilities units. They had more contact with the criminal justice system and had spent time in prison. The main diagnosis was schizophrenia. Patients in learning disabilities units were more likely to be Black Caribbean or African and to have had special needs at school. They exhibited current higher risk to others and to self, by deliberate and non-deliberate self-harm. They had diagnoses of mild learning disabilities and autism. About a third of both groups of patients were assessed as being able to move to a lower level of security. The most suitable facility for these patients was an open unit in the community staffed by nurses. Conclusion: For a third of the patients standard 5 of the National Service Frameworks was not met because they were not 'in the least restrictive environment'. Open community facilities staffed by nurses over 24 hours was the most appropriate unit for a majority of these patients. (PsycINFO Database Record (c) 2012 APA, all rights reserved)", "author" : [ { "dropping-particle" : "", "family" : "Beer", "given" : "Dominic", "non-dropping-particle" : "", "parse-names" : false, "suffix" : "" }, { "dropping-particle" : "", "family" : "Turk", "given" : "Vicky", "non-dropping-particle" : "", "parse-names" : false, "suffix" : "" }, { "dropping-particle" : "", "family" : "McGovern", "given" : "Phyl", "non-dropping-particle" : "", "parse-names" : false, "suffix" : "" }, { "dropping-particle" : "", "family" : "Gravestock", "given" : "Shaun M", "non-dropping-particle" : "", "parse-names" : false, "suffix" : "" }, { "dropping-particle" : "", "family" : "Brooks", "given" : "David", "non-dropping-particle" : "", "parse-names" : false, "suffix" : "" }, { "dropping-particle" : "", "family" : "Barnett", "given" : "Louisa", "non-dropping-particle" : "", "parse-names" : false, "suffix" : "" }, { "dropping-particle" : "", "family" : "Orr", "given" : "David", "non-dropping-particle" : "", "parse-names" : false, "suffix" : "" } ], "container-title" : "Journal of Psychiatric Intensive Care", "id" : "ITEM-1", "issue" : "1", "issued" : { "date-parts" : [ [ "2005", "9", "15" ] ] }, "page" : "29", "publisher" : "Cambridge University Press", "title" : "Characteristics of patients exhibiting severe challenging behaviour in low secure mental health and mild learning disabilities units", "type" : "article-journal", "volume" : "1" }, "uris" : [ "http://www.mendeley.com/documents/?uuid=95aeeff0-8e15-30b4-9f56-8ed1ced2668d" ] } ], "mendeley" : { "formattedCitation" : "(55)", "plainTextFormattedCitation" : "(55)", "previouslyFormattedCitation" : "(55)" }, "properties" : { "noteIndex" : 0 }, "schema" : "https://github.com/citation-style-language/schema/raw/master/csl-citation.json" }</w:instrText>
            </w:r>
            <w:r w:rsidR="00D12489" w:rsidRPr="00522CD2">
              <w:rPr>
                <w:rFonts w:cs="Arial"/>
                <w:sz w:val="20"/>
                <w:szCs w:val="20"/>
              </w:rPr>
              <w:fldChar w:fldCharType="separate"/>
            </w:r>
            <w:r w:rsidR="00E353A8" w:rsidRPr="00522CD2">
              <w:rPr>
                <w:rFonts w:cs="Arial"/>
                <w:noProof/>
                <w:sz w:val="20"/>
                <w:szCs w:val="20"/>
              </w:rPr>
              <w:t>(55)</w:t>
            </w:r>
            <w:r w:rsidR="00D12489" w:rsidRPr="00522CD2">
              <w:rPr>
                <w:rFonts w:cs="Arial"/>
                <w:sz w:val="20"/>
                <w:szCs w:val="20"/>
              </w:rPr>
              <w:fldChar w:fldCharType="end"/>
            </w:r>
          </w:p>
          <w:p w14:paraId="71EA8DFB" w14:textId="77777777"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sz w:val="20"/>
                <w:szCs w:val="20"/>
              </w:rPr>
              <w:t>Low secure</w:t>
            </w:r>
          </w:p>
        </w:tc>
        <w:tc>
          <w:tcPr>
            <w:tcW w:w="2385" w:type="dxa"/>
            <w:tcBorders>
              <w:top w:val="single" w:sz="4" w:space="0" w:color="auto"/>
              <w:left w:val="nil"/>
              <w:bottom w:val="single" w:sz="4" w:space="0" w:color="auto"/>
              <w:right w:val="nil"/>
            </w:tcBorders>
            <w:shd w:val="clear" w:color="auto" w:fill="auto"/>
          </w:tcPr>
          <w:p w14:paraId="4E55DA48" w14:textId="00457D22" w:rsidR="00841348" w:rsidRPr="00522CD2" w:rsidRDefault="00841348" w:rsidP="00272555">
            <w:pPr>
              <w:spacing w:line="276" w:lineRule="auto"/>
              <w:rPr>
                <w:rFonts w:cs="Arial"/>
                <w:sz w:val="20"/>
                <w:szCs w:val="20"/>
              </w:rPr>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4EA3DEFC" w14:textId="77777777" w:rsidR="00841348" w:rsidRPr="00522CD2" w:rsidRDefault="00841348" w:rsidP="00272555">
            <w:pPr>
              <w:spacing w:line="276" w:lineRule="auto"/>
              <w:ind w:left="252"/>
              <w:rPr>
                <w:rFonts w:cs="Arial"/>
                <w:sz w:val="20"/>
                <w:szCs w:val="20"/>
              </w:rPr>
            </w:pPr>
            <w:r w:rsidRPr="00522CD2">
              <w:rPr>
                <w:rFonts w:cs="Arial"/>
                <w:sz w:val="20"/>
                <w:szCs w:val="20"/>
              </w:rPr>
              <w:t>59</w:t>
            </w:r>
          </w:p>
        </w:tc>
        <w:tc>
          <w:tcPr>
            <w:tcW w:w="3825" w:type="dxa"/>
            <w:tcBorders>
              <w:top w:val="single" w:sz="4" w:space="0" w:color="auto"/>
              <w:left w:val="nil"/>
              <w:bottom w:val="single" w:sz="4" w:space="0" w:color="auto"/>
              <w:right w:val="nil"/>
            </w:tcBorders>
            <w:shd w:val="clear" w:color="auto" w:fill="auto"/>
          </w:tcPr>
          <w:p w14:paraId="7FAE59C9"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Placement appropriateness</w:t>
            </w:r>
          </w:p>
          <w:p w14:paraId="5EB777F7"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tc>
        <w:tc>
          <w:tcPr>
            <w:tcW w:w="5862" w:type="dxa"/>
            <w:tcBorders>
              <w:top w:val="single" w:sz="4" w:space="0" w:color="auto"/>
              <w:left w:val="nil"/>
              <w:bottom w:val="single" w:sz="4" w:space="0" w:color="auto"/>
              <w:right w:val="nil"/>
            </w:tcBorders>
            <w:shd w:val="clear" w:color="auto" w:fill="auto"/>
          </w:tcPr>
          <w:p w14:paraId="3F8239FD"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 of patients assessed as requiring a less secure placement </w:t>
            </w:r>
          </w:p>
          <w:p w14:paraId="01F77109"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SBS (clinician rated)</w:t>
            </w:r>
          </w:p>
          <w:p w14:paraId="0CB81CBF" w14:textId="77777777" w:rsidR="00841348" w:rsidRPr="00522CD2" w:rsidRDefault="00841348" w:rsidP="00272555">
            <w:pPr>
              <w:spacing w:line="276" w:lineRule="auto"/>
              <w:ind w:left="252"/>
              <w:rPr>
                <w:rFonts w:cs="Arial"/>
                <w:sz w:val="20"/>
                <w:szCs w:val="20"/>
              </w:rPr>
            </w:pPr>
          </w:p>
        </w:tc>
      </w:tr>
      <w:tr w:rsidR="00841348" w:rsidRPr="00522CD2" w14:paraId="7510B0F1" w14:textId="77777777" w:rsidTr="00272555">
        <w:trPr>
          <w:trHeight w:val="1411"/>
        </w:trPr>
        <w:tc>
          <w:tcPr>
            <w:tcW w:w="2399" w:type="dxa"/>
            <w:tcBorders>
              <w:top w:val="single" w:sz="4" w:space="0" w:color="auto"/>
              <w:left w:val="nil"/>
              <w:bottom w:val="single" w:sz="4" w:space="0" w:color="auto"/>
              <w:right w:val="nil"/>
            </w:tcBorders>
            <w:shd w:val="clear" w:color="auto" w:fill="auto"/>
          </w:tcPr>
          <w:p w14:paraId="68E46975" w14:textId="69D81C55"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Beer et al. (200</w:t>
            </w:r>
            <w:r w:rsidR="00D12489" w:rsidRPr="00522CD2">
              <w:rPr>
                <w:rFonts w:cs="Arial"/>
                <w:kern w:val="28"/>
                <w:sz w:val="20"/>
                <w:szCs w:val="20"/>
                <w:lang w:val="en-CA" w:eastAsia="en-GB"/>
              </w:rPr>
              <w:t>5</w:t>
            </w:r>
            <w:r w:rsidRPr="00522CD2">
              <w:rPr>
                <w:rFonts w:cs="Arial"/>
                <w:kern w:val="28"/>
                <w:sz w:val="20"/>
                <w:szCs w:val="20"/>
                <w:lang w:val="en-CA" w:eastAsia="en-GB"/>
              </w:rPr>
              <w:t xml:space="preserve">) </w:t>
            </w:r>
            <w:r w:rsidR="00D12489"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"10.1080/14789940500159475", "ISSN" : "1478-9949", "abstract" : "Abstract Previous research has shown that around one-third of inpatients in high secure units are in a level of security incommensurate with their actual need. In this article we show that in a cohort of 200 inpatients in low secure units in a region of England, one third were assumed to be in an inappropriate level of security; most of these were thought to require a lower level. The characteristics of this cohort are described. Logistic regression was used to find variables that could predict whether an inpatient required a lower level of security. Due to interactions between the two types of unit included in this study (mental health units and learning disabilities * units) two separate models were produced, showing different predictive variables for each type of unit. For those in mental health units, being female and not being a risk to others predicted a need for a lower level of security, and for those in learning disabilities units, being younger and being admitted on an informal basis were predic...", "author" : [ { "dropping-particle" : "", "family" : "Beer", "given" : "Dominic", "non-dropping-particle" : "", "parse-names" : false, "suffix" : "" }, { "dropping-particle" : "", "family" : "Spiller", "given" : "Mary Jane", "non-dropping-particle" : "", "parse-names" : false, "suffix" : "" }, { "dropping-particle" : "", "family" : "Pickard", "given" : "Max", "non-dropping-particle" : "", "parse-names" : false, "suffix" : "" }, { "dropping-particle" : "", "family" : "Gravestock", "given" : "Shaun", "non-dropping-particle" : "", "parse-names" : false, "suffix" : "" }, { "dropping-particle" : "", "family" : "Mcgovern", "given" : "Phyl", "non-dropping-particle" : "", "parse-names" : false, "suffix" : "" }, { "dropping-particle" : "", "family" : "Leese", "given" : "Morven", "non-dropping-particle" : "", "parse-names" : false, "suffix" : "" }, { "dropping-particle" : "", "family" : "Turk", "given" : "Vicky", "non-dropping-particle" : "", "parse-names" : false, "suffix" : "" }, { "dropping-particle" : "", "family" : "Brooks", "given" : "David", "non-dropping-particle" : "", "parse-names" : false, "suffix" : "" }, { "dropping-particle" : "", "family" : "Bouras", "given" : "Nick", "non-dropping-particle" : "", "parse-names" : false, "suffix" : "" } ], "container-title" : "Journal of Forensic Psychiatry &amp; Psychology", "id" : "ITEM-1", "issue" : "4", "issued" : { "date-parts" : [ [ "2005" ] ] }, "page" : "621-637", "publisher" : "Routledge", "title" : "Low secure units: Factors predicting delayed discharge", "type" : "article-journal", "volume" : "16" }, "uris" : [ "http://www.mendeley.com/documents/?uuid=2d047955-74b6-3de5-ac01-a997bf654a8e" ] } ], "mendeley" : { "formattedCitation" : "(56)", "plainTextFormattedCitation" : "(56)", "previouslyFormattedCitation" : "(56)" }, "properties" : { "noteIndex" : 0 }, "schema" : "https://github.com/citation-style-language/schema/raw/master/csl-citation.json" }</w:instrText>
            </w:r>
            <w:r w:rsidR="00D12489"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(56)</w:t>
            </w:r>
            <w:r w:rsidR="00D12489" w:rsidRPr="00522CD2">
              <w:rPr>
                <w:rFonts w:cs="Arial"/>
                <w:kern w:val="28"/>
                <w:sz w:val="20"/>
                <w:szCs w:val="20"/>
                <w:lang w:val="en-CA" w:eastAsia="en-GB"/>
              </w:rPr>
              <w:fldChar w:fldCharType="end"/>
            </w:r>
          </w:p>
          <w:p w14:paraId="1DAE98C4" w14:textId="77777777"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Low secure</w:t>
            </w:r>
          </w:p>
        </w:tc>
        <w:tc>
          <w:tcPr>
            <w:tcW w:w="2385" w:type="dxa"/>
            <w:tcBorders>
              <w:top w:val="single" w:sz="4" w:space="0" w:color="auto"/>
              <w:left w:val="nil"/>
              <w:bottom w:val="single" w:sz="4" w:space="0" w:color="auto"/>
              <w:right w:val="nil"/>
            </w:tcBorders>
            <w:shd w:val="clear" w:color="auto" w:fill="auto"/>
          </w:tcPr>
          <w:p w14:paraId="4E275E89" w14:textId="04DE446B" w:rsidR="00841348" w:rsidRPr="00522CD2" w:rsidRDefault="00841348" w:rsidP="00272555">
            <w:pPr>
              <w:spacing w:line="276" w:lineRule="auto"/>
              <w:rPr>
                <w:rFonts w:cs="Arial"/>
                <w:sz w:val="20"/>
                <w:szCs w:val="20"/>
              </w:rPr>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5762849C" w14:textId="77777777" w:rsidR="00841348" w:rsidRPr="00522CD2" w:rsidRDefault="00841348" w:rsidP="00272555">
            <w:pPr>
              <w:spacing w:line="276" w:lineRule="auto"/>
              <w:jc w:val="center"/>
              <w:rPr>
                <w:rFonts w:cs="Arial"/>
                <w:sz w:val="20"/>
                <w:szCs w:val="20"/>
              </w:rPr>
            </w:pPr>
            <w:r w:rsidRPr="00522CD2">
              <w:rPr>
                <w:rFonts w:cs="Arial"/>
                <w:sz w:val="20"/>
                <w:szCs w:val="20"/>
              </w:rPr>
              <w:t>68</w:t>
            </w:r>
          </w:p>
        </w:tc>
        <w:tc>
          <w:tcPr>
            <w:tcW w:w="3825" w:type="dxa"/>
            <w:tcBorders>
              <w:top w:val="single" w:sz="4" w:space="0" w:color="auto"/>
              <w:left w:val="nil"/>
              <w:bottom w:val="single" w:sz="4" w:space="0" w:color="auto"/>
              <w:right w:val="nil"/>
            </w:tcBorders>
            <w:shd w:val="clear" w:color="auto" w:fill="auto"/>
          </w:tcPr>
          <w:p w14:paraId="79864283"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Length of stay </w:t>
            </w:r>
          </w:p>
          <w:p w14:paraId="2EB2A6BC"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Placement appropriateness</w:t>
            </w:r>
          </w:p>
          <w:p w14:paraId="16B3399D" w14:textId="77777777" w:rsidR="00841348" w:rsidRPr="00522CD2" w:rsidRDefault="00841348" w:rsidP="00272555">
            <w:pPr>
              <w:spacing w:line="276" w:lineRule="auto"/>
              <w:rPr>
                <w:rFonts w:cs="Arial"/>
                <w:sz w:val="20"/>
                <w:szCs w:val="20"/>
              </w:rPr>
            </w:pPr>
          </w:p>
          <w:p w14:paraId="74B6022A" w14:textId="77777777" w:rsidR="00841348" w:rsidRPr="00522CD2" w:rsidRDefault="00841348" w:rsidP="00272555">
            <w:pPr>
              <w:spacing w:line="276" w:lineRule="auto"/>
              <w:rPr>
                <w:rFonts w:cs="Arial"/>
                <w:sz w:val="20"/>
                <w:szCs w:val="20"/>
              </w:rPr>
            </w:pPr>
          </w:p>
          <w:p w14:paraId="057E0610"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Clinical symptoms </w:t>
            </w:r>
          </w:p>
          <w:p w14:paraId="4EBB5094" w14:textId="77777777" w:rsidR="00841348" w:rsidRPr="00522CD2" w:rsidRDefault="00841348" w:rsidP="00272555">
            <w:pPr>
              <w:spacing w:line="276" w:lineRule="auto"/>
              <w:ind w:left="252"/>
              <w:rPr>
                <w:rFonts w:cs="Arial"/>
                <w:sz w:val="20"/>
                <w:szCs w:val="20"/>
              </w:rPr>
            </w:pPr>
          </w:p>
        </w:tc>
        <w:tc>
          <w:tcPr>
            <w:tcW w:w="5862" w:type="dxa"/>
            <w:tcBorders>
              <w:top w:val="single" w:sz="4" w:space="0" w:color="auto"/>
              <w:left w:val="nil"/>
              <w:bottom w:val="single" w:sz="4" w:space="0" w:color="auto"/>
              <w:right w:val="nil"/>
            </w:tcBorders>
            <w:shd w:val="clear" w:color="auto" w:fill="auto"/>
          </w:tcPr>
          <w:p w14:paraId="030F2386"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number of months</w:t>
            </w:r>
          </w:p>
          <w:p w14:paraId="76D2726A"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requiring less secure care. Main reason for delayed discharge via the Royal College of Psychiatrists Research &amp; Development questionnaire</w:t>
            </w:r>
          </w:p>
          <w:p w14:paraId="027C4932"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HoNOS-Secure (clinician rated)</w:t>
            </w:r>
          </w:p>
        </w:tc>
      </w:tr>
      <w:tr w:rsidR="00841348" w:rsidRPr="00522CD2" w14:paraId="63E9BA34"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1C610D15" w14:textId="40C3987C" w:rsidR="00841348" w:rsidRPr="00522CD2" w:rsidRDefault="00841348" w:rsidP="00272555">
            <w:pPr>
              <w:spacing w:line="276" w:lineRule="auto"/>
              <w:rPr>
                <w:rFonts w:cs="Arial"/>
                <w:sz w:val="20"/>
                <w:szCs w:val="20"/>
              </w:rPr>
            </w:pPr>
            <w:r w:rsidRPr="00522CD2">
              <w:rPr>
                <w:rFonts w:cs="Arial"/>
                <w:sz w:val="20"/>
                <w:szCs w:val="20"/>
              </w:rPr>
              <w:t>Chaplin et al. (2015)</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"http://dx.doi.org/10.1108/AMHID-01-2015-0002", "ISSN" : "2044-1282, 2044-1282", "abstract" : "Purpose: The use of violence risk assessment measures within intellectual disabilities (ID) services is now the norm and a growing target for research. The purpose of this paper is to examine the clinical utility of the historical and clinical factors of the HCR-20 in predicting violence. Design/methodology/approach: The study took place within a national low secure service for adults with ID examining all completed admissions over a six-year period, (N = 22). Clinical records covering the first three months of admission were examined along with historical reports and incident data recorded at three, six, nine and 12 months admission using the Modified Overt Aggression Scale (MOAS). Findings: Significant positive relationship between Historical score and total number of incidents was established. Patients with challenging behaviour less likely to have a previous history of violence, and more likely to be older at first violent incident than patients without challenging behaviour. Incidents involving patients with autism were less severe and those with no additional psychiatric diagnosis were significantly more likely to have substance misuse problems than those with a diagnosis. Originality/value: The study found the Historical section was predictive of violent incidents and whilst the study is too small to draw any firm conclusions, the significant positive relationship between the Historical Score and number of incidents for those without additional diagnosis needs to be investigated further as well as the potential positive clinical impact of using the HCR-20 in routine clinical practice. (PsycINFO Database Record (c) 2015 APA, all rights reserved) (journal abstract).", "author" : [ { "dropping-particle" : "", "family" : "Chaplin", "given" : "Eddie", "non-dropping-particle" : "", "parse-names" : false, "suffix" : "" }, { "dropping-particle" : "", "family" : "Eyeoyibo", "given" : "Mo", "non-dropping-particle" : "", "parse-names" : false, "suffix" : "" }, { "dropping-particle" : "", "family" : "Wright", "given" : "Steve", "non-dropping-particle" : "", "parse-names" : false, "suffix" : "" }, { "dropping-particle" : "", "family" : "Xenitidis", "given" : "Kiriakos", "non-dropping-particle" : "", "parse-names" : false, "suffix" : "" }, { "dropping-particle" : "", "family" : "McCarthy", "given" : "Jane", "non-dropping-particle" : "", "parse-names" : false, "suffix" : "" } ], "container-title" : "Advances in Mental Health and Intellectual Disabilities", "id" : "ITEM-1", "issue" : "2", "issued" : { "date-parts" : [ [ "2015" ] ] }, "page" : "62-69", "publisher" : "Emerald Group Publishing Limited", "title" : "Historical and clinical items of the HCR-20 as predictors of risk within an intellectual disability population", "type" : "article-journal", "volume" : "9" }, "uris" : [ "http://www.mendeley.com/documents/?uuid=b9044e8a-a75e-3889-9a4a-b79f323a7a1b" ] } ], "mendeley" : { "formattedCitation" : "(57)", "plainTextFormattedCitation" : "(57)", "previouslyFormattedCitation" : "(57)"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(57)</w:t>
            </w:r>
            <w:r w:rsidR="00FC3FE5" w:rsidRPr="00522CD2">
              <w:rPr>
                <w:rFonts w:cs="Arial"/>
                <w:sz w:val="20"/>
                <w:szCs w:val="20"/>
              </w:rPr>
              <w:fldChar w:fldCharType="end"/>
            </w:r>
          </w:p>
          <w:p w14:paraId="523FAF07" w14:textId="77777777" w:rsidR="00841348" w:rsidRPr="00522CD2" w:rsidRDefault="00841348" w:rsidP="00272555">
            <w:pPr>
              <w:spacing w:line="276" w:lineRule="auto"/>
              <w:rPr>
                <w:rFonts w:cs="Arial"/>
                <w:sz w:val="20"/>
                <w:szCs w:val="20"/>
              </w:rPr>
            </w:pPr>
            <w:r w:rsidRPr="00522CD2">
              <w:rPr>
                <w:rFonts w:cs="Arial"/>
                <w:sz w:val="20"/>
                <w:szCs w:val="20"/>
              </w:rPr>
              <w:t>Low secure</w:t>
            </w:r>
          </w:p>
        </w:tc>
        <w:tc>
          <w:tcPr>
            <w:tcW w:w="2385" w:type="dxa"/>
            <w:tcBorders>
              <w:top w:val="single" w:sz="4" w:space="0" w:color="auto"/>
              <w:left w:val="nil"/>
              <w:bottom w:val="single" w:sz="4" w:space="0" w:color="auto"/>
              <w:right w:val="nil"/>
            </w:tcBorders>
            <w:shd w:val="clear" w:color="auto" w:fill="auto"/>
          </w:tcPr>
          <w:p w14:paraId="702A758F" w14:textId="5DF35FCA" w:rsidR="00841348" w:rsidRPr="00522CD2" w:rsidRDefault="00841348" w:rsidP="00272555">
            <w:pPr>
              <w:spacing w:line="276" w:lineRule="auto"/>
              <w:rPr>
                <w:rFonts w:cs="Arial"/>
                <w:sz w:val="20"/>
                <w:szCs w:val="20"/>
              </w:rPr>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27ECDCDF" w14:textId="77777777" w:rsidR="00841348" w:rsidRPr="00522CD2" w:rsidRDefault="00841348" w:rsidP="00272555">
            <w:pPr>
              <w:spacing w:line="276" w:lineRule="auto"/>
              <w:ind w:left="252"/>
              <w:rPr>
                <w:rFonts w:cs="Arial"/>
                <w:sz w:val="20"/>
                <w:szCs w:val="20"/>
              </w:rPr>
            </w:pPr>
            <w:r w:rsidRPr="00522CD2">
              <w:rPr>
                <w:rFonts w:cs="Arial"/>
                <w:sz w:val="20"/>
                <w:szCs w:val="20"/>
              </w:rPr>
              <w:t>22</w:t>
            </w:r>
          </w:p>
        </w:tc>
        <w:tc>
          <w:tcPr>
            <w:tcW w:w="3825" w:type="dxa"/>
            <w:tcBorders>
              <w:top w:val="single" w:sz="4" w:space="0" w:color="auto"/>
              <w:left w:val="nil"/>
              <w:bottom w:val="single" w:sz="4" w:space="0" w:color="auto"/>
              <w:right w:val="nil"/>
            </w:tcBorders>
            <w:shd w:val="clear" w:color="auto" w:fill="auto"/>
          </w:tcPr>
          <w:p w14:paraId="44E21C78"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p w14:paraId="316B100C"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Incidents</w:t>
            </w:r>
          </w:p>
          <w:p w14:paraId="6482DA1E" w14:textId="77777777" w:rsidR="00293045" w:rsidRPr="00522CD2" w:rsidRDefault="00293045" w:rsidP="002930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52"/>
              <w:rPr>
                <w:rFonts w:cs="Arial"/>
                <w:sz w:val="20"/>
                <w:szCs w:val="20"/>
              </w:rPr>
            </w:pPr>
          </w:p>
          <w:p w14:paraId="735357C6"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tc>
        <w:tc>
          <w:tcPr>
            <w:tcW w:w="5862" w:type="dxa"/>
            <w:tcBorders>
              <w:top w:val="single" w:sz="4" w:space="0" w:color="auto"/>
              <w:left w:val="nil"/>
              <w:bottom w:val="single" w:sz="4" w:space="0" w:color="auto"/>
              <w:right w:val="nil"/>
            </w:tcBorders>
            <w:shd w:val="clear" w:color="auto" w:fill="auto"/>
          </w:tcPr>
          <w:p w14:paraId="5F5B48B4"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HCR-20 median scores</w:t>
            </w:r>
          </w:p>
          <w:p w14:paraId="4C01124F"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Average per patient at 3 monthly intervals. Coded for severity using the MOAS. Median number of incidents</w:t>
            </w:r>
          </w:p>
          <w:p w14:paraId="60283045"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Median number of days</w:t>
            </w:r>
          </w:p>
          <w:p w14:paraId="00D0C387" w14:textId="77777777" w:rsidR="00841348" w:rsidRPr="00522CD2" w:rsidRDefault="00841348" w:rsidP="00272555">
            <w:pPr>
              <w:spacing w:line="276" w:lineRule="auto"/>
              <w:ind w:left="252"/>
              <w:rPr>
                <w:rFonts w:cs="Arial"/>
                <w:sz w:val="20"/>
                <w:szCs w:val="20"/>
              </w:rPr>
            </w:pPr>
          </w:p>
        </w:tc>
      </w:tr>
      <w:tr w:rsidR="00841348" w:rsidRPr="00522CD2" w14:paraId="37BA7C11"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18994485" w14:textId="086E4E6D" w:rsidR="00841348" w:rsidRPr="00522CD2" w:rsidRDefault="00841348" w:rsidP="00272555">
            <w:pPr>
              <w:spacing w:line="276" w:lineRule="auto"/>
              <w:rPr>
                <w:rFonts w:cs="Arial"/>
                <w:sz w:val="20"/>
                <w:szCs w:val="20"/>
              </w:rPr>
            </w:pPr>
            <w:r w:rsidRPr="00522CD2">
              <w:rPr>
                <w:rFonts w:cs="Arial"/>
                <w:sz w:val="20"/>
                <w:szCs w:val="20"/>
              </w:rPr>
              <w:t>Chilvers &amp; Thomas (2011)</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"http://dx.doi.org/10.1108/20420921111152469", "ISSN" : "20420927", "abstract" : "Purpose - High levels of anger have been associated with forensic learning disabled populations. The role of gender within the experience of anger is not clear. This study aims to start exploring the question \"Do female forensic patients with learning disabilities have different needs in relation to anger?\" Design/methodology/approach - This study used a between-subjects design with one independent variable: gender. The Novaco Anger Scale and Provocation Inventory was applied. Scores obtained by 12 females were compared with those of 23 males within a forensic psychiatric service for learning disabled patients. Findings - Significant differences were found between scores, suggesting female forensic patients with learning disabilities experience higher levels of anger than do males, particularly in the arousal domain, and demonstrate difficulties in regulating anger. Research limitations/implications - The use of a single measure of anger and the small, forensic nature of the sample limits this study. It is recommended that further research address these issues and extend the exploration of this issue to non-forensic populations. Practical implications - Gender specific differences, and the potential influence of learning disabilities should be considered when assessing and treating anger difficulties. Female forensic patients with learning disabilities may benefit from a greater emphasis on anger arousal reduction work. Social implications - This study highlights how the impact of gender and learning disabilities on the experience of anger is currently insufficiently understood. Originality/value - This study forms a preliminary study of anger in the under-researched population of females with learning disabilities.", "author" : [ { "dropping-particle" : "", "family" : "Chilvers", "given" : "Jane", "non-dropping-particle" : "", "parse-names" : false, "suffix" : "" }, { "dropping-particle" : "", "family" : "Thomas", "given" : "Cathy", "non-dropping-particle" : "", "parse-names" : false, "suffix" : "" } ], "container-title" : "Journal of Learning Disabilities and Offending Behaviour", "id" : "ITEM-1", "issue" : "2", "issued" : { "date-parts" : [ [ "2011" ] ] }, "page" : "84-97", "publisher" : "Emerald Group Publishing Limited", "title" : "Do male and female forensic patients with learning disabilities differ on subscales of the Novaco Anger Scale and Provocation Inventory (NAS-PI)?", "type" : "article-journal", "volume" : "2" }, "uris" : [ "http://www.mendeley.com/documents/?uuid=6c7dba2a-39e1-3250-82cf-b4c7782d3e17" ] } ], "mendeley" : { "formattedCitation" : "(58)", "plainTextFormattedCitation" : "(58)", "previouslyFormattedCitation" : "(58)"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(58)</w:t>
            </w:r>
            <w:r w:rsidR="00FC3FE5" w:rsidRPr="00522CD2">
              <w:rPr>
                <w:rFonts w:cs="Arial"/>
                <w:sz w:val="20"/>
                <w:szCs w:val="20"/>
              </w:rPr>
              <w:fldChar w:fldCharType="end"/>
            </w:r>
          </w:p>
          <w:p w14:paraId="4AE66946" w14:textId="77777777" w:rsidR="00841348" w:rsidRPr="00522CD2" w:rsidRDefault="00841348" w:rsidP="00272555">
            <w:pPr>
              <w:spacing w:line="276" w:lineRule="auto"/>
              <w:rPr>
                <w:rFonts w:cs="Arial"/>
                <w:sz w:val="20"/>
                <w:szCs w:val="20"/>
              </w:rPr>
            </w:pPr>
            <w:r w:rsidRPr="00522CD2">
              <w:rPr>
                <w:rFonts w:cs="Arial"/>
                <w:sz w:val="20"/>
                <w:szCs w:val="20"/>
              </w:rPr>
              <w:t>Medium secure</w:t>
            </w:r>
          </w:p>
          <w:p w14:paraId="04617CCC" w14:textId="77777777" w:rsidR="00841348" w:rsidRPr="00522CD2" w:rsidRDefault="00841348" w:rsidP="00272555">
            <w:pPr>
              <w:spacing w:line="276" w:lineRule="auto"/>
              <w:rPr>
                <w:rFonts w:cs="Arial"/>
                <w:sz w:val="20"/>
                <w:szCs w:val="20"/>
              </w:rPr>
            </w:pPr>
          </w:p>
        </w:tc>
        <w:tc>
          <w:tcPr>
            <w:tcW w:w="2385" w:type="dxa"/>
            <w:tcBorders>
              <w:top w:val="single" w:sz="4" w:space="0" w:color="auto"/>
              <w:left w:val="nil"/>
              <w:bottom w:val="single" w:sz="4" w:space="0" w:color="auto"/>
              <w:right w:val="nil"/>
            </w:tcBorders>
            <w:shd w:val="clear" w:color="auto" w:fill="auto"/>
          </w:tcPr>
          <w:p w14:paraId="4A84DBD6" w14:textId="77777777" w:rsidR="00293045" w:rsidRPr="00522CD2" w:rsidRDefault="00841348" w:rsidP="00272555">
            <w:pPr>
              <w:spacing w:line="276" w:lineRule="auto"/>
              <w:rPr>
                <w:rFonts w:cs="Arial"/>
                <w:sz w:val="20"/>
                <w:szCs w:val="20"/>
              </w:rPr>
            </w:pPr>
            <w:r w:rsidRPr="00522CD2">
              <w:rPr>
                <w:rFonts w:cs="Arial"/>
                <w:sz w:val="20"/>
                <w:szCs w:val="20"/>
              </w:rPr>
              <w:t>Cross-sectional</w:t>
            </w:r>
          </w:p>
          <w:p w14:paraId="2AFD53D6" w14:textId="24F8F969" w:rsidR="00841348" w:rsidRPr="00522CD2" w:rsidRDefault="00293045" w:rsidP="00272555">
            <w:pPr>
              <w:spacing w:line="276" w:lineRule="auto"/>
            </w:pPr>
            <w:r w:rsidRPr="00522CD2">
              <w:rPr>
                <w:rFonts w:cs="Arial"/>
                <w:sz w:val="20"/>
                <w:szCs w:val="20"/>
              </w:rPr>
              <w:t>(M vs F)</w:t>
            </w:r>
            <w:r w:rsidR="00841348" w:rsidRPr="00522CD2">
              <w:rPr>
                <w:rFonts w:cs="Arial"/>
                <w:sz w:val="20"/>
                <w:szCs w:val="20"/>
              </w:rPr>
              <w:t xml:space="preserve"> </w:t>
            </w:r>
          </w:p>
        </w:tc>
        <w:tc>
          <w:tcPr>
            <w:tcW w:w="1019" w:type="dxa"/>
            <w:tcBorders>
              <w:top w:val="single" w:sz="4" w:space="0" w:color="auto"/>
              <w:left w:val="nil"/>
              <w:bottom w:val="single" w:sz="4" w:space="0" w:color="auto"/>
              <w:right w:val="nil"/>
            </w:tcBorders>
            <w:shd w:val="clear" w:color="auto" w:fill="auto"/>
          </w:tcPr>
          <w:p w14:paraId="5385F549" w14:textId="77777777" w:rsidR="00841348" w:rsidRPr="00522CD2" w:rsidRDefault="00841348" w:rsidP="00272555">
            <w:pPr>
              <w:spacing w:line="276" w:lineRule="auto"/>
              <w:ind w:left="252"/>
              <w:rPr>
                <w:rFonts w:cs="Arial"/>
                <w:sz w:val="20"/>
                <w:szCs w:val="20"/>
              </w:rPr>
            </w:pPr>
            <w:r w:rsidRPr="00522CD2">
              <w:rPr>
                <w:rFonts w:cs="Arial"/>
                <w:sz w:val="20"/>
                <w:szCs w:val="20"/>
              </w:rPr>
              <w:t>77</w:t>
            </w:r>
          </w:p>
        </w:tc>
        <w:tc>
          <w:tcPr>
            <w:tcW w:w="3825" w:type="dxa"/>
            <w:tcBorders>
              <w:top w:val="single" w:sz="4" w:space="0" w:color="auto"/>
              <w:left w:val="nil"/>
              <w:bottom w:val="single" w:sz="4" w:space="0" w:color="auto"/>
              <w:right w:val="nil"/>
            </w:tcBorders>
            <w:shd w:val="clear" w:color="auto" w:fill="auto"/>
          </w:tcPr>
          <w:p w14:paraId="551FC25E"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p w14:paraId="3E70699D" w14:textId="77777777" w:rsidR="00841348" w:rsidRPr="00522CD2" w:rsidRDefault="00841348" w:rsidP="00272555">
            <w:pPr>
              <w:spacing w:line="276" w:lineRule="auto"/>
              <w:rPr>
                <w:rFonts w:cs="Arial"/>
                <w:sz w:val="20"/>
                <w:szCs w:val="20"/>
              </w:rPr>
            </w:pPr>
          </w:p>
        </w:tc>
        <w:tc>
          <w:tcPr>
            <w:tcW w:w="5862" w:type="dxa"/>
            <w:tcBorders>
              <w:top w:val="single" w:sz="4" w:space="0" w:color="auto"/>
              <w:left w:val="nil"/>
              <w:bottom w:val="single" w:sz="4" w:space="0" w:color="auto"/>
              <w:right w:val="nil"/>
            </w:tcBorders>
            <w:shd w:val="clear" w:color="auto" w:fill="auto"/>
          </w:tcPr>
          <w:p w14:paraId="7990813A" w14:textId="360DCD2C" w:rsidR="00841348" w:rsidRPr="00522CD2" w:rsidRDefault="00293045"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NAS-PI scores</w:t>
            </w:r>
            <w:r w:rsidR="00841348" w:rsidRPr="00522CD2">
              <w:rPr>
                <w:rFonts w:cs="Arial"/>
                <w:sz w:val="20"/>
                <w:szCs w:val="20"/>
              </w:rPr>
              <w:t xml:space="preserve"> (patient rated)</w:t>
            </w:r>
          </w:p>
        </w:tc>
      </w:tr>
      <w:tr w:rsidR="00841348" w:rsidRPr="00522CD2" w14:paraId="068E4556" w14:textId="77777777" w:rsidTr="00272555">
        <w:trPr>
          <w:trHeight w:val="694"/>
        </w:trPr>
        <w:tc>
          <w:tcPr>
            <w:tcW w:w="2399" w:type="dxa"/>
            <w:tcBorders>
              <w:top w:val="single" w:sz="4" w:space="0" w:color="auto"/>
              <w:left w:val="nil"/>
              <w:bottom w:val="single" w:sz="4" w:space="0" w:color="auto"/>
              <w:right w:val="nil"/>
            </w:tcBorders>
            <w:shd w:val="clear" w:color="auto" w:fill="auto"/>
          </w:tcPr>
          <w:p w14:paraId="08366488" w14:textId="2BB1B1E3"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Crossland et al. (2005)</w:t>
            </w:r>
            <w:r w:rsidR="00FC3FE5" w:rsidRPr="00522CD2">
              <w:rPr>
                <w:rFonts w:cs="Arial"/>
                <w:kern w:val="28"/>
                <w:sz w:val="20"/>
                <w:szCs w:val="20"/>
                <w:lang w:val="en-CA" w:eastAsia="en-GB"/>
              </w:rPr>
              <w:t xml:space="preserve"> </w:t>
            </w:r>
            <w:r w:rsidR="00FC3FE5"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"ISSN" : "0025-8024", "PMID" : "15895641", "abstract" : "This paper gives the results of a needs assessment of a group of learning-disabled forensic patients from two Strategic Health Authority areas in the north of England. The patients were found to be a heterogeneous group with wide-ranging psychiatric needs. The majority were cared for outside their geographical area of origin, either in specialist NHS facilities or the independent sector. Those with an additional diagnosis of mental illness were most likely to be detained in NHS facilities within the region: a diagnosis of personality disorder was associated with placement in either a high secure setting or the independent sector. Individuals with a clinical diagnosis of mental retardation were most likely to be detained in services provided by specialist learning disability/mental health trusts out of area. There was a small group of females who were all placed outside the region. Offending behaviour was most likely to consist of violence against the person, sexual offences and arson. The majority assessed were felt to have long term needs. The study raised important implications for future provision of forensic services in the area, particularly the need to offer services with treatment programmes tailored to the needs of the population under review.", "author" : [ { "dropping-particle" : "", "family" : "Crossland", "given" : "Sue", "non-dropping-particle" : "", "parse-names" : false, "suffix" : "" }, { "dropping-particle" : "", "family" : "Burns", "given" : "Mick", "non-dropping-particle" : "", "parse-names" : false, "suffix" : "" }, { "dropping-particle" : "", "family" : "Leach", "given" : "Chris", "non-dropping-particle" : "", "parse-names" : false, "suffix" : "" }, { "dropping-particle" : "", "family" : "Quinn", "given" : "Patrick", "non-dropping-particle" : "", "parse-names" : false, "suffix" : "" } ], "container-title" : "Medicine, science, and the law", "id" : "ITEM-1", "issue" : "2", "issued" : { "date-parts" : [ [ "2005", "4" ] ] }, "page" : "147-53", "title" : "Needs assessment in forensic learning disability.", "type" : "article-journal", "volume" : "45" }, "uris" : [ "http://www.mendeley.com/documents/?uuid=eb0b0927-7614-3ec2-ae51-b6656b15bdcb" ] } ], "mendeley" : { "formattedCitation" : "(59)", "plainTextFormattedCitation" : "(59)", "previouslyFormattedCitation" : "(59)" }, "properties" : { "noteIndex" : 0 }, "schema" : "https://github.com/citation-style-language/schema/raw/master/csl-citation.json" }</w:instrText>
            </w:r>
            <w:r w:rsidR="00FC3FE5"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(59)</w:t>
            </w:r>
            <w:r w:rsidR="00FC3FE5" w:rsidRPr="00522CD2">
              <w:rPr>
                <w:rFonts w:cs="Arial"/>
                <w:kern w:val="28"/>
                <w:sz w:val="20"/>
                <w:szCs w:val="20"/>
                <w:lang w:val="en-CA" w:eastAsia="en-GB"/>
              </w:rPr>
              <w:fldChar w:fldCharType="end"/>
            </w:r>
          </w:p>
          <w:p w14:paraId="163A91B3" w14:textId="32AE6B25"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High, medium and low secure</w:t>
            </w:r>
          </w:p>
        </w:tc>
        <w:tc>
          <w:tcPr>
            <w:tcW w:w="2385" w:type="dxa"/>
            <w:tcBorders>
              <w:top w:val="single" w:sz="4" w:space="0" w:color="auto"/>
              <w:left w:val="nil"/>
              <w:bottom w:val="single" w:sz="4" w:space="0" w:color="auto"/>
              <w:right w:val="nil"/>
            </w:tcBorders>
            <w:shd w:val="clear" w:color="auto" w:fill="auto"/>
          </w:tcPr>
          <w:p w14:paraId="5FF4312E" w14:textId="7C2A08AC" w:rsidR="00841348" w:rsidRPr="00522CD2" w:rsidRDefault="00841348" w:rsidP="00272555">
            <w:pPr>
              <w:spacing w:line="276" w:lineRule="auto"/>
              <w:rPr>
                <w:rFonts w:cs="Arial"/>
                <w:sz w:val="20"/>
                <w:szCs w:val="20"/>
                <w:highlight w:val="green"/>
              </w:rPr>
            </w:pPr>
            <w:r w:rsidRPr="00522CD2">
              <w:rPr>
                <w:rFonts w:cs="Arial"/>
                <w:sz w:val="20"/>
                <w:szCs w:val="20"/>
              </w:rPr>
              <w:t>Cross</w:t>
            </w:r>
            <w:r w:rsidR="00293045" w:rsidRPr="00522CD2">
              <w:rPr>
                <w:rFonts w:cs="Arial"/>
                <w:sz w:val="20"/>
                <w:szCs w:val="20"/>
              </w:rPr>
              <w:t>-</w:t>
            </w:r>
            <w:r w:rsidRPr="00522CD2">
              <w:rPr>
                <w:rFonts w:cs="Arial"/>
                <w:sz w:val="20"/>
                <w:szCs w:val="20"/>
              </w:rPr>
              <w:t xml:space="preserve">sectional </w:t>
            </w:r>
          </w:p>
        </w:tc>
        <w:tc>
          <w:tcPr>
            <w:tcW w:w="1019" w:type="dxa"/>
            <w:tcBorders>
              <w:top w:val="single" w:sz="4" w:space="0" w:color="auto"/>
              <w:left w:val="nil"/>
              <w:bottom w:val="single" w:sz="4" w:space="0" w:color="auto"/>
              <w:right w:val="nil"/>
            </w:tcBorders>
            <w:shd w:val="clear" w:color="auto" w:fill="auto"/>
          </w:tcPr>
          <w:p w14:paraId="360F918C" w14:textId="77777777" w:rsidR="00841348" w:rsidRPr="00522CD2" w:rsidRDefault="00841348" w:rsidP="00272555">
            <w:pPr>
              <w:spacing w:line="276" w:lineRule="auto"/>
              <w:jc w:val="center"/>
              <w:rPr>
                <w:rFonts w:cs="Arial"/>
                <w:sz w:val="20"/>
                <w:szCs w:val="20"/>
              </w:rPr>
            </w:pPr>
            <w:r w:rsidRPr="00522CD2">
              <w:rPr>
                <w:rFonts w:cs="Arial"/>
                <w:sz w:val="20"/>
                <w:szCs w:val="20"/>
              </w:rPr>
              <w:t>60</w:t>
            </w:r>
          </w:p>
        </w:tc>
        <w:tc>
          <w:tcPr>
            <w:tcW w:w="3825" w:type="dxa"/>
            <w:tcBorders>
              <w:top w:val="single" w:sz="4" w:space="0" w:color="auto"/>
              <w:left w:val="nil"/>
              <w:bottom w:val="single" w:sz="4" w:space="0" w:color="auto"/>
              <w:right w:val="nil"/>
            </w:tcBorders>
            <w:shd w:val="clear" w:color="auto" w:fill="auto"/>
          </w:tcPr>
          <w:p w14:paraId="0E4F678D"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tc>
        <w:tc>
          <w:tcPr>
            <w:tcW w:w="5862" w:type="dxa"/>
            <w:tcBorders>
              <w:top w:val="single" w:sz="4" w:space="0" w:color="auto"/>
              <w:left w:val="nil"/>
              <w:bottom w:val="single" w:sz="4" w:space="0" w:color="auto"/>
              <w:right w:val="nil"/>
            </w:tcBorders>
            <w:shd w:val="clear" w:color="auto" w:fill="auto"/>
          </w:tcPr>
          <w:p w14:paraId="17444ED6" w14:textId="05E863A0"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Median </w:t>
            </w:r>
            <w:r w:rsidR="00293045" w:rsidRPr="00522CD2">
              <w:rPr>
                <w:rFonts w:cs="Arial"/>
                <w:sz w:val="20"/>
                <w:szCs w:val="20"/>
              </w:rPr>
              <w:t>number of months</w:t>
            </w:r>
          </w:p>
          <w:p w14:paraId="32912D94" w14:textId="77777777" w:rsidR="00841348" w:rsidRPr="00522CD2" w:rsidRDefault="00841348" w:rsidP="00272555">
            <w:pPr>
              <w:spacing w:line="276" w:lineRule="auto"/>
              <w:ind w:left="252"/>
              <w:rPr>
                <w:rFonts w:cs="Arial"/>
                <w:sz w:val="20"/>
                <w:szCs w:val="20"/>
              </w:rPr>
            </w:pPr>
          </w:p>
        </w:tc>
      </w:tr>
      <w:tr w:rsidR="00841348" w:rsidRPr="00522CD2" w14:paraId="7FEBFB44"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1B069B0F" w14:textId="62C7B654" w:rsidR="00841348" w:rsidRPr="00522CD2" w:rsidRDefault="00841348" w:rsidP="00272555">
            <w:pPr>
              <w:spacing w:line="276" w:lineRule="auto"/>
              <w:rPr>
                <w:rFonts w:cs="Arial"/>
                <w:sz w:val="20"/>
                <w:szCs w:val="20"/>
              </w:rPr>
            </w:pPr>
            <w:r w:rsidRPr="00522CD2">
              <w:rPr>
                <w:rFonts w:cs="Arial"/>
                <w:sz w:val="20"/>
                <w:szCs w:val="20"/>
              </w:rPr>
              <w:t xml:space="preserve">Dickens  et al. (2013)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"10.1108/JFP-09-2012-0017", "ISSN" : "2050-8794", "abstract" : "Purpose: The purpose of this paper is to describe how aggressive and violent incidents differ across specialist gender, security and mental health/learning disability pathways in specialist secure care. Design/methodology/approach: The paper uses a retrospective survey of routinely collected incident data from one 207-bed UK independent sector provider of specialist medium and low secure mental health care for male and female adults with primary diagnosis of mental illness or intellectual disability. Findings: In total, 3,133 incidents involving 184/373 (49.3 per cent) patients were recorded (68.2 per cent other-directed aggression, 31.8 per cent self-harm). Most incidents occurred in the medium secure wards but more than half of the most severely rated self-harm incidents occurred in low security. Men were disproportionately involved in incidents, but a small number of women were persistently involved in multiple acts. Incidents were most common in the intellectual disability pathway. Research limitations/implications: Incidents, especially those of lower severity, can be under-reported in routine practice. Information about incident severity was limited. Practical implications: Aggressive incidents do not occur homogenously across forensic and secure mental health services but differ substantially in their frequency and nature across security levels, and gender and mental health/intellectual disability pathways. Different approaches to training and management are required to ensure appropriate prevention and intervention. Future practice should draw on emerging theories of differential susceptibility. Originality/value: This paper extends current knowledge about how incidents of violence and aggression differ across secure settings. \u00a9 Emerald Group Publishing Limited.", "author" : [ { "dropping-particle" : "", "family" : "Dickens", "given" : "Geoff", "non-dropping-particle" : "", "parse-names" : false, "suffix" : "" }, { "dropping-particle" : "", "family" : "Picchioni", "given" : "Marco", "non-dropping-particle" : "", "parse-names" : false, "suffix" : "" }, { "dropping-particle" : "", "family" : "Long", "given" : "Clive", "non-dropping-particle" : "", "parse-names" : false, "suffix" : "" } ], "container-title" : "The Journal of Forensic Practice", "id" : "ITEM-1", "issue" : "3", "issued" : { "date-parts" : [ [ "2013" ] ] }, "page" : "206-217", "publisher" : "Emerald Group Publishing Limited", "title" : "Aggression in specialist secure and forensic inpatient mental health care: incidence across care pathways", "type" : "article-journal", "volume" : "15" }, "uris" : [ "http://www.mendeley.com/documents/?uuid=b0dc8ef2-a05b-3d19-8212-36a8c55da318" ] } ], "mendeley" : { "formattedCitation" : "(60)", "plainTextFormattedCitation" : "(60)", "previouslyFormattedCitation" : "(60)"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(60)</w:t>
            </w:r>
            <w:r w:rsidR="00FC3FE5" w:rsidRPr="00522CD2">
              <w:rPr>
                <w:rFonts w:cs="Arial"/>
                <w:sz w:val="20"/>
                <w:szCs w:val="20"/>
              </w:rPr>
              <w:fldChar w:fldCharType="end"/>
            </w:r>
          </w:p>
          <w:p w14:paraId="6777455F" w14:textId="77777777" w:rsidR="00841348" w:rsidRPr="00522CD2" w:rsidRDefault="00841348" w:rsidP="00272555">
            <w:pPr>
              <w:spacing w:line="276" w:lineRule="auto"/>
              <w:rPr>
                <w:rFonts w:cs="Arial"/>
                <w:sz w:val="20"/>
                <w:szCs w:val="20"/>
              </w:rPr>
            </w:pPr>
            <w:r w:rsidRPr="00522CD2">
              <w:rPr>
                <w:rFonts w:cs="Arial"/>
                <w:sz w:val="20"/>
                <w:szCs w:val="20"/>
              </w:rPr>
              <w:t>Medium and low secure</w:t>
            </w:r>
          </w:p>
        </w:tc>
        <w:tc>
          <w:tcPr>
            <w:tcW w:w="2385" w:type="dxa"/>
            <w:tcBorders>
              <w:top w:val="single" w:sz="4" w:space="0" w:color="auto"/>
              <w:left w:val="nil"/>
              <w:bottom w:val="single" w:sz="4" w:space="0" w:color="auto"/>
              <w:right w:val="nil"/>
            </w:tcBorders>
            <w:shd w:val="clear" w:color="auto" w:fill="auto"/>
          </w:tcPr>
          <w:p w14:paraId="65AD2CD2" w14:textId="0DE99009" w:rsidR="00841348" w:rsidRPr="00522CD2" w:rsidRDefault="00841348" w:rsidP="00272555">
            <w:pPr>
              <w:spacing w:line="276" w:lineRule="auto"/>
              <w:rPr>
                <w:rFonts w:cs="Arial"/>
                <w:sz w:val="20"/>
                <w:szCs w:val="20"/>
              </w:rPr>
            </w:pPr>
            <w:r w:rsidRPr="00522CD2">
              <w:rPr>
                <w:rFonts w:cs="Arial"/>
                <w:sz w:val="20"/>
                <w:szCs w:val="20"/>
              </w:rPr>
              <w:t xml:space="preserve">Cross-sectional </w:t>
            </w:r>
          </w:p>
          <w:p w14:paraId="3F9D4FED" w14:textId="77777777" w:rsidR="00841348" w:rsidRPr="00522CD2" w:rsidRDefault="00841348" w:rsidP="00272555">
            <w:pPr>
              <w:spacing w:line="276" w:lineRule="auto"/>
              <w:rPr>
                <w:rFonts w:cs="Arial"/>
                <w:sz w:val="20"/>
                <w:szCs w:val="20"/>
              </w:rPr>
            </w:pPr>
            <w:r w:rsidRPr="00522CD2">
              <w:rPr>
                <w:rFonts w:cs="Arial"/>
                <w:sz w:val="20"/>
                <w:szCs w:val="20"/>
              </w:rPr>
              <w:t>16 month period</w:t>
            </w:r>
          </w:p>
          <w:p w14:paraId="1110168F" w14:textId="77777777" w:rsidR="00841348" w:rsidRPr="00522CD2" w:rsidRDefault="00841348" w:rsidP="00272555">
            <w:pPr>
              <w:spacing w:line="276" w:lineRule="auto"/>
              <w:ind w:left="12"/>
              <w:rPr>
                <w:rFonts w:cs="Arial"/>
                <w:sz w:val="20"/>
                <w:szCs w:val="20"/>
                <w:lang w:eastAsia="en-GB"/>
              </w:rPr>
            </w:pPr>
          </w:p>
        </w:tc>
        <w:tc>
          <w:tcPr>
            <w:tcW w:w="1019" w:type="dxa"/>
            <w:tcBorders>
              <w:top w:val="single" w:sz="4" w:space="0" w:color="auto"/>
              <w:left w:val="nil"/>
              <w:bottom w:val="single" w:sz="4" w:space="0" w:color="auto"/>
              <w:right w:val="nil"/>
            </w:tcBorders>
            <w:shd w:val="clear" w:color="auto" w:fill="auto"/>
          </w:tcPr>
          <w:p w14:paraId="313E2F29" w14:textId="77777777" w:rsidR="00841348" w:rsidRPr="00522CD2" w:rsidRDefault="00841348" w:rsidP="00272555">
            <w:pPr>
              <w:spacing w:line="276" w:lineRule="auto"/>
              <w:ind w:left="252"/>
              <w:rPr>
                <w:rFonts w:cs="Arial"/>
                <w:sz w:val="20"/>
                <w:szCs w:val="20"/>
              </w:rPr>
            </w:pPr>
            <w:r w:rsidRPr="00522CD2">
              <w:rPr>
                <w:rFonts w:cs="Arial"/>
                <w:sz w:val="20"/>
                <w:szCs w:val="20"/>
              </w:rPr>
              <w:t>68</w:t>
            </w:r>
          </w:p>
        </w:tc>
        <w:tc>
          <w:tcPr>
            <w:tcW w:w="3825" w:type="dxa"/>
            <w:tcBorders>
              <w:top w:val="single" w:sz="4" w:space="0" w:color="auto"/>
              <w:left w:val="nil"/>
              <w:bottom w:val="single" w:sz="4" w:space="0" w:color="auto"/>
              <w:right w:val="nil"/>
            </w:tcBorders>
            <w:shd w:val="clear" w:color="auto" w:fill="auto"/>
          </w:tcPr>
          <w:p w14:paraId="39A40F1D"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Incidents</w:t>
            </w:r>
          </w:p>
        </w:tc>
        <w:tc>
          <w:tcPr>
            <w:tcW w:w="5862" w:type="dxa"/>
            <w:tcBorders>
              <w:top w:val="single" w:sz="4" w:space="0" w:color="auto"/>
              <w:left w:val="nil"/>
              <w:bottom w:val="single" w:sz="4" w:space="0" w:color="auto"/>
              <w:right w:val="nil"/>
            </w:tcBorders>
            <w:shd w:val="clear" w:color="auto" w:fill="auto"/>
          </w:tcPr>
          <w:p w14:paraId="65E48F7E" w14:textId="77777777" w:rsidR="00841348" w:rsidRPr="00522CD2" w:rsidRDefault="00841348" w:rsidP="0027255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0"/>
              </w:tabs>
              <w:spacing w:line="276" w:lineRule="auto"/>
              <w:ind w:left="250" w:hanging="240"/>
              <w:rPr>
                <w:rFonts w:cs="Arial"/>
                <w:kern w:val="28"/>
                <w:sz w:val="20"/>
                <w:szCs w:val="20"/>
                <w:lang w:val="en-CA" w:eastAsia="en-CA"/>
              </w:rPr>
            </w:pPr>
            <w:r w:rsidRPr="00522CD2">
              <w:rPr>
                <w:rFonts w:cs="Arial"/>
                <w:sz w:val="20"/>
                <w:szCs w:val="20"/>
              </w:rPr>
              <w:t>Severity rated by the individual completing the form as either: near miss, minor, moderate, high or very high</w:t>
            </w:r>
          </w:p>
          <w:p w14:paraId="1EC17D2D" w14:textId="3E2BC24D" w:rsidR="00841348" w:rsidRPr="00522CD2" w:rsidRDefault="00841348" w:rsidP="0027255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0"/>
              </w:tabs>
              <w:spacing w:line="276" w:lineRule="auto"/>
              <w:ind w:left="250" w:hanging="240"/>
              <w:rPr>
                <w:rFonts w:cs="Arial"/>
                <w:kern w:val="28"/>
                <w:sz w:val="20"/>
                <w:szCs w:val="20"/>
                <w:lang w:val="en-CA" w:eastAsia="en-CA"/>
              </w:rPr>
            </w:pPr>
            <w:r w:rsidRPr="00522CD2">
              <w:rPr>
                <w:rFonts w:cs="Arial"/>
                <w:sz w:val="20"/>
                <w:szCs w:val="20"/>
              </w:rPr>
              <w:t xml:space="preserve">Incidents/total bed days x 100. </w:t>
            </w:r>
            <w:r w:rsidRPr="00522CD2">
              <w:rPr>
                <w:rFonts w:cs="Arial"/>
                <w:kern w:val="28"/>
                <w:sz w:val="20"/>
                <w:szCs w:val="20"/>
                <w:lang w:val="en-CA" w:eastAsia="en-CA"/>
              </w:rPr>
              <w:t>Average number of incidents per 100 occupied bed days, time of incident, number of violent/aggressive incidents and total number of incidents</w:t>
            </w:r>
          </w:p>
        </w:tc>
      </w:tr>
      <w:tr w:rsidR="00841348" w:rsidRPr="00522CD2" w14:paraId="4E173E46" w14:textId="77777777" w:rsidTr="00272555">
        <w:trPr>
          <w:trHeight w:val="326"/>
        </w:trPr>
        <w:tc>
          <w:tcPr>
            <w:tcW w:w="15490" w:type="dxa"/>
            <w:gridSpan w:val="5"/>
            <w:tcBorders>
              <w:top w:val="single" w:sz="4" w:space="0" w:color="auto"/>
              <w:left w:val="nil"/>
              <w:bottom w:val="nil"/>
              <w:right w:val="nil"/>
            </w:tcBorders>
            <w:shd w:val="clear" w:color="auto" w:fill="auto"/>
          </w:tcPr>
          <w:p w14:paraId="1B134A54" w14:textId="77777777" w:rsidR="00841348" w:rsidRPr="00522CD2" w:rsidRDefault="00841348" w:rsidP="00272555">
            <w:pPr>
              <w:spacing w:line="276" w:lineRule="auto"/>
              <w:ind w:left="284"/>
              <w:rPr>
                <w:rFonts w:cs="Arial"/>
                <w:sz w:val="20"/>
                <w:szCs w:val="20"/>
              </w:rPr>
            </w:pPr>
            <w:r w:rsidRPr="00522CD2">
              <w:rPr>
                <w:rFonts w:cs="Arial"/>
                <w:i/>
                <w:sz w:val="20"/>
                <w:szCs w:val="20"/>
              </w:rPr>
              <w:t>Note. GSI =</w:t>
            </w:r>
            <w:r w:rsidRPr="00522CD2">
              <w:rPr>
                <w:rFonts w:cs="Arial"/>
                <w:sz w:val="20"/>
                <w:szCs w:val="20"/>
              </w:rPr>
              <w:t xml:space="preserve"> Global Severity Index; RSES =  Rosenberg Self Esteem Scale; SBS = Social Behavioural Schedule; MOAS =  Modified Overt Aggression Scale; NAS-PI = Novaco Anger Scale and Provocation Inventory</w:t>
            </w:r>
          </w:p>
        </w:tc>
      </w:tr>
      <w:tr w:rsidR="00841348" w:rsidRPr="00522CD2" w14:paraId="540290F8" w14:textId="77777777" w:rsidTr="00272555">
        <w:trPr>
          <w:trHeight w:val="416"/>
        </w:trPr>
        <w:tc>
          <w:tcPr>
            <w:tcW w:w="15490" w:type="dxa"/>
            <w:gridSpan w:val="5"/>
            <w:tcBorders>
              <w:top w:val="nil"/>
              <w:left w:val="nil"/>
              <w:bottom w:val="single" w:sz="4" w:space="0" w:color="auto"/>
              <w:right w:val="nil"/>
            </w:tcBorders>
            <w:shd w:val="clear" w:color="auto" w:fill="FFFFFF" w:themeFill="background1"/>
          </w:tcPr>
          <w:p w14:paraId="6CBCE163" w14:textId="12C2B34A" w:rsidR="000B4BE8" w:rsidRPr="00522CD2" w:rsidRDefault="000B4BE8" w:rsidP="00272555">
            <w:pPr>
              <w:spacing w:line="276" w:lineRule="auto"/>
              <w:rPr>
                <w:rFonts w:cs="Arial"/>
                <w:b/>
                <w:sz w:val="20"/>
                <w:szCs w:val="20"/>
              </w:rPr>
            </w:pPr>
          </w:p>
          <w:p w14:paraId="251F8AA1" w14:textId="77777777" w:rsidR="00841348" w:rsidRPr="00522CD2" w:rsidRDefault="00841348" w:rsidP="00272555">
            <w:pPr>
              <w:spacing w:line="276" w:lineRule="auto"/>
              <w:rPr>
                <w:rFonts w:cs="Arial"/>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 xml:space="preserve">. </w:t>
            </w:r>
            <w:r w:rsidRPr="00522CD2">
              <w:rPr>
                <w:rFonts w:cs="Arial"/>
                <w:sz w:val="20"/>
                <w:szCs w:val="20"/>
              </w:rPr>
              <w:t>continued</w:t>
            </w:r>
          </w:p>
          <w:p w14:paraId="4615F91C" w14:textId="77777777" w:rsidR="00841348" w:rsidRPr="00522CD2" w:rsidRDefault="00841348" w:rsidP="00272555">
            <w:pPr>
              <w:rPr>
                <w:rFonts w:cs="Arial"/>
                <w:b/>
                <w:sz w:val="20"/>
                <w:szCs w:val="20"/>
              </w:rPr>
            </w:pPr>
            <w:r w:rsidRPr="00522CD2">
              <w:rPr>
                <w:rFonts w:cs="Arial"/>
                <w:sz w:val="20"/>
                <w:szCs w:val="20"/>
              </w:rPr>
              <w:t>Summary of studies presenting data on the outcome domain of effectiveness (cross-sectional studies).</w:t>
            </w:r>
          </w:p>
        </w:tc>
      </w:tr>
      <w:tr w:rsidR="00841348" w:rsidRPr="00522CD2" w14:paraId="23CC3BB6" w14:textId="77777777" w:rsidTr="00272555">
        <w:trPr>
          <w:trHeight w:val="416"/>
        </w:trPr>
        <w:tc>
          <w:tcPr>
            <w:tcW w:w="2399" w:type="dxa"/>
            <w:tcBorders>
              <w:top w:val="single" w:sz="4" w:space="0" w:color="auto"/>
              <w:left w:val="nil"/>
              <w:bottom w:val="single" w:sz="4" w:space="0" w:color="auto"/>
              <w:right w:val="nil"/>
            </w:tcBorders>
            <w:shd w:val="clear" w:color="auto" w:fill="FFFFFF" w:themeFill="background1"/>
          </w:tcPr>
          <w:p w14:paraId="01806638" w14:textId="77777777" w:rsidR="00841348" w:rsidRPr="00522CD2" w:rsidRDefault="00841348" w:rsidP="00272555">
            <w:pPr>
              <w:jc w:val="center"/>
              <w:rPr>
                <w:rFonts w:cs="Arial"/>
                <w:b/>
                <w:sz w:val="20"/>
                <w:szCs w:val="20"/>
              </w:rPr>
            </w:pPr>
            <w:r w:rsidRPr="00522CD2">
              <w:rPr>
                <w:rFonts w:cs="Arial"/>
                <w:b/>
                <w:sz w:val="20"/>
                <w:szCs w:val="20"/>
              </w:rPr>
              <w:t>Study and Setting</w:t>
            </w:r>
          </w:p>
        </w:tc>
        <w:tc>
          <w:tcPr>
            <w:tcW w:w="2385" w:type="dxa"/>
            <w:tcBorders>
              <w:top w:val="single" w:sz="4" w:space="0" w:color="auto"/>
              <w:left w:val="nil"/>
              <w:bottom w:val="single" w:sz="4" w:space="0" w:color="auto"/>
              <w:right w:val="nil"/>
            </w:tcBorders>
            <w:shd w:val="clear" w:color="auto" w:fill="FFFFFF" w:themeFill="background1"/>
          </w:tcPr>
          <w:p w14:paraId="35DE29F1" w14:textId="77777777" w:rsidR="00841348" w:rsidRPr="00522CD2" w:rsidRDefault="00841348" w:rsidP="00272555">
            <w:pPr>
              <w:rPr>
                <w:rFonts w:cs="Arial"/>
                <w:b/>
                <w:sz w:val="20"/>
                <w:szCs w:val="20"/>
              </w:rPr>
            </w:pPr>
            <w:r w:rsidRPr="00522CD2">
              <w:rPr>
                <w:rFonts w:cs="Arial"/>
                <w:b/>
                <w:sz w:val="20"/>
                <w:szCs w:val="20"/>
              </w:rPr>
              <w:t>Design</w:t>
            </w:r>
          </w:p>
        </w:tc>
        <w:tc>
          <w:tcPr>
            <w:tcW w:w="1019" w:type="dxa"/>
            <w:tcBorders>
              <w:top w:val="single" w:sz="4" w:space="0" w:color="auto"/>
              <w:left w:val="nil"/>
              <w:bottom w:val="single" w:sz="4" w:space="0" w:color="auto"/>
              <w:right w:val="nil"/>
            </w:tcBorders>
            <w:shd w:val="clear" w:color="auto" w:fill="FFFFFF" w:themeFill="background1"/>
          </w:tcPr>
          <w:p w14:paraId="26FBD3DA" w14:textId="77777777" w:rsidR="00841348" w:rsidRPr="00522CD2" w:rsidRDefault="00841348" w:rsidP="00272555">
            <w:pPr>
              <w:jc w:val="center"/>
              <w:rPr>
                <w:rFonts w:cs="Arial"/>
                <w:b/>
                <w:sz w:val="20"/>
                <w:szCs w:val="20"/>
              </w:rPr>
            </w:pPr>
            <w:r w:rsidRPr="00522CD2">
              <w:rPr>
                <w:rFonts w:cs="Arial"/>
                <w:b/>
                <w:sz w:val="20"/>
                <w:szCs w:val="20"/>
              </w:rPr>
              <w:t>N</w:t>
            </w:r>
          </w:p>
        </w:tc>
        <w:tc>
          <w:tcPr>
            <w:tcW w:w="3825" w:type="dxa"/>
            <w:tcBorders>
              <w:top w:val="single" w:sz="4" w:space="0" w:color="auto"/>
              <w:left w:val="nil"/>
              <w:bottom w:val="single" w:sz="4" w:space="0" w:color="auto"/>
              <w:right w:val="nil"/>
            </w:tcBorders>
            <w:shd w:val="clear" w:color="auto" w:fill="FFFFFF" w:themeFill="background1"/>
          </w:tcPr>
          <w:p w14:paraId="25FB1436" w14:textId="77777777" w:rsidR="00841348" w:rsidRPr="00522CD2" w:rsidRDefault="00841348" w:rsidP="00272555">
            <w:pPr>
              <w:jc w:val="center"/>
              <w:rPr>
                <w:rFonts w:cs="Arial"/>
                <w:b/>
                <w:sz w:val="20"/>
                <w:szCs w:val="20"/>
              </w:rPr>
            </w:pPr>
            <w:r w:rsidRPr="00522CD2">
              <w:rPr>
                <w:rFonts w:cs="Arial"/>
                <w:b/>
                <w:sz w:val="20"/>
                <w:szCs w:val="20"/>
              </w:rPr>
              <w:t>Outcome Sub-Domain</w:t>
            </w:r>
          </w:p>
        </w:tc>
        <w:tc>
          <w:tcPr>
            <w:tcW w:w="5862" w:type="dxa"/>
            <w:tcBorders>
              <w:top w:val="single" w:sz="4" w:space="0" w:color="auto"/>
              <w:left w:val="nil"/>
              <w:bottom w:val="single" w:sz="4" w:space="0" w:color="auto"/>
              <w:right w:val="nil"/>
            </w:tcBorders>
            <w:shd w:val="clear" w:color="auto" w:fill="FFFFFF" w:themeFill="background1"/>
          </w:tcPr>
          <w:p w14:paraId="2C431012" w14:textId="77777777" w:rsidR="00841348" w:rsidRPr="00522CD2" w:rsidRDefault="00841348" w:rsidP="00272555">
            <w:pPr>
              <w:jc w:val="center"/>
              <w:rPr>
                <w:rFonts w:cs="Arial"/>
                <w:b/>
                <w:sz w:val="20"/>
                <w:szCs w:val="20"/>
              </w:rPr>
            </w:pPr>
            <w:r w:rsidRPr="00522CD2">
              <w:rPr>
                <w:rFonts w:cs="Arial"/>
                <w:b/>
                <w:sz w:val="20"/>
                <w:szCs w:val="20"/>
              </w:rPr>
              <w:t>Measure/Indicator</w:t>
            </w:r>
          </w:p>
        </w:tc>
      </w:tr>
      <w:tr w:rsidR="00841348" w:rsidRPr="00522CD2" w14:paraId="244E9EA8"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6D1B7F4B" w14:textId="78633D4D" w:rsidR="00841348" w:rsidRPr="00522CD2" w:rsidRDefault="00841348" w:rsidP="00272555">
            <w:pPr>
              <w:spacing w:line="276" w:lineRule="auto"/>
              <w:rPr>
                <w:rFonts w:cs="Arial"/>
                <w:sz w:val="20"/>
                <w:szCs w:val="20"/>
              </w:rPr>
            </w:pPr>
            <w:r w:rsidRPr="00522CD2">
              <w:rPr>
                <w:rFonts w:cs="Arial"/>
                <w:sz w:val="20"/>
                <w:szCs w:val="20"/>
              </w:rPr>
              <w:t>Esan et al.  (2014)</w:t>
            </w:r>
            <w:r w:rsidR="00FC3FE5" w:rsidRPr="00522CD2">
              <w:rPr>
                <w:rFonts w:cs="Arial"/>
                <w:sz w:val="20"/>
                <w:szCs w:val="20"/>
              </w:rPr>
              <w:t xml:space="preserve"> </w:t>
            </w:r>
            <w:r w:rsidR="00FC3FE5" w:rsidRPr="00522CD2">
              <w:rPr>
                <w:rFonts w:cs="Arial"/>
                <w:sz w:val="20"/>
                <w:szCs w:val="20"/>
              </w:rPr>
              <w:fldChar w:fldCharType="begin" w:fldLock="1"/>
            </w:r>
            <w:r w:rsidR="00DD386F" w:rsidRPr="00522CD2">
              <w:rPr>
                <w:rFonts w:cs="Arial"/>
                <w:sz w:val="20"/>
                <w:szCs w:val="20"/>
              </w:rPr>
              <w:instrText>ADDIN CSL_CITATION { "citationItems" : [ { "id" : "ITEM-1", "itemData" : { "DOI" : "10.1111/jar.12121", "ISSN" : "1468-3148", "PMID" : "25379816", "abstract" : "BACKGROUND To describe the characteristics of those with autism spectrum disorder (ASD) treated within a forensic intellectual disability hospital and to compare them with those without ASD. METHOD Service evaluation of a cohort of 138 patients treated over a 6-year period. RESULTS Of the 138, 42 had an ASD. Personality disorders and harmful use or dependence on drugs were significantly lower in the ASD group. The ASD group was less likely to be subject to criminal sections or restriction orders. Self-harm was significantly higher in the ASD group. There were no differences in the length of stay and direction of care pathway. CONCLUSIONS Although the ASD and non-ASD groups differ on clinical and forensic characteristics, their treatment outcomes appear similar. This suggests that the diagnostic category of ASD alone may be inadequate in predicting the treatment outcome. There is a case to identify distinct typologies within the ASD group.", "author" : [ { "dropping-particle" : "", "family" : "Esan", "given" : "Fola", "non-dropping-particle" : "", "parse-names" : false, "suffix" : "" }, { "dropping-particle" : "", "family" : "Chester", "given" : "Verity", "non-dropping-particle" : "", "parse-names" : false, "suffix" : "" }, { "dropping-particle" : "", "family" : "Gunaratna", "given" : "Ignatius J", "non-dropping-particle" : "", "parse-names" : false, "suffix" : "" }, { "dropping-particle" : "", "family" : "Hoare", "given" : "Sudeep", "non-dropping-particle" : "", "parse-names" : false, "suffix" : "" }, { "dropping-particle" : "", "family" : "Alexander", "given" : "Regi T", "non-dropping-particle" : "", "parse-names" : false, "suffix" : "" } ], "container-title" : "Journal of applied research in intellectual disabilities : JARID", "id" : "ITEM-1", "issue" : "3", "issued" : { "date-parts" : [ [ "2015", "5" ] ] }, "page" : "193-200", "title" : "The clinical, forensic and treatment outcome factors of patients with autism spectrum disorder treated in a forensic intellectual disability service.", "type" : "article-journal", "volume" : "28" }, "uris" : [ "http://www.mendeley.com/documents/?uuid=b150cee9-cded-34c2-9b48-99b5f6bab1e1" ] } ], "mendeley" : { "formattedCitation" : "(4)", "plainTextFormattedCitation" : "(4)", "previouslyFormattedCitation" : "(4)" }, "properties" : { "noteIndex" : 0 }, "schema" : "https://github.com/citation-style-language/schema/raw/master/csl-citation.json" }</w:instrText>
            </w:r>
            <w:r w:rsidR="00FC3FE5" w:rsidRPr="00522CD2">
              <w:rPr>
                <w:rFonts w:cs="Arial"/>
                <w:sz w:val="20"/>
                <w:szCs w:val="20"/>
              </w:rPr>
              <w:fldChar w:fldCharType="separate"/>
            </w:r>
            <w:r w:rsidR="002C386C" w:rsidRPr="00522CD2">
              <w:rPr>
                <w:rFonts w:cs="Arial"/>
                <w:noProof/>
                <w:sz w:val="20"/>
                <w:szCs w:val="20"/>
              </w:rPr>
              <w:t>(4)</w:t>
            </w:r>
            <w:r w:rsidR="00FC3FE5" w:rsidRPr="00522CD2">
              <w:rPr>
                <w:rFonts w:cs="Arial"/>
                <w:sz w:val="20"/>
                <w:szCs w:val="20"/>
              </w:rPr>
              <w:fldChar w:fldCharType="end"/>
            </w:r>
          </w:p>
          <w:p w14:paraId="52EF59B4" w14:textId="77777777" w:rsidR="00841348" w:rsidRPr="00522CD2" w:rsidRDefault="00841348" w:rsidP="00272555">
            <w:pPr>
              <w:spacing w:line="276" w:lineRule="auto"/>
              <w:rPr>
                <w:rFonts w:cs="Arial"/>
                <w:sz w:val="20"/>
                <w:szCs w:val="20"/>
              </w:rPr>
            </w:pPr>
            <w:r w:rsidRPr="00522CD2">
              <w:rPr>
                <w:rFonts w:cs="Arial"/>
                <w:sz w:val="20"/>
                <w:szCs w:val="20"/>
              </w:rPr>
              <w:t>Medium and low secure</w:t>
            </w:r>
          </w:p>
        </w:tc>
        <w:tc>
          <w:tcPr>
            <w:tcW w:w="2385" w:type="dxa"/>
            <w:tcBorders>
              <w:top w:val="single" w:sz="4" w:space="0" w:color="auto"/>
              <w:left w:val="nil"/>
              <w:bottom w:val="single" w:sz="4" w:space="0" w:color="auto"/>
              <w:right w:val="nil"/>
            </w:tcBorders>
            <w:shd w:val="clear" w:color="auto" w:fill="auto"/>
          </w:tcPr>
          <w:p w14:paraId="7900149E" w14:textId="77777777" w:rsidR="00293045" w:rsidRPr="00522CD2" w:rsidRDefault="00841348" w:rsidP="00272555">
            <w:pPr>
              <w:spacing w:line="276" w:lineRule="auto"/>
              <w:rPr>
                <w:rFonts w:cs="Arial"/>
                <w:sz w:val="20"/>
                <w:szCs w:val="20"/>
              </w:rPr>
            </w:pPr>
            <w:r w:rsidRPr="00522CD2">
              <w:rPr>
                <w:rFonts w:cs="Arial"/>
                <w:sz w:val="20"/>
                <w:szCs w:val="20"/>
              </w:rPr>
              <w:t>Cross-sectional</w:t>
            </w:r>
          </w:p>
          <w:p w14:paraId="4351392A" w14:textId="123AF886" w:rsidR="00841348" w:rsidRPr="00522CD2" w:rsidRDefault="00293045" w:rsidP="00272555">
            <w:pPr>
              <w:spacing w:line="276" w:lineRule="auto"/>
            </w:pPr>
            <w:r w:rsidRPr="00522CD2">
              <w:rPr>
                <w:rFonts w:cs="Arial"/>
                <w:sz w:val="20"/>
                <w:szCs w:val="20"/>
              </w:rPr>
              <w:t>(</w:t>
            </w:r>
            <w:r w:rsidR="00165F91" w:rsidRPr="00522CD2">
              <w:rPr>
                <w:rFonts w:cs="Arial"/>
                <w:sz w:val="20"/>
                <w:szCs w:val="20"/>
              </w:rPr>
              <w:t>ASD</w:t>
            </w:r>
            <w:r w:rsidRPr="00522CD2">
              <w:rPr>
                <w:rFonts w:cs="Arial"/>
                <w:sz w:val="20"/>
                <w:szCs w:val="20"/>
              </w:rPr>
              <w:t xml:space="preserve"> vs non-</w:t>
            </w:r>
            <w:r w:rsidR="00165F91" w:rsidRPr="00522CD2">
              <w:rPr>
                <w:rFonts w:cs="Arial"/>
                <w:sz w:val="20"/>
                <w:szCs w:val="20"/>
              </w:rPr>
              <w:t>ASD</w:t>
            </w:r>
            <w:r w:rsidRPr="00522CD2">
              <w:rPr>
                <w:rFonts w:cs="Arial"/>
                <w:sz w:val="20"/>
                <w:szCs w:val="20"/>
              </w:rPr>
              <w:t>)</w:t>
            </w:r>
            <w:r w:rsidR="00841348" w:rsidRPr="00522CD2">
              <w:rPr>
                <w:rFonts w:cs="Arial"/>
                <w:sz w:val="20"/>
                <w:szCs w:val="20"/>
              </w:rPr>
              <w:t xml:space="preserve"> </w:t>
            </w:r>
          </w:p>
        </w:tc>
        <w:tc>
          <w:tcPr>
            <w:tcW w:w="1019" w:type="dxa"/>
            <w:tcBorders>
              <w:top w:val="single" w:sz="4" w:space="0" w:color="auto"/>
              <w:left w:val="nil"/>
              <w:bottom w:val="single" w:sz="4" w:space="0" w:color="auto"/>
              <w:right w:val="nil"/>
            </w:tcBorders>
            <w:shd w:val="clear" w:color="auto" w:fill="auto"/>
          </w:tcPr>
          <w:p w14:paraId="1E0AD3E1" w14:textId="77777777" w:rsidR="00841348" w:rsidRPr="00522CD2" w:rsidRDefault="00841348" w:rsidP="00272555">
            <w:pPr>
              <w:spacing w:line="276" w:lineRule="auto"/>
              <w:ind w:left="252"/>
              <w:rPr>
                <w:rFonts w:cs="Arial"/>
                <w:sz w:val="20"/>
                <w:szCs w:val="20"/>
              </w:rPr>
            </w:pPr>
            <w:r w:rsidRPr="00522CD2">
              <w:rPr>
                <w:rFonts w:cs="Arial"/>
                <w:sz w:val="20"/>
                <w:szCs w:val="20"/>
              </w:rPr>
              <w:t>114</w:t>
            </w:r>
          </w:p>
        </w:tc>
        <w:tc>
          <w:tcPr>
            <w:tcW w:w="3825" w:type="dxa"/>
            <w:tcBorders>
              <w:top w:val="single" w:sz="4" w:space="0" w:color="auto"/>
              <w:left w:val="nil"/>
              <w:bottom w:val="single" w:sz="4" w:space="0" w:color="auto"/>
              <w:right w:val="nil"/>
            </w:tcBorders>
            <w:shd w:val="clear" w:color="auto" w:fill="auto"/>
          </w:tcPr>
          <w:p w14:paraId="206F2D7D"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6430EA93" w14:textId="77777777" w:rsidR="00841348" w:rsidRPr="00522CD2" w:rsidRDefault="00841348" w:rsidP="00272555">
            <w:pPr>
              <w:spacing w:line="276" w:lineRule="auto"/>
              <w:ind w:left="252"/>
              <w:rPr>
                <w:rFonts w:cs="Arial"/>
                <w:sz w:val="20"/>
                <w:szCs w:val="20"/>
              </w:rPr>
            </w:pPr>
          </w:p>
          <w:p w14:paraId="43A40542"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Discharge outcome</w:t>
            </w:r>
          </w:p>
          <w:p w14:paraId="066A987C" w14:textId="77777777" w:rsidR="00841348" w:rsidRPr="00522CD2" w:rsidRDefault="00841348" w:rsidP="00272555">
            <w:pPr>
              <w:pStyle w:val="ListParagraph"/>
              <w:spacing w:line="276" w:lineRule="auto"/>
              <w:rPr>
                <w:rFonts w:cs="Arial"/>
                <w:sz w:val="20"/>
                <w:szCs w:val="20"/>
              </w:rPr>
            </w:pPr>
          </w:p>
          <w:p w14:paraId="426888EA"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Level of supervision/discharge pathway</w:t>
            </w:r>
          </w:p>
        </w:tc>
        <w:tc>
          <w:tcPr>
            <w:tcW w:w="5862" w:type="dxa"/>
            <w:tcBorders>
              <w:top w:val="single" w:sz="4" w:space="0" w:color="auto"/>
              <w:left w:val="nil"/>
              <w:bottom w:val="single" w:sz="4" w:space="0" w:color="auto"/>
              <w:right w:val="nil"/>
            </w:tcBorders>
            <w:shd w:val="clear" w:color="auto" w:fill="auto"/>
          </w:tcPr>
          <w:p w14:paraId="3F5957DE"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and median months for both discharged and in-treatment patients</w:t>
            </w:r>
          </w:p>
          <w:p w14:paraId="618CB7D6"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with a good (move to a lower level of security) or poor (move to a higher level of security) outcome</w:t>
            </w:r>
          </w:p>
          <w:p w14:paraId="6E7584ED"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who were informal, under a MHA section, guardianship or supervised discharge</w:t>
            </w:r>
          </w:p>
          <w:p w14:paraId="2D795F6D" w14:textId="77777777" w:rsidR="00841348" w:rsidRPr="00522CD2" w:rsidRDefault="00841348" w:rsidP="00272555">
            <w:pPr>
              <w:spacing w:line="276" w:lineRule="auto"/>
              <w:ind w:left="252"/>
              <w:rPr>
                <w:rFonts w:cs="Arial"/>
                <w:sz w:val="20"/>
                <w:szCs w:val="20"/>
              </w:rPr>
            </w:pPr>
          </w:p>
        </w:tc>
      </w:tr>
      <w:tr w:rsidR="00841348" w:rsidRPr="00522CD2" w14:paraId="5613C69B"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5E24F792" w14:textId="77777777" w:rsidR="00841348" w:rsidRPr="00522CD2" w:rsidRDefault="00293045" w:rsidP="00272555">
            <w:pPr>
              <w:spacing w:line="276" w:lineRule="auto"/>
              <w:rPr>
                <w:rFonts w:cs="Arial"/>
                <w:sz w:val="20"/>
                <w:szCs w:val="20"/>
              </w:rPr>
            </w:pPr>
            <w:r w:rsidRPr="00522CD2">
              <w:rPr>
                <w:rFonts w:cs="Arial"/>
                <w:sz w:val="20"/>
                <w:szCs w:val="20"/>
              </w:rPr>
              <w:t>Fitzgerald et al. (2013)</w:t>
            </w:r>
          </w:p>
          <w:p w14:paraId="1053FF91" w14:textId="018012A7" w:rsidR="00653A03" w:rsidRPr="00522CD2" w:rsidRDefault="00653A03" w:rsidP="00272555">
            <w:pPr>
              <w:spacing w:line="276" w:lineRule="auto"/>
              <w:rPr>
                <w:rFonts w:cs="Arial"/>
                <w:sz w:val="20"/>
                <w:szCs w:val="20"/>
              </w:rPr>
            </w:pPr>
            <w:r w:rsidRPr="00522CD2">
              <w:rPr>
                <w:rFonts w:cs="Arial"/>
                <w:sz w:val="20"/>
                <w:szCs w:val="20"/>
              </w:rPr>
              <w:t>(21)</w:t>
            </w:r>
          </w:p>
          <w:p w14:paraId="0A4E23AE" w14:textId="2958E7BE" w:rsidR="00293045" w:rsidRPr="00522CD2" w:rsidRDefault="00293045" w:rsidP="00272555">
            <w:pPr>
              <w:spacing w:line="276" w:lineRule="auto"/>
              <w:rPr>
                <w:rFonts w:cs="Arial"/>
                <w:sz w:val="20"/>
                <w:szCs w:val="20"/>
              </w:rPr>
            </w:pPr>
            <w:r w:rsidRPr="00522CD2">
              <w:rPr>
                <w:rFonts w:cs="Arial"/>
                <w:sz w:val="20"/>
                <w:szCs w:val="20"/>
              </w:rPr>
              <w:t>Medium and low secure</w:t>
            </w:r>
          </w:p>
        </w:tc>
        <w:tc>
          <w:tcPr>
            <w:tcW w:w="2385" w:type="dxa"/>
            <w:tcBorders>
              <w:top w:val="single" w:sz="4" w:space="0" w:color="auto"/>
              <w:left w:val="nil"/>
              <w:bottom w:val="single" w:sz="4" w:space="0" w:color="auto"/>
              <w:right w:val="nil"/>
            </w:tcBorders>
            <w:shd w:val="clear" w:color="auto" w:fill="auto"/>
          </w:tcPr>
          <w:p w14:paraId="72BB8254" w14:textId="4F39CE84" w:rsidR="00841348" w:rsidRPr="00522CD2" w:rsidRDefault="00841348" w:rsidP="00272555">
            <w:pPr>
              <w:spacing w:line="276" w:lineRule="auto"/>
              <w:rPr>
                <w:rFonts w:cs="Arial"/>
                <w:sz w:val="20"/>
                <w:szCs w:val="20"/>
              </w:rPr>
            </w:pPr>
            <w:r w:rsidRPr="00522CD2">
              <w:rPr>
                <w:rFonts w:cs="Arial"/>
                <w:sz w:val="20"/>
                <w:szCs w:val="20"/>
              </w:rPr>
              <w:t xml:space="preserve">Cross-sectional </w:t>
            </w:r>
          </w:p>
          <w:p w14:paraId="1E83D298" w14:textId="77777777" w:rsidR="00841348" w:rsidRPr="00522CD2" w:rsidRDefault="00841348" w:rsidP="00272555">
            <w:pPr>
              <w:spacing w:line="276" w:lineRule="auto"/>
              <w:rPr>
                <w:rFonts w:cs="Arial"/>
                <w:sz w:val="20"/>
                <w:szCs w:val="20"/>
              </w:rPr>
            </w:pPr>
          </w:p>
        </w:tc>
        <w:tc>
          <w:tcPr>
            <w:tcW w:w="1019" w:type="dxa"/>
            <w:tcBorders>
              <w:top w:val="single" w:sz="4" w:space="0" w:color="auto"/>
              <w:left w:val="nil"/>
              <w:bottom w:val="single" w:sz="4" w:space="0" w:color="auto"/>
              <w:right w:val="nil"/>
            </w:tcBorders>
            <w:shd w:val="clear" w:color="auto" w:fill="auto"/>
          </w:tcPr>
          <w:p w14:paraId="4232D148" w14:textId="2FAF3DF0" w:rsidR="00841348" w:rsidRPr="00522CD2" w:rsidRDefault="00293045" w:rsidP="00272555">
            <w:pPr>
              <w:spacing w:line="276" w:lineRule="auto"/>
              <w:ind w:left="252"/>
              <w:rPr>
                <w:rFonts w:cs="Arial"/>
                <w:sz w:val="20"/>
                <w:szCs w:val="20"/>
              </w:rPr>
            </w:pPr>
            <w:r w:rsidRPr="00522CD2">
              <w:rPr>
                <w:rFonts w:cs="Arial"/>
                <w:sz w:val="20"/>
                <w:szCs w:val="20"/>
              </w:rPr>
              <w:t>136</w:t>
            </w:r>
          </w:p>
        </w:tc>
        <w:tc>
          <w:tcPr>
            <w:tcW w:w="3825" w:type="dxa"/>
            <w:tcBorders>
              <w:top w:val="single" w:sz="4" w:space="0" w:color="auto"/>
              <w:left w:val="nil"/>
              <w:bottom w:val="single" w:sz="4" w:space="0" w:color="auto"/>
              <w:right w:val="nil"/>
            </w:tcBorders>
            <w:shd w:val="clear" w:color="auto" w:fill="auto"/>
          </w:tcPr>
          <w:p w14:paraId="32939C9C" w14:textId="593194C4" w:rsidR="00841348" w:rsidRPr="00522CD2" w:rsidRDefault="00293045"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Incidents</w:t>
            </w:r>
          </w:p>
          <w:p w14:paraId="63EBE443"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p w14:paraId="6BA0C524" w14:textId="70E7E7D1" w:rsidR="00841348" w:rsidRPr="00522CD2" w:rsidRDefault="00841348" w:rsidP="002930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52"/>
              <w:rPr>
                <w:rFonts w:cs="Arial"/>
                <w:sz w:val="20"/>
                <w:szCs w:val="20"/>
              </w:rPr>
            </w:pPr>
          </w:p>
        </w:tc>
        <w:tc>
          <w:tcPr>
            <w:tcW w:w="5862" w:type="dxa"/>
            <w:tcBorders>
              <w:top w:val="single" w:sz="4" w:space="0" w:color="auto"/>
              <w:left w:val="nil"/>
              <w:bottom w:val="single" w:sz="4" w:space="0" w:color="auto"/>
              <w:right w:val="nil"/>
            </w:tcBorders>
            <w:shd w:val="clear" w:color="auto" w:fill="auto"/>
          </w:tcPr>
          <w:p w14:paraId="40F18404" w14:textId="0CD4E30C" w:rsidR="00293045" w:rsidRPr="00522CD2" w:rsidRDefault="00293045"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involced in incident in 6 month period</w:t>
            </w:r>
          </w:p>
          <w:p w14:paraId="54E6AE26" w14:textId="0BB52FA5"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VRAG and HCR-20</w:t>
            </w:r>
          </w:p>
          <w:p w14:paraId="7E5D22FA" w14:textId="77777777" w:rsidR="00841348" w:rsidRPr="00522CD2" w:rsidRDefault="00841348" w:rsidP="002930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52"/>
              <w:rPr>
                <w:rFonts w:cs="Arial"/>
                <w:sz w:val="20"/>
                <w:szCs w:val="20"/>
              </w:rPr>
            </w:pPr>
          </w:p>
        </w:tc>
      </w:tr>
      <w:tr w:rsidR="00841348" w:rsidRPr="00522CD2" w14:paraId="0F481B74"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4FB716D4" w14:textId="0C625457" w:rsidR="00841348" w:rsidRPr="00522CD2" w:rsidRDefault="00841348" w:rsidP="00272555">
            <w:pPr>
              <w:spacing w:line="276" w:lineRule="auto"/>
              <w:rPr>
                <w:rFonts w:cs="Arial"/>
                <w:sz w:val="20"/>
                <w:szCs w:val="20"/>
              </w:rPr>
            </w:pPr>
            <w:r w:rsidRPr="00522CD2">
              <w:rPr>
                <w:rFonts w:cs="Arial"/>
                <w:sz w:val="20"/>
                <w:szCs w:val="20"/>
              </w:rPr>
              <w:t>Hall et al. (2014)</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"abstract" : "Purpose \u2013 The purpose of this paper is to complete a thorough needs assessment that would enable the development of a robust pathway of care for adults with a learning disability requiring secure care, and to assist commissioners to make informed planning decisions. Design/methodology/approach \u2013 The paper identified people with a learning disability originating from London who were in secure care, and collected data about them. The paper used reference groups to inform the analysis. Findings \u2013 The paper identified 249 people in secure services and was able to include 136 patients in the analysis. In all, 64 were in NHS provision and 72 in independent sector provision; 109 (80.1 per cent) were male and 27 (19.9 per cent) female; on average, patients were cared for 61.5 miles away from their homes; NHS patients were far closer to home; 69.1 per cent had a mild learning disability; 82.3 per cent had a history of violence; approximately one in six patients could not progress due to a lack of an appropriate wa...", "author" : [ { "dropping-particle" : "", "family" : "Hall", "given" : "Ian", "non-dropping-particle" : "", "parse-names" : false, "suffix" : "" }, { "dropping-particle" : "", "family" : "Yacoub", "given" : "Evan", "non-dropping-particle" : "", "parse-names" : false, "suffix" : "" }, { "dropping-particle" : "", "family" : "Boast", "given" : "Neil", "non-dropping-particle" : "", "parse-names" : false, "suffix" : "" }, { "dropping-particle" : "", "family" : "Bates", "given" : "Robert", "non-dropping-particle" : "", "parse-names" : false, "suffix" : "" }, { "dropping-particle" : "", "family" : "Stamps", "given" : "Rebekah", "non-dropping-particle" : "", "parse-names" : false, "suffix" : "" }, { "dropping-particle" : "", "family" : "Holder", "given" : "Sarah", "non-dropping-particle" : "", "parse-names" : false, "suffix" : "" }, { "dropping-particle" : "", "family" : "Beadman", "given" : "Matthew", "non-dropping-particle" : "", "parse-names" : false, "suffix" : "" } ], "container-title" : "Journal of Intellectual Disabilities and Offending Behaviour", "id" : "ITEM-1", "issue" : "1", "issued" : { "date-parts" : [ [ "2014" ] ] }, "page" : "38-53", "publisher" : "Emerald Group Publishing Limited", "title" : "Secure inpatient services: a needs assessment", "type" : "article-journal", "volume" : "5" }, "uris" : [ "http://www.mendeley.com/documents/?uuid=d0325a7f-b6ab-3809-8615-2fb0de0bc377" ] } ], "mendeley" : { "formattedCitation" : "(61)", "plainTextFormattedCitation" : "(61)", "previouslyFormattedCitation" : "(61)"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(61)</w:t>
            </w:r>
            <w:r w:rsidR="00FC3FE5" w:rsidRPr="00522CD2">
              <w:rPr>
                <w:rFonts w:cs="Arial"/>
                <w:sz w:val="20"/>
                <w:szCs w:val="20"/>
              </w:rPr>
              <w:fldChar w:fldCharType="end"/>
            </w:r>
          </w:p>
          <w:p w14:paraId="3DF399C8" w14:textId="77777777" w:rsidR="00841348" w:rsidRPr="00522CD2" w:rsidRDefault="00841348" w:rsidP="00272555">
            <w:pPr>
              <w:spacing w:line="276" w:lineRule="auto"/>
              <w:rPr>
                <w:rFonts w:cs="Arial"/>
                <w:sz w:val="20"/>
                <w:szCs w:val="20"/>
              </w:rPr>
            </w:pPr>
            <w:r w:rsidRPr="00522CD2">
              <w:rPr>
                <w:rFonts w:cs="Arial"/>
                <w:sz w:val="20"/>
                <w:szCs w:val="20"/>
              </w:rPr>
              <w:t>Medium and low secure</w:t>
            </w:r>
          </w:p>
        </w:tc>
        <w:tc>
          <w:tcPr>
            <w:tcW w:w="2385" w:type="dxa"/>
            <w:tcBorders>
              <w:top w:val="single" w:sz="4" w:space="0" w:color="auto"/>
              <w:left w:val="nil"/>
              <w:bottom w:val="single" w:sz="4" w:space="0" w:color="auto"/>
              <w:right w:val="nil"/>
            </w:tcBorders>
            <w:shd w:val="clear" w:color="auto" w:fill="auto"/>
          </w:tcPr>
          <w:p w14:paraId="455F7488" w14:textId="77B48A99" w:rsidR="00841348" w:rsidRPr="00522CD2" w:rsidRDefault="00841348" w:rsidP="00272555">
            <w:pPr>
              <w:spacing w:line="276" w:lineRule="auto"/>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7A066E4D" w14:textId="77777777" w:rsidR="00841348" w:rsidRPr="00522CD2" w:rsidRDefault="00841348" w:rsidP="00272555">
            <w:pPr>
              <w:spacing w:line="276" w:lineRule="auto"/>
              <w:ind w:left="252"/>
              <w:rPr>
                <w:rFonts w:cs="Arial"/>
                <w:sz w:val="20"/>
                <w:szCs w:val="20"/>
              </w:rPr>
            </w:pPr>
            <w:r w:rsidRPr="00522CD2">
              <w:rPr>
                <w:rFonts w:cs="Arial"/>
                <w:sz w:val="20"/>
                <w:szCs w:val="20"/>
              </w:rPr>
              <w:t>136</w:t>
            </w:r>
          </w:p>
        </w:tc>
        <w:tc>
          <w:tcPr>
            <w:tcW w:w="3825" w:type="dxa"/>
            <w:tcBorders>
              <w:top w:val="single" w:sz="4" w:space="0" w:color="auto"/>
              <w:left w:val="nil"/>
              <w:bottom w:val="single" w:sz="4" w:space="0" w:color="auto"/>
              <w:right w:val="nil"/>
            </w:tcBorders>
            <w:shd w:val="clear" w:color="auto" w:fill="auto"/>
          </w:tcPr>
          <w:p w14:paraId="63C28B90"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Treatment needs</w:t>
            </w:r>
          </w:p>
          <w:p w14:paraId="3970FC70"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Security need</w:t>
            </w:r>
          </w:p>
          <w:p w14:paraId="3E912875"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Delayed discharge</w:t>
            </w:r>
          </w:p>
          <w:p w14:paraId="61C9ED30" w14:textId="77777777" w:rsidR="00841348" w:rsidRPr="00522CD2" w:rsidRDefault="00841348" w:rsidP="00272555">
            <w:pPr>
              <w:spacing w:line="276" w:lineRule="auto"/>
              <w:ind w:left="252"/>
              <w:rPr>
                <w:rFonts w:cs="Arial"/>
                <w:sz w:val="20"/>
                <w:szCs w:val="20"/>
              </w:rPr>
            </w:pPr>
          </w:p>
          <w:p w14:paraId="1A9D3EBB"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1D7C3BD1"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Incidents</w:t>
            </w:r>
          </w:p>
        </w:tc>
        <w:tc>
          <w:tcPr>
            <w:tcW w:w="5862" w:type="dxa"/>
            <w:tcBorders>
              <w:top w:val="single" w:sz="4" w:space="0" w:color="auto"/>
              <w:left w:val="nil"/>
              <w:bottom w:val="single" w:sz="4" w:space="0" w:color="auto"/>
              <w:right w:val="nil"/>
            </w:tcBorders>
            <w:shd w:val="clear" w:color="auto" w:fill="auto"/>
          </w:tcPr>
          <w:p w14:paraId="420F7706"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Clinician ratings</w:t>
            </w:r>
          </w:p>
          <w:p w14:paraId="66560090"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Reference group ratings of appropriate security level</w:t>
            </w:r>
          </w:p>
          <w:p w14:paraId="0C6076EC"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no longer requiring current security level, main obstacle to progress</w:t>
            </w:r>
          </w:p>
          <w:p w14:paraId="6BBEF0B5"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Maximum and average years per level of security</w:t>
            </w:r>
          </w:p>
          <w:p w14:paraId="0A23823D" w14:textId="03E423E7" w:rsidR="00841348" w:rsidRPr="00522CD2" w:rsidRDefault="00841348" w:rsidP="00386B2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in</w:t>
            </w:r>
            <w:r w:rsidR="00293045" w:rsidRPr="00522CD2">
              <w:rPr>
                <w:rFonts w:cs="Arial"/>
                <w:sz w:val="20"/>
                <w:szCs w:val="20"/>
              </w:rPr>
              <w:t>volved in an incident in</w:t>
            </w:r>
            <w:r w:rsidRPr="00522CD2">
              <w:rPr>
                <w:rFonts w:cs="Arial"/>
                <w:sz w:val="20"/>
                <w:szCs w:val="20"/>
              </w:rPr>
              <w:t xml:space="preserve"> 6 months</w:t>
            </w:r>
            <w:r w:rsidR="00293045" w:rsidRPr="00522CD2">
              <w:rPr>
                <w:rFonts w:cs="Arial"/>
                <w:sz w:val="20"/>
                <w:szCs w:val="20"/>
              </w:rPr>
              <w:t xml:space="preserve"> period</w:t>
            </w:r>
          </w:p>
        </w:tc>
      </w:tr>
      <w:tr w:rsidR="00841348" w:rsidRPr="00522CD2" w14:paraId="2F73FB74"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5C51FAF2" w14:textId="20AC5E17" w:rsidR="00841348" w:rsidRPr="00522CD2" w:rsidRDefault="00841348" w:rsidP="00272555">
            <w:pPr>
              <w:spacing w:line="276" w:lineRule="auto"/>
              <w:rPr>
                <w:rFonts w:cs="Arial"/>
                <w:sz w:val="20"/>
                <w:szCs w:val="20"/>
              </w:rPr>
            </w:pPr>
            <w:r w:rsidRPr="00522CD2">
              <w:rPr>
                <w:rFonts w:cs="Arial"/>
                <w:sz w:val="20"/>
                <w:szCs w:val="20"/>
              </w:rPr>
              <w:t>Hogue et al. (2007)</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"10.1111/j.1365-2788.2006.00938.x", "ISSN" : "0964-2633", "PMID" : "17803496", "abstract" : "BACKGROUND Despite an increasing knowledge base concerning the assessment of emotional and behavioural problems in people with intellectual disabilities (ID), relatively little research has examined such problems in offenders with ID. METHODS The study assessed 172 male offenders with ID in three service settings (high, medium-low security and community) using the Behaviour Rating Scale of the Emotional Problem Scales (EPS), with the aim of assessing differences in Externalizing and Internalizing Behaviour Problems. RESULTS Normative information is presented on the Behaviour Rating Scale of the EPS across three levels of forensic ID care. It was found that offenders in higher secure care scored higher on sub-scales reflecting physical aggression than those in lower secure care. However, there was no difference in terms of other Externalizing Behaviour Problems, such as verbal aggression, non-compliance or hyperactivity. In addition, those offenders in higher secure care scored significantly higher on all Internalizing Behaviour Problems sub-scales, including anxiety, depression and low self-esteem. CONCLUSIONS Implications for research and clinical practice are discussed, including the utility of the EPS as a measure of clinical need and treatment outcome.", "author" : [ { "dropping-particle" : "", "family" : "Hogue", "given" : "T E", "non-dropping-particle" : "", "parse-names" : false, "suffix" : "" }, { "dropping-particle" : "", "family" : "Mooney", "given" : "P", "non-dropping-particle" : "", "parse-names" : false, "suffix" : "" }, { "dropping-particle" : "", "family" : "Morrissey", "given" : "C", "non-dropping-particle" : "", "parse-names" : false, "suffix" : "" }, { "dropping-particle" : "", "family" : "Steptoe", "given" : "L", "non-dropping-particle" : "", "parse-names" : false, "suffix" : "" }, { "dropping-particle" : "", "family" : "Johnston", "given" : "S", "non-dropping-particle" : "", "parse-names" : false, "suffix" : "" }, { "dropping-particle" : "", "family" : "Lindsay", "given" : "W R", "non-dropping-particle" : "", "parse-names" : false, "suffix" : "" }, { "dropping-particle" : "", "family" : "Taylor", "given" : "J", "non-dropping-particle" : "", "parse-names" : false, "suffix" : "" } ], "container-title" : "Journal of intellectual disability research : JIDR", "id" : "ITEM-1", "issue" : "Pt 10", "issued" : { "date-parts" : [ [ "2007", "10" ] ] }, "page" : "778-85", "title" : "Emotional and behavioural problems in offenders with intellectual disability: comparative data from three forensic services.", "type" : "article-journal", "volume" : "51" }, "uris" : [ "http://www.mendeley.com/documents/?uuid=c3466c3c-a87f-3f21-9471-e18df4332590" ] } ], "mendeley" : { "formattedCitation" : "(62)", "plainTextFormattedCitation" : "(62)", "previouslyFormattedCitation" : "(62)"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(62)</w:t>
            </w:r>
            <w:r w:rsidR="00FC3FE5" w:rsidRPr="00522CD2">
              <w:rPr>
                <w:rFonts w:cs="Arial"/>
                <w:sz w:val="20"/>
                <w:szCs w:val="20"/>
              </w:rPr>
              <w:fldChar w:fldCharType="end"/>
            </w:r>
          </w:p>
          <w:p w14:paraId="5014EC88" w14:textId="77777777" w:rsidR="00841348" w:rsidRPr="00522CD2" w:rsidRDefault="00841348" w:rsidP="00272555">
            <w:pPr>
              <w:spacing w:line="276" w:lineRule="auto"/>
              <w:rPr>
                <w:rFonts w:cs="Arial"/>
                <w:sz w:val="20"/>
                <w:szCs w:val="20"/>
              </w:rPr>
            </w:pPr>
            <w:r w:rsidRPr="00522CD2">
              <w:rPr>
                <w:rFonts w:cs="Arial"/>
                <w:sz w:val="20"/>
                <w:szCs w:val="20"/>
              </w:rPr>
              <w:t>High, medium, low and community</w:t>
            </w:r>
          </w:p>
        </w:tc>
        <w:tc>
          <w:tcPr>
            <w:tcW w:w="2385" w:type="dxa"/>
            <w:tcBorders>
              <w:top w:val="single" w:sz="4" w:space="0" w:color="auto"/>
              <w:left w:val="nil"/>
              <w:bottom w:val="single" w:sz="4" w:space="0" w:color="auto"/>
              <w:right w:val="nil"/>
            </w:tcBorders>
            <w:shd w:val="clear" w:color="auto" w:fill="auto"/>
          </w:tcPr>
          <w:p w14:paraId="4DC2F658" w14:textId="05764CE5" w:rsidR="00841348" w:rsidRPr="00522CD2" w:rsidRDefault="00841348" w:rsidP="00272555">
            <w:pPr>
              <w:spacing w:line="276" w:lineRule="auto"/>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4B717F1C" w14:textId="77777777" w:rsidR="00841348" w:rsidRPr="00522CD2" w:rsidRDefault="00841348" w:rsidP="00272555">
            <w:pPr>
              <w:spacing w:line="276" w:lineRule="auto"/>
              <w:ind w:left="252"/>
              <w:rPr>
                <w:rFonts w:cs="Arial"/>
                <w:sz w:val="20"/>
                <w:szCs w:val="20"/>
              </w:rPr>
            </w:pPr>
            <w:r w:rsidRPr="00522CD2">
              <w:rPr>
                <w:rFonts w:cs="Arial"/>
                <w:sz w:val="20"/>
                <w:szCs w:val="20"/>
              </w:rPr>
              <w:t>228</w:t>
            </w:r>
          </w:p>
        </w:tc>
        <w:tc>
          <w:tcPr>
            <w:tcW w:w="3825" w:type="dxa"/>
            <w:tcBorders>
              <w:top w:val="single" w:sz="4" w:space="0" w:color="auto"/>
              <w:left w:val="nil"/>
              <w:bottom w:val="single" w:sz="4" w:space="0" w:color="auto"/>
              <w:right w:val="nil"/>
            </w:tcBorders>
            <w:shd w:val="clear" w:color="auto" w:fill="auto"/>
          </w:tcPr>
          <w:p w14:paraId="5C2639A6"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tc>
        <w:tc>
          <w:tcPr>
            <w:tcW w:w="5862" w:type="dxa"/>
            <w:tcBorders>
              <w:top w:val="single" w:sz="4" w:space="0" w:color="auto"/>
              <w:left w:val="nil"/>
              <w:bottom w:val="single" w:sz="4" w:space="0" w:color="auto"/>
              <w:right w:val="nil"/>
            </w:tcBorders>
            <w:shd w:val="clear" w:color="auto" w:fill="auto"/>
          </w:tcPr>
          <w:p w14:paraId="417E8566"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EPS-BRS (clinician rated)</w:t>
            </w:r>
          </w:p>
          <w:p w14:paraId="2DD069B4" w14:textId="77777777" w:rsidR="00841348" w:rsidRPr="00522CD2" w:rsidRDefault="00841348" w:rsidP="00272555">
            <w:pPr>
              <w:spacing w:line="276" w:lineRule="auto"/>
              <w:ind w:left="252"/>
              <w:rPr>
                <w:rFonts w:cs="Arial"/>
                <w:sz w:val="20"/>
                <w:szCs w:val="20"/>
              </w:rPr>
            </w:pPr>
          </w:p>
        </w:tc>
      </w:tr>
      <w:tr w:rsidR="00841348" w:rsidRPr="00522CD2" w14:paraId="6ED04B45"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43451DE1" w14:textId="77777777" w:rsidR="0054123D" w:rsidRPr="00522CD2" w:rsidRDefault="0054123D" w:rsidP="00272555">
            <w:pPr>
              <w:spacing w:line="276" w:lineRule="auto"/>
              <w:rPr>
                <w:rFonts w:cs="Arial"/>
                <w:sz w:val="20"/>
                <w:szCs w:val="20"/>
              </w:rPr>
            </w:pPr>
            <w:r w:rsidRPr="00522CD2">
              <w:rPr>
                <w:rFonts w:cs="Arial"/>
                <w:sz w:val="20"/>
                <w:szCs w:val="20"/>
              </w:rPr>
              <w:t xml:space="preserve">Johnson et al. (2012) </w:t>
            </w:r>
            <w:r w:rsidRPr="00522CD2">
              <w:rPr>
                <w:rFonts w:cs="Arial"/>
                <w:sz w:val="20"/>
                <w:szCs w:val="20"/>
              </w:rPr>
              <w:fldChar w:fldCharType="begin" w:fldLock="1"/>
            </w:r>
            <w:r w:rsidRPr="00522CD2">
              <w:rPr>
                <w:rFonts w:cs="Arial"/>
                <w:sz w:val="20"/>
                <w:szCs w:val="20"/>
              </w:rPr>
              <w:instrText>ADDIN CSL_CITATION { "citationItems" : [ { "id" : "ITEM-1", "itemData" : { "DOI" : "10.1111/j.1365-2788.2011.01447.x", "ISSN" : "1365-2788", "PMID" : "21726326", "abstract" : "BACKGROUND This was a quantitative study to measure the prevalence low self-esteem in an intellectually disabled forensic population. The dependent variables used were the adapted six-item Rosenberg Self-Esteem Scale and the adapted Evaluative Beliefs Scale. It had a repeated measures design with independent variables including consideration of differences between the low and medium secure parts of the service, the influences of types of offences and the effects of disrupted childhood attachments. METHODS Forty-four male clients, with mild to borderline intellectual disabilities, were recruited. Data were collected by one key researcher during individual research interviews using the two structured instruments to measure self-esteem. Further data were then obtained from routinely recorded clinical information held on the hospital computer system. RESULTS Unexpectedly, the majority of clients scored as having moderate or high self-esteem on both self-esteem measures. There was a statistically significant positive correlation between the two scales. In all, 64% of the population studied had committed either sexual offences or fire setting offences. Contrary to expectation, those who had evidence of disrupted attachments had slightly higher self-esteem than those who had not experienced disrupted attachments. CONCLUSIONS Self-esteem is a complex personal concept with many influencing factors. Cognitive behaviour therapy has a unique role in realising and overcoming negative core beliefs and feelings of low self-worth. The offence types concurred with previously noted patterns of offending within the intellectually disabled forensic population.", "author" : [ { "dropping-particle" : "", "family" : "Johnson", "given" : "P", "non-dropping-particle" : "", "parse-names" : false, "suffix" : "" } ], "container-title" : "Journal of intellectual disability research : JIDR", "id" : "ITEM-1", "issue" : "3", "issued" : { "date-parts" : [ [ "2012", "3" ] ] }, "page" : "317-25", "title" : "The prevalence of low self-esteem in an intellectually disabled forensic population.", "type" : "article-journal", "volume" : "56" }, "uris" : [ "http://www.mendeley.com/documents/?uuid=2f444d50-f81f-3d7c-9037-ff8344136b73" ] } ], "mendeley" : { "formattedCitation" : "(63)", "plainTextFormattedCitation" : "(63)", "previouslyFormattedCitation" : "(63)" }, "properties" : { "noteIndex" : 0 }, "schema" : "https://github.com/citation-style-language/schema/raw/master/csl-citation.json" }</w:instrText>
            </w:r>
            <w:r w:rsidRPr="00522CD2">
              <w:rPr>
                <w:rFonts w:cs="Arial"/>
                <w:sz w:val="20"/>
                <w:szCs w:val="20"/>
              </w:rPr>
              <w:fldChar w:fldCharType="separate"/>
            </w:r>
            <w:r w:rsidRPr="00522CD2">
              <w:rPr>
                <w:rFonts w:cs="Arial"/>
                <w:noProof/>
                <w:sz w:val="20"/>
                <w:szCs w:val="20"/>
              </w:rPr>
              <w:t>(63)</w:t>
            </w:r>
            <w:r w:rsidRPr="00522CD2">
              <w:rPr>
                <w:rFonts w:cs="Arial"/>
                <w:sz w:val="20"/>
                <w:szCs w:val="20"/>
              </w:rPr>
              <w:fldChar w:fldCharType="end"/>
            </w:r>
          </w:p>
          <w:p w14:paraId="50C5E0BB" w14:textId="6CE7830C" w:rsidR="00841348" w:rsidRPr="00522CD2" w:rsidRDefault="0054123D" w:rsidP="00386B2B">
            <w:pPr>
              <w:spacing w:line="276" w:lineRule="auto"/>
              <w:rPr>
                <w:rFonts w:cs="Arial"/>
                <w:sz w:val="20"/>
                <w:szCs w:val="20"/>
              </w:rPr>
            </w:pPr>
            <w:r w:rsidRPr="00522CD2">
              <w:rPr>
                <w:rFonts w:cs="Arial"/>
                <w:sz w:val="20"/>
                <w:szCs w:val="20"/>
              </w:rPr>
              <w:t>Medium and low secure</w:t>
            </w:r>
          </w:p>
        </w:tc>
        <w:tc>
          <w:tcPr>
            <w:tcW w:w="2385" w:type="dxa"/>
            <w:tcBorders>
              <w:top w:val="single" w:sz="4" w:space="0" w:color="auto"/>
              <w:left w:val="nil"/>
              <w:bottom w:val="single" w:sz="4" w:space="0" w:color="auto"/>
              <w:right w:val="nil"/>
            </w:tcBorders>
            <w:shd w:val="clear" w:color="auto" w:fill="auto"/>
          </w:tcPr>
          <w:p w14:paraId="524B549A" w14:textId="089B4871" w:rsidR="00841348" w:rsidRPr="00522CD2" w:rsidRDefault="00841348" w:rsidP="00272555">
            <w:pPr>
              <w:spacing w:line="276" w:lineRule="auto"/>
              <w:rPr>
                <w:rFonts w:cs="Arial"/>
                <w:sz w:val="20"/>
                <w:szCs w:val="20"/>
              </w:rPr>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2EF97CA6" w14:textId="77777777" w:rsidR="00841348" w:rsidRPr="00522CD2" w:rsidRDefault="00841348" w:rsidP="00272555">
            <w:pPr>
              <w:spacing w:line="276" w:lineRule="auto"/>
              <w:ind w:left="252"/>
              <w:rPr>
                <w:rFonts w:cs="Arial"/>
                <w:sz w:val="20"/>
                <w:szCs w:val="20"/>
              </w:rPr>
            </w:pPr>
            <w:r w:rsidRPr="00522CD2">
              <w:rPr>
                <w:rFonts w:cs="Arial"/>
                <w:sz w:val="20"/>
                <w:szCs w:val="20"/>
              </w:rPr>
              <w:t>44</w:t>
            </w:r>
          </w:p>
        </w:tc>
        <w:tc>
          <w:tcPr>
            <w:tcW w:w="3825" w:type="dxa"/>
            <w:tcBorders>
              <w:top w:val="single" w:sz="4" w:space="0" w:color="auto"/>
              <w:left w:val="nil"/>
              <w:bottom w:val="single" w:sz="4" w:space="0" w:color="auto"/>
              <w:right w:val="nil"/>
            </w:tcBorders>
            <w:shd w:val="clear" w:color="auto" w:fill="auto"/>
          </w:tcPr>
          <w:p w14:paraId="342FCAF1"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p w14:paraId="288942D7"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tc>
        <w:tc>
          <w:tcPr>
            <w:tcW w:w="5862" w:type="dxa"/>
            <w:tcBorders>
              <w:top w:val="single" w:sz="4" w:space="0" w:color="auto"/>
              <w:left w:val="nil"/>
              <w:bottom w:val="single" w:sz="4" w:space="0" w:color="auto"/>
              <w:right w:val="nil"/>
            </w:tcBorders>
            <w:shd w:val="clear" w:color="auto" w:fill="auto"/>
          </w:tcPr>
          <w:p w14:paraId="34D5E9EE"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RSES and EBS (patient rated)</w:t>
            </w:r>
          </w:p>
          <w:p w14:paraId="0D7C0F4E"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number of months</w:t>
            </w:r>
          </w:p>
          <w:p w14:paraId="6B63CD85" w14:textId="77777777" w:rsidR="00841348" w:rsidRPr="00522CD2" w:rsidRDefault="00841348" w:rsidP="00272555">
            <w:pPr>
              <w:spacing w:line="276" w:lineRule="auto"/>
              <w:ind w:left="252"/>
              <w:rPr>
                <w:rFonts w:cs="Arial"/>
                <w:sz w:val="20"/>
                <w:szCs w:val="20"/>
              </w:rPr>
            </w:pPr>
          </w:p>
        </w:tc>
      </w:tr>
      <w:tr w:rsidR="00841348" w:rsidRPr="00522CD2" w14:paraId="3F16C770"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47E47BE5" w14:textId="438373F5" w:rsidR="00841348" w:rsidRPr="00522CD2" w:rsidRDefault="00841348" w:rsidP="00272555">
            <w:pPr>
              <w:spacing w:line="276" w:lineRule="auto"/>
              <w:rPr>
                <w:rFonts w:cs="Arial"/>
                <w:sz w:val="20"/>
                <w:szCs w:val="20"/>
              </w:rPr>
            </w:pPr>
            <w:r w:rsidRPr="00522CD2">
              <w:rPr>
                <w:rFonts w:cs="Arial"/>
                <w:sz w:val="20"/>
                <w:szCs w:val="20"/>
              </w:rPr>
              <w:t>Kellet</w:t>
            </w:r>
            <w:r w:rsidR="0054123D" w:rsidRPr="00522CD2">
              <w:rPr>
                <w:rFonts w:cs="Arial"/>
                <w:sz w:val="20"/>
                <w:szCs w:val="20"/>
              </w:rPr>
              <w:t>t</w:t>
            </w:r>
            <w:r w:rsidRPr="00522CD2">
              <w:rPr>
                <w:rFonts w:cs="Arial"/>
                <w:sz w:val="20"/>
                <w:szCs w:val="20"/>
              </w:rPr>
              <w:t xml:space="preserve"> et al. (2003)</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"10.1046/j.1468-3148.2003.00152.x", "ISSN" : "13602322", "abstract" : "Introduction People with intellectual disabilities are now acknowledged to be susceptible to the full range of mental health disorders. This acknowledgement has resulted in the need to develop and evaluate instruments for the assessment and detection of mental health problems. This research evaluates the use of the Brief Symptom Inventory (BSI) with 200 people with mild intellectual disabilities representing community, clinical and forensic populations. Results and conclusions Results illustrate the reliability of the BSI for each of the groups and demonstrates how the Positive Symptom Total (PST) index effectively discriminates between study groups. Case rates for each group are provided. The study illustrates that the BSI could be employed as a brief multitrait assessment instrument and as a treatment outcome measure with people with an intellectual disability.", "author" : [ { "dropping-particle" : "", "family" : "Kellett", "given" : "Stephen", "non-dropping-particle" : "", "parse-names" : false, "suffix" : "" }, { "dropping-particle" : "", "family" : "Beail", "given" : "Nigel", "non-dropping-particle" : "", "parse-names" : false, "suffix" : "" }, { "dropping-particle" : "", "family" : "Newman", "given" : "David W.", "non-dropping-particle" : "", "parse-names" : false, "suffix" : "" }, { "dropping-particle" : "", "family" : "Frankish", "given" : "Pat", "non-dropping-particle" : "", "parse-names" : false, "suffix" : "" } ], "container-title" : "Journal of Applied Research in Intellectual Disabilities", "id" : "ITEM-1", "issue" : "2", "issued" : { "date-parts" : [ [ "2003", "6" ] ] }, "page" : "127-134", "publisher" : "Blackwell Science, Ltd", "title" : "Utility of the Brief Symptom Inventory in the Assessment of Psychological Distress", "type" : "article-journal", "volume" : "16" }, "uris" : [ "http://www.mendeley.com/documents/?uuid=e2411db2-e1b9-3571-b9be-b90f55f527cb" ] } ], "mendeley" : { "formattedCitation" : "(64)", "plainTextFormattedCitation" : "(64)", "previouslyFormattedCitation" : "(64)"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(64)</w:t>
            </w:r>
            <w:r w:rsidR="00FC3FE5" w:rsidRPr="00522CD2">
              <w:rPr>
                <w:rFonts w:cs="Arial"/>
                <w:sz w:val="20"/>
                <w:szCs w:val="20"/>
              </w:rPr>
              <w:fldChar w:fldCharType="end"/>
            </w:r>
          </w:p>
          <w:p w14:paraId="2371D457" w14:textId="77777777" w:rsidR="00841348" w:rsidRPr="00522CD2" w:rsidRDefault="00841348" w:rsidP="00272555">
            <w:pPr>
              <w:spacing w:line="276" w:lineRule="auto"/>
              <w:rPr>
                <w:rFonts w:cs="Arial"/>
                <w:sz w:val="20"/>
                <w:szCs w:val="20"/>
              </w:rPr>
            </w:pPr>
            <w:r w:rsidRPr="00522CD2">
              <w:rPr>
                <w:rFonts w:cs="Arial"/>
                <w:sz w:val="20"/>
                <w:szCs w:val="20"/>
              </w:rPr>
              <w:t>High secure</w:t>
            </w:r>
          </w:p>
        </w:tc>
        <w:tc>
          <w:tcPr>
            <w:tcW w:w="2385" w:type="dxa"/>
            <w:tcBorders>
              <w:top w:val="single" w:sz="4" w:space="0" w:color="auto"/>
              <w:left w:val="nil"/>
              <w:bottom w:val="single" w:sz="4" w:space="0" w:color="auto"/>
              <w:right w:val="nil"/>
            </w:tcBorders>
            <w:shd w:val="clear" w:color="auto" w:fill="auto"/>
          </w:tcPr>
          <w:p w14:paraId="60EBC068" w14:textId="4836CBE0" w:rsidR="00841348" w:rsidRPr="00522CD2" w:rsidRDefault="00841348" w:rsidP="00272555">
            <w:pPr>
              <w:spacing w:line="276" w:lineRule="auto"/>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4F413577" w14:textId="77777777" w:rsidR="00841348" w:rsidRPr="00522CD2" w:rsidRDefault="00841348" w:rsidP="00272555">
            <w:pPr>
              <w:spacing w:line="276" w:lineRule="auto"/>
              <w:ind w:left="252"/>
              <w:rPr>
                <w:rFonts w:cs="Arial"/>
                <w:sz w:val="20"/>
                <w:szCs w:val="20"/>
              </w:rPr>
            </w:pPr>
            <w:r w:rsidRPr="00522CD2">
              <w:rPr>
                <w:rFonts w:cs="Arial"/>
                <w:sz w:val="20"/>
                <w:szCs w:val="20"/>
              </w:rPr>
              <w:t>45</w:t>
            </w:r>
          </w:p>
        </w:tc>
        <w:tc>
          <w:tcPr>
            <w:tcW w:w="3825" w:type="dxa"/>
            <w:tcBorders>
              <w:top w:val="single" w:sz="4" w:space="0" w:color="auto"/>
              <w:left w:val="nil"/>
              <w:bottom w:val="single" w:sz="4" w:space="0" w:color="auto"/>
              <w:right w:val="nil"/>
            </w:tcBorders>
            <w:shd w:val="clear" w:color="auto" w:fill="auto"/>
          </w:tcPr>
          <w:p w14:paraId="13ACEE59"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p w14:paraId="6C40972F" w14:textId="77777777" w:rsidR="00841348" w:rsidRPr="00522CD2" w:rsidRDefault="00841348" w:rsidP="00272555">
            <w:pPr>
              <w:spacing w:line="276" w:lineRule="auto"/>
              <w:rPr>
                <w:rFonts w:cs="Arial"/>
                <w:sz w:val="20"/>
                <w:szCs w:val="20"/>
              </w:rPr>
            </w:pPr>
          </w:p>
        </w:tc>
        <w:tc>
          <w:tcPr>
            <w:tcW w:w="5862" w:type="dxa"/>
            <w:tcBorders>
              <w:top w:val="single" w:sz="4" w:space="0" w:color="auto"/>
              <w:left w:val="nil"/>
              <w:bottom w:val="single" w:sz="4" w:space="0" w:color="auto"/>
              <w:right w:val="nil"/>
            </w:tcBorders>
            <w:shd w:val="clear" w:color="auto" w:fill="auto"/>
          </w:tcPr>
          <w:p w14:paraId="04F4D186" w14:textId="195F5301" w:rsidR="00841348" w:rsidRPr="00522CD2" w:rsidRDefault="00293045" w:rsidP="0029304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BSI (p</w:t>
            </w:r>
            <w:r w:rsidR="00841348" w:rsidRPr="00522CD2">
              <w:rPr>
                <w:rFonts w:cs="Arial"/>
                <w:sz w:val="20"/>
                <w:szCs w:val="20"/>
              </w:rPr>
              <w:t>atient rated</w:t>
            </w:r>
            <w:r w:rsidRPr="00522CD2">
              <w:rPr>
                <w:rFonts w:cs="Arial"/>
                <w:sz w:val="20"/>
                <w:szCs w:val="20"/>
              </w:rPr>
              <w:t>)</w:t>
            </w:r>
          </w:p>
        </w:tc>
      </w:tr>
      <w:tr w:rsidR="00841348" w:rsidRPr="00522CD2" w14:paraId="2E5C3E9A" w14:textId="77777777" w:rsidTr="00272555">
        <w:trPr>
          <w:trHeight w:val="416"/>
        </w:trPr>
        <w:tc>
          <w:tcPr>
            <w:tcW w:w="15490" w:type="dxa"/>
            <w:gridSpan w:val="5"/>
            <w:tcBorders>
              <w:top w:val="single" w:sz="4" w:space="0" w:color="auto"/>
              <w:left w:val="nil"/>
              <w:bottom w:val="nil"/>
              <w:right w:val="nil"/>
            </w:tcBorders>
            <w:shd w:val="clear" w:color="auto" w:fill="FFFFFF" w:themeFill="background1"/>
          </w:tcPr>
          <w:p w14:paraId="67EDF1A5" w14:textId="0C9B556B" w:rsidR="00841348" w:rsidRPr="00522CD2" w:rsidRDefault="00841348" w:rsidP="00386B2B">
            <w:pPr>
              <w:spacing w:line="276" w:lineRule="auto"/>
              <w:rPr>
                <w:rFonts w:cs="Arial"/>
                <w:sz w:val="20"/>
                <w:szCs w:val="20"/>
              </w:rPr>
            </w:pPr>
            <w:r w:rsidRPr="00522CD2">
              <w:rPr>
                <w:rFonts w:cs="Arial"/>
                <w:i/>
                <w:sz w:val="20"/>
                <w:szCs w:val="20"/>
              </w:rPr>
              <w:t>Note.</w:t>
            </w:r>
            <w:r w:rsidR="003002B9" w:rsidRPr="00522CD2">
              <w:rPr>
                <w:rFonts w:cs="Arial"/>
                <w:sz w:val="20"/>
                <w:szCs w:val="20"/>
              </w:rPr>
              <w:t xml:space="preserve"> </w:t>
            </w:r>
            <w:r w:rsidR="00165F91" w:rsidRPr="00522CD2">
              <w:rPr>
                <w:rFonts w:cs="Arial"/>
                <w:sz w:val="20"/>
                <w:szCs w:val="20"/>
              </w:rPr>
              <w:t xml:space="preserve">ASD = Autistic Spectrum Disorder; </w:t>
            </w:r>
            <w:r w:rsidR="003002B9" w:rsidRPr="00522CD2">
              <w:rPr>
                <w:rFonts w:cs="Arial"/>
                <w:sz w:val="20"/>
                <w:szCs w:val="20"/>
              </w:rPr>
              <w:t>VRAG = Violence Risk A</w:t>
            </w:r>
            <w:r w:rsidRPr="00522CD2">
              <w:rPr>
                <w:rFonts w:cs="Arial"/>
                <w:sz w:val="20"/>
                <w:szCs w:val="20"/>
              </w:rPr>
              <w:t>pp</w:t>
            </w:r>
            <w:r w:rsidR="003002B9" w:rsidRPr="00522CD2">
              <w:rPr>
                <w:rFonts w:cs="Arial"/>
                <w:sz w:val="20"/>
                <w:szCs w:val="20"/>
              </w:rPr>
              <w:t>raisal Guide; RSES = Rosenberg Self-Esteem S</w:t>
            </w:r>
            <w:r w:rsidRPr="00522CD2">
              <w:rPr>
                <w:rFonts w:cs="Arial"/>
                <w:sz w:val="20"/>
                <w:szCs w:val="20"/>
              </w:rPr>
              <w:t>cale; EBS = Evaluative Beliefs Scale</w:t>
            </w:r>
            <w:r w:rsidR="003002B9" w:rsidRPr="00522CD2">
              <w:rPr>
                <w:rFonts w:cs="Arial"/>
                <w:sz w:val="20"/>
                <w:szCs w:val="20"/>
              </w:rPr>
              <w:t>; BSI = Brief Symptom I</w:t>
            </w:r>
            <w:r w:rsidRPr="00522CD2">
              <w:rPr>
                <w:rFonts w:cs="Arial"/>
                <w:sz w:val="20"/>
                <w:szCs w:val="20"/>
              </w:rPr>
              <w:t>nventory</w:t>
            </w:r>
          </w:p>
        </w:tc>
      </w:tr>
      <w:tr w:rsidR="00841348" w:rsidRPr="00522CD2" w14:paraId="3D12D035" w14:textId="77777777" w:rsidTr="00272555">
        <w:trPr>
          <w:trHeight w:val="447"/>
        </w:trPr>
        <w:tc>
          <w:tcPr>
            <w:tcW w:w="15490" w:type="dxa"/>
            <w:gridSpan w:val="5"/>
            <w:tcBorders>
              <w:top w:val="nil"/>
              <w:left w:val="nil"/>
              <w:bottom w:val="single" w:sz="4" w:space="0" w:color="FFFFFF"/>
              <w:right w:val="nil"/>
            </w:tcBorders>
            <w:shd w:val="clear" w:color="auto" w:fill="FFFFFF" w:themeFill="background1"/>
          </w:tcPr>
          <w:p w14:paraId="45A90040" w14:textId="77777777" w:rsidR="00272555" w:rsidRPr="00522CD2" w:rsidRDefault="00272555" w:rsidP="00272555">
            <w:pPr>
              <w:spacing w:line="276" w:lineRule="auto"/>
              <w:rPr>
                <w:rFonts w:cs="Arial"/>
                <w:b/>
                <w:sz w:val="20"/>
                <w:szCs w:val="20"/>
              </w:rPr>
            </w:pPr>
          </w:p>
          <w:p w14:paraId="0F0E9264" w14:textId="6768AFEA" w:rsidR="00841348" w:rsidRPr="00522CD2" w:rsidRDefault="00841348" w:rsidP="00272555">
            <w:pPr>
              <w:spacing w:line="276" w:lineRule="auto"/>
              <w:rPr>
                <w:rFonts w:cs="Arial"/>
                <w:sz w:val="20"/>
                <w:szCs w:val="20"/>
              </w:rPr>
            </w:pPr>
          </w:p>
        </w:tc>
      </w:tr>
      <w:tr w:rsidR="00272555" w:rsidRPr="00522CD2" w14:paraId="45568497" w14:textId="77777777" w:rsidTr="00272555">
        <w:trPr>
          <w:trHeight w:val="587"/>
        </w:trPr>
        <w:tc>
          <w:tcPr>
            <w:tcW w:w="15490" w:type="dxa"/>
            <w:gridSpan w:val="5"/>
            <w:tcBorders>
              <w:top w:val="single" w:sz="4" w:space="0" w:color="FFFFFF"/>
              <w:left w:val="nil"/>
              <w:bottom w:val="single" w:sz="4" w:space="0" w:color="auto"/>
              <w:right w:val="nil"/>
            </w:tcBorders>
            <w:shd w:val="clear" w:color="auto" w:fill="FFFFFF" w:themeFill="background1"/>
          </w:tcPr>
          <w:p w14:paraId="441B8C7D" w14:textId="77777777" w:rsidR="00272555" w:rsidRPr="00522CD2" w:rsidRDefault="00272555" w:rsidP="00272555">
            <w:pPr>
              <w:spacing w:line="276" w:lineRule="auto"/>
              <w:rPr>
                <w:rFonts w:cs="Arial"/>
                <w:sz w:val="20"/>
                <w:szCs w:val="20"/>
              </w:rPr>
            </w:pPr>
            <w:r w:rsidRPr="00522CD2">
              <w:rPr>
                <w:rFonts w:cs="Arial"/>
                <w:b/>
                <w:sz w:val="20"/>
                <w:szCs w:val="20"/>
              </w:rPr>
              <w:t xml:space="preserve">Table 1. </w:t>
            </w:r>
            <w:r w:rsidRPr="00522CD2">
              <w:rPr>
                <w:rFonts w:cs="Arial"/>
                <w:sz w:val="20"/>
                <w:szCs w:val="20"/>
              </w:rPr>
              <w:t xml:space="preserve"> continued</w:t>
            </w:r>
          </w:p>
          <w:p w14:paraId="695A3956" w14:textId="6FE96230" w:rsidR="00272555" w:rsidRPr="00522CD2" w:rsidRDefault="00272555" w:rsidP="00272555">
            <w:pPr>
              <w:spacing w:line="276" w:lineRule="auto"/>
              <w:rPr>
                <w:rFonts w:cs="Arial"/>
                <w:b/>
                <w:sz w:val="20"/>
                <w:szCs w:val="20"/>
              </w:rPr>
            </w:pPr>
            <w:r w:rsidRPr="00522CD2">
              <w:rPr>
                <w:rFonts w:cs="Arial"/>
                <w:sz w:val="20"/>
                <w:szCs w:val="20"/>
              </w:rPr>
              <w:t>Summary of studies presenting data on the outcome domain of effectiveness (cross-sectional studies).</w:t>
            </w:r>
          </w:p>
        </w:tc>
      </w:tr>
      <w:tr w:rsidR="00841348" w:rsidRPr="00522CD2" w14:paraId="4AE0FB8C" w14:textId="77777777" w:rsidTr="00272555">
        <w:trPr>
          <w:trHeight w:val="416"/>
        </w:trPr>
        <w:tc>
          <w:tcPr>
            <w:tcW w:w="2399" w:type="dxa"/>
            <w:tcBorders>
              <w:top w:val="single" w:sz="4" w:space="0" w:color="auto"/>
              <w:left w:val="nil"/>
              <w:bottom w:val="single" w:sz="4" w:space="0" w:color="auto"/>
              <w:right w:val="nil"/>
            </w:tcBorders>
            <w:shd w:val="clear" w:color="auto" w:fill="FFFFFF" w:themeFill="background1"/>
          </w:tcPr>
          <w:p w14:paraId="15CA5ED8" w14:textId="77777777" w:rsidR="00841348" w:rsidRPr="00522CD2" w:rsidRDefault="00841348" w:rsidP="00272555">
            <w:pPr>
              <w:jc w:val="center"/>
              <w:rPr>
                <w:rFonts w:cs="Arial"/>
                <w:b/>
                <w:sz w:val="20"/>
                <w:szCs w:val="20"/>
              </w:rPr>
            </w:pPr>
            <w:r w:rsidRPr="00522CD2">
              <w:rPr>
                <w:rFonts w:cs="Arial"/>
                <w:b/>
                <w:sz w:val="20"/>
                <w:szCs w:val="20"/>
              </w:rPr>
              <w:t>Study and Setting</w:t>
            </w:r>
          </w:p>
        </w:tc>
        <w:tc>
          <w:tcPr>
            <w:tcW w:w="2385" w:type="dxa"/>
            <w:tcBorders>
              <w:top w:val="single" w:sz="4" w:space="0" w:color="auto"/>
              <w:left w:val="nil"/>
              <w:bottom w:val="single" w:sz="4" w:space="0" w:color="auto"/>
              <w:right w:val="nil"/>
            </w:tcBorders>
            <w:shd w:val="clear" w:color="auto" w:fill="FFFFFF" w:themeFill="background1"/>
          </w:tcPr>
          <w:p w14:paraId="0FA532ED" w14:textId="77777777" w:rsidR="00841348" w:rsidRPr="00522CD2" w:rsidRDefault="00841348" w:rsidP="00272555">
            <w:pPr>
              <w:rPr>
                <w:rFonts w:cs="Arial"/>
                <w:b/>
                <w:sz w:val="20"/>
                <w:szCs w:val="20"/>
              </w:rPr>
            </w:pPr>
            <w:r w:rsidRPr="00522CD2">
              <w:rPr>
                <w:rFonts w:cs="Arial"/>
                <w:b/>
                <w:sz w:val="20"/>
                <w:szCs w:val="20"/>
              </w:rPr>
              <w:t>Design</w:t>
            </w:r>
          </w:p>
        </w:tc>
        <w:tc>
          <w:tcPr>
            <w:tcW w:w="1019" w:type="dxa"/>
            <w:tcBorders>
              <w:top w:val="single" w:sz="4" w:space="0" w:color="auto"/>
              <w:left w:val="nil"/>
              <w:bottom w:val="single" w:sz="4" w:space="0" w:color="auto"/>
              <w:right w:val="nil"/>
            </w:tcBorders>
            <w:shd w:val="clear" w:color="auto" w:fill="FFFFFF" w:themeFill="background1"/>
          </w:tcPr>
          <w:p w14:paraId="4F9F7940" w14:textId="77777777" w:rsidR="00841348" w:rsidRPr="00522CD2" w:rsidRDefault="00841348" w:rsidP="00272555">
            <w:pPr>
              <w:jc w:val="center"/>
              <w:rPr>
                <w:rFonts w:cs="Arial"/>
                <w:b/>
                <w:sz w:val="20"/>
                <w:szCs w:val="20"/>
              </w:rPr>
            </w:pPr>
            <w:r w:rsidRPr="00522CD2">
              <w:rPr>
                <w:rFonts w:cs="Arial"/>
                <w:b/>
                <w:sz w:val="20"/>
                <w:szCs w:val="20"/>
              </w:rPr>
              <w:t>N</w:t>
            </w:r>
          </w:p>
        </w:tc>
        <w:tc>
          <w:tcPr>
            <w:tcW w:w="3825" w:type="dxa"/>
            <w:tcBorders>
              <w:top w:val="single" w:sz="4" w:space="0" w:color="auto"/>
              <w:left w:val="nil"/>
              <w:bottom w:val="single" w:sz="4" w:space="0" w:color="auto"/>
              <w:right w:val="nil"/>
            </w:tcBorders>
            <w:shd w:val="clear" w:color="auto" w:fill="FFFFFF" w:themeFill="background1"/>
          </w:tcPr>
          <w:p w14:paraId="33FB6D35" w14:textId="77777777" w:rsidR="00841348" w:rsidRPr="00522CD2" w:rsidRDefault="00841348" w:rsidP="00272555">
            <w:pPr>
              <w:jc w:val="center"/>
              <w:rPr>
                <w:rFonts w:cs="Arial"/>
                <w:b/>
                <w:sz w:val="20"/>
                <w:szCs w:val="20"/>
              </w:rPr>
            </w:pPr>
            <w:r w:rsidRPr="00522CD2">
              <w:rPr>
                <w:rFonts w:cs="Arial"/>
                <w:b/>
                <w:sz w:val="20"/>
                <w:szCs w:val="20"/>
              </w:rPr>
              <w:t>Outcome Sub-Domain</w:t>
            </w:r>
          </w:p>
        </w:tc>
        <w:tc>
          <w:tcPr>
            <w:tcW w:w="5862" w:type="dxa"/>
            <w:tcBorders>
              <w:top w:val="single" w:sz="4" w:space="0" w:color="auto"/>
              <w:left w:val="nil"/>
              <w:bottom w:val="single" w:sz="4" w:space="0" w:color="auto"/>
              <w:right w:val="nil"/>
            </w:tcBorders>
            <w:shd w:val="clear" w:color="auto" w:fill="FFFFFF" w:themeFill="background1"/>
          </w:tcPr>
          <w:p w14:paraId="4F9965BE" w14:textId="77777777" w:rsidR="00841348" w:rsidRPr="00522CD2" w:rsidRDefault="00841348" w:rsidP="00272555">
            <w:pPr>
              <w:jc w:val="center"/>
              <w:rPr>
                <w:rFonts w:cs="Arial"/>
                <w:b/>
                <w:sz w:val="20"/>
                <w:szCs w:val="20"/>
              </w:rPr>
            </w:pPr>
            <w:r w:rsidRPr="00522CD2">
              <w:rPr>
                <w:rFonts w:cs="Arial"/>
                <w:b/>
                <w:sz w:val="20"/>
                <w:szCs w:val="20"/>
              </w:rPr>
              <w:t>Measure/Indicator</w:t>
            </w:r>
          </w:p>
        </w:tc>
      </w:tr>
      <w:tr w:rsidR="00841348" w:rsidRPr="00522CD2" w14:paraId="708D0FDF"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341EF550" w14:textId="2BAB739A" w:rsidR="00841348" w:rsidRPr="00522CD2" w:rsidRDefault="00841348" w:rsidP="00272555">
            <w:pPr>
              <w:spacing w:line="276" w:lineRule="auto"/>
              <w:rPr>
                <w:rFonts w:cs="Arial"/>
                <w:sz w:val="20"/>
                <w:szCs w:val="20"/>
              </w:rPr>
            </w:pPr>
            <w:r w:rsidRPr="00522CD2">
              <w:rPr>
                <w:rFonts w:cs="Arial"/>
                <w:sz w:val="20"/>
                <w:szCs w:val="20"/>
              </w:rPr>
              <w:t>Lindsay  et al. (2004c</w:t>
            </w:r>
            <w:r w:rsidR="00AB19B4" w:rsidRPr="00522CD2">
              <w:rPr>
                <w:rFonts w:cs="Arial"/>
                <w:sz w:val="20"/>
                <w:szCs w:val="20"/>
              </w:rPr>
              <w:t xml:space="preserve">) </w:t>
            </w:r>
            <w:r w:rsidR="00AB19B4" w:rsidRPr="00522CD2">
              <w:rPr>
                <w:rFonts w:cs="Arial"/>
                <w:sz w:val="20"/>
                <w:szCs w:val="20"/>
              </w:rPr>
              <w:fldChar w:fldCharType="begin" w:fldLock="1"/>
            </w:r>
            <w:r w:rsidR="00E353A8" w:rsidRPr="00522CD2">
              <w:rPr>
                <w:rFonts w:cs="Arial"/>
                <w:sz w:val="20"/>
                <w:szCs w:val="20"/>
              </w:rPr>
              <w:instrText>ADDIN CSL_CITATION { "citationItems" : [ { "id" : "ITEM-1", "itemData" : { "DOI" : "10.1111/j.1468-3148.2004.00217.x", "ISSN" : "1360-2322", "author" : [ { "dropping-particle" : "", "family" : "Lindsay", "given" : "William R.", "non-dropping-particle" : "", "parse-names" : false, "suffix" : "" }, { "dropping-particle" : "", "family" : "Elliot", "given" : "Susanne F.", "non-dropping-particle" : "", "parse-names" : false, "suffix" : "" }, { "dropping-particle" : "", "family" : "Astell", "given" : "Arlene", "non-dropping-particle" : "", "parse-names" : false, "suffix" : "" } ], "container-title" : "Journal of Applied Research in Intellectual Disabilities", "id" : "ITEM-1", "issue" : "4", "issued" : { "date-parts" : [ [ "2004", "12" ] ] }, "page" : "299-305", "publisher" : "Blackwell Science Ltd", "title" : "Predictors of Sexual Offence Recidivism in Offenders with Intellectual Disabilities", "type" : "article-journal", "volume" : "17" }, "uris" : [ "http://www.mendeley.com/documents/?uuid=c889789b-a788-39f4-89e5-383d2ae96f7f" ] } ], "mendeley" : { "formattedCitation" : "(65)", "plainTextFormattedCitation" : "(65)", "previouslyFormattedCitation" : "(65)" }, "properties" : { "noteIndex" : 0 }, "schema" : "https://github.com/citation-style-language/schema/raw/master/csl-citation.json" }</w:instrText>
            </w:r>
            <w:r w:rsidR="00AB19B4" w:rsidRPr="00522CD2">
              <w:rPr>
                <w:rFonts w:cs="Arial"/>
                <w:sz w:val="20"/>
                <w:szCs w:val="20"/>
              </w:rPr>
              <w:fldChar w:fldCharType="separate"/>
            </w:r>
            <w:r w:rsidR="00E353A8" w:rsidRPr="00522CD2">
              <w:rPr>
                <w:rFonts w:cs="Arial"/>
                <w:noProof/>
                <w:sz w:val="20"/>
                <w:szCs w:val="20"/>
              </w:rPr>
              <w:t>(65)</w:t>
            </w:r>
            <w:r w:rsidR="00AB19B4" w:rsidRPr="00522CD2">
              <w:rPr>
                <w:rFonts w:cs="Arial"/>
                <w:sz w:val="20"/>
                <w:szCs w:val="20"/>
              </w:rPr>
              <w:fldChar w:fldCharType="end"/>
            </w:r>
          </w:p>
          <w:p w14:paraId="22B5D488" w14:textId="77777777" w:rsidR="00841348" w:rsidRPr="00522CD2" w:rsidRDefault="00841348" w:rsidP="00272555">
            <w:pPr>
              <w:spacing w:line="276" w:lineRule="auto"/>
              <w:rPr>
                <w:rFonts w:cs="Arial"/>
                <w:sz w:val="20"/>
                <w:szCs w:val="20"/>
              </w:rPr>
            </w:pPr>
            <w:r w:rsidRPr="00522CD2">
              <w:rPr>
                <w:rFonts w:cs="Arial"/>
                <w:sz w:val="20"/>
                <w:szCs w:val="20"/>
              </w:rPr>
              <w:t>Community</w:t>
            </w:r>
          </w:p>
          <w:p w14:paraId="34A73069" w14:textId="77777777" w:rsidR="00841348" w:rsidRPr="00522CD2" w:rsidRDefault="00841348" w:rsidP="00272555">
            <w:pPr>
              <w:spacing w:line="276" w:lineRule="auto"/>
              <w:rPr>
                <w:rFonts w:cs="Arial"/>
                <w:sz w:val="20"/>
                <w:szCs w:val="20"/>
              </w:rPr>
            </w:pPr>
          </w:p>
        </w:tc>
        <w:tc>
          <w:tcPr>
            <w:tcW w:w="2385" w:type="dxa"/>
            <w:tcBorders>
              <w:top w:val="single" w:sz="4" w:space="0" w:color="auto"/>
              <w:left w:val="nil"/>
              <w:bottom w:val="single" w:sz="4" w:space="0" w:color="auto"/>
              <w:right w:val="nil"/>
            </w:tcBorders>
            <w:shd w:val="clear" w:color="auto" w:fill="auto"/>
          </w:tcPr>
          <w:p w14:paraId="0CF8FF2B" w14:textId="79382C62" w:rsidR="00841348" w:rsidRPr="00522CD2" w:rsidRDefault="00841348" w:rsidP="00272555">
            <w:pPr>
              <w:spacing w:line="276" w:lineRule="auto"/>
              <w:rPr>
                <w:rFonts w:cs="Arial"/>
                <w:sz w:val="20"/>
                <w:szCs w:val="20"/>
              </w:rPr>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4761D1FD" w14:textId="77777777" w:rsidR="00841348" w:rsidRPr="00522CD2" w:rsidRDefault="00841348" w:rsidP="00272555">
            <w:pPr>
              <w:spacing w:line="276" w:lineRule="auto"/>
              <w:jc w:val="center"/>
              <w:rPr>
                <w:rFonts w:cs="Arial"/>
                <w:sz w:val="20"/>
                <w:szCs w:val="20"/>
              </w:rPr>
            </w:pPr>
            <w:r w:rsidRPr="00522CD2">
              <w:rPr>
                <w:rFonts w:cs="Arial"/>
                <w:sz w:val="20"/>
                <w:szCs w:val="20"/>
              </w:rPr>
              <w:t>52</w:t>
            </w:r>
          </w:p>
        </w:tc>
        <w:tc>
          <w:tcPr>
            <w:tcW w:w="3825" w:type="dxa"/>
            <w:tcBorders>
              <w:top w:val="single" w:sz="4" w:space="0" w:color="auto"/>
              <w:left w:val="nil"/>
              <w:bottom w:val="single" w:sz="4" w:space="0" w:color="auto"/>
              <w:right w:val="nil"/>
            </w:tcBorders>
            <w:shd w:val="clear" w:color="auto" w:fill="auto"/>
          </w:tcPr>
          <w:p w14:paraId="0EC1A7B0"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Offender-like behaviour</w:t>
            </w:r>
          </w:p>
          <w:p w14:paraId="364AB712"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Reoffending</w:t>
            </w:r>
          </w:p>
        </w:tc>
        <w:tc>
          <w:tcPr>
            <w:tcW w:w="5862" w:type="dxa"/>
            <w:tcBorders>
              <w:top w:val="single" w:sz="4" w:space="0" w:color="auto"/>
              <w:left w:val="nil"/>
              <w:bottom w:val="single" w:sz="4" w:space="0" w:color="auto"/>
              <w:right w:val="nil"/>
            </w:tcBorders>
            <w:shd w:val="clear" w:color="auto" w:fill="auto"/>
          </w:tcPr>
          <w:p w14:paraId="6B5E06DA"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 of patients suspected of re-offending </w:t>
            </w:r>
          </w:p>
          <w:p w14:paraId="1139C6D2" w14:textId="50F382C6"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 of patients with </w:t>
            </w:r>
            <w:r w:rsidR="00293045" w:rsidRPr="00522CD2">
              <w:rPr>
                <w:rFonts w:cs="Arial"/>
                <w:sz w:val="20"/>
                <w:szCs w:val="20"/>
              </w:rPr>
              <w:t>‘</w:t>
            </w:r>
            <w:r w:rsidRPr="00522CD2">
              <w:rPr>
                <w:rFonts w:cs="Arial"/>
                <w:sz w:val="20"/>
                <w:szCs w:val="20"/>
              </w:rPr>
              <w:t>clear evidence</w:t>
            </w:r>
            <w:r w:rsidR="00293045" w:rsidRPr="00522CD2">
              <w:rPr>
                <w:rFonts w:cs="Arial"/>
                <w:sz w:val="20"/>
                <w:szCs w:val="20"/>
              </w:rPr>
              <w:t>’</w:t>
            </w:r>
            <w:r w:rsidRPr="00522CD2">
              <w:rPr>
                <w:rFonts w:cs="Arial"/>
                <w:sz w:val="20"/>
                <w:szCs w:val="20"/>
              </w:rPr>
              <w:t xml:space="preserve"> of re-offending</w:t>
            </w:r>
          </w:p>
        </w:tc>
      </w:tr>
      <w:tr w:rsidR="00841348" w:rsidRPr="00522CD2" w14:paraId="1DDF833D" w14:textId="77777777" w:rsidTr="00272555">
        <w:trPr>
          <w:trHeight w:val="416"/>
        </w:trPr>
        <w:tc>
          <w:tcPr>
            <w:tcW w:w="2399" w:type="dxa"/>
            <w:tcBorders>
              <w:top w:val="single" w:sz="4" w:space="0" w:color="auto"/>
              <w:left w:val="nil"/>
              <w:bottom w:val="single" w:sz="4" w:space="0" w:color="FFFFFF" w:themeColor="background1"/>
              <w:right w:val="nil"/>
            </w:tcBorders>
            <w:shd w:val="clear" w:color="auto" w:fill="auto"/>
          </w:tcPr>
          <w:p w14:paraId="6EA6D6F2" w14:textId="1DA00859" w:rsidR="00841348" w:rsidRPr="00522CD2" w:rsidRDefault="00841348" w:rsidP="00272555">
            <w:pPr>
              <w:spacing w:line="276" w:lineRule="auto"/>
              <w:rPr>
                <w:rFonts w:cs="Arial"/>
                <w:sz w:val="20"/>
                <w:szCs w:val="20"/>
              </w:rPr>
            </w:pPr>
            <w:r w:rsidRPr="00522CD2">
              <w:rPr>
                <w:rFonts w:cs="Arial"/>
                <w:sz w:val="20"/>
                <w:szCs w:val="20"/>
              </w:rPr>
              <w:t xml:space="preserve">Lindsay  et al. (2008)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"10.1177/0306624X07308111", "ISSN" : "0306-624X", "PMID" : "18174529", "abstract" : "In mainstream offender samples, several risk assessments have been evaluated for predictive validity. This study extends this work to male offenders with intellectual disabilities. Participants from high-, medium-, and low-security settings, as well as community settings, were compared on a range of risk assessments. The Violence Risk Appraisal Guide, HCR-20-Historical Scale, the Risk Matrix 2000-C (combined risk), and the Emotional Problems Scales-Internalising discriminated between groups, with participants from high security having higher scores than those in medium security, who had higher scores than those in the community. The Violence Risk Appraisal Guide, all HCR-20 scales, the Short Dynamic Risk Scale, and the Emotional Problems Scales (Internalising and Externalising) showed significant areas under the curve for the prediction of violence. The Static-99 showed a significant area under the curve for the prediction of sexual incidents. The discussion reviews the value of these various scales to intellectual disability services.", "author" : [ { "dropping-particle" : "", "family" : "Lindsay", "given" : "William R", "non-dropping-particle" : "", "parse-names" : false, "suffix" : "" }, { "dropping-particle" : "", "family" : "Hogue", "given" : "Todd E", "non-dropping-particle" : "", "parse-names" : false, "suffix" : "" }, { "dropping-particle" : "", "family" : "Taylor", "given" : "John L", "non-dropping-particle" : "", "parse-names" : false, "suffix" : "" }, { "dropping-particle" : "", "family" : "Steptoe", "given" : "Lesley", "non-dropping-particle" : "", "parse-names" : false, "suffix" : "" }, { "dropping-particle" : "", "family" : "Mooney", "given" : "Paul", "non-dropping-particle" : "", "parse-names" : false, "suffix" : "" }, { "dropping-particle" : "", "family" : "O'Brien", "given" : "Gregory", "non-dropping-particle" : "", "parse-names" : false, "suffix" : "" }, { "dropping-particle" : "", "family" : "Johnston", "given" : "Susan", "non-dropping-particle" : "", "parse-names" : false, "suffix" : "" }, { "dropping-particle" : "", "family" : "Smith", "given" : "Anne H W", "non-dropping-particle" : "", "parse-names" : false, "suffix" : "" } ], "container-title" : "International journal of offender therapy and comparative criminology", "id" : "ITEM-1", "issue" : "1", "issued" : { "date-parts" : [ [ "2008", "2" ] ] }, "page" : "90-111", "title" : "Risk assessment in offenders with intellectual disability: a comparison across three levels of security.", "type" : "article-journal", "volume" : "52" }, "uris" : [ "http://www.mendeley.com/documents/?uuid=5bc26d33-463c-397c-bbf4-64e19aa3bb56" ] } ], "mendeley" : { "formattedCitation" : "(66)", "plainTextFormattedCitation" : "(66)", "previouslyFormattedCitation" : "(66)"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(66)</w:t>
            </w:r>
            <w:r w:rsidR="00FC3FE5" w:rsidRPr="00522CD2">
              <w:rPr>
                <w:rFonts w:cs="Arial"/>
                <w:sz w:val="20"/>
                <w:szCs w:val="20"/>
              </w:rPr>
              <w:fldChar w:fldCharType="end"/>
            </w:r>
          </w:p>
          <w:p w14:paraId="250450F4" w14:textId="77777777" w:rsidR="00841348" w:rsidRPr="00522CD2" w:rsidRDefault="00841348" w:rsidP="00272555">
            <w:pPr>
              <w:spacing w:line="276" w:lineRule="auto"/>
              <w:rPr>
                <w:rFonts w:cs="Arial"/>
                <w:sz w:val="20"/>
                <w:szCs w:val="20"/>
              </w:rPr>
            </w:pPr>
            <w:r w:rsidRPr="00522CD2">
              <w:rPr>
                <w:rFonts w:cs="Arial"/>
                <w:sz w:val="20"/>
                <w:szCs w:val="20"/>
              </w:rPr>
              <w:t>High, medium and low secure</w:t>
            </w:r>
          </w:p>
          <w:p w14:paraId="1190E25A" w14:textId="77777777" w:rsidR="0054123D" w:rsidRPr="00522CD2" w:rsidRDefault="0054123D" w:rsidP="00272555">
            <w:pPr>
              <w:spacing w:line="276" w:lineRule="auto"/>
              <w:rPr>
                <w:rFonts w:cs="Arial"/>
                <w:sz w:val="20"/>
                <w:szCs w:val="20"/>
              </w:rPr>
            </w:pPr>
          </w:p>
        </w:tc>
        <w:tc>
          <w:tcPr>
            <w:tcW w:w="2385" w:type="dxa"/>
            <w:tcBorders>
              <w:top w:val="single" w:sz="4" w:space="0" w:color="auto"/>
              <w:left w:val="nil"/>
              <w:bottom w:val="single" w:sz="4" w:space="0" w:color="FFFFFF" w:themeColor="background1"/>
              <w:right w:val="nil"/>
            </w:tcBorders>
            <w:shd w:val="clear" w:color="auto" w:fill="auto"/>
          </w:tcPr>
          <w:p w14:paraId="7E48417A" w14:textId="7B0BADE6" w:rsidR="00841348" w:rsidRPr="00522CD2" w:rsidRDefault="00841348" w:rsidP="00272555">
            <w:pPr>
              <w:spacing w:line="276" w:lineRule="auto"/>
              <w:rPr>
                <w:rFonts w:cs="Arial"/>
                <w:sz w:val="20"/>
                <w:szCs w:val="20"/>
              </w:rPr>
            </w:pPr>
            <w:r w:rsidRPr="00522CD2">
              <w:rPr>
                <w:rFonts w:cs="Arial"/>
                <w:sz w:val="20"/>
                <w:szCs w:val="20"/>
              </w:rPr>
              <w:t xml:space="preserve">Cross-sectional </w:t>
            </w:r>
          </w:p>
        </w:tc>
        <w:tc>
          <w:tcPr>
            <w:tcW w:w="1019" w:type="dxa"/>
            <w:tcBorders>
              <w:top w:val="single" w:sz="4" w:space="0" w:color="auto"/>
              <w:left w:val="nil"/>
              <w:bottom w:val="single" w:sz="4" w:space="0" w:color="FFFFFF" w:themeColor="background1"/>
              <w:right w:val="nil"/>
            </w:tcBorders>
            <w:shd w:val="clear" w:color="auto" w:fill="auto"/>
          </w:tcPr>
          <w:p w14:paraId="3504DAA9" w14:textId="77777777" w:rsidR="00841348" w:rsidRPr="00522CD2" w:rsidRDefault="00841348" w:rsidP="00272555">
            <w:pPr>
              <w:spacing w:line="276" w:lineRule="auto"/>
              <w:jc w:val="center"/>
              <w:rPr>
                <w:rFonts w:cs="Arial"/>
                <w:sz w:val="20"/>
                <w:szCs w:val="20"/>
              </w:rPr>
            </w:pPr>
            <w:r w:rsidRPr="00522CD2">
              <w:rPr>
                <w:rFonts w:cs="Arial"/>
                <w:sz w:val="20"/>
                <w:szCs w:val="20"/>
              </w:rPr>
              <w:t>212</w:t>
            </w:r>
          </w:p>
        </w:tc>
        <w:tc>
          <w:tcPr>
            <w:tcW w:w="3825" w:type="dxa"/>
            <w:tcBorders>
              <w:top w:val="single" w:sz="4" w:space="0" w:color="auto"/>
              <w:left w:val="nil"/>
              <w:bottom w:val="single" w:sz="4" w:space="0" w:color="FFFFFF" w:themeColor="background1"/>
              <w:right w:val="nil"/>
            </w:tcBorders>
            <w:shd w:val="clear" w:color="auto" w:fill="auto"/>
          </w:tcPr>
          <w:p w14:paraId="16454A42"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p w14:paraId="7B3E76AD"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tc>
        <w:tc>
          <w:tcPr>
            <w:tcW w:w="5862" w:type="dxa"/>
            <w:tcBorders>
              <w:top w:val="single" w:sz="4" w:space="0" w:color="auto"/>
              <w:left w:val="nil"/>
              <w:bottom w:val="single" w:sz="4" w:space="0" w:color="FFFFFF" w:themeColor="background1"/>
              <w:right w:val="nil"/>
            </w:tcBorders>
            <w:shd w:val="clear" w:color="auto" w:fill="auto"/>
          </w:tcPr>
          <w:p w14:paraId="265BCD99"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HCR-20, VRAG, Static-99, SDRS, RM-2000</w:t>
            </w:r>
          </w:p>
          <w:p w14:paraId="2AEB3F13"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EPS-BRS (clinician rated)</w:t>
            </w:r>
          </w:p>
        </w:tc>
      </w:tr>
      <w:tr w:rsidR="00841348" w:rsidRPr="00522CD2" w14:paraId="64C03A0F" w14:textId="77777777" w:rsidTr="00272555">
        <w:trPr>
          <w:trHeight w:val="87"/>
        </w:trPr>
        <w:tc>
          <w:tcPr>
            <w:tcW w:w="15490" w:type="dxa"/>
            <w:gridSpan w:val="5"/>
            <w:tcBorders>
              <w:top w:val="single" w:sz="4" w:space="0" w:color="FFFFFF" w:themeColor="background1"/>
              <w:left w:val="nil"/>
              <w:bottom w:val="single" w:sz="4" w:space="0" w:color="auto"/>
              <w:right w:val="nil"/>
            </w:tcBorders>
            <w:shd w:val="clear" w:color="auto" w:fill="auto"/>
          </w:tcPr>
          <w:p w14:paraId="22BA6BA4" w14:textId="77777777" w:rsidR="00841348" w:rsidRPr="00522CD2" w:rsidRDefault="00841348" w:rsidP="00272555">
            <w:pPr>
              <w:spacing w:line="276" w:lineRule="auto"/>
              <w:rPr>
                <w:rFonts w:cs="Arial"/>
                <w:sz w:val="20"/>
                <w:szCs w:val="20"/>
              </w:rPr>
            </w:pPr>
          </w:p>
        </w:tc>
      </w:tr>
      <w:tr w:rsidR="00841348" w:rsidRPr="00522CD2" w14:paraId="4761069E"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3D80363A" w14:textId="40531CE6" w:rsidR="00841348" w:rsidRPr="00522CD2" w:rsidRDefault="00841348" w:rsidP="00272555">
            <w:pPr>
              <w:spacing w:line="276" w:lineRule="auto"/>
              <w:rPr>
                <w:rFonts w:cs="Arial"/>
                <w:sz w:val="20"/>
                <w:szCs w:val="20"/>
                <w:lang w:eastAsia="en-GB"/>
              </w:rPr>
            </w:pPr>
            <w:r w:rsidRPr="00522CD2">
              <w:rPr>
                <w:rFonts w:cs="Arial"/>
                <w:sz w:val="20"/>
                <w:szCs w:val="20"/>
                <w:lang w:eastAsia="en-GB"/>
              </w:rPr>
              <w:t>Lindsay et al. (2010b)</w:t>
            </w:r>
            <w:r w:rsidR="00FC3FE5" w:rsidRPr="00522CD2">
              <w:rPr>
                <w:rFonts w:cs="Arial"/>
                <w:sz w:val="20"/>
                <w:szCs w:val="20"/>
                <w:lang w:eastAsia="en-GB"/>
              </w:rPr>
              <w:t xml:space="preserve"> </w:t>
            </w:r>
            <w:r w:rsidR="00FC3FE5" w:rsidRPr="00522CD2">
              <w:rPr>
                <w:rFonts w:cs="Arial"/>
                <w:sz w:val="20"/>
                <w:szCs w:val="20"/>
                <w:lang w:eastAsia="en-GB"/>
              </w:rPr>
              <w:fldChar w:fldCharType="begin" w:fldLock="1"/>
            </w:r>
            <w:r w:rsidR="00E353A8" w:rsidRPr="00522CD2">
              <w:rPr>
                <w:rFonts w:cs="Arial"/>
                <w:sz w:val="20"/>
                <w:szCs w:val="20"/>
                <w:lang w:eastAsia="en-GB"/>
              </w:rPr>
              <w:instrText>ADDIN CSL_CITATION { "citationItems" : [ { "id" : "ITEM-1", "itemData" : { "DOI" : "10.1080/14789941003653212", "ISBN" : "14789949", "ISSN" : "14789949", "PMID" : "737031247", "abstract" : "Following social policies of deinstitutionalisation, few offenders with intellectual disability (ID) are diverted into local hospitals and they are now referred to a range of community and secure services. Of 197 participants, the Violence Risk Appraisal Guide was completed on 181 and the Static-99 on 83. Assessed risk was then related to six levels of service: community generic, specialist community forensic ID, learning disability in patient, low secure, medium secure and high secure. On both assessments, those in high secure had a significantly greater average assessed risk than in the community. Correlations between assessed risk and level of service showed low to medium effect sizes. Despite an orderly relationship between assessed risk and level of security, the effect sizes are not large suggesting that factors may intervene to place some individuals of a high risk in community settings and others of a low risk in secure settings. [PUBLICATION ABSTRACT]", "author" : [ { "dropping-particle" : "", "family" : "Lindsay", "given" : "William", "non-dropping-particle" : "", "parse-names" : false, "suffix" : "" }, { "dropping-particle" : "", "family" : "Carson", "given" : "Derek", "non-dropping-particle" : "", "parse-names" : false, "suffix" : "" }, { "dropping-particle" : "", "family" : "O'Brien", "given" : "Gregory", "non-dropping-particle" : "", "parse-names" : false, "suffix" : "" }, { "dropping-particle" : "", "family" : "Holland", "given" : "Anthony J", "non-dropping-particle" : "", "parse-names" : false, "suffix" : "" }, { "dropping-particle" : "", "family" : "Johnston", "given" : "Susan", "non-dropping-particle" : "", "parse-names" : false, "suffix" : "" }, { "dropping-particle" : "", "family" : "Taylor", "given" : "John L", "non-dropping-particle" : "", "parse-names" : false, "suffix" : "" }, { "dropping-particle" : "", "family" : "Young", "given" : "Steven", "non-dropping-particle" : "", "parse-names" : false, "suffix" : "" }, { "dropping-particle" : "", "family" : "Steptoe", "given" : "Lesley", "non-dropping-particle" : "", "parse-names" : false, "suffix" : "" }, { "dropping-particle" : "", "family" : "Wheeler", "given" : "Jessica Ruth", "non-dropping-particle" : "", "parse-names" : false, "suffix" : "" }, { "dropping-particle" : "", "family" : "Middleton", "given" : "Claire", "non-dropping-particle" : "", "parse-names" : false, "suffix" : "" }, { "dropping-particle" : "", "family" : "Price", "given" : "Karen", "non-dropping-particle" : "", "parse-names" : false, "suffix" : "" } ], "container-title" : "The Journal of Forensic Psychiatry &amp; Psychology", "id" : "ITEM-1", "issue" : "4", "issued" : { "date-parts" : [ [ "2010" ] ] }, "page" : "537", "publisher" : "Taylor &amp; Francis", "title" : "The relationship between assessed risk and service security level for offenders with intellectual disability", "type" : "article-journal", "volume" : "21" }, "uris" : [ "http://www.mendeley.com/documents/?uuid=97a4947b-f5c6-3d64-9416-e8dc3400359d" ] } ], "mendeley" : { "formattedCitation" : "(67)", "plainTextFormattedCitation" : "(67)", "previouslyFormattedCitation" : "(67)" }, "properties" : { "noteIndex" : 0 }, "schema" : "https://github.com/citation-style-language/schema/raw/master/csl-citation.json" }</w:instrText>
            </w:r>
            <w:r w:rsidR="00FC3FE5" w:rsidRPr="00522CD2">
              <w:rPr>
                <w:rFonts w:cs="Arial"/>
                <w:sz w:val="20"/>
                <w:szCs w:val="20"/>
                <w:lang w:eastAsia="en-GB"/>
              </w:rPr>
              <w:fldChar w:fldCharType="separate"/>
            </w:r>
            <w:r w:rsidR="00E353A8" w:rsidRPr="00522CD2">
              <w:rPr>
                <w:rFonts w:cs="Arial"/>
                <w:noProof/>
                <w:sz w:val="20"/>
                <w:szCs w:val="20"/>
                <w:lang w:eastAsia="en-GB"/>
              </w:rPr>
              <w:t>(67)</w:t>
            </w:r>
            <w:r w:rsidR="00FC3FE5" w:rsidRPr="00522CD2">
              <w:rPr>
                <w:rFonts w:cs="Arial"/>
                <w:sz w:val="20"/>
                <w:szCs w:val="20"/>
                <w:lang w:eastAsia="en-GB"/>
              </w:rPr>
              <w:fldChar w:fldCharType="end"/>
            </w:r>
          </w:p>
          <w:p w14:paraId="7AAD34AB" w14:textId="71762E92" w:rsidR="00841348" w:rsidRPr="00522CD2" w:rsidRDefault="00841348" w:rsidP="00272555">
            <w:pPr>
              <w:spacing w:line="276" w:lineRule="auto"/>
              <w:rPr>
                <w:rFonts w:cs="Arial"/>
                <w:sz w:val="20"/>
                <w:szCs w:val="20"/>
                <w:lang w:eastAsia="en-GB"/>
              </w:rPr>
            </w:pPr>
            <w:r w:rsidRPr="00522CD2">
              <w:rPr>
                <w:rFonts w:cs="Arial"/>
                <w:sz w:val="20"/>
                <w:szCs w:val="20"/>
              </w:rPr>
              <w:t>High, medium, low</w:t>
            </w:r>
            <w:r w:rsidR="00293045" w:rsidRPr="00522CD2">
              <w:rPr>
                <w:rFonts w:cs="Arial"/>
                <w:sz w:val="20"/>
                <w:szCs w:val="20"/>
              </w:rPr>
              <w:t xml:space="preserve"> secure</w:t>
            </w:r>
            <w:r w:rsidRPr="00522CD2">
              <w:rPr>
                <w:rFonts w:cs="Arial"/>
                <w:sz w:val="20"/>
                <w:szCs w:val="20"/>
              </w:rPr>
              <w:t xml:space="preserve">  and community</w:t>
            </w:r>
          </w:p>
          <w:p w14:paraId="61CA9003" w14:textId="77777777" w:rsidR="00841348" w:rsidRPr="00522CD2" w:rsidRDefault="00841348" w:rsidP="00272555">
            <w:pPr>
              <w:spacing w:line="276" w:lineRule="auto"/>
              <w:rPr>
                <w:rFonts w:cs="Arial"/>
                <w:sz w:val="20"/>
                <w:szCs w:val="20"/>
                <w:lang w:eastAsia="en-GB"/>
              </w:rPr>
            </w:pPr>
          </w:p>
        </w:tc>
        <w:tc>
          <w:tcPr>
            <w:tcW w:w="2385" w:type="dxa"/>
            <w:tcBorders>
              <w:top w:val="single" w:sz="4" w:space="0" w:color="auto"/>
              <w:left w:val="nil"/>
              <w:bottom w:val="single" w:sz="4" w:space="0" w:color="auto"/>
              <w:right w:val="nil"/>
            </w:tcBorders>
            <w:shd w:val="clear" w:color="auto" w:fill="auto"/>
          </w:tcPr>
          <w:p w14:paraId="3303A1BA" w14:textId="0A1B4BF7" w:rsidR="00841348" w:rsidRPr="00522CD2" w:rsidRDefault="00841348" w:rsidP="00272555">
            <w:pPr>
              <w:spacing w:line="276" w:lineRule="auto"/>
              <w:rPr>
                <w:rFonts w:cs="Arial"/>
                <w:sz w:val="20"/>
                <w:szCs w:val="20"/>
              </w:rPr>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2D601FDB" w14:textId="77777777" w:rsidR="00841348" w:rsidRPr="00522CD2" w:rsidRDefault="00841348" w:rsidP="00272555">
            <w:pPr>
              <w:spacing w:line="276" w:lineRule="auto"/>
              <w:jc w:val="center"/>
              <w:rPr>
                <w:rFonts w:cs="Arial"/>
                <w:sz w:val="20"/>
                <w:szCs w:val="20"/>
              </w:rPr>
            </w:pPr>
            <w:r w:rsidRPr="00522CD2">
              <w:rPr>
                <w:rFonts w:cs="Arial"/>
                <w:sz w:val="20"/>
                <w:szCs w:val="20"/>
              </w:rPr>
              <w:t>197</w:t>
            </w:r>
          </w:p>
        </w:tc>
        <w:tc>
          <w:tcPr>
            <w:tcW w:w="3825" w:type="dxa"/>
            <w:tcBorders>
              <w:top w:val="single" w:sz="4" w:space="0" w:color="auto"/>
              <w:left w:val="nil"/>
              <w:bottom w:val="single" w:sz="4" w:space="0" w:color="auto"/>
              <w:right w:val="nil"/>
            </w:tcBorders>
            <w:shd w:val="clear" w:color="auto" w:fill="auto"/>
          </w:tcPr>
          <w:p w14:paraId="5BB2F2BE"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tc>
        <w:tc>
          <w:tcPr>
            <w:tcW w:w="5862" w:type="dxa"/>
            <w:tcBorders>
              <w:top w:val="single" w:sz="4" w:space="0" w:color="auto"/>
              <w:left w:val="nil"/>
              <w:bottom w:val="single" w:sz="4" w:space="0" w:color="auto"/>
              <w:right w:val="nil"/>
            </w:tcBorders>
            <w:shd w:val="clear" w:color="auto" w:fill="auto"/>
          </w:tcPr>
          <w:p w14:paraId="7B174939"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VRAG and Static-99</w:t>
            </w:r>
          </w:p>
        </w:tc>
      </w:tr>
      <w:tr w:rsidR="00841348" w:rsidRPr="00522CD2" w14:paraId="3F0845C8" w14:textId="77777777" w:rsidTr="00272555">
        <w:trPr>
          <w:trHeight w:val="1053"/>
        </w:trPr>
        <w:tc>
          <w:tcPr>
            <w:tcW w:w="2399" w:type="dxa"/>
            <w:tcBorders>
              <w:top w:val="single" w:sz="4" w:space="0" w:color="auto"/>
              <w:left w:val="nil"/>
              <w:bottom w:val="single" w:sz="4" w:space="0" w:color="auto"/>
              <w:right w:val="nil"/>
            </w:tcBorders>
            <w:shd w:val="clear" w:color="auto" w:fill="auto"/>
          </w:tcPr>
          <w:p w14:paraId="7047BF6D" w14:textId="23D6CFDE"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Lofthouse et al. (2014)</w:t>
            </w:r>
            <w:r w:rsidR="00FC3FE5" w:rsidRPr="00522CD2">
              <w:rPr>
                <w:rFonts w:cs="Arial"/>
                <w:kern w:val="28"/>
                <w:sz w:val="20"/>
                <w:szCs w:val="20"/>
                <w:lang w:val="en-CA" w:eastAsia="en-GB"/>
              </w:rPr>
              <w:t xml:space="preserve"> </w:t>
            </w:r>
            <w:r w:rsidR="00FC3FE5"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"10.1080/14789949.2014.911946", "ISSN" : "1478-9949", "abstract" : "Without a violence risk assessment designed for people with an intellectual disability (ID), assessors are reliant upon tools developed for mainstream offenders or develop their own tools. This study describes the early stages of development of the Current Risk of Violence (CuRV), an informantreported measure of dynamic risk for aggression in adults with an ID. The pool of items was generated from a multitude of sources. Predictive accuracy for aggression was tested prospectively among 64 adults with an ID and history of aggression. The 34-item CuRV was found to be a brief, uncomplicated risk assessment. Initial findings revealed good predictive validity over a five-month period: area under the curve (AUC) range from .72, 95% CI [.59, .85] to .77, 95% CI [.66, .89]. These preliminary findings suggest that the CuRV may assist staff to perform assessments of risk in busy clinical settings. Future research effort is needed to fully explore the psychometric properties of the CuRV.", "author" : [ { "dropping-particle" : "", "family" : "Lofthouse", "given" : "R E", "non-dropping-particle" : "", "parse-names" : false, "suffix" : "" }, { "dropping-particle" : "", "family" : "Lindsay", "given" : "W R", "non-dropping-particle" : "", "parse-names" : false, "suffix" : "" }, { "dropping-particle" : "", "family" : "Totsika", "given" : "V", "non-dropping-particle" : "", "parse-names" : false, "suffix" : "" }, { "dropping-particle" : "", "family" : "Hastings", "given" : "R P", "non-dropping-particle" : "", "parse-names" : false, "suffix" : "" }, { "dropping-particle" : "", "family" : "Roberts", "given" : "D", "non-dropping-particle" : "", "parse-names" : false, "suffix" : "" } ], "container-title" : "The Journal of Forensic Psychiatry &amp; Psychology", "id" : "ITEM-1", "issue" : "3", "issued" : { "date-parts" : [ [ "2014" ] ] }, "page" : "288-306", "publisher" : "Routledge", "title" : "Dynamic risk and violence in individuals with an intellectual disability: tool development and initial validation", "type" : "article-journal", "volume" : "25" }, "uris" : [ "http://www.mendeley.com/documents/?uuid=f9b19564-f1e3-3844-bc1e-d6dcae9e5d70" ] } ], "mendeley" : { "formattedCitation" : "(68)", "plainTextFormattedCitation" : "(68)", "previouslyFormattedCitation" : "(68)" }, "properties" : { "noteIndex" : 0 }, "schema" : "https://github.com/citation-style-language/schema/raw/master/csl-citation.json" }</w:instrText>
            </w:r>
            <w:r w:rsidR="00FC3FE5"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(68)</w:t>
            </w:r>
            <w:r w:rsidR="00FC3FE5" w:rsidRPr="00522CD2">
              <w:rPr>
                <w:rFonts w:cs="Arial"/>
                <w:kern w:val="28"/>
                <w:sz w:val="20"/>
                <w:szCs w:val="20"/>
                <w:lang w:val="en-CA" w:eastAsia="en-GB"/>
              </w:rPr>
              <w:fldChar w:fldCharType="end"/>
            </w:r>
          </w:p>
          <w:p w14:paraId="0B87A53F" w14:textId="77777777"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Rehabilitation, acute admission and residential home</w:t>
            </w:r>
          </w:p>
        </w:tc>
        <w:tc>
          <w:tcPr>
            <w:tcW w:w="2385" w:type="dxa"/>
            <w:tcBorders>
              <w:top w:val="single" w:sz="4" w:space="0" w:color="auto"/>
              <w:left w:val="nil"/>
              <w:bottom w:val="single" w:sz="4" w:space="0" w:color="auto"/>
              <w:right w:val="nil"/>
            </w:tcBorders>
            <w:shd w:val="clear" w:color="auto" w:fill="auto"/>
          </w:tcPr>
          <w:p w14:paraId="6DDB240C" w14:textId="543DFC80" w:rsidR="00841348" w:rsidRPr="00522CD2" w:rsidRDefault="00841348" w:rsidP="00272555">
            <w:pPr>
              <w:spacing w:line="276" w:lineRule="auto"/>
              <w:rPr>
                <w:rFonts w:cs="Arial"/>
                <w:sz w:val="20"/>
                <w:szCs w:val="20"/>
              </w:rPr>
            </w:pPr>
            <w:r w:rsidRPr="00522CD2">
              <w:rPr>
                <w:rFonts w:cs="Arial"/>
                <w:sz w:val="20"/>
                <w:szCs w:val="20"/>
              </w:rPr>
              <w:t xml:space="preserve">Cross-sectional </w:t>
            </w:r>
          </w:p>
          <w:p w14:paraId="0B02C91D" w14:textId="77777777" w:rsidR="00841348" w:rsidRPr="00522CD2" w:rsidRDefault="00841348" w:rsidP="00272555">
            <w:pPr>
              <w:spacing w:line="276" w:lineRule="auto"/>
              <w:rPr>
                <w:rFonts w:cs="Arial"/>
                <w:sz w:val="20"/>
                <w:szCs w:val="20"/>
              </w:rPr>
            </w:pPr>
            <w:r w:rsidRPr="00522CD2">
              <w:rPr>
                <w:rFonts w:cs="Arial"/>
                <w:sz w:val="20"/>
                <w:szCs w:val="20"/>
              </w:rPr>
              <w:t>5 months of data</w:t>
            </w:r>
          </w:p>
        </w:tc>
        <w:tc>
          <w:tcPr>
            <w:tcW w:w="1019" w:type="dxa"/>
            <w:tcBorders>
              <w:top w:val="single" w:sz="4" w:space="0" w:color="auto"/>
              <w:left w:val="nil"/>
              <w:bottom w:val="single" w:sz="4" w:space="0" w:color="auto"/>
              <w:right w:val="nil"/>
            </w:tcBorders>
            <w:shd w:val="clear" w:color="auto" w:fill="auto"/>
          </w:tcPr>
          <w:p w14:paraId="04EA0E9E" w14:textId="622CF019" w:rsidR="00841348" w:rsidRPr="00522CD2" w:rsidRDefault="00293045" w:rsidP="00272555">
            <w:pPr>
              <w:spacing w:line="276" w:lineRule="auto"/>
              <w:ind w:left="252"/>
              <w:rPr>
                <w:rFonts w:cs="Arial"/>
                <w:sz w:val="20"/>
                <w:szCs w:val="20"/>
              </w:rPr>
            </w:pPr>
            <w:r w:rsidRPr="00522CD2">
              <w:rPr>
                <w:rFonts w:cs="Arial"/>
                <w:sz w:val="20"/>
                <w:szCs w:val="20"/>
              </w:rPr>
              <w:t xml:space="preserve">  </w:t>
            </w:r>
            <w:r w:rsidR="00841348" w:rsidRPr="00522CD2">
              <w:rPr>
                <w:rFonts w:cs="Arial"/>
                <w:sz w:val="20"/>
                <w:szCs w:val="20"/>
              </w:rPr>
              <w:t>64</w:t>
            </w:r>
          </w:p>
        </w:tc>
        <w:tc>
          <w:tcPr>
            <w:tcW w:w="3825" w:type="dxa"/>
            <w:tcBorders>
              <w:top w:val="single" w:sz="4" w:space="0" w:color="auto"/>
              <w:left w:val="nil"/>
              <w:bottom w:val="single" w:sz="4" w:space="0" w:color="auto"/>
              <w:right w:val="nil"/>
            </w:tcBorders>
            <w:shd w:val="clear" w:color="auto" w:fill="auto"/>
          </w:tcPr>
          <w:p w14:paraId="223F75E7"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779AE2BA"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p w14:paraId="0BF8E22C"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Incidents</w:t>
            </w:r>
          </w:p>
        </w:tc>
        <w:tc>
          <w:tcPr>
            <w:tcW w:w="5862" w:type="dxa"/>
            <w:tcBorders>
              <w:top w:val="single" w:sz="4" w:space="0" w:color="auto"/>
              <w:left w:val="nil"/>
              <w:bottom w:val="single" w:sz="4" w:space="0" w:color="auto"/>
              <w:right w:val="nil"/>
            </w:tcBorders>
            <w:shd w:val="clear" w:color="auto" w:fill="auto"/>
          </w:tcPr>
          <w:p w14:paraId="66097B56"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number of years</w:t>
            </w:r>
          </w:p>
          <w:p w14:paraId="14CD8BC7"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CuRV</w:t>
            </w:r>
          </w:p>
          <w:p w14:paraId="2C781C99" w14:textId="33AA8BD4"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Aggression defined as acts of physical violence, aggression, force to hurt or damage to staff, peers or environment. Included verbal abuse which was aggressive, threatening or caused offence. Two researchers rated each incident as: </w:t>
            </w:r>
            <w:r w:rsidR="00293045" w:rsidRPr="00522CD2">
              <w:rPr>
                <w:rFonts w:cs="Arial"/>
                <w:sz w:val="20"/>
                <w:szCs w:val="20"/>
              </w:rPr>
              <w:t>‘</w:t>
            </w:r>
            <w:r w:rsidRPr="00522CD2">
              <w:rPr>
                <w:rFonts w:cs="Arial"/>
                <w:sz w:val="20"/>
                <w:szCs w:val="20"/>
              </w:rPr>
              <w:t>aggression present</w:t>
            </w:r>
            <w:r w:rsidR="00293045" w:rsidRPr="00522CD2">
              <w:rPr>
                <w:rFonts w:cs="Arial"/>
                <w:sz w:val="20"/>
                <w:szCs w:val="20"/>
              </w:rPr>
              <w:t>’</w:t>
            </w:r>
            <w:r w:rsidRPr="00522CD2">
              <w:rPr>
                <w:rFonts w:cs="Arial"/>
                <w:sz w:val="20"/>
                <w:szCs w:val="20"/>
              </w:rPr>
              <w:t xml:space="preserve"> or </w:t>
            </w:r>
            <w:r w:rsidR="00293045" w:rsidRPr="00522CD2">
              <w:rPr>
                <w:rFonts w:cs="Arial"/>
                <w:sz w:val="20"/>
                <w:szCs w:val="20"/>
              </w:rPr>
              <w:t>‘</w:t>
            </w:r>
            <w:r w:rsidRPr="00522CD2">
              <w:rPr>
                <w:rFonts w:cs="Arial"/>
                <w:sz w:val="20"/>
                <w:szCs w:val="20"/>
              </w:rPr>
              <w:t>aggression absent</w:t>
            </w:r>
            <w:r w:rsidR="00293045" w:rsidRPr="00522CD2">
              <w:rPr>
                <w:rFonts w:cs="Arial"/>
                <w:sz w:val="20"/>
                <w:szCs w:val="20"/>
              </w:rPr>
              <w:t>’</w:t>
            </w:r>
            <w:r w:rsidRPr="00522CD2">
              <w:rPr>
                <w:rFonts w:cs="Arial"/>
                <w:sz w:val="20"/>
                <w:szCs w:val="20"/>
              </w:rPr>
              <w:t>. N</w:t>
            </w:r>
            <w:r w:rsidRPr="00522CD2">
              <w:rPr>
                <w:rFonts w:cs="Arial"/>
                <w:kern w:val="28"/>
                <w:sz w:val="20"/>
                <w:szCs w:val="20"/>
                <w:lang w:val="en-CA" w:eastAsia="en-CA"/>
              </w:rPr>
              <w:t>umber of patients who were aggressive in month 1 vs</w:t>
            </w:r>
            <w:r w:rsidR="003002B9" w:rsidRPr="00522CD2">
              <w:rPr>
                <w:rFonts w:cs="Arial"/>
                <w:kern w:val="28"/>
                <w:sz w:val="20"/>
                <w:szCs w:val="20"/>
                <w:lang w:val="en-CA" w:eastAsia="en-CA"/>
              </w:rPr>
              <w:t>.</w:t>
            </w:r>
            <w:r w:rsidRPr="00522CD2">
              <w:rPr>
                <w:rFonts w:cs="Arial"/>
                <w:kern w:val="28"/>
                <w:sz w:val="20"/>
                <w:szCs w:val="20"/>
                <w:lang w:val="en-CA" w:eastAsia="en-CA"/>
              </w:rPr>
              <w:t xml:space="preserve"> month 5</w:t>
            </w:r>
            <w:r w:rsidR="0054123D" w:rsidRPr="00522CD2">
              <w:rPr>
                <w:rFonts w:cs="Arial"/>
                <w:kern w:val="28"/>
                <w:sz w:val="20"/>
                <w:szCs w:val="20"/>
                <w:lang w:val="en-CA" w:eastAsia="en-CA"/>
              </w:rPr>
              <w:t xml:space="preserve"> </w:t>
            </w:r>
          </w:p>
          <w:p w14:paraId="16EDE21E" w14:textId="77777777" w:rsidR="00841348" w:rsidRPr="00522CD2" w:rsidRDefault="00841348" w:rsidP="00272555">
            <w:pPr>
              <w:spacing w:line="276" w:lineRule="auto"/>
              <w:ind w:left="252"/>
              <w:rPr>
                <w:rFonts w:cs="Arial"/>
                <w:sz w:val="20"/>
                <w:szCs w:val="20"/>
              </w:rPr>
            </w:pPr>
          </w:p>
        </w:tc>
      </w:tr>
      <w:tr w:rsidR="00841348" w:rsidRPr="00522CD2" w14:paraId="25A295A2" w14:textId="77777777" w:rsidTr="00272555">
        <w:trPr>
          <w:trHeight w:val="1053"/>
        </w:trPr>
        <w:tc>
          <w:tcPr>
            <w:tcW w:w="2399" w:type="dxa"/>
            <w:tcBorders>
              <w:top w:val="single" w:sz="4" w:space="0" w:color="auto"/>
              <w:left w:val="nil"/>
              <w:bottom w:val="single" w:sz="4" w:space="0" w:color="auto"/>
              <w:right w:val="nil"/>
            </w:tcBorders>
            <w:shd w:val="clear" w:color="auto" w:fill="auto"/>
          </w:tcPr>
          <w:p w14:paraId="3B69DBEE" w14:textId="269A0F76" w:rsidR="00841348" w:rsidRPr="00522CD2" w:rsidRDefault="00841348" w:rsidP="00272555">
            <w:pPr>
              <w:spacing w:line="276" w:lineRule="auto"/>
              <w:rPr>
                <w:rFonts w:cs="Arial"/>
                <w:sz w:val="20"/>
                <w:szCs w:val="20"/>
              </w:rPr>
            </w:pPr>
            <w:r w:rsidRPr="00522CD2">
              <w:rPr>
                <w:rFonts w:cs="Arial"/>
                <w:sz w:val="20"/>
                <w:szCs w:val="20"/>
              </w:rPr>
              <w:t xml:space="preserve">Mansell et al. (2010)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"10.1111/j.1468-3148.2010.00568.x", "ISBN" : "1360-2322", "ISSN" : "13602322", "abstract" : "Background As institutions for people with intellectual disabilities have been replaced with community services, health care provision has developed to provide assessment and treatment, low and medium secure units for people with challenging behaviour or mental health problems. These include both public and private sector provision. Little is known about these services. The aim of this study was to describe the characteristics of the services studied and to compare the different types of service. Methods A survey was carried out of National Health Service (NHS) and independent sector (IH) health settings providing specialist inpatient services for people with intellectual disabilities. Data were collected on setting and patient characteristics, staffing and management and care processes and outcomes. Results Services were very unevenly distributed across England. There were differences between NHS and IH settings. IH assessment and treatment units were bigger, had higher occupancy and lower staff ratio. In all three types of unit, IH units had fewer visits to patients, used more seclusion, physical restraint and had more locked areas. They had more complaints in more services from users and (for assessment and treatment units and low secure units only) from relatives. In low secure units, they had more adult protection referrals. On the other hand, IH units used fewer agency staff in assessment and treatment units (though more in medium secure units) and provided more appraisals, more visits from commissioners, more consultations with GPs and dentists and more use of whistleblowing procedures by staff. A quarter of people in NHS assessment and treatment units had finished treatment but had no plan for discharge. Conclusions Further research is required to determine the reasons for differences observed between IH and NHS units. The large number of people who have finished treatment emphasizes the importance of developing housing in the community with sufficiently skilled support. The large number of patients in low secure services raises the question whether this type of service is recreating the intellectual disability institutions which government policy intends to close.", "author" : [ { "dropping-particle" : "", "family" : "Mansell", "given" : "Jim", "non-dropping-particle" : "", "parse-names" : false, "suffix" : "" }, { "dropping-particle" : "", "family" : "Ritchie", "given" : "Fiona", "non-dropping-particle" : "", "parse-names" : false, "suffix" : "" }, { "dropping-particle" : "", "family" : "Dyer", "given" : "Ricinda", "non-dropping-particle" : "", "parse-names" : false, "suffix" : "" } ], "container-title" : "Journal of Applied Research in Intellectual Disabilities", "id" : "ITEM-1", "issue" : "6", "issued" : { "date-parts" : [ [ "2010" ] ] }, "page" : "552-559", "publisher" : "Emerald Group Publishing Limited", "title" : "Health Service Inpatient Units for People with Intellectual Disabilities and Challenging Behaviour or Mental Health Problems", "type" : "article-journal", "volume" : "23" }, "uris" : [ "http://www.mendeley.com/documents/?uuid=f76ffbb9-6148-33e0-9b49-6eff7d730360" ] } ], "mendeley" : { "formattedCitation" : "(69)", "plainTextFormattedCitation" : "(69)", "previouslyFormattedCitation" : "(69)"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(69)</w:t>
            </w:r>
            <w:r w:rsidR="00FC3FE5" w:rsidRPr="00522CD2">
              <w:rPr>
                <w:rFonts w:cs="Arial"/>
                <w:sz w:val="20"/>
                <w:szCs w:val="20"/>
              </w:rPr>
              <w:fldChar w:fldCharType="end"/>
            </w:r>
          </w:p>
          <w:p w14:paraId="6726FDDE" w14:textId="77777777"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sz w:val="20"/>
                <w:szCs w:val="20"/>
              </w:rPr>
              <w:t>Medium and low secure</w:t>
            </w:r>
          </w:p>
        </w:tc>
        <w:tc>
          <w:tcPr>
            <w:tcW w:w="2385" w:type="dxa"/>
            <w:tcBorders>
              <w:top w:val="single" w:sz="4" w:space="0" w:color="auto"/>
              <w:left w:val="nil"/>
              <w:bottom w:val="single" w:sz="4" w:space="0" w:color="auto"/>
              <w:right w:val="nil"/>
            </w:tcBorders>
            <w:shd w:val="clear" w:color="auto" w:fill="auto"/>
          </w:tcPr>
          <w:p w14:paraId="5DE627A1" w14:textId="690C960F" w:rsidR="00841348" w:rsidRPr="00522CD2" w:rsidRDefault="00841348" w:rsidP="00272555">
            <w:pPr>
              <w:spacing w:line="276" w:lineRule="auto"/>
              <w:rPr>
                <w:rFonts w:cs="Arial"/>
                <w:sz w:val="20"/>
                <w:szCs w:val="20"/>
              </w:rPr>
            </w:pPr>
            <w:r w:rsidRPr="00522CD2">
              <w:rPr>
                <w:rFonts w:cs="Arial"/>
                <w:sz w:val="20"/>
                <w:szCs w:val="20"/>
              </w:rPr>
              <w:t xml:space="preserve">Cross-sectional </w:t>
            </w:r>
          </w:p>
          <w:p w14:paraId="618B4099" w14:textId="77777777" w:rsidR="00841348" w:rsidRPr="00522CD2" w:rsidRDefault="00841348" w:rsidP="00272555">
            <w:pPr>
              <w:spacing w:line="276" w:lineRule="auto"/>
              <w:rPr>
                <w:rFonts w:cs="Arial"/>
                <w:sz w:val="20"/>
                <w:szCs w:val="20"/>
              </w:rPr>
            </w:pPr>
            <w:r w:rsidRPr="00522CD2">
              <w:rPr>
                <w:rFonts w:cs="Arial"/>
                <w:sz w:val="20"/>
                <w:szCs w:val="20"/>
              </w:rPr>
              <w:t>NHS vs Private provider units</w:t>
            </w:r>
          </w:p>
        </w:tc>
        <w:tc>
          <w:tcPr>
            <w:tcW w:w="1019" w:type="dxa"/>
            <w:tcBorders>
              <w:top w:val="single" w:sz="4" w:space="0" w:color="auto"/>
              <w:left w:val="nil"/>
              <w:bottom w:val="single" w:sz="4" w:space="0" w:color="auto"/>
              <w:right w:val="nil"/>
            </w:tcBorders>
            <w:shd w:val="clear" w:color="auto" w:fill="auto"/>
          </w:tcPr>
          <w:p w14:paraId="363A2A1D" w14:textId="77777777" w:rsidR="00841348" w:rsidRPr="00522CD2" w:rsidRDefault="00841348" w:rsidP="00272555">
            <w:pPr>
              <w:spacing w:line="276" w:lineRule="auto"/>
              <w:ind w:left="252"/>
              <w:jc w:val="center"/>
              <w:rPr>
                <w:rFonts w:cs="Arial"/>
                <w:sz w:val="20"/>
                <w:szCs w:val="20"/>
              </w:rPr>
            </w:pPr>
            <w:r w:rsidRPr="00522CD2">
              <w:rPr>
                <w:rFonts w:cs="Arial"/>
                <w:sz w:val="20"/>
                <w:szCs w:val="22"/>
              </w:rPr>
              <w:t>1,891</w:t>
            </w:r>
          </w:p>
        </w:tc>
        <w:tc>
          <w:tcPr>
            <w:tcW w:w="3825" w:type="dxa"/>
            <w:tcBorders>
              <w:top w:val="single" w:sz="4" w:space="0" w:color="auto"/>
              <w:left w:val="nil"/>
              <w:bottom w:val="single" w:sz="4" w:space="0" w:color="auto"/>
              <w:right w:val="nil"/>
            </w:tcBorders>
            <w:shd w:val="clear" w:color="auto" w:fill="auto"/>
          </w:tcPr>
          <w:p w14:paraId="706E7007"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Delayed discharge</w:t>
            </w:r>
          </w:p>
          <w:p w14:paraId="79332FE8" w14:textId="77777777" w:rsidR="00290AAF" w:rsidRPr="00522CD2" w:rsidRDefault="00290AAF" w:rsidP="00386B2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52"/>
              <w:rPr>
                <w:rFonts w:cs="Arial"/>
                <w:sz w:val="20"/>
                <w:szCs w:val="20"/>
              </w:rPr>
            </w:pPr>
          </w:p>
          <w:p w14:paraId="57CCA00C" w14:textId="22E5BC4E" w:rsidR="00841348" w:rsidRPr="00522CD2" w:rsidRDefault="00290AAF"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w:t>
            </w:r>
            <w:r w:rsidR="00841348" w:rsidRPr="00522CD2">
              <w:rPr>
                <w:rFonts w:cs="Arial"/>
                <w:sz w:val="20"/>
                <w:szCs w:val="20"/>
              </w:rPr>
              <w:t>ncidents</w:t>
            </w:r>
          </w:p>
          <w:p w14:paraId="6024CE97" w14:textId="77777777" w:rsidR="00841348" w:rsidRPr="00522CD2" w:rsidRDefault="00841348" w:rsidP="00272555">
            <w:pPr>
              <w:spacing w:line="276" w:lineRule="auto"/>
              <w:ind w:left="252"/>
              <w:rPr>
                <w:rFonts w:cs="Arial"/>
                <w:sz w:val="20"/>
                <w:szCs w:val="20"/>
              </w:rPr>
            </w:pPr>
          </w:p>
          <w:p w14:paraId="7F1655B6" w14:textId="77777777" w:rsidR="00841348" w:rsidRPr="00522CD2" w:rsidRDefault="00841348" w:rsidP="00272555">
            <w:pPr>
              <w:spacing w:line="276" w:lineRule="auto"/>
              <w:rPr>
                <w:rFonts w:cs="Arial"/>
                <w:sz w:val="20"/>
                <w:szCs w:val="20"/>
              </w:rPr>
            </w:pPr>
          </w:p>
        </w:tc>
        <w:tc>
          <w:tcPr>
            <w:tcW w:w="5862" w:type="dxa"/>
            <w:tcBorders>
              <w:top w:val="single" w:sz="4" w:space="0" w:color="auto"/>
              <w:left w:val="nil"/>
              <w:bottom w:val="single" w:sz="4" w:space="0" w:color="auto"/>
              <w:right w:val="nil"/>
            </w:tcBorders>
            <w:shd w:val="clear" w:color="auto" w:fill="auto"/>
          </w:tcPr>
          <w:p w14:paraId="16E325AD" w14:textId="6B6F3719"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357"/>
              <w:rPr>
                <w:rFonts w:cs="Arial"/>
                <w:sz w:val="20"/>
                <w:szCs w:val="20"/>
              </w:rPr>
            </w:pPr>
            <w:r w:rsidRPr="00522CD2">
              <w:rPr>
                <w:rFonts w:cs="Arial"/>
                <w:sz w:val="20"/>
                <w:szCs w:val="20"/>
              </w:rPr>
              <w:t>% of patients who had completed treatment but did not have any plans to leave the service in the next month</w:t>
            </w:r>
            <w:r w:rsidR="00290AAF" w:rsidRPr="00522CD2">
              <w:rPr>
                <w:rFonts w:cs="Arial"/>
                <w:sz w:val="20"/>
                <w:szCs w:val="20"/>
              </w:rPr>
              <w:t>.</w:t>
            </w:r>
          </w:p>
          <w:p w14:paraId="23290962" w14:textId="30C3206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357"/>
              <w:rPr>
                <w:rFonts w:cs="Arial"/>
                <w:sz w:val="20"/>
                <w:szCs w:val="20"/>
              </w:rPr>
            </w:pPr>
            <w:r w:rsidRPr="00522CD2">
              <w:rPr>
                <w:rFonts w:cs="Arial"/>
                <w:sz w:val="20"/>
                <w:szCs w:val="20"/>
              </w:rPr>
              <w:t>Average frequency where a patient was hurt by a patient or staff member (per patient over a 6 month period</w:t>
            </w:r>
            <w:r w:rsidR="00293045" w:rsidRPr="00522CD2">
              <w:rPr>
                <w:rFonts w:cs="Arial"/>
                <w:sz w:val="20"/>
                <w:szCs w:val="20"/>
              </w:rPr>
              <w:t>)</w:t>
            </w:r>
          </w:p>
          <w:p w14:paraId="7859BC88" w14:textId="77777777" w:rsidR="00841348" w:rsidRPr="00522CD2" w:rsidRDefault="00841348" w:rsidP="00272555">
            <w:pPr>
              <w:spacing w:line="276" w:lineRule="auto"/>
              <w:rPr>
                <w:rFonts w:cs="Arial"/>
                <w:sz w:val="20"/>
                <w:szCs w:val="20"/>
              </w:rPr>
            </w:pPr>
          </w:p>
        </w:tc>
      </w:tr>
      <w:tr w:rsidR="00841348" w:rsidRPr="00522CD2" w14:paraId="381D8B38" w14:textId="77777777" w:rsidTr="00272555">
        <w:trPr>
          <w:trHeight w:val="416"/>
        </w:trPr>
        <w:tc>
          <w:tcPr>
            <w:tcW w:w="15490" w:type="dxa"/>
            <w:gridSpan w:val="5"/>
            <w:tcBorders>
              <w:top w:val="single" w:sz="4" w:space="0" w:color="auto"/>
              <w:left w:val="nil"/>
              <w:bottom w:val="nil"/>
              <w:right w:val="nil"/>
            </w:tcBorders>
            <w:shd w:val="clear" w:color="auto" w:fill="auto"/>
          </w:tcPr>
          <w:p w14:paraId="695334CD" w14:textId="2EDE761C" w:rsidR="00841348" w:rsidRPr="00522CD2" w:rsidRDefault="00841348" w:rsidP="00272555">
            <w:pPr>
              <w:spacing w:line="276" w:lineRule="auto"/>
              <w:ind w:left="284"/>
              <w:rPr>
                <w:rFonts w:cs="Arial"/>
                <w:sz w:val="20"/>
                <w:szCs w:val="20"/>
              </w:rPr>
            </w:pPr>
            <w:r w:rsidRPr="00522CD2">
              <w:rPr>
                <w:rFonts w:cs="Arial"/>
                <w:i/>
                <w:sz w:val="20"/>
                <w:szCs w:val="20"/>
              </w:rPr>
              <w:t xml:space="preserve">Note. </w:t>
            </w:r>
            <w:r w:rsidR="00293045" w:rsidRPr="00522CD2">
              <w:rPr>
                <w:rFonts w:cs="Arial"/>
                <w:sz w:val="20"/>
                <w:szCs w:val="20"/>
              </w:rPr>
              <w:t>SDRS = Short Dynamic Risk Scale; RM-2000 = Risk M</w:t>
            </w:r>
            <w:r w:rsidRPr="00522CD2">
              <w:rPr>
                <w:rFonts w:cs="Arial"/>
                <w:sz w:val="20"/>
                <w:szCs w:val="20"/>
              </w:rPr>
              <w:t>atrix 2000; CuRV =</w:t>
            </w:r>
            <w:r w:rsidR="00290AAF" w:rsidRPr="00522CD2">
              <w:rPr>
                <w:rFonts w:cs="Arial"/>
                <w:sz w:val="20"/>
                <w:szCs w:val="20"/>
              </w:rPr>
              <w:t xml:space="preserve"> </w:t>
            </w:r>
            <w:r w:rsidR="00293045" w:rsidRPr="00522CD2">
              <w:rPr>
                <w:rFonts w:cs="Arial"/>
                <w:sz w:val="20"/>
                <w:szCs w:val="20"/>
              </w:rPr>
              <w:t>Current Risk of V</w:t>
            </w:r>
            <w:r w:rsidRPr="00522CD2">
              <w:rPr>
                <w:rFonts w:cs="Arial"/>
                <w:sz w:val="20"/>
                <w:szCs w:val="20"/>
              </w:rPr>
              <w:t>iolence.</w:t>
            </w:r>
          </w:p>
        </w:tc>
      </w:tr>
      <w:tr w:rsidR="00841348" w:rsidRPr="00522CD2" w14:paraId="155827F8" w14:textId="77777777" w:rsidTr="00272555">
        <w:trPr>
          <w:trHeight w:val="416"/>
        </w:trPr>
        <w:tc>
          <w:tcPr>
            <w:tcW w:w="15490" w:type="dxa"/>
            <w:gridSpan w:val="5"/>
            <w:tcBorders>
              <w:top w:val="nil"/>
              <w:left w:val="nil"/>
              <w:bottom w:val="single" w:sz="4" w:space="0" w:color="auto"/>
              <w:right w:val="nil"/>
            </w:tcBorders>
            <w:shd w:val="clear" w:color="auto" w:fill="FFFFFF" w:themeFill="background1"/>
          </w:tcPr>
          <w:p w14:paraId="29BCE92F" w14:textId="270E58F7" w:rsidR="00D33FA3" w:rsidRPr="00522CD2" w:rsidRDefault="00D33FA3" w:rsidP="00272555">
            <w:pPr>
              <w:spacing w:line="276" w:lineRule="auto"/>
              <w:rPr>
                <w:rFonts w:cs="Arial"/>
                <w:b/>
                <w:sz w:val="20"/>
                <w:szCs w:val="20"/>
              </w:rPr>
            </w:pPr>
          </w:p>
          <w:p w14:paraId="4F4A73BC" w14:textId="77777777" w:rsidR="00841348" w:rsidRPr="00522CD2" w:rsidRDefault="00841348" w:rsidP="00272555">
            <w:pPr>
              <w:spacing w:line="276" w:lineRule="auto"/>
              <w:rPr>
                <w:rFonts w:cs="Arial"/>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 xml:space="preserve">. </w:t>
            </w:r>
            <w:r w:rsidRPr="00522CD2">
              <w:rPr>
                <w:rFonts w:cs="Arial"/>
                <w:sz w:val="20"/>
                <w:szCs w:val="20"/>
              </w:rPr>
              <w:t>continued</w:t>
            </w:r>
          </w:p>
          <w:p w14:paraId="7646CDF5" w14:textId="77777777" w:rsidR="00841348" w:rsidRPr="00522CD2" w:rsidRDefault="00841348" w:rsidP="00272555">
            <w:pPr>
              <w:spacing w:line="276" w:lineRule="auto"/>
              <w:rPr>
                <w:rFonts w:cs="Arial"/>
                <w:sz w:val="20"/>
                <w:szCs w:val="20"/>
              </w:rPr>
            </w:pPr>
            <w:r w:rsidRPr="00522CD2">
              <w:rPr>
                <w:rFonts w:cs="Arial"/>
                <w:sz w:val="20"/>
                <w:szCs w:val="20"/>
              </w:rPr>
              <w:t>Summary of studies presenting data on the outcome domain of effectiveness (cross-sectional studies).</w:t>
            </w:r>
          </w:p>
        </w:tc>
      </w:tr>
      <w:tr w:rsidR="00841348" w:rsidRPr="00522CD2" w14:paraId="159F7F57" w14:textId="77777777" w:rsidTr="00272555">
        <w:trPr>
          <w:trHeight w:val="416"/>
        </w:trPr>
        <w:tc>
          <w:tcPr>
            <w:tcW w:w="2399" w:type="dxa"/>
            <w:tcBorders>
              <w:top w:val="single" w:sz="4" w:space="0" w:color="auto"/>
              <w:left w:val="nil"/>
              <w:bottom w:val="single" w:sz="4" w:space="0" w:color="auto"/>
              <w:right w:val="nil"/>
            </w:tcBorders>
            <w:shd w:val="clear" w:color="auto" w:fill="FFFFFF" w:themeFill="background1"/>
          </w:tcPr>
          <w:p w14:paraId="72020139" w14:textId="77777777" w:rsidR="00841348" w:rsidRPr="00522CD2" w:rsidRDefault="00841348" w:rsidP="00272555">
            <w:pPr>
              <w:jc w:val="center"/>
              <w:rPr>
                <w:rFonts w:cs="Arial"/>
                <w:b/>
                <w:sz w:val="20"/>
                <w:szCs w:val="20"/>
              </w:rPr>
            </w:pPr>
            <w:r w:rsidRPr="00522CD2">
              <w:rPr>
                <w:rFonts w:cs="Arial"/>
                <w:b/>
                <w:sz w:val="20"/>
                <w:szCs w:val="20"/>
              </w:rPr>
              <w:t>Study and Setting</w:t>
            </w:r>
          </w:p>
        </w:tc>
        <w:tc>
          <w:tcPr>
            <w:tcW w:w="2385" w:type="dxa"/>
            <w:tcBorders>
              <w:top w:val="single" w:sz="4" w:space="0" w:color="auto"/>
              <w:left w:val="nil"/>
              <w:bottom w:val="single" w:sz="4" w:space="0" w:color="auto"/>
              <w:right w:val="nil"/>
            </w:tcBorders>
            <w:shd w:val="clear" w:color="auto" w:fill="FFFFFF" w:themeFill="background1"/>
          </w:tcPr>
          <w:p w14:paraId="51F5E762" w14:textId="77777777" w:rsidR="00841348" w:rsidRPr="00522CD2" w:rsidRDefault="00841348" w:rsidP="00272555">
            <w:pPr>
              <w:rPr>
                <w:rFonts w:cs="Arial"/>
                <w:b/>
                <w:sz w:val="20"/>
                <w:szCs w:val="20"/>
              </w:rPr>
            </w:pPr>
            <w:r w:rsidRPr="00522CD2">
              <w:rPr>
                <w:rFonts w:cs="Arial"/>
                <w:b/>
                <w:sz w:val="20"/>
                <w:szCs w:val="20"/>
              </w:rPr>
              <w:t>Design</w:t>
            </w:r>
          </w:p>
        </w:tc>
        <w:tc>
          <w:tcPr>
            <w:tcW w:w="1019" w:type="dxa"/>
            <w:tcBorders>
              <w:top w:val="single" w:sz="4" w:space="0" w:color="auto"/>
              <w:left w:val="nil"/>
              <w:bottom w:val="single" w:sz="4" w:space="0" w:color="auto"/>
              <w:right w:val="nil"/>
            </w:tcBorders>
            <w:shd w:val="clear" w:color="auto" w:fill="FFFFFF" w:themeFill="background1"/>
          </w:tcPr>
          <w:p w14:paraId="61BA8838" w14:textId="77777777" w:rsidR="00841348" w:rsidRPr="00522CD2" w:rsidRDefault="00841348" w:rsidP="00272555">
            <w:pPr>
              <w:jc w:val="center"/>
              <w:rPr>
                <w:rFonts w:cs="Arial"/>
                <w:b/>
                <w:sz w:val="20"/>
                <w:szCs w:val="20"/>
              </w:rPr>
            </w:pPr>
            <w:r w:rsidRPr="00522CD2">
              <w:rPr>
                <w:rFonts w:cs="Arial"/>
                <w:b/>
                <w:sz w:val="20"/>
                <w:szCs w:val="20"/>
              </w:rPr>
              <w:t>N</w:t>
            </w:r>
          </w:p>
        </w:tc>
        <w:tc>
          <w:tcPr>
            <w:tcW w:w="3825" w:type="dxa"/>
            <w:tcBorders>
              <w:top w:val="single" w:sz="4" w:space="0" w:color="auto"/>
              <w:left w:val="nil"/>
              <w:bottom w:val="single" w:sz="4" w:space="0" w:color="auto"/>
              <w:right w:val="nil"/>
            </w:tcBorders>
            <w:shd w:val="clear" w:color="auto" w:fill="FFFFFF" w:themeFill="background1"/>
          </w:tcPr>
          <w:p w14:paraId="4C08C295" w14:textId="77777777" w:rsidR="00841348" w:rsidRPr="00522CD2" w:rsidRDefault="00841348" w:rsidP="00272555">
            <w:pPr>
              <w:jc w:val="center"/>
              <w:rPr>
                <w:rFonts w:cs="Arial"/>
                <w:b/>
                <w:sz w:val="20"/>
                <w:szCs w:val="20"/>
              </w:rPr>
            </w:pPr>
            <w:r w:rsidRPr="00522CD2">
              <w:rPr>
                <w:rFonts w:cs="Arial"/>
                <w:b/>
                <w:sz w:val="20"/>
                <w:szCs w:val="20"/>
              </w:rPr>
              <w:t>Outcome Sub-Domain</w:t>
            </w:r>
          </w:p>
        </w:tc>
        <w:tc>
          <w:tcPr>
            <w:tcW w:w="5862" w:type="dxa"/>
            <w:tcBorders>
              <w:top w:val="single" w:sz="4" w:space="0" w:color="auto"/>
              <w:left w:val="nil"/>
              <w:bottom w:val="single" w:sz="4" w:space="0" w:color="auto"/>
              <w:right w:val="nil"/>
            </w:tcBorders>
            <w:shd w:val="clear" w:color="auto" w:fill="FFFFFF" w:themeFill="background1"/>
          </w:tcPr>
          <w:p w14:paraId="071D99BC" w14:textId="77777777" w:rsidR="00841348" w:rsidRPr="00522CD2" w:rsidRDefault="00841348" w:rsidP="00272555">
            <w:pPr>
              <w:jc w:val="center"/>
              <w:rPr>
                <w:rFonts w:cs="Arial"/>
                <w:b/>
                <w:sz w:val="20"/>
                <w:szCs w:val="20"/>
              </w:rPr>
            </w:pPr>
            <w:r w:rsidRPr="00522CD2">
              <w:rPr>
                <w:rFonts w:cs="Arial"/>
                <w:b/>
                <w:sz w:val="20"/>
                <w:szCs w:val="20"/>
              </w:rPr>
              <w:t>Measure/Indicator</w:t>
            </w:r>
          </w:p>
        </w:tc>
      </w:tr>
      <w:tr w:rsidR="00841348" w:rsidRPr="00522CD2" w14:paraId="0A61474C"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22E4EF5E" w14:textId="165AE8A7" w:rsidR="00841348" w:rsidRPr="00522CD2" w:rsidRDefault="00841348" w:rsidP="00272555">
            <w:pPr>
              <w:spacing w:line="276" w:lineRule="auto"/>
              <w:rPr>
                <w:rFonts w:cs="Arial"/>
                <w:sz w:val="20"/>
                <w:szCs w:val="20"/>
              </w:rPr>
            </w:pPr>
            <w:r w:rsidRPr="00522CD2">
              <w:rPr>
                <w:rFonts w:cs="Arial"/>
                <w:sz w:val="20"/>
                <w:szCs w:val="20"/>
              </w:rPr>
              <w:t xml:space="preserve">McMillan et al. (2004)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"10.1111/j.1468-3148.2004.00213.x", "ISSN" : "1360-2322", "author" : [ { "dropping-particle" : "", "family" : "McMillan", "given" : "Dean", "non-dropping-particle" : "", "parse-names" : false, "suffix" : "" }, { "dropping-particle" : "", "family" : "Hastings", "given" : "Richard P.", "non-dropping-particle" : "", "parse-names" : false, "suffix" : "" }, { "dropping-particle" : "", "family" : "Coldwell", "given" : "Jon", "non-dropping-particle" : "", "parse-names" : false, "suffix" : "" } ], "container-title" : "Journal of Applied Research in Intellectual Disabilities", "id" : "ITEM-1", "issue" : "4", "issued" : { "date-parts" : [ [ "2004", "12" ] ] }, "page" : "255-265", "title" : "Clinical and Actuarial Prediction of Physical Violence in a Forensic Intellectual Disability Hospital: A Longitudinal Study", "type" : "article-journal", "volume" : "17" }, "uris" : [ "http://www.mendeley.com/documents/?uuid=4e23c4f5-a69f-36d5-a501-8e109e9a8172" ] } ], "mendeley" : { "formattedCitation" : "(70)", "plainTextFormattedCitation" : "(70)", "previouslyFormattedCitation" : "(70)"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(70)</w:t>
            </w:r>
            <w:r w:rsidR="00FC3FE5" w:rsidRPr="00522CD2">
              <w:rPr>
                <w:rFonts w:cs="Arial"/>
                <w:sz w:val="20"/>
                <w:szCs w:val="20"/>
              </w:rPr>
              <w:fldChar w:fldCharType="end"/>
            </w:r>
          </w:p>
          <w:p w14:paraId="43BFBCEB" w14:textId="3F0B1F80" w:rsidR="00841348" w:rsidRPr="00522CD2" w:rsidRDefault="003002B9" w:rsidP="00272555">
            <w:pPr>
              <w:spacing w:line="276" w:lineRule="auto"/>
              <w:rPr>
                <w:rFonts w:cs="Arial"/>
                <w:sz w:val="20"/>
                <w:szCs w:val="20"/>
              </w:rPr>
            </w:pPr>
            <w:r w:rsidRPr="00522CD2">
              <w:rPr>
                <w:rFonts w:cs="Arial"/>
                <w:sz w:val="20"/>
                <w:szCs w:val="20"/>
              </w:rPr>
              <w:t>Medium s</w:t>
            </w:r>
            <w:r w:rsidR="00841348" w:rsidRPr="00522CD2">
              <w:rPr>
                <w:rFonts w:cs="Arial"/>
                <w:sz w:val="20"/>
                <w:szCs w:val="20"/>
              </w:rPr>
              <w:t>ecure</w:t>
            </w:r>
          </w:p>
        </w:tc>
        <w:tc>
          <w:tcPr>
            <w:tcW w:w="2385" w:type="dxa"/>
            <w:tcBorders>
              <w:top w:val="single" w:sz="4" w:space="0" w:color="auto"/>
              <w:left w:val="nil"/>
              <w:bottom w:val="single" w:sz="4" w:space="0" w:color="auto"/>
              <w:right w:val="nil"/>
            </w:tcBorders>
            <w:shd w:val="clear" w:color="auto" w:fill="auto"/>
          </w:tcPr>
          <w:p w14:paraId="2DBF600F" w14:textId="6275C3AA" w:rsidR="00841348" w:rsidRPr="00522CD2" w:rsidRDefault="00841348" w:rsidP="00272555">
            <w:pPr>
              <w:spacing w:line="276" w:lineRule="auto"/>
              <w:rPr>
                <w:rFonts w:cs="Arial"/>
                <w:sz w:val="20"/>
                <w:szCs w:val="20"/>
              </w:rPr>
            </w:pPr>
            <w:r w:rsidRPr="00522CD2">
              <w:rPr>
                <w:rFonts w:cs="Arial"/>
                <w:sz w:val="20"/>
                <w:szCs w:val="20"/>
              </w:rPr>
              <w:t xml:space="preserve">Cross-sectional </w:t>
            </w:r>
          </w:p>
          <w:p w14:paraId="21D4ED60" w14:textId="77777777" w:rsidR="00841348" w:rsidRPr="00522CD2" w:rsidRDefault="00841348" w:rsidP="00272555">
            <w:pPr>
              <w:spacing w:line="276" w:lineRule="auto"/>
              <w:rPr>
                <w:rFonts w:cs="Arial"/>
                <w:sz w:val="20"/>
                <w:szCs w:val="20"/>
              </w:rPr>
            </w:pPr>
            <w:r w:rsidRPr="00522CD2">
              <w:rPr>
                <w:rFonts w:cs="Arial"/>
                <w:sz w:val="20"/>
                <w:szCs w:val="20"/>
              </w:rPr>
              <w:t>6 month period</w:t>
            </w:r>
          </w:p>
          <w:p w14:paraId="00A3521F" w14:textId="77777777" w:rsidR="00841348" w:rsidRPr="00522CD2" w:rsidRDefault="00841348" w:rsidP="00272555">
            <w:pPr>
              <w:spacing w:line="276" w:lineRule="auto"/>
              <w:rPr>
                <w:rFonts w:cs="Arial"/>
                <w:sz w:val="20"/>
                <w:szCs w:val="20"/>
              </w:rPr>
            </w:pPr>
          </w:p>
        </w:tc>
        <w:tc>
          <w:tcPr>
            <w:tcW w:w="1019" w:type="dxa"/>
            <w:tcBorders>
              <w:top w:val="single" w:sz="4" w:space="0" w:color="auto"/>
              <w:left w:val="nil"/>
              <w:bottom w:val="single" w:sz="4" w:space="0" w:color="auto"/>
              <w:right w:val="nil"/>
            </w:tcBorders>
            <w:shd w:val="clear" w:color="auto" w:fill="auto"/>
          </w:tcPr>
          <w:p w14:paraId="1492255D" w14:textId="77777777" w:rsidR="00841348" w:rsidRPr="00522CD2" w:rsidRDefault="00841348" w:rsidP="00272555">
            <w:pPr>
              <w:spacing w:line="276" w:lineRule="auto"/>
              <w:ind w:left="252"/>
              <w:rPr>
                <w:rFonts w:cs="Arial"/>
                <w:sz w:val="20"/>
                <w:szCs w:val="20"/>
              </w:rPr>
            </w:pPr>
            <w:r w:rsidRPr="00522CD2">
              <w:rPr>
                <w:rFonts w:cs="Arial"/>
                <w:sz w:val="20"/>
                <w:szCs w:val="20"/>
              </w:rPr>
              <w:t>124</w:t>
            </w:r>
          </w:p>
        </w:tc>
        <w:tc>
          <w:tcPr>
            <w:tcW w:w="3825" w:type="dxa"/>
            <w:tcBorders>
              <w:top w:val="single" w:sz="4" w:space="0" w:color="auto"/>
              <w:left w:val="nil"/>
              <w:bottom w:val="single" w:sz="4" w:space="0" w:color="auto"/>
              <w:right w:val="nil"/>
            </w:tcBorders>
            <w:shd w:val="clear" w:color="auto" w:fill="auto"/>
          </w:tcPr>
          <w:p w14:paraId="45B019CF"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p w14:paraId="0FDAE1F2" w14:textId="77777777" w:rsidR="00841348" w:rsidRPr="00522CD2" w:rsidRDefault="00841348" w:rsidP="00272555">
            <w:pPr>
              <w:spacing w:line="276" w:lineRule="auto"/>
              <w:ind w:left="252"/>
              <w:rPr>
                <w:rFonts w:cs="Arial"/>
                <w:sz w:val="20"/>
                <w:szCs w:val="20"/>
              </w:rPr>
            </w:pPr>
          </w:p>
          <w:p w14:paraId="7855CB85" w14:textId="77777777" w:rsidR="00272555" w:rsidRPr="00522CD2" w:rsidRDefault="00272555" w:rsidP="00272555">
            <w:pPr>
              <w:spacing w:line="276" w:lineRule="auto"/>
              <w:ind w:left="252"/>
              <w:rPr>
                <w:rFonts w:cs="Arial"/>
                <w:sz w:val="20"/>
                <w:szCs w:val="20"/>
              </w:rPr>
            </w:pPr>
          </w:p>
          <w:p w14:paraId="5B1AC480"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Incidents</w:t>
            </w:r>
          </w:p>
          <w:p w14:paraId="2CF13632" w14:textId="77777777" w:rsidR="00841348" w:rsidRPr="00522CD2" w:rsidRDefault="00841348" w:rsidP="00272555">
            <w:pPr>
              <w:pStyle w:val="ListParagraph"/>
              <w:spacing w:line="276" w:lineRule="auto"/>
              <w:rPr>
                <w:rFonts w:cs="Arial"/>
                <w:sz w:val="20"/>
                <w:szCs w:val="20"/>
              </w:rPr>
            </w:pPr>
          </w:p>
          <w:p w14:paraId="3CB8F1E2" w14:textId="77777777" w:rsidR="00841348" w:rsidRPr="00522CD2" w:rsidRDefault="00841348" w:rsidP="00272555">
            <w:pPr>
              <w:spacing w:line="276" w:lineRule="auto"/>
              <w:rPr>
                <w:rFonts w:cs="Arial"/>
                <w:sz w:val="20"/>
                <w:szCs w:val="20"/>
              </w:rPr>
            </w:pPr>
          </w:p>
        </w:tc>
        <w:tc>
          <w:tcPr>
            <w:tcW w:w="5862" w:type="dxa"/>
            <w:tcBorders>
              <w:top w:val="single" w:sz="4" w:space="0" w:color="auto"/>
              <w:left w:val="nil"/>
              <w:bottom w:val="single" w:sz="4" w:space="0" w:color="auto"/>
              <w:right w:val="nil"/>
            </w:tcBorders>
            <w:shd w:val="clear" w:color="auto" w:fill="auto"/>
          </w:tcPr>
          <w:p w14:paraId="1E243D27"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MDT ratings per patient on risk of physical violence (scale of 0-8) and number of times patient had been violent in 6 months prior to risk assessment.</w:t>
            </w:r>
          </w:p>
          <w:p w14:paraId="6F4AB0AC" w14:textId="729AD8D6"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Author coded each description based on explicit criteria and guideline</w:t>
            </w:r>
            <w:r w:rsidR="003002B9" w:rsidRPr="00522CD2">
              <w:rPr>
                <w:rFonts w:cs="Arial"/>
                <w:sz w:val="20"/>
                <w:szCs w:val="20"/>
              </w:rPr>
              <w:t>s. e.g. p</w:t>
            </w:r>
            <w:r w:rsidRPr="00522CD2">
              <w:rPr>
                <w:rFonts w:cs="Arial"/>
                <w:sz w:val="20"/>
                <w:szCs w:val="20"/>
              </w:rPr>
              <w:t>hysical violence (attempted, contact between assailant or object and victim, evidence of physical harm to victim or att</w:t>
            </w:r>
            <w:r w:rsidR="003002B9" w:rsidRPr="00522CD2">
              <w:rPr>
                <w:rFonts w:cs="Arial"/>
                <w:sz w:val="20"/>
                <w:szCs w:val="20"/>
              </w:rPr>
              <w:t>endance of medical personnel). Coded f</w:t>
            </w:r>
            <w:r w:rsidRPr="00522CD2">
              <w:rPr>
                <w:rFonts w:cs="Arial"/>
                <w:sz w:val="20"/>
                <w:szCs w:val="20"/>
              </w:rPr>
              <w:t>rom computerised hospital database</w:t>
            </w:r>
          </w:p>
          <w:p w14:paraId="1F689678" w14:textId="77777777" w:rsidR="00841348" w:rsidRPr="00522CD2" w:rsidRDefault="00841348" w:rsidP="00272555">
            <w:pPr>
              <w:spacing w:line="276" w:lineRule="auto"/>
              <w:ind w:left="252"/>
              <w:rPr>
                <w:rFonts w:cs="Arial"/>
                <w:sz w:val="20"/>
                <w:szCs w:val="20"/>
              </w:rPr>
            </w:pPr>
          </w:p>
        </w:tc>
      </w:tr>
      <w:tr w:rsidR="00841348" w:rsidRPr="00522CD2" w14:paraId="4CE24A2B" w14:textId="77777777" w:rsidTr="00272555">
        <w:trPr>
          <w:trHeight w:val="699"/>
        </w:trPr>
        <w:tc>
          <w:tcPr>
            <w:tcW w:w="2399" w:type="dxa"/>
            <w:tcBorders>
              <w:top w:val="single" w:sz="4" w:space="0" w:color="auto"/>
              <w:left w:val="nil"/>
              <w:bottom w:val="single" w:sz="4" w:space="0" w:color="auto"/>
              <w:right w:val="nil"/>
            </w:tcBorders>
            <w:shd w:val="clear" w:color="auto" w:fill="auto"/>
          </w:tcPr>
          <w:p w14:paraId="50F8EFF2" w14:textId="77805AF1"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 xml:space="preserve">Morrissey et al. (2007a) </w:t>
            </w:r>
            <w:r w:rsidR="00FC3FE5"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"10.1111/j.1365-2788.2006.00938.x", "ISSN" : "0964-2633", "PMID" : "17803496", "abstract" : "BACKGROUND Despite an increasing knowledge base concerning the assessment of emotional and behavioural problems in people with intellectual disabilities (ID), relatively little research has examined such problems in offenders with ID. METHODS The study assessed 172 male offenders with ID in three service settings (high, medium-low security and community) using the Behaviour Rating Scale of the Emotional Problem Scales (EPS), with the aim of assessing differences in Externalizing and Internalizing Behaviour Problems. RESULTS Normative information is presented on the Behaviour Rating Scale of the EPS across three levels of forensic ID care. It was found that offenders in higher secure care scored higher on sub-scales reflecting physical aggression than those in lower secure care. However, there was no difference in terms of other Externalizing Behaviour Problems, such as verbal aggression, non-compliance or hyperactivity. In addition, those offenders in higher secure care scored significantly higher on all Internalizing Behaviour Problems sub-scales, including anxiety, depression and low self-esteem. CONCLUSIONS Implications for research and clinical practice are discussed, including the utility of the EPS as a measure of clinical need and treatment outcome.", "author" : [ { "dropping-particle" : "", "family" : "Hogue", "given" : "T E", "non-dropping-particle" : "", "parse-names" : false, "suffix" : "" }, { "dropping-particle" : "", "family" : "Mooney", "given" : "P", "non-dropping-particle" : "", "parse-names" : false, "suffix" : "" }, { "dropping-particle" : "", "family" : "Morrissey", "given" : "C", "non-dropping-particle" : "", "parse-names" : false, "suffix" : "" }, { "dropping-particle" : "", "family" : "Steptoe", "given" : "L", "non-dropping-particle" : "", "parse-names" : false, "suffix" : "" }, { "dropping-particle" : "", "family" : "Johnston", "given" : "S", "non-dropping-particle" : "", "parse-names" : false, "suffix" : "" }, { "dropping-particle" : "", "family" : "Lindsay", "given" : "W R", "non-dropping-particle" : "", "parse-names" : false, "suffix" : "" }, { "dropping-particle" : "", "family" : "Taylor", "given" : "J", "non-dropping-particle" : "", "parse-names" : false, "suffix" : "" } ], "container-title" : "Journal of intellectual disability research : JIDR", "id" : "ITEM-1", "issue" : "Pt 10", "issued" : { "date-parts" : [ [ "2007", "10" ] ] }, "page" : "778-85", "title" : "Emotional and behavioural problems in offenders with intellectual disability: comparative data from three forensic services.", "type" : "article-journal", "volume" : "51" }, "uris" : [ "http://www.mendeley.com/documents/?uuid=c3466c3c-a87f-3f21-9471-e18df4332590" ] } ], "mendeley" : { "formattedCitation" : "(62)", "plainTextFormattedCitation" : "(62)", "previouslyFormattedCitation" : "(62)" }, "properties" : { "noteIndex" : 0 }, "schema" : "https://github.com/citation-style-language/schema/raw/master/csl-citation.json" }</w:instrText>
            </w:r>
            <w:r w:rsidR="00FC3FE5"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(62)</w:t>
            </w:r>
            <w:r w:rsidR="00FC3FE5" w:rsidRPr="00522CD2">
              <w:rPr>
                <w:rFonts w:cs="Arial"/>
                <w:kern w:val="28"/>
                <w:sz w:val="20"/>
                <w:szCs w:val="20"/>
                <w:lang w:val="en-CA" w:eastAsia="en-GB"/>
              </w:rPr>
              <w:fldChar w:fldCharType="end"/>
            </w:r>
          </w:p>
          <w:p w14:paraId="7919FFBC" w14:textId="17B6AB69" w:rsidR="00841348" w:rsidRPr="00522CD2" w:rsidRDefault="003002B9" w:rsidP="00272555">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High s</w:t>
            </w:r>
            <w:r w:rsidR="00841348" w:rsidRPr="00522CD2">
              <w:rPr>
                <w:rFonts w:cs="Arial"/>
                <w:kern w:val="28"/>
                <w:sz w:val="20"/>
                <w:szCs w:val="20"/>
                <w:lang w:val="en-CA" w:eastAsia="en-GB"/>
              </w:rPr>
              <w:t>ecure</w:t>
            </w:r>
          </w:p>
        </w:tc>
        <w:tc>
          <w:tcPr>
            <w:tcW w:w="2385" w:type="dxa"/>
            <w:tcBorders>
              <w:top w:val="single" w:sz="4" w:space="0" w:color="auto"/>
              <w:left w:val="nil"/>
              <w:bottom w:val="single" w:sz="4" w:space="0" w:color="auto"/>
              <w:right w:val="nil"/>
            </w:tcBorders>
            <w:shd w:val="clear" w:color="auto" w:fill="auto"/>
          </w:tcPr>
          <w:p w14:paraId="7574D3EB" w14:textId="5AE04DF6" w:rsidR="00841348" w:rsidRPr="00522CD2" w:rsidRDefault="00841348" w:rsidP="00272555">
            <w:pPr>
              <w:spacing w:line="276" w:lineRule="auto"/>
              <w:rPr>
                <w:rFonts w:cs="Arial"/>
                <w:sz w:val="20"/>
                <w:szCs w:val="20"/>
              </w:rPr>
            </w:pPr>
            <w:r w:rsidRPr="00522CD2">
              <w:rPr>
                <w:rFonts w:cs="Arial"/>
                <w:sz w:val="20"/>
                <w:szCs w:val="20"/>
              </w:rPr>
              <w:t xml:space="preserve">Cross Sectional </w:t>
            </w:r>
          </w:p>
          <w:p w14:paraId="1DF2CBB2" w14:textId="77777777" w:rsidR="00841348" w:rsidRPr="00522CD2" w:rsidRDefault="00841348" w:rsidP="00272555">
            <w:pPr>
              <w:spacing w:line="276" w:lineRule="auto"/>
              <w:rPr>
                <w:rFonts w:cs="Arial"/>
                <w:sz w:val="20"/>
                <w:szCs w:val="20"/>
              </w:rPr>
            </w:pPr>
            <w:r w:rsidRPr="00522CD2">
              <w:rPr>
                <w:rFonts w:cs="Arial"/>
                <w:sz w:val="20"/>
                <w:szCs w:val="20"/>
              </w:rPr>
              <w:t xml:space="preserve">12 month period </w:t>
            </w:r>
          </w:p>
        </w:tc>
        <w:tc>
          <w:tcPr>
            <w:tcW w:w="1019" w:type="dxa"/>
            <w:tcBorders>
              <w:top w:val="single" w:sz="4" w:space="0" w:color="auto"/>
              <w:left w:val="nil"/>
              <w:bottom w:val="single" w:sz="4" w:space="0" w:color="auto"/>
              <w:right w:val="nil"/>
            </w:tcBorders>
            <w:shd w:val="clear" w:color="auto" w:fill="auto"/>
          </w:tcPr>
          <w:p w14:paraId="067D1FBE" w14:textId="77777777" w:rsidR="00841348" w:rsidRPr="00522CD2" w:rsidRDefault="00841348" w:rsidP="00272555">
            <w:pPr>
              <w:spacing w:line="276" w:lineRule="auto"/>
              <w:jc w:val="center"/>
              <w:rPr>
                <w:rFonts w:cs="Arial"/>
                <w:sz w:val="20"/>
                <w:szCs w:val="20"/>
              </w:rPr>
            </w:pPr>
            <w:r w:rsidRPr="00522CD2">
              <w:rPr>
                <w:rFonts w:cs="Arial"/>
                <w:sz w:val="20"/>
                <w:szCs w:val="20"/>
              </w:rPr>
              <w:t>60</w:t>
            </w:r>
          </w:p>
        </w:tc>
        <w:tc>
          <w:tcPr>
            <w:tcW w:w="3825" w:type="dxa"/>
            <w:tcBorders>
              <w:top w:val="single" w:sz="4" w:space="0" w:color="auto"/>
              <w:left w:val="nil"/>
              <w:bottom w:val="single" w:sz="4" w:space="0" w:color="auto"/>
              <w:right w:val="nil"/>
            </w:tcBorders>
            <w:shd w:val="clear" w:color="auto" w:fill="auto"/>
          </w:tcPr>
          <w:p w14:paraId="093778B8"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Incidents</w:t>
            </w:r>
          </w:p>
          <w:p w14:paraId="301EE344" w14:textId="77777777" w:rsidR="00841348" w:rsidRPr="00522CD2" w:rsidRDefault="00841348" w:rsidP="00272555">
            <w:pPr>
              <w:spacing w:line="276" w:lineRule="auto"/>
              <w:ind w:left="252"/>
              <w:rPr>
                <w:rFonts w:cs="Arial"/>
                <w:sz w:val="20"/>
                <w:szCs w:val="20"/>
              </w:rPr>
            </w:pPr>
          </w:p>
          <w:p w14:paraId="2C0178ED" w14:textId="77777777" w:rsidR="00841348" w:rsidRPr="00522CD2" w:rsidRDefault="00841348" w:rsidP="00272555">
            <w:pPr>
              <w:spacing w:line="276" w:lineRule="auto"/>
              <w:ind w:left="252"/>
              <w:rPr>
                <w:rFonts w:cs="Arial"/>
                <w:sz w:val="20"/>
                <w:szCs w:val="20"/>
              </w:rPr>
            </w:pPr>
          </w:p>
          <w:p w14:paraId="4F88F20A" w14:textId="77777777" w:rsidR="00841348" w:rsidRPr="00522CD2" w:rsidRDefault="00841348" w:rsidP="00272555">
            <w:pPr>
              <w:spacing w:line="276" w:lineRule="auto"/>
              <w:ind w:left="252"/>
              <w:rPr>
                <w:rFonts w:cs="Arial"/>
                <w:sz w:val="20"/>
                <w:szCs w:val="20"/>
              </w:rPr>
            </w:pPr>
          </w:p>
          <w:p w14:paraId="53BA5095"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Risk assessment</w:t>
            </w:r>
          </w:p>
          <w:p w14:paraId="2DB25400"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Clinical symptoms</w:t>
            </w:r>
          </w:p>
        </w:tc>
        <w:tc>
          <w:tcPr>
            <w:tcW w:w="5862" w:type="dxa"/>
            <w:tcBorders>
              <w:top w:val="single" w:sz="4" w:space="0" w:color="auto"/>
              <w:left w:val="nil"/>
              <w:bottom w:val="single" w:sz="4" w:space="0" w:color="auto"/>
              <w:right w:val="nil"/>
            </w:tcBorders>
            <w:shd w:val="clear" w:color="auto" w:fill="auto"/>
          </w:tcPr>
          <w:p w14:paraId="2D4D3EBF"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Coded as either interpersonal physical aggression or verbal aggression/aggression to property. Further rated as low, medium or high risk of harm. Number of patients involved in an aggressive incident</w:t>
            </w:r>
          </w:p>
          <w:p w14:paraId="076CE874"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HCR-20</w:t>
            </w:r>
          </w:p>
          <w:p w14:paraId="781E4D0E"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PCL-R and EPS-BRS (clinician rated)</w:t>
            </w:r>
          </w:p>
          <w:p w14:paraId="3D7F04A7" w14:textId="77777777" w:rsidR="00841348" w:rsidRPr="00522CD2" w:rsidRDefault="00841348" w:rsidP="00272555">
            <w:pPr>
              <w:spacing w:line="276" w:lineRule="auto"/>
              <w:ind w:left="252"/>
              <w:rPr>
                <w:rFonts w:cs="Arial"/>
                <w:sz w:val="20"/>
                <w:szCs w:val="20"/>
              </w:rPr>
            </w:pPr>
          </w:p>
        </w:tc>
      </w:tr>
      <w:tr w:rsidR="00841348" w:rsidRPr="00522CD2" w14:paraId="2B5ADF9F"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204422BF" w14:textId="6D8E35F6" w:rsidR="00841348" w:rsidRPr="00522CD2" w:rsidRDefault="00841348" w:rsidP="00272555">
            <w:pPr>
              <w:spacing w:line="276" w:lineRule="auto"/>
              <w:rPr>
                <w:rFonts w:cs="Arial"/>
                <w:sz w:val="20"/>
                <w:szCs w:val="20"/>
              </w:rPr>
            </w:pPr>
            <w:r w:rsidRPr="00522CD2">
              <w:rPr>
                <w:rFonts w:cs="Arial"/>
                <w:sz w:val="20"/>
                <w:szCs w:val="20"/>
              </w:rPr>
              <w:t>O’Shea et al. (2015)</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"10.1111/jir.12184", "ISSN" : "1365-2788", "PMID" : "25683589", "abstract" : "BACKGROUND People with intellectual disability (ID) account for a large proportion of aggressive incidents in secure and forensic psychiatric services. Although the Historical, Clinical, Risk Management 20 (HCR-20) has good predictive validity in inpatient settings, it does not perform equally in all groups and there is little evidence for its efficacy in those with ID. METHOD A pseudo-prospective cohort study of the predictive efficacy of the HCR-20 for those with ID (n = 109) was conducted in a UK secure mental health setting using routinely collected risk data. Performance of the HCR-20 in the ID group was compared with a comparison group of adult inpatients without an ID (n = 504). Analysis controlled for potential covariates including security level, length of stay, gender and diagnosis. RESULTS The HCR-20 total score was a significant predictor of any aggression and of physical aggression for both groups, although the area under the curve values did not reach the threshold for a large effect size. The clinical subscale performed significantly better in those without an ID compared with those with. The ID group had a greater number of relevant historical and risk management items. The clinicians' summary judgment significantly predicted both types of aggressive outcomes in the ID group, but did not predict either in those without an ID. CONCLUSIONS This study demonstrates that, after controlling for a range of potential covariates, the HCR-20 is a significant predictor of inpatient aggression in people with an ID and performs as well as for a comparison group of mentally disordered individuals without ID. The potency of HCR-20 subscales and items varied between the ID and comparison groups suggesting important target areas for improved prediction and risk management interventions in those with ID.", "author" : [ { "dropping-particle" : "", "family" : "O'Shea", "given" : "L E", "non-dropping-particle" : "", "parse-names" : false, "suffix" : "" }, { "dropping-particle" : "", "family" : "Picchioni", "given" : "M M", "non-dropping-particle" : "", "parse-names" : false, "suffix" : "" }, { "dropping-particle" : "", "family" : "McCarthy", "given" : "J", "non-dropping-particle" : "", "parse-names" : false, "suffix" : "" }, { "dropping-particle" : "", "family" : "Mason", "given" : "F L", "non-dropping-particle" : "", "parse-names" : false, "suffix" : "" }, { "dropping-particle" : "", "family" : "Dickens", "given" : "G L", "non-dropping-particle" : "", "parse-names" : false, "suffix" : "" } ], "container-title" : "Journal of intellectual disability research : JIDR", "id" : "ITEM-1", "issue" : "11", "issued" : { "date-parts" : [ [ "2015", "11" ] ] }, "page" : "1042-54", "title" : "Predictive validity of the HCR-20 for inpatient aggression: the effect of intellectual disability on accuracy.", "type" : "article-journal", "volume" : "59" }, "uris" : [ "http://www.mendeley.com/documents/?uuid=ca3c8cf9-955b-320c-8733-e412fc84287a" ] } ], "mendeley" : { "formattedCitation" : "(71)", "plainTextFormattedCitation" : "(71)", "previouslyFormattedCitation" : "(71)"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(71)</w:t>
            </w:r>
            <w:r w:rsidR="00FC3FE5" w:rsidRPr="00522CD2">
              <w:rPr>
                <w:rFonts w:cs="Arial"/>
                <w:sz w:val="20"/>
                <w:szCs w:val="20"/>
              </w:rPr>
              <w:fldChar w:fldCharType="end"/>
            </w:r>
          </w:p>
          <w:p w14:paraId="70F5CC08" w14:textId="77777777" w:rsidR="00841348" w:rsidRPr="00522CD2" w:rsidRDefault="00841348" w:rsidP="00272555">
            <w:pPr>
              <w:spacing w:line="276" w:lineRule="auto"/>
              <w:rPr>
                <w:rFonts w:cs="Arial"/>
                <w:sz w:val="20"/>
                <w:szCs w:val="20"/>
              </w:rPr>
            </w:pPr>
            <w:r w:rsidRPr="00522CD2">
              <w:rPr>
                <w:rFonts w:cs="Arial"/>
                <w:sz w:val="20"/>
                <w:szCs w:val="20"/>
              </w:rPr>
              <w:t>Medium, low and rehabilitation</w:t>
            </w:r>
          </w:p>
        </w:tc>
        <w:tc>
          <w:tcPr>
            <w:tcW w:w="2385" w:type="dxa"/>
            <w:tcBorders>
              <w:top w:val="single" w:sz="4" w:space="0" w:color="auto"/>
              <w:left w:val="nil"/>
              <w:bottom w:val="single" w:sz="4" w:space="0" w:color="auto"/>
              <w:right w:val="nil"/>
            </w:tcBorders>
            <w:shd w:val="clear" w:color="auto" w:fill="auto"/>
          </w:tcPr>
          <w:p w14:paraId="20A13629" w14:textId="6A1BC436" w:rsidR="00841348" w:rsidRPr="00522CD2" w:rsidRDefault="00841348" w:rsidP="00272555">
            <w:pPr>
              <w:spacing w:line="276" w:lineRule="auto"/>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63A7820F" w14:textId="77777777" w:rsidR="00841348" w:rsidRPr="00522CD2" w:rsidRDefault="00841348" w:rsidP="00272555">
            <w:pPr>
              <w:spacing w:line="276" w:lineRule="auto"/>
              <w:ind w:left="252"/>
              <w:rPr>
                <w:rFonts w:cs="Arial"/>
                <w:sz w:val="20"/>
                <w:szCs w:val="20"/>
              </w:rPr>
            </w:pPr>
            <w:r w:rsidRPr="00522CD2">
              <w:rPr>
                <w:rFonts w:cs="Arial"/>
                <w:sz w:val="20"/>
                <w:szCs w:val="20"/>
              </w:rPr>
              <w:t>109</w:t>
            </w:r>
          </w:p>
        </w:tc>
        <w:tc>
          <w:tcPr>
            <w:tcW w:w="3825" w:type="dxa"/>
            <w:tcBorders>
              <w:top w:val="single" w:sz="4" w:space="0" w:color="auto"/>
              <w:left w:val="nil"/>
              <w:bottom w:val="single" w:sz="4" w:space="0" w:color="auto"/>
              <w:right w:val="nil"/>
            </w:tcBorders>
            <w:shd w:val="clear" w:color="auto" w:fill="auto"/>
          </w:tcPr>
          <w:p w14:paraId="2C355803"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Risk assessment </w:t>
            </w:r>
          </w:p>
          <w:p w14:paraId="157E2769"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Incidents</w:t>
            </w:r>
          </w:p>
        </w:tc>
        <w:tc>
          <w:tcPr>
            <w:tcW w:w="5862" w:type="dxa"/>
            <w:tcBorders>
              <w:top w:val="single" w:sz="4" w:space="0" w:color="auto"/>
              <w:left w:val="nil"/>
              <w:bottom w:val="single" w:sz="4" w:space="0" w:color="auto"/>
              <w:right w:val="nil"/>
            </w:tcBorders>
            <w:shd w:val="clear" w:color="auto" w:fill="auto"/>
          </w:tcPr>
          <w:p w14:paraId="23BAA317"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HCR-20</w:t>
            </w:r>
          </w:p>
          <w:p w14:paraId="4A0F68D2"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Hospital records in 3 month period following risk assessment for aggression and self-harm. Coded using Overt Aggression Scale. Rated on severity (1-4). Number of patients involved in any incident</w:t>
            </w:r>
          </w:p>
          <w:p w14:paraId="4C35145C" w14:textId="77777777" w:rsidR="00841348" w:rsidRPr="00522CD2" w:rsidRDefault="00841348" w:rsidP="00272555">
            <w:pPr>
              <w:spacing w:line="276" w:lineRule="auto"/>
              <w:ind w:left="252"/>
              <w:rPr>
                <w:rFonts w:cs="Arial"/>
                <w:sz w:val="20"/>
                <w:szCs w:val="20"/>
              </w:rPr>
            </w:pPr>
          </w:p>
        </w:tc>
      </w:tr>
      <w:tr w:rsidR="00841348" w:rsidRPr="00522CD2" w14:paraId="52A222AC" w14:textId="77777777" w:rsidTr="00272555">
        <w:trPr>
          <w:trHeight w:val="890"/>
        </w:trPr>
        <w:tc>
          <w:tcPr>
            <w:tcW w:w="2399" w:type="dxa"/>
            <w:tcBorders>
              <w:top w:val="single" w:sz="4" w:space="0" w:color="auto"/>
              <w:left w:val="nil"/>
              <w:bottom w:val="single" w:sz="4" w:space="0" w:color="auto"/>
              <w:right w:val="nil"/>
            </w:tcBorders>
            <w:shd w:val="clear" w:color="auto" w:fill="auto"/>
          </w:tcPr>
          <w:p w14:paraId="58419434" w14:textId="3D047056"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 xml:space="preserve">Perera et al. (2009) </w:t>
            </w:r>
            <w:r w:rsidR="00FC3FE5"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"10.1177/1744629509339091", "ISSN" : "1744-6295", "PMID" : "19628535", "abstract" : "A national review of learning disability services in Scotland, The Same As You? recommended that Health Boards should close all long stay beds by 2005 and reduce assessment and treatment places to specified levels. A psychiatry-led service planning study was carried out in 2007 to find out whether these recommendations had been met. The extent of delayed discharges was also investigated. All 15 Health Boards in Scotland responded and supplied the requested information. There were 388 adults with learning disabilities within inpatient services, 91 of whom were within forensic learning disability services. The age, gender, reasons for admission and length of stay are reported for this inpatient population. Recommendations are made for future recording of delayed discharges and the adequacy of the number of assessment and treatment inpatient places in Scotland is discussed.", "author" : [ { "dropping-particle" : "", "family" : "Perera", "given" : "Chandima", "non-dropping-particle" : "", "parse-names" : false, "suffix" : "" }, { "dropping-particle" : "", "family" : "Simpson", "given" : "Neill", "non-dropping-particle" : "", "parse-names" : false, "suffix" : "" }, { "dropping-particle" : "", "family" : "Douds", "given" : "Fergus", "non-dropping-particle" : "", "parse-names" : false, "suffix" : "" }, { "dropping-particle" : "", "family" : "Campbell", "given" : "Martin", "non-dropping-particle" : "", "parse-names" : false, "suffix" : "" } ], "container-title" : "Journal of intellectual disabilities : JOID", "id" : "ITEM-1", "issue" : "2", "issued" : { "date-parts" : [ [ "2009", "6" ] ] }, "page" : "161-71", "title" : "A survey of learning disability inpatient services in Scotland in 2007.", "type" : "article-journal", "volume" : "13" }, "uris" : [ "http://www.mendeley.com/documents/?uuid=de7fed46-d643-3692-a0a8-07277aed85e4" ] } ], "mendeley" : { "formattedCitation" : "(72)", "plainTextFormattedCitation" : "(72)", "previouslyFormattedCitation" : "(72)" }, "properties" : { "noteIndex" : 0 }, "schema" : "https://github.com/citation-style-language/schema/raw/master/csl-citation.json" }</w:instrText>
            </w:r>
            <w:r w:rsidR="00FC3FE5"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(72)</w:t>
            </w:r>
            <w:r w:rsidR="00FC3FE5" w:rsidRPr="00522CD2">
              <w:rPr>
                <w:rFonts w:cs="Arial"/>
                <w:kern w:val="28"/>
                <w:sz w:val="20"/>
                <w:szCs w:val="20"/>
                <w:lang w:val="en-CA" w:eastAsia="en-GB"/>
              </w:rPr>
              <w:fldChar w:fldCharType="end"/>
            </w:r>
          </w:p>
          <w:p w14:paraId="66DF66A1" w14:textId="77777777"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sz w:val="20"/>
                <w:szCs w:val="20"/>
              </w:rPr>
              <w:t>Medium and low secure</w:t>
            </w:r>
            <w:r w:rsidRPr="00522CD2">
              <w:rPr>
                <w:rFonts w:cs="Arial"/>
                <w:kern w:val="28"/>
                <w:sz w:val="20"/>
                <w:szCs w:val="20"/>
                <w:lang w:val="en-CA" w:eastAsia="en-GB"/>
              </w:rPr>
              <w:t xml:space="preserve"> </w:t>
            </w:r>
          </w:p>
        </w:tc>
        <w:tc>
          <w:tcPr>
            <w:tcW w:w="2385" w:type="dxa"/>
            <w:tcBorders>
              <w:top w:val="single" w:sz="4" w:space="0" w:color="auto"/>
              <w:left w:val="nil"/>
              <w:bottom w:val="single" w:sz="4" w:space="0" w:color="auto"/>
              <w:right w:val="nil"/>
            </w:tcBorders>
            <w:shd w:val="clear" w:color="auto" w:fill="auto"/>
          </w:tcPr>
          <w:p w14:paraId="2371233B" w14:textId="46433065" w:rsidR="00841348" w:rsidRPr="00522CD2" w:rsidRDefault="00841348" w:rsidP="00272555">
            <w:pPr>
              <w:spacing w:line="276" w:lineRule="auto"/>
              <w:rPr>
                <w:rFonts w:cs="Arial"/>
                <w:sz w:val="20"/>
                <w:szCs w:val="20"/>
              </w:rPr>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466141C2" w14:textId="77777777" w:rsidR="00841348" w:rsidRPr="00522CD2" w:rsidRDefault="00841348" w:rsidP="00272555">
            <w:pPr>
              <w:spacing w:line="276" w:lineRule="auto"/>
              <w:ind w:left="252"/>
              <w:jc w:val="center"/>
              <w:rPr>
                <w:rFonts w:cs="Arial"/>
                <w:sz w:val="20"/>
                <w:szCs w:val="20"/>
              </w:rPr>
            </w:pPr>
            <w:r w:rsidRPr="00522CD2">
              <w:rPr>
                <w:rFonts w:cs="Arial"/>
                <w:sz w:val="20"/>
                <w:szCs w:val="20"/>
              </w:rPr>
              <w:t>388</w:t>
            </w:r>
          </w:p>
        </w:tc>
        <w:tc>
          <w:tcPr>
            <w:tcW w:w="3825" w:type="dxa"/>
            <w:tcBorders>
              <w:top w:val="single" w:sz="4" w:space="0" w:color="auto"/>
              <w:left w:val="nil"/>
              <w:bottom w:val="single" w:sz="4" w:space="0" w:color="auto"/>
              <w:right w:val="nil"/>
            </w:tcBorders>
            <w:shd w:val="clear" w:color="auto" w:fill="auto"/>
          </w:tcPr>
          <w:p w14:paraId="1C249994"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43247E09" w14:textId="77777777" w:rsidR="00841348" w:rsidRPr="00522CD2" w:rsidRDefault="00841348" w:rsidP="00272555">
            <w:pPr>
              <w:spacing w:line="276" w:lineRule="auto"/>
              <w:ind w:left="252"/>
              <w:rPr>
                <w:rFonts w:cs="Arial"/>
                <w:sz w:val="20"/>
                <w:szCs w:val="20"/>
              </w:rPr>
            </w:pPr>
          </w:p>
          <w:p w14:paraId="6A03ECBE"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Delayed discharge</w:t>
            </w:r>
          </w:p>
        </w:tc>
        <w:tc>
          <w:tcPr>
            <w:tcW w:w="5862" w:type="dxa"/>
            <w:tcBorders>
              <w:top w:val="single" w:sz="4" w:space="0" w:color="auto"/>
              <w:left w:val="nil"/>
              <w:bottom w:val="single" w:sz="4" w:space="0" w:color="auto"/>
              <w:right w:val="nil"/>
            </w:tcBorders>
            <w:shd w:val="clear" w:color="auto" w:fill="auto"/>
          </w:tcPr>
          <w:p w14:paraId="339E2E2F"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Median number of years and % of patients who had stayed longer than 5 years</w:t>
            </w:r>
          </w:p>
          <w:p w14:paraId="04C347B2" w14:textId="1AA4784C" w:rsidR="00841348" w:rsidRPr="00522CD2" w:rsidRDefault="00841348" w:rsidP="00386B2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of patients assessed as requiring a less secure placement</w:t>
            </w:r>
          </w:p>
        </w:tc>
      </w:tr>
      <w:tr w:rsidR="00841348" w:rsidRPr="00522CD2" w14:paraId="3F95F264" w14:textId="77777777" w:rsidTr="00272555">
        <w:trPr>
          <w:trHeight w:val="890"/>
        </w:trPr>
        <w:tc>
          <w:tcPr>
            <w:tcW w:w="15490" w:type="dxa"/>
            <w:gridSpan w:val="5"/>
            <w:tcBorders>
              <w:top w:val="single" w:sz="4" w:space="0" w:color="auto"/>
              <w:left w:val="nil"/>
              <w:bottom w:val="nil"/>
              <w:right w:val="nil"/>
            </w:tcBorders>
            <w:shd w:val="clear" w:color="auto" w:fill="auto"/>
          </w:tcPr>
          <w:p w14:paraId="3119045D" w14:textId="4247C7A0" w:rsidR="00841348" w:rsidRPr="00522CD2" w:rsidRDefault="00841348" w:rsidP="00272555">
            <w:pPr>
              <w:spacing w:line="276" w:lineRule="auto"/>
              <w:ind w:left="252"/>
              <w:rPr>
                <w:rFonts w:cs="Arial"/>
                <w:sz w:val="20"/>
                <w:szCs w:val="20"/>
              </w:rPr>
            </w:pPr>
            <w:r w:rsidRPr="00522CD2">
              <w:rPr>
                <w:rFonts w:cs="Arial"/>
                <w:i/>
                <w:sz w:val="20"/>
                <w:szCs w:val="20"/>
              </w:rPr>
              <w:t>Note.</w:t>
            </w:r>
            <w:r w:rsidR="00293045" w:rsidRPr="00522CD2">
              <w:rPr>
                <w:rFonts w:cs="Arial"/>
                <w:sz w:val="20"/>
                <w:szCs w:val="20"/>
              </w:rPr>
              <w:t xml:space="preserve"> MDT = M</w:t>
            </w:r>
            <w:r w:rsidRPr="00522CD2">
              <w:rPr>
                <w:rFonts w:cs="Arial"/>
                <w:sz w:val="20"/>
                <w:szCs w:val="20"/>
              </w:rPr>
              <w:t>ultidisciplinary team</w:t>
            </w:r>
          </w:p>
          <w:p w14:paraId="27C9427F" w14:textId="77777777" w:rsidR="00841348" w:rsidRPr="00522CD2" w:rsidRDefault="00841348" w:rsidP="00272555">
            <w:pPr>
              <w:spacing w:line="276" w:lineRule="auto"/>
              <w:rPr>
                <w:rFonts w:cs="Arial"/>
                <w:sz w:val="20"/>
                <w:szCs w:val="20"/>
              </w:rPr>
            </w:pPr>
          </w:p>
          <w:p w14:paraId="6F08CC63" w14:textId="77777777" w:rsidR="00841348" w:rsidRPr="00522CD2" w:rsidRDefault="00841348" w:rsidP="00272555">
            <w:pPr>
              <w:spacing w:line="276" w:lineRule="auto"/>
              <w:rPr>
                <w:rFonts w:cs="Arial"/>
                <w:sz w:val="20"/>
                <w:szCs w:val="20"/>
              </w:rPr>
            </w:pPr>
          </w:p>
        </w:tc>
      </w:tr>
      <w:tr w:rsidR="00841348" w:rsidRPr="00522CD2" w14:paraId="3D2F52FB" w14:textId="77777777" w:rsidTr="00272555">
        <w:trPr>
          <w:trHeight w:val="340"/>
        </w:trPr>
        <w:tc>
          <w:tcPr>
            <w:tcW w:w="15490" w:type="dxa"/>
            <w:gridSpan w:val="5"/>
            <w:tcBorders>
              <w:top w:val="nil"/>
              <w:left w:val="nil"/>
              <w:bottom w:val="single" w:sz="4" w:space="0" w:color="auto"/>
              <w:right w:val="nil"/>
            </w:tcBorders>
            <w:shd w:val="clear" w:color="auto" w:fill="FFFFFF" w:themeFill="background1"/>
            <w:vAlign w:val="center"/>
          </w:tcPr>
          <w:p w14:paraId="7680CD0D" w14:textId="77777777" w:rsidR="00841348" w:rsidRPr="00522CD2" w:rsidRDefault="00841348" w:rsidP="00272555">
            <w:pPr>
              <w:spacing w:line="276" w:lineRule="auto"/>
              <w:rPr>
                <w:rFonts w:cs="Arial"/>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 xml:space="preserve">. </w:t>
            </w:r>
            <w:r w:rsidRPr="00522CD2">
              <w:rPr>
                <w:rFonts w:cs="Arial"/>
                <w:sz w:val="20"/>
                <w:szCs w:val="20"/>
              </w:rPr>
              <w:t xml:space="preserve"> continued</w:t>
            </w:r>
          </w:p>
          <w:p w14:paraId="46476D0D" w14:textId="77777777" w:rsidR="00841348" w:rsidRPr="00522CD2" w:rsidRDefault="00841348" w:rsidP="00272555">
            <w:pPr>
              <w:rPr>
                <w:rFonts w:cs="Arial"/>
                <w:b/>
                <w:sz w:val="20"/>
                <w:szCs w:val="20"/>
              </w:rPr>
            </w:pPr>
            <w:r w:rsidRPr="00522CD2">
              <w:rPr>
                <w:rFonts w:cs="Arial"/>
                <w:sz w:val="20"/>
                <w:szCs w:val="20"/>
              </w:rPr>
              <w:t>Summary of studies presenting data on the outcome domain of effectiveness (cross-sectional studies).</w:t>
            </w:r>
          </w:p>
        </w:tc>
      </w:tr>
      <w:tr w:rsidR="00841348" w:rsidRPr="00522CD2" w14:paraId="6FAECD00" w14:textId="77777777" w:rsidTr="00272555">
        <w:trPr>
          <w:trHeight w:val="340"/>
        </w:trPr>
        <w:tc>
          <w:tcPr>
            <w:tcW w:w="2399" w:type="dxa"/>
            <w:tcBorders>
              <w:top w:val="single" w:sz="4" w:space="0" w:color="auto"/>
              <w:left w:val="nil"/>
              <w:bottom w:val="single" w:sz="4" w:space="0" w:color="auto"/>
              <w:right w:val="nil"/>
            </w:tcBorders>
            <w:shd w:val="clear" w:color="auto" w:fill="FFFFFF" w:themeFill="background1"/>
            <w:vAlign w:val="center"/>
          </w:tcPr>
          <w:p w14:paraId="5B8F370E" w14:textId="77777777" w:rsidR="00841348" w:rsidRPr="00522CD2" w:rsidRDefault="00841348" w:rsidP="00272555">
            <w:pPr>
              <w:jc w:val="center"/>
              <w:rPr>
                <w:rFonts w:cs="Arial"/>
                <w:b/>
                <w:sz w:val="20"/>
                <w:szCs w:val="20"/>
              </w:rPr>
            </w:pPr>
            <w:r w:rsidRPr="00522CD2">
              <w:rPr>
                <w:rFonts w:cs="Arial"/>
                <w:b/>
                <w:sz w:val="20"/>
                <w:szCs w:val="20"/>
              </w:rPr>
              <w:t>Study and Setting</w:t>
            </w:r>
          </w:p>
        </w:tc>
        <w:tc>
          <w:tcPr>
            <w:tcW w:w="2385" w:type="dxa"/>
            <w:tcBorders>
              <w:top w:val="single" w:sz="4" w:space="0" w:color="auto"/>
              <w:left w:val="nil"/>
              <w:bottom w:val="single" w:sz="4" w:space="0" w:color="auto"/>
              <w:right w:val="nil"/>
            </w:tcBorders>
            <w:shd w:val="clear" w:color="auto" w:fill="FFFFFF" w:themeFill="background1"/>
            <w:vAlign w:val="center"/>
          </w:tcPr>
          <w:p w14:paraId="2040060E" w14:textId="77777777" w:rsidR="00841348" w:rsidRPr="00522CD2" w:rsidRDefault="00841348" w:rsidP="00272555">
            <w:pPr>
              <w:jc w:val="center"/>
              <w:rPr>
                <w:rFonts w:cs="Arial"/>
                <w:b/>
                <w:sz w:val="20"/>
                <w:szCs w:val="20"/>
              </w:rPr>
            </w:pPr>
            <w:r w:rsidRPr="00522CD2">
              <w:rPr>
                <w:rFonts w:cs="Arial"/>
                <w:b/>
                <w:sz w:val="20"/>
                <w:szCs w:val="20"/>
              </w:rPr>
              <w:t>Design</w:t>
            </w:r>
          </w:p>
        </w:tc>
        <w:tc>
          <w:tcPr>
            <w:tcW w:w="1019" w:type="dxa"/>
            <w:tcBorders>
              <w:top w:val="single" w:sz="4" w:space="0" w:color="auto"/>
              <w:left w:val="nil"/>
              <w:bottom w:val="single" w:sz="4" w:space="0" w:color="auto"/>
              <w:right w:val="nil"/>
            </w:tcBorders>
            <w:shd w:val="clear" w:color="auto" w:fill="FFFFFF" w:themeFill="background1"/>
            <w:vAlign w:val="center"/>
          </w:tcPr>
          <w:p w14:paraId="53350520" w14:textId="77777777" w:rsidR="00841348" w:rsidRPr="00522CD2" w:rsidRDefault="00841348" w:rsidP="00272555">
            <w:pPr>
              <w:jc w:val="center"/>
              <w:rPr>
                <w:rFonts w:cs="Arial"/>
                <w:b/>
                <w:sz w:val="20"/>
                <w:szCs w:val="20"/>
              </w:rPr>
            </w:pPr>
            <w:r w:rsidRPr="00522CD2">
              <w:rPr>
                <w:rFonts w:cs="Arial"/>
                <w:b/>
                <w:sz w:val="20"/>
                <w:szCs w:val="20"/>
              </w:rPr>
              <w:t>N</w:t>
            </w:r>
          </w:p>
        </w:tc>
        <w:tc>
          <w:tcPr>
            <w:tcW w:w="3825" w:type="dxa"/>
            <w:tcBorders>
              <w:top w:val="single" w:sz="4" w:space="0" w:color="auto"/>
              <w:left w:val="nil"/>
              <w:bottom w:val="single" w:sz="4" w:space="0" w:color="auto"/>
              <w:right w:val="nil"/>
            </w:tcBorders>
            <w:shd w:val="clear" w:color="auto" w:fill="FFFFFF" w:themeFill="background1"/>
            <w:vAlign w:val="center"/>
          </w:tcPr>
          <w:p w14:paraId="341285C0" w14:textId="77777777" w:rsidR="00841348" w:rsidRPr="00522CD2" w:rsidRDefault="00841348" w:rsidP="00272555">
            <w:pPr>
              <w:jc w:val="center"/>
              <w:rPr>
                <w:rFonts w:cs="Arial"/>
                <w:b/>
                <w:sz w:val="20"/>
                <w:szCs w:val="20"/>
              </w:rPr>
            </w:pPr>
            <w:r w:rsidRPr="00522CD2">
              <w:rPr>
                <w:rFonts w:cs="Arial"/>
                <w:b/>
                <w:sz w:val="20"/>
                <w:szCs w:val="20"/>
              </w:rPr>
              <w:t>Outcome Sub-Domain</w:t>
            </w:r>
          </w:p>
        </w:tc>
        <w:tc>
          <w:tcPr>
            <w:tcW w:w="5862" w:type="dxa"/>
            <w:tcBorders>
              <w:top w:val="single" w:sz="4" w:space="0" w:color="auto"/>
              <w:left w:val="nil"/>
              <w:bottom w:val="single" w:sz="4" w:space="0" w:color="auto"/>
              <w:right w:val="nil"/>
            </w:tcBorders>
            <w:shd w:val="clear" w:color="auto" w:fill="FFFFFF" w:themeFill="background1"/>
            <w:vAlign w:val="center"/>
          </w:tcPr>
          <w:p w14:paraId="45A1EA85" w14:textId="77777777" w:rsidR="00841348" w:rsidRPr="00522CD2" w:rsidRDefault="00841348" w:rsidP="00272555">
            <w:pPr>
              <w:jc w:val="center"/>
              <w:rPr>
                <w:rFonts w:cs="Arial"/>
                <w:b/>
                <w:sz w:val="20"/>
                <w:szCs w:val="20"/>
              </w:rPr>
            </w:pPr>
            <w:r w:rsidRPr="00522CD2">
              <w:rPr>
                <w:rFonts w:cs="Arial"/>
                <w:b/>
                <w:sz w:val="20"/>
                <w:szCs w:val="20"/>
              </w:rPr>
              <w:t>Measure/Indicator</w:t>
            </w:r>
          </w:p>
        </w:tc>
      </w:tr>
      <w:tr w:rsidR="00841348" w:rsidRPr="00522CD2" w14:paraId="23957B32" w14:textId="77777777" w:rsidTr="00272555">
        <w:trPr>
          <w:trHeight w:val="699"/>
        </w:trPr>
        <w:tc>
          <w:tcPr>
            <w:tcW w:w="2399" w:type="dxa"/>
            <w:tcBorders>
              <w:top w:val="single" w:sz="4" w:space="0" w:color="auto"/>
              <w:left w:val="nil"/>
              <w:bottom w:val="single" w:sz="4" w:space="0" w:color="auto"/>
              <w:right w:val="nil"/>
            </w:tcBorders>
            <w:shd w:val="clear" w:color="auto" w:fill="auto"/>
          </w:tcPr>
          <w:p w14:paraId="1FFB6D4A" w14:textId="2F613CCC" w:rsidR="00841348" w:rsidRPr="00522CD2" w:rsidRDefault="00841348" w:rsidP="00272555">
            <w:pPr>
              <w:spacing w:line="276" w:lineRule="auto"/>
              <w:rPr>
                <w:rFonts w:cs="Arial"/>
                <w:sz w:val="20"/>
                <w:szCs w:val="20"/>
                <w:lang w:eastAsia="en-GB"/>
              </w:rPr>
            </w:pPr>
            <w:r w:rsidRPr="00522CD2">
              <w:rPr>
                <w:rFonts w:cs="Arial"/>
                <w:sz w:val="20"/>
                <w:szCs w:val="20"/>
              </w:rPr>
              <w:t>Thomas et al. (2004)</w:t>
            </w:r>
            <w:r w:rsidRPr="00522CD2">
              <w:rPr>
                <w:rFonts w:cs="Arial"/>
                <w:sz w:val="20"/>
                <w:szCs w:val="20"/>
                <w:lang w:eastAsia="en-GB"/>
              </w:rPr>
              <w:t xml:space="preserve"> </w:t>
            </w:r>
            <w:r w:rsidR="00FC3FE5" w:rsidRPr="00522CD2">
              <w:rPr>
                <w:rFonts w:cs="Arial"/>
                <w:sz w:val="20"/>
                <w:szCs w:val="20"/>
                <w:lang w:eastAsia="en-GB"/>
              </w:rPr>
              <w:fldChar w:fldCharType="begin" w:fldLock="1"/>
            </w:r>
            <w:r w:rsidR="00E353A8" w:rsidRPr="00522CD2">
              <w:rPr>
                <w:rFonts w:cs="Arial"/>
                <w:sz w:val="20"/>
                <w:szCs w:val="20"/>
                <w:lang w:eastAsia="en-GB"/>
              </w:rPr>
              <w:instrText>ADDIN CSL_CITATION { "citationItems" : [ { "id" : "ITEM-1", "itemData" : { "DOI" : "10.1111/j.1365-2788.2004.00629.x", "ISSN" : "0964-2633", "PMID" : "15312061", "abstract" : "BACKGROUND Previous studies have suggested that a substantial proportion of the patients with intellectual disabilities (ID) in the high security psychiatric hospitals (HSPHs) should be transferred to more appropriate services to cater for their specific needs in the longer term. METHOD The individual and placement needs of high secure psychiatric patients detained under the legal category of mental impairment or severe mental impairment were assessed in a cross-sectional survey. RESULTS Patients had a large number of needs (on average 10.8), about a third of which were rated as unmet and therefore represented significant continuing problems. Approximately one-third of the sample could be moved out of HSPHs if appropriate alternatives were available. Factors associated with the continued need for high security included higher treatment and security needs, younger age, recent violent conduct and their index offence profile. CONCLUSIONS High security services are still required for a number of patients with ID. New and existing services need to be configured to meet specific profiles of need and provide long-term rehabilitation and specialist care. DECLARATION OF INTEREST This was part of a larger project funded by grants from the High Security Psychiatric Services Commissioning Board and Department of Health.", "author" : [ { "dropping-particle" : "", "family" : "Thomas", "given" : "S D", "non-dropping-particle" : "", "parse-names" : false, "suffix" : "" }, { "dropping-particle" : "", "family" : "Dolan", "given" : "M", "non-dropping-particle" : "", "parse-names" : false, "suffix" : "" }, { "dropping-particle" : "", "family" : "Johnston", "given" : "S", "non-dropping-particle" : "", "parse-names" : false, "suffix" : "" }, { "dropping-particle" : "", "family" : "Middleton", "given" : "H", "non-dropping-particle" : "", "parse-names" : false, "suffix" : "" }, { "dropping-particle" : "", "family" : "Harty", "given" : "M A", "non-dropping-particle" : "", "parse-names" : false, "suffix" : "" }, { "dropping-particle" : "", "family" : "Carlisle", "given" : "J", "non-dropping-particle" : "", "parse-names" : false, "suffix" : "" }, { "dropping-particle" : "", "family" : "Thornicroft", "given" : "G", "non-dropping-particle" : "", "parse-names" : false, "suffix" : "" }, { "dropping-particle" : "", "family" : "Appleby", "given" : "L", "non-dropping-particle" : "", "parse-names" : false, "suffix" : "" }, { "dropping-particle" : "", "family" : "Jones", "given" : "P", "non-dropping-particle" : "", "parse-names" : false, "suffix" : "" } ], "container-title" : "Journal of intellectual disability research : JIDR", "id" : "ITEM-1", "issue" : "Pt 6", "issued" : { "date-parts" : [ [ "2004", "9" ] ] }, "page" : "603-10", "title" : "Defining the needs of patients with intellectual disabilities in the high security psychiatric hospitals in England.", "type" : "article-journal", "volume" : "48" }, "uris" : [ "http://www.mendeley.com/documents/?uuid=1806ad02-fd0f-3733-bbdf-2f8df318b6e2" ] } ], "mendeley" : { "formattedCitation" : "(73)", "plainTextFormattedCitation" : "(73)", "previouslyFormattedCitation" : "(73)" }, "properties" : { "noteIndex" : 0 }, "schema" : "https://github.com/citation-style-language/schema/raw/master/csl-citation.json" }</w:instrText>
            </w:r>
            <w:r w:rsidR="00FC3FE5" w:rsidRPr="00522CD2">
              <w:rPr>
                <w:rFonts w:cs="Arial"/>
                <w:sz w:val="20"/>
                <w:szCs w:val="20"/>
                <w:lang w:eastAsia="en-GB"/>
              </w:rPr>
              <w:fldChar w:fldCharType="separate"/>
            </w:r>
            <w:r w:rsidR="00E353A8" w:rsidRPr="00522CD2">
              <w:rPr>
                <w:rFonts w:cs="Arial"/>
                <w:noProof/>
                <w:sz w:val="20"/>
                <w:szCs w:val="20"/>
                <w:lang w:eastAsia="en-GB"/>
              </w:rPr>
              <w:t>(73)</w:t>
            </w:r>
            <w:r w:rsidR="00FC3FE5" w:rsidRPr="00522CD2">
              <w:rPr>
                <w:rFonts w:cs="Arial"/>
                <w:sz w:val="20"/>
                <w:szCs w:val="20"/>
                <w:lang w:eastAsia="en-GB"/>
              </w:rPr>
              <w:fldChar w:fldCharType="end"/>
            </w:r>
          </w:p>
          <w:p w14:paraId="0B9C8621" w14:textId="77777777" w:rsidR="00841348" w:rsidRPr="00522CD2" w:rsidRDefault="00841348" w:rsidP="00272555">
            <w:pPr>
              <w:autoSpaceDE w:val="0"/>
              <w:autoSpaceDN w:val="0"/>
              <w:adjustRightInd w:val="0"/>
              <w:spacing w:line="276" w:lineRule="auto"/>
              <w:rPr>
                <w:rFonts w:cs="Arial"/>
                <w:kern w:val="28"/>
                <w:sz w:val="20"/>
                <w:szCs w:val="20"/>
                <w:lang w:val="en-CA" w:eastAsia="en-GB"/>
              </w:rPr>
            </w:pPr>
            <w:r w:rsidRPr="00522CD2">
              <w:rPr>
                <w:rFonts w:cs="Arial"/>
                <w:sz w:val="20"/>
                <w:szCs w:val="20"/>
                <w:lang w:eastAsia="en-GB"/>
              </w:rPr>
              <w:t>High secure</w:t>
            </w:r>
          </w:p>
        </w:tc>
        <w:tc>
          <w:tcPr>
            <w:tcW w:w="2385" w:type="dxa"/>
            <w:tcBorders>
              <w:top w:val="single" w:sz="4" w:space="0" w:color="auto"/>
              <w:left w:val="nil"/>
              <w:bottom w:val="single" w:sz="4" w:space="0" w:color="auto"/>
              <w:right w:val="nil"/>
            </w:tcBorders>
            <w:shd w:val="clear" w:color="auto" w:fill="auto"/>
          </w:tcPr>
          <w:p w14:paraId="0ED25617" w14:textId="32A7BAC6" w:rsidR="00841348" w:rsidRPr="00522CD2" w:rsidRDefault="00841348" w:rsidP="00272555">
            <w:pPr>
              <w:spacing w:line="276" w:lineRule="auto"/>
              <w:rPr>
                <w:rFonts w:cs="Arial"/>
                <w:sz w:val="20"/>
                <w:szCs w:val="20"/>
              </w:rPr>
            </w:pPr>
            <w:r w:rsidRPr="00522CD2">
              <w:rPr>
                <w:rFonts w:cs="Arial"/>
                <w:sz w:val="20"/>
                <w:szCs w:val="20"/>
              </w:rPr>
              <w:t xml:space="preserve">Cross-sectional </w:t>
            </w:r>
          </w:p>
        </w:tc>
        <w:tc>
          <w:tcPr>
            <w:tcW w:w="1019" w:type="dxa"/>
            <w:tcBorders>
              <w:top w:val="single" w:sz="4" w:space="0" w:color="auto"/>
              <w:left w:val="nil"/>
              <w:bottom w:val="single" w:sz="4" w:space="0" w:color="auto"/>
              <w:right w:val="nil"/>
            </w:tcBorders>
            <w:shd w:val="clear" w:color="auto" w:fill="auto"/>
          </w:tcPr>
          <w:p w14:paraId="363D6960" w14:textId="77777777" w:rsidR="00841348" w:rsidRPr="00522CD2" w:rsidRDefault="00841348" w:rsidP="003002B9">
            <w:pPr>
              <w:spacing w:line="276" w:lineRule="auto"/>
              <w:ind w:left="252"/>
              <w:rPr>
                <w:rFonts w:cs="Arial"/>
                <w:sz w:val="20"/>
                <w:szCs w:val="20"/>
              </w:rPr>
            </w:pPr>
            <w:r w:rsidRPr="00522CD2">
              <w:rPr>
                <w:rFonts w:cs="Arial"/>
                <w:sz w:val="20"/>
                <w:szCs w:val="20"/>
              </w:rPr>
              <w:t>102</w:t>
            </w:r>
          </w:p>
        </w:tc>
        <w:tc>
          <w:tcPr>
            <w:tcW w:w="3825" w:type="dxa"/>
            <w:tcBorders>
              <w:top w:val="single" w:sz="4" w:space="0" w:color="auto"/>
              <w:left w:val="nil"/>
              <w:bottom w:val="single" w:sz="4" w:space="0" w:color="auto"/>
              <w:right w:val="nil"/>
            </w:tcBorders>
            <w:shd w:val="clear" w:color="auto" w:fill="auto"/>
          </w:tcPr>
          <w:p w14:paraId="6D006A7A"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Length of stay</w:t>
            </w:r>
          </w:p>
          <w:p w14:paraId="4401CC05"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Delayed discharge </w:t>
            </w:r>
          </w:p>
          <w:p w14:paraId="13FCC5D8" w14:textId="77777777" w:rsidR="00841348" w:rsidRPr="00522CD2" w:rsidRDefault="00841348" w:rsidP="00272555">
            <w:pPr>
              <w:spacing w:line="276" w:lineRule="auto"/>
              <w:ind w:left="252"/>
              <w:rPr>
                <w:rFonts w:cs="Arial"/>
                <w:sz w:val="20"/>
                <w:szCs w:val="20"/>
              </w:rPr>
            </w:pPr>
          </w:p>
          <w:p w14:paraId="633EA3C4"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Security need</w:t>
            </w:r>
          </w:p>
          <w:p w14:paraId="751D8E29"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Treatment needs</w:t>
            </w:r>
          </w:p>
        </w:tc>
        <w:tc>
          <w:tcPr>
            <w:tcW w:w="5862" w:type="dxa"/>
            <w:tcBorders>
              <w:top w:val="single" w:sz="4" w:space="0" w:color="auto"/>
              <w:left w:val="nil"/>
              <w:bottom w:val="single" w:sz="4" w:space="0" w:color="auto"/>
              <w:right w:val="nil"/>
            </w:tcBorders>
            <w:shd w:val="clear" w:color="auto" w:fill="auto"/>
          </w:tcPr>
          <w:p w14:paraId="09E3B3AF" w14:textId="55F81549"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and median</w:t>
            </w:r>
            <w:r w:rsidR="003002B9" w:rsidRPr="00522CD2">
              <w:rPr>
                <w:rFonts w:cs="Arial"/>
                <w:sz w:val="20"/>
                <w:szCs w:val="20"/>
              </w:rPr>
              <w:t xml:space="preserve">number of </w:t>
            </w:r>
            <w:r w:rsidRPr="00522CD2">
              <w:rPr>
                <w:rFonts w:cs="Arial"/>
                <w:sz w:val="20"/>
                <w:szCs w:val="20"/>
              </w:rPr>
              <w:t xml:space="preserve"> years</w:t>
            </w:r>
          </w:p>
          <w:p w14:paraId="7F70EC8E"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 of patients assessed as requiring a less secure placement and main reason for this </w:t>
            </w:r>
          </w:p>
          <w:p w14:paraId="2A2FF554" w14:textId="5AC8BED9"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SDTN scale completed by key worker and R</w:t>
            </w:r>
            <w:r w:rsidR="003002B9" w:rsidRPr="00522CD2">
              <w:rPr>
                <w:rFonts w:cs="Arial"/>
                <w:sz w:val="20"/>
                <w:szCs w:val="20"/>
              </w:rPr>
              <w:t xml:space="preserve">esponsible </w:t>
            </w:r>
            <w:r w:rsidRPr="00522CD2">
              <w:rPr>
                <w:rFonts w:cs="Arial"/>
                <w:sz w:val="20"/>
                <w:szCs w:val="20"/>
              </w:rPr>
              <w:t>C</w:t>
            </w:r>
            <w:r w:rsidR="003002B9" w:rsidRPr="00522CD2">
              <w:rPr>
                <w:rFonts w:cs="Arial"/>
                <w:sz w:val="20"/>
                <w:szCs w:val="20"/>
              </w:rPr>
              <w:t>linician</w:t>
            </w:r>
          </w:p>
          <w:p w14:paraId="0CE3672B"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CANFOR-Short and CANDID-Short. Average number of needs and unmet needs</w:t>
            </w:r>
          </w:p>
          <w:p w14:paraId="0AF99353" w14:textId="77777777" w:rsidR="00841348" w:rsidRPr="00522CD2" w:rsidRDefault="00841348" w:rsidP="00272555">
            <w:pPr>
              <w:spacing w:line="276" w:lineRule="auto"/>
              <w:ind w:left="252"/>
              <w:rPr>
                <w:rFonts w:cs="Arial"/>
                <w:sz w:val="20"/>
                <w:szCs w:val="20"/>
              </w:rPr>
            </w:pPr>
          </w:p>
        </w:tc>
      </w:tr>
      <w:tr w:rsidR="00841348" w:rsidRPr="00522CD2" w14:paraId="32885D1E" w14:textId="77777777" w:rsidTr="00272555">
        <w:trPr>
          <w:trHeight w:val="416"/>
        </w:trPr>
        <w:tc>
          <w:tcPr>
            <w:tcW w:w="2399" w:type="dxa"/>
            <w:tcBorders>
              <w:top w:val="single" w:sz="4" w:space="0" w:color="auto"/>
              <w:left w:val="nil"/>
              <w:bottom w:val="single" w:sz="4" w:space="0" w:color="auto"/>
              <w:right w:val="nil"/>
            </w:tcBorders>
            <w:shd w:val="clear" w:color="auto" w:fill="auto"/>
          </w:tcPr>
          <w:p w14:paraId="38A3EECD" w14:textId="42DDBF95" w:rsidR="00841348" w:rsidRPr="00522CD2" w:rsidRDefault="00841348" w:rsidP="00272555">
            <w:pPr>
              <w:spacing w:line="276" w:lineRule="auto"/>
              <w:rPr>
                <w:rFonts w:cs="Arial"/>
                <w:sz w:val="20"/>
                <w:szCs w:val="20"/>
              </w:rPr>
            </w:pPr>
            <w:r w:rsidRPr="00522CD2">
              <w:rPr>
                <w:rFonts w:cs="Arial"/>
                <w:sz w:val="20"/>
                <w:szCs w:val="20"/>
              </w:rPr>
              <w:t xml:space="preserve">Uppal &amp; McMurran (2009)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"10.1002/cbm.741", "ISSN" : "1471-2857", "PMID" : "19780021", "abstract" : "BACKGROUND Incidents of violence, self-harm and security are of concern in psychiatric hospitals with regard to both patient and staff welfare. AIM The purpose of this study was to examine the frequency and nature of incidents in all directorates in a high-security psychiatric hospital. METHODS Data were collected from the hospital's incident recording forms for the period 1 June 2007 to 30 September 2008. RESULTS In total, 5658 incidents were recorded, almost all patients (95%) having been involved in at least one incident. Most incidents, however, were in the categories of less serious violence and self-harm. The rate was 0.89 incidents per patient per month. The women's directorate had a significantly higher frequency of violent or self-harm incidents than the other directorates (male mental health, learning disability, personality disorder or dangerous and severe personality disorder). Violence was almost equally against fellow patients or staff. It was commonest in communal areas during day-time hours. Self-harm was most likely in a patient's own room. CONCLUSIONS AND IMPLICATIONS FOR PRACTICE These findings can inform prevention and management of violence and self-harm. Dealing with such a large number of incidents is time consuming, even if they are not especially serious. Attention to environmental, as well as individual, issues is recommended.", "author" : [ { "dropping-particle" : "", "family" : "Uppal", "given" : "Gobinderjit", "non-dropping-particle" : "", "parse-names" : false, "suffix" : "" }, { "dropping-particle" : "", "family" : "McMurran", "given" : "Mary", "non-dropping-particle" : "", "parse-names" : false, "suffix" : "" } ], "container-title" : "Criminal behaviour and mental health : CBMH", "id" : "ITEM-1", "issue" : "4", "issued" : { "date-parts" : [ [ "2009" ] ] }, "page" : "265-76", "title" : "Recorded incidents in a high-secure hospital: a descriptive analysis.", "type" : "article-journal", "volume" : "19" }, "uris" : [ "http://www.mendeley.com/documents/?uuid=055a3ee0-a097-37d9-a689-1fe8b0d344fc" ] } ], "mendeley" : { "formattedCitation" : "(74)", "plainTextFormattedCitation" : "(74)", "previouslyFormattedCitation" : "(74)"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(74)</w:t>
            </w:r>
            <w:r w:rsidR="00FC3FE5" w:rsidRPr="00522CD2">
              <w:rPr>
                <w:rFonts w:cs="Arial"/>
                <w:sz w:val="20"/>
                <w:szCs w:val="20"/>
              </w:rPr>
              <w:fldChar w:fldCharType="end"/>
            </w:r>
          </w:p>
          <w:p w14:paraId="040D0CD0" w14:textId="77777777" w:rsidR="00841348" w:rsidRPr="00522CD2" w:rsidRDefault="00841348" w:rsidP="00272555">
            <w:pPr>
              <w:spacing w:line="276" w:lineRule="auto"/>
              <w:rPr>
                <w:rFonts w:cs="Arial"/>
                <w:sz w:val="20"/>
                <w:szCs w:val="20"/>
              </w:rPr>
            </w:pPr>
            <w:r w:rsidRPr="00522CD2">
              <w:rPr>
                <w:rFonts w:cs="Arial"/>
                <w:sz w:val="20"/>
                <w:szCs w:val="20"/>
              </w:rPr>
              <w:t>High secure</w:t>
            </w:r>
          </w:p>
        </w:tc>
        <w:tc>
          <w:tcPr>
            <w:tcW w:w="2385" w:type="dxa"/>
            <w:tcBorders>
              <w:top w:val="single" w:sz="4" w:space="0" w:color="auto"/>
              <w:left w:val="nil"/>
              <w:bottom w:val="single" w:sz="4" w:space="0" w:color="auto"/>
              <w:right w:val="nil"/>
            </w:tcBorders>
            <w:shd w:val="clear" w:color="auto" w:fill="auto"/>
          </w:tcPr>
          <w:p w14:paraId="397D82C1" w14:textId="77777777" w:rsidR="003002B9" w:rsidRPr="00522CD2" w:rsidRDefault="00841348" w:rsidP="00272555">
            <w:pPr>
              <w:spacing w:line="276" w:lineRule="auto"/>
              <w:rPr>
                <w:rFonts w:cs="Arial"/>
                <w:sz w:val="20"/>
                <w:szCs w:val="20"/>
              </w:rPr>
            </w:pPr>
            <w:r w:rsidRPr="00522CD2">
              <w:rPr>
                <w:rFonts w:cs="Arial"/>
                <w:sz w:val="20"/>
                <w:szCs w:val="20"/>
              </w:rPr>
              <w:t>Cross-sectional</w:t>
            </w:r>
          </w:p>
          <w:p w14:paraId="03B12EFB" w14:textId="5ED0BD1B" w:rsidR="00841348" w:rsidRPr="00522CD2" w:rsidRDefault="003002B9" w:rsidP="00272555">
            <w:pPr>
              <w:spacing w:line="276" w:lineRule="auto"/>
              <w:rPr>
                <w:rFonts w:cs="Arial"/>
                <w:sz w:val="20"/>
                <w:szCs w:val="20"/>
              </w:rPr>
            </w:pPr>
            <w:r w:rsidRPr="00522CD2">
              <w:rPr>
                <w:rFonts w:cs="Arial"/>
                <w:sz w:val="20"/>
                <w:szCs w:val="20"/>
              </w:rPr>
              <w:t>(ID sample included in wider dataset)</w:t>
            </w:r>
            <w:r w:rsidR="00841348" w:rsidRPr="00522CD2">
              <w:rPr>
                <w:rFonts w:cs="Arial"/>
                <w:sz w:val="20"/>
                <w:szCs w:val="20"/>
              </w:rPr>
              <w:t xml:space="preserve"> </w:t>
            </w:r>
          </w:p>
          <w:p w14:paraId="3F63F520" w14:textId="77777777" w:rsidR="00841348" w:rsidRPr="00522CD2" w:rsidRDefault="00841348" w:rsidP="00272555">
            <w:pPr>
              <w:spacing w:line="276" w:lineRule="auto"/>
              <w:rPr>
                <w:rFonts w:cs="Arial"/>
                <w:sz w:val="20"/>
                <w:szCs w:val="20"/>
              </w:rPr>
            </w:pPr>
            <w:r w:rsidRPr="00522CD2">
              <w:rPr>
                <w:rFonts w:cs="Arial"/>
                <w:sz w:val="20"/>
                <w:szCs w:val="20"/>
              </w:rPr>
              <w:t>15 month period of incidents</w:t>
            </w:r>
          </w:p>
          <w:p w14:paraId="78BFB153" w14:textId="77777777" w:rsidR="00841348" w:rsidRPr="00522CD2" w:rsidRDefault="00841348" w:rsidP="00272555">
            <w:pPr>
              <w:spacing w:line="276" w:lineRule="auto"/>
              <w:rPr>
                <w:rFonts w:cs="Arial"/>
                <w:sz w:val="20"/>
                <w:szCs w:val="20"/>
              </w:rPr>
            </w:pPr>
          </w:p>
        </w:tc>
        <w:tc>
          <w:tcPr>
            <w:tcW w:w="1019" w:type="dxa"/>
            <w:tcBorders>
              <w:top w:val="single" w:sz="4" w:space="0" w:color="auto"/>
              <w:left w:val="nil"/>
              <w:bottom w:val="single" w:sz="4" w:space="0" w:color="auto"/>
              <w:right w:val="nil"/>
            </w:tcBorders>
            <w:shd w:val="clear" w:color="auto" w:fill="auto"/>
          </w:tcPr>
          <w:p w14:paraId="6D02C226" w14:textId="77777777" w:rsidR="00841348" w:rsidRPr="00522CD2" w:rsidRDefault="00841348" w:rsidP="003002B9">
            <w:pPr>
              <w:spacing w:line="276" w:lineRule="auto"/>
              <w:ind w:left="252"/>
              <w:rPr>
                <w:rFonts w:cs="Arial"/>
                <w:sz w:val="20"/>
                <w:szCs w:val="20"/>
              </w:rPr>
            </w:pPr>
            <w:r w:rsidRPr="00522CD2">
              <w:rPr>
                <w:rFonts w:cs="Arial"/>
                <w:sz w:val="20"/>
                <w:szCs w:val="20"/>
              </w:rPr>
              <w:t>396</w:t>
            </w:r>
          </w:p>
        </w:tc>
        <w:tc>
          <w:tcPr>
            <w:tcW w:w="3825" w:type="dxa"/>
            <w:tcBorders>
              <w:top w:val="single" w:sz="4" w:space="0" w:color="auto"/>
              <w:left w:val="nil"/>
              <w:bottom w:val="single" w:sz="4" w:space="0" w:color="auto"/>
              <w:right w:val="nil"/>
            </w:tcBorders>
            <w:shd w:val="clear" w:color="auto" w:fill="auto"/>
          </w:tcPr>
          <w:p w14:paraId="1DDF1588" w14:textId="77777777"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Incidents </w:t>
            </w:r>
          </w:p>
        </w:tc>
        <w:tc>
          <w:tcPr>
            <w:tcW w:w="5862" w:type="dxa"/>
            <w:tcBorders>
              <w:top w:val="single" w:sz="4" w:space="0" w:color="auto"/>
              <w:left w:val="nil"/>
              <w:bottom w:val="single" w:sz="4" w:space="0" w:color="auto"/>
              <w:right w:val="nil"/>
            </w:tcBorders>
            <w:shd w:val="clear" w:color="auto" w:fill="auto"/>
          </w:tcPr>
          <w:p w14:paraId="1249C146" w14:textId="0E6DAEB9" w:rsidR="00841348" w:rsidRPr="00522CD2" w:rsidRDefault="00841348" w:rsidP="0027255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Hospital computerised reporting system. Coded as per Department of Health. Category A: major incidents (e.g. abscond, hostage taking); Category B: serious incidents (e.g. serious assault involving a weapon, attempted suicide); Category C: untoward incidents (e.g. attempted abscond, assault without a weapon); Category D: all other incidents (minor assault and verbal abuse). Most frequent location and time of incident. % of incidents which were violent and which were self-harm. Average monthly figure generated</w:t>
            </w:r>
            <w:r w:rsidR="00272555" w:rsidRPr="00522CD2">
              <w:rPr>
                <w:rFonts w:cs="Arial"/>
                <w:sz w:val="20"/>
                <w:szCs w:val="20"/>
              </w:rPr>
              <w:t>.</w:t>
            </w:r>
          </w:p>
        </w:tc>
      </w:tr>
      <w:tr w:rsidR="00841348" w:rsidRPr="00522CD2" w14:paraId="3E4BF7D6" w14:textId="77777777" w:rsidTr="00272555">
        <w:trPr>
          <w:trHeight w:val="416"/>
        </w:trPr>
        <w:tc>
          <w:tcPr>
            <w:tcW w:w="15490" w:type="dxa"/>
            <w:gridSpan w:val="5"/>
            <w:tcBorders>
              <w:top w:val="single" w:sz="4" w:space="0" w:color="auto"/>
              <w:left w:val="nil"/>
              <w:bottom w:val="nil"/>
              <w:right w:val="nil"/>
            </w:tcBorders>
            <w:shd w:val="clear" w:color="auto" w:fill="auto"/>
            <w:vAlign w:val="center"/>
          </w:tcPr>
          <w:p w14:paraId="346914B3" w14:textId="7C9407B1" w:rsidR="00841348" w:rsidRPr="00522CD2" w:rsidRDefault="00841348" w:rsidP="00386B2B">
            <w:pPr>
              <w:spacing w:line="276" w:lineRule="auto"/>
              <w:rPr>
                <w:rFonts w:cs="Arial"/>
                <w:sz w:val="20"/>
                <w:szCs w:val="20"/>
              </w:rPr>
            </w:pPr>
            <w:r w:rsidRPr="00522CD2">
              <w:rPr>
                <w:rFonts w:cs="Arial"/>
                <w:bCs/>
                <w:i/>
                <w:sz w:val="20"/>
                <w:szCs w:val="20"/>
              </w:rPr>
              <w:t>Note.</w:t>
            </w:r>
            <w:r w:rsidRPr="00522CD2">
              <w:rPr>
                <w:rFonts w:cs="Arial"/>
                <w:bCs/>
                <w:sz w:val="20"/>
                <w:szCs w:val="20"/>
              </w:rPr>
              <w:t xml:space="preserve"> SDTN = Security, Dependency and Treatment Needs Scale; CANFOR = Camberwell assessment of need - forensi</w:t>
            </w:r>
            <w:r w:rsidR="003002B9" w:rsidRPr="00522CD2">
              <w:rPr>
                <w:rFonts w:cs="Arial"/>
                <w:bCs/>
                <w:sz w:val="20"/>
                <w:szCs w:val="20"/>
              </w:rPr>
              <w:t>c version; CANDID = Camberwell Assessment of Need for Adults with Developmental and Intellectual D</w:t>
            </w:r>
            <w:r w:rsidRPr="00522CD2">
              <w:rPr>
                <w:rFonts w:cs="Arial"/>
                <w:bCs/>
                <w:sz w:val="20"/>
                <w:szCs w:val="20"/>
              </w:rPr>
              <w:t>isabilities.</w:t>
            </w:r>
          </w:p>
        </w:tc>
      </w:tr>
    </w:tbl>
    <w:p w14:paraId="036F9A4C" w14:textId="77777777" w:rsidR="00841348" w:rsidRPr="00522CD2" w:rsidRDefault="00841348" w:rsidP="00841348">
      <w:pPr>
        <w:rPr>
          <w:rFonts w:cs="Arial"/>
          <w:vanish/>
        </w:rPr>
      </w:pPr>
    </w:p>
    <w:p w14:paraId="6B7F0902" w14:textId="77777777" w:rsidR="00841348" w:rsidRPr="00522CD2" w:rsidRDefault="00841348" w:rsidP="00841348">
      <w:pPr>
        <w:jc w:val="center"/>
        <w:rPr>
          <w:rFonts w:cs="Arial"/>
          <w:b/>
          <w:sz w:val="32"/>
          <w:szCs w:val="32"/>
        </w:rPr>
      </w:pPr>
    </w:p>
    <w:p w14:paraId="038982CC" w14:textId="77777777" w:rsidR="00841348" w:rsidRPr="00522CD2" w:rsidRDefault="00841348" w:rsidP="00841348"/>
    <w:tbl>
      <w:tblPr>
        <w:tblpPr w:leftFromText="180" w:rightFromText="180" w:vertAnchor="page" w:horzAnchor="margin" w:tblpXSpec="center" w:tblpY="1771"/>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3009"/>
        <w:gridCol w:w="709"/>
        <w:gridCol w:w="3120"/>
        <w:gridCol w:w="6066"/>
      </w:tblGrid>
      <w:tr w:rsidR="00841348" w:rsidRPr="00522CD2" w14:paraId="6D804C31" w14:textId="77777777">
        <w:tc>
          <w:tcPr>
            <w:tcW w:w="15390" w:type="dxa"/>
            <w:gridSpan w:val="5"/>
            <w:tcBorders>
              <w:top w:val="nil"/>
              <w:left w:val="nil"/>
              <w:bottom w:val="nil"/>
              <w:right w:val="nil"/>
            </w:tcBorders>
            <w:shd w:val="clear" w:color="auto" w:fill="FFFFFF" w:themeFill="background1"/>
          </w:tcPr>
          <w:p w14:paraId="2E96E29C" w14:textId="77777777" w:rsidR="00841348" w:rsidRPr="00522CD2" w:rsidRDefault="00841348" w:rsidP="009726BA">
            <w:pPr>
              <w:rPr>
                <w:rFonts w:cs="Arial"/>
                <w:b/>
                <w:sz w:val="20"/>
                <w:szCs w:val="20"/>
              </w:rPr>
            </w:pPr>
          </w:p>
        </w:tc>
      </w:tr>
      <w:tr w:rsidR="00841348" w:rsidRPr="00522CD2" w14:paraId="199A539A" w14:textId="77777777">
        <w:trPr>
          <w:trHeight w:val="340"/>
        </w:trPr>
        <w:tc>
          <w:tcPr>
            <w:tcW w:w="15390" w:type="dxa"/>
            <w:gridSpan w:val="5"/>
            <w:tcBorders>
              <w:top w:val="nil"/>
              <w:left w:val="nil"/>
              <w:bottom w:val="single" w:sz="4" w:space="0" w:color="auto"/>
              <w:right w:val="nil"/>
            </w:tcBorders>
            <w:shd w:val="clear" w:color="auto" w:fill="FFFFFF" w:themeFill="background1"/>
            <w:vAlign w:val="center"/>
          </w:tcPr>
          <w:p w14:paraId="6DF7E59D" w14:textId="77777777" w:rsidR="00841348" w:rsidRPr="00522CD2" w:rsidRDefault="00841348" w:rsidP="00841348">
            <w:pPr>
              <w:rPr>
                <w:rFonts w:cs="Arial"/>
                <w:b/>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 xml:space="preserve">. </w:t>
            </w:r>
          </w:p>
          <w:p w14:paraId="5A30B4F0" w14:textId="77777777" w:rsidR="00841348" w:rsidRPr="00522CD2" w:rsidRDefault="00841348" w:rsidP="00841348">
            <w:pPr>
              <w:rPr>
                <w:rFonts w:cs="Arial"/>
                <w:b/>
                <w:sz w:val="20"/>
                <w:szCs w:val="20"/>
              </w:rPr>
            </w:pPr>
            <w:r w:rsidRPr="00522CD2">
              <w:rPr>
                <w:rFonts w:cs="Arial"/>
                <w:sz w:val="20"/>
                <w:szCs w:val="20"/>
              </w:rPr>
              <w:t>Summary of studies presenting data on the outcome domain of patient</w:t>
            </w:r>
            <w:r w:rsidRPr="00522CD2">
              <w:rPr>
                <w:rFonts w:cs="Arial"/>
                <w:b/>
                <w:sz w:val="20"/>
                <w:szCs w:val="20"/>
              </w:rPr>
              <w:t xml:space="preserve"> </w:t>
            </w:r>
            <w:r w:rsidRPr="00522CD2">
              <w:rPr>
                <w:rFonts w:cs="Arial"/>
                <w:sz w:val="20"/>
                <w:szCs w:val="20"/>
              </w:rPr>
              <w:t>safety (cohort studies).</w:t>
            </w:r>
          </w:p>
        </w:tc>
      </w:tr>
      <w:tr w:rsidR="00841348" w:rsidRPr="00522CD2" w14:paraId="40AD2519" w14:textId="77777777">
        <w:trPr>
          <w:trHeight w:val="340"/>
        </w:trPr>
        <w:tc>
          <w:tcPr>
            <w:tcW w:w="2486" w:type="dxa"/>
            <w:tcBorders>
              <w:left w:val="nil"/>
              <w:bottom w:val="single" w:sz="4" w:space="0" w:color="auto"/>
              <w:right w:val="nil"/>
            </w:tcBorders>
            <w:shd w:val="clear" w:color="auto" w:fill="FFFFFF" w:themeFill="background1"/>
            <w:vAlign w:val="center"/>
          </w:tcPr>
          <w:p w14:paraId="5085EA73" w14:textId="77777777" w:rsidR="00841348" w:rsidRPr="00522CD2" w:rsidRDefault="00841348" w:rsidP="00841348">
            <w:pPr>
              <w:jc w:val="center"/>
              <w:rPr>
                <w:rFonts w:cs="Arial"/>
                <w:b/>
                <w:sz w:val="20"/>
                <w:szCs w:val="20"/>
              </w:rPr>
            </w:pPr>
            <w:r w:rsidRPr="00522CD2">
              <w:rPr>
                <w:rFonts w:cs="Arial"/>
                <w:b/>
                <w:sz w:val="20"/>
                <w:szCs w:val="20"/>
              </w:rPr>
              <w:t>Study and Setting</w:t>
            </w:r>
          </w:p>
        </w:tc>
        <w:tc>
          <w:tcPr>
            <w:tcW w:w="3009" w:type="dxa"/>
            <w:tcBorders>
              <w:left w:val="nil"/>
              <w:bottom w:val="single" w:sz="4" w:space="0" w:color="auto"/>
              <w:right w:val="nil"/>
            </w:tcBorders>
            <w:shd w:val="clear" w:color="auto" w:fill="FFFFFF" w:themeFill="background1"/>
            <w:vAlign w:val="center"/>
          </w:tcPr>
          <w:p w14:paraId="3C801DC3" w14:textId="77777777" w:rsidR="00841348" w:rsidRPr="00522CD2" w:rsidRDefault="00841348" w:rsidP="00841348">
            <w:pPr>
              <w:jc w:val="center"/>
              <w:rPr>
                <w:rFonts w:cs="Arial"/>
                <w:b/>
                <w:sz w:val="20"/>
                <w:szCs w:val="20"/>
              </w:rPr>
            </w:pPr>
            <w:r w:rsidRPr="00522CD2">
              <w:rPr>
                <w:rFonts w:cs="Arial"/>
                <w:b/>
                <w:sz w:val="20"/>
                <w:szCs w:val="20"/>
              </w:rPr>
              <w:t>Design</w:t>
            </w:r>
          </w:p>
        </w:tc>
        <w:tc>
          <w:tcPr>
            <w:tcW w:w="709" w:type="dxa"/>
            <w:tcBorders>
              <w:left w:val="nil"/>
              <w:bottom w:val="single" w:sz="4" w:space="0" w:color="auto"/>
              <w:right w:val="nil"/>
            </w:tcBorders>
            <w:shd w:val="clear" w:color="auto" w:fill="FFFFFF" w:themeFill="background1"/>
            <w:vAlign w:val="center"/>
          </w:tcPr>
          <w:p w14:paraId="1A028F78" w14:textId="77777777" w:rsidR="00841348" w:rsidRPr="00522CD2" w:rsidRDefault="00841348" w:rsidP="00841348">
            <w:pPr>
              <w:jc w:val="center"/>
              <w:rPr>
                <w:rFonts w:cs="Arial"/>
                <w:b/>
                <w:sz w:val="20"/>
                <w:szCs w:val="20"/>
              </w:rPr>
            </w:pPr>
            <w:r w:rsidRPr="00522CD2">
              <w:rPr>
                <w:rFonts w:cs="Arial"/>
                <w:b/>
                <w:sz w:val="20"/>
                <w:szCs w:val="20"/>
              </w:rPr>
              <w:t>N</w:t>
            </w:r>
          </w:p>
        </w:tc>
        <w:tc>
          <w:tcPr>
            <w:tcW w:w="3120" w:type="dxa"/>
            <w:tcBorders>
              <w:left w:val="nil"/>
              <w:bottom w:val="single" w:sz="4" w:space="0" w:color="auto"/>
              <w:right w:val="nil"/>
            </w:tcBorders>
            <w:shd w:val="clear" w:color="auto" w:fill="FFFFFF" w:themeFill="background1"/>
            <w:vAlign w:val="center"/>
          </w:tcPr>
          <w:p w14:paraId="6F46A8F6" w14:textId="77777777" w:rsidR="00841348" w:rsidRPr="00522CD2" w:rsidRDefault="00841348" w:rsidP="00841348">
            <w:pPr>
              <w:jc w:val="center"/>
              <w:rPr>
                <w:rFonts w:cs="Arial"/>
                <w:b/>
                <w:sz w:val="20"/>
                <w:szCs w:val="20"/>
              </w:rPr>
            </w:pPr>
            <w:r w:rsidRPr="00522CD2">
              <w:rPr>
                <w:rFonts w:cs="Arial"/>
                <w:b/>
                <w:sz w:val="20"/>
                <w:szCs w:val="20"/>
              </w:rPr>
              <w:t>Outcome Sub-Domain</w:t>
            </w:r>
          </w:p>
        </w:tc>
        <w:tc>
          <w:tcPr>
            <w:tcW w:w="6066" w:type="dxa"/>
            <w:tcBorders>
              <w:left w:val="nil"/>
              <w:bottom w:val="single" w:sz="4" w:space="0" w:color="auto"/>
              <w:right w:val="nil"/>
            </w:tcBorders>
            <w:shd w:val="clear" w:color="auto" w:fill="FFFFFF" w:themeFill="background1"/>
            <w:vAlign w:val="center"/>
          </w:tcPr>
          <w:p w14:paraId="04CCD251" w14:textId="77777777" w:rsidR="00841348" w:rsidRPr="00522CD2" w:rsidRDefault="00841348" w:rsidP="00841348">
            <w:pPr>
              <w:jc w:val="center"/>
              <w:rPr>
                <w:rFonts w:cs="Arial"/>
                <w:b/>
                <w:sz w:val="20"/>
                <w:szCs w:val="20"/>
              </w:rPr>
            </w:pPr>
            <w:r w:rsidRPr="00522CD2">
              <w:rPr>
                <w:rFonts w:cs="Arial"/>
                <w:b/>
                <w:sz w:val="20"/>
                <w:szCs w:val="20"/>
              </w:rPr>
              <w:t>Measure/Indicator</w:t>
            </w:r>
          </w:p>
        </w:tc>
      </w:tr>
      <w:tr w:rsidR="00841348" w:rsidRPr="00522CD2" w14:paraId="5203B4D6" w14:textId="77777777" w:rsidTr="00550A44">
        <w:tc>
          <w:tcPr>
            <w:tcW w:w="2486" w:type="dxa"/>
            <w:tcBorders>
              <w:top w:val="nil"/>
              <w:left w:val="nil"/>
              <w:bottom w:val="single" w:sz="4" w:space="0" w:color="000000"/>
              <w:right w:val="nil"/>
            </w:tcBorders>
            <w:shd w:val="clear" w:color="auto" w:fill="auto"/>
          </w:tcPr>
          <w:p w14:paraId="4D750859" w14:textId="7DE6F0A3" w:rsidR="00841348" w:rsidRPr="00522CD2" w:rsidRDefault="00841348" w:rsidP="00841348">
            <w:pPr>
              <w:spacing w:line="276" w:lineRule="auto"/>
              <w:rPr>
                <w:rFonts w:cs="Arial"/>
                <w:sz w:val="20"/>
                <w:szCs w:val="20"/>
              </w:rPr>
            </w:pPr>
            <w:r w:rsidRPr="00522CD2">
              <w:rPr>
                <w:rFonts w:cs="Arial"/>
                <w:sz w:val="20"/>
                <w:szCs w:val="20"/>
              </w:rPr>
              <w:t>Alexander et al. (2015)</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"10.3109/13668250.2014.998182", "ISSN" : "1366-8250", "abstract" : "AbstractBackground Although many with intellectual disability come to the attention of services for fire setting, research in this area is scarce, which poses challenges for management.Method In this paper we examined those with a fire-setting history (n = 30), identified from a sample of 138 patients treated in a UK forensic intellectual disability service. Those with a fire-setting history were compared to those without this history on various clinical, forensic, and treatment outcome variables.Results Fire-setting was associated with significant psychopathology, including psychosis and personality disorders. Only half of the fire setters had a formal arson conviction. Fire setters were more likely to have a violence conviction and criminal sections/restriction orders.Conclusions Half of those with fire-setting histories did not have formal arson convictions, highlighting the need for thorough history taking. Prevalent comorbidity suggests interventions should focus on treating psychopathology before co...", "author" : [ { "dropping-particle" : "", "family" : "Alexander", "given" : "Regi T.", "non-dropping-particle" : "", "parse-names" : false, "suffix" : "" }, { "dropping-particle" : "", "family" : "Chester", "given" : "Verity", "non-dropping-particle" : "", "parse-names" : false, "suffix" : "" }, { "dropping-particle" : "", "family" : "Green", "given" : "Fatima N.", "non-dropping-particle" : "", "parse-names" : false, "suffix" : "" }, { "dropping-particle" : "", "family" : "Gunaratna", "given" : "Ignatius", "non-dropping-particle" : "", "parse-names" : false, "suffix" : "" }, { "dropping-particle" : "", "family" : "Hoare", "given" : "Sudeep", "non-dropping-particle" : "", "parse-names" : false, "suffix" : "" } ], "container-title" : "Journal of Intellectual and Developmental Disability", "id" : "ITEM-1", "issue" : "2", "issued" : { "date-parts" : [ [ "2015" ] ] }, "page" : "189-197", "publisher" : "Routledge", "title" : "Arson or fire setting in offenders with intellectual disability: Clinical characteristics, forensic histories, and treatment outcomes", "type" : "article-journal", "volume" : "40" }, "uris" : [ "http://www.mendeley.com/documents/?uuid=a9e07004-604d-38fd-8699-ffabb3393850" ] } ], "mendeley" : { "formattedCitation" : "(38)", "plainTextFormattedCitation" : "(38)", "previouslyFormattedCitation" : "(38)"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(38)</w:t>
            </w:r>
            <w:r w:rsidR="00FC3FE5" w:rsidRPr="00522CD2">
              <w:rPr>
                <w:rFonts w:cs="Arial"/>
                <w:sz w:val="20"/>
                <w:szCs w:val="20"/>
              </w:rPr>
              <w:fldChar w:fldCharType="end"/>
            </w:r>
          </w:p>
          <w:p w14:paraId="1DCE1720" w14:textId="77777777" w:rsidR="00841348" w:rsidRPr="00522CD2" w:rsidRDefault="00841348" w:rsidP="00841348">
            <w:pPr>
              <w:spacing w:line="276" w:lineRule="auto"/>
              <w:rPr>
                <w:rFonts w:cs="Arial"/>
                <w:sz w:val="20"/>
                <w:szCs w:val="20"/>
              </w:rPr>
            </w:pPr>
            <w:r w:rsidRPr="00522CD2">
              <w:rPr>
                <w:rFonts w:cs="Arial"/>
                <w:sz w:val="20"/>
                <w:szCs w:val="20"/>
              </w:rPr>
              <w:t>Medium and low secure</w:t>
            </w:r>
          </w:p>
          <w:p w14:paraId="0659E378" w14:textId="77777777" w:rsidR="00841348" w:rsidRPr="00522CD2" w:rsidRDefault="00841348" w:rsidP="00841348">
            <w:pPr>
              <w:spacing w:line="276" w:lineRule="auto"/>
              <w:rPr>
                <w:rFonts w:cs="Arial"/>
                <w:sz w:val="20"/>
                <w:szCs w:val="20"/>
              </w:rPr>
            </w:pPr>
          </w:p>
        </w:tc>
        <w:tc>
          <w:tcPr>
            <w:tcW w:w="3009" w:type="dxa"/>
            <w:tcBorders>
              <w:top w:val="nil"/>
              <w:left w:val="nil"/>
              <w:bottom w:val="single" w:sz="4" w:space="0" w:color="000000"/>
              <w:right w:val="nil"/>
            </w:tcBorders>
            <w:shd w:val="clear" w:color="auto" w:fill="auto"/>
          </w:tcPr>
          <w:p w14:paraId="417838F4" w14:textId="2A12CA18" w:rsidR="00841348" w:rsidRPr="00522CD2" w:rsidRDefault="00841348" w:rsidP="00841348">
            <w:pPr>
              <w:spacing w:line="276" w:lineRule="auto"/>
              <w:rPr>
                <w:rFonts w:cs="Arial"/>
                <w:sz w:val="20"/>
                <w:szCs w:val="20"/>
              </w:rPr>
            </w:pPr>
            <w:r w:rsidRPr="00522CD2">
              <w:rPr>
                <w:rFonts w:cs="Arial"/>
                <w:sz w:val="20"/>
                <w:szCs w:val="20"/>
              </w:rPr>
              <w:t>Retrospective cohort study</w:t>
            </w:r>
          </w:p>
          <w:p w14:paraId="3C2DB19F" w14:textId="77777777" w:rsidR="00841348" w:rsidRPr="00522CD2" w:rsidRDefault="00841348" w:rsidP="00841348">
            <w:pPr>
              <w:spacing w:line="276" w:lineRule="auto"/>
              <w:rPr>
                <w:rFonts w:cs="Arial"/>
                <w:sz w:val="20"/>
                <w:szCs w:val="20"/>
              </w:rPr>
            </w:pPr>
            <w:r w:rsidRPr="00522CD2">
              <w:rPr>
                <w:rFonts w:cs="Arial"/>
                <w:sz w:val="20"/>
                <w:szCs w:val="20"/>
              </w:rPr>
              <w:t>Follow up: 6 years</w:t>
            </w:r>
          </w:p>
          <w:p w14:paraId="4003F774" w14:textId="77777777" w:rsidR="00841348" w:rsidRPr="00522CD2" w:rsidRDefault="00841348" w:rsidP="00841348">
            <w:pPr>
              <w:spacing w:line="276" w:lineRule="auto"/>
              <w:rPr>
                <w:rFonts w:cs="Arial"/>
                <w:sz w:val="20"/>
                <w:szCs w:val="20"/>
              </w:rPr>
            </w:pPr>
          </w:p>
        </w:tc>
        <w:tc>
          <w:tcPr>
            <w:tcW w:w="709" w:type="dxa"/>
            <w:tcBorders>
              <w:top w:val="nil"/>
              <w:left w:val="nil"/>
              <w:bottom w:val="single" w:sz="4" w:space="0" w:color="000000"/>
              <w:right w:val="nil"/>
            </w:tcBorders>
          </w:tcPr>
          <w:p w14:paraId="7338FD0C" w14:textId="77777777" w:rsidR="00841348" w:rsidRPr="00522CD2" w:rsidRDefault="00841348" w:rsidP="00841348">
            <w:pPr>
              <w:spacing w:line="276" w:lineRule="auto"/>
              <w:jc w:val="center"/>
              <w:rPr>
                <w:rFonts w:cs="Arial"/>
                <w:sz w:val="20"/>
                <w:szCs w:val="20"/>
              </w:rPr>
            </w:pPr>
            <w:r w:rsidRPr="00522CD2">
              <w:rPr>
                <w:rFonts w:cs="Arial"/>
                <w:sz w:val="20"/>
                <w:szCs w:val="20"/>
              </w:rPr>
              <w:t>30</w:t>
            </w:r>
          </w:p>
        </w:tc>
        <w:tc>
          <w:tcPr>
            <w:tcW w:w="3120" w:type="dxa"/>
            <w:tcBorders>
              <w:top w:val="nil"/>
              <w:left w:val="nil"/>
              <w:bottom w:val="single" w:sz="4" w:space="0" w:color="000000"/>
              <w:right w:val="nil"/>
            </w:tcBorders>
          </w:tcPr>
          <w:p w14:paraId="6C50A261"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Seclusion, restraint and intensive observations</w:t>
            </w:r>
          </w:p>
          <w:p w14:paraId="6C72482A" w14:textId="77777777" w:rsidR="00841348" w:rsidRPr="00522CD2" w:rsidRDefault="00841348" w:rsidP="00841348">
            <w:pPr>
              <w:spacing w:line="276" w:lineRule="auto"/>
              <w:ind w:left="252"/>
              <w:rPr>
                <w:rFonts w:cs="Arial"/>
                <w:sz w:val="20"/>
                <w:szCs w:val="20"/>
              </w:rPr>
            </w:pPr>
          </w:p>
        </w:tc>
        <w:tc>
          <w:tcPr>
            <w:tcW w:w="6066" w:type="dxa"/>
            <w:tcBorders>
              <w:top w:val="nil"/>
              <w:left w:val="nil"/>
              <w:bottom w:val="single" w:sz="4" w:space="0" w:color="000000"/>
              <w:right w:val="nil"/>
            </w:tcBorders>
            <w:shd w:val="clear" w:color="auto" w:fill="auto"/>
          </w:tcPr>
          <w:p w14:paraId="774766DE"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number of episodes per patient/month</w:t>
            </w:r>
          </w:p>
          <w:p w14:paraId="09425D58" w14:textId="77777777" w:rsidR="00841348" w:rsidRPr="00522CD2" w:rsidRDefault="00841348" w:rsidP="00841348">
            <w:pPr>
              <w:spacing w:line="276" w:lineRule="auto"/>
              <w:ind w:left="12"/>
              <w:rPr>
                <w:rFonts w:cs="Arial"/>
                <w:sz w:val="20"/>
                <w:szCs w:val="20"/>
              </w:rPr>
            </w:pPr>
          </w:p>
        </w:tc>
      </w:tr>
      <w:tr w:rsidR="00841348" w:rsidRPr="00522CD2" w14:paraId="3339845B" w14:textId="77777777" w:rsidTr="00550A44">
        <w:tc>
          <w:tcPr>
            <w:tcW w:w="2486" w:type="dxa"/>
            <w:tcBorders>
              <w:top w:val="single" w:sz="4" w:space="0" w:color="000000"/>
              <w:left w:val="nil"/>
              <w:bottom w:val="single" w:sz="4" w:space="0" w:color="000000"/>
              <w:right w:val="nil"/>
            </w:tcBorders>
            <w:shd w:val="clear" w:color="auto" w:fill="auto"/>
          </w:tcPr>
          <w:p w14:paraId="733D5499" w14:textId="502C20DF" w:rsidR="00841348" w:rsidRPr="00522CD2" w:rsidRDefault="00841348" w:rsidP="00841348">
            <w:pPr>
              <w:spacing w:line="276" w:lineRule="auto"/>
              <w:rPr>
                <w:rFonts w:cs="Arial"/>
                <w:b/>
                <w:sz w:val="20"/>
                <w:szCs w:val="20"/>
              </w:rPr>
            </w:pPr>
            <w:r w:rsidRPr="00522CD2">
              <w:rPr>
                <w:rFonts w:cs="Arial"/>
                <w:sz w:val="20"/>
                <w:szCs w:val="20"/>
              </w:rPr>
              <w:t xml:space="preserve">Alexander et al. (2010)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"10.1111/j.1365-2788.2010.01248.x", "ISBN" : "1365-2788", "abstract" : "AIM To establish any differences between patients with and without a diagnosis of personality disorders, being treated in a secure inpatient service for offenders with intellectual disability (ID) in the UK. METHOD A cohort study involving a selected population of people with ID and offending behaviours. Results The study included a total of 138 patients, treated over a 6 year period - 77 with a dissocial or emotionally unstable personality disorder and 61 without. Women were more likely to be in the personality disorder group. Both groups had high prevalence of abuse with no significant differences. Depressive disorders and substance abuse were more common in the personality disorder group, while epilepsy and autistic spectrum disorders were more common in the non-personality disorder group. Rather than differences, what was more striking was the rate and range of these comorbidities across both groups. Although past histories of violence and institutional aggression were no different, compulsory detention under criminal sections and restriction orders were more common in the personality disorder group. There were no differences in treatment outcomes. CONCLUSIONS Although about half of patients detained in secure units for offenders with ID have a personality disorder, there were more similarities than differences between this group and the rest. While good treatment outcomes supported the case for specialised secure treatment units for people with ID, the case for establishing a more specialised ID-personality disorder unit was less convincing. There is also a need to explore whether there are alternative diagnostic models that can delineate better the group with personality difficulties in this population.", "author" : [ { "dropping-particle" : "", "family" : "Alexander", "given" : "R T", "non-dropping-particle" : "", "parse-names" : false, "suffix" : "" }, { "dropping-particle" : "", "family" : "Green", "given" : "F N", "non-dropping-particle" : "", "parse-names" : false, "suffix" : "" }, { "dropping-particle" : "", "family" : "O'Mahony", "given" : "B", "non-dropping-particle" : "", "parse-names" : false, "suffix" : "" }, { "dropping-particle" : "", "family" : "Gunaratna", "given" : "I J", "non-dropping-particle" : "", "parse-names" : false, "suffix" : "" }, { "dropping-particle" : "", "family" : "Gangadharan", "given" : "S K", "non-dropping-particle" : "", "parse-names" : false, "suffix" : "" }, { "dropping-particle" : "", "family" : "Hoare", "given" : "S", "non-dropping-particle" : "", "parse-names" : false, "suffix" : "" } ], "container-title" : "Journal of Intellectual Disability Research", "id" : "ITEM-1", "issue" : "7", "issued" : { "date-parts" : [ [ "2010" ] ] }, "page" : "650-658", "title" : "Personality disorders in offerders with intellectual disability: A comparison of clinical, forensic and outcome variables and implications for service provision", "type" : "article-journal", "volume" : "54" }, "uris" : [ "http://www.mendeley.com/documents/?uuid=880b83b4-93e8-4a5e-abda-893a3d293fec" ] } ], "mendeley" : { "formattedCitation" : "(37)", "plainTextFormattedCitation" : "(37)", "previouslyFormattedCitation" : "(37)"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(37)</w:t>
            </w:r>
            <w:r w:rsidR="00FC3FE5" w:rsidRPr="00522CD2">
              <w:rPr>
                <w:rFonts w:cs="Arial"/>
                <w:sz w:val="20"/>
                <w:szCs w:val="20"/>
              </w:rPr>
              <w:fldChar w:fldCharType="end"/>
            </w:r>
            <w:r w:rsidR="00FC3FE5" w:rsidRPr="00522CD2">
              <w:rPr>
                <w:rFonts w:cs="Arial"/>
                <w:sz w:val="20"/>
                <w:szCs w:val="20"/>
              </w:rPr>
              <w:t xml:space="preserve"> </w:t>
            </w:r>
            <w:r w:rsidRPr="00522CD2">
              <w:rPr>
                <w:rFonts w:cs="Arial"/>
                <w:sz w:val="20"/>
                <w:szCs w:val="20"/>
              </w:rPr>
              <w:t>Medium secure</w:t>
            </w:r>
          </w:p>
        </w:tc>
        <w:tc>
          <w:tcPr>
            <w:tcW w:w="3009" w:type="dxa"/>
            <w:tcBorders>
              <w:top w:val="single" w:sz="4" w:space="0" w:color="000000"/>
              <w:left w:val="nil"/>
              <w:bottom w:val="single" w:sz="4" w:space="0" w:color="000000"/>
              <w:right w:val="nil"/>
            </w:tcBorders>
            <w:shd w:val="clear" w:color="auto" w:fill="auto"/>
          </w:tcPr>
          <w:p w14:paraId="12E37024" w14:textId="2DDFB6AA" w:rsidR="00841348" w:rsidRPr="00522CD2" w:rsidRDefault="00841348" w:rsidP="00841348">
            <w:pPr>
              <w:spacing w:line="276" w:lineRule="auto"/>
              <w:rPr>
                <w:rFonts w:cs="Arial"/>
                <w:sz w:val="20"/>
                <w:szCs w:val="20"/>
              </w:rPr>
            </w:pPr>
            <w:r w:rsidRPr="00522CD2">
              <w:rPr>
                <w:rFonts w:cs="Arial"/>
                <w:sz w:val="20"/>
                <w:szCs w:val="20"/>
              </w:rPr>
              <w:t>Retrospective cohort study</w:t>
            </w:r>
          </w:p>
          <w:p w14:paraId="3A51C09D" w14:textId="77777777" w:rsidR="00841348" w:rsidRPr="00522CD2" w:rsidRDefault="00841348" w:rsidP="00841348">
            <w:pPr>
              <w:spacing w:line="276" w:lineRule="auto"/>
              <w:rPr>
                <w:rFonts w:cs="Arial"/>
                <w:sz w:val="20"/>
                <w:szCs w:val="20"/>
              </w:rPr>
            </w:pPr>
            <w:r w:rsidRPr="00522CD2">
              <w:rPr>
                <w:rFonts w:cs="Arial"/>
                <w:sz w:val="20"/>
                <w:szCs w:val="20"/>
              </w:rPr>
              <w:t xml:space="preserve">Follow up: 6 years </w:t>
            </w:r>
          </w:p>
          <w:p w14:paraId="6D570EF7" w14:textId="77777777" w:rsidR="00841348" w:rsidRPr="00522CD2" w:rsidRDefault="00841348" w:rsidP="00841348">
            <w:pPr>
              <w:spacing w:line="276" w:lineRule="auto"/>
              <w:rPr>
                <w:rFonts w:cs="Arial"/>
                <w:b/>
                <w:sz w:val="20"/>
                <w:szCs w:val="20"/>
              </w:rPr>
            </w:pPr>
          </w:p>
        </w:tc>
        <w:tc>
          <w:tcPr>
            <w:tcW w:w="709" w:type="dxa"/>
            <w:tcBorders>
              <w:top w:val="single" w:sz="4" w:space="0" w:color="000000"/>
              <w:left w:val="nil"/>
              <w:bottom w:val="single" w:sz="4" w:space="0" w:color="000000"/>
              <w:right w:val="nil"/>
            </w:tcBorders>
          </w:tcPr>
          <w:p w14:paraId="3FE601F5" w14:textId="77777777" w:rsidR="00841348" w:rsidRPr="00522CD2" w:rsidRDefault="00841348" w:rsidP="00841348">
            <w:pPr>
              <w:spacing w:line="276" w:lineRule="auto"/>
              <w:jc w:val="center"/>
              <w:rPr>
                <w:rFonts w:cs="Arial"/>
                <w:sz w:val="20"/>
                <w:szCs w:val="20"/>
              </w:rPr>
            </w:pPr>
            <w:r w:rsidRPr="00522CD2">
              <w:rPr>
                <w:rFonts w:cs="Arial"/>
                <w:sz w:val="20"/>
                <w:szCs w:val="20"/>
              </w:rPr>
              <w:t>138</w:t>
            </w:r>
          </w:p>
        </w:tc>
        <w:tc>
          <w:tcPr>
            <w:tcW w:w="3120" w:type="dxa"/>
            <w:tcBorders>
              <w:top w:val="single" w:sz="4" w:space="0" w:color="000000"/>
              <w:left w:val="nil"/>
              <w:bottom w:val="single" w:sz="4" w:space="0" w:color="000000"/>
              <w:right w:val="nil"/>
            </w:tcBorders>
          </w:tcPr>
          <w:p w14:paraId="75E5E0F4"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Seclusion, restraint and intensive observations</w:t>
            </w:r>
          </w:p>
          <w:p w14:paraId="0EF3DF63" w14:textId="77777777" w:rsidR="00841348" w:rsidRPr="00522CD2" w:rsidRDefault="00841348" w:rsidP="00841348">
            <w:pPr>
              <w:spacing w:line="276" w:lineRule="auto"/>
              <w:ind w:left="252"/>
              <w:rPr>
                <w:rFonts w:cs="Arial"/>
                <w:sz w:val="20"/>
                <w:szCs w:val="20"/>
              </w:rPr>
            </w:pPr>
          </w:p>
        </w:tc>
        <w:tc>
          <w:tcPr>
            <w:tcW w:w="6066" w:type="dxa"/>
            <w:tcBorders>
              <w:top w:val="single" w:sz="4" w:space="0" w:color="000000"/>
              <w:left w:val="nil"/>
              <w:bottom w:val="single" w:sz="4" w:space="0" w:color="000000"/>
              <w:right w:val="nil"/>
            </w:tcBorders>
            <w:shd w:val="clear" w:color="auto" w:fill="auto"/>
          </w:tcPr>
          <w:p w14:paraId="3CCD9E6D"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number of episodes per patient/month (adjusted for length of stay)</w:t>
            </w:r>
          </w:p>
          <w:p w14:paraId="37437DAF" w14:textId="77777777" w:rsidR="00841348" w:rsidRPr="00522CD2" w:rsidRDefault="00841348" w:rsidP="00841348">
            <w:pPr>
              <w:spacing w:line="276" w:lineRule="auto"/>
              <w:rPr>
                <w:rFonts w:cs="Arial"/>
                <w:sz w:val="20"/>
                <w:szCs w:val="20"/>
              </w:rPr>
            </w:pPr>
          </w:p>
        </w:tc>
      </w:tr>
      <w:tr w:rsidR="00841348" w:rsidRPr="00522CD2" w14:paraId="5C68F896" w14:textId="77777777" w:rsidTr="00550A44">
        <w:tc>
          <w:tcPr>
            <w:tcW w:w="2486" w:type="dxa"/>
            <w:tcBorders>
              <w:top w:val="single" w:sz="4" w:space="0" w:color="000000"/>
              <w:left w:val="nil"/>
              <w:bottom w:val="single" w:sz="4" w:space="0" w:color="000000"/>
              <w:right w:val="nil"/>
            </w:tcBorders>
            <w:shd w:val="clear" w:color="auto" w:fill="auto"/>
          </w:tcPr>
          <w:p w14:paraId="40977279" w14:textId="6EED8238" w:rsidR="00841348" w:rsidRPr="00522CD2" w:rsidRDefault="00841348" w:rsidP="00841348">
            <w:pPr>
              <w:autoSpaceDE w:val="0"/>
              <w:autoSpaceDN w:val="0"/>
              <w:adjustRightInd w:val="0"/>
              <w:spacing w:line="276" w:lineRule="auto"/>
              <w:rPr>
                <w:rFonts w:cs="Arial"/>
                <w:kern w:val="28"/>
                <w:sz w:val="20"/>
                <w:szCs w:val="20"/>
                <w:lang w:val="en-CA" w:eastAsia="en-GB"/>
              </w:rPr>
            </w:pPr>
            <w:r w:rsidRPr="00522CD2">
              <w:rPr>
                <w:rFonts w:cs="Arial"/>
                <w:sz w:val="20"/>
                <w:szCs w:val="20"/>
              </w:rPr>
              <w:t xml:space="preserve">Alexander et al. (2011) </w:t>
            </w:r>
            <w:r w:rsidR="00FC3FE5" w:rsidRPr="00522CD2">
              <w:rPr>
                <w:rFonts w:cs="Arial"/>
                <w:sz w:val="20"/>
                <w:szCs w:val="20"/>
              </w:rPr>
              <w:fldChar w:fldCharType="begin" w:fldLock="1"/>
            </w:r>
            <w:r w:rsidR="00DD386F" w:rsidRPr="00522CD2">
              <w:rPr>
                <w:rFonts w:cs="Arial"/>
                <w:sz w:val="20"/>
                <w:szCs w:val="20"/>
              </w:rPr>
              <w:instrText>ADDIN CSL_CITATION { "citationItems" : [ { "id" : "ITEM-1", "itemData" : { "DOI" : "10.5042/amhid.2011.0013", "ISSN" : "2044-1282", "author" : [ { "dropping-particle" : "", "family" : "Alexander", "given" : "Regi", "non-dropping-particle" : "", "parse-names" : false, "suffix" : "" }, { "dropping-particle" : "", "family" : "Hiremath", "given" : "Avinash", "non-dropping-particle" : "", "parse-names" : false, "suffix" : "" }, { "dropping-particle" : "", "family" : "Chester", "given" : "Verity", "non-dropping-particle" : "", "parse-names" : false, "suffix" : "" }, { "dropping-particle" : "", "family" : "Green", "given" : "Fatima", "non-dropping-particle" : "", "parse-names" : false, "suffix" : "" }, { "dropping-particle" : "", "family" : "Gunaratna", "given" : "Ignatius", "non-dropping-particle" : "", "parse-names" : false, "suffix" : "" }, { "dropping-particle" : "", "family" : "Hoare", "given" : "Sudeep", "non-dropping-particle" : "", "parse-names" : false, "suffix" : "" } ], "container-title" : "Advances in Mental Health and Intellectual Disabilities", "id" : "ITEM-1", "issue" : "1", "issued" : { "date-parts" : [ [ "2011", "1", "24" ] ] }, "page" : "22-32", "title" : "Evaluation of treatment outcomes from a medium secure unit for people with intellectual disability", "type" : "article-journal", "volume" : "5" }, "uris" : [ "http://www.mendeley.com/documents/?uuid=68fa1327-de5c-3efc-964f-58da3bc311b8" ] } ], "mendeley" : { "formattedCitation" : "(5)", "plainTextFormattedCitation" : "(5)", "previouslyFormattedCitation" : "(5)" }, "properties" : { "noteIndex" : 0 }, "schema" : "https://github.com/citation-style-language/schema/raw/master/csl-citation.json" }</w:instrText>
            </w:r>
            <w:r w:rsidR="00FC3FE5" w:rsidRPr="00522CD2">
              <w:rPr>
                <w:rFonts w:cs="Arial"/>
                <w:sz w:val="20"/>
                <w:szCs w:val="20"/>
              </w:rPr>
              <w:fldChar w:fldCharType="separate"/>
            </w:r>
            <w:r w:rsidR="002C386C" w:rsidRPr="00522CD2">
              <w:rPr>
                <w:rFonts w:cs="Arial"/>
                <w:noProof/>
                <w:sz w:val="20"/>
                <w:szCs w:val="20"/>
              </w:rPr>
              <w:t>(5)</w:t>
            </w:r>
            <w:r w:rsidR="00FC3FE5" w:rsidRPr="00522CD2">
              <w:rPr>
                <w:rFonts w:cs="Arial"/>
                <w:sz w:val="20"/>
                <w:szCs w:val="20"/>
              </w:rPr>
              <w:fldChar w:fldCharType="end"/>
            </w:r>
            <w:r w:rsidR="00FC3FE5" w:rsidRPr="00522CD2">
              <w:rPr>
                <w:rFonts w:cs="Arial"/>
                <w:sz w:val="20"/>
                <w:szCs w:val="20"/>
              </w:rPr>
              <w:t xml:space="preserve"> </w:t>
            </w:r>
            <w:r w:rsidRPr="00522CD2">
              <w:rPr>
                <w:rFonts w:cs="Arial"/>
                <w:sz w:val="20"/>
                <w:szCs w:val="20"/>
              </w:rPr>
              <w:t>Medium secure</w:t>
            </w:r>
          </w:p>
        </w:tc>
        <w:tc>
          <w:tcPr>
            <w:tcW w:w="3009" w:type="dxa"/>
            <w:tcBorders>
              <w:top w:val="single" w:sz="4" w:space="0" w:color="000000"/>
              <w:left w:val="nil"/>
              <w:bottom w:val="single" w:sz="4" w:space="0" w:color="000000"/>
              <w:right w:val="nil"/>
            </w:tcBorders>
            <w:shd w:val="clear" w:color="auto" w:fill="auto"/>
          </w:tcPr>
          <w:p w14:paraId="0D0F5684" w14:textId="7A6F5738" w:rsidR="00841348" w:rsidRPr="00522CD2" w:rsidRDefault="00841348" w:rsidP="00841348">
            <w:pPr>
              <w:spacing w:line="276" w:lineRule="auto"/>
              <w:rPr>
                <w:rFonts w:cs="Arial"/>
                <w:sz w:val="20"/>
                <w:szCs w:val="20"/>
              </w:rPr>
            </w:pPr>
            <w:r w:rsidRPr="00522CD2">
              <w:rPr>
                <w:rFonts w:cs="Arial"/>
                <w:sz w:val="20"/>
                <w:szCs w:val="20"/>
              </w:rPr>
              <w:t>Retrospective cohort study</w:t>
            </w:r>
          </w:p>
          <w:p w14:paraId="2076AF2A" w14:textId="77777777" w:rsidR="00841348" w:rsidRPr="00522CD2" w:rsidRDefault="00841348" w:rsidP="00841348">
            <w:pPr>
              <w:spacing w:line="276" w:lineRule="auto"/>
              <w:rPr>
                <w:rFonts w:cs="Arial"/>
                <w:sz w:val="20"/>
                <w:szCs w:val="20"/>
              </w:rPr>
            </w:pPr>
            <w:r w:rsidRPr="00522CD2">
              <w:rPr>
                <w:rFonts w:cs="Arial"/>
                <w:sz w:val="20"/>
                <w:szCs w:val="20"/>
              </w:rPr>
              <w:t>Follow up: 4 years</w:t>
            </w:r>
          </w:p>
          <w:p w14:paraId="042AB45B" w14:textId="77777777" w:rsidR="00841348" w:rsidRPr="00522CD2" w:rsidRDefault="00841348" w:rsidP="00841348">
            <w:pPr>
              <w:spacing w:line="276" w:lineRule="auto"/>
              <w:rPr>
                <w:rFonts w:cs="Arial"/>
                <w:sz w:val="20"/>
                <w:szCs w:val="20"/>
              </w:rPr>
            </w:pPr>
          </w:p>
        </w:tc>
        <w:tc>
          <w:tcPr>
            <w:tcW w:w="709" w:type="dxa"/>
            <w:tcBorders>
              <w:top w:val="single" w:sz="4" w:space="0" w:color="000000"/>
              <w:left w:val="nil"/>
              <w:bottom w:val="single" w:sz="4" w:space="0" w:color="000000"/>
              <w:right w:val="nil"/>
            </w:tcBorders>
          </w:tcPr>
          <w:p w14:paraId="7555AF38" w14:textId="77777777" w:rsidR="00841348" w:rsidRPr="00522CD2" w:rsidRDefault="00841348" w:rsidP="00386B2B">
            <w:pPr>
              <w:spacing w:line="276" w:lineRule="auto"/>
              <w:jc w:val="center"/>
              <w:rPr>
                <w:rFonts w:cs="Arial"/>
                <w:sz w:val="20"/>
                <w:szCs w:val="20"/>
              </w:rPr>
            </w:pPr>
            <w:r w:rsidRPr="00522CD2">
              <w:rPr>
                <w:rFonts w:cs="Arial"/>
                <w:sz w:val="20"/>
                <w:szCs w:val="20"/>
              </w:rPr>
              <w:t>138</w:t>
            </w:r>
          </w:p>
        </w:tc>
        <w:tc>
          <w:tcPr>
            <w:tcW w:w="3120" w:type="dxa"/>
            <w:tcBorders>
              <w:top w:val="single" w:sz="4" w:space="0" w:color="000000"/>
              <w:left w:val="nil"/>
              <w:bottom w:val="single" w:sz="4" w:space="0" w:color="000000"/>
              <w:right w:val="nil"/>
            </w:tcBorders>
          </w:tcPr>
          <w:p w14:paraId="732FDEF7"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Seclusion, restraint and intensive observations</w:t>
            </w:r>
          </w:p>
          <w:p w14:paraId="0E89B207" w14:textId="77777777" w:rsidR="00841348" w:rsidRPr="00522CD2" w:rsidRDefault="00841348" w:rsidP="00841348">
            <w:pPr>
              <w:spacing w:line="276" w:lineRule="auto"/>
              <w:ind w:left="12"/>
              <w:rPr>
                <w:rFonts w:cs="Arial"/>
                <w:sz w:val="20"/>
                <w:szCs w:val="20"/>
              </w:rPr>
            </w:pPr>
          </w:p>
        </w:tc>
        <w:tc>
          <w:tcPr>
            <w:tcW w:w="6066" w:type="dxa"/>
            <w:tcBorders>
              <w:top w:val="single" w:sz="4" w:space="0" w:color="000000"/>
              <w:left w:val="nil"/>
              <w:bottom w:val="single" w:sz="4" w:space="0" w:color="000000"/>
              <w:right w:val="nil"/>
            </w:tcBorders>
            <w:shd w:val="clear" w:color="auto" w:fill="auto"/>
          </w:tcPr>
          <w:p w14:paraId="537F799A"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and median episodes per patient/month</w:t>
            </w:r>
          </w:p>
        </w:tc>
      </w:tr>
      <w:tr w:rsidR="00841348" w:rsidRPr="00522CD2" w14:paraId="38A34724" w14:textId="77777777" w:rsidTr="00550A44">
        <w:trPr>
          <w:trHeight w:val="601"/>
        </w:trPr>
        <w:tc>
          <w:tcPr>
            <w:tcW w:w="2486" w:type="dxa"/>
            <w:tcBorders>
              <w:top w:val="single" w:sz="4" w:space="0" w:color="000000"/>
              <w:left w:val="nil"/>
              <w:bottom w:val="single" w:sz="4" w:space="0" w:color="000000"/>
              <w:right w:val="nil"/>
            </w:tcBorders>
            <w:shd w:val="clear" w:color="auto" w:fill="auto"/>
          </w:tcPr>
          <w:p w14:paraId="4215850F" w14:textId="752ACBD3" w:rsidR="00841348" w:rsidRPr="00522CD2" w:rsidRDefault="00841348" w:rsidP="009726BA">
            <w:pPr>
              <w:rPr>
                <w:sz w:val="20"/>
              </w:rPr>
            </w:pPr>
            <w:r w:rsidRPr="00522CD2">
              <w:rPr>
                <w:sz w:val="20"/>
              </w:rPr>
              <w:t>Ayres &amp; Roy (2009)</w:t>
            </w:r>
            <w:r w:rsidR="00FC3FE5" w:rsidRPr="00522CD2">
              <w:rPr>
                <w:sz w:val="20"/>
              </w:rPr>
              <w:t xml:space="preserve"> </w:t>
            </w:r>
            <w:r w:rsidR="00FC3FE5" w:rsidRPr="00522CD2">
              <w:rPr>
                <w:sz w:val="20"/>
              </w:rPr>
              <w:fldChar w:fldCharType="begin" w:fldLock="1"/>
            </w:r>
            <w:r w:rsidR="00E353A8" w:rsidRPr="00522CD2">
              <w:rPr>
                <w:sz w:val="20"/>
              </w:rPr>
              <w:instrText>ADDIN CSL_CITATION { "citationItems" : [ { "id" : "ITEM-1", "itemData" : { "abstract" : "This paper reports on the development and service delivery of the Supported Living Outreach Team for people with severe psychiatric, behavioural and forensic needs in a city with a population of 1.1 million. The authors discuss the reasons why the team was formed, and the partnerships it has formed with local housing and care providers in order to enable people with very complex needs to lead ordinary lives in their local communities. The pathway of team involvement is described, starting with the initial assessment, setting up and monitoring of new schemes, through to discharge. Also described are the measures the team uses to monitor its effectiveness, the benefits the team has brought to the service, and the hurdles and barriers it has had to overcome on its journey to support people with complex needs to live safely in their local communities.", "author" : [ { "dropping-particle" : "", "family" : "Ayres", "given" : "Martin", "non-dropping-particle" : "", "parse-names" : false, "suffix" : "" }, { "dropping-particle" : "", "family" : "Roy", "given" : "Ashok", "non-dropping-particle" : "", "parse-names" : false, "suffix" : "" } ], "container-title" : "Tizard Learning Disability Review", "id" : "ITEM-1", "issue" : "1", "issued" : { "date-parts" : [ [ "2013" ] ] }, "page" : "29-39", "publisher" : "Emerald Group Publishing Limited", "title" : "Supporting people with complex mental health needs to get a life! The role of the Supported Living Outreach Team", "type" : "article-journal", "volume" : "14" }, "uris" : [ "http://www.mendeley.com/documents/?uuid=e8c39f68-cd1a-3c78-afba-b2db815babd6" ] } ], "mendeley" : { "formattedCitation" : "(39)", "plainTextFormattedCitation" : "(39)", "previouslyFormattedCitation" : "(39)" }, "properties" : { "noteIndex" : 0 }, "schema" : "https://github.com/citation-style-language/schema/raw/master/csl-citation.json" }</w:instrText>
            </w:r>
            <w:r w:rsidR="00FC3FE5" w:rsidRPr="00522CD2">
              <w:rPr>
                <w:sz w:val="20"/>
              </w:rPr>
              <w:fldChar w:fldCharType="separate"/>
            </w:r>
            <w:r w:rsidR="00E353A8" w:rsidRPr="00522CD2">
              <w:rPr>
                <w:noProof/>
                <w:sz w:val="20"/>
              </w:rPr>
              <w:t>(39)</w:t>
            </w:r>
            <w:r w:rsidR="00FC3FE5" w:rsidRPr="00522CD2">
              <w:rPr>
                <w:sz w:val="20"/>
              </w:rPr>
              <w:fldChar w:fldCharType="end"/>
            </w:r>
          </w:p>
          <w:p w14:paraId="4E9E5FDF" w14:textId="77777777" w:rsidR="00841348" w:rsidRPr="00522CD2" w:rsidRDefault="00841348" w:rsidP="009726BA">
            <w:pPr>
              <w:rPr>
                <w:sz w:val="20"/>
              </w:rPr>
            </w:pPr>
            <w:r w:rsidRPr="00522CD2">
              <w:rPr>
                <w:sz w:val="20"/>
              </w:rPr>
              <w:t>Community</w:t>
            </w:r>
          </w:p>
          <w:p w14:paraId="2CD0DC88" w14:textId="77777777" w:rsidR="00841348" w:rsidRPr="00522CD2" w:rsidRDefault="00841348" w:rsidP="00841348">
            <w:pPr>
              <w:spacing w:line="276" w:lineRule="auto"/>
              <w:rPr>
                <w:rFonts w:cs="Arial"/>
                <w:sz w:val="20"/>
                <w:szCs w:val="20"/>
              </w:rPr>
            </w:pPr>
          </w:p>
          <w:p w14:paraId="63A9242C" w14:textId="77777777" w:rsidR="00841348" w:rsidRPr="00522CD2" w:rsidRDefault="00841348" w:rsidP="00841348">
            <w:pPr>
              <w:spacing w:line="276" w:lineRule="auto"/>
              <w:rPr>
                <w:rFonts w:cs="Arial"/>
                <w:sz w:val="20"/>
                <w:szCs w:val="20"/>
              </w:rPr>
            </w:pPr>
          </w:p>
        </w:tc>
        <w:tc>
          <w:tcPr>
            <w:tcW w:w="3009" w:type="dxa"/>
            <w:tcBorders>
              <w:top w:val="single" w:sz="4" w:space="0" w:color="000000"/>
              <w:left w:val="nil"/>
              <w:bottom w:val="single" w:sz="4" w:space="0" w:color="000000"/>
              <w:right w:val="nil"/>
            </w:tcBorders>
            <w:shd w:val="clear" w:color="auto" w:fill="auto"/>
          </w:tcPr>
          <w:p w14:paraId="6ADD92DC" w14:textId="1C71F9C7" w:rsidR="00841348" w:rsidRPr="00522CD2" w:rsidRDefault="00841348" w:rsidP="00841348">
            <w:pPr>
              <w:spacing w:line="276" w:lineRule="auto"/>
              <w:rPr>
                <w:rFonts w:cs="Arial"/>
                <w:sz w:val="20"/>
                <w:szCs w:val="20"/>
              </w:rPr>
            </w:pPr>
            <w:r w:rsidRPr="00522CD2">
              <w:rPr>
                <w:rFonts w:cs="Arial"/>
                <w:sz w:val="20"/>
                <w:szCs w:val="20"/>
              </w:rPr>
              <w:t>Case Series</w:t>
            </w:r>
          </w:p>
          <w:p w14:paraId="5157EAD2" w14:textId="77777777" w:rsidR="00841348" w:rsidRPr="00522CD2" w:rsidRDefault="00841348" w:rsidP="00841348">
            <w:pPr>
              <w:spacing w:line="276" w:lineRule="auto"/>
              <w:rPr>
                <w:rFonts w:cs="Arial"/>
                <w:sz w:val="20"/>
                <w:szCs w:val="20"/>
              </w:rPr>
            </w:pPr>
            <w:r w:rsidRPr="00522CD2">
              <w:rPr>
                <w:rFonts w:cs="Arial"/>
                <w:sz w:val="20"/>
                <w:szCs w:val="20"/>
              </w:rPr>
              <w:t>Follow up: up to 3 years</w:t>
            </w:r>
          </w:p>
        </w:tc>
        <w:tc>
          <w:tcPr>
            <w:tcW w:w="709" w:type="dxa"/>
            <w:tcBorders>
              <w:top w:val="single" w:sz="4" w:space="0" w:color="000000"/>
              <w:left w:val="nil"/>
              <w:bottom w:val="single" w:sz="4" w:space="0" w:color="000000"/>
              <w:right w:val="nil"/>
            </w:tcBorders>
          </w:tcPr>
          <w:p w14:paraId="34D85F85" w14:textId="77777777" w:rsidR="00841348" w:rsidRPr="00522CD2" w:rsidRDefault="00841348" w:rsidP="00386B2B">
            <w:pPr>
              <w:spacing w:line="276" w:lineRule="auto"/>
              <w:jc w:val="center"/>
              <w:rPr>
                <w:rFonts w:cs="Arial"/>
                <w:sz w:val="20"/>
                <w:szCs w:val="20"/>
              </w:rPr>
            </w:pPr>
            <w:r w:rsidRPr="00522CD2">
              <w:rPr>
                <w:rFonts w:cs="Arial"/>
                <w:sz w:val="20"/>
                <w:szCs w:val="20"/>
              </w:rPr>
              <w:t>26</w:t>
            </w:r>
          </w:p>
        </w:tc>
        <w:tc>
          <w:tcPr>
            <w:tcW w:w="3120" w:type="dxa"/>
            <w:tcBorders>
              <w:top w:val="single" w:sz="4" w:space="0" w:color="000000"/>
              <w:left w:val="nil"/>
              <w:bottom w:val="single" w:sz="4" w:space="0" w:color="000000"/>
              <w:right w:val="nil"/>
            </w:tcBorders>
          </w:tcPr>
          <w:p w14:paraId="6BD53400"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Medication</w:t>
            </w:r>
          </w:p>
        </w:tc>
        <w:tc>
          <w:tcPr>
            <w:tcW w:w="6066" w:type="dxa"/>
            <w:tcBorders>
              <w:top w:val="single" w:sz="4" w:space="0" w:color="000000"/>
              <w:left w:val="nil"/>
              <w:bottom w:val="single" w:sz="4" w:space="0" w:color="000000"/>
              <w:right w:val="nil"/>
            </w:tcBorders>
            <w:shd w:val="clear" w:color="auto" w:fill="auto"/>
          </w:tcPr>
          <w:p w14:paraId="6D38D72A" w14:textId="4FAADB92" w:rsidR="00841348" w:rsidRPr="00522CD2" w:rsidRDefault="003002B9"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Case study: reduction i</w:t>
            </w:r>
            <w:r w:rsidR="00841348" w:rsidRPr="00522CD2">
              <w:rPr>
                <w:rFonts w:cs="Arial"/>
                <w:sz w:val="20"/>
                <w:szCs w:val="20"/>
              </w:rPr>
              <w:t>n frequency of use of PRN medication</w:t>
            </w:r>
          </w:p>
        </w:tc>
      </w:tr>
      <w:tr w:rsidR="00841348" w:rsidRPr="00522CD2" w14:paraId="6BC87384" w14:textId="77777777" w:rsidTr="00550A44">
        <w:trPr>
          <w:trHeight w:val="601"/>
        </w:trPr>
        <w:tc>
          <w:tcPr>
            <w:tcW w:w="2486" w:type="dxa"/>
            <w:tcBorders>
              <w:top w:val="single" w:sz="4" w:space="0" w:color="000000"/>
              <w:left w:val="nil"/>
              <w:bottom w:val="single" w:sz="4" w:space="0" w:color="000000"/>
              <w:right w:val="nil"/>
            </w:tcBorders>
            <w:shd w:val="clear" w:color="auto" w:fill="auto"/>
          </w:tcPr>
          <w:p w14:paraId="6AED04AB" w14:textId="229581BB" w:rsidR="00841348" w:rsidRPr="00522CD2" w:rsidRDefault="00841348" w:rsidP="00841348">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 xml:space="preserve">Butwell (2000) </w:t>
            </w:r>
            <w:r w:rsidR="00FC3FE5"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"10.1192/bjp.176.3.260", "ISSN" : "0007-1250", "PMID" : "10755074", "abstract" : "BACKGROUND It has been argued that many patients in special hospital beds do not need to be there. In the 1990s there were initiatives to discharge women and people with learning difficulties. AIMS To test for trends in special hospital discharges and to examine annual resident cohorts. METHOD This study was from case registers and hospital records. The main measures were numbers and annual rates for referrals and beds offered; the Mental Health Act 1983 (MHA) classification of mental disorder; adjusted population rates by region; admission episodes; legal category of detention; admission source and type of offence. RESULTS The median annual number of residents was 1859 (range 1697-1910), with an 8% fall for the period. This particularly affected people in mental impairment categories. Numbers were sustained in the male mental illness groups. Discharges, mainly to other institutions, increased. There was no overall change over the 10 years in length of stay for treatment, but successive admission cohorts from 1986 did show some reduction, even with solely remand order cases excluded. CONCLUSIONS Service planners need a longitudinal perspective on service use. Trends over 10 years to both fewer admissions and more discharges have reduced the special hospital population, but despite new treatments for schizophrenia, men under mental illness classification, as well as transfer from other secure settings, have gone against this trend.", "author" : [ { "dropping-particle" : "", "family" : "Butwell", "given" : "M", "non-dropping-particle" : "", "parse-names" : false, "suffix" : "" }, { "dropping-particle" : "", "family" : "Jamieson", "given" : "E", "non-dropping-particle" : "", "parse-names" : false, "suffix" : "" }, { "dropping-particle" : "", "family" : "Leese", "given" : "M", "non-dropping-particle" : "", "parse-names" : false, "suffix" : "" }, { "dropping-particle" : "", "family" : "Taylor", "given" : "P", "non-dropping-particle" : "", "parse-names" : false, "suffix" : "" } ], "container-title" : "The British journal of psychiatry : the journal of mental science", "id" : "ITEM-1", "issue" : "3", "issued" : { "date-parts" : [ [ "2000", "3" ] ] }, "page" : "260-5", "publisher" : "The Royal College of Psychiatrists", "title" : "Trends in special (high-security) hospitals. 2: Residency and discharge episodes, 1986-1995.", "type" : "article-journal", "volume" : "176" }, "uris" : [ "http://www.mendeley.com/documents/?uuid=78e97946-86c5-3f9b-a15d-f4c7d4685386" ] } ], "mendeley" : { "formattedCitation" : "(42)", "plainTextFormattedCitation" : "(42)", "previouslyFormattedCitation" : "(42)" }, "properties" : { "noteIndex" : 0 }, "schema" : "https://github.com/citation-style-language/schema/raw/master/csl-citation.json" }</w:instrText>
            </w:r>
            <w:r w:rsidR="00FC3FE5"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(42)</w:t>
            </w:r>
            <w:r w:rsidR="00FC3FE5" w:rsidRPr="00522CD2">
              <w:rPr>
                <w:rFonts w:cs="Arial"/>
                <w:kern w:val="28"/>
                <w:sz w:val="20"/>
                <w:szCs w:val="20"/>
                <w:lang w:val="en-CA" w:eastAsia="en-GB"/>
              </w:rPr>
              <w:fldChar w:fldCharType="end"/>
            </w:r>
          </w:p>
          <w:p w14:paraId="21D91719" w14:textId="77777777" w:rsidR="00841348" w:rsidRPr="00522CD2" w:rsidRDefault="00841348" w:rsidP="00841348">
            <w:pPr>
              <w:spacing w:line="276" w:lineRule="auto"/>
              <w:rPr>
                <w:rFonts w:cs="Arial"/>
                <w:kern w:val="28"/>
                <w:sz w:val="20"/>
                <w:szCs w:val="20"/>
                <w:lang w:val="en-CA" w:eastAsia="en-GB"/>
              </w:rPr>
            </w:pPr>
            <w:r w:rsidRPr="00522CD2">
              <w:rPr>
                <w:rFonts w:cs="Arial"/>
                <w:kern w:val="28"/>
                <w:sz w:val="20"/>
                <w:szCs w:val="20"/>
                <w:lang w:val="en-CA" w:eastAsia="en-GB"/>
              </w:rPr>
              <w:t>High secure</w:t>
            </w:r>
          </w:p>
          <w:p w14:paraId="2057E10B" w14:textId="77777777" w:rsidR="00841348" w:rsidRPr="00522CD2" w:rsidRDefault="00841348" w:rsidP="00841348">
            <w:pPr>
              <w:spacing w:line="276" w:lineRule="auto"/>
              <w:rPr>
                <w:rFonts w:cs="Arial"/>
                <w:b/>
                <w:sz w:val="20"/>
                <w:szCs w:val="20"/>
              </w:rPr>
            </w:pPr>
          </w:p>
        </w:tc>
        <w:tc>
          <w:tcPr>
            <w:tcW w:w="3009" w:type="dxa"/>
            <w:tcBorders>
              <w:top w:val="single" w:sz="4" w:space="0" w:color="000000"/>
              <w:left w:val="nil"/>
              <w:bottom w:val="single" w:sz="4" w:space="0" w:color="000000"/>
              <w:right w:val="nil"/>
            </w:tcBorders>
            <w:shd w:val="clear" w:color="auto" w:fill="auto"/>
          </w:tcPr>
          <w:p w14:paraId="666116FF" w14:textId="5B8819A3" w:rsidR="00841348" w:rsidRPr="00522CD2" w:rsidRDefault="00841348" w:rsidP="00841348">
            <w:pPr>
              <w:spacing w:line="276" w:lineRule="auto"/>
              <w:rPr>
                <w:rFonts w:cs="Arial"/>
                <w:sz w:val="20"/>
                <w:szCs w:val="20"/>
              </w:rPr>
            </w:pPr>
            <w:r w:rsidRPr="00522CD2">
              <w:rPr>
                <w:rFonts w:cs="Arial"/>
                <w:sz w:val="20"/>
                <w:szCs w:val="20"/>
              </w:rPr>
              <w:t>Cohort Study</w:t>
            </w:r>
          </w:p>
          <w:p w14:paraId="35BC10B9" w14:textId="77777777" w:rsidR="00841348" w:rsidRPr="00522CD2" w:rsidRDefault="00841348" w:rsidP="00841348">
            <w:pPr>
              <w:spacing w:line="276" w:lineRule="auto"/>
              <w:rPr>
                <w:rFonts w:cs="Arial"/>
                <w:b/>
                <w:sz w:val="20"/>
                <w:szCs w:val="20"/>
              </w:rPr>
            </w:pPr>
            <w:r w:rsidRPr="00522CD2">
              <w:rPr>
                <w:rFonts w:cs="Arial"/>
                <w:sz w:val="20"/>
                <w:szCs w:val="20"/>
              </w:rPr>
              <w:t>Follow up: 10 years</w:t>
            </w:r>
          </w:p>
        </w:tc>
        <w:tc>
          <w:tcPr>
            <w:tcW w:w="709" w:type="dxa"/>
            <w:tcBorders>
              <w:top w:val="single" w:sz="4" w:space="0" w:color="000000"/>
              <w:left w:val="nil"/>
              <w:bottom w:val="single" w:sz="4" w:space="0" w:color="000000"/>
              <w:right w:val="nil"/>
            </w:tcBorders>
          </w:tcPr>
          <w:p w14:paraId="0ADA6C1E" w14:textId="77777777" w:rsidR="00841348" w:rsidRPr="00522CD2" w:rsidRDefault="00841348" w:rsidP="00386B2B">
            <w:pPr>
              <w:spacing w:line="276" w:lineRule="auto"/>
              <w:jc w:val="center"/>
              <w:rPr>
                <w:rFonts w:cs="Arial"/>
                <w:sz w:val="20"/>
                <w:szCs w:val="20"/>
              </w:rPr>
            </w:pPr>
            <w:r w:rsidRPr="00522CD2">
              <w:rPr>
                <w:rFonts w:cs="Arial"/>
                <w:sz w:val="20"/>
                <w:szCs w:val="20"/>
              </w:rPr>
              <w:t>Up to 278</w:t>
            </w:r>
          </w:p>
        </w:tc>
        <w:tc>
          <w:tcPr>
            <w:tcW w:w="3120" w:type="dxa"/>
            <w:tcBorders>
              <w:top w:val="single" w:sz="4" w:space="0" w:color="000000"/>
              <w:left w:val="nil"/>
              <w:bottom w:val="single" w:sz="4" w:space="0" w:color="000000"/>
              <w:right w:val="nil"/>
            </w:tcBorders>
          </w:tcPr>
          <w:p w14:paraId="78726561"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Death</w:t>
            </w:r>
          </w:p>
        </w:tc>
        <w:tc>
          <w:tcPr>
            <w:tcW w:w="6066" w:type="dxa"/>
            <w:tcBorders>
              <w:top w:val="single" w:sz="4" w:space="0" w:color="000000"/>
              <w:left w:val="nil"/>
              <w:bottom w:val="single" w:sz="4" w:space="0" w:color="000000"/>
              <w:right w:val="nil"/>
            </w:tcBorders>
            <w:shd w:val="clear" w:color="auto" w:fill="auto"/>
          </w:tcPr>
          <w:p w14:paraId="57A83A11"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Frequency of episodes (n and % of all patients)</w:t>
            </w:r>
          </w:p>
        </w:tc>
      </w:tr>
      <w:tr w:rsidR="00841348" w:rsidRPr="00522CD2" w14:paraId="7AD93FB3" w14:textId="77777777" w:rsidTr="00550A44">
        <w:trPr>
          <w:trHeight w:val="694"/>
        </w:trPr>
        <w:tc>
          <w:tcPr>
            <w:tcW w:w="2486" w:type="dxa"/>
            <w:tcBorders>
              <w:top w:val="single" w:sz="4" w:space="0" w:color="000000"/>
              <w:left w:val="nil"/>
              <w:bottom w:val="single" w:sz="4" w:space="0" w:color="000000"/>
              <w:right w:val="nil"/>
            </w:tcBorders>
            <w:shd w:val="clear" w:color="auto" w:fill="auto"/>
          </w:tcPr>
          <w:p w14:paraId="04048AE3" w14:textId="77777777" w:rsidR="00841348" w:rsidRPr="00522CD2" w:rsidRDefault="00841348" w:rsidP="00841348">
            <w:pPr>
              <w:spacing w:line="276" w:lineRule="auto"/>
              <w:rPr>
                <w:rFonts w:cs="Arial"/>
                <w:color w:val="222222"/>
                <w:sz w:val="20"/>
                <w:szCs w:val="20"/>
                <w:lang w:eastAsia="en-GB"/>
              </w:rPr>
            </w:pPr>
            <w:r w:rsidRPr="00522CD2">
              <w:rPr>
                <w:rFonts w:cs="Arial"/>
                <w:color w:val="222222"/>
                <w:sz w:val="20"/>
                <w:szCs w:val="20"/>
                <w:lang w:eastAsia="en-GB"/>
              </w:rPr>
              <w:t>Morrissey &amp; Taylor</w:t>
            </w:r>
          </w:p>
          <w:p w14:paraId="3D50EABA" w14:textId="3DFD7DDF" w:rsidR="00841348" w:rsidRPr="00522CD2" w:rsidRDefault="00841348" w:rsidP="00841348">
            <w:pPr>
              <w:spacing w:line="276" w:lineRule="auto"/>
              <w:rPr>
                <w:rFonts w:cs="Arial"/>
                <w:color w:val="222222"/>
                <w:sz w:val="20"/>
                <w:szCs w:val="20"/>
                <w:lang w:eastAsia="en-GB"/>
              </w:rPr>
            </w:pPr>
            <w:r w:rsidRPr="00522CD2">
              <w:rPr>
                <w:rFonts w:cs="Arial"/>
                <w:color w:val="222222"/>
                <w:sz w:val="20"/>
                <w:szCs w:val="20"/>
                <w:lang w:eastAsia="en-GB"/>
              </w:rPr>
              <w:t xml:space="preserve">(2014a) </w:t>
            </w:r>
            <w:r w:rsidR="00FC3FE5" w:rsidRPr="00522CD2">
              <w:rPr>
                <w:rFonts w:cs="Arial"/>
                <w:color w:val="222222"/>
                <w:sz w:val="20"/>
                <w:szCs w:val="20"/>
                <w:lang w:eastAsia="en-GB"/>
              </w:rPr>
              <w:fldChar w:fldCharType="begin" w:fldLock="1"/>
            </w:r>
            <w:r w:rsidR="00E353A8" w:rsidRPr="00522CD2">
              <w:rPr>
                <w:rFonts w:cs="Arial"/>
                <w:color w:val="222222"/>
                <w:sz w:val="20"/>
                <w:szCs w:val="20"/>
                <w:lang w:eastAsia="en-GB"/>
              </w:rPr>
              <w:instrText>ADDIN CSL_CITATION { "citationItems" : [ { "id" : "ITEM-1", "itemData" : { "DOI" : "10.1080/19315864.2014.930548", "ISBN" : "1931-5864", "ISSN" : "19315864 (ISSN)", "abstract" : "Therapeutic community treatment models have not previously been applied to forensic patients with mild intellectual disabilities (IDs) with a comorbid diagnosis of personality disorder. Thirteen patients with mild IDs were allocated to a unit within a high secure psychiatric service operating a model of treatment based on the principles and practices of therapeutic communities. After 2 years, 9 patients remained in treatment. Self-rated personality disorder traits, maladaptive schema relating to personality disorder, and clinician-rated psychopathy were measured at start of treatment and after 2 years. Seclusion hours were measured for 6 months before treatment and during the 2 years of treatment. There were significant reductions in antisocial, schizoid and paranoid traits, and in schemas relating to entitlement, defectiveness, emotional inhibition, and vulnerability. There were no changes in ratings of psychopathic traits. Mean seclusion hours had reduced by over 90% in the latter 6 months of treatment compared with the 6 months before treatment. The results provide encouraging support for a therapeutic community approach for some individuals with mild IDs and personality disorder diagnoses and are discussed in the light of the severe pathology of the patients undergoing treatment. Therapeutic community approaches are nevertheless consistent with the move toward greater patient involvement in services and treatment. \u00a9 2014 Taylor &amp; Francis Group, LLC.", "author" : [ { "dropping-particle" : "", "family" : "C.", "given" : "Morrissey", "non-dropping-particle" : "", "parse-names" : false, "suffix" : "" }, { "dropping-particle" : "", "family" : "J.", "given" : "Taylor", "non-dropping-particle" : "", "parse-names" : false, "suffix" : "" } ], "container-title" : "Journal of Mental Health Research in Intellectual Disabilities", "id" : "ITEM-1", "issue" : "4", "issued" : { "date-parts" : [ [ "2014" ] ] }, "page" : "323-336", "publisher" : "Routledge", "title" : "Changes in Personality Disorder Traits Following 2 Years of Treatment in a Secure Therapeutic Community Milieu", "type" : "article-journal", "volume" : "7" }, "uris" : [ "http://www.mendeley.com/documents/?uuid=a6ba7fe1-3016-36f0-93fe-e24d2ce70617" ] } ], "mendeley" : { "formattedCitation" : "(49)", "plainTextFormattedCitation" : "(49)", "previouslyFormattedCitation" : "(49)" }, "properties" : { "noteIndex" : 0 }, "schema" : "https://github.com/citation-style-language/schema/raw/master/csl-citation.json" }</w:instrText>
            </w:r>
            <w:r w:rsidR="00FC3FE5" w:rsidRPr="00522CD2">
              <w:rPr>
                <w:rFonts w:cs="Arial"/>
                <w:color w:val="222222"/>
                <w:sz w:val="20"/>
                <w:szCs w:val="20"/>
                <w:lang w:eastAsia="en-GB"/>
              </w:rPr>
              <w:fldChar w:fldCharType="separate"/>
            </w:r>
            <w:r w:rsidR="00E353A8" w:rsidRPr="00522CD2">
              <w:rPr>
                <w:rFonts w:cs="Arial"/>
                <w:noProof/>
                <w:color w:val="222222"/>
                <w:sz w:val="20"/>
                <w:szCs w:val="20"/>
                <w:lang w:eastAsia="en-GB"/>
              </w:rPr>
              <w:t>(49)</w:t>
            </w:r>
            <w:r w:rsidR="00FC3FE5" w:rsidRPr="00522CD2">
              <w:rPr>
                <w:rFonts w:cs="Arial"/>
                <w:color w:val="222222"/>
                <w:sz w:val="20"/>
                <w:szCs w:val="20"/>
                <w:lang w:eastAsia="en-GB"/>
              </w:rPr>
              <w:fldChar w:fldCharType="end"/>
            </w:r>
          </w:p>
          <w:p w14:paraId="6449A740" w14:textId="77777777" w:rsidR="00841348" w:rsidRPr="00522CD2" w:rsidRDefault="00841348" w:rsidP="00841348">
            <w:pPr>
              <w:spacing w:line="276" w:lineRule="auto"/>
              <w:rPr>
                <w:rFonts w:cs="Arial"/>
                <w:color w:val="222222"/>
                <w:sz w:val="20"/>
                <w:szCs w:val="20"/>
                <w:lang w:eastAsia="en-GB"/>
              </w:rPr>
            </w:pPr>
            <w:r w:rsidRPr="00522CD2">
              <w:rPr>
                <w:rFonts w:cs="Arial"/>
                <w:color w:val="222222"/>
                <w:sz w:val="20"/>
                <w:szCs w:val="20"/>
                <w:lang w:eastAsia="en-GB"/>
              </w:rPr>
              <w:t>High secure</w:t>
            </w:r>
          </w:p>
          <w:p w14:paraId="78A23F9A" w14:textId="77777777" w:rsidR="00841348" w:rsidRPr="00522CD2" w:rsidRDefault="00841348" w:rsidP="00841348">
            <w:pPr>
              <w:spacing w:line="276" w:lineRule="auto"/>
              <w:rPr>
                <w:rFonts w:cs="Arial"/>
                <w:color w:val="222222"/>
                <w:sz w:val="20"/>
                <w:szCs w:val="20"/>
                <w:lang w:eastAsia="en-GB"/>
              </w:rPr>
            </w:pPr>
          </w:p>
        </w:tc>
        <w:tc>
          <w:tcPr>
            <w:tcW w:w="3009" w:type="dxa"/>
            <w:tcBorders>
              <w:top w:val="single" w:sz="4" w:space="0" w:color="000000"/>
              <w:left w:val="nil"/>
              <w:bottom w:val="single" w:sz="4" w:space="0" w:color="000000"/>
              <w:right w:val="nil"/>
            </w:tcBorders>
            <w:shd w:val="clear" w:color="auto" w:fill="auto"/>
          </w:tcPr>
          <w:p w14:paraId="036EF2BB" w14:textId="0F4C73F6" w:rsidR="00841348" w:rsidRPr="00522CD2" w:rsidRDefault="00841348" w:rsidP="00841348">
            <w:pPr>
              <w:spacing w:line="276" w:lineRule="auto"/>
              <w:rPr>
                <w:rFonts w:cs="Arial"/>
                <w:sz w:val="20"/>
                <w:szCs w:val="20"/>
              </w:rPr>
            </w:pPr>
            <w:r w:rsidRPr="00522CD2">
              <w:rPr>
                <w:rFonts w:cs="Arial"/>
                <w:sz w:val="20"/>
                <w:szCs w:val="20"/>
              </w:rPr>
              <w:t>Cohort Study</w:t>
            </w:r>
          </w:p>
          <w:p w14:paraId="5262A61B" w14:textId="77777777" w:rsidR="00841348" w:rsidRPr="00522CD2" w:rsidRDefault="00841348" w:rsidP="00841348">
            <w:pPr>
              <w:spacing w:line="276" w:lineRule="auto"/>
              <w:rPr>
                <w:rFonts w:cs="Arial"/>
                <w:sz w:val="20"/>
                <w:szCs w:val="20"/>
              </w:rPr>
            </w:pPr>
            <w:r w:rsidRPr="00522CD2">
              <w:rPr>
                <w:rFonts w:cs="Arial"/>
                <w:sz w:val="20"/>
                <w:szCs w:val="20"/>
              </w:rPr>
              <w:t>Follow up: 2 years</w:t>
            </w:r>
          </w:p>
        </w:tc>
        <w:tc>
          <w:tcPr>
            <w:tcW w:w="709" w:type="dxa"/>
            <w:tcBorders>
              <w:top w:val="single" w:sz="4" w:space="0" w:color="000000"/>
              <w:left w:val="nil"/>
              <w:bottom w:val="single" w:sz="4" w:space="0" w:color="000000"/>
              <w:right w:val="nil"/>
            </w:tcBorders>
          </w:tcPr>
          <w:p w14:paraId="2D8B4029" w14:textId="77777777" w:rsidR="00841348" w:rsidRPr="00522CD2" w:rsidRDefault="00841348" w:rsidP="00386B2B">
            <w:pPr>
              <w:spacing w:line="276" w:lineRule="auto"/>
              <w:jc w:val="center"/>
              <w:rPr>
                <w:rFonts w:cs="Arial"/>
                <w:sz w:val="20"/>
                <w:szCs w:val="20"/>
              </w:rPr>
            </w:pPr>
            <w:r w:rsidRPr="00522CD2">
              <w:rPr>
                <w:rFonts w:cs="Arial"/>
                <w:sz w:val="20"/>
                <w:szCs w:val="20"/>
              </w:rPr>
              <w:t>13</w:t>
            </w:r>
          </w:p>
        </w:tc>
        <w:tc>
          <w:tcPr>
            <w:tcW w:w="3120" w:type="dxa"/>
            <w:tcBorders>
              <w:top w:val="single" w:sz="4" w:space="0" w:color="000000"/>
              <w:left w:val="nil"/>
              <w:bottom w:val="single" w:sz="4" w:space="0" w:color="000000"/>
              <w:right w:val="nil"/>
            </w:tcBorders>
          </w:tcPr>
          <w:p w14:paraId="52294361"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Seclusion</w:t>
            </w:r>
          </w:p>
        </w:tc>
        <w:tc>
          <w:tcPr>
            <w:tcW w:w="6066" w:type="dxa"/>
            <w:tcBorders>
              <w:top w:val="single" w:sz="4" w:space="0" w:color="000000"/>
              <w:left w:val="nil"/>
              <w:bottom w:val="single" w:sz="4" w:space="0" w:color="000000"/>
              <w:right w:val="nil"/>
            </w:tcBorders>
            <w:shd w:val="clear" w:color="auto" w:fill="auto"/>
          </w:tcPr>
          <w:p w14:paraId="140ABBF4"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Hours per patient for every 6 months of treatment</w:t>
            </w:r>
          </w:p>
        </w:tc>
      </w:tr>
      <w:tr w:rsidR="00841348" w:rsidRPr="00522CD2" w14:paraId="70C54410" w14:textId="77777777" w:rsidTr="00550A44">
        <w:trPr>
          <w:trHeight w:val="1275"/>
        </w:trPr>
        <w:tc>
          <w:tcPr>
            <w:tcW w:w="2486" w:type="dxa"/>
            <w:tcBorders>
              <w:top w:val="single" w:sz="4" w:space="0" w:color="000000"/>
              <w:left w:val="nil"/>
              <w:bottom w:val="single" w:sz="4" w:space="0" w:color="000000"/>
              <w:right w:val="nil"/>
            </w:tcBorders>
            <w:shd w:val="clear" w:color="auto" w:fill="auto"/>
          </w:tcPr>
          <w:p w14:paraId="7B6DC1D7" w14:textId="03F46923" w:rsidR="00841348" w:rsidRPr="00522CD2" w:rsidRDefault="00841348" w:rsidP="00841348">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Reed et al. (2004)</w:t>
            </w:r>
            <w:r w:rsidR="00FC3FE5" w:rsidRPr="00522CD2">
              <w:rPr>
                <w:rFonts w:cs="Arial"/>
                <w:kern w:val="28"/>
                <w:sz w:val="20"/>
                <w:szCs w:val="20"/>
                <w:lang w:val="en-CA" w:eastAsia="en-GB"/>
              </w:rPr>
              <w:t xml:space="preserve"> </w:t>
            </w:r>
            <w:r w:rsidR="00FC3FE5" w:rsidRPr="00522CD2">
              <w:rPr>
                <w:rFonts w:cs="Arial"/>
                <w:kern w:val="28"/>
                <w:sz w:val="20"/>
                <w:szCs w:val="20"/>
                <w:lang w:val="en-CA" w:eastAsia="en-GB"/>
              </w:rPr>
              <w:fldChar w:fldCharType="begin" w:fldLock="1"/>
            </w:r>
            <w:r w:rsidR="00E353A8" w:rsidRPr="00522CD2">
              <w:rPr>
                <w:rFonts w:cs="Arial"/>
                <w:kern w:val="28"/>
                <w:sz w:val="20"/>
                <w:szCs w:val="20"/>
                <w:lang w:val="en-CA" w:eastAsia="en-GB"/>
              </w:rPr>
              <w:instrText>ADDIN CSL_CITATION { "citationItems" : [ { "id" : "ITEM-1", "itemData" : { "DOI" : "10.1192/bjp.185.6.499", "ISSN" : "00071250", "PMID" : "15572741", "abstract" : "Background: People with learning disability who exhibit challenging behaviour are frequently segregated from services and local teams are often reluctant to receive them back into their care. This situation is worse in those whose challenging behaviour includes a forensic history, but the difference between those labelled as challenging and those treated as offenders is not clear, and there is a lack of evidence about treatment effectiveness. Aims: To test between-group differences in aggression and treatment outcome in people with learning disability and challenging behaviour, with and without a forensic history. Method: Clinical records of 86 former in-patients (45 offenders and 41 non-offenders) of a specialist unit were compared on measures of behavioural disturbance and placement outcome. Results: People in the offenders group were significantly less likely to be aggressive to others and to use weapons, but significantly more likely to harm themselves compared with the non-offenders group. Both groups had a significant reduction in their challenging behaviour during admission, and there was no significant difference in treatment outcome. Conclusions: The negative reputation of people with learning disabilities who offend needs to be reconsidered. (PsycINFO Database Record (c) 2005 APA, all rights reserved) (journal abstract).", "author" : [ { "dropping-particle" : "", "family" : "Reed", "given" : "Suzie", "non-dropping-particle" : "", "parse-names" : false, "suffix" : "" }, { "dropping-particle" : "", "family" : "Russell", "given" : "Ailsa", "non-dropping-particle" : "", "parse-names" : false, "suffix" : "" }, { "dropping-particle" : "", "family" : "Xenitidis", "given" : "Kiriakos", "non-dropping-particle" : "", "parse-names" : false, "suffix" : "" }, { "dropping-particle" : "", "family" : "Murphy", "given" : "Declan G M", "non-dropping-particle" : "", "parse-names" : false, "suffix" : "" } ], "container-title" : "British Journal of Psychiatry", "id" : "ITEM-1", "issue" : "DEC.", "issued" : { "date-parts" : [ [ "2004", "12" ] ] }, "page" : "499-504", "title" : "People with learning disabilities in a low secure in-patient unit: Comparison of offenders and non-offenders", "type" : "article-journal", "volume" : "185" }, "uris" : [ "http://www.mendeley.com/documents/?uuid=5cc50c5a-e253-3460-b7a8-04e24e75833e" ] } ], "mendeley" : { "formattedCitation" : "(52)", "plainTextFormattedCitation" : "(52)", "previouslyFormattedCitation" : "(52)" }, "properties" : { "noteIndex" : 0 }, "schema" : "https://github.com/citation-style-language/schema/raw/master/csl-citation.json" }</w:instrText>
            </w:r>
            <w:r w:rsidR="00FC3FE5" w:rsidRPr="00522CD2">
              <w:rPr>
                <w:rFonts w:cs="Arial"/>
                <w:kern w:val="28"/>
                <w:sz w:val="20"/>
                <w:szCs w:val="20"/>
                <w:lang w:val="en-CA" w:eastAsia="en-GB"/>
              </w:rPr>
              <w:fldChar w:fldCharType="separate"/>
            </w:r>
            <w:r w:rsidR="00E353A8" w:rsidRPr="00522CD2">
              <w:rPr>
                <w:rFonts w:cs="Arial"/>
                <w:noProof/>
                <w:kern w:val="28"/>
                <w:sz w:val="20"/>
                <w:szCs w:val="20"/>
                <w:lang w:val="en-CA" w:eastAsia="en-GB"/>
              </w:rPr>
              <w:t>(52)</w:t>
            </w:r>
            <w:r w:rsidR="00FC3FE5" w:rsidRPr="00522CD2">
              <w:rPr>
                <w:rFonts w:cs="Arial"/>
                <w:kern w:val="28"/>
                <w:sz w:val="20"/>
                <w:szCs w:val="20"/>
                <w:lang w:val="en-CA" w:eastAsia="en-GB"/>
              </w:rPr>
              <w:fldChar w:fldCharType="end"/>
            </w:r>
          </w:p>
          <w:p w14:paraId="3CB25336" w14:textId="77777777" w:rsidR="00841348" w:rsidRPr="00522CD2" w:rsidRDefault="00841348" w:rsidP="00841348">
            <w:pPr>
              <w:autoSpaceDE w:val="0"/>
              <w:autoSpaceDN w:val="0"/>
              <w:adjustRightInd w:val="0"/>
              <w:spacing w:line="276" w:lineRule="auto"/>
              <w:rPr>
                <w:rFonts w:cs="Arial"/>
                <w:kern w:val="28"/>
                <w:sz w:val="20"/>
                <w:szCs w:val="20"/>
                <w:lang w:val="en-CA" w:eastAsia="en-GB"/>
              </w:rPr>
            </w:pPr>
            <w:r w:rsidRPr="00522CD2">
              <w:rPr>
                <w:rFonts w:cs="Arial"/>
                <w:kern w:val="28"/>
                <w:sz w:val="20"/>
                <w:szCs w:val="20"/>
                <w:lang w:val="en-CA" w:eastAsia="en-GB"/>
              </w:rPr>
              <w:t>Low secure</w:t>
            </w:r>
          </w:p>
        </w:tc>
        <w:tc>
          <w:tcPr>
            <w:tcW w:w="3009" w:type="dxa"/>
            <w:tcBorders>
              <w:top w:val="single" w:sz="4" w:space="0" w:color="000000"/>
              <w:left w:val="nil"/>
              <w:bottom w:val="single" w:sz="4" w:space="0" w:color="000000"/>
              <w:right w:val="nil"/>
            </w:tcBorders>
            <w:shd w:val="clear" w:color="auto" w:fill="auto"/>
          </w:tcPr>
          <w:p w14:paraId="202F0D12" w14:textId="03094D82" w:rsidR="00841348" w:rsidRPr="00522CD2" w:rsidRDefault="00841348" w:rsidP="00841348">
            <w:pPr>
              <w:spacing w:line="276" w:lineRule="auto"/>
              <w:rPr>
                <w:rFonts w:cs="Arial"/>
                <w:sz w:val="20"/>
                <w:szCs w:val="20"/>
              </w:rPr>
            </w:pPr>
            <w:r w:rsidRPr="00522CD2">
              <w:rPr>
                <w:rFonts w:cs="Arial"/>
                <w:sz w:val="20"/>
                <w:szCs w:val="20"/>
              </w:rPr>
              <w:t>Retrospective cohort study</w:t>
            </w:r>
          </w:p>
          <w:p w14:paraId="481525D5" w14:textId="77777777" w:rsidR="00841348" w:rsidRPr="00522CD2" w:rsidRDefault="00841348" w:rsidP="00841348">
            <w:pPr>
              <w:spacing w:line="276" w:lineRule="auto"/>
              <w:rPr>
                <w:rFonts w:cs="Arial"/>
                <w:sz w:val="20"/>
                <w:szCs w:val="20"/>
              </w:rPr>
            </w:pPr>
            <w:r w:rsidRPr="00522CD2">
              <w:rPr>
                <w:rFonts w:cs="Arial"/>
                <w:sz w:val="20"/>
                <w:szCs w:val="20"/>
              </w:rPr>
              <w:t>Follow up: up to 14 years</w:t>
            </w:r>
          </w:p>
        </w:tc>
        <w:tc>
          <w:tcPr>
            <w:tcW w:w="709" w:type="dxa"/>
            <w:tcBorders>
              <w:top w:val="single" w:sz="4" w:space="0" w:color="000000"/>
              <w:left w:val="nil"/>
              <w:bottom w:val="single" w:sz="4" w:space="0" w:color="000000"/>
              <w:right w:val="nil"/>
            </w:tcBorders>
          </w:tcPr>
          <w:p w14:paraId="6E59425B" w14:textId="77777777" w:rsidR="00841348" w:rsidRPr="00522CD2" w:rsidRDefault="00841348" w:rsidP="00841348">
            <w:pPr>
              <w:spacing w:line="276" w:lineRule="auto"/>
              <w:jc w:val="center"/>
              <w:rPr>
                <w:rFonts w:cs="Arial"/>
                <w:sz w:val="20"/>
                <w:szCs w:val="20"/>
              </w:rPr>
            </w:pPr>
            <w:r w:rsidRPr="00522CD2">
              <w:rPr>
                <w:rFonts w:cs="Arial"/>
                <w:sz w:val="20"/>
                <w:szCs w:val="20"/>
              </w:rPr>
              <w:t>45</w:t>
            </w:r>
          </w:p>
        </w:tc>
        <w:tc>
          <w:tcPr>
            <w:tcW w:w="3120" w:type="dxa"/>
            <w:tcBorders>
              <w:top w:val="single" w:sz="4" w:space="0" w:color="000000"/>
              <w:left w:val="nil"/>
              <w:bottom w:val="single" w:sz="4" w:space="0" w:color="000000"/>
              <w:right w:val="nil"/>
            </w:tcBorders>
          </w:tcPr>
          <w:p w14:paraId="71537F10"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Seclusion, restraint and relocation</w:t>
            </w:r>
          </w:p>
        </w:tc>
        <w:tc>
          <w:tcPr>
            <w:tcW w:w="6066" w:type="dxa"/>
            <w:tcBorders>
              <w:top w:val="single" w:sz="4" w:space="0" w:color="000000"/>
              <w:left w:val="nil"/>
              <w:bottom w:val="single" w:sz="4" w:space="0" w:color="000000"/>
              <w:right w:val="nil"/>
            </w:tcBorders>
            <w:shd w:val="clear" w:color="auto" w:fill="auto"/>
          </w:tcPr>
          <w:p w14:paraId="2B3E7922"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Episodes at baseline (weeks 6 to 10 of treatment) were compared to end of stay (last 4 weeks of treatment)</w:t>
            </w:r>
          </w:p>
          <w:p w14:paraId="16B9CB9F" w14:textId="4D35B17A"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monthly rates calculated to control for length of stay</w:t>
            </w:r>
            <w:r w:rsidR="00165F91" w:rsidRPr="00522CD2">
              <w:rPr>
                <w:rFonts w:cs="Arial"/>
                <w:sz w:val="20"/>
                <w:szCs w:val="20"/>
              </w:rPr>
              <w:t xml:space="preserve">                                </w:t>
            </w:r>
          </w:p>
        </w:tc>
      </w:tr>
      <w:tr w:rsidR="00841348" w:rsidRPr="00522CD2" w14:paraId="542320CE" w14:textId="77777777" w:rsidTr="00550A44">
        <w:tc>
          <w:tcPr>
            <w:tcW w:w="2486" w:type="dxa"/>
            <w:tcBorders>
              <w:top w:val="single" w:sz="4" w:space="0" w:color="000000"/>
              <w:left w:val="nil"/>
              <w:bottom w:val="single" w:sz="4" w:space="0" w:color="auto"/>
              <w:right w:val="nil"/>
            </w:tcBorders>
            <w:shd w:val="clear" w:color="auto" w:fill="auto"/>
          </w:tcPr>
          <w:p w14:paraId="5AD10795" w14:textId="07AADB44" w:rsidR="00841348" w:rsidRPr="00522CD2" w:rsidRDefault="00841348" w:rsidP="00841348">
            <w:pPr>
              <w:spacing w:line="276" w:lineRule="auto"/>
              <w:rPr>
                <w:rFonts w:cs="Arial"/>
                <w:sz w:val="20"/>
                <w:szCs w:val="20"/>
                <w:lang w:eastAsia="en-GB"/>
              </w:rPr>
            </w:pPr>
            <w:r w:rsidRPr="00522CD2">
              <w:rPr>
                <w:rFonts w:cs="Arial"/>
                <w:sz w:val="20"/>
                <w:szCs w:val="20"/>
                <w:lang w:eastAsia="en-GB"/>
              </w:rPr>
              <w:t xml:space="preserve">Xenitidis et al. (1999) </w:t>
            </w:r>
            <w:r w:rsidR="00FC3FE5" w:rsidRPr="00522CD2">
              <w:rPr>
                <w:rFonts w:cs="Arial"/>
                <w:sz w:val="20"/>
                <w:szCs w:val="20"/>
                <w:lang w:eastAsia="en-GB"/>
              </w:rPr>
              <w:fldChar w:fldCharType="begin" w:fldLock="1"/>
            </w:r>
            <w:r w:rsidR="00E353A8" w:rsidRPr="00522CD2">
              <w:rPr>
                <w:rFonts w:cs="Arial"/>
                <w:sz w:val="20"/>
                <w:szCs w:val="20"/>
                <w:lang w:eastAsia="en-GB"/>
              </w:rPr>
              <w:instrText>ADDIN CSL_CITATION { "citationItems" : [ { "id" : "ITEM-1", "itemData" : { "ISSN" : "0964-2633", "PMID" : "10221793", "abstract" : "Following the closure of the large mental handicap hospitals in the UK, the majority of people with intellectual disability (ID) are currently living in the community. However, people with ID who also exhibit challenging behaviour (CB) have been the most difficult-to-place group and use a large amount of service resources. A variety of service options have been proposed for the assessment and treatment of CBs, but there is little information on the effectiveness of these alternatives. The Mental Impairment Evaluation and Treatment Service (MIETS) is one of these service options and the aim of the present study is to describe and evaluate this service. The present authors studied the first 64 patients admitted to MIETS following its opening. A within-subject comparison research design was used. Demographic and clinical data were obtained from case records and the effectiveness of MIETS interventions was evaluated by comparing the number of incidents of challenging behaviour, the use of seclusion, and the place of residence before and after the MIETS intervention. Only 10 (17.5%) of the patients had been admitted from community facilities, but 48 (84.2%) of the patients were discharged to community placements (P &lt; 0.000 I1). The MIETS also significantly reduced the frequency and severity of challenging behaviours (P &lt; 0.0001). It is concluded that the MIETS is an effective treatment model for people with ID and CB, and that there is no place for therapeutic nihilism in this difficult-to-place group of patients.", "author" : [ { "dropping-particle" : "", "family" : "Xenitidis", "given" : "K I", "non-dropping-particle" : "", "parse-names" : false, "suffix" : "" }, { "dropping-particle" : "", "family" : "Henry", "given" : "J", "non-dropping-particle" : "", "parse-names" : false, "suffix" : "" }, { "dropping-particle" : "", "family" : "Russell", "given" : "A J", "non-dropping-particle" : "", "parse-names" : false, "suffix" : "" }, { "dropping-particle" : "", "family" : "Ward", "given" : "A", "non-dropping-particle" : "", "parse-names" : false, "suffix" : "" }, { "dropping-particle" : "", "family" : "Murphy", "given" : "D G", "non-dropping-particle" : "", "parse-names" : false, "suffix" : "" } ], "container-title" : "Journal of intellectual disability research : JIDR", "id" : "ITEM-1", "issued" : { "date-parts" : [ [ "1999", "4" ] ] }, "page" : "128-34", "title" : "An inpatient treatment model for adults with mild intellectual disability and challenging behaviour.", "type" : "article-journal", "volume" : "43 ( Pt 2)" }, "uris" : [ "http://www.mendeley.com/documents/?uuid=6f5a173e-1e58-3b65-8c72-a951754fa829" ] } ], "mendeley" : { "formattedCitation" : "(53)", "plainTextFormattedCitation" : "(53)", "previouslyFormattedCitation" : "(53)" }, "properties" : { "noteIndex" : 0 }, "schema" : "https://github.com/citation-style-language/schema/raw/master/csl-citation.json" }</w:instrText>
            </w:r>
            <w:r w:rsidR="00FC3FE5" w:rsidRPr="00522CD2">
              <w:rPr>
                <w:rFonts w:cs="Arial"/>
                <w:sz w:val="20"/>
                <w:szCs w:val="20"/>
                <w:lang w:eastAsia="en-GB"/>
              </w:rPr>
              <w:fldChar w:fldCharType="separate"/>
            </w:r>
            <w:r w:rsidR="00E353A8" w:rsidRPr="00522CD2">
              <w:rPr>
                <w:rFonts w:cs="Arial"/>
                <w:noProof/>
                <w:sz w:val="20"/>
                <w:szCs w:val="20"/>
                <w:lang w:eastAsia="en-GB"/>
              </w:rPr>
              <w:t>(53)</w:t>
            </w:r>
            <w:r w:rsidR="00FC3FE5" w:rsidRPr="00522CD2">
              <w:rPr>
                <w:rFonts w:cs="Arial"/>
                <w:sz w:val="20"/>
                <w:szCs w:val="20"/>
                <w:lang w:eastAsia="en-GB"/>
              </w:rPr>
              <w:fldChar w:fldCharType="end"/>
            </w:r>
          </w:p>
          <w:p w14:paraId="201CBD04" w14:textId="77777777" w:rsidR="00841348" w:rsidRPr="00522CD2" w:rsidRDefault="00841348" w:rsidP="00841348">
            <w:pPr>
              <w:spacing w:line="276" w:lineRule="auto"/>
              <w:rPr>
                <w:rFonts w:cs="Arial"/>
                <w:sz w:val="20"/>
                <w:szCs w:val="20"/>
                <w:lang w:eastAsia="en-GB"/>
              </w:rPr>
            </w:pPr>
            <w:r w:rsidRPr="00522CD2">
              <w:rPr>
                <w:rFonts w:cs="Arial"/>
                <w:sz w:val="20"/>
                <w:szCs w:val="20"/>
                <w:lang w:eastAsia="en-GB"/>
              </w:rPr>
              <w:t>Low secure</w:t>
            </w:r>
          </w:p>
        </w:tc>
        <w:tc>
          <w:tcPr>
            <w:tcW w:w="3009" w:type="dxa"/>
            <w:tcBorders>
              <w:top w:val="single" w:sz="4" w:space="0" w:color="000000"/>
              <w:left w:val="nil"/>
              <w:bottom w:val="single" w:sz="4" w:space="0" w:color="auto"/>
              <w:right w:val="nil"/>
            </w:tcBorders>
            <w:shd w:val="clear" w:color="auto" w:fill="auto"/>
          </w:tcPr>
          <w:p w14:paraId="098C0CC9" w14:textId="77777777" w:rsidR="00841348" w:rsidRPr="00522CD2" w:rsidRDefault="00841348" w:rsidP="00841348">
            <w:pPr>
              <w:spacing w:line="276" w:lineRule="auto"/>
              <w:rPr>
                <w:rFonts w:cs="Arial"/>
                <w:sz w:val="20"/>
                <w:szCs w:val="20"/>
              </w:rPr>
            </w:pPr>
            <w:r w:rsidRPr="00522CD2">
              <w:rPr>
                <w:rFonts w:cs="Arial"/>
                <w:sz w:val="20"/>
                <w:szCs w:val="20"/>
              </w:rPr>
              <w:t>Retrospective cohort study (4)</w:t>
            </w:r>
          </w:p>
          <w:p w14:paraId="5CD335B0" w14:textId="77777777" w:rsidR="00841348" w:rsidRPr="00522CD2" w:rsidRDefault="00841348" w:rsidP="00841348">
            <w:pPr>
              <w:spacing w:line="276" w:lineRule="auto"/>
              <w:rPr>
                <w:rFonts w:cs="Arial"/>
                <w:b/>
                <w:sz w:val="20"/>
                <w:szCs w:val="20"/>
              </w:rPr>
            </w:pPr>
            <w:r w:rsidRPr="00522CD2">
              <w:rPr>
                <w:rFonts w:cs="Arial"/>
                <w:sz w:val="20"/>
                <w:szCs w:val="20"/>
              </w:rPr>
              <w:t>Follow up: up to 11 years</w:t>
            </w:r>
          </w:p>
        </w:tc>
        <w:tc>
          <w:tcPr>
            <w:tcW w:w="709" w:type="dxa"/>
            <w:tcBorders>
              <w:top w:val="single" w:sz="4" w:space="0" w:color="000000"/>
              <w:left w:val="nil"/>
              <w:bottom w:val="single" w:sz="4" w:space="0" w:color="auto"/>
              <w:right w:val="nil"/>
            </w:tcBorders>
          </w:tcPr>
          <w:p w14:paraId="2DBF8365" w14:textId="77777777" w:rsidR="00841348" w:rsidRPr="00522CD2" w:rsidRDefault="00841348" w:rsidP="00841348">
            <w:pPr>
              <w:spacing w:line="276" w:lineRule="auto"/>
              <w:jc w:val="center"/>
              <w:rPr>
                <w:rFonts w:cs="Arial"/>
                <w:sz w:val="20"/>
                <w:szCs w:val="20"/>
              </w:rPr>
            </w:pPr>
            <w:r w:rsidRPr="00522CD2">
              <w:rPr>
                <w:rFonts w:cs="Arial"/>
                <w:sz w:val="20"/>
                <w:szCs w:val="20"/>
              </w:rPr>
              <w:t>64</w:t>
            </w:r>
          </w:p>
        </w:tc>
        <w:tc>
          <w:tcPr>
            <w:tcW w:w="3120" w:type="dxa"/>
            <w:tcBorders>
              <w:top w:val="single" w:sz="4" w:space="0" w:color="000000"/>
              <w:left w:val="nil"/>
              <w:bottom w:val="single" w:sz="4" w:space="0" w:color="auto"/>
              <w:right w:val="nil"/>
            </w:tcBorders>
          </w:tcPr>
          <w:p w14:paraId="27208718"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Seclusion</w:t>
            </w:r>
          </w:p>
        </w:tc>
        <w:tc>
          <w:tcPr>
            <w:tcW w:w="6066" w:type="dxa"/>
            <w:tcBorders>
              <w:top w:val="single" w:sz="4" w:space="0" w:color="000000"/>
              <w:left w:val="nil"/>
              <w:bottom w:val="single" w:sz="4" w:space="0" w:color="auto"/>
              <w:right w:val="nil"/>
            </w:tcBorders>
            <w:shd w:val="clear" w:color="auto" w:fill="auto"/>
          </w:tcPr>
          <w:p w14:paraId="25EB6F8C"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Episodes at baseline (week 6 to 10 of treatment) compared to end of stay (last 4 weeks of treatment)</w:t>
            </w:r>
          </w:p>
        </w:tc>
      </w:tr>
    </w:tbl>
    <w:tbl>
      <w:tblPr>
        <w:tblW w:w="153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2141"/>
        <w:gridCol w:w="1338"/>
        <w:gridCol w:w="3359"/>
        <w:gridCol w:w="6066"/>
      </w:tblGrid>
      <w:tr w:rsidR="00841348" w:rsidRPr="00522CD2" w14:paraId="24F0873E" w14:textId="77777777" w:rsidTr="00F54118">
        <w:trPr>
          <w:trHeight w:val="465"/>
        </w:trPr>
        <w:tc>
          <w:tcPr>
            <w:tcW w:w="15390" w:type="dxa"/>
            <w:gridSpan w:val="5"/>
            <w:tcBorders>
              <w:top w:val="single" w:sz="4" w:space="0" w:color="FFFFFF" w:themeColor="background1"/>
              <w:left w:val="nil"/>
              <w:bottom w:val="single" w:sz="4" w:space="0" w:color="FFFFFF" w:themeColor="background1"/>
              <w:right w:val="nil"/>
            </w:tcBorders>
            <w:shd w:val="clear" w:color="auto" w:fill="FFFFFF" w:themeFill="background1"/>
          </w:tcPr>
          <w:p w14:paraId="584CD77C" w14:textId="7557870E" w:rsidR="00C83A5B" w:rsidRPr="00522CD2" w:rsidRDefault="00C83A5B" w:rsidP="00841348">
            <w:pPr>
              <w:rPr>
                <w:rFonts w:cs="Arial"/>
                <w:b/>
                <w:sz w:val="20"/>
                <w:szCs w:val="20"/>
              </w:rPr>
            </w:pPr>
          </w:p>
          <w:p w14:paraId="68B6624D" w14:textId="77777777" w:rsidR="00841348" w:rsidRPr="00522CD2" w:rsidRDefault="00841348" w:rsidP="00841348">
            <w:pPr>
              <w:rPr>
                <w:rFonts w:cs="Arial"/>
                <w:b/>
                <w:sz w:val="20"/>
                <w:szCs w:val="20"/>
              </w:rPr>
            </w:pPr>
          </w:p>
          <w:p w14:paraId="7C0D4A83" w14:textId="5E351928" w:rsidR="003002B9" w:rsidRPr="00522CD2" w:rsidRDefault="003002B9" w:rsidP="00841348">
            <w:pPr>
              <w:rPr>
                <w:rFonts w:cs="Arial"/>
                <w:b/>
                <w:sz w:val="20"/>
                <w:szCs w:val="20"/>
              </w:rPr>
            </w:pPr>
          </w:p>
        </w:tc>
      </w:tr>
      <w:tr w:rsidR="00F54118" w:rsidRPr="00522CD2" w14:paraId="666BC5D6" w14:textId="77777777" w:rsidTr="00F54118">
        <w:trPr>
          <w:trHeight w:val="455"/>
        </w:trPr>
        <w:tc>
          <w:tcPr>
            <w:tcW w:w="15390" w:type="dxa"/>
            <w:gridSpan w:val="5"/>
            <w:tcBorders>
              <w:top w:val="single" w:sz="4" w:space="0" w:color="FFFFFF" w:themeColor="background1"/>
              <w:left w:val="nil"/>
              <w:bottom w:val="single" w:sz="4" w:space="0" w:color="auto"/>
              <w:right w:val="nil"/>
            </w:tcBorders>
            <w:shd w:val="clear" w:color="auto" w:fill="FFFFFF" w:themeFill="background1"/>
          </w:tcPr>
          <w:p w14:paraId="0DAFE7B6" w14:textId="77777777" w:rsidR="00F54118" w:rsidRPr="00522CD2" w:rsidRDefault="00F54118" w:rsidP="00F54118">
            <w:pPr>
              <w:rPr>
                <w:rFonts w:cs="Arial"/>
                <w:b/>
                <w:sz w:val="20"/>
                <w:szCs w:val="20"/>
              </w:rPr>
            </w:pPr>
            <w:r w:rsidRPr="00522CD2">
              <w:rPr>
                <w:rFonts w:cs="Arial"/>
                <w:b/>
                <w:sz w:val="20"/>
                <w:szCs w:val="20"/>
              </w:rPr>
              <w:t xml:space="preserve">Table 1. </w:t>
            </w:r>
          </w:p>
          <w:p w14:paraId="3C53658E" w14:textId="3058EAD1" w:rsidR="00F54118" w:rsidRPr="00522CD2" w:rsidRDefault="00F54118" w:rsidP="00F54118">
            <w:pPr>
              <w:rPr>
                <w:rFonts w:cs="Arial"/>
                <w:b/>
                <w:sz w:val="20"/>
                <w:szCs w:val="20"/>
              </w:rPr>
            </w:pPr>
            <w:r w:rsidRPr="00522CD2">
              <w:rPr>
                <w:rFonts w:cs="Arial"/>
                <w:sz w:val="20"/>
                <w:szCs w:val="20"/>
              </w:rPr>
              <w:t>Summary of studies presenting data on the outcome domain of patient</w:t>
            </w:r>
            <w:r w:rsidRPr="00522CD2">
              <w:rPr>
                <w:rFonts w:cs="Arial"/>
                <w:b/>
                <w:sz w:val="20"/>
                <w:szCs w:val="20"/>
              </w:rPr>
              <w:t xml:space="preserve"> </w:t>
            </w:r>
            <w:r w:rsidRPr="00522CD2">
              <w:rPr>
                <w:rFonts w:cs="Arial"/>
                <w:sz w:val="20"/>
                <w:szCs w:val="20"/>
              </w:rPr>
              <w:t>safety (cross-sectional studies).</w:t>
            </w:r>
          </w:p>
        </w:tc>
      </w:tr>
      <w:tr w:rsidR="00841348" w:rsidRPr="00522CD2" w14:paraId="54FCA115" w14:textId="77777777">
        <w:trPr>
          <w:trHeight w:val="340"/>
        </w:trPr>
        <w:tc>
          <w:tcPr>
            <w:tcW w:w="2486" w:type="dxa"/>
            <w:tcBorders>
              <w:top w:val="single" w:sz="4" w:space="0" w:color="auto"/>
              <w:left w:val="nil"/>
              <w:bottom w:val="single" w:sz="4" w:space="0" w:color="auto"/>
              <w:right w:val="nil"/>
            </w:tcBorders>
            <w:shd w:val="clear" w:color="auto" w:fill="FFFFFF" w:themeFill="background1"/>
            <w:vAlign w:val="center"/>
          </w:tcPr>
          <w:p w14:paraId="3A810E8B" w14:textId="77777777" w:rsidR="00841348" w:rsidRPr="00522CD2" w:rsidRDefault="00841348" w:rsidP="00841348">
            <w:pPr>
              <w:jc w:val="center"/>
              <w:rPr>
                <w:rFonts w:cs="Arial"/>
                <w:b/>
                <w:sz w:val="20"/>
                <w:szCs w:val="20"/>
              </w:rPr>
            </w:pPr>
            <w:r w:rsidRPr="00522CD2">
              <w:rPr>
                <w:rFonts w:cs="Arial"/>
                <w:b/>
                <w:sz w:val="20"/>
                <w:szCs w:val="20"/>
              </w:rPr>
              <w:t>Study and Setting</w:t>
            </w:r>
          </w:p>
        </w:tc>
        <w:tc>
          <w:tcPr>
            <w:tcW w:w="2141" w:type="dxa"/>
            <w:tcBorders>
              <w:top w:val="single" w:sz="4" w:space="0" w:color="auto"/>
              <w:left w:val="nil"/>
              <w:bottom w:val="single" w:sz="4" w:space="0" w:color="auto"/>
              <w:right w:val="nil"/>
            </w:tcBorders>
            <w:shd w:val="clear" w:color="auto" w:fill="FFFFFF" w:themeFill="background1"/>
            <w:vAlign w:val="center"/>
          </w:tcPr>
          <w:p w14:paraId="0417CD1B" w14:textId="77777777" w:rsidR="00841348" w:rsidRPr="00522CD2" w:rsidRDefault="00841348" w:rsidP="00841348">
            <w:pPr>
              <w:jc w:val="center"/>
              <w:rPr>
                <w:rFonts w:cs="Arial"/>
                <w:b/>
                <w:sz w:val="20"/>
                <w:szCs w:val="20"/>
              </w:rPr>
            </w:pPr>
            <w:r w:rsidRPr="00522CD2">
              <w:rPr>
                <w:rFonts w:cs="Arial"/>
                <w:b/>
                <w:sz w:val="20"/>
                <w:szCs w:val="20"/>
              </w:rPr>
              <w:t>Design</w:t>
            </w:r>
          </w:p>
        </w:tc>
        <w:tc>
          <w:tcPr>
            <w:tcW w:w="1338" w:type="dxa"/>
            <w:tcBorders>
              <w:top w:val="single" w:sz="4" w:space="0" w:color="auto"/>
              <w:left w:val="nil"/>
              <w:bottom w:val="single" w:sz="4" w:space="0" w:color="auto"/>
              <w:right w:val="nil"/>
            </w:tcBorders>
            <w:shd w:val="clear" w:color="auto" w:fill="FFFFFF" w:themeFill="background1"/>
            <w:vAlign w:val="center"/>
          </w:tcPr>
          <w:p w14:paraId="202439C9" w14:textId="77777777" w:rsidR="00841348" w:rsidRPr="00522CD2" w:rsidRDefault="00841348" w:rsidP="00841348">
            <w:pPr>
              <w:jc w:val="center"/>
              <w:rPr>
                <w:rFonts w:cs="Arial"/>
                <w:b/>
                <w:sz w:val="20"/>
                <w:szCs w:val="20"/>
              </w:rPr>
            </w:pPr>
            <w:r w:rsidRPr="00522CD2">
              <w:rPr>
                <w:rFonts w:cs="Arial"/>
                <w:b/>
                <w:sz w:val="20"/>
                <w:szCs w:val="20"/>
              </w:rPr>
              <w:t>N</w:t>
            </w:r>
          </w:p>
        </w:tc>
        <w:tc>
          <w:tcPr>
            <w:tcW w:w="3359" w:type="dxa"/>
            <w:tcBorders>
              <w:top w:val="single" w:sz="4" w:space="0" w:color="auto"/>
              <w:left w:val="nil"/>
              <w:bottom w:val="single" w:sz="4" w:space="0" w:color="auto"/>
              <w:right w:val="nil"/>
            </w:tcBorders>
            <w:shd w:val="clear" w:color="auto" w:fill="FFFFFF" w:themeFill="background1"/>
            <w:vAlign w:val="center"/>
          </w:tcPr>
          <w:p w14:paraId="28C9979B" w14:textId="77777777" w:rsidR="00841348" w:rsidRPr="00522CD2" w:rsidRDefault="00841348" w:rsidP="00841348">
            <w:pPr>
              <w:jc w:val="center"/>
              <w:rPr>
                <w:rFonts w:cs="Arial"/>
                <w:b/>
                <w:sz w:val="20"/>
                <w:szCs w:val="20"/>
              </w:rPr>
            </w:pPr>
            <w:r w:rsidRPr="00522CD2">
              <w:rPr>
                <w:rFonts w:cs="Arial"/>
                <w:b/>
                <w:sz w:val="20"/>
                <w:szCs w:val="20"/>
              </w:rPr>
              <w:t>Outcome Sub-Domain</w:t>
            </w:r>
          </w:p>
        </w:tc>
        <w:tc>
          <w:tcPr>
            <w:tcW w:w="6066" w:type="dxa"/>
            <w:tcBorders>
              <w:top w:val="single" w:sz="4" w:space="0" w:color="auto"/>
              <w:left w:val="nil"/>
              <w:bottom w:val="single" w:sz="4" w:space="0" w:color="auto"/>
              <w:right w:val="nil"/>
            </w:tcBorders>
            <w:shd w:val="clear" w:color="auto" w:fill="FFFFFF" w:themeFill="background1"/>
            <w:vAlign w:val="center"/>
          </w:tcPr>
          <w:p w14:paraId="58C9E901" w14:textId="77777777" w:rsidR="00841348" w:rsidRPr="00522CD2" w:rsidRDefault="00841348" w:rsidP="00841348">
            <w:pPr>
              <w:jc w:val="center"/>
              <w:rPr>
                <w:rFonts w:cs="Arial"/>
                <w:b/>
                <w:sz w:val="20"/>
                <w:szCs w:val="20"/>
              </w:rPr>
            </w:pPr>
            <w:r w:rsidRPr="00522CD2">
              <w:rPr>
                <w:rFonts w:cs="Arial"/>
                <w:b/>
                <w:sz w:val="20"/>
                <w:szCs w:val="20"/>
              </w:rPr>
              <w:t>Measure/Indicator</w:t>
            </w:r>
          </w:p>
        </w:tc>
      </w:tr>
      <w:tr w:rsidR="00841348" w:rsidRPr="00522CD2" w14:paraId="760AA3AC" w14:textId="77777777" w:rsidTr="00550A44">
        <w:tc>
          <w:tcPr>
            <w:tcW w:w="2486" w:type="dxa"/>
            <w:tcBorders>
              <w:top w:val="nil"/>
              <w:left w:val="nil"/>
              <w:bottom w:val="single" w:sz="4" w:space="0" w:color="000000"/>
              <w:right w:val="nil"/>
            </w:tcBorders>
            <w:shd w:val="clear" w:color="auto" w:fill="auto"/>
          </w:tcPr>
          <w:p w14:paraId="7ABC74AC" w14:textId="6F4D5563" w:rsidR="00841348" w:rsidRPr="00522CD2" w:rsidRDefault="00841348" w:rsidP="00841348">
            <w:pPr>
              <w:spacing w:line="276" w:lineRule="auto"/>
              <w:rPr>
                <w:rFonts w:cs="Arial"/>
                <w:sz w:val="20"/>
                <w:szCs w:val="20"/>
              </w:rPr>
            </w:pPr>
            <w:r w:rsidRPr="00522CD2">
              <w:rPr>
                <w:rFonts w:cs="Arial"/>
                <w:sz w:val="20"/>
                <w:szCs w:val="20"/>
              </w:rPr>
              <w:t>Esan et al.  (2014)</w:t>
            </w:r>
            <w:r w:rsidR="00FC3FE5" w:rsidRPr="00522CD2">
              <w:rPr>
                <w:rFonts w:cs="Arial"/>
                <w:sz w:val="20"/>
                <w:szCs w:val="20"/>
              </w:rPr>
              <w:t xml:space="preserve"> </w:t>
            </w:r>
            <w:r w:rsidR="00FC3FE5" w:rsidRPr="00522CD2">
              <w:rPr>
                <w:rFonts w:cs="Arial"/>
                <w:sz w:val="20"/>
                <w:szCs w:val="20"/>
              </w:rPr>
              <w:fldChar w:fldCharType="begin" w:fldLock="1"/>
            </w:r>
            <w:r w:rsidR="00DD386F" w:rsidRPr="00522CD2">
              <w:rPr>
                <w:rFonts w:cs="Arial"/>
                <w:sz w:val="20"/>
                <w:szCs w:val="20"/>
              </w:rPr>
              <w:instrText>ADDIN CSL_CITATION { "citationItems" : [ { "id" : "ITEM-1", "itemData" : { "DOI" : "10.1111/jar.12121", "ISSN" : "1468-3148", "PMID" : "25379816", "abstract" : "BACKGROUND To describe the characteristics of those with autism spectrum disorder (ASD) treated within a forensic intellectual disability hospital and to compare them with those without ASD. METHOD Service evaluation of a cohort of 138 patients treated over a 6-year period. RESULTS Of the 138, 42 had an ASD. Personality disorders and harmful use or dependence on drugs were significantly lower in the ASD group. The ASD group was less likely to be subject to criminal sections or restriction orders. Self-harm was significantly higher in the ASD group. There were no differences in the length of stay and direction of care pathway. CONCLUSIONS Although the ASD and non-ASD groups differ on clinical and forensic characteristics, their treatment outcomes appear similar. This suggests that the diagnostic category of ASD alone may be inadequate in predicting the treatment outcome. There is a case to identify distinct typologies within the ASD group.", "author" : [ { "dropping-particle" : "", "family" : "Esan", "given" : "Fola", "non-dropping-particle" : "", "parse-names" : false, "suffix" : "" }, { "dropping-particle" : "", "family" : "Chester", "given" : "Verity", "non-dropping-particle" : "", "parse-names" : false, "suffix" : "" }, { "dropping-particle" : "", "family" : "Gunaratna", "given" : "Ignatius J", "non-dropping-particle" : "", "parse-names" : false, "suffix" : "" }, { "dropping-particle" : "", "family" : "Hoare", "given" : "Sudeep", "non-dropping-particle" : "", "parse-names" : false, "suffix" : "" }, { "dropping-particle" : "", "family" : "Alexander", "given" : "Regi T", "non-dropping-particle" : "", "parse-names" : false, "suffix" : "" } ], "container-title" : "Journal of applied research in intellectual disabilities : JARID", "id" : "ITEM-1", "issue" : "3", "issued" : { "date-parts" : [ [ "2015", "5" ] ] }, "page" : "193-200", "title" : "The clinical, forensic and treatment outcome factors of patients with autism spectrum disorder treated in a forensic intellectual disability service.", "type" : "article-journal", "volume" : "28" }, "uris" : [ "http://www.mendeley.com/documents/?uuid=b150cee9-cded-34c2-9b48-99b5f6bab1e1" ] } ], "mendeley" : { "formattedCitation" : "(4)", "plainTextFormattedCitation" : "(4)", "previouslyFormattedCitation" : "(4)" }, "properties" : { "noteIndex" : 0 }, "schema" : "https://github.com/citation-style-language/schema/raw/master/csl-citation.json" }</w:instrText>
            </w:r>
            <w:r w:rsidR="00FC3FE5" w:rsidRPr="00522CD2">
              <w:rPr>
                <w:rFonts w:cs="Arial"/>
                <w:sz w:val="20"/>
                <w:szCs w:val="20"/>
              </w:rPr>
              <w:fldChar w:fldCharType="separate"/>
            </w:r>
            <w:r w:rsidR="002C386C" w:rsidRPr="00522CD2">
              <w:rPr>
                <w:rFonts w:cs="Arial"/>
                <w:noProof/>
                <w:sz w:val="20"/>
                <w:szCs w:val="20"/>
              </w:rPr>
              <w:t>(4)</w:t>
            </w:r>
            <w:r w:rsidR="00FC3FE5" w:rsidRPr="00522CD2">
              <w:rPr>
                <w:rFonts w:cs="Arial"/>
                <w:sz w:val="20"/>
                <w:szCs w:val="20"/>
              </w:rPr>
              <w:fldChar w:fldCharType="end"/>
            </w:r>
          </w:p>
          <w:p w14:paraId="2AD4E6B8" w14:textId="77777777" w:rsidR="00841348" w:rsidRPr="00522CD2" w:rsidRDefault="00841348" w:rsidP="00841348">
            <w:pPr>
              <w:spacing w:line="276" w:lineRule="auto"/>
              <w:rPr>
                <w:rFonts w:cs="Arial"/>
                <w:sz w:val="20"/>
                <w:szCs w:val="20"/>
              </w:rPr>
            </w:pPr>
            <w:r w:rsidRPr="00522CD2">
              <w:rPr>
                <w:rFonts w:cs="Arial"/>
                <w:sz w:val="20"/>
                <w:szCs w:val="20"/>
              </w:rPr>
              <w:t>Medium and low secure</w:t>
            </w:r>
          </w:p>
        </w:tc>
        <w:tc>
          <w:tcPr>
            <w:tcW w:w="2141" w:type="dxa"/>
            <w:tcBorders>
              <w:top w:val="nil"/>
              <w:left w:val="nil"/>
              <w:bottom w:val="single" w:sz="4" w:space="0" w:color="000000"/>
              <w:right w:val="nil"/>
            </w:tcBorders>
            <w:shd w:val="clear" w:color="auto" w:fill="auto"/>
          </w:tcPr>
          <w:p w14:paraId="44A3DA9D" w14:textId="16EF1CFE" w:rsidR="00841348" w:rsidRPr="00522CD2" w:rsidRDefault="00841348" w:rsidP="00841348">
            <w:pPr>
              <w:spacing w:line="276" w:lineRule="auto"/>
              <w:rPr>
                <w:rFonts w:cs="Arial"/>
                <w:sz w:val="20"/>
                <w:szCs w:val="20"/>
              </w:rPr>
            </w:pPr>
            <w:r w:rsidRPr="00522CD2">
              <w:rPr>
                <w:rFonts w:cs="Arial"/>
                <w:sz w:val="20"/>
                <w:szCs w:val="20"/>
              </w:rPr>
              <w:t xml:space="preserve">Cross-sectional </w:t>
            </w:r>
          </w:p>
          <w:p w14:paraId="5D069499" w14:textId="60253A73" w:rsidR="00841348" w:rsidRPr="00522CD2" w:rsidRDefault="00165F91" w:rsidP="00841348">
            <w:pPr>
              <w:spacing w:line="276" w:lineRule="auto"/>
            </w:pPr>
            <w:r w:rsidRPr="00522CD2">
              <w:rPr>
                <w:rFonts w:cs="Arial"/>
                <w:sz w:val="20"/>
                <w:szCs w:val="20"/>
              </w:rPr>
              <w:t>(ASD</w:t>
            </w:r>
            <w:r w:rsidR="00841348" w:rsidRPr="00522CD2">
              <w:rPr>
                <w:rFonts w:cs="Arial"/>
                <w:sz w:val="20"/>
                <w:szCs w:val="20"/>
              </w:rPr>
              <w:t xml:space="preserve"> vs Non-ASD)</w:t>
            </w:r>
          </w:p>
        </w:tc>
        <w:tc>
          <w:tcPr>
            <w:tcW w:w="1338" w:type="dxa"/>
            <w:tcBorders>
              <w:top w:val="nil"/>
              <w:left w:val="nil"/>
              <w:bottom w:val="single" w:sz="4" w:space="0" w:color="000000"/>
              <w:right w:val="nil"/>
            </w:tcBorders>
            <w:shd w:val="clear" w:color="auto" w:fill="auto"/>
          </w:tcPr>
          <w:p w14:paraId="607F8A12" w14:textId="77777777" w:rsidR="00841348" w:rsidRPr="00522CD2" w:rsidRDefault="00841348" w:rsidP="00841348">
            <w:pPr>
              <w:spacing w:line="276" w:lineRule="auto"/>
              <w:ind w:left="252"/>
              <w:jc w:val="center"/>
              <w:rPr>
                <w:rFonts w:cs="Arial"/>
                <w:sz w:val="20"/>
                <w:szCs w:val="20"/>
              </w:rPr>
            </w:pPr>
            <w:r w:rsidRPr="00522CD2">
              <w:rPr>
                <w:rFonts w:cs="Arial"/>
                <w:sz w:val="20"/>
                <w:szCs w:val="20"/>
              </w:rPr>
              <w:t>114</w:t>
            </w:r>
          </w:p>
        </w:tc>
        <w:tc>
          <w:tcPr>
            <w:tcW w:w="3359" w:type="dxa"/>
            <w:tcBorders>
              <w:top w:val="nil"/>
              <w:left w:val="nil"/>
              <w:bottom w:val="single" w:sz="4" w:space="0" w:color="000000"/>
              <w:right w:val="nil"/>
            </w:tcBorders>
            <w:shd w:val="clear" w:color="auto" w:fill="auto"/>
          </w:tcPr>
          <w:p w14:paraId="17E0C23D"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PRN usage</w:t>
            </w:r>
          </w:p>
          <w:p w14:paraId="24884EA4"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Restraint, seclusion and intensive observations</w:t>
            </w:r>
          </w:p>
          <w:p w14:paraId="1C3DB110" w14:textId="77777777" w:rsidR="00841348" w:rsidRPr="00522CD2" w:rsidRDefault="00841348" w:rsidP="00841348">
            <w:pPr>
              <w:spacing w:line="276" w:lineRule="auto"/>
              <w:ind w:left="252"/>
              <w:rPr>
                <w:rFonts w:cs="Arial"/>
                <w:sz w:val="20"/>
                <w:szCs w:val="20"/>
              </w:rPr>
            </w:pPr>
          </w:p>
        </w:tc>
        <w:tc>
          <w:tcPr>
            <w:tcW w:w="6066" w:type="dxa"/>
            <w:tcBorders>
              <w:top w:val="nil"/>
              <w:left w:val="nil"/>
              <w:bottom w:val="single" w:sz="4" w:space="0" w:color="000000"/>
              <w:right w:val="nil"/>
            </w:tcBorders>
            <w:shd w:val="clear" w:color="auto" w:fill="auto"/>
          </w:tcPr>
          <w:p w14:paraId="05BE713B" w14:textId="628D26C1"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Mean number of episodes (total frequency divided by total number of months of stay to provide an average monthly figure)</w:t>
            </w:r>
            <w:r w:rsidR="00F54118" w:rsidRPr="00522CD2">
              <w:rPr>
                <w:rFonts w:cs="Arial"/>
                <w:sz w:val="20"/>
                <w:szCs w:val="20"/>
              </w:rPr>
              <w:t xml:space="preserve"> </w:t>
            </w:r>
          </w:p>
        </w:tc>
      </w:tr>
      <w:tr w:rsidR="00841348" w:rsidRPr="00522CD2" w14:paraId="0AE2856F" w14:textId="77777777" w:rsidTr="00165F91">
        <w:trPr>
          <w:trHeight w:val="1666"/>
        </w:trPr>
        <w:tc>
          <w:tcPr>
            <w:tcW w:w="2486" w:type="dxa"/>
            <w:tcBorders>
              <w:top w:val="single" w:sz="4" w:space="0" w:color="000000"/>
              <w:left w:val="nil"/>
              <w:bottom w:val="single" w:sz="4" w:space="0" w:color="000000"/>
              <w:right w:val="nil"/>
            </w:tcBorders>
            <w:shd w:val="clear" w:color="auto" w:fill="auto"/>
          </w:tcPr>
          <w:p w14:paraId="1135E304" w14:textId="1523ABA6" w:rsidR="00841348" w:rsidRPr="00522CD2" w:rsidRDefault="00841348" w:rsidP="00841348">
            <w:pPr>
              <w:spacing w:line="276" w:lineRule="auto"/>
              <w:rPr>
                <w:rFonts w:cs="Arial"/>
                <w:sz w:val="20"/>
                <w:szCs w:val="20"/>
              </w:rPr>
            </w:pPr>
            <w:r w:rsidRPr="00522CD2">
              <w:rPr>
                <w:rFonts w:cs="Arial"/>
                <w:sz w:val="20"/>
                <w:szCs w:val="20"/>
              </w:rPr>
              <w:t xml:space="preserve">Mansell et al. (2010)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"10.1111/j.1468-3148.2010.00568.x", "ISBN" : "1360-2322", "ISSN" : "13602322", "abstract" : "Background As institutions for people with intellectual disabilities have been replaced with community services, health care provision has developed to provide assessment and treatment, low and medium secure units for people with challenging behaviour or mental health problems. These include both public and private sector provision. Little is known about these services. The aim of this study was to describe the characteristics of the services studied and to compare the different types of service. Methods A survey was carried out of National Health Service (NHS) and independent sector (IH) health settings providing specialist inpatient services for people with intellectual disabilities. Data were collected on setting and patient characteristics, staffing and management and care processes and outcomes. Results Services were very unevenly distributed across England. There were differences between NHS and IH settings. IH assessment and treatment units were bigger, had higher occupancy and lower staff ratio. In all three types of unit, IH units had fewer visits to patients, used more seclusion, physical restraint and had more locked areas. They had more complaints in more services from users and (for assessment and treatment units and low secure units only) from relatives. In low secure units, they had more adult protection referrals. On the other hand, IH units used fewer agency staff in assessment and treatment units (though more in medium secure units) and provided more appraisals, more visits from commissioners, more consultations with GPs and dentists and more use of whistleblowing procedures by staff. A quarter of people in NHS assessment and treatment units had finished treatment but had no plan for discharge. Conclusions Further research is required to determine the reasons for differences observed between IH and NHS units. The large number of people who have finished treatment emphasizes the importance of developing housing in the community with sufficiently skilled support. The large number of patients in low secure services raises the question whether this type of service is recreating the intellectual disability institutions which government policy intends to close.", "author" : [ { "dropping-particle" : "", "family" : "Mansell", "given" : "Jim", "non-dropping-particle" : "", "parse-names" : false, "suffix" : "" }, { "dropping-particle" : "", "family" : "Ritchie", "given" : "Fiona", "non-dropping-particle" : "", "parse-names" : false, "suffix" : "" }, { "dropping-particle" : "", "family" : "Dyer", "given" : "Ricinda", "non-dropping-particle" : "", "parse-names" : false, "suffix" : "" } ], "container-title" : "Journal of Applied Research in Intellectual Disabilities", "id" : "ITEM-1", "issue" : "6", "issued" : { "date-parts" : [ [ "2010" ] ] }, "page" : "552-559", "publisher" : "Emerald Group Publishing Limited", "title" : "Health Service Inpatient Units for People with Intellectual Disabilities and Challenging Behaviour or Mental Health Problems", "type" : "article-journal", "volume" : "23" }, "uris" : [ "http://www.mendeley.com/documents/?uuid=f76ffbb9-6148-33e0-9b49-6eff7d730360" ] } ], "mendeley" : { "formattedCitation" : "(69)", "plainTextFormattedCitation" : "(69)", "previouslyFormattedCitation" : "(69)"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(69)</w:t>
            </w:r>
            <w:r w:rsidR="00FC3FE5" w:rsidRPr="00522CD2">
              <w:rPr>
                <w:rFonts w:cs="Arial"/>
                <w:sz w:val="20"/>
                <w:szCs w:val="20"/>
              </w:rPr>
              <w:fldChar w:fldCharType="end"/>
            </w:r>
          </w:p>
          <w:p w14:paraId="5B52C8B9" w14:textId="77777777" w:rsidR="00841348" w:rsidRPr="00522CD2" w:rsidRDefault="00841348" w:rsidP="00841348">
            <w:pPr>
              <w:spacing w:line="276" w:lineRule="auto"/>
              <w:rPr>
                <w:rFonts w:cs="Arial"/>
                <w:sz w:val="20"/>
                <w:szCs w:val="20"/>
              </w:rPr>
            </w:pPr>
            <w:r w:rsidRPr="00522CD2">
              <w:rPr>
                <w:rFonts w:cs="Arial"/>
                <w:sz w:val="20"/>
                <w:szCs w:val="20"/>
              </w:rPr>
              <w:t>Medium and low secure</w:t>
            </w:r>
          </w:p>
          <w:p w14:paraId="6432DA5A" w14:textId="77777777" w:rsidR="00841348" w:rsidRPr="00522CD2" w:rsidRDefault="00841348" w:rsidP="00841348">
            <w:pPr>
              <w:spacing w:line="276" w:lineRule="auto"/>
              <w:rPr>
                <w:rFonts w:cs="Arial"/>
                <w:sz w:val="20"/>
                <w:szCs w:val="20"/>
              </w:rPr>
            </w:pPr>
          </w:p>
        </w:tc>
        <w:tc>
          <w:tcPr>
            <w:tcW w:w="2141" w:type="dxa"/>
            <w:tcBorders>
              <w:top w:val="single" w:sz="4" w:space="0" w:color="000000"/>
              <w:left w:val="nil"/>
              <w:bottom w:val="single" w:sz="4" w:space="0" w:color="000000"/>
              <w:right w:val="nil"/>
            </w:tcBorders>
            <w:shd w:val="clear" w:color="auto" w:fill="auto"/>
          </w:tcPr>
          <w:p w14:paraId="0DEF9460" w14:textId="6E37E88E" w:rsidR="00841348" w:rsidRPr="00522CD2" w:rsidRDefault="00841348" w:rsidP="00841348">
            <w:pPr>
              <w:spacing w:line="276" w:lineRule="auto"/>
              <w:rPr>
                <w:rFonts w:cs="Arial"/>
                <w:sz w:val="20"/>
                <w:szCs w:val="20"/>
              </w:rPr>
            </w:pPr>
            <w:r w:rsidRPr="00522CD2">
              <w:rPr>
                <w:rFonts w:cs="Arial"/>
                <w:sz w:val="20"/>
                <w:szCs w:val="20"/>
              </w:rPr>
              <w:t xml:space="preserve">Cross-sectional </w:t>
            </w:r>
          </w:p>
          <w:p w14:paraId="3B1BED02" w14:textId="77777777" w:rsidR="00841348" w:rsidRPr="00522CD2" w:rsidRDefault="00841348" w:rsidP="00841348">
            <w:pPr>
              <w:spacing w:line="276" w:lineRule="auto"/>
              <w:rPr>
                <w:rFonts w:cs="Arial"/>
                <w:sz w:val="20"/>
                <w:szCs w:val="20"/>
              </w:rPr>
            </w:pPr>
            <w:r w:rsidRPr="00522CD2">
              <w:rPr>
                <w:rFonts w:cs="Arial"/>
                <w:sz w:val="20"/>
                <w:szCs w:val="20"/>
              </w:rPr>
              <w:t>6 month period</w:t>
            </w:r>
          </w:p>
        </w:tc>
        <w:tc>
          <w:tcPr>
            <w:tcW w:w="1338" w:type="dxa"/>
            <w:tcBorders>
              <w:top w:val="single" w:sz="4" w:space="0" w:color="000000"/>
              <w:left w:val="nil"/>
              <w:bottom w:val="single" w:sz="4" w:space="0" w:color="000000"/>
              <w:right w:val="nil"/>
            </w:tcBorders>
            <w:shd w:val="clear" w:color="auto" w:fill="auto"/>
          </w:tcPr>
          <w:p w14:paraId="3960402A" w14:textId="77777777" w:rsidR="00841348" w:rsidRPr="00522CD2" w:rsidRDefault="00841348" w:rsidP="00841348">
            <w:pPr>
              <w:spacing w:line="276" w:lineRule="auto"/>
              <w:ind w:left="252"/>
              <w:jc w:val="center"/>
              <w:rPr>
                <w:rFonts w:cs="Arial"/>
                <w:sz w:val="20"/>
                <w:szCs w:val="20"/>
              </w:rPr>
            </w:pPr>
            <w:r w:rsidRPr="00522CD2">
              <w:rPr>
                <w:rFonts w:cs="Arial"/>
                <w:sz w:val="20"/>
                <w:szCs w:val="20"/>
              </w:rPr>
              <w:t>1,891</w:t>
            </w:r>
          </w:p>
        </w:tc>
        <w:tc>
          <w:tcPr>
            <w:tcW w:w="3359" w:type="dxa"/>
            <w:tcBorders>
              <w:top w:val="single" w:sz="4" w:space="0" w:color="000000"/>
              <w:left w:val="nil"/>
              <w:bottom w:val="single" w:sz="4" w:space="0" w:color="000000"/>
              <w:right w:val="nil"/>
            </w:tcBorders>
            <w:shd w:val="clear" w:color="auto" w:fill="auto"/>
          </w:tcPr>
          <w:p w14:paraId="3C8A6E50"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PRN usage</w:t>
            </w:r>
          </w:p>
          <w:p w14:paraId="25B6D1D9"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Seclusion, restraint, locked areas</w:t>
            </w:r>
          </w:p>
          <w:p w14:paraId="719D430D"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Access to health care</w:t>
            </w:r>
          </w:p>
        </w:tc>
        <w:tc>
          <w:tcPr>
            <w:tcW w:w="6066" w:type="dxa"/>
            <w:tcBorders>
              <w:top w:val="single" w:sz="4" w:space="0" w:color="000000"/>
              <w:left w:val="nil"/>
              <w:bottom w:val="single" w:sz="4" w:space="0" w:color="000000"/>
              <w:right w:val="nil"/>
            </w:tcBorders>
            <w:shd w:val="clear" w:color="auto" w:fill="auto"/>
          </w:tcPr>
          <w:p w14:paraId="39224608" w14:textId="6C2F02D9" w:rsidR="00841348" w:rsidRPr="00522CD2" w:rsidRDefault="00841348" w:rsidP="0054051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250"/>
              </w:tabs>
              <w:spacing w:line="276" w:lineRule="auto"/>
              <w:ind w:left="250" w:hanging="240"/>
              <w:rPr>
                <w:rFonts w:cs="Arial"/>
                <w:sz w:val="20"/>
                <w:szCs w:val="20"/>
              </w:rPr>
            </w:pPr>
            <w:r w:rsidRPr="00522CD2">
              <w:rPr>
                <w:rFonts w:cs="Arial"/>
                <w:sz w:val="20"/>
                <w:szCs w:val="20"/>
              </w:rPr>
              <w:t>Average number of episodes</w:t>
            </w:r>
          </w:p>
          <w:p w14:paraId="64DCEE83" w14:textId="7C588D3B" w:rsidR="00841348" w:rsidRPr="00522CD2" w:rsidRDefault="00841348" w:rsidP="00165F9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250"/>
              </w:tabs>
              <w:spacing w:line="276" w:lineRule="auto"/>
              <w:ind w:left="250" w:hanging="240"/>
              <w:rPr>
                <w:rFonts w:cs="Arial"/>
                <w:sz w:val="20"/>
                <w:szCs w:val="20"/>
              </w:rPr>
            </w:pPr>
            <w:r w:rsidRPr="00522CD2">
              <w:rPr>
                <w:rFonts w:cs="Arial"/>
                <w:sz w:val="20"/>
                <w:szCs w:val="20"/>
              </w:rPr>
              <w:t>Average number of episodes</w:t>
            </w:r>
          </w:p>
          <w:p w14:paraId="27D754F2" w14:textId="5C14B7EB" w:rsidR="00841348" w:rsidRPr="00522CD2" w:rsidRDefault="00841348" w:rsidP="00386B2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250"/>
              </w:tabs>
              <w:spacing w:line="276" w:lineRule="auto"/>
              <w:ind w:left="250" w:hanging="240"/>
              <w:rPr>
                <w:rFonts w:cs="Arial"/>
                <w:sz w:val="20"/>
                <w:szCs w:val="20"/>
              </w:rPr>
            </w:pPr>
            <w:r w:rsidRPr="00522CD2">
              <w:rPr>
                <w:rFonts w:cs="Arial"/>
                <w:sz w:val="20"/>
                <w:szCs w:val="20"/>
              </w:rPr>
              <w:t>% of units who reported a delay in patients accessing primary (nurse/dentist) health care</w:t>
            </w:r>
          </w:p>
        </w:tc>
      </w:tr>
      <w:tr w:rsidR="00841348" w:rsidRPr="00522CD2" w14:paraId="047B23C6" w14:textId="77777777" w:rsidTr="00550A44">
        <w:trPr>
          <w:trHeight w:val="830"/>
        </w:trPr>
        <w:tc>
          <w:tcPr>
            <w:tcW w:w="2486" w:type="dxa"/>
            <w:tcBorders>
              <w:top w:val="single" w:sz="4" w:space="0" w:color="000000"/>
              <w:left w:val="nil"/>
              <w:bottom w:val="single" w:sz="4" w:space="0" w:color="auto"/>
              <w:right w:val="nil"/>
            </w:tcBorders>
            <w:shd w:val="clear" w:color="auto" w:fill="auto"/>
          </w:tcPr>
          <w:p w14:paraId="2F25ABAC" w14:textId="776E45D3" w:rsidR="00841348" w:rsidRPr="00522CD2" w:rsidRDefault="00841348" w:rsidP="00841348">
            <w:pPr>
              <w:spacing w:line="276" w:lineRule="auto"/>
              <w:rPr>
                <w:rFonts w:cs="Arial"/>
                <w:sz w:val="20"/>
                <w:szCs w:val="20"/>
                <w:lang w:eastAsia="en-GB"/>
              </w:rPr>
            </w:pPr>
            <w:r w:rsidRPr="00522CD2">
              <w:rPr>
                <w:rFonts w:cs="Arial"/>
                <w:sz w:val="20"/>
                <w:szCs w:val="20"/>
                <w:lang w:eastAsia="en-GB"/>
              </w:rPr>
              <w:t>Mason (1996)</w:t>
            </w:r>
            <w:r w:rsidR="00FC3FE5" w:rsidRPr="00522CD2">
              <w:rPr>
                <w:rFonts w:cs="Arial"/>
                <w:sz w:val="20"/>
                <w:szCs w:val="20"/>
                <w:lang w:eastAsia="en-GB"/>
              </w:rPr>
              <w:t xml:space="preserve"> </w:t>
            </w:r>
            <w:r w:rsidR="00FC3FE5" w:rsidRPr="00522CD2">
              <w:rPr>
                <w:rFonts w:cs="Arial"/>
                <w:sz w:val="20"/>
                <w:szCs w:val="20"/>
                <w:lang w:eastAsia="en-GB"/>
              </w:rPr>
              <w:fldChar w:fldCharType="begin" w:fldLock="1"/>
            </w:r>
            <w:r w:rsidR="00E353A8" w:rsidRPr="00522CD2">
              <w:rPr>
                <w:rFonts w:cs="Arial"/>
                <w:sz w:val="20"/>
                <w:szCs w:val="20"/>
                <w:lang w:eastAsia="en-GB"/>
              </w:rPr>
              <w:instrText>ADDIN CSL_CITATION { "citationItems" : [ { "id" : "ITEM-1", "itemData" : { "DOI" : "10.1179/bjdd.1996.013", "ISSN" : "0969-7950", "author" : [ { "dropping-particle" : "", "family" : "Mason", "given" : "Tom", "non-dropping-particle" : "", "parse-names" : false, "suffix" : "" } ], "container-title" : "The British Journal of Development Disabilities", "id" : "ITEM-1", "issue" : "83", "issued" : { "date-parts" : [ [ "1996" ] ] }, "page" : "149-159", "publisher" : "Routledge", "title" : "SECLUSION AND LEARNING DISABILITIES: RESEARCH AND DEDUCTION", "type" : "article-journal", "volume" : "42" }, "uris" : [ "http://www.mendeley.com/documents/?uuid=a85359d4-19e9-3ddd-9166-4799ebfccf04" ] } ], "mendeley" : { "formattedCitation" : "(75)", "plainTextFormattedCitation" : "(75)", "previouslyFormattedCitation" : "(75)" }, "properties" : { "noteIndex" : 0 }, "schema" : "https://github.com/citation-style-language/schema/raw/master/csl-citation.json" }</w:instrText>
            </w:r>
            <w:r w:rsidR="00FC3FE5" w:rsidRPr="00522CD2">
              <w:rPr>
                <w:rFonts w:cs="Arial"/>
                <w:sz w:val="20"/>
                <w:szCs w:val="20"/>
                <w:lang w:eastAsia="en-GB"/>
              </w:rPr>
              <w:fldChar w:fldCharType="separate"/>
            </w:r>
            <w:r w:rsidR="00E353A8" w:rsidRPr="00522CD2">
              <w:rPr>
                <w:rFonts w:cs="Arial"/>
                <w:noProof/>
                <w:sz w:val="20"/>
                <w:szCs w:val="20"/>
                <w:lang w:eastAsia="en-GB"/>
              </w:rPr>
              <w:t>(75)</w:t>
            </w:r>
            <w:r w:rsidR="00FC3FE5" w:rsidRPr="00522CD2">
              <w:rPr>
                <w:rFonts w:cs="Arial"/>
                <w:sz w:val="20"/>
                <w:szCs w:val="20"/>
                <w:lang w:eastAsia="en-GB"/>
              </w:rPr>
              <w:fldChar w:fldCharType="end"/>
            </w:r>
          </w:p>
          <w:p w14:paraId="5337AFBD" w14:textId="77777777" w:rsidR="00841348" w:rsidRPr="00522CD2" w:rsidRDefault="00841348" w:rsidP="00841348">
            <w:pPr>
              <w:spacing w:line="276" w:lineRule="auto"/>
              <w:rPr>
                <w:rFonts w:cs="Arial"/>
                <w:sz w:val="20"/>
                <w:szCs w:val="20"/>
                <w:lang w:eastAsia="en-GB"/>
              </w:rPr>
            </w:pPr>
            <w:r w:rsidRPr="00522CD2">
              <w:rPr>
                <w:rFonts w:cs="Arial"/>
                <w:sz w:val="20"/>
                <w:szCs w:val="20"/>
                <w:lang w:eastAsia="en-GB"/>
              </w:rPr>
              <w:t>High secure</w:t>
            </w:r>
          </w:p>
          <w:p w14:paraId="1A5DBFBA" w14:textId="77777777" w:rsidR="00841348" w:rsidRPr="00522CD2" w:rsidRDefault="00841348" w:rsidP="00841348">
            <w:pPr>
              <w:spacing w:line="276" w:lineRule="auto"/>
              <w:rPr>
                <w:rFonts w:cs="Arial"/>
                <w:sz w:val="20"/>
                <w:szCs w:val="20"/>
                <w:lang w:eastAsia="en-GB"/>
              </w:rPr>
            </w:pPr>
          </w:p>
        </w:tc>
        <w:tc>
          <w:tcPr>
            <w:tcW w:w="2141" w:type="dxa"/>
            <w:tcBorders>
              <w:top w:val="single" w:sz="4" w:space="0" w:color="000000"/>
              <w:left w:val="nil"/>
              <w:bottom w:val="single" w:sz="4" w:space="0" w:color="auto"/>
              <w:right w:val="nil"/>
            </w:tcBorders>
            <w:shd w:val="clear" w:color="auto" w:fill="auto"/>
          </w:tcPr>
          <w:p w14:paraId="199102C9" w14:textId="750B4D7D" w:rsidR="00841348" w:rsidRPr="00522CD2" w:rsidRDefault="00841348" w:rsidP="00841348">
            <w:pPr>
              <w:spacing w:line="276" w:lineRule="auto"/>
              <w:rPr>
                <w:rFonts w:cs="Arial"/>
                <w:sz w:val="20"/>
                <w:szCs w:val="20"/>
              </w:rPr>
            </w:pPr>
            <w:r w:rsidRPr="00522CD2">
              <w:rPr>
                <w:rFonts w:cs="Arial"/>
                <w:sz w:val="20"/>
                <w:szCs w:val="20"/>
              </w:rPr>
              <w:t xml:space="preserve">Cross-sectional </w:t>
            </w:r>
          </w:p>
          <w:p w14:paraId="6B24A60B" w14:textId="77777777" w:rsidR="00841348" w:rsidRPr="00522CD2" w:rsidRDefault="00841348" w:rsidP="00841348">
            <w:pPr>
              <w:spacing w:line="276" w:lineRule="auto"/>
              <w:rPr>
                <w:rFonts w:cs="Arial"/>
                <w:sz w:val="20"/>
                <w:szCs w:val="20"/>
              </w:rPr>
            </w:pPr>
            <w:r w:rsidRPr="00522CD2">
              <w:rPr>
                <w:rFonts w:cs="Arial"/>
                <w:sz w:val="20"/>
                <w:szCs w:val="20"/>
              </w:rPr>
              <w:t>12 month period</w:t>
            </w:r>
          </w:p>
        </w:tc>
        <w:tc>
          <w:tcPr>
            <w:tcW w:w="1338" w:type="dxa"/>
            <w:tcBorders>
              <w:top w:val="single" w:sz="4" w:space="0" w:color="000000"/>
              <w:left w:val="nil"/>
              <w:bottom w:val="single" w:sz="4" w:space="0" w:color="auto"/>
              <w:right w:val="nil"/>
            </w:tcBorders>
            <w:shd w:val="clear" w:color="auto" w:fill="auto"/>
          </w:tcPr>
          <w:p w14:paraId="7802E9B5" w14:textId="77777777" w:rsidR="00841348" w:rsidRPr="00522CD2" w:rsidRDefault="00841348" w:rsidP="00841348">
            <w:pPr>
              <w:spacing w:line="276" w:lineRule="auto"/>
              <w:ind w:left="252"/>
              <w:jc w:val="center"/>
              <w:rPr>
                <w:rFonts w:cs="Arial"/>
                <w:sz w:val="20"/>
                <w:szCs w:val="20"/>
              </w:rPr>
            </w:pPr>
            <w:r w:rsidRPr="00522CD2">
              <w:rPr>
                <w:rFonts w:cs="Arial"/>
                <w:sz w:val="20"/>
                <w:szCs w:val="20"/>
              </w:rPr>
              <w:t>36</w:t>
            </w:r>
          </w:p>
        </w:tc>
        <w:tc>
          <w:tcPr>
            <w:tcW w:w="3359" w:type="dxa"/>
            <w:tcBorders>
              <w:top w:val="single" w:sz="4" w:space="0" w:color="000000"/>
              <w:left w:val="nil"/>
              <w:bottom w:val="single" w:sz="4" w:space="0" w:color="auto"/>
              <w:right w:val="nil"/>
            </w:tcBorders>
            <w:shd w:val="clear" w:color="auto" w:fill="auto"/>
          </w:tcPr>
          <w:p w14:paraId="22CCAC62"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Seclusion </w:t>
            </w:r>
          </w:p>
          <w:p w14:paraId="20FDE72C" w14:textId="77777777" w:rsidR="00841348" w:rsidRPr="00522CD2" w:rsidRDefault="00841348" w:rsidP="00841348">
            <w:pPr>
              <w:spacing w:line="276" w:lineRule="auto"/>
              <w:rPr>
                <w:rFonts w:cs="Arial"/>
                <w:sz w:val="20"/>
                <w:szCs w:val="20"/>
              </w:rPr>
            </w:pPr>
          </w:p>
        </w:tc>
        <w:tc>
          <w:tcPr>
            <w:tcW w:w="6066" w:type="dxa"/>
            <w:tcBorders>
              <w:top w:val="single" w:sz="4" w:space="0" w:color="000000"/>
              <w:left w:val="nil"/>
              <w:bottom w:val="single" w:sz="4" w:space="0" w:color="auto"/>
              <w:right w:val="nil"/>
            </w:tcBorders>
            <w:shd w:val="clear" w:color="auto" w:fill="auto"/>
          </w:tcPr>
          <w:p w14:paraId="479A45F8" w14:textId="3539AF6D" w:rsidR="00841348" w:rsidRPr="00522CD2" w:rsidRDefault="00841348" w:rsidP="0054051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250"/>
              </w:tabs>
              <w:spacing w:line="276" w:lineRule="auto"/>
              <w:ind w:left="250" w:hanging="240"/>
              <w:rPr>
                <w:rFonts w:cs="Arial"/>
                <w:sz w:val="20"/>
                <w:szCs w:val="20"/>
              </w:rPr>
            </w:pPr>
            <w:r w:rsidRPr="00522CD2">
              <w:rPr>
                <w:rFonts w:cs="Arial"/>
                <w:sz w:val="20"/>
                <w:szCs w:val="20"/>
              </w:rPr>
              <w:t>Number of patients secluded; average number of seclusion episodes per patient/year; reason for seclusion and distress-related behaviours after seclusion</w:t>
            </w:r>
            <w:r w:rsidR="00F54118" w:rsidRPr="00522CD2">
              <w:rPr>
                <w:rFonts w:cs="Arial"/>
                <w:sz w:val="20"/>
                <w:szCs w:val="20"/>
              </w:rPr>
              <w:t xml:space="preserve">. </w:t>
            </w:r>
          </w:p>
        </w:tc>
      </w:tr>
    </w:tbl>
    <w:p w14:paraId="03180CE5" w14:textId="77777777" w:rsidR="00841348" w:rsidRPr="00522CD2" w:rsidRDefault="00841348" w:rsidP="00841348">
      <w:pPr>
        <w:rPr>
          <w:rFonts w:cs="Arial"/>
          <w:sz w:val="44"/>
          <w:szCs w:val="44"/>
        </w:rPr>
      </w:pPr>
    </w:p>
    <w:p w14:paraId="4CB355E1" w14:textId="77777777" w:rsidR="00841348" w:rsidRPr="00522CD2" w:rsidRDefault="00841348" w:rsidP="00841348">
      <w:pPr>
        <w:rPr>
          <w:rFonts w:cs="Arial"/>
          <w:b/>
          <w:sz w:val="44"/>
          <w:szCs w:val="44"/>
        </w:rPr>
      </w:pPr>
      <w:r w:rsidRPr="00522CD2">
        <w:rPr>
          <w:rFonts w:cs="Arial"/>
          <w:b/>
          <w:sz w:val="44"/>
          <w:szCs w:val="44"/>
        </w:rPr>
        <w:br w:type="page"/>
      </w:r>
    </w:p>
    <w:tbl>
      <w:tblPr>
        <w:tblpPr w:leftFromText="180" w:rightFromText="180" w:vertAnchor="text" w:horzAnchor="margin" w:tblpX="-612"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95"/>
        <w:gridCol w:w="850"/>
        <w:gridCol w:w="3827"/>
        <w:gridCol w:w="5954"/>
      </w:tblGrid>
      <w:tr w:rsidR="00841348" w:rsidRPr="00522CD2" w14:paraId="52AA120A" w14:textId="77777777">
        <w:trPr>
          <w:trHeight w:val="340"/>
        </w:trPr>
        <w:tc>
          <w:tcPr>
            <w:tcW w:w="15134" w:type="dxa"/>
            <w:gridSpan w:val="5"/>
            <w:tcBorders>
              <w:top w:val="nil"/>
              <w:left w:val="nil"/>
              <w:bottom w:val="nil"/>
              <w:right w:val="nil"/>
            </w:tcBorders>
            <w:shd w:val="clear" w:color="auto" w:fill="FFFFFF" w:themeFill="background1"/>
            <w:vAlign w:val="center"/>
          </w:tcPr>
          <w:p w14:paraId="16F2646C" w14:textId="77777777" w:rsidR="00841348" w:rsidRPr="00522CD2" w:rsidRDefault="00841348" w:rsidP="00841348">
            <w:pPr>
              <w:rPr>
                <w:rFonts w:cs="Arial"/>
                <w:b/>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 xml:space="preserve">. </w:t>
            </w:r>
          </w:p>
          <w:p w14:paraId="6C0338E1" w14:textId="77777777" w:rsidR="00841348" w:rsidRPr="00522CD2" w:rsidRDefault="00841348" w:rsidP="00841348">
            <w:pPr>
              <w:rPr>
                <w:rFonts w:cs="Arial"/>
                <w:b/>
                <w:sz w:val="20"/>
                <w:szCs w:val="20"/>
              </w:rPr>
            </w:pPr>
            <w:r w:rsidRPr="00522CD2">
              <w:rPr>
                <w:rFonts w:cs="Arial"/>
                <w:sz w:val="20"/>
                <w:szCs w:val="20"/>
              </w:rPr>
              <w:t>Summary of studies presenting data on the outcome domain of patient/carer experience (cohort studies).</w:t>
            </w:r>
          </w:p>
        </w:tc>
      </w:tr>
      <w:tr w:rsidR="00841348" w:rsidRPr="00522CD2" w14:paraId="6C8917E6" w14:textId="77777777">
        <w:trPr>
          <w:trHeight w:val="340"/>
        </w:trPr>
        <w:tc>
          <w:tcPr>
            <w:tcW w:w="2508" w:type="dxa"/>
            <w:tcBorders>
              <w:left w:val="nil"/>
              <w:bottom w:val="single" w:sz="4" w:space="0" w:color="auto"/>
              <w:right w:val="nil"/>
            </w:tcBorders>
            <w:shd w:val="clear" w:color="auto" w:fill="FFFFFF" w:themeFill="background1"/>
            <w:vAlign w:val="center"/>
          </w:tcPr>
          <w:p w14:paraId="6182DEAD" w14:textId="77777777" w:rsidR="00841348" w:rsidRPr="00522CD2" w:rsidRDefault="00841348" w:rsidP="00841348">
            <w:pPr>
              <w:jc w:val="center"/>
              <w:rPr>
                <w:rFonts w:cs="Arial"/>
                <w:b/>
                <w:sz w:val="20"/>
                <w:szCs w:val="20"/>
              </w:rPr>
            </w:pPr>
            <w:r w:rsidRPr="00522CD2">
              <w:rPr>
                <w:rFonts w:cs="Arial"/>
                <w:b/>
                <w:sz w:val="20"/>
                <w:szCs w:val="20"/>
              </w:rPr>
              <w:t>Study and Setting</w:t>
            </w:r>
          </w:p>
        </w:tc>
        <w:tc>
          <w:tcPr>
            <w:tcW w:w="1995" w:type="dxa"/>
            <w:tcBorders>
              <w:left w:val="nil"/>
              <w:bottom w:val="single" w:sz="4" w:space="0" w:color="auto"/>
              <w:right w:val="nil"/>
            </w:tcBorders>
            <w:shd w:val="clear" w:color="auto" w:fill="FFFFFF" w:themeFill="background1"/>
            <w:vAlign w:val="center"/>
          </w:tcPr>
          <w:p w14:paraId="74A572E7" w14:textId="77777777" w:rsidR="00841348" w:rsidRPr="00522CD2" w:rsidRDefault="00841348" w:rsidP="00841348">
            <w:pPr>
              <w:jc w:val="center"/>
              <w:rPr>
                <w:rFonts w:cs="Arial"/>
                <w:b/>
                <w:sz w:val="20"/>
                <w:szCs w:val="20"/>
              </w:rPr>
            </w:pPr>
            <w:r w:rsidRPr="00522CD2">
              <w:rPr>
                <w:rFonts w:cs="Arial"/>
                <w:b/>
                <w:sz w:val="20"/>
                <w:szCs w:val="20"/>
              </w:rPr>
              <w:t>Design</w:t>
            </w:r>
          </w:p>
        </w:tc>
        <w:tc>
          <w:tcPr>
            <w:tcW w:w="850" w:type="dxa"/>
            <w:tcBorders>
              <w:left w:val="nil"/>
              <w:bottom w:val="single" w:sz="4" w:space="0" w:color="auto"/>
              <w:right w:val="nil"/>
            </w:tcBorders>
            <w:shd w:val="clear" w:color="auto" w:fill="FFFFFF" w:themeFill="background1"/>
            <w:vAlign w:val="center"/>
          </w:tcPr>
          <w:p w14:paraId="0A3602E1" w14:textId="77777777" w:rsidR="00841348" w:rsidRPr="00522CD2" w:rsidRDefault="00841348" w:rsidP="00841348">
            <w:pPr>
              <w:jc w:val="center"/>
              <w:rPr>
                <w:rFonts w:cs="Arial"/>
                <w:b/>
                <w:sz w:val="20"/>
                <w:szCs w:val="20"/>
              </w:rPr>
            </w:pPr>
            <w:r w:rsidRPr="00522CD2">
              <w:rPr>
                <w:rFonts w:cs="Arial"/>
                <w:b/>
                <w:sz w:val="20"/>
                <w:szCs w:val="20"/>
              </w:rPr>
              <w:t>N</w:t>
            </w:r>
          </w:p>
        </w:tc>
        <w:tc>
          <w:tcPr>
            <w:tcW w:w="3827" w:type="dxa"/>
            <w:tcBorders>
              <w:left w:val="nil"/>
              <w:bottom w:val="single" w:sz="4" w:space="0" w:color="auto"/>
              <w:right w:val="nil"/>
            </w:tcBorders>
            <w:shd w:val="clear" w:color="auto" w:fill="FFFFFF" w:themeFill="background1"/>
            <w:vAlign w:val="center"/>
          </w:tcPr>
          <w:p w14:paraId="5519280F" w14:textId="77777777" w:rsidR="00841348" w:rsidRPr="00522CD2" w:rsidRDefault="00841348" w:rsidP="00841348">
            <w:pPr>
              <w:jc w:val="center"/>
              <w:rPr>
                <w:rFonts w:cs="Arial"/>
                <w:b/>
                <w:sz w:val="20"/>
                <w:szCs w:val="20"/>
              </w:rPr>
            </w:pPr>
            <w:r w:rsidRPr="00522CD2">
              <w:rPr>
                <w:rFonts w:cs="Arial"/>
                <w:b/>
                <w:sz w:val="20"/>
                <w:szCs w:val="20"/>
              </w:rPr>
              <w:t>Outcome Sub-Domain</w:t>
            </w:r>
          </w:p>
        </w:tc>
        <w:tc>
          <w:tcPr>
            <w:tcW w:w="5954" w:type="dxa"/>
            <w:tcBorders>
              <w:left w:val="nil"/>
              <w:bottom w:val="single" w:sz="4" w:space="0" w:color="auto"/>
              <w:right w:val="nil"/>
            </w:tcBorders>
            <w:shd w:val="clear" w:color="auto" w:fill="FFFFFF" w:themeFill="background1"/>
            <w:vAlign w:val="center"/>
          </w:tcPr>
          <w:p w14:paraId="4122BBBD" w14:textId="77777777" w:rsidR="00841348" w:rsidRPr="00522CD2" w:rsidRDefault="00841348" w:rsidP="00841348">
            <w:pPr>
              <w:jc w:val="center"/>
              <w:rPr>
                <w:rFonts w:cs="Arial"/>
                <w:b/>
                <w:sz w:val="20"/>
                <w:szCs w:val="20"/>
              </w:rPr>
            </w:pPr>
            <w:r w:rsidRPr="00522CD2">
              <w:rPr>
                <w:rFonts w:cs="Arial"/>
                <w:b/>
                <w:sz w:val="20"/>
                <w:szCs w:val="20"/>
              </w:rPr>
              <w:t>Measure/Indicator</w:t>
            </w:r>
          </w:p>
        </w:tc>
      </w:tr>
      <w:tr w:rsidR="00841348" w:rsidRPr="00522CD2" w14:paraId="40D384F2" w14:textId="77777777" w:rsidTr="00550A44">
        <w:tc>
          <w:tcPr>
            <w:tcW w:w="2508" w:type="dxa"/>
            <w:tcBorders>
              <w:top w:val="single" w:sz="4" w:space="0" w:color="auto"/>
              <w:left w:val="nil"/>
              <w:bottom w:val="single" w:sz="4" w:space="0" w:color="000000"/>
              <w:right w:val="nil"/>
            </w:tcBorders>
            <w:shd w:val="clear" w:color="auto" w:fill="auto"/>
          </w:tcPr>
          <w:p w14:paraId="6266D561" w14:textId="2E04D6C1" w:rsidR="00841348" w:rsidRPr="00522CD2" w:rsidRDefault="00841348" w:rsidP="00841348">
            <w:pPr>
              <w:spacing w:line="276" w:lineRule="auto"/>
              <w:rPr>
                <w:rFonts w:cs="Arial"/>
                <w:sz w:val="20"/>
                <w:szCs w:val="20"/>
              </w:rPr>
            </w:pPr>
            <w:r w:rsidRPr="00522CD2">
              <w:rPr>
                <w:rFonts w:cs="Arial"/>
                <w:sz w:val="20"/>
                <w:szCs w:val="20"/>
              </w:rPr>
              <w:t>Fish &amp; Lobley (2001)</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"10.1177/146900470100500201", "ISSN" : "1744-6295", "author" : [ { "dropping-particle" : "", "family" : "Fish", "given" : "R.", "non-dropping-particle" : "", "parse-names" : false, "suffix" : "" }, { "dropping-particle" : "", "family" : "Lobley", "given" : "J.", "non-dropping-particle" : "", "parse-names" : false, "suffix" : "" } ], "container-title" : "Journal of Intellectual Disabilities", "id" : "ITEM-1", "issue" : "2", "issued" : { "date-parts" : [ [ "2001", "6", "1" ] ] }, "page" : "97-109", "publisher" : "SAGE Publications", "title" : "Evaluating a Forensic Service for People with Learning Disabilities: Comparing Approaches", "type" : "article-journal", "volume" : "5" }, "uris" : [ "http://www.mendeley.com/documents/?uuid=49519b6c-59e6-3aff-b94a-a576b39ef877" ] } ], "mendeley" : { "formattedCitation" : "(76)", "plainTextFormattedCitation" : "(76)", "previouslyFormattedCitation" : "(76)"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(76)</w:t>
            </w:r>
            <w:r w:rsidR="00FC3FE5" w:rsidRPr="00522CD2">
              <w:rPr>
                <w:rFonts w:cs="Arial"/>
                <w:sz w:val="20"/>
                <w:szCs w:val="20"/>
              </w:rPr>
              <w:fldChar w:fldCharType="end"/>
            </w:r>
          </w:p>
          <w:p w14:paraId="1E14C9C6" w14:textId="77777777" w:rsidR="00841348" w:rsidRPr="00522CD2" w:rsidRDefault="00841348" w:rsidP="00841348">
            <w:pPr>
              <w:spacing w:line="276" w:lineRule="auto"/>
              <w:rPr>
                <w:rFonts w:cs="Arial"/>
                <w:sz w:val="20"/>
                <w:szCs w:val="20"/>
              </w:rPr>
            </w:pPr>
            <w:r w:rsidRPr="00522CD2">
              <w:rPr>
                <w:rFonts w:cs="Arial"/>
                <w:sz w:val="20"/>
                <w:szCs w:val="20"/>
              </w:rPr>
              <w:t>Community</w:t>
            </w:r>
          </w:p>
          <w:p w14:paraId="1E8D7B1C" w14:textId="77777777" w:rsidR="00841348" w:rsidRPr="00522CD2" w:rsidRDefault="00841348" w:rsidP="00841348">
            <w:pPr>
              <w:spacing w:line="276" w:lineRule="auto"/>
              <w:rPr>
                <w:rFonts w:cs="Arial"/>
                <w:sz w:val="20"/>
                <w:szCs w:val="20"/>
              </w:rPr>
            </w:pPr>
          </w:p>
        </w:tc>
        <w:tc>
          <w:tcPr>
            <w:tcW w:w="1995" w:type="dxa"/>
            <w:tcBorders>
              <w:top w:val="single" w:sz="4" w:space="0" w:color="auto"/>
              <w:left w:val="nil"/>
              <w:bottom w:val="single" w:sz="4" w:space="0" w:color="000000"/>
              <w:right w:val="nil"/>
            </w:tcBorders>
          </w:tcPr>
          <w:p w14:paraId="34B8B445" w14:textId="77777777" w:rsidR="00841348" w:rsidRPr="00522CD2" w:rsidRDefault="00841348" w:rsidP="00841348">
            <w:pPr>
              <w:spacing w:line="276" w:lineRule="auto"/>
              <w:rPr>
                <w:rFonts w:cs="Arial"/>
                <w:sz w:val="20"/>
                <w:szCs w:val="20"/>
              </w:rPr>
            </w:pPr>
            <w:r w:rsidRPr="00522CD2">
              <w:rPr>
                <w:rFonts w:cs="Arial"/>
                <w:sz w:val="20"/>
                <w:szCs w:val="20"/>
              </w:rPr>
              <w:t>Cohort Study (4)</w:t>
            </w:r>
          </w:p>
          <w:p w14:paraId="2CE87F67" w14:textId="77777777" w:rsidR="00841348" w:rsidRPr="00522CD2" w:rsidRDefault="00841348" w:rsidP="00841348">
            <w:pPr>
              <w:spacing w:line="276" w:lineRule="auto"/>
              <w:rPr>
                <w:rFonts w:cs="Arial"/>
                <w:sz w:val="20"/>
                <w:szCs w:val="20"/>
              </w:rPr>
            </w:pPr>
            <w:r w:rsidRPr="00522CD2">
              <w:rPr>
                <w:rFonts w:cs="Arial"/>
                <w:sz w:val="20"/>
                <w:szCs w:val="20"/>
              </w:rPr>
              <w:t>Follow up: 1 year</w:t>
            </w:r>
          </w:p>
        </w:tc>
        <w:tc>
          <w:tcPr>
            <w:tcW w:w="850" w:type="dxa"/>
            <w:tcBorders>
              <w:top w:val="single" w:sz="4" w:space="0" w:color="auto"/>
              <w:left w:val="nil"/>
              <w:bottom w:val="single" w:sz="4" w:space="0" w:color="000000"/>
              <w:right w:val="nil"/>
            </w:tcBorders>
          </w:tcPr>
          <w:p w14:paraId="6E6C5F11" w14:textId="77777777" w:rsidR="00841348" w:rsidRPr="00522CD2" w:rsidRDefault="00841348" w:rsidP="00841348">
            <w:pPr>
              <w:spacing w:line="276" w:lineRule="auto"/>
              <w:jc w:val="center"/>
              <w:rPr>
                <w:rFonts w:cs="Arial"/>
                <w:sz w:val="20"/>
                <w:szCs w:val="20"/>
              </w:rPr>
            </w:pPr>
            <w:r w:rsidRPr="00522CD2">
              <w:rPr>
                <w:rFonts w:cs="Arial"/>
                <w:sz w:val="20"/>
                <w:szCs w:val="20"/>
              </w:rPr>
              <w:t>20</w:t>
            </w:r>
          </w:p>
        </w:tc>
        <w:tc>
          <w:tcPr>
            <w:tcW w:w="3827" w:type="dxa"/>
            <w:tcBorders>
              <w:top w:val="single" w:sz="4" w:space="0" w:color="auto"/>
              <w:left w:val="nil"/>
              <w:bottom w:val="single" w:sz="4" w:space="0" w:color="000000"/>
              <w:right w:val="nil"/>
            </w:tcBorders>
            <w:shd w:val="clear" w:color="auto" w:fill="auto"/>
          </w:tcPr>
          <w:p w14:paraId="4E880869"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Quality of life</w:t>
            </w:r>
          </w:p>
        </w:tc>
        <w:tc>
          <w:tcPr>
            <w:tcW w:w="5954" w:type="dxa"/>
            <w:tcBorders>
              <w:top w:val="single" w:sz="4" w:space="0" w:color="auto"/>
              <w:left w:val="nil"/>
              <w:bottom w:val="single" w:sz="4" w:space="0" w:color="000000"/>
              <w:right w:val="nil"/>
            </w:tcBorders>
            <w:shd w:val="clear" w:color="auto" w:fill="auto"/>
          </w:tcPr>
          <w:p w14:paraId="53B77A16"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QoLS: change from pre to post move</w:t>
            </w:r>
          </w:p>
        </w:tc>
      </w:tr>
      <w:tr w:rsidR="00841348" w:rsidRPr="00522CD2" w14:paraId="07F7BF74" w14:textId="77777777" w:rsidTr="00550A44">
        <w:tc>
          <w:tcPr>
            <w:tcW w:w="2508" w:type="dxa"/>
            <w:tcBorders>
              <w:top w:val="single" w:sz="4" w:space="0" w:color="000000"/>
              <w:left w:val="nil"/>
              <w:bottom w:val="single" w:sz="4" w:space="0" w:color="000000"/>
              <w:right w:val="nil"/>
            </w:tcBorders>
            <w:shd w:val="clear" w:color="auto" w:fill="auto"/>
          </w:tcPr>
          <w:p w14:paraId="0DA0016C" w14:textId="0D6B343B" w:rsidR="00841348" w:rsidRPr="00522CD2" w:rsidRDefault="00841348" w:rsidP="00841348">
            <w:pPr>
              <w:spacing w:line="276" w:lineRule="auto"/>
              <w:rPr>
                <w:rFonts w:cs="Arial"/>
                <w:sz w:val="20"/>
                <w:szCs w:val="20"/>
              </w:rPr>
            </w:pPr>
            <w:r w:rsidRPr="00522CD2">
              <w:rPr>
                <w:rFonts w:cs="Arial"/>
                <w:sz w:val="20"/>
                <w:szCs w:val="20"/>
              </w:rPr>
              <w:t>Long et al. (2014)</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"10.1108/AMHID-11-2013-0063", "ISSN" : "2044-1282", "abstract" : "Purpose \u2013 The purpose of this paper is to assess the behavioural and psychological effects on people with intellectual disabilities of transferring to an environment influenced by patient choice and low secure standards. Design/methodology/approach \u2013 Patients and staff transferring from a non-optimal environment to one driven by low secure standards compared the homeliness, ward climate and satisfaction with the two wards. Comparisons were made between the occurrences of risk behaviours on the two wards. Findings \u2013 The new environment was rated by staff as more homely while patients\u2019 increased satisfaction with the new ward was reflected in social climate ratings of patient cohesion and experienced safety. The latter findings were reinforced by an objective reduction in risk behaviours in the new environment. Practical implications \u2013 Treatment interventions need to optimise research findings that attest to the influence of the environment on the behaviour of patients with intellectual disabilities. Origin...", "author" : [ { "dropping-particle" : "", "family" : "Long", "given" : "Clive G.", "non-dropping-particle" : "", "parse-names" : false, "suffix" : "" }, { "dropping-particle" : "", "family" : "Bell", "given" : "Natalie", "non-dropping-particle" : "", "parse-names" : false, "suffix" : "" }, { "dropping-particle" : "", "family" : "Carr", "given" : "Alison", "non-dropping-particle" : "", "parse-names" : false, "suffix" : "" }, { "dropping-particle" : "", "family" : "Cairns", "given" : "Lisa", "non-dropping-particle" : "", "parse-names" : false, "suffix" : "" }, { "dropping-particle" : "", "family" : "Webb", "given" : "Amanda", "non-dropping-particle" : "", "parse-names" : false, "suffix" : "" }, { "dropping-particle" : "", "family" : "Collins", "given" : "Lesley", "non-dropping-particle" : "", "parse-names" : false, "suffix" : "" } ], "container-title" : "Advances in Mental Health and Intellectual Disabilities", "id" : "ITEM-1", "issue" : "5", "issued" : { "date-parts" : [ [ "2014" ] ] }, "page" : "309-320", "publisher" : "Emerald Group Publishing Limited", "title" : "The benefits of environmental change in a secure service for people with intellectual disabilities", "type" : "article-journal", "volume" : "8" }, "uris" : [ "http://www.mendeley.com/documents/?uuid=697fdab6-97b9-3be5-b7e5-a7c28328a0ed" ] } ], "mendeley" : { "formattedCitation" : "(77)", "plainTextFormattedCitation" : "(77)", "previouslyFormattedCitation" : "(77)"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(77)</w:t>
            </w:r>
            <w:r w:rsidR="00FC3FE5" w:rsidRPr="00522CD2">
              <w:rPr>
                <w:rFonts w:cs="Arial"/>
                <w:sz w:val="20"/>
                <w:szCs w:val="20"/>
              </w:rPr>
              <w:fldChar w:fldCharType="end"/>
            </w:r>
          </w:p>
          <w:p w14:paraId="4E6346FA" w14:textId="77777777" w:rsidR="00841348" w:rsidRPr="00522CD2" w:rsidRDefault="00841348" w:rsidP="00841348">
            <w:pPr>
              <w:spacing w:line="276" w:lineRule="auto"/>
              <w:rPr>
                <w:rFonts w:cs="Arial"/>
                <w:sz w:val="20"/>
                <w:szCs w:val="20"/>
              </w:rPr>
            </w:pPr>
            <w:r w:rsidRPr="00522CD2">
              <w:rPr>
                <w:rFonts w:cs="Arial"/>
                <w:sz w:val="20"/>
                <w:szCs w:val="20"/>
              </w:rPr>
              <w:t>Low secure</w:t>
            </w:r>
          </w:p>
          <w:p w14:paraId="51A6CE3E" w14:textId="77777777" w:rsidR="00841348" w:rsidRPr="00522CD2" w:rsidRDefault="00841348" w:rsidP="00841348">
            <w:pPr>
              <w:spacing w:line="276" w:lineRule="auto"/>
              <w:rPr>
                <w:rFonts w:cs="Arial"/>
                <w:sz w:val="20"/>
                <w:szCs w:val="20"/>
              </w:rPr>
            </w:pPr>
            <w:r w:rsidRPr="00522CD2">
              <w:rPr>
                <w:rFonts w:cs="Arial"/>
                <w:sz w:val="20"/>
                <w:szCs w:val="20"/>
              </w:rPr>
              <w:t>Female only</w:t>
            </w:r>
          </w:p>
          <w:p w14:paraId="0743102C" w14:textId="77777777" w:rsidR="00841348" w:rsidRPr="00522CD2" w:rsidRDefault="00841348" w:rsidP="00841348">
            <w:pPr>
              <w:spacing w:line="276" w:lineRule="auto"/>
              <w:rPr>
                <w:rFonts w:cs="Arial"/>
                <w:sz w:val="20"/>
                <w:szCs w:val="20"/>
              </w:rPr>
            </w:pPr>
          </w:p>
        </w:tc>
        <w:tc>
          <w:tcPr>
            <w:tcW w:w="1995" w:type="dxa"/>
            <w:tcBorders>
              <w:top w:val="single" w:sz="4" w:space="0" w:color="000000"/>
              <w:left w:val="nil"/>
              <w:bottom w:val="single" w:sz="4" w:space="0" w:color="000000"/>
              <w:right w:val="nil"/>
            </w:tcBorders>
          </w:tcPr>
          <w:p w14:paraId="32D00DD3" w14:textId="77777777" w:rsidR="00841348" w:rsidRPr="00522CD2" w:rsidRDefault="00841348" w:rsidP="00841348">
            <w:pPr>
              <w:spacing w:line="276" w:lineRule="auto"/>
              <w:rPr>
                <w:rFonts w:cs="Arial"/>
                <w:sz w:val="20"/>
                <w:szCs w:val="20"/>
              </w:rPr>
            </w:pPr>
            <w:r w:rsidRPr="00522CD2">
              <w:rPr>
                <w:rFonts w:cs="Arial"/>
                <w:sz w:val="20"/>
                <w:szCs w:val="20"/>
              </w:rPr>
              <w:t>Cohort Study (4)</w:t>
            </w:r>
          </w:p>
          <w:p w14:paraId="72AF2713" w14:textId="77777777" w:rsidR="00841348" w:rsidRPr="00522CD2" w:rsidRDefault="00841348" w:rsidP="00841348">
            <w:pPr>
              <w:spacing w:line="276" w:lineRule="auto"/>
              <w:rPr>
                <w:rFonts w:cs="Arial"/>
                <w:sz w:val="20"/>
                <w:szCs w:val="20"/>
              </w:rPr>
            </w:pPr>
            <w:r w:rsidRPr="00522CD2">
              <w:rPr>
                <w:rFonts w:cs="Arial"/>
                <w:sz w:val="20"/>
                <w:szCs w:val="20"/>
              </w:rPr>
              <w:t>Follow up: 3 months</w:t>
            </w:r>
          </w:p>
        </w:tc>
        <w:tc>
          <w:tcPr>
            <w:tcW w:w="850" w:type="dxa"/>
            <w:tcBorders>
              <w:top w:val="single" w:sz="4" w:space="0" w:color="000000"/>
              <w:left w:val="nil"/>
              <w:bottom w:val="single" w:sz="4" w:space="0" w:color="000000"/>
              <w:right w:val="nil"/>
            </w:tcBorders>
          </w:tcPr>
          <w:p w14:paraId="447AF26C" w14:textId="77777777" w:rsidR="00841348" w:rsidRPr="00522CD2" w:rsidRDefault="00841348" w:rsidP="00841348">
            <w:pPr>
              <w:spacing w:line="276" w:lineRule="auto"/>
              <w:jc w:val="center"/>
              <w:rPr>
                <w:rFonts w:cs="Arial"/>
                <w:sz w:val="20"/>
                <w:szCs w:val="20"/>
              </w:rPr>
            </w:pPr>
            <w:r w:rsidRPr="00522CD2">
              <w:rPr>
                <w:rFonts w:cs="Arial"/>
                <w:sz w:val="20"/>
                <w:szCs w:val="20"/>
              </w:rPr>
              <w:t>10</w:t>
            </w:r>
          </w:p>
        </w:tc>
        <w:tc>
          <w:tcPr>
            <w:tcW w:w="3827" w:type="dxa"/>
            <w:tcBorders>
              <w:top w:val="single" w:sz="4" w:space="0" w:color="000000"/>
              <w:left w:val="nil"/>
              <w:bottom w:val="single" w:sz="4" w:space="0" w:color="000000"/>
              <w:right w:val="nil"/>
            </w:tcBorders>
            <w:shd w:val="clear" w:color="auto" w:fill="auto"/>
          </w:tcPr>
          <w:p w14:paraId="3BB2F014"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Milieu</w:t>
            </w:r>
          </w:p>
          <w:p w14:paraId="5AB0F6BF"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Satisfaction</w:t>
            </w:r>
          </w:p>
        </w:tc>
        <w:tc>
          <w:tcPr>
            <w:tcW w:w="5954" w:type="dxa"/>
            <w:tcBorders>
              <w:top w:val="single" w:sz="4" w:space="0" w:color="000000"/>
              <w:left w:val="nil"/>
              <w:bottom w:val="single" w:sz="4" w:space="0" w:color="000000"/>
              <w:right w:val="nil"/>
            </w:tcBorders>
            <w:shd w:val="clear" w:color="auto" w:fill="auto"/>
          </w:tcPr>
          <w:p w14:paraId="51F6E22A" w14:textId="77777777" w:rsidR="00841348" w:rsidRPr="00522CD2" w:rsidRDefault="00AB187E"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EssenCES</w:t>
            </w:r>
            <w:r w:rsidR="00841348" w:rsidRPr="00522CD2">
              <w:rPr>
                <w:rFonts w:cs="Arial"/>
                <w:sz w:val="20"/>
                <w:szCs w:val="20"/>
              </w:rPr>
              <w:t xml:space="preserve"> change from pre to post move </w:t>
            </w:r>
          </w:p>
          <w:p w14:paraId="074F4ADD"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Inpatient satisfaction questionnaire:  change from pre to post move</w:t>
            </w:r>
          </w:p>
        </w:tc>
      </w:tr>
      <w:tr w:rsidR="00841348" w:rsidRPr="00522CD2" w14:paraId="43C4C49B" w14:textId="77777777" w:rsidTr="00550A44">
        <w:tc>
          <w:tcPr>
            <w:tcW w:w="2508" w:type="dxa"/>
            <w:tcBorders>
              <w:top w:val="single" w:sz="4" w:space="0" w:color="000000"/>
              <w:left w:val="nil"/>
              <w:bottom w:val="single" w:sz="4" w:space="0" w:color="000000"/>
              <w:right w:val="nil"/>
            </w:tcBorders>
            <w:shd w:val="clear" w:color="auto" w:fill="auto"/>
          </w:tcPr>
          <w:p w14:paraId="46787D56" w14:textId="2291B2D8" w:rsidR="00841348" w:rsidRPr="00522CD2" w:rsidRDefault="00841348" w:rsidP="00841348">
            <w:pPr>
              <w:spacing w:line="276" w:lineRule="auto"/>
              <w:rPr>
                <w:rFonts w:cs="Arial"/>
                <w:sz w:val="20"/>
                <w:szCs w:val="20"/>
              </w:rPr>
            </w:pPr>
            <w:r w:rsidRPr="00522CD2">
              <w:rPr>
                <w:rFonts w:cs="Arial"/>
                <w:sz w:val="20"/>
                <w:szCs w:val="20"/>
              </w:rPr>
              <w:t>Marks (2011)</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"author" : [ { "dropping-particle" : "", "family" : "Marks", "given" : "K.", "non-dropping-particle" : "", "parse-names" : false, "suffix" : "" } ], "id" : "ITEM-1", "issued" : { "date-parts" : [ [ "2011" ] ] }, "publisher" : "University of Birmingham", "title" : "Assessing Risk and Outcomes in Offenders Detained in Intellectual Disability and Mental Health Medium Secure Units in the United Kingdom.", "type" : "thesis" }, "uris" : [ "http://www.mendeley.com/documents/?uuid=20b5d144-bdcd-4cd7-8ddf-0039ce998ae7" ] } ], "mendeley" : { "formattedCitation" : "(48)", "plainTextFormattedCitation" : "(48)", "previouslyFormattedCitation" : "(48)"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(48)</w:t>
            </w:r>
            <w:r w:rsidR="00FC3FE5" w:rsidRPr="00522CD2">
              <w:rPr>
                <w:rFonts w:cs="Arial"/>
                <w:sz w:val="20"/>
                <w:szCs w:val="20"/>
              </w:rPr>
              <w:fldChar w:fldCharType="end"/>
            </w:r>
          </w:p>
          <w:p w14:paraId="176D2EED" w14:textId="77777777" w:rsidR="00841348" w:rsidRPr="00522CD2" w:rsidRDefault="00841348" w:rsidP="00841348">
            <w:pPr>
              <w:spacing w:line="276" w:lineRule="auto"/>
              <w:rPr>
                <w:rFonts w:cs="Arial"/>
                <w:sz w:val="20"/>
                <w:szCs w:val="20"/>
              </w:rPr>
            </w:pPr>
            <w:r w:rsidRPr="00522CD2">
              <w:rPr>
                <w:rFonts w:cs="Arial"/>
                <w:sz w:val="20"/>
                <w:szCs w:val="20"/>
              </w:rPr>
              <w:t>[unpublished thesis]</w:t>
            </w:r>
          </w:p>
          <w:p w14:paraId="52ADF60A" w14:textId="77777777" w:rsidR="00841348" w:rsidRPr="00522CD2" w:rsidRDefault="00841348" w:rsidP="00841348">
            <w:pPr>
              <w:spacing w:line="276" w:lineRule="auto"/>
              <w:rPr>
                <w:rFonts w:cs="Arial"/>
                <w:sz w:val="20"/>
                <w:szCs w:val="20"/>
              </w:rPr>
            </w:pPr>
            <w:r w:rsidRPr="00522CD2">
              <w:rPr>
                <w:rFonts w:cs="Arial"/>
                <w:sz w:val="20"/>
                <w:szCs w:val="20"/>
              </w:rPr>
              <w:t>Medium secure</w:t>
            </w:r>
          </w:p>
        </w:tc>
        <w:tc>
          <w:tcPr>
            <w:tcW w:w="1995" w:type="dxa"/>
            <w:tcBorders>
              <w:top w:val="single" w:sz="4" w:space="0" w:color="000000"/>
              <w:left w:val="nil"/>
              <w:bottom w:val="single" w:sz="4" w:space="0" w:color="000000"/>
              <w:right w:val="nil"/>
            </w:tcBorders>
          </w:tcPr>
          <w:p w14:paraId="76C4C375" w14:textId="77777777" w:rsidR="00841348" w:rsidRPr="00522CD2" w:rsidRDefault="00841348" w:rsidP="00841348">
            <w:pPr>
              <w:spacing w:line="276" w:lineRule="auto"/>
              <w:rPr>
                <w:rFonts w:cs="Arial"/>
                <w:sz w:val="20"/>
                <w:szCs w:val="20"/>
              </w:rPr>
            </w:pPr>
            <w:r w:rsidRPr="00522CD2">
              <w:rPr>
                <w:rFonts w:cs="Arial"/>
                <w:sz w:val="20"/>
                <w:szCs w:val="20"/>
              </w:rPr>
              <w:t>Retrospective cohort study (4)</w:t>
            </w:r>
          </w:p>
          <w:p w14:paraId="758B59EF" w14:textId="77777777" w:rsidR="00841348" w:rsidRPr="00522CD2" w:rsidRDefault="00841348" w:rsidP="00841348">
            <w:pPr>
              <w:spacing w:line="276" w:lineRule="auto"/>
              <w:rPr>
                <w:rFonts w:cs="Arial"/>
                <w:sz w:val="20"/>
                <w:szCs w:val="20"/>
              </w:rPr>
            </w:pPr>
            <w:r w:rsidRPr="00522CD2">
              <w:rPr>
                <w:rFonts w:cs="Arial"/>
                <w:sz w:val="20"/>
                <w:szCs w:val="20"/>
              </w:rPr>
              <w:t>Follow up: 4 years</w:t>
            </w:r>
          </w:p>
          <w:p w14:paraId="7E061E88" w14:textId="77777777" w:rsidR="00841348" w:rsidRPr="00522CD2" w:rsidRDefault="00841348" w:rsidP="00841348">
            <w:pPr>
              <w:spacing w:line="276" w:lineRule="auto"/>
              <w:rPr>
                <w:rFonts w:cs="Arial"/>
                <w:sz w:val="20"/>
                <w:szCs w:val="20"/>
              </w:rPr>
            </w:pPr>
          </w:p>
        </w:tc>
        <w:tc>
          <w:tcPr>
            <w:tcW w:w="850" w:type="dxa"/>
            <w:tcBorders>
              <w:top w:val="single" w:sz="4" w:space="0" w:color="000000"/>
              <w:left w:val="nil"/>
              <w:bottom w:val="single" w:sz="4" w:space="0" w:color="000000"/>
              <w:right w:val="nil"/>
            </w:tcBorders>
          </w:tcPr>
          <w:p w14:paraId="4BCE3939" w14:textId="77777777" w:rsidR="00841348" w:rsidRPr="00522CD2" w:rsidRDefault="00841348" w:rsidP="00841348">
            <w:pPr>
              <w:spacing w:line="276" w:lineRule="auto"/>
              <w:jc w:val="center"/>
              <w:rPr>
                <w:rFonts w:cs="Arial"/>
                <w:sz w:val="20"/>
                <w:szCs w:val="20"/>
              </w:rPr>
            </w:pPr>
            <w:r w:rsidRPr="00522CD2">
              <w:rPr>
                <w:rFonts w:cs="Arial"/>
                <w:sz w:val="20"/>
                <w:szCs w:val="20"/>
              </w:rPr>
              <w:t>28</w:t>
            </w:r>
          </w:p>
        </w:tc>
        <w:tc>
          <w:tcPr>
            <w:tcW w:w="3827" w:type="dxa"/>
            <w:tcBorders>
              <w:top w:val="single" w:sz="4" w:space="0" w:color="000000"/>
              <w:left w:val="nil"/>
              <w:bottom w:val="single" w:sz="4" w:space="0" w:color="000000"/>
              <w:right w:val="nil"/>
            </w:tcBorders>
            <w:shd w:val="clear" w:color="auto" w:fill="auto"/>
          </w:tcPr>
          <w:p w14:paraId="41761640"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Quality of life</w:t>
            </w:r>
          </w:p>
        </w:tc>
        <w:tc>
          <w:tcPr>
            <w:tcW w:w="5954" w:type="dxa"/>
            <w:tcBorders>
              <w:top w:val="single" w:sz="4" w:space="0" w:color="000000"/>
              <w:left w:val="nil"/>
              <w:bottom w:val="single" w:sz="4" w:space="0" w:color="000000"/>
              <w:right w:val="nil"/>
            </w:tcBorders>
            <w:shd w:val="clear" w:color="auto" w:fill="auto"/>
          </w:tcPr>
          <w:p w14:paraId="6A406738"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QoLS scores during treatment</w:t>
            </w:r>
          </w:p>
        </w:tc>
      </w:tr>
      <w:tr w:rsidR="00841348" w:rsidRPr="00522CD2" w14:paraId="52B37C10" w14:textId="77777777" w:rsidTr="00550A44">
        <w:trPr>
          <w:trHeight w:val="930"/>
        </w:trPr>
        <w:tc>
          <w:tcPr>
            <w:tcW w:w="2508" w:type="dxa"/>
            <w:tcBorders>
              <w:top w:val="single" w:sz="4" w:space="0" w:color="000000"/>
              <w:left w:val="nil"/>
              <w:bottom w:val="single" w:sz="4" w:space="0" w:color="auto"/>
              <w:right w:val="nil"/>
            </w:tcBorders>
            <w:shd w:val="clear" w:color="auto" w:fill="auto"/>
          </w:tcPr>
          <w:p w14:paraId="6EB75269" w14:textId="3851E56C" w:rsidR="00841348" w:rsidRPr="00522CD2" w:rsidRDefault="00841348" w:rsidP="00841348">
            <w:pPr>
              <w:spacing w:line="276" w:lineRule="auto"/>
              <w:rPr>
                <w:rFonts w:cs="Arial"/>
                <w:sz w:val="20"/>
                <w:szCs w:val="20"/>
              </w:rPr>
            </w:pPr>
            <w:r w:rsidRPr="00522CD2">
              <w:rPr>
                <w:rFonts w:cs="Arial"/>
                <w:sz w:val="20"/>
                <w:szCs w:val="20"/>
              </w:rPr>
              <w:t>Trout (2011)</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"author" : [ { "dropping-particle" : "", "family" : "Trout", "given" : "S.", "non-dropping-particle" : "", "parse-names" : false, "suffix" : "" } ], "id" : "ITEM-1", "issued" : { "date-parts" : [ [ "2011" ] ] }, "title" : "National High Secure Learning Disability Service, Rampton Hospital. Service Evaluation: Patient Focus.", "type" : "report" }, "uris" : [ "http://www.mendeley.com/documents/?uuid=686e9055-8409-445c-986a-85ccd728ecd5" ] } ], "mendeley" : { "formattedCitation" : "(78)", "plainTextFormattedCitation" : "(78)", "previouslyFormattedCitation" : "(78)"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(78)</w:t>
            </w:r>
            <w:r w:rsidR="00FC3FE5" w:rsidRPr="00522CD2">
              <w:rPr>
                <w:rFonts w:cs="Arial"/>
                <w:sz w:val="20"/>
                <w:szCs w:val="20"/>
              </w:rPr>
              <w:fldChar w:fldCharType="end"/>
            </w:r>
          </w:p>
          <w:p w14:paraId="09E179C3" w14:textId="77777777" w:rsidR="00841348" w:rsidRPr="00522CD2" w:rsidRDefault="00841348" w:rsidP="00841348">
            <w:pPr>
              <w:spacing w:line="276" w:lineRule="auto"/>
              <w:rPr>
                <w:rFonts w:cs="Arial"/>
                <w:sz w:val="20"/>
                <w:szCs w:val="20"/>
              </w:rPr>
            </w:pPr>
            <w:r w:rsidRPr="00522CD2">
              <w:rPr>
                <w:rFonts w:cs="Arial"/>
                <w:sz w:val="20"/>
                <w:szCs w:val="20"/>
              </w:rPr>
              <w:t>[unpublished report]</w:t>
            </w:r>
          </w:p>
          <w:p w14:paraId="2A08EBCF" w14:textId="77777777" w:rsidR="00841348" w:rsidRPr="00522CD2" w:rsidRDefault="00841348" w:rsidP="00841348">
            <w:pPr>
              <w:spacing w:line="276" w:lineRule="auto"/>
              <w:rPr>
                <w:rFonts w:cs="Arial"/>
                <w:sz w:val="20"/>
                <w:szCs w:val="20"/>
                <w:lang w:eastAsia="en-GB"/>
              </w:rPr>
            </w:pPr>
            <w:r w:rsidRPr="00522CD2">
              <w:rPr>
                <w:rFonts w:cs="Arial"/>
                <w:sz w:val="20"/>
                <w:szCs w:val="20"/>
                <w:lang w:eastAsia="en-GB"/>
              </w:rPr>
              <w:t>High secure</w:t>
            </w:r>
          </w:p>
        </w:tc>
        <w:tc>
          <w:tcPr>
            <w:tcW w:w="1995" w:type="dxa"/>
            <w:tcBorders>
              <w:top w:val="single" w:sz="4" w:space="0" w:color="000000"/>
              <w:left w:val="nil"/>
              <w:bottom w:val="single" w:sz="4" w:space="0" w:color="auto"/>
              <w:right w:val="nil"/>
            </w:tcBorders>
          </w:tcPr>
          <w:p w14:paraId="334B1FFE" w14:textId="77777777" w:rsidR="00841348" w:rsidRPr="00522CD2" w:rsidRDefault="00841348" w:rsidP="00841348">
            <w:pPr>
              <w:spacing w:line="276" w:lineRule="auto"/>
              <w:rPr>
                <w:rFonts w:cs="Arial"/>
                <w:sz w:val="20"/>
                <w:szCs w:val="20"/>
              </w:rPr>
            </w:pPr>
            <w:r w:rsidRPr="00522CD2">
              <w:rPr>
                <w:rFonts w:cs="Arial"/>
                <w:sz w:val="20"/>
                <w:szCs w:val="20"/>
              </w:rPr>
              <w:t>Cohort Study (4)</w:t>
            </w:r>
          </w:p>
          <w:p w14:paraId="64172B2A" w14:textId="77777777" w:rsidR="00841348" w:rsidRPr="00522CD2" w:rsidRDefault="00841348" w:rsidP="00841348">
            <w:pPr>
              <w:spacing w:line="276" w:lineRule="auto"/>
              <w:rPr>
                <w:rFonts w:cs="Arial"/>
                <w:sz w:val="20"/>
                <w:szCs w:val="20"/>
              </w:rPr>
            </w:pPr>
            <w:r w:rsidRPr="00522CD2">
              <w:rPr>
                <w:rFonts w:cs="Arial"/>
                <w:sz w:val="20"/>
                <w:szCs w:val="20"/>
              </w:rPr>
              <w:t>Follow up: up to 2 years</w:t>
            </w:r>
          </w:p>
        </w:tc>
        <w:tc>
          <w:tcPr>
            <w:tcW w:w="850" w:type="dxa"/>
            <w:tcBorders>
              <w:top w:val="single" w:sz="4" w:space="0" w:color="000000"/>
              <w:left w:val="nil"/>
              <w:bottom w:val="single" w:sz="4" w:space="0" w:color="auto"/>
              <w:right w:val="nil"/>
            </w:tcBorders>
          </w:tcPr>
          <w:p w14:paraId="67DFC691" w14:textId="77777777" w:rsidR="00841348" w:rsidRPr="00522CD2" w:rsidRDefault="00841348" w:rsidP="00841348">
            <w:pPr>
              <w:spacing w:line="276" w:lineRule="auto"/>
              <w:jc w:val="center"/>
              <w:rPr>
                <w:rFonts w:cs="Arial"/>
                <w:sz w:val="20"/>
                <w:szCs w:val="20"/>
              </w:rPr>
            </w:pPr>
            <w:r w:rsidRPr="00522CD2">
              <w:rPr>
                <w:rFonts w:cs="Arial"/>
                <w:sz w:val="20"/>
                <w:szCs w:val="20"/>
              </w:rPr>
              <w:t>44</w:t>
            </w:r>
          </w:p>
        </w:tc>
        <w:tc>
          <w:tcPr>
            <w:tcW w:w="3827" w:type="dxa"/>
            <w:tcBorders>
              <w:top w:val="single" w:sz="4" w:space="0" w:color="000000"/>
              <w:left w:val="nil"/>
              <w:bottom w:val="single" w:sz="4" w:space="0" w:color="auto"/>
              <w:right w:val="nil"/>
            </w:tcBorders>
            <w:shd w:val="clear" w:color="auto" w:fill="auto"/>
          </w:tcPr>
          <w:p w14:paraId="0ED1A07D"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Quality of life</w:t>
            </w:r>
          </w:p>
          <w:p w14:paraId="1B069FE6"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Satisfaction</w:t>
            </w:r>
          </w:p>
        </w:tc>
        <w:tc>
          <w:tcPr>
            <w:tcW w:w="5954" w:type="dxa"/>
            <w:tcBorders>
              <w:top w:val="single" w:sz="4" w:space="0" w:color="000000"/>
              <w:left w:val="nil"/>
              <w:bottom w:val="single" w:sz="4" w:space="0" w:color="auto"/>
              <w:right w:val="nil"/>
            </w:tcBorders>
            <w:shd w:val="clear" w:color="auto" w:fill="auto"/>
          </w:tcPr>
          <w:p w14:paraId="6830EEC7"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PWI scores:  change from pre to post move</w:t>
            </w:r>
          </w:p>
          <w:p w14:paraId="38453949" w14:textId="4E8BD06A"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Service specific evaluation q</w:t>
            </w:r>
            <w:r w:rsidR="00165F91" w:rsidRPr="00522CD2">
              <w:rPr>
                <w:rFonts w:cs="Arial"/>
                <w:sz w:val="20"/>
                <w:szCs w:val="20"/>
              </w:rPr>
              <w:t>uestionnaire  using a visual L</w:t>
            </w:r>
            <w:r w:rsidRPr="00522CD2">
              <w:rPr>
                <w:rFonts w:cs="Arial"/>
                <w:sz w:val="20"/>
                <w:szCs w:val="20"/>
              </w:rPr>
              <w:t>ikert scale via interview</w:t>
            </w:r>
            <w:r w:rsidR="00165F91" w:rsidRPr="00522CD2">
              <w:rPr>
                <w:rFonts w:cs="Arial"/>
                <w:sz w:val="20"/>
                <w:szCs w:val="20"/>
              </w:rPr>
              <w:t>:change from pre to post move</w:t>
            </w:r>
          </w:p>
        </w:tc>
      </w:tr>
      <w:tr w:rsidR="00841348" w:rsidRPr="00522CD2" w14:paraId="275444EC" w14:textId="77777777">
        <w:tc>
          <w:tcPr>
            <w:tcW w:w="15134" w:type="dxa"/>
            <w:gridSpan w:val="5"/>
            <w:tcBorders>
              <w:top w:val="single" w:sz="4" w:space="0" w:color="auto"/>
              <w:left w:val="nil"/>
              <w:bottom w:val="nil"/>
              <w:right w:val="nil"/>
            </w:tcBorders>
            <w:shd w:val="clear" w:color="auto" w:fill="auto"/>
          </w:tcPr>
          <w:p w14:paraId="4AAB43C9" w14:textId="76F7F407" w:rsidR="00841348" w:rsidRPr="00522CD2" w:rsidRDefault="00841348" w:rsidP="00841348">
            <w:pPr>
              <w:spacing w:line="276" w:lineRule="auto"/>
              <w:ind w:left="284"/>
              <w:rPr>
                <w:rFonts w:cs="Arial"/>
                <w:sz w:val="20"/>
                <w:szCs w:val="20"/>
              </w:rPr>
            </w:pPr>
            <w:r w:rsidRPr="00522CD2">
              <w:rPr>
                <w:rFonts w:cs="Arial"/>
                <w:i/>
                <w:sz w:val="20"/>
                <w:szCs w:val="20"/>
              </w:rPr>
              <w:t>Note.</w:t>
            </w:r>
            <w:r w:rsidR="00A03178" w:rsidRPr="00522CD2">
              <w:rPr>
                <w:rFonts w:cs="Arial"/>
                <w:sz w:val="20"/>
                <w:szCs w:val="20"/>
              </w:rPr>
              <w:t xml:space="preserve"> </w:t>
            </w:r>
            <w:r w:rsidR="00165F91" w:rsidRPr="00522CD2">
              <w:rPr>
                <w:sz w:val="20"/>
                <w:szCs w:val="20"/>
              </w:rPr>
              <w:t>QoLS = Quality of L</w:t>
            </w:r>
            <w:r w:rsidR="00A03178" w:rsidRPr="00522CD2">
              <w:rPr>
                <w:sz w:val="20"/>
                <w:szCs w:val="20"/>
              </w:rPr>
              <w:t xml:space="preserve">ife </w:t>
            </w:r>
            <w:r w:rsidR="00165F91" w:rsidRPr="00522CD2">
              <w:rPr>
                <w:sz w:val="20"/>
                <w:szCs w:val="20"/>
              </w:rPr>
              <w:t>S</w:t>
            </w:r>
            <w:r w:rsidRPr="00522CD2">
              <w:rPr>
                <w:sz w:val="20"/>
                <w:szCs w:val="20"/>
              </w:rPr>
              <w:t xml:space="preserve">cale; </w:t>
            </w:r>
            <w:r w:rsidR="00AB187E" w:rsidRPr="00522CD2">
              <w:rPr>
                <w:sz w:val="20"/>
                <w:szCs w:val="20"/>
              </w:rPr>
              <w:t>EssenCES</w:t>
            </w:r>
            <w:r w:rsidR="00A03178" w:rsidRPr="00522CD2">
              <w:rPr>
                <w:sz w:val="20"/>
                <w:szCs w:val="20"/>
              </w:rPr>
              <w:t xml:space="preserve"> = </w:t>
            </w:r>
            <w:r w:rsidR="00A03178" w:rsidRPr="00522CD2">
              <w:rPr>
                <w:sz w:val="20"/>
                <w:szCs w:val="20"/>
                <w:shd w:val="clear" w:color="auto" w:fill="FFFFFF"/>
              </w:rPr>
              <w:t xml:space="preserve"> Essen Climate Evaluation</w:t>
            </w:r>
            <w:r w:rsidR="00A03178" w:rsidRPr="00522CD2">
              <w:rPr>
                <w:rStyle w:val="apple-converted-space"/>
                <w:sz w:val="20"/>
                <w:szCs w:val="20"/>
                <w:shd w:val="clear" w:color="auto" w:fill="FFFFFF"/>
              </w:rPr>
              <w:t> </w:t>
            </w:r>
            <w:r w:rsidR="00A03178" w:rsidRPr="00522CD2">
              <w:rPr>
                <w:rStyle w:val="Emphasis"/>
                <w:bCs/>
                <w:i w:val="0"/>
                <w:iCs w:val="0"/>
                <w:sz w:val="20"/>
                <w:szCs w:val="20"/>
                <w:shd w:val="clear" w:color="auto" w:fill="FFFFFF"/>
              </w:rPr>
              <w:t>Scale;</w:t>
            </w:r>
            <w:r w:rsidR="00A03178" w:rsidRPr="00522CD2">
              <w:rPr>
                <w:rStyle w:val="Emphasis"/>
                <w:b/>
                <w:bCs/>
                <w:i w:val="0"/>
                <w:iCs w:val="0"/>
                <w:sz w:val="20"/>
                <w:szCs w:val="20"/>
                <w:shd w:val="clear" w:color="auto" w:fill="FFFFFF"/>
              </w:rPr>
              <w:t xml:space="preserve"> </w:t>
            </w:r>
            <w:r w:rsidR="00165F91" w:rsidRPr="00522CD2">
              <w:rPr>
                <w:sz w:val="20"/>
                <w:szCs w:val="20"/>
              </w:rPr>
              <w:t xml:space="preserve">PWI = </w:t>
            </w:r>
            <w:r w:rsidRPr="00522CD2">
              <w:rPr>
                <w:sz w:val="20"/>
                <w:szCs w:val="20"/>
              </w:rPr>
              <w:t>Personal Wellbeing Index</w:t>
            </w:r>
          </w:p>
        </w:tc>
      </w:tr>
    </w:tbl>
    <w:p w14:paraId="66E4CF79" w14:textId="77777777" w:rsidR="00841348" w:rsidRPr="00522CD2" w:rsidRDefault="00841348" w:rsidP="00841348">
      <w:pPr>
        <w:rPr>
          <w:rFonts w:cs="Arial"/>
        </w:rPr>
      </w:pPr>
    </w:p>
    <w:p w14:paraId="72F84892" w14:textId="77777777" w:rsidR="00841348" w:rsidRPr="00522CD2" w:rsidRDefault="00841348" w:rsidP="00841348">
      <w:pPr>
        <w:rPr>
          <w:rFonts w:cs="Arial"/>
        </w:rPr>
      </w:pPr>
    </w:p>
    <w:p w14:paraId="3A04ED4B" w14:textId="77777777" w:rsidR="00841348" w:rsidRPr="00522CD2" w:rsidRDefault="00841348" w:rsidP="00841348">
      <w:pPr>
        <w:rPr>
          <w:rFonts w:cs="Arial"/>
        </w:rPr>
      </w:pPr>
    </w:p>
    <w:p w14:paraId="6A103195" w14:textId="77777777" w:rsidR="00841348" w:rsidRPr="00522CD2" w:rsidRDefault="00841348" w:rsidP="00841348">
      <w:pPr>
        <w:rPr>
          <w:rFonts w:cs="Arial"/>
        </w:rPr>
      </w:pPr>
    </w:p>
    <w:p w14:paraId="0A4B0B15" w14:textId="77777777" w:rsidR="00841348" w:rsidRPr="00522CD2" w:rsidRDefault="00841348" w:rsidP="00841348">
      <w:pPr>
        <w:rPr>
          <w:rFonts w:cs="Arial"/>
        </w:rPr>
      </w:pPr>
    </w:p>
    <w:p w14:paraId="7BF4D1F5" w14:textId="77777777" w:rsidR="00841348" w:rsidRPr="00522CD2" w:rsidRDefault="00841348" w:rsidP="00841348">
      <w:pPr>
        <w:rPr>
          <w:rFonts w:cs="Arial"/>
        </w:rPr>
      </w:pPr>
    </w:p>
    <w:p w14:paraId="7A27A015" w14:textId="77777777" w:rsidR="00841348" w:rsidRPr="00522CD2" w:rsidRDefault="00841348" w:rsidP="00841348">
      <w:pPr>
        <w:rPr>
          <w:rFonts w:cs="Arial"/>
        </w:rPr>
      </w:pPr>
    </w:p>
    <w:p w14:paraId="5D353E0A" w14:textId="77777777" w:rsidR="00841348" w:rsidRPr="00522CD2" w:rsidRDefault="00841348" w:rsidP="00841348">
      <w:pPr>
        <w:rPr>
          <w:rFonts w:cs="Arial"/>
        </w:rPr>
      </w:pPr>
    </w:p>
    <w:p w14:paraId="5E99DB93" w14:textId="77777777" w:rsidR="00841348" w:rsidRPr="00522CD2" w:rsidRDefault="00841348" w:rsidP="00841348">
      <w:pPr>
        <w:rPr>
          <w:rFonts w:cs="Arial"/>
        </w:rPr>
      </w:pPr>
    </w:p>
    <w:p w14:paraId="4F897D5A" w14:textId="77777777" w:rsidR="00841348" w:rsidRPr="00522CD2" w:rsidRDefault="00841348" w:rsidP="00841348">
      <w:pPr>
        <w:rPr>
          <w:rFonts w:cs="Arial"/>
        </w:rPr>
      </w:pPr>
    </w:p>
    <w:p w14:paraId="689AD590" w14:textId="77777777" w:rsidR="00841348" w:rsidRPr="00522CD2" w:rsidRDefault="00841348" w:rsidP="00841348">
      <w:pPr>
        <w:rPr>
          <w:rFonts w:cs="Arial"/>
        </w:rPr>
      </w:pPr>
    </w:p>
    <w:p w14:paraId="16FFD66C" w14:textId="77777777" w:rsidR="00841348" w:rsidRPr="00522CD2" w:rsidRDefault="00841348" w:rsidP="00841348">
      <w:pPr>
        <w:rPr>
          <w:rFonts w:cs="Arial"/>
        </w:rPr>
      </w:pPr>
    </w:p>
    <w:p w14:paraId="6FD1B04B" w14:textId="77777777" w:rsidR="00841348" w:rsidRPr="00522CD2" w:rsidRDefault="00841348" w:rsidP="00841348">
      <w:pPr>
        <w:rPr>
          <w:rFonts w:cs="Arial"/>
        </w:rPr>
      </w:pPr>
    </w:p>
    <w:p w14:paraId="5A651CE3" w14:textId="77777777" w:rsidR="00841348" w:rsidRPr="00522CD2" w:rsidRDefault="00841348" w:rsidP="00841348">
      <w:pPr>
        <w:rPr>
          <w:rFonts w:cs="Arial"/>
        </w:rPr>
      </w:pPr>
    </w:p>
    <w:tbl>
      <w:tblPr>
        <w:tblpPr w:leftFromText="180" w:rightFromText="180" w:vertAnchor="text" w:horzAnchor="margin" w:tblpX="-612"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95"/>
        <w:gridCol w:w="850"/>
        <w:gridCol w:w="3827"/>
        <w:gridCol w:w="5954"/>
      </w:tblGrid>
      <w:tr w:rsidR="00841348" w:rsidRPr="00522CD2" w14:paraId="031D8DF8" w14:textId="77777777">
        <w:trPr>
          <w:trHeight w:val="340"/>
        </w:trPr>
        <w:tc>
          <w:tcPr>
            <w:tcW w:w="15134" w:type="dxa"/>
            <w:gridSpan w:val="5"/>
            <w:tcBorders>
              <w:top w:val="nil"/>
              <w:left w:val="nil"/>
              <w:bottom w:val="single" w:sz="4" w:space="0" w:color="auto"/>
              <w:right w:val="nil"/>
            </w:tcBorders>
            <w:shd w:val="clear" w:color="auto" w:fill="FFFFFF" w:themeFill="background1"/>
            <w:vAlign w:val="center"/>
          </w:tcPr>
          <w:p w14:paraId="7412232D" w14:textId="77777777" w:rsidR="00841348" w:rsidRPr="00522CD2" w:rsidRDefault="00841348" w:rsidP="00841348">
            <w:pPr>
              <w:rPr>
                <w:rFonts w:cs="Arial"/>
                <w:b/>
                <w:sz w:val="20"/>
                <w:szCs w:val="20"/>
              </w:rPr>
            </w:pPr>
            <w:r w:rsidRPr="00522CD2">
              <w:rPr>
                <w:rFonts w:cs="Arial"/>
                <w:b/>
                <w:sz w:val="20"/>
                <w:szCs w:val="20"/>
              </w:rPr>
              <w:t xml:space="preserve">Table </w:t>
            </w:r>
            <w:r w:rsidR="00C717E1" w:rsidRPr="00522CD2">
              <w:rPr>
                <w:rFonts w:cs="Arial"/>
                <w:b/>
                <w:sz w:val="20"/>
                <w:szCs w:val="20"/>
              </w:rPr>
              <w:t>1</w:t>
            </w:r>
            <w:r w:rsidRPr="00522CD2">
              <w:rPr>
                <w:rFonts w:cs="Arial"/>
                <w:b/>
                <w:sz w:val="20"/>
                <w:szCs w:val="20"/>
              </w:rPr>
              <w:t xml:space="preserve">. </w:t>
            </w:r>
          </w:p>
          <w:p w14:paraId="76DC7912" w14:textId="77777777" w:rsidR="00841348" w:rsidRPr="00522CD2" w:rsidRDefault="00841348" w:rsidP="00841348">
            <w:pPr>
              <w:rPr>
                <w:rFonts w:cs="Arial"/>
                <w:b/>
                <w:sz w:val="20"/>
                <w:szCs w:val="20"/>
              </w:rPr>
            </w:pPr>
            <w:r w:rsidRPr="00522CD2">
              <w:rPr>
                <w:rFonts w:cs="Arial"/>
                <w:sz w:val="20"/>
                <w:szCs w:val="20"/>
              </w:rPr>
              <w:t>Summary of studies presenting data on the outcome domain of patient/carer experience (cross sectional studies).</w:t>
            </w:r>
          </w:p>
        </w:tc>
      </w:tr>
      <w:tr w:rsidR="00841348" w:rsidRPr="00522CD2" w14:paraId="78C105D2" w14:textId="77777777">
        <w:trPr>
          <w:trHeight w:val="340"/>
        </w:trPr>
        <w:tc>
          <w:tcPr>
            <w:tcW w:w="2508" w:type="dxa"/>
            <w:tcBorders>
              <w:top w:val="single" w:sz="4" w:space="0" w:color="auto"/>
              <w:left w:val="nil"/>
              <w:bottom w:val="single" w:sz="4" w:space="0" w:color="auto"/>
              <w:right w:val="nil"/>
            </w:tcBorders>
            <w:shd w:val="clear" w:color="auto" w:fill="FFFFFF" w:themeFill="background1"/>
            <w:vAlign w:val="center"/>
          </w:tcPr>
          <w:p w14:paraId="1FDC2243" w14:textId="77777777" w:rsidR="00841348" w:rsidRPr="00522CD2" w:rsidRDefault="00841348" w:rsidP="00841348">
            <w:pPr>
              <w:jc w:val="center"/>
              <w:rPr>
                <w:rFonts w:cs="Arial"/>
                <w:b/>
                <w:sz w:val="20"/>
                <w:szCs w:val="20"/>
              </w:rPr>
            </w:pPr>
            <w:r w:rsidRPr="00522CD2">
              <w:rPr>
                <w:rFonts w:cs="Arial"/>
                <w:b/>
                <w:sz w:val="20"/>
                <w:szCs w:val="20"/>
              </w:rPr>
              <w:t>Study and Setting</w:t>
            </w:r>
          </w:p>
        </w:tc>
        <w:tc>
          <w:tcPr>
            <w:tcW w:w="1995" w:type="dxa"/>
            <w:tcBorders>
              <w:top w:val="single" w:sz="4" w:space="0" w:color="auto"/>
              <w:left w:val="nil"/>
              <w:bottom w:val="single" w:sz="4" w:space="0" w:color="auto"/>
              <w:right w:val="nil"/>
            </w:tcBorders>
            <w:shd w:val="clear" w:color="auto" w:fill="FFFFFF" w:themeFill="background1"/>
            <w:vAlign w:val="center"/>
          </w:tcPr>
          <w:p w14:paraId="5B1B1C89" w14:textId="77777777" w:rsidR="00841348" w:rsidRPr="00522CD2" w:rsidRDefault="00841348" w:rsidP="00841348">
            <w:pPr>
              <w:jc w:val="center"/>
              <w:rPr>
                <w:rFonts w:cs="Arial"/>
                <w:b/>
                <w:sz w:val="20"/>
                <w:szCs w:val="20"/>
              </w:rPr>
            </w:pPr>
            <w:r w:rsidRPr="00522CD2">
              <w:rPr>
                <w:rFonts w:cs="Arial"/>
                <w:b/>
                <w:sz w:val="20"/>
                <w:szCs w:val="20"/>
              </w:rPr>
              <w:t>Design</w:t>
            </w:r>
          </w:p>
        </w:tc>
        <w:tc>
          <w:tcPr>
            <w:tcW w:w="850" w:type="dxa"/>
            <w:tcBorders>
              <w:top w:val="single" w:sz="4" w:space="0" w:color="auto"/>
              <w:left w:val="nil"/>
              <w:bottom w:val="single" w:sz="4" w:space="0" w:color="auto"/>
              <w:right w:val="nil"/>
            </w:tcBorders>
            <w:shd w:val="clear" w:color="auto" w:fill="FFFFFF" w:themeFill="background1"/>
            <w:vAlign w:val="center"/>
          </w:tcPr>
          <w:p w14:paraId="3A22AD74" w14:textId="77777777" w:rsidR="00841348" w:rsidRPr="00522CD2" w:rsidRDefault="00841348" w:rsidP="00841348">
            <w:pPr>
              <w:jc w:val="center"/>
              <w:rPr>
                <w:rFonts w:cs="Arial"/>
                <w:b/>
                <w:sz w:val="20"/>
                <w:szCs w:val="20"/>
              </w:rPr>
            </w:pPr>
            <w:r w:rsidRPr="00522CD2">
              <w:rPr>
                <w:rFonts w:cs="Arial"/>
                <w:b/>
                <w:sz w:val="20"/>
                <w:szCs w:val="20"/>
              </w:rPr>
              <w:t>N</w:t>
            </w:r>
          </w:p>
        </w:tc>
        <w:tc>
          <w:tcPr>
            <w:tcW w:w="3827" w:type="dxa"/>
            <w:tcBorders>
              <w:top w:val="single" w:sz="4" w:space="0" w:color="auto"/>
              <w:left w:val="nil"/>
              <w:bottom w:val="single" w:sz="4" w:space="0" w:color="auto"/>
              <w:right w:val="nil"/>
            </w:tcBorders>
            <w:shd w:val="clear" w:color="auto" w:fill="FFFFFF" w:themeFill="background1"/>
            <w:vAlign w:val="center"/>
          </w:tcPr>
          <w:p w14:paraId="5F651461" w14:textId="77777777" w:rsidR="00841348" w:rsidRPr="00522CD2" w:rsidRDefault="00841348" w:rsidP="00841348">
            <w:pPr>
              <w:jc w:val="center"/>
              <w:rPr>
                <w:rFonts w:cs="Arial"/>
                <w:b/>
                <w:sz w:val="20"/>
                <w:szCs w:val="20"/>
              </w:rPr>
            </w:pPr>
            <w:r w:rsidRPr="00522CD2">
              <w:rPr>
                <w:rFonts w:cs="Arial"/>
                <w:b/>
                <w:sz w:val="20"/>
                <w:szCs w:val="20"/>
              </w:rPr>
              <w:t>Outcome Sub-Domain</w:t>
            </w:r>
          </w:p>
        </w:tc>
        <w:tc>
          <w:tcPr>
            <w:tcW w:w="5954" w:type="dxa"/>
            <w:tcBorders>
              <w:top w:val="single" w:sz="4" w:space="0" w:color="auto"/>
              <w:left w:val="nil"/>
              <w:bottom w:val="single" w:sz="4" w:space="0" w:color="auto"/>
              <w:right w:val="nil"/>
            </w:tcBorders>
            <w:shd w:val="clear" w:color="auto" w:fill="FFFFFF" w:themeFill="background1"/>
            <w:vAlign w:val="center"/>
          </w:tcPr>
          <w:p w14:paraId="43CBB3E4" w14:textId="77777777" w:rsidR="00841348" w:rsidRPr="00522CD2" w:rsidRDefault="00841348" w:rsidP="00841348">
            <w:pPr>
              <w:jc w:val="center"/>
              <w:rPr>
                <w:rFonts w:cs="Arial"/>
                <w:b/>
                <w:sz w:val="20"/>
                <w:szCs w:val="20"/>
              </w:rPr>
            </w:pPr>
            <w:r w:rsidRPr="00522CD2">
              <w:rPr>
                <w:rFonts w:cs="Arial"/>
                <w:b/>
                <w:sz w:val="20"/>
                <w:szCs w:val="20"/>
              </w:rPr>
              <w:t>Measure/Indicator</w:t>
            </w:r>
          </w:p>
        </w:tc>
      </w:tr>
      <w:tr w:rsidR="00841348" w:rsidRPr="00522CD2" w14:paraId="18705EBD" w14:textId="77777777" w:rsidTr="00550A44">
        <w:tc>
          <w:tcPr>
            <w:tcW w:w="2508" w:type="dxa"/>
            <w:tcBorders>
              <w:top w:val="single" w:sz="4" w:space="0" w:color="auto"/>
              <w:left w:val="nil"/>
              <w:bottom w:val="single" w:sz="4" w:space="0" w:color="000000"/>
              <w:right w:val="nil"/>
            </w:tcBorders>
            <w:shd w:val="clear" w:color="auto" w:fill="auto"/>
          </w:tcPr>
          <w:p w14:paraId="20093AE2" w14:textId="3058A25F" w:rsidR="00841348" w:rsidRPr="00522CD2" w:rsidRDefault="00841348" w:rsidP="00841348">
            <w:pPr>
              <w:spacing w:line="276" w:lineRule="auto"/>
              <w:rPr>
                <w:rFonts w:cs="Arial"/>
                <w:sz w:val="20"/>
                <w:szCs w:val="20"/>
              </w:rPr>
            </w:pPr>
            <w:r w:rsidRPr="00522CD2">
              <w:rPr>
                <w:rFonts w:cs="Arial"/>
                <w:sz w:val="20"/>
                <w:szCs w:val="20"/>
              </w:rPr>
              <w:t>Langdon et al. (2006)</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"10.1111/j.1365-2788.2006.00847.x", "ISSN" : "0964-2633", "PMID" : "16999782", "abstract" : "BACKGROUND The social climate of inpatient facilities is thought to be an important contributor to treatment outcome. However, little research has focused on this construct within secure forensic services for people with intellectual disabilities (ID). Therefore, the objective of this study was to investigate the social climate of two different types of secure units ('low' secure vs. 'medium' secure) contained within the same facility for offenders with ID. Two hypotheses were generated: (1) residents would rate the social climate of the whole facility in a more negative direction than staff, and (2) residents and staff would rate the social climate of the 'low' secure unit in a more positive direction than that of the 'medium' secure unit. METHOD Using a 2 (factor 'Participant' = Staff or Resident) x 2 (factor 'Unit' = 'Low' or 'Medium' Secure Unit) between-subjects design, 18 residents and 37 staff members were recruited and completed the Correctional Institutions Environment Scale (CIES), a measure of social climate. RESULTS Residents tended to rate the units in a more positive direction than staff on some sub-scales. Participants rated the 'low' secure unit in a more positive direction than the 'medium' secure unit on two sub-scales of the CIES. However, on selected sub-scales there were differences. The findings of this study suggest that the CIES may be a valid instrument for use within forensic services for people with ID, and further suggests that residents and staff have different perceptions of the shared social climate, which may have implications for service development.", "author" : [ { "dropping-particle" : "", "family" : "Langdon", "given" : "P E", "non-dropping-particle" : "", "parse-names" : false, "suffix" : "" }, { "dropping-particle" : "", "family" : "Swift", "given" : "A", "non-dropping-particle" : "", "parse-names" : false, "suffix" : "" }, { "dropping-particle" : "", "family" : "Budd", "given" : "R", "non-dropping-particle" : "", "parse-names" : false, "suffix" : "" } ], "container-title" : "Journal of intellectual disability research : JIDR", "id" : "ITEM-1", "issue" : "Pt 11", "issued" : { "date-parts" : [ [ "2006", "11" ] ] }, "page" : "828-36", "title" : "Social climate within secure inpatient services for people with intellectual disabilities.", "type" : "article-journal", "volume" : "50" }, "uris" : [ "http://www.mendeley.com/documents/?uuid=9b5c381c-1a4a-3fe0-bbbc-43876fda896a" ] } ], "mendeley" : { "formattedCitation" : "(79)", "plainTextFormattedCitation" : "(79)", "previouslyFormattedCitation" : "(79)"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(79)</w:t>
            </w:r>
            <w:r w:rsidR="00FC3FE5" w:rsidRPr="00522CD2">
              <w:rPr>
                <w:rFonts w:cs="Arial"/>
                <w:sz w:val="20"/>
                <w:szCs w:val="20"/>
              </w:rPr>
              <w:fldChar w:fldCharType="end"/>
            </w:r>
          </w:p>
          <w:p w14:paraId="1D24B1AB" w14:textId="77777777" w:rsidR="00841348" w:rsidRPr="00522CD2" w:rsidRDefault="00841348" w:rsidP="00841348">
            <w:pPr>
              <w:spacing w:line="276" w:lineRule="auto"/>
              <w:rPr>
                <w:rFonts w:cs="Arial"/>
                <w:sz w:val="20"/>
                <w:szCs w:val="20"/>
              </w:rPr>
            </w:pPr>
            <w:r w:rsidRPr="00522CD2">
              <w:rPr>
                <w:rFonts w:cs="Arial"/>
                <w:sz w:val="20"/>
                <w:szCs w:val="20"/>
              </w:rPr>
              <w:t>Medium and low secure</w:t>
            </w:r>
          </w:p>
          <w:p w14:paraId="23C09E20" w14:textId="77777777" w:rsidR="00841348" w:rsidRPr="00522CD2" w:rsidRDefault="00841348" w:rsidP="00841348">
            <w:pPr>
              <w:spacing w:line="276" w:lineRule="auto"/>
              <w:rPr>
                <w:rFonts w:cs="Arial"/>
                <w:sz w:val="20"/>
                <w:szCs w:val="20"/>
              </w:rPr>
            </w:pPr>
          </w:p>
        </w:tc>
        <w:tc>
          <w:tcPr>
            <w:tcW w:w="1995" w:type="dxa"/>
            <w:tcBorders>
              <w:top w:val="single" w:sz="4" w:space="0" w:color="auto"/>
              <w:left w:val="nil"/>
              <w:bottom w:val="single" w:sz="4" w:space="0" w:color="000000"/>
              <w:right w:val="nil"/>
            </w:tcBorders>
            <w:shd w:val="clear" w:color="auto" w:fill="auto"/>
          </w:tcPr>
          <w:p w14:paraId="2F7F0386" w14:textId="4DA8B343" w:rsidR="00841348" w:rsidRPr="00522CD2" w:rsidRDefault="00841348" w:rsidP="00841348">
            <w:pPr>
              <w:spacing w:line="276" w:lineRule="auto"/>
              <w:rPr>
                <w:rFonts w:cs="Arial"/>
                <w:sz w:val="20"/>
                <w:szCs w:val="20"/>
              </w:rPr>
            </w:pPr>
            <w:r w:rsidRPr="00522CD2">
              <w:rPr>
                <w:rFonts w:cs="Arial"/>
                <w:sz w:val="20"/>
                <w:szCs w:val="20"/>
              </w:rPr>
              <w:t xml:space="preserve">Cross-sectional </w:t>
            </w:r>
          </w:p>
        </w:tc>
        <w:tc>
          <w:tcPr>
            <w:tcW w:w="850" w:type="dxa"/>
            <w:tcBorders>
              <w:top w:val="single" w:sz="4" w:space="0" w:color="auto"/>
              <w:left w:val="nil"/>
              <w:bottom w:val="single" w:sz="4" w:space="0" w:color="000000"/>
              <w:right w:val="nil"/>
            </w:tcBorders>
            <w:shd w:val="clear" w:color="auto" w:fill="auto"/>
          </w:tcPr>
          <w:p w14:paraId="36B6F39D" w14:textId="77777777" w:rsidR="00841348" w:rsidRPr="00522CD2" w:rsidRDefault="00841348" w:rsidP="00841348">
            <w:pPr>
              <w:spacing w:line="276" w:lineRule="auto"/>
              <w:ind w:left="252"/>
              <w:rPr>
                <w:rFonts w:cs="Arial"/>
                <w:sz w:val="20"/>
                <w:szCs w:val="20"/>
              </w:rPr>
            </w:pPr>
            <w:r w:rsidRPr="00522CD2">
              <w:rPr>
                <w:rFonts w:cs="Arial"/>
                <w:sz w:val="20"/>
                <w:szCs w:val="20"/>
              </w:rPr>
              <w:t>18</w:t>
            </w:r>
          </w:p>
        </w:tc>
        <w:tc>
          <w:tcPr>
            <w:tcW w:w="3827" w:type="dxa"/>
            <w:tcBorders>
              <w:top w:val="single" w:sz="4" w:space="0" w:color="auto"/>
              <w:left w:val="nil"/>
              <w:bottom w:val="single" w:sz="4" w:space="0" w:color="000000"/>
              <w:right w:val="nil"/>
            </w:tcBorders>
            <w:shd w:val="clear" w:color="auto" w:fill="auto"/>
          </w:tcPr>
          <w:p w14:paraId="23AC8FE6"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 Milieu </w:t>
            </w:r>
          </w:p>
        </w:tc>
        <w:tc>
          <w:tcPr>
            <w:tcW w:w="5954" w:type="dxa"/>
            <w:tcBorders>
              <w:top w:val="single" w:sz="4" w:space="0" w:color="auto"/>
              <w:left w:val="nil"/>
              <w:bottom w:val="single" w:sz="4" w:space="0" w:color="000000"/>
              <w:right w:val="nil"/>
            </w:tcBorders>
            <w:shd w:val="clear" w:color="auto" w:fill="auto"/>
          </w:tcPr>
          <w:p w14:paraId="2E19376F" w14:textId="64C74CDF"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CIES read aloud to patients, scores during treatment</w:t>
            </w:r>
          </w:p>
        </w:tc>
      </w:tr>
      <w:tr w:rsidR="00841348" w:rsidRPr="00522CD2" w14:paraId="487DEF85" w14:textId="77777777" w:rsidTr="00550A44">
        <w:trPr>
          <w:trHeight w:val="1124"/>
        </w:trPr>
        <w:tc>
          <w:tcPr>
            <w:tcW w:w="2508" w:type="dxa"/>
            <w:tcBorders>
              <w:top w:val="single" w:sz="4" w:space="0" w:color="000000"/>
              <w:left w:val="nil"/>
              <w:bottom w:val="single" w:sz="4" w:space="0" w:color="000000"/>
              <w:right w:val="nil"/>
            </w:tcBorders>
            <w:shd w:val="clear" w:color="auto" w:fill="auto"/>
          </w:tcPr>
          <w:p w14:paraId="29EF4217" w14:textId="693D2099" w:rsidR="00841348" w:rsidRPr="00522CD2" w:rsidRDefault="00841348" w:rsidP="00841348">
            <w:pPr>
              <w:spacing w:line="276" w:lineRule="auto"/>
              <w:rPr>
                <w:rFonts w:cs="Arial"/>
                <w:sz w:val="20"/>
                <w:szCs w:val="20"/>
              </w:rPr>
            </w:pPr>
            <w:r w:rsidRPr="00522CD2">
              <w:rPr>
                <w:rFonts w:cs="Arial"/>
                <w:sz w:val="20"/>
                <w:szCs w:val="20"/>
              </w:rPr>
              <w:t>Mansell et al. (2010)</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"10.1111/j.1468-3148.2010.00568.x", "ISBN" : "1360-2322", "ISSN" : "13602322", "abstract" : "Background As institutions for people with intellectual disabilities have been replaced with community services, health care provision has developed to provide assessment and treatment, low and medium secure units for people with challenging behaviour or mental health problems. These include both public and private sector provision. Little is known about these services. The aim of this study was to describe the characteristics of the services studied and to compare the different types of service. Methods A survey was carried out of National Health Service (NHS) and independent sector (IH) health settings providing specialist inpatient services for people with intellectual disabilities. Data were collected on setting and patient characteristics, staffing and management and care processes and outcomes. Results Services were very unevenly distributed across England. There were differences between NHS and IH settings. IH assessment and treatment units were bigger, had higher occupancy and lower staff ratio. In all three types of unit, IH units had fewer visits to patients, used more seclusion, physical restraint and had more locked areas. They had more complaints in more services from users and (for assessment and treatment units and low secure units only) from relatives. In low secure units, they had more adult protection referrals. On the other hand, IH units used fewer agency staff in assessment and treatment units (though more in medium secure units) and provided more appraisals, more visits from commissioners, more consultations with GPs and dentists and more use of whistleblowing procedures by staff. A quarter of people in NHS assessment and treatment units had finished treatment but had no plan for discharge. Conclusions Further research is required to determine the reasons for differences observed between IH and NHS units. The large number of people who have finished treatment emphasizes the importance of developing housing in the community with sufficiently skilled support. The large number of patients in low secure services raises the question whether this type of service is recreating the intellectual disability institutions which government policy intends to close.", "author" : [ { "dropping-particle" : "", "family" : "Mansell", "given" : "Jim", "non-dropping-particle" : "", "parse-names" : false, "suffix" : "" }, { "dropping-particle" : "", "family" : "Ritchie", "given" : "Fiona", "non-dropping-particle" : "", "parse-names" : false, "suffix" : "" }, { "dropping-particle" : "", "family" : "Dyer", "given" : "Ricinda", "non-dropping-particle" : "", "parse-names" : false, "suffix" : "" } ], "container-title" : "Journal of Applied Research in Intellectual Disabilities", "id" : "ITEM-1", "issue" : "6", "issued" : { "date-parts" : [ [ "2010" ] ] }, "page" : "552-559", "publisher" : "Emerald Group Publishing Limited", "title" : "Health Service Inpatient Units for People with Intellectual Disabilities and Challenging Behaviour or Mental Health Problems", "type" : "article-journal", "volume" : "23" }, "uris" : [ "http://www.mendeley.com/documents/?uuid=f76ffbb9-6148-33e0-9b49-6eff7d730360" ] } ], "mendeley" : { "formattedCitation" : "(69)", "plainTextFormattedCitation" : "(69)", "previouslyFormattedCitation" : "(69)"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(69)</w:t>
            </w:r>
            <w:r w:rsidR="00FC3FE5" w:rsidRPr="00522CD2">
              <w:rPr>
                <w:rFonts w:cs="Arial"/>
                <w:sz w:val="20"/>
                <w:szCs w:val="20"/>
              </w:rPr>
              <w:fldChar w:fldCharType="end"/>
            </w:r>
          </w:p>
          <w:p w14:paraId="5AC7467E" w14:textId="77777777" w:rsidR="00841348" w:rsidRPr="00522CD2" w:rsidRDefault="00841348" w:rsidP="00841348">
            <w:pPr>
              <w:spacing w:line="276" w:lineRule="auto"/>
              <w:rPr>
                <w:rFonts w:cs="Arial"/>
                <w:sz w:val="20"/>
                <w:szCs w:val="20"/>
              </w:rPr>
            </w:pPr>
            <w:r w:rsidRPr="00522CD2">
              <w:rPr>
                <w:rFonts w:cs="Arial"/>
                <w:sz w:val="20"/>
                <w:szCs w:val="20"/>
              </w:rPr>
              <w:t>Medium and low secure</w:t>
            </w:r>
          </w:p>
        </w:tc>
        <w:tc>
          <w:tcPr>
            <w:tcW w:w="1995" w:type="dxa"/>
            <w:tcBorders>
              <w:top w:val="single" w:sz="4" w:space="0" w:color="000000"/>
              <w:left w:val="nil"/>
              <w:bottom w:val="single" w:sz="4" w:space="0" w:color="000000"/>
              <w:right w:val="nil"/>
            </w:tcBorders>
            <w:shd w:val="clear" w:color="auto" w:fill="auto"/>
          </w:tcPr>
          <w:p w14:paraId="29E83D52" w14:textId="5BF1FF1C" w:rsidR="00841348" w:rsidRPr="00522CD2" w:rsidRDefault="00841348" w:rsidP="00841348">
            <w:pPr>
              <w:spacing w:line="276" w:lineRule="auto"/>
              <w:rPr>
                <w:rFonts w:cs="Arial"/>
                <w:sz w:val="20"/>
                <w:szCs w:val="20"/>
              </w:rPr>
            </w:pPr>
            <w:r w:rsidRPr="00522CD2">
              <w:rPr>
                <w:rFonts w:cs="Arial"/>
                <w:sz w:val="20"/>
                <w:szCs w:val="20"/>
              </w:rPr>
              <w:t>Cross-sectional  6 month period</w:t>
            </w:r>
          </w:p>
        </w:tc>
        <w:tc>
          <w:tcPr>
            <w:tcW w:w="850" w:type="dxa"/>
            <w:tcBorders>
              <w:top w:val="single" w:sz="4" w:space="0" w:color="000000"/>
              <w:left w:val="nil"/>
              <w:bottom w:val="single" w:sz="4" w:space="0" w:color="000000"/>
              <w:right w:val="nil"/>
            </w:tcBorders>
            <w:shd w:val="clear" w:color="auto" w:fill="auto"/>
          </w:tcPr>
          <w:p w14:paraId="4D853BB2" w14:textId="77777777" w:rsidR="00841348" w:rsidRPr="00522CD2" w:rsidRDefault="00841348" w:rsidP="00841348">
            <w:pPr>
              <w:spacing w:line="276" w:lineRule="auto"/>
              <w:rPr>
                <w:rFonts w:cs="Arial"/>
                <w:sz w:val="20"/>
                <w:szCs w:val="20"/>
              </w:rPr>
            </w:pPr>
            <w:r w:rsidRPr="00522CD2">
              <w:rPr>
                <w:rFonts w:cs="Arial"/>
                <w:sz w:val="20"/>
                <w:szCs w:val="20"/>
              </w:rPr>
              <w:t>1,189</w:t>
            </w:r>
          </w:p>
        </w:tc>
        <w:tc>
          <w:tcPr>
            <w:tcW w:w="3827" w:type="dxa"/>
            <w:tcBorders>
              <w:top w:val="single" w:sz="4" w:space="0" w:color="000000"/>
              <w:left w:val="nil"/>
              <w:bottom w:val="single" w:sz="4" w:space="0" w:color="000000"/>
              <w:right w:val="nil"/>
            </w:tcBorders>
            <w:shd w:val="clear" w:color="auto" w:fill="auto"/>
          </w:tcPr>
          <w:p w14:paraId="0B4FEB64"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Service satisfaction/complaints</w:t>
            </w:r>
          </w:p>
          <w:p w14:paraId="140618FF" w14:textId="77777777" w:rsidR="00841348" w:rsidRPr="00522CD2" w:rsidRDefault="00841348" w:rsidP="00841348">
            <w:pPr>
              <w:spacing w:line="276" w:lineRule="auto"/>
              <w:ind w:left="12"/>
              <w:rPr>
                <w:rFonts w:cs="Arial"/>
                <w:sz w:val="20"/>
                <w:szCs w:val="20"/>
              </w:rPr>
            </w:pPr>
          </w:p>
          <w:p w14:paraId="48F9B4EB" w14:textId="77777777" w:rsidR="00841348" w:rsidRPr="00522CD2" w:rsidRDefault="00841348" w:rsidP="00841348">
            <w:pPr>
              <w:spacing w:line="276" w:lineRule="auto"/>
              <w:ind w:left="12"/>
              <w:rPr>
                <w:rFonts w:cs="Arial"/>
                <w:sz w:val="20"/>
                <w:szCs w:val="20"/>
              </w:rPr>
            </w:pPr>
          </w:p>
          <w:p w14:paraId="2E9E83BF"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Involvement</w:t>
            </w:r>
          </w:p>
        </w:tc>
        <w:tc>
          <w:tcPr>
            <w:tcW w:w="5954" w:type="dxa"/>
            <w:tcBorders>
              <w:top w:val="single" w:sz="4" w:space="0" w:color="000000"/>
              <w:left w:val="nil"/>
              <w:bottom w:val="single" w:sz="4" w:space="0" w:color="000000"/>
              <w:right w:val="nil"/>
            </w:tcBorders>
            <w:shd w:val="clear" w:color="auto" w:fill="auto"/>
          </w:tcPr>
          <w:p w14:paraId="12311134" w14:textId="4CDCE319"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 generated complaints per unit over 6 month period, recorded via standardised survey</w:t>
            </w:r>
          </w:p>
          <w:p w14:paraId="2E2E7CFE" w14:textId="510118FD" w:rsidR="00841348" w:rsidRPr="00522CD2" w:rsidRDefault="00841348" w:rsidP="00386B2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Number of patients with an up-to-date and accessible copy of their own care plan and number of visitors for each patient per unit</w:t>
            </w:r>
          </w:p>
        </w:tc>
      </w:tr>
      <w:tr w:rsidR="00841348" w:rsidRPr="00522CD2" w14:paraId="00110675" w14:textId="77777777" w:rsidTr="00550A44">
        <w:trPr>
          <w:trHeight w:val="439"/>
        </w:trPr>
        <w:tc>
          <w:tcPr>
            <w:tcW w:w="2508" w:type="dxa"/>
            <w:tcBorders>
              <w:top w:val="single" w:sz="4" w:space="0" w:color="000000"/>
              <w:left w:val="nil"/>
              <w:bottom w:val="single" w:sz="4" w:space="0" w:color="000000"/>
              <w:right w:val="nil"/>
            </w:tcBorders>
            <w:shd w:val="clear" w:color="auto" w:fill="auto"/>
          </w:tcPr>
          <w:p w14:paraId="225A9397" w14:textId="67722EE8" w:rsidR="00841348" w:rsidRPr="00522CD2" w:rsidRDefault="00841348" w:rsidP="00841348">
            <w:pPr>
              <w:spacing w:line="276" w:lineRule="auto"/>
              <w:rPr>
                <w:rFonts w:cs="Arial"/>
                <w:sz w:val="20"/>
                <w:szCs w:val="20"/>
              </w:rPr>
            </w:pPr>
            <w:r w:rsidRPr="00522CD2">
              <w:rPr>
                <w:rFonts w:cs="Arial"/>
                <w:sz w:val="20"/>
                <w:szCs w:val="20"/>
              </w:rPr>
              <w:t>Steptoe et al. (2006)</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"10.1080/13668250500488652", "ISBN" : "1366-8250 (Print)\\r1366-8250 (Linking)", "ISSN" : "1366-8250", "PMID" : "16766318", "abstract" : "BACKGROUND: Hayes (1991) and Day (1994) have developed hypotheses about the importance of social and developmental variables in the aetiology of sexual offences in offenders with intellectual disability. The present study is the first of its kind to investigate the perceived quality of life and relationships of sex offenders in comparison to an appropriate control group. METHOD: A group of 28 sex offenders with intellectual disability (ID) were compared with 28 members of a control group of individuals with ID. All participants completed the Significant Others Scale (SOS) which assesses self-perceptions of potential and ideal support from significant others in the individual's life, and the Life Experience Checklist (LEC) which assesses experiences and opportunities across 5 living domains: home, leisure, freedom, relationships and opportunities. RESULTS: There were no differences between the groups on age and IQ. On the SOS there were no differences between the groups on the number of times each significant other was reported. Actual and ideal levels of support from both mother and father were lower for sex offenders than the control group. On the LEC, sex offenders reported lower scores on the relationships and leisure sections. CONCLUSIONS: Poorer relationships and little indication of any wish to change that state of affairs suggests lower levels of integration and identification with society for sex offenders compared with the control group.", "author" : [ { "dropping-particle" : "", "family" : "Steptoe", "given" : "Lesley", "non-dropping-particle" : "", "parse-names" : false, "suffix" : "" }, { "dropping-particle" : "", "family" : "Lindsay", "given" : "William R.", "non-dropping-particle" : "", "parse-names" : false, "suffix" : "" }, { "dropping-particle" : "", "family" : "Forrest", "given" : "Diane", "non-dropping-particle" : "", "parse-names" : false, "suffix" : "" }, { "dropping-particle" : "", "family" : "Power", "given" : "Mick", "non-dropping-particle" : "", "parse-names" : false, "suffix" : "" } ], "container-title" : "Journal of intellectual &amp; developmental disability", "id" : "ITEM-1", "issue" : "1", "issued" : { "date-parts" : [ [ "2006" ] ] }, "page" : "13-19", "publisher" : "Routledge", "title" : "Quality of life and relationships in sex offenders with intellectual disability.", "type" : "article", "volume" : "31" }, "uris" : [ "http://www.mendeley.com/documents/?uuid=a80d0ce8-2c54-374d-8ddf-195b21b05d54" ] } ], "mendeley" : { "formattedCitation" : "(80)", "plainTextFormattedCitation" : "(80)", "previouslyFormattedCitation" : "(80)"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(80)</w:t>
            </w:r>
            <w:r w:rsidR="00FC3FE5" w:rsidRPr="00522CD2">
              <w:rPr>
                <w:rFonts w:cs="Arial"/>
                <w:sz w:val="20"/>
                <w:szCs w:val="20"/>
              </w:rPr>
              <w:fldChar w:fldCharType="end"/>
            </w:r>
          </w:p>
          <w:p w14:paraId="07DCCC45" w14:textId="77777777" w:rsidR="00841348" w:rsidRPr="00522CD2" w:rsidRDefault="00841348" w:rsidP="00841348">
            <w:pPr>
              <w:spacing w:line="276" w:lineRule="auto"/>
              <w:rPr>
                <w:rFonts w:cs="Arial"/>
                <w:sz w:val="20"/>
                <w:szCs w:val="20"/>
              </w:rPr>
            </w:pPr>
            <w:r w:rsidRPr="00522CD2">
              <w:rPr>
                <w:rFonts w:cs="Arial"/>
                <w:sz w:val="20"/>
                <w:szCs w:val="20"/>
              </w:rPr>
              <w:t>Community</w:t>
            </w:r>
          </w:p>
          <w:p w14:paraId="3C952053" w14:textId="77777777" w:rsidR="00841348" w:rsidRPr="00522CD2" w:rsidRDefault="00841348" w:rsidP="00841348">
            <w:pPr>
              <w:spacing w:line="276" w:lineRule="auto"/>
              <w:rPr>
                <w:rFonts w:cs="Arial"/>
                <w:sz w:val="20"/>
                <w:szCs w:val="20"/>
              </w:rPr>
            </w:pPr>
          </w:p>
        </w:tc>
        <w:tc>
          <w:tcPr>
            <w:tcW w:w="1995" w:type="dxa"/>
            <w:tcBorders>
              <w:top w:val="single" w:sz="4" w:space="0" w:color="000000"/>
              <w:left w:val="nil"/>
              <w:bottom w:val="single" w:sz="4" w:space="0" w:color="000000"/>
              <w:right w:val="nil"/>
            </w:tcBorders>
            <w:shd w:val="clear" w:color="auto" w:fill="auto"/>
          </w:tcPr>
          <w:p w14:paraId="4005DEE7" w14:textId="0DD81983" w:rsidR="00841348" w:rsidRPr="00522CD2" w:rsidRDefault="00841348" w:rsidP="00841348">
            <w:pPr>
              <w:spacing w:line="276" w:lineRule="auto"/>
            </w:pPr>
            <w:r w:rsidRPr="00522CD2">
              <w:rPr>
                <w:rFonts w:cs="Arial"/>
                <w:sz w:val="20"/>
                <w:szCs w:val="20"/>
              </w:rPr>
              <w:t xml:space="preserve">Cross-sectional </w:t>
            </w:r>
          </w:p>
        </w:tc>
        <w:tc>
          <w:tcPr>
            <w:tcW w:w="850" w:type="dxa"/>
            <w:tcBorders>
              <w:top w:val="single" w:sz="4" w:space="0" w:color="000000"/>
              <w:left w:val="nil"/>
              <w:bottom w:val="single" w:sz="4" w:space="0" w:color="000000"/>
              <w:right w:val="nil"/>
            </w:tcBorders>
            <w:shd w:val="clear" w:color="auto" w:fill="auto"/>
          </w:tcPr>
          <w:p w14:paraId="3C451A16" w14:textId="77777777" w:rsidR="00841348" w:rsidRPr="00522CD2" w:rsidRDefault="00841348" w:rsidP="00841348">
            <w:pPr>
              <w:spacing w:line="276" w:lineRule="auto"/>
              <w:ind w:left="252"/>
              <w:rPr>
                <w:rFonts w:cs="Arial"/>
                <w:sz w:val="20"/>
                <w:szCs w:val="20"/>
              </w:rPr>
            </w:pPr>
            <w:r w:rsidRPr="00522CD2">
              <w:rPr>
                <w:rFonts w:cs="Arial"/>
                <w:sz w:val="20"/>
                <w:szCs w:val="20"/>
              </w:rPr>
              <w:t>28</w:t>
            </w:r>
          </w:p>
        </w:tc>
        <w:tc>
          <w:tcPr>
            <w:tcW w:w="3827" w:type="dxa"/>
            <w:tcBorders>
              <w:top w:val="single" w:sz="4" w:space="0" w:color="000000"/>
              <w:left w:val="nil"/>
              <w:bottom w:val="single" w:sz="4" w:space="0" w:color="000000"/>
              <w:right w:val="nil"/>
            </w:tcBorders>
            <w:shd w:val="clear" w:color="auto" w:fill="auto"/>
          </w:tcPr>
          <w:p w14:paraId="4206937C"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Quality of life</w:t>
            </w:r>
          </w:p>
        </w:tc>
        <w:tc>
          <w:tcPr>
            <w:tcW w:w="5954" w:type="dxa"/>
            <w:tcBorders>
              <w:top w:val="single" w:sz="4" w:space="0" w:color="000000"/>
              <w:left w:val="nil"/>
              <w:bottom w:val="single" w:sz="4" w:space="0" w:color="000000"/>
              <w:right w:val="nil"/>
            </w:tcBorders>
            <w:shd w:val="clear" w:color="auto" w:fill="auto"/>
          </w:tcPr>
          <w:p w14:paraId="1154DF8E" w14:textId="1CD424D6"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SOS and LEC scores during treatment</w:t>
            </w:r>
            <w:r w:rsidR="00550A44" w:rsidRPr="00522CD2">
              <w:rPr>
                <w:rFonts w:cs="Arial"/>
                <w:sz w:val="20"/>
                <w:szCs w:val="20"/>
              </w:rPr>
              <w:t>.</w:t>
            </w:r>
          </w:p>
        </w:tc>
      </w:tr>
      <w:tr w:rsidR="00841348" w:rsidRPr="00522CD2" w14:paraId="3EF0B943" w14:textId="77777777" w:rsidTr="00550A44">
        <w:trPr>
          <w:trHeight w:val="87"/>
        </w:trPr>
        <w:tc>
          <w:tcPr>
            <w:tcW w:w="2508" w:type="dxa"/>
            <w:tcBorders>
              <w:top w:val="single" w:sz="4" w:space="0" w:color="000000"/>
              <w:left w:val="nil"/>
              <w:bottom w:val="single" w:sz="4" w:space="0" w:color="auto"/>
              <w:right w:val="nil"/>
            </w:tcBorders>
            <w:shd w:val="clear" w:color="auto" w:fill="auto"/>
          </w:tcPr>
          <w:p w14:paraId="28316F00" w14:textId="16FA4AEA" w:rsidR="00841348" w:rsidRPr="00522CD2" w:rsidRDefault="00841348" w:rsidP="00841348">
            <w:pPr>
              <w:spacing w:line="276" w:lineRule="auto"/>
              <w:rPr>
                <w:rFonts w:cs="Arial"/>
                <w:sz w:val="20"/>
                <w:szCs w:val="20"/>
              </w:rPr>
            </w:pPr>
            <w:r w:rsidRPr="00522CD2">
              <w:rPr>
                <w:rFonts w:cs="Arial"/>
                <w:sz w:val="20"/>
                <w:szCs w:val="20"/>
              </w:rPr>
              <w:t>Willetts et al. (2014)</w:t>
            </w:r>
            <w:r w:rsidR="00FC3FE5" w:rsidRPr="00522CD2">
              <w:rPr>
                <w:rFonts w:cs="Arial"/>
                <w:sz w:val="20"/>
                <w:szCs w:val="20"/>
              </w:rPr>
              <w:t xml:space="preserve"> </w:t>
            </w:r>
            <w:r w:rsidR="00FC3FE5" w:rsidRPr="00522CD2">
              <w:rPr>
                <w:rFonts w:cs="Arial"/>
                <w:sz w:val="20"/>
                <w:szCs w:val="20"/>
              </w:rPr>
              <w:fldChar w:fldCharType="begin" w:fldLock="1"/>
            </w:r>
            <w:r w:rsidR="00E353A8" w:rsidRPr="00522CD2">
              <w:rPr>
                <w:rFonts w:cs="Arial"/>
                <w:sz w:val="20"/>
                <w:szCs w:val="20"/>
              </w:rPr>
              <w:instrText>ADDIN CSL_CITATION { "citationItems" : [ { "id" : "ITEM-1", "itemData" : { "DOI" : "10.1108/JIDOB-10-2013-0025", "ISSN" : "2050-8824", "abstract" : "Purpose: The social climate of psychiatric institutions correlates with multiple outcomes related to staff and patients. Research into social climate in Learning Disability services is limited. Staff and patients in Learning Disability services have documented both positive and negative experiences. No research has directly compared the social climate of Learning Disability and non-Learning Disability psychiatric services. The purpose of this paper is to understand how these compare. The study will also compare staff and patient views of social climate and the impact of security on social climate in Learning Disability services. Design/methodology/approach: A total of 64 patients and 73 staff, from Learning Disability and non-Learning Disability psychiatric hospitals completed the Essen Climate Evaluation Schema (EssenCES) measure of social climate. Findings: Patients in Learning Disability and non-Learning Disability services did not differ in their perceptions of social climate. Staff in non-Learning Disability services had a more positive perception of social climate than staff in Learning Disability services. Patients and staff did not differ in their views on climate. Security was negatively related to patients' Experienced Safety. Originality/value: The findings suggest that staff perceive that the deficits associated with Learning Disabilities may limit patients' therapeutic experience and relationships with their peers. Despite this, patients with Learning Disabilities feel supported by their peers, have positive views of the treatment process and feel as safe as non-Learning Disabled psychiatric patients. \u00a9 Emerald Group Publishing Limited.", "author" : [ { "dropping-particle" : "", "family" : "Willets", "given" : "Laura", "non-dropping-particle" : "", "parse-names" : false, "suffix" : "" }, { "dropping-particle" : "", "family" : "Mooney", "given" : "Paul", "non-dropping-particle" : "", "parse-names" : false, "suffix" : "" }, { "dropping-particle" : "", "family" : "Blagden", "given" : "Nicholas", "non-dropping-particle" : "", "parse-names" : false, "suffix" : "" } ], "container-title" : "Journal of Intellectual Disabilities and Offending Behaviour", "id" : "ITEM-1", "issue" : "1", "issued" : { "date-parts" : [ [ "2014" ] ] }, "page" : "24-37", "publisher" : "Emerald Group Publishing Limited", "title" : "Social climate in Learning Disability services", "type" : "article-journal", "volume" : "5" }, "uris" : [ "http://www.mendeley.com/documents/?uuid=7aedd99c-d022-3223-bed4-fb9a53aae744" ] } ], "mendeley" : { "formattedCitation" : "(81)", "plainTextFormattedCitation" : "(81)", "previouslyFormattedCitation" : "(81)" }, "properties" : { "noteIndex" : 0 }, "schema" : "https://github.com/citation-style-language/schema/raw/master/csl-citation.json" }</w:instrText>
            </w:r>
            <w:r w:rsidR="00FC3FE5" w:rsidRPr="00522CD2">
              <w:rPr>
                <w:rFonts w:cs="Arial"/>
                <w:sz w:val="20"/>
                <w:szCs w:val="20"/>
              </w:rPr>
              <w:fldChar w:fldCharType="separate"/>
            </w:r>
            <w:r w:rsidR="00E353A8" w:rsidRPr="00522CD2">
              <w:rPr>
                <w:rFonts w:cs="Arial"/>
                <w:noProof/>
                <w:sz w:val="20"/>
                <w:szCs w:val="20"/>
              </w:rPr>
              <w:t>(81)</w:t>
            </w:r>
            <w:r w:rsidR="00FC3FE5" w:rsidRPr="00522CD2">
              <w:rPr>
                <w:rFonts w:cs="Arial"/>
                <w:sz w:val="20"/>
                <w:szCs w:val="20"/>
              </w:rPr>
              <w:fldChar w:fldCharType="end"/>
            </w:r>
          </w:p>
          <w:p w14:paraId="0B7C2B32" w14:textId="77777777" w:rsidR="00841348" w:rsidRPr="00522CD2" w:rsidRDefault="00841348" w:rsidP="00841348">
            <w:pPr>
              <w:spacing w:line="276" w:lineRule="auto"/>
              <w:rPr>
                <w:rFonts w:cs="Arial"/>
                <w:sz w:val="20"/>
                <w:szCs w:val="20"/>
              </w:rPr>
            </w:pPr>
            <w:r w:rsidRPr="00522CD2">
              <w:rPr>
                <w:rFonts w:cs="Arial"/>
                <w:sz w:val="20"/>
                <w:szCs w:val="20"/>
              </w:rPr>
              <w:t>Medium and low secure</w:t>
            </w:r>
          </w:p>
        </w:tc>
        <w:tc>
          <w:tcPr>
            <w:tcW w:w="1995" w:type="dxa"/>
            <w:tcBorders>
              <w:top w:val="single" w:sz="4" w:space="0" w:color="000000"/>
              <w:left w:val="nil"/>
              <w:bottom w:val="single" w:sz="4" w:space="0" w:color="auto"/>
              <w:right w:val="nil"/>
            </w:tcBorders>
            <w:shd w:val="clear" w:color="auto" w:fill="auto"/>
          </w:tcPr>
          <w:p w14:paraId="3591D643" w14:textId="36577947" w:rsidR="00841348" w:rsidRPr="00522CD2" w:rsidRDefault="00841348" w:rsidP="00841348">
            <w:pPr>
              <w:spacing w:line="276" w:lineRule="auto"/>
              <w:rPr>
                <w:rFonts w:cs="Arial"/>
                <w:sz w:val="20"/>
                <w:szCs w:val="20"/>
              </w:rPr>
            </w:pPr>
            <w:r w:rsidRPr="00522CD2">
              <w:rPr>
                <w:rFonts w:cs="Arial"/>
                <w:sz w:val="20"/>
                <w:szCs w:val="20"/>
              </w:rPr>
              <w:t xml:space="preserve">Cross-sectional </w:t>
            </w:r>
          </w:p>
        </w:tc>
        <w:tc>
          <w:tcPr>
            <w:tcW w:w="850" w:type="dxa"/>
            <w:tcBorders>
              <w:top w:val="single" w:sz="4" w:space="0" w:color="000000"/>
              <w:left w:val="nil"/>
              <w:bottom w:val="single" w:sz="4" w:space="0" w:color="auto"/>
              <w:right w:val="nil"/>
            </w:tcBorders>
            <w:shd w:val="clear" w:color="auto" w:fill="auto"/>
          </w:tcPr>
          <w:p w14:paraId="36D58B8D" w14:textId="77777777" w:rsidR="00841348" w:rsidRPr="00522CD2" w:rsidRDefault="00841348" w:rsidP="00841348">
            <w:pPr>
              <w:spacing w:line="276" w:lineRule="auto"/>
              <w:ind w:left="252"/>
              <w:rPr>
                <w:rFonts w:cs="Arial"/>
                <w:sz w:val="20"/>
                <w:szCs w:val="20"/>
              </w:rPr>
            </w:pPr>
            <w:r w:rsidRPr="00522CD2">
              <w:rPr>
                <w:rFonts w:cs="Arial"/>
                <w:sz w:val="20"/>
                <w:szCs w:val="20"/>
              </w:rPr>
              <w:t>45</w:t>
            </w:r>
          </w:p>
        </w:tc>
        <w:tc>
          <w:tcPr>
            <w:tcW w:w="3827" w:type="dxa"/>
            <w:tcBorders>
              <w:top w:val="single" w:sz="4" w:space="0" w:color="000000"/>
              <w:left w:val="nil"/>
              <w:bottom w:val="single" w:sz="4" w:space="0" w:color="auto"/>
              <w:right w:val="nil"/>
            </w:tcBorders>
            <w:shd w:val="clear" w:color="auto" w:fill="auto"/>
          </w:tcPr>
          <w:p w14:paraId="39577771" w14:textId="77777777" w:rsidR="00841348" w:rsidRPr="00522CD2" w:rsidRDefault="00841348"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 xml:space="preserve"> Milieu</w:t>
            </w:r>
          </w:p>
        </w:tc>
        <w:tc>
          <w:tcPr>
            <w:tcW w:w="5954" w:type="dxa"/>
            <w:tcBorders>
              <w:top w:val="single" w:sz="4" w:space="0" w:color="000000"/>
              <w:left w:val="nil"/>
              <w:bottom w:val="single" w:sz="4" w:space="0" w:color="auto"/>
              <w:right w:val="nil"/>
            </w:tcBorders>
            <w:shd w:val="clear" w:color="auto" w:fill="auto"/>
          </w:tcPr>
          <w:p w14:paraId="6B8DEE02" w14:textId="1195E1D6" w:rsidR="00841348" w:rsidRPr="00522CD2" w:rsidRDefault="00AB187E" w:rsidP="0054051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52"/>
              </w:tabs>
              <w:spacing w:line="276" w:lineRule="auto"/>
              <w:ind w:left="252" w:hanging="240"/>
              <w:rPr>
                <w:rFonts w:cs="Arial"/>
                <w:sz w:val="20"/>
                <w:szCs w:val="20"/>
              </w:rPr>
            </w:pPr>
            <w:r w:rsidRPr="00522CD2">
              <w:rPr>
                <w:rFonts w:cs="Arial"/>
                <w:sz w:val="20"/>
                <w:szCs w:val="20"/>
              </w:rPr>
              <w:t>EssenCES</w:t>
            </w:r>
            <w:r w:rsidR="00841348" w:rsidRPr="00522CD2">
              <w:rPr>
                <w:rFonts w:cs="Arial"/>
                <w:sz w:val="20"/>
                <w:szCs w:val="20"/>
              </w:rPr>
              <w:t xml:space="preserve"> scores during treatment</w:t>
            </w:r>
            <w:r w:rsidR="00550A44" w:rsidRPr="00522CD2">
              <w:rPr>
                <w:rFonts w:cs="Arial"/>
                <w:sz w:val="20"/>
                <w:szCs w:val="20"/>
              </w:rPr>
              <w:t>.</w:t>
            </w:r>
          </w:p>
        </w:tc>
      </w:tr>
      <w:tr w:rsidR="00841348" w:rsidRPr="00522CD2" w14:paraId="359D4ECF" w14:textId="77777777">
        <w:trPr>
          <w:trHeight w:val="416"/>
        </w:trPr>
        <w:tc>
          <w:tcPr>
            <w:tcW w:w="15134" w:type="dxa"/>
            <w:gridSpan w:val="5"/>
            <w:tcBorders>
              <w:top w:val="single" w:sz="4" w:space="0" w:color="auto"/>
              <w:left w:val="nil"/>
              <w:bottom w:val="nil"/>
              <w:right w:val="nil"/>
            </w:tcBorders>
            <w:shd w:val="clear" w:color="auto" w:fill="auto"/>
          </w:tcPr>
          <w:p w14:paraId="340026F7" w14:textId="367B247E" w:rsidR="00841348" w:rsidRPr="00522CD2" w:rsidRDefault="00841348" w:rsidP="00386B2B">
            <w:pPr>
              <w:spacing w:line="276" w:lineRule="auto"/>
              <w:rPr>
                <w:rFonts w:cs="Arial"/>
                <w:sz w:val="20"/>
                <w:szCs w:val="20"/>
              </w:rPr>
            </w:pPr>
            <w:r w:rsidRPr="00522CD2">
              <w:rPr>
                <w:rFonts w:cs="Arial"/>
                <w:i/>
                <w:sz w:val="20"/>
                <w:szCs w:val="20"/>
              </w:rPr>
              <w:t xml:space="preserve">Note. </w:t>
            </w:r>
            <w:r w:rsidRPr="00522CD2">
              <w:rPr>
                <w:rFonts w:cs="Arial"/>
                <w:sz w:val="20"/>
                <w:szCs w:val="20"/>
              </w:rPr>
              <w:t>CIES = Correctional</w:t>
            </w:r>
            <w:r w:rsidR="00165F91" w:rsidRPr="00522CD2">
              <w:rPr>
                <w:rFonts w:cs="Arial"/>
                <w:sz w:val="20"/>
                <w:szCs w:val="20"/>
              </w:rPr>
              <w:t xml:space="preserve"> Institutions Environment Scale; SOS = Significant Others Scale; LEC = L</w:t>
            </w:r>
            <w:r w:rsidRPr="00522CD2">
              <w:rPr>
                <w:rFonts w:cs="Arial"/>
                <w:sz w:val="20"/>
                <w:szCs w:val="20"/>
              </w:rPr>
              <w:t>ife experience checklist.</w:t>
            </w:r>
          </w:p>
          <w:p w14:paraId="04E3B397" w14:textId="77777777" w:rsidR="00C717E1" w:rsidRPr="00522CD2" w:rsidRDefault="00C717E1" w:rsidP="00841348">
            <w:pPr>
              <w:spacing w:line="276" w:lineRule="auto"/>
              <w:ind w:left="284"/>
              <w:rPr>
                <w:rFonts w:cs="Arial"/>
                <w:sz w:val="20"/>
                <w:szCs w:val="20"/>
              </w:rPr>
            </w:pPr>
          </w:p>
          <w:p w14:paraId="2E6D63E0" w14:textId="77777777" w:rsidR="00C717E1" w:rsidRPr="00522CD2" w:rsidRDefault="00C717E1" w:rsidP="00841348">
            <w:pPr>
              <w:spacing w:line="276" w:lineRule="auto"/>
              <w:ind w:left="284"/>
              <w:rPr>
                <w:rFonts w:cs="Arial"/>
                <w:sz w:val="20"/>
                <w:szCs w:val="20"/>
              </w:rPr>
            </w:pPr>
          </w:p>
        </w:tc>
      </w:tr>
    </w:tbl>
    <w:p w14:paraId="6EE52B25" w14:textId="77777777" w:rsidR="00841348" w:rsidRPr="00522CD2" w:rsidRDefault="00841348" w:rsidP="00841348">
      <w:pPr>
        <w:rPr>
          <w:rFonts w:cs="Arial"/>
        </w:rPr>
        <w:sectPr w:rsidR="00841348" w:rsidRPr="00522CD2" w:rsidSect="009726BA">
          <w:pgSz w:w="16840" w:h="11907" w:code="9"/>
          <w:pgMar w:top="1440" w:right="1440" w:bottom="1440" w:left="1440" w:header="720" w:footer="720" w:gutter="0"/>
          <w:cols w:space="720"/>
          <w:docGrid w:linePitch="360"/>
        </w:sectPr>
      </w:pPr>
    </w:p>
    <w:p w14:paraId="68B52360" w14:textId="77777777" w:rsidR="00C717E1" w:rsidRPr="00522CD2" w:rsidRDefault="00C717E1" w:rsidP="00C717E1">
      <w:pPr>
        <w:rPr>
          <w:color w:val="000000" w:themeColor="text1"/>
        </w:rPr>
      </w:pPr>
      <w:r w:rsidRPr="00522CD2">
        <w:rPr>
          <w:b/>
          <w:color w:val="000000" w:themeColor="text1"/>
          <w:sz w:val="22"/>
          <w:szCs w:val="22"/>
        </w:rPr>
        <w:t xml:space="preserve">Table 2: </w:t>
      </w:r>
      <w:r w:rsidR="00D94CA9" w:rsidRPr="00522CD2">
        <w:rPr>
          <w:b/>
          <w:color w:val="000000" w:themeColor="text1"/>
          <w:sz w:val="22"/>
          <w:szCs w:val="22"/>
        </w:rPr>
        <w:t>Initial f</w:t>
      </w:r>
      <w:r w:rsidRPr="00522CD2">
        <w:rPr>
          <w:b/>
          <w:color w:val="000000" w:themeColor="text1"/>
          <w:sz w:val="22"/>
          <w:szCs w:val="22"/>
        </w:rPr>
        <w:t>ramework of outcome domains and sub-domain</w:t>
      </w:r>
      <w:r w:rsidR="00D94CA9" w:rsidRPr="00522CD2">
        <w:rPr>
          <w:b/>
          <w:color w:val="000000" w:themeColor="text1"/>
          <w:sz w:val="22"/>
          <w:szCs w:val="22"/>
        </w:rPr>
        <w:t>s</w:t>
      </w:r>
    </w:p>
    <w:tbl>
      <w:tblPr>
        <w:tblpPr w:leftFromText="180" w:rightFromText="180" w:vertAnchor="page" w:horzAnchor="margin" w:tblpY="2026"/>
        <w:tblW w:w="8342" w:type="dxa"/>
        <w:shd w:val="clear" w:color="auto" w:fill="FFFFFF"/>
        <w:tblLayout w:type="fixed"/>
        <w:tblCellMar>
          <w:left w:w="0" w:type="dxa"/>
          <w:right w:w="0" w:type="dxa"/>
        </w:tblCellMar>
        <w:tblLook w:val="04A0" w:firstRow="1" w:lastRow="0" w:firstColumn="1" w:lastColumn="0" w:noHBand="0" w:noVBand="1"/>
      </w:tblPr>
      <w:tblGrid>
        <w:gridCol w:w="6499"/>
        <w:gridCol w:w="1843"/>
      </w:tblGrid>
      <w:tr w:rsidR="00C717E1" w:rsidRPr="00522CD2" w14:paraId="69A968EF" w14:textId="77777777">
        <w:trPr>
          <w:trHeight w:val="349"/>
        </w:trPr>
        <w:tc>
          <w:tcPr>
            <w:tcW w:w="6499" w:type="dxa"/>
            <w:tcBorders>
              <w:bottom w:val="single" w:sz="4" w:space="0" w:color="000000" w:themeColor="text1"/>
            </w:tcBorders>
            <w:shd w:val="clear" w:color="auto" w:fill="auto"/>
            <w:tcMar>
              <w:top w:w="72" w:type="dxa"/>
              <w:left w:w="120" w:type="dxa"/>
              <w:bottom w:w="72" w:type="dxa"/>
              <w:right w:w="120" w:type="dxa"/>
            </w:tcMar>
            <w:vAlign w:val="center"/>
          </w:tcPr>
          <w:p w14:paraId="081AFA50"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b/>
                <w:color w:val="000000" w:themeColor="text1"/>
                <w:sz w:val="20"/>
                <w:szCs w:val="20"/>
              </w:rPr>
              <w:t>Effectiveness</w:t>
            </w:r>
          </w:p>
        </w:tc>
        <w:tc>
          <w:tcPr>
            <w:tcW w:w="1843" w:type="dxa"/>
            <w:tcBorders>
              <w:bottom w:val="single" w:sz="4" w:space="0" w:color="000000" w:themeColor="text1"/>
            </w:tcBorders>
            <w:shd w:val="clear" w:color="auto" w:fill="auto"/>
            <w:vAlign w:val="center"/>
          </w:tcPr>
          <w:p w14:paraId="0E0179C6"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b/>
                <w:color w:val="000000" w:themeColor="text1"/>
                <w:sz w:val="20"/>
                <w:szCs w:val="20"/>
              </w:rPr>
              <w:t>Number of Studies</w:t>
            </w:r>
          </w:p>
        </w:tc>
      </w:tr>
      <w:tr w:rsidR="00C717E1" w:rsidRPr="00522CD2" w14:paraId="29D2F931" w14:textId="77777777">
        <w:trPr>
          <w:trHeight w:val="283"/>
        </w:trPr>
        <w:tc>
          <w:tcPr>
            <w:tcW w:w="6499" w:type="dxa"/>
            <w:tcBorders>
              <w:top w:val="single" w:sz="4" w:space="0" w:color="000000" w:themeColor="text1"/>
            </w:tcBorders>
            <w:shd w:val="clear" w:color="auto" w:fill="auto"/>
            <w:tcMar>
              <w:top w:w="72" w:type="dxa"/>
              <w:left w:w="120" w:type="dxa"/>
              <w:bottom w:w="72" w:type="dxa"/>
              <w:right w:w="120" w:type="dxa"/>
            </w:tcMar>
            <w:vAlign w:val="center"/>
          </w:tcPr>
          <w:p w14:paraId="232B8805"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Discharge outcome/direction of care pathway</w:t>
            </w:r>
          </w:p>
        </w:tc>
        <w:tc>
          <w:tcPr>
            <w:tcW w:w="1843" w:type="dxa"/>
            <w:tcBorders>
              <w:top w:val="single" w:sz="4" w:space="0" w:color="000000" w:themeColor="text1"/>
            </w:tcBorders>
            <w:shd w:val="clear" w:color="auto" w:fill="auto"/>
            <w:vAlign w:val="center"/>
          </w:tcPr>
          <w:p w14:paraId="580DF092"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26</w:t>
            </w:r>
          </w:p>
        </w:tc>
      </w:tr>
      <w:tr w:rsidR="00C717E1" w:rsidRPr="00522CD2" w14:paraId="082E70BA" w14:textId="77777777">
        <w:trPr>
          <w:trHeight w:val="283"/>
        </w:trPr>
        <w:tc>
          <w:tcPr>
            <w:tcW w:w="6499" w:type="dxa"/>
            <w:shd w:val="clear" w:color="auto" w:fill="auto"/>
            <w:tcMar>
              <w:top w:w="72" w:type="dxa"/>
              <w:left w:w="120" w:type="dxa"/>
              <w:bottom w:w="72" w:type="dxa"/>
              <w:right w:w="120" w:type="dxa"/>
            </w:tcMar>
            <w:vAlign w:val="center"/>
          </w:tcPr>
          <w:p w14:paraId="1DAE92B6" w14:textId="77777777" w:rsidR="00C717E1" w:rsidRPr="00522CD2" w:rsidRDefault="00C717E1" w:rsidP="00F01264">
            <w:pPr>
              <w:pBdr>
                <w:bottom w:val="none" w:sz="0" w:space="0" w:color="auto"/>
              </w:pBdr>
              <w:shd w:val="clear" w:color="auto" w:fill="FFFFFF" w:themeFill="background1"/>
              <w:spacing w:line="276" w:lineRule="auto"/>
              <w:rPr>
                <w:color w:val="000000" w:themeColor="text1"/>
                <w:sz w:val="20"/>
                <w:szCs w:val="20"/>
              </w:rPr>
            </w:pPr>
            <w:r w:rsidRPr="00522CD2">
              <w:rPr>
                <w:color w:val="000000" w:themeColor="text1"/>
                <w:sz w:val="20"/>
                <w:szCs w:val="20"/>
              </w:rPr>
              <w:t>Delayed discharge/current placement appropriateness</w:t>
            </w:r>
          </w:p>
        </w:tc>
        <w:tc>
          <w:tcPr>
            <w:tcW w:w="1843" w:type="dxa"/>
            <w:shd w:val="clear" w:color="auto" w:fill="auto"/>
            <w:vAlign w:val="center"/>
          </w:tcPr>
          <w:p w14:paraId="4D3F15A6" w14:textId="77777777" w:rsidR="00C717E1" w:rsidRPr="00522CD2" w:rsidRDefault="00C717E1" w:rsidP="00F01264">
            <w:pPr>
              <w:pBdr>
                <w:left w:val="single" w:sz="4" w:space="1" w:color="auto"/>
              </w:pBdr>
              <w:shd w:val="clear" w:color="auto" w:fill="FFFFFF" w:themeFill="background1"/>
              <w:spacing w:line="276" w:lineRule="auto"/>
              <w:jc w:val="center"/>
              <w:rPr>
                <w:color w:val="000000" w:themeColor="text1"/>
                <w:sz w:val="20"/>
                <w:szCs w:val="20"/>
              </w:rPr>
            </w:pPr>
            <w:r w:rsidRPr="00522CD2">
              <w:rPr>
                <w:color w:val="000000" w:themeColor="text1"/>
                <w:sz w:val="20"/>
                <w:szCs w:val="20"/>
              </w:rPr>
              <w:t>6</w:t>
            </w:r>
          </w:p>
        </w:tc>
      </w:tr>
      <w:tr w:rsidR="00C717E1" w:rsidRPr="00522CD2" w14:paraId="47A325CB" w14:textId="77777777">
        <w:trPr>
          <w:trHeight w:val="283"/>
        </w:trPr>
        <w:tc>
          <w:tcPr>
            <w:tcW w:w="6499" w:type="dxa"/>
            <w:shd w:val="clear" w:color="auto" w:fill="auto"/>
            <w:tcMar>
              <w:top w:w="72" w:type="dxa"/>
              <w:left w:w="120" w:type="dxa"/>
              <w:bottom w:w="72" w:type="dxa"/>
              <w:right w:w="120" w:type="dxa"/>
            </w:tcMar>
            <w:vAlign w:val="center"/>
          </w:tcPr>
          <w:p w14:paraId="78A746DD"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Length of hospital stay</w:t>
            </w:r>
          </w:p>
        </w:tc>
        <w:tc>
          <w:tcPr>
            <w:tcW w:w="1843" w:type="dxa"/>
            <w:shd w:val="clear" w:color="auto" w:fill="auto"/>
            <w:vAlign w:val="center"/>
          </w:tcPr>
          <w:p w14:paraId="44568E70" w14:textId="77777777" w:rsidR="00C717E1" w:rsidRPr="00522CD2" w:rsidRDefault="00C717E1" w:rsidP="00F01264">
            <w:pPr>
              <w:pBdr>
                <w:top w:val="none" w:sz="0" w:space="0" w:color="auto"/>
              </w:pBdr>
              <w:shd w:val="clear" w:color="auto" w:fill="FFFFFF" w:themeFill="background1"/>
              <w:spacing w:line="276" w:lineRule="auto"/>
              <w:jc w:val="center"/>
              <w:rPr>
                <w:color w:val="000000" w:themeColor="text1"/>
                <w:sz w:val="20"/>
                <w:szCs w:val="20"/>
              </w:rPr>
            </w:pPr>
            <w:r w:rsidRPr="00522CD2">
              <w:rPr>
                <w:color w:val="000000" w:themeColor="text1"/>
                <w:sz w:val="20"/>
                <w:szCs w:val="20"/>
              </w:rPr>
              <w:t>22</w:t>
            </w:r>
          </w:p>
        </w:tc>
      </w:tr>
      <w:tr w:rsidR="00C717E1" w:rsidRPr="00522CD2" w14:paraId="73457B8B" w14:textId="77777777">
        <w:trPr>
          <w:trHeight w:val="283"/>
        </w:trPr>
        <w:tc>
          <w:tcPr>
            <w:tcW w:w="6499" w:type="dxa"/>
            <w:shd w:val="clear" w:color="auto" w:fill="auto"/>
            <w:tcMar>
              <w:top w:w="72" w:type="dxa"/>
              <w:left w:w="120" w:type="dxa"/>
              <w:bottom w:w="72" w:type="dxa"/>
              <w:right w:w="120" w:type="dxa"/>
            </w:tcMar>
            <w:vAlign w:val="center"/>
          </w:tcPr>
          <w:p w14:paraId="58EDC50C"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Re-admission (i.e. readmitted to the same setting)</w:t>
            </w:r>
          </w:p>
        </w:tc>
        <w:tc>
          <w:tcPr>
            <w:tcW w:w="1843" w:type="dxa"/>
            <w:shd w:val="clear" w:color="auto" w:fill="auto"/>
            <w:vAlign w:val="center"/>
          </w:tcPr>
          <w:p w14:paraId="34AD3135"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4</w:t>
            </w:r>
          </w:p>
        </w:tc>
      </w:tr>
      <w:tr w:rsidR="00C717E1" w:rsidRPr="00522CD2" w14:paraId="089376B0" w14:textId="77777777">
        <w:trPr>
          <w:trHeight w:val="283"/>
        </w:trPr>
        <w:tc>
          <w:tcPr>
            <w:tcW w:w="6499" w:type="dxa"/>
            <w:shd w:val="clear" w:color="auto" w:fill="auto"/>
            <w:tcMar>
              <w:top w:w="72" w:type="dxa"/>
              <w:left w:w="120" w:type="dxa"/>
              <w:bottom w:w="72" w:type="dxa"/>
              <w:right w:w="120" w:type="dxa"/>
            </w:tcMar>
            <w:vAlign w:val="center"/>
          </w:tcPr>
          <w:p w14:paraId="4BA173AA"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Clinical symptom severity (clinician rated)</w:t>
            </w:r>
          </w:p>
        </w:tc>
        <w:tc>
          <w:tcPr>
            <w:tcW w:w="1843" w:type="dxa"/>
            <w:shd w:val="clear" w:color="auto" w:fill="auto"/>
            <w:vAlign w:val="center"/>
          </w:tcPr>
          <w:p w14:paraId="0BDF1774"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16</w:t>
            </w:r>
          </w:p>
        </w:tc>
      </w:tr>
      <w:tr w:rsidR="00C717E1" w:rsidRPr="00522CD2" w14:paraId="76693F1B" w14:textId="77777777">
        <w:trPr>
          <w:trHeight w:val="283"/>
        </w:trPr>
        <w:tc>
          <w:tcPr>
            <w:tcW w:w="6499" w:type="dxa"/>
            <w:shd w:val="clear" w:color="auto" w:fill="auto"/>
            <w:tcMar>
              <w:top w:w="72" w:type="dxa"/>
              <w:left w:w="120" w:type="dxa"/>
              <w:bottom w:w="72" w:type="dxa"/>
              <w:right w:w="120" w:type="dxa"/>
            </w:tcMar>
            <w:vAlign w:val="center"/>
          </w:tcPr>
          <w:p w14:paraId="1C3D0499"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Clinical symptom severity/treatment needs: patient rated</w:t>
            </w:r>
          </w:p>
        </w:tc>
        <w:tc>
          <w:tcPr>
            <w:tcW w:w="1843" w:type="dxa"/>
            <w:shd w:val="clear" w:color="auto" w:fill="auto"/>
            <w:vAlign w:val="center"/>
          </w:tcPr>
          <w:p w14:paraId="6BE62012"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6</w:t>
            </w:r>
          </w:p>
        </w:tc>
      </w:tr>
      <w:tr w:rsidR="00C717E1" w:rsidRPr="00522CD2" w14:paraId="17A97DF3" w14:textId="77777777">
        <w:trPr>
          <w:trHeight w:val="283"/>
        </w:trPr>
        <w:tc>
          <w:tcPr>
            <w:tcW w:w="6499" w:type="dxa"/>
            <w:shd w:val="clear" w:color="auto" w:fill="auto"/>
            <w:tcMar>
              <w:top w:w="72" w:type="dxa"/>
              <w:left w:w="120" w:type="dxa"/>
              <w:bottom w:w="72" w:type="dxa"/>
              <w:right w:w="120" w:type="dxa"/>
            </w:tcMar>
            <w:vAlign w:val="center"/>
          </w:tcPr>
          <w:p w14:paraId="3EA6F6A7"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Treatment response/engagement</w:t>
            </w:r>
          </w:p>
        </w:tc>
        <w:tc>
          <w:tcPr>
            <w:tcW w:w="1843" w:type="dxa"/>
            <w:shd w:val="clear" w:color="auto" w:fill="auto"/>
            <w:vAlign w:val="center"/>
          </w:tcPr>
          <w:p w14:paraId="26514AA6"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5</w:t>
            </w:r>
          </w:p>
        </w:tc>
      </w:tr>
      <w:tr w:rsidR="00C717E1" w:rsidRPr="00522CD2" w14:paraId="0BD6EE9D" w14:textId="77777777">
        <w:trPr>
          <w:trHeight w:val="283"/>
        </w:trPr>
        <w:tc>
          <w:tcPr>
            <w:tcW w:w="6499" w:type="dxa"/>
            <w:shd w:val="clear" w:color="auto" w:fill="auto"/>
            <w:tcMar>
              <w:top w:w="72" w:type="dxa"/>
              <w:left w:w="120" w:type="dxa"/>
              <w:bottom w:w="72" w:type="dxa"/>
              <w:right w:w="120" w:type="dxa"/>
            </w:tcMar>
            <w:vAlign w:val="center"/>
          </w:tcPr>
          <w:p w14:paraId="5C519D3B"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Treatment need</w:t>
            </w:r>
          </w:p>
        </w:tc>
        <w:tc>
          <w:tcPr>
            <w:tcW w:w="1843" w:type="dxa"/>
            <w:shd w:val="clear" w:color="auto" w:fill="auto"/>
            <w:vAlign w:val="center"/>
          </w:tcPr>
          <w:p w14:paraId="4209C4FD"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2</w:t>
            </w:r>
          </w:p>
        </w:tc>
      </w:tr>
      <w:tr w:rsidR="00C717E1" w:rsidRPr="00522CD2" w14:paraId="23CFD99D" w14:textId="77777777">
        <w:trPr>
          <w:trHeight w:val="283"/>
        </w:trPr>
        <w:tc>
          <w:tcPr>
            <w:tcW w:w="6499" w:type="dxa"/>
            <w:shd w:val="clear" w:color="auto" w:fill="auto"/>
            <w:tcMar>
              <w:top w:w="72" w:type="dxa"/>
              <w:left w:w="120" w:type="dxa"/>
              <w:bottom w:w="72" w:type="dxa"/>
              <w:right w:w="120" w:type="dxa"/>
            </w:tcMar>
            <w:vAlign w:val="center"/>
          </w:tcPr>
          <w:p w14:paraId="4F8CA233"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Reoffending (i.e. charges/reconvictions)</w:t>
            </w:r>
          </w:p>
        </w:tc>
        <w:tc>
          <w:tcPr>
            <w:tcW w:w="1843" w:type="dxa"/>
            <w:shd w:val="clear" w:color="auto" w:fill="auto"/>
            <w:vAlign w:val="center"/>
          </w:tcPr>
          <w:p w14:paraId="61375BF6"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18</w:t>
            </w:r>
          </w:p>
        </w:tc>
      </w:tr>
      <w:tr w:rsidR="00C717E1" w:rsidRPr="00522CD2" w14:paraId="0BF9A728" w14:textId="77777777">
        <w:trPr>
          <w:trHeight w:val="283"/>
        </w:trPr>
        <w:tc>
          <w:tcPr>
            <w:tcW w:w="6499" w:type="dxa"/>
            <w:shd w:val="clear" w:color="auto" w:fill="auto"/>
            <w:tcMar>
              <w:top w:w="72" w:type="dxa"/>
              <w:left w:w="120" w:type="dxa"/>
              <w:bottom w:w="72" w:type="dxa"/>
              <w:right w:w="120" w:type="dxa"/>
            </w:tcMar>
            <w:vAlign w:val="center"/>
          </w:tcPr>
          <w:p w14:paraId="77DC2F6D"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‘Offending-like’ behaviour (which did not result in charges)</w:t>
            </w:r>
          </w:p>
        </w:tc>
        <w:tc>
          <w:tcPr>
            <w:tcW w:w="1843" w:type="dxa"/>
            <w:shd w:val="clear" w:color="auto" w:fill="auto"/>
            <w:vAlign w:val="center"/>
          </w:tcPr>
          <w:p w14:paraId="55146F2B"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5</w:t>
            </w:r>
          </w:p>
        </w:tc>
      </w:tr>
      <w:tr w:rsidR="00C717E1" w:rsidRPr="00522CD2" w14:paraId="37AFDB6D" w14:textId="77777777">
        <w:trPr>
          <w:trHeight w:val="283"/>
        </w:trPr>
        <w:tc>
          <w:tcPr>
            <w:tcW w:w="6499" w:type="dxa"/>
            <w:shd w:val="clear" w:color="auto" w:fill="auto"/>
            <w:tcMar>
              <w:top w:w="72" w:type="dxa"/>
              <w:left w:w="120" w:type="dxa"/>
              <w:bottom w:w="72" w:type="dxa"/>
              <w:right w:w="120" w:type="dxa"/>
            </w:tcMar>
            <w:vAlign w:val="center"/>
          </w:tcPr>
          <w:p w14:paraId="038E578B"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Risk assessment measures</w:t>
            </w:r>
          </w:p>
        </w:tc>
        <w:tc>
          <w:tcPr>
            <w:tcW w:w="1843" w:type="dxa"/>
            <w:shd w:val="clear" w:color="auto" w:fill="auto"/>
            <w:vAlign w:val="center"/>
          </w:tcPr>
          <w:p w14:paraId="06C110D8"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12</w:t>
            </w:r>
          </w:p>
        </w:tc>
      </w:tr>
      <w:tr w:rsidR="00C717E1" w:rsidRPr="00522CD2" w14:paraId="48A873D6" w14:textId="77777777">
        <w:trPr>
          <w:trHeight w:val="283"/>
        </w:trPr>
        <w:tc>
          <w:tcPr>
            <w:tcW w:w="6499" w:type="dxa"/>
            <w:shd w:val="clear" w:color="auto" w:fill="auto"/>
            <w:tcMar>
              <w:top w:w="72" w:type="dxa"/>
              <w:left w:w="120" w:type="dxa"/>
              <w:bottom w:w="72" w:type="dxa"/>
              <w:right w:w="120" w:type="dxa"/>
            </w:tcMar>
            <w:vAlign w:val="center"/>
          </w:tcPr>
          <w:p w14:paraId="7081BDD6"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Incidents (violence/self-harm)</w:t>
            </w:r>
          </w:p>
        </w:tc>
        <w:tc>
          <w:tcPr>
            <w:tcW w:w="1843" w:type="dxa"/>
            <w:shd w:val="clear" w:color="auto" w:fill="auto"/>
            <w:vAlign w:val="center"/>
          </w:tcPr>
          <w:p w14:paraId="3C5CA165"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14</w:t>
            </w:r>
          </w:p>
        </w:tc>
      </w:tr>
      <w:tr w:rsidR="00C717E1" w:rsidRPr="00522CD2" w14:paraId="70DA0BD8" w14:textId="77777777">
        <w:trPr>
          <w:trHeight w:val="283"/>
        </w:trPr>
        <w:tc>
          <w:tcPr>
            <w:tcW w:w="6499" w:type="dxa"/>
            <w:shd w:val="clear" w:color="auto" w:fill="auto"/>
            <w:tcMar>
              <w:top w:w="72" w:type="dxa"/>
              <w:left w:w="120" w:type="dxa"/>
              <w:bottom w:w="72" w:type="dxa"/>
              <w:right w:w="120" w:type="dxa"/>
            </w:tcMar>
            <w:vAlign w:val="center"/>
          </w:tcPr>
          <w:p w14:paraId="0170B1E9"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Security need</w:t>
            </w:r>
          </w:p>
        </w:tc>
        <w:tc>
          <w:tcPr>
            <w:tcW w:w="1843" w:type="dxa"/>
            <w:shd w:val="clear" w:color="auto" w:fill="auto"/>
            <w:vAlign w:val="center"/>
          </w:tcPr>
          <w:p w14:paraId="5B65F0F7"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2</w:t>
            </w:r>
          </w:p>
        </w:tc>
      </w:tr>
      <w:tr w:rsidR="00C717E1" w:rsidRPr="00522CD2" w14:paraId="0899A423" w14:textId="77777777">
        <w:trPr>
          <w:trHeight w:val="283"/>
        </w:trPr>
        <w:tc>
          <w:tcPr>
            <w:tcW w:w="6499" w:type="dxa"/>
            <w:shd w:val="clear" w:color="auto" w:fill="auto"/>
            <w:tcMar>
              <w:top w:w="72" w:type="dxa"/>
              <w:left w:w="120" w:type="dxa"/>
              <w:bottom w:w="72" w:type="dxa"/>
              <w:right w:w="120" w:type="dxa"/>
            </w:tcMar>
            <w:vAlign w:val="center"/>
          </w:tcPr>
          <w:p w14:paraId="78055A25"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Other</w:t>
            </w:r>
          </w:p>
        </w:tc>
        <w:tc>
          <w:tcPr>
            <w:tcW w:w="1843" w:type="dxa"/>
            <w:shd w:val="clear" w:color="auto" w:fill="auto"/>
            <w:vAlign w:val="center"/>
          </w:tcPr>
          <w:p w14:paraId="0060473D"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3</w:t>
            </w:r>
          </w:p>
        </w:tc>
      </w:tr>
      <w:tr w:rsidR="00C717E1" w:rsidRPr="00522CD2" w14:paraId="7CB39005" w14:textId="77777777">
        <w:trPr>
          <w:trHeight w:val="283"/>
        </w:trPr>
        <w:tc>
          <w:tcPr>
            <w:tcW w:w="6499" w:type="dxa"/>
            <w:shd w:val="clear" w:color="auto" w:fill="auto"/>
            <w:tcMar>
              <w:top w:w="72" w:type="dxa"/>
              <w:left w:w="120" w:type="dxa"/>
              <w:bottom w:w="72" w:type="dxa"/>
              <w:right w:w="120" w:type="dxa"/>
            </w:tcMar>
            <w:vAlign w:val="center"/>
          </w:tcPr>
          <w:p w14:paraId="093A964E" w14:textId="77777777" w:rsidR="00C717E1" w:rsidRPr="00522CD2" w:rsidRDefault="00C717E1" w:rsidP="00F01264">
            <w:pPr>
              <w:shd w:val="clear" w:color="auto" w:fill="FFFFFF" w:themeFill="background1"/>
              <w:spacing w:line="276" w:lineRule="auto"/>
              <w:rPr>
                <w:color w:val="000000" w:themeColor="text1"/>
                <w:sz w:val="20"/>
                <w:szCs w:val="20"/>
              </w:rPr>
            </w:pPr>
            <w:r w:rsidRPr="00522CD2">
              <w:rPr>
                <w:color w:val="000000" w:themeColor="text1"/>
                <w:sz w:val="20"/>
                <w:szCs w:val="20"/>
              </w:rPr>
              <w:t>Total</w:t>
            </w:r>
          </w:p>
        </w:tc>
        <w:tc>
          <w:tcPr>
            <w:tcW w:w="1843" w:type="dxa"/>
            <w:shd w:val="clear" w:color="auto" w:fill="auto"/>
            <w:vAlign w:val="center"/>
          </w:tcPr>
          <w:p w14:paraId="27A4EA0C" w14:textId="77777777" w:rsidR="00C717E1" w:rsidRPr="00522CD2" w:rsidRDefault="00C717E1" w:rsidP="00F01264">
            <w:pPr>
              <w:shd w:val="clear" w:color="auto" w:fill="FFFFFF" w:themeFill="background1"/>
              <w:spacing w:line="276" w:lineRule="auto"/>
              <w:jc w:val="center"/>
              <w:rPr>
                <w:color w:val="000000" w:themeColor="text1"/>
                <w:sz w:val="20"/>
                <w:szCs w:val="20"/>
              </w:rPr>
            </w:pPr>
            <w:r w:rsidRPr="00522CD2">
              <w:rPr>
                <w:color w:val="000000" w:themeColor="text1"/>
                <w:sz w:val="20"/>
                <w:szCs w:val="20"/>
              </w:rPr>
              <w:t>139</w:t>
            </w:r>
          </w:p>
        </w:tc>
      </w:tr>
      <w:tr w:rsidR="00C717E1" w:rsidRPr="00522CD2" w14:paraId="7CE25627" w14:textId="77777777">
        <w:trPr>
          <w:trHeight w:val="283"/>
        </w:trPr>
        <w:tc>
          <w:tcPr>
            <w:tcW w:w="6499" w:type="dxa"/>
            <w:tcBorders>
              <w:bottom w:val="single" w:sz="4" w:space="0" w:color="auto"/>
            </w:tcBorders>
            <w:shd w:val="clear" w:color="auto" w:fill="auto"/>
            <w:tcMar>
              <w:top w:w="72" w:type="dxa"/>
              <w:left w:w="120" w:type="dxa"/>
              <w:bottom w:w="72" w:type="dxa"/>
              <w:right w:w="120" w:type="dxa"/>
            </w:tcMar>
            <w:vAlign w:val="center"/>
          </w:tcPr>
          <w:p w14:paraId="0FA91BF0" w14:textId="77777777" w:rsidR="00C717E1" w:rsidRPr="00522CD2" w:rsidRDefault="00C717E1" w:rsidP="00F01264">
            <w:pPr>
              <w:shd w:val="clear" w:color="auto" w:fill="FFFFFF" w:themeFill="background1"/>
              <w:spacing w:line="276" w:lineRule="auto"/>
              <w:rPr>
                <w:b/>
                <w:sz w:val="20"/>
                <w:szCs w:val="20"/>
              </w:rPr>
            </w:pPr>
            <w:r w:rsidRPr="00522CD2">
              <w:rPr>
                <w:b/>
                <w:sz w:val="20"/>
                <w:szCs w:val="20"/>
              </w:rPr>
              <w:t>Patient Safety</w:t>
            </w:r>
          </w:p>
        </w:tc>
        <w:tc>
          <w:tcPr>
            <w:tcW w:w="1843" w:type="dxa"/>
            <w:tcBorders>
              <w:bottom w:val="single" w:sz="4" w:space="0" w:color="auto"/>
            </w:tcBorders>
            <w:shd w:val="clear" w:color="auto" w:fill="auto"/>
            <w:vAlign w:val="center"/>
          </w:tcPr>
          <w:p w14:paraId="65A16D13" w14:textId="77777777" w:rsidR="00C717E1" w:rsidRPr="00522CD2" w:rsidRDefault="00C717E1" w:rsidP="00F01264">
            <w:pPr>
              <w:shd w:val="clear" w:color="auto" w:fill="FFFFFF" w:themeFill="background1"/>
              <w:spacing w:line="276" w:lineRule="auto"/>
              <w:jc w:val="center"/>
              <w:rPr>
                <w:b/>
                <w:sz w:val="20"/>
                <w:szCs w:val="20"/>
              </w:rPr>
            </w:pPr>
          </w:p>
        </w:tc>
      </w:tr>
      <w:tr w:rsidR="00C717E1" w:rsidRPr="00522CD2" w14:paraId="31D1925E" w14:textId="77777777">
        <w:trPr>
          <w:trHeight w:val="283"/>
        </w:trPr>
        <w:tc>
          <w:tcPr>
            <w:tcW w:w="6499" w:type="dxa"/>
            <w:tcBorders>
              <w:top w:val="single" w:sz="4" w:space="0" w:color="auto"/>
            </w:tcBorders>
            <w:shd w:val="clear" w:color="auto" w:fill="auto"/>
            <w:tcMar>
              <w:top w:w="72" w:type="dxa"/>
              <w:left w:w="120" w:type="dxa"/>
              <w:bottom w:w="72" w:type="dxa"/>
              <w:right w:w="120" w:type="dxa"/>
            </w:tcMar>
            <w:vAlign w:val="center"/>
          </w:tcPr>
          <w:p w14:paraId="121017B9" w14:textId="77777777" w:rsidR="00C717E1" w:rsidRPr="00522CD2" w:rsidRDefault="00C717E1" w:rsidP="00F01264">
            <w:pPr>
              <w:shd w:val="clear" w:color="auto" w:fill="FFFFFF" w:themeFill="background1"/>
              <w:spacing w:line="276" w:lineRule="auto"/>
              <w:rPr>
                <w:sz w:val="20"/>
                <w:szCs w:val="20"/>
              </w:rPr>
            </w:pPr>
            <w:r w:rsidRPr="00522CD2">
              <w:rPr>
                <w:sz w:val="20"/>
                <w:szCs w:val="20"/>
              </w:rPr>
              <w:t>Restrictive practices (restraint/relocation/locked areas/intensive observations)</w:t>
            </w:r>
          </w:p>
        </w:tc>
        <w:tc>
          <w:tcPr>
            <w:tcW w:w="1843" w:type="dxa"/>
            <w:tcBorders>
              <w:top w:val="single" w:sz="4" w:space="0" w:color="auto"/>
            </w:tcBorders>
            <w:shd w:val="clear" w:color="auto" w:fill="auto"/>
            <w:vAlign w:val="center"/>
          </w:tcPr>
          <w:p w14:paraId="0E6AC9EF" w14:textId="77777777" w:rsidR="00C717E1" w:rsidRPr="00522CD2" w:rsidRDefault="00C717E1" w:rsidP="00F01264">
            <w:pPr>
              <w:shd w:val="clear" w:color="auto" w:fill="FFFFFF" w:themeFill="background1"/>
              <w:spacing w:line="276" w:lineRule="auto"/>
              <w:jc w:val="center"/>
              <w:rPr>
                <w:sz w:val="20"/>
                <w:szCs w:val="20"/>
              </w:rPr>
            </w:pPr>
            <w:r w:rsidRPr="00522CD2">
              <w:rPr>
                <w:sz w:val="20"/>
                <w:szCs w:val="20"/>
              </w:rPr>
              <w:t>12</w:t>
            </w:r>
          </w:p>
        </w:tc>
      </w:tr>
      <w:tr w:rsidR="00C717E1" w:rsidRPr="00522CD2" w14:paraId="5811FAA3" w14:textId="77777777">
        <w:trPr>
          <w:trHeight w:val="283"/>
        </w:trPr>
        <w:tc>
          <w:tcPr>
            <w:tcW w:w="6499" w:type="dxa"/>
            <w:shd w:val="clear" w:color="auto" w:fill="auto"/>
            <w:tcMar>
              <w:top w:w="72" w:type="dxa"/>
              <w:left w:w="120" w:type="dxa"/>
              <w:bottom w:w="72" w:type="dxa"/>
              <w:right w:w="120" w:type="dxa"/>
            </w:tcMar>
            <w:vAlign w:val="center"/>
          </w:tcPr>
          <w:p w14:paraId="4FE8F0FF" w14:textId="77777777" w:rsidR="00C717E1" w:rsidRPr="00522CD2" w:rsidRDefault="00C717E1" w:rsidP="00F01264">
            <w:pPr>
              <w:shd w:val="clear" w:color="auto" w:fill="FFFFFF" w:themeFill="background1"/>
              <w:spacing w:line="276" w:lineRule="auto"/>
              <w:rPr>
                <w:sz w:val="20"/>
                <w:szCs w:val="20"/>
              </w:rPr>
            </w:pPr>
            <w:r w:rsidRPr="00522CD2">
              <w:rPr>
                <w:sz w:val="20"/>
                <w:szCs w:val="20"/>
              </w:rPr>
              <w:t>Restrictive practices (seclusion/segregation)</w:t>
            </w:r>
          </w:p>
        </w:tc>
        <w:tc>
          <w:tcPr>
            <w:tcW w:w="1843" w:type="dxa"/>
            <w:shd w:val="clear" w:color="auto" w:fill="auto"/>
            <w:vAlign w:val="center"/>
          </w:tcPr>
          <w:p w14:paraId="3672401A" w14:textId="77777777" w:rsidR="00C717E1" w:rsidRPr="00522CD2" w:rsidRDefault="00C717E1" w:rsidP="00F01264">
            <w:pPr>
              <w:shd w:val="clear" w:color="auto" w:fill="FFFFFF" w:themeFill="background1"/>
              <w:spacing w:line="276" w:lineRule="auto"/>
              <w:jc w:val="center"/>
              <w:rPr>
                <w:sz w:val="20"/>
                <w:szCs w:val="20"/>
              </w:rPr>
            </w:pPr>
            <w:r w:rsidRPr="00522CD2">
              <w:rPr>
                <w:sz w:val="20"/>
                <w:szCs w:val="20"/>
              </w:rPr>
              <w:t>9</w:t>
            </w:r>
          </w:p>
        </w:tc>
      </w:tr>
      <w:tr w:rsidR="00C717E1" w:rsidRPr="00522CD2" w14:paraId="26A7D375" w14:textId="77777777">
        <w:trPr>
          <w:trHeight w:val="283"/>
        </w:trPr>
        <w:tc>
          <w:tcPr>
            <w:tcW w:w="6499" w:type="dxa"/>
            <w:shd w:val="clear" w:color="auto" w:fill="auto"/>
            <w:tcMar>
              <w:top w:w="72" w:type="dxa"/>
              <w:left w:w="120" w:type="dxa"/>
              <w:bottom w:w="72" w:type="dxa"/>
              <w:right w:w="120" w:type="dxa"/>
            </w:tcMar>
            <w:vAlign w:val="center"/>
          </w:tcPr>
          <w:p w14:paraId="44C92D36" w14:textId="77777777" w:rsidR="00C717E1" w:rsidRPr="00522CD2" w:rsidRDefault="00C717E1" w:rsidP="00F01264">
            <w:pPr>
              <w:shd w:val="clear" w:color="auto" w:fill="FFFFFF" w:themeFill="background1"/>
              <w:spacing w:line="276" w:lineRule="auto"/>
              <w:rPr>
                <w:sz w:val="20"/>
                <w:szCs w:val="20"/>
              </w:rPr>
            </w:pPr>
            <w:r w:rsidRPr="00522CD2">
              <w:rPr>
                <w:sz w:val="20"/>
                <w:szCs w:val="20"/>
              </w:rPr>
              <w:t>Medication (i.e. PRN usage/exceeding BNF prescribing limits)</w:t>
            </w:r>
          </w:p>
        </w:tc>
        <w:tc>
          <w:tcPr>
            <w:tcW w:w="1843" w:type="dxa"/>
            <w:shd w:val="clear" w:color="auto" w:fill="auto"/>
            <w:vAlign w:val="center"/>
          </w:tcPr>
          <w:p w14:paraId="74D83CF7" w14:textId="77777777" w:rsidR="00C717E1" w:rsidRPr="00522CD2" w:rsidRDefault="00C717E1" w:rsidP="00F01264">
            <w:pPr>
              <w:shd w:val="clear" w:color="auto" w:fill="FFFFFF" w:themeFill="background1"/>
              <w:spacing w:line="276" w:lineRule="auto"/>
              <w:jc w:val="center"/>
              <w:rPr>
                <w:sz w:val="20"/>
                <w:szCs w:val="20"/>
              </w:rPr>
            </w:pPr>
            <w:r w:rsidRPr="00522CD2">
              <w:rPr>
                <w:sz w:val="20"/>
                <w:szCs w:val="20"/>
              </w:rPr>
              <w:t>3</w:t>
            </w:r>
          </w:p>
        </w:tc>
      </w:tr>
      <w:tr w:rsidR="00C717E1" w:rsidRPr="00522CD2" w14:paraId="3F739094" w14:textId="77777777">
        <w:trPr>
          <w:trHeight w:val="283"/>
        </w:trPr>
        <w:tc>
          <w:tcPr>
            <w:tcW w:w="6499" w:type="dxa"/>
            <w:shd w:val="clear" w:color="auto" w:fill="auto"/>
            <w:tcMar>
              <w:top w:w="72" w:type="dxa"/>
              <w:left w:w="120" w:type="dxa"/>
              <w:bottom w:w="72" w:type="dxa"/>
              <w:right w:w="120" w:type="dxa"/>
            </w:tcMar>
            <w:vAlign w:val="center"/>
          </w:tcPr>
          <w:p w14:paraId="0F67EF92" w14:textId="77777777" w:rsidR="00C717E1" w:rsidRPr="00522CD2" w:rsidRDefault="00C717E1" w:rsidP="00F01264">
            <w:pPr>
              <w:shd w:val="clear" w:color="auto" w:fill="FFFFFF" w:themeFill="background1"/>
              <w:spacing w:line="276" w:lineRule="auto"/>
              <w:rPr>
                <w:sz w:val="20"/>
                <w:szCs w:val="20"/>
              </w:rPr>
            </w:pPr>
            <w:r w:rsidRPr="00522CD2">
              <w:rPr>
                <w:sz w:val="20"/>
                <w:szCs w:val="20"/>
              </w:rPr>
              <w:t>Physical health</w:t>
            </w:r>
          </w:p>
        </w:tc>
        <w:tc>
          <w:tcPr>
            <w:tcW w:w="1843" w:type="dxa"/>
            <w:shd w:val="clear" w:color="auto" w:fill="auto"/>
            <w:vAlign w:val="center"/>
          </w:tcPr>
          <w:p w14:paraId="215E7322" w14:textId="77777777" w:rsidR="00C717E1" w:rsidRPr="00522CD2" w:rsidRDefault="00C717E1" w:rsidP="00F01264">
            <w:pPr>
              <w:shd w:val="clear" w:color="auto" w:fill="FFFFFF" w:themeFill="background1"/>
              <w:spacing w:line="276" w:lineRule="auto"/>
              <w:jc w:val="center"/>
              <w:rPr>
                <w:sz w:val="20"/>
                <w:szCs w:val="20"/>
              </w:rPr>
            </w:pPr>
            <w:r w:rsidRPr="00522CD2">
              <w:rPr>
                <w:sz w:val="20"/>
                <w:szCs w:val="20"/>
              </w:rPr>
              <w:t>1</w:t>
            </w:r>
          </w:p>
        </w:tc>
      </w:tr>
      <w:tr w:rsidR="00C717E1" w:rsidRPr="00522CD2" w14:paraId="6FEF53A8" w14:textId="77777777">
        <w:trPr>
          <w:trHeight w:val="283"/>
        </w:trPr>
        <w:tc>
          <w:tcPr>
            <w:tcW w:w="6499" w:type="dxa"/>
            <w:shd w:val="clear" w:color="auto" w:fill="auto"/>
            <w:tcMar>
              <w:top w:w="72" w:type="dxa"/>
              <w:left w:w="120" w:type="dxa"/>
              <w:bottom w:w="72" w:type="dxa"/>
              <w:right w:w="120" w:type="dxa"/>
            </w:tcMar>
            <w:vAlign w:val="center"/>
          </w:tcPr>
          <w:p w14:paraId="4F7E6491" w14:textId="77777777" w:rsidR="00C717E1" w:rsidRPr="00522CD2" w:rsidRDefault="00C717E1" w:rsidP="00F01264">
            <w:pPr>
              <w:shd w:val="clear" w:color="auto" w:fill="FFFFFF" w:themeFill="background1"/>
              <w:spacing w:line="276" w:lineRule="auto"/>
              <w:rPr>
                <w:sz w:val="20"/>
                <w:szCs w:val="20"/>
              </w:rPr>
            </w:pPr>
            <w:r w:rsidRPr="00522CD2">
              <w:rPr>
                <w:sz w:val="20"/>
                <w:szCs w:val="20"/>
              </w:rPr>
              <w:t>Premature Death/suicide</w:t>
            </w:r>
          </w:p>
        </w:tc>
        <w:tc>
          <w:tcPr>
            <w:tcW w:w="1843" w:type="dxa"/>
            <w:shd w:val="clear" w:color="auto" w:fill="auto"/>
            <w:vAlign w:val="center"/>
          </w:tcPr>
          <w:p w14:paraId="3EE4F09C" w14:textId="77777777" w:rsidR="00C717E1" w:rsidRPr="00522CD2" w:rsidRDefault="00C717E1" w:rsidP="00F01264">
            <w:pPr>
              <w:shd w:val="clear" w:color="auto" w:fill="FFFFFF" w:themeFill="background1"/>
              <w:spacing w:line="276" w:lineRule="auto"/>
              <w:jc w:val="center"/>
              <w:rPr>
                <w:sz w:val="20"/>
                <w:szCs w:val="20"/>
              </w:rPr>
            </w:pPr>
            <w:r w:rsidRPr="00522CD2">
              <w:rPr>
                <w:sz w:val="20"/>
                <w:szCs w:val="20"/>
              </w:rPr>
              <w:t>1</w:t>
            </w:r>
          </w:p>
        </w:tc>
      </w:tr>
      <w:tr w:rsidR="00C717E1" w:rsidRPr="00522CD2" w14:paraId="1120FA30" w14:textId="77777777">
        <w:trPr>
          <w:trHeight w:val="283"/>
        </w:trPr>
        <w:tc>
          <w:tcPr>
            <w:tcW w:w="6499" w:type="dxa"/>
            <w:shd w:val="clear" w:color="auto" w:fill="auto"/>
            <w:tcMar>
              <w:top w:w="72" w:type="dxa"/>
              <w:left w:w="120" w:type="dxa"/>
              <w:bottom w:w="72" w:type="dxa"/>
              <w:right w:w="120" w:type="dxa"/>
            </w:tcMar>
            <w:vAlign w:val="center"/>
          </w:tcPr>
          <w:p w14:paraId="4B693CB5" w14:textId="77777777" w:rsidR="00C717E1" w:rsidRPr="00522CD2" w:rsidRDefault="00C717E1" w:rsidP="00F01264">
            <w:pPr>
              <w:shd w:val="clear" w:color="auto" w:fill="FFFFFF" w:themeFill="background1"/>
              <w:spacing w:line="276" w:lineRule="auto"/>
              <w:rPr>
                <w:sz w:val="20"/>
                <w:szCs w:val="20"/>
              </w:rPr>
            </w:pPr>
            <w:r w:rsidRPr="00522CD2">
              <w:rPr>
                <w:sz w:val="20"/>
                <w:szCs w:val="20"/>
              </w:rPr>
              <w:t>Total</w:t>
            </w:r>
          </w:p>
        </w:tc>
        <w:tc>
          <w:tcPr>
            <w:tcW w:w="1843" w:type="dxa"/>
            <w:shd w:val="clear" w:color="auto" w:fill="auto"/>
            <w:vAlign w:val="center"/>
          </w:tcPr>
          <w:p w14:paraId="1F4ABC27" w14:textId="77777777" w:rsidR="00C717E1" w:rsidRPr="00522CD2" w:rsidRDefault="00C717E1" w:rsidP="00F01264">
            <w:pPr>
              <w:shd w:val="clear" w:color="auto" w:fill="FFFFFF" w:themeFill="background1"/>
              <w:spacing w:line="276" w:lineRule="auto"/>
              <w:jc w:val="center"/>
              <w:rPr>
                <w:sz w:val="20"/>
                <w:szCs w:val="20"/>
              </w:rPr>
            </w:pPr>
            <w:r w:rsidRPr="00522CD2">
              <w:rPr>
                <w:sz w:val="20"/>
                <w:szCs w:val="20"/>
              </w:rPr>
              <w:t>26</w:t>
            </w:r>
          </w:p>
        </w:tc>
      </w:tr>
      <w:tr w:rsidR="00C717E1" w:rsidRPr="00522CD2" w14:paraId="3DB5C74C" w14:textId="77777777">
        <w:trPr>
          <w:trHeight w:val="283"/>
        </w:trPr>
        <w:tc>
          <w:tcPr>
            <w:tcW w:w="6499" w:type="dxa"/>
            <w:tcBorders>
              <w:bottom w:val="single" w:sz="4" w:space="0" w:color="auto"/>
            </w:tcBorders>
            <w:shd w:val="clear" w:color="auto" w:fill="auto"/>
            <w:tcMar>
              <w:top w:w="72" w:type="dxa"/>
              <w:left w:w="120" w:type="dxa"/>
              <w:bottom w:w="72" w:type="dxa"/>
              <w:right w:w="120" w:type="dxa"/>
            </w:tcMar>
            <w:vAlign w:val="center"/>
          </w:tcPr>
          <w:p w14:paraId="392ACAFF" w14:textId="77777777" w:rsidR="00C717E1" w:rsidRPr="00522CD2" w:rsidRDefault="00C717E1" w:rsidP="00F01264">
            <w:pPr>
              <w:shd w:val="clear" w:color="auto" w:fill="FFFFFF" w:themeFill="background1"/>
              <w:spacing w:line="276" w:lineRule="auto"/>
              <w:rPr>
                <w:sz w:val="20"/>
                <w:szCs w:val="20"/>
              </w:rPr>
            </w:pPr>
            <w:r w:rsidRPr="00522CD2">
              <w:rPr>
                <w:b/>
                <w:sz w:val="20"/>
                <w:szCs w:val="20"/>
              </w:rPr>
              <w:t>Patient Experience</w:t>
            </w:r>
          </w:p>
        </w:tc>
        <w:tc>
          <w:tcPr>
            <w:tcW w:w="1843" w:type="dxa"/>
            <w:tcBorders>
              <w:bottom w:val="single" w:sz="4" w:space="0" w:color="auto"/>
            </w:tcBorders>
            <w:shd w:val="clear" w:color="auto" w:fill="auto"/>
            <w:vAlign w:val="center"/>
          </w:tcPr>
          <w:p w14:paraId="39BA5E05" w14:textId="77777777" w:rsidR="00C717E1" w:rsidRPr="00522CD2" w:rsidRDefault="00C717E1" w:rsidP="00F01264">
            <w:pPr>
              <w:shd w:val="clear" w:color="auto" w:fill="FFFFFF" w:themeFill="background1"/>
              <w:spacing w:line="276" w:lineRule="auto"/>
              <w:jc w:val="center"/>
              <w:rPr>
                <w:sz w:val="20"/>
                <w:szCs w:val="20"/>
              </w:rPr>
            </w:pPr>
          </w:p>
        </w:tc>
      </w:tr>
      <w:tr w:rsidR="00C717E1" w:rsidRPr="00522CD2" w14:paraId="30552E91" w14:textId="77777777">
        <w:trPr>
          <w:trHeight w:val="283"/>
        </w:trPr>
        <w:tc>
          <w:tcPr>
            <w:tcW w:w="6499" w:type="dxa"/>
            <w:tcBorders>
              <w:top w:val="single" w:sz="4" w:space="0" w:color="auto"/>
            </w:tcBorders>
            <w:shd w:val="clear" w:color="auto" w:fill="auto"/>
            <w:tcMar>
              <w:top w:w="72" w:type="dxa"/>
              <w:left w:w="120" w:type="dxa"/>
              <w:bottom w:w="72" w:type="dxa"/>
              <w:right w:w="120" w:type="dxa"/>
            </w:tcMar>
            <w:vAlign w:val="center"/>
          </w:tcPr>
          <w:p w14:paraId="01AB9484" w14:textId="77777777" w:rsidR="00C717E1" w:rsidRPr="00522CD2" w:rsidRDefault="00C717E1" w:rsidP="00F01264">
            <w:pPr>
              <w:shd w:val="clear" w:color="auto" w:fill="FFFFFF" w:themeFill="background1"/>
              <w:spacing w:line="276" w:lineRule="auto"/>
              <w:rPr>
                <w:sz w:val="20"/>
                <w:szCs w:val="20"/>
              </w:rPr>
            </w:pPr>
            <w:r w:rsidRPr="00522CD2">
              <w:rPr>
                <w:sz w:val="20"/>
                <w:szCs w:val="20"/>
              </w:rPr>
              <w:t>Quality of Life</w:t>
            </w:r>
          </w:p>
        </w:tc>
        <w:tc>
          <w:tcPr>
            <w:tcW w:w="1843" w:type="dxa"/>
            <w:tcBorders>
              <w:top w:val="single" w:sz="4" w:space="0" w:color="auto"/>
            </w:tcBorders>
            <w:shd w:val="clear" w:color="auto" w:fill="auto"/>
            <w:vAlign w:val="center"/>
          </w:tcPr>
          <w:p w14:paraId="2E6D40A1" w14:textId="77777777" w:rsidR="00C717E1" w:rsidRPr="00522CD2" w:rsidRDefault="00C717E1" w:rsidP="00F01264">
            <w:pPr>
              <w:shd w:val="clear" w:color="auto" w:fill="FFFFFF" w:themeFill="background1"/>
              <w:spacing w:line="276" w:lineRule="auto"/>
              <w:jc w:val="center"/>
              <w:rPr>
                <w:sz w:val="20"/>
                <w:szCs w:val="20"/>
              </w:rPr>
            </w:pPr>
            <w:r w:rsidRPr="00522CD2">
              <w:rPr>
                <w:sz w:val="20"/>
                <w:szCs w:val="20"/>
              </w:rPr>
              <w:t>4</w:t>
            </w:r>
          </w:p>
        </w:tc>
      </w:tr>
      <w:tr w:rsidR="00C717E1" w:rsidRPr="00522CD2" w14:paraId="1948CBD8" w14:textId="77777777">
        <w:trPr>
          <w:trHeight w:val="283"/>
        </w:trPr>
        <w:tc>
          <w:tcPr>
            <w:tcW w:w="6499" w:type="dxa"/>
            <w:shd w:val="clear" w:color="auto" w:fill="auto"/>
            <w:tcMar>
              <w:top w:w="72" w:type="dxa"/>
              <w:left w:w="120" w:type="dxa"/>
              <w:bottom w:w="72" w:type="dxa"/>
              <w:right w:w="120" w:type="dxa"/>
            </w:tcMar>
            <w:vAlign w:val="center"/>
          </w:tcPr>
          <w:p w14:paraId="4EE8457E" w14:textId="77777777" w:rsidR="00C717E1" w:rsidRPr="00522CD2" w:rsidRDefault="00C717E1" w:rsidP="00F01264">
            <w:pPr>
              <w:shd w:val="clear" w:color="auto" w:fill="FFFFFF" w:themeFill="background1"/>
              <w:spacing w:line="276" w:lineRule="auto"/>
              <w:rPr>
                <w:sz w:val="20"/>
                <w:szCs w:val="20"/>
              </w:rPr>
            </w:pPr>
            <w:r w:rsidRPr="00522CD2">
              <w:rPr>
                <w:sz w:val="20"/>
                <w:szCs w:val="20"/>
              </w:rPr>
              <w:t>Therapeutic Milieu</w:t>
            </w:r>
          </w:p>
        </w:tc>
        <w:tc>
          <w:tcPr>
            <w:tcW w:w="1843" w:type="dxa"/>
            <w:shd w:val="clear" w:color="auto" w:fill="auto"/>
            <w:vAlign w:val="center"/>
          </w:tcPr>
          <w:p w14:paraId="3FBEE44A" w14:textId="77777777" w:rsidR="00C717E1" w:rsidRPr="00522CD2" w:rsidRDefault="00C717E1" w:rsidP="00F01264">
            <w:pPr>
              <w:shd w:val="clear" w:color="auto" w:fill="FFFFFF" w:themeFill="background1"/>
              <w:spacing w:line="276" w:lineRule="auto"/>
              <w:jc w:val="center"/>
              <w:rPr>
                <w:sz w:val="20"/>
                <w:szCs w:val="20"/>
              </w:rPr>
            </w:pPr>
            <w:r w:rsidRPr="00522CD2">
              <w:rPr>
                <w:sz w:val="20"/>
                <w:szCs w:val="20"/>
              </w:rPr>
              <w:t>3</w:t>
            </w:r>
          </w:p>
        </w:tc>
      </w:tr>
      <w:tr w:rsidR="00C717E1" w:rsidRPr="00522CD2" w14:paraId="38165E7A" w14:textId="77777777">
        <w:trPr>
          <w:trHeight w:val="283"/>
        </w:trPr>
        <w:tc>
          <w:tcPr>
            <w:tcW w:w="6499" w:type="dxa"/>
            <w:shd w:val="clear" w:color="auto" w:fill="auto"/>
            <w:tcMar>
              <w:top w:w="72" w:type="dxa"/>
              <w:left w:w="120" w:type="dxa"/>
              <w:bottom w:w="72" w:type="dxa"/>
              <w:right w:w="120" w:type="dxa"/>
            </w:tcMar>
            <w:vAlign w:val="center"/>
          </w:tcPr>
          <w:p w14:paraId="18C0D298" w14:textId="77777777" w:rsidR="00C717E1" w:rsidRPr="00522CD2" w:rsidRDefault="00C717E1" w:rsidP="00F01264">
            <w:pPr>
              <w:shd w:val="clear" w:color="auto" w:fill="FFFFFF" w:themeFill="background1"/>
              <w:spacing w:line="276" w:lineRule="auto"/>
              <w:rPr>
                <w:sz w:val="20"/>
                <w:szCs w:val="20"/>
              </w:rPr>
            </w:pPr>
            <w:r w:rsidRPr="00522CD2">
              <w:rPr>
                <w:sz w:val="20"/>
                <w:szCs w:val="20"/>
              </w:rPr>
              <w:t>Patient experience: involvement</w:t>
            </w:r>
          </w:p>
        </w:tc>
        <w:tc>
          <w:tcPr>
            <w:tcW w:w="1843" w:type="dxa"/>
            <w:shd w:val="clear" w:color="auto" w:fill="auto"/>
            <w:vAlign w:val="center"/>
          </w:tcPr>
          <w:p w14:paraId="385BE2BE" w14:textId="77777777" w:rsidR="00C717E1" w:rsidRPr="00522CD2" w:rsidRDefault="00C717E1" w:rsidP="00F01264">
            <w:pPr>
              <w:shd w:val="clear" w:color="auto" w:fill="FFFFFF" w:themeFill="background1"/>
              <w:spacing w:line="276" w:lineRule="auto"/>
              <w:jc w:val="center"/>
              <w:rPr>
                <w:sz w:val="20"/>
                <w:szCs w:val="20"/>
              </w:rPr>
            </w:pPr>
            <w:r w:rsidRPr="00522CD2">
              <w:rPr>
                <w:sz w:val="20"/>
                <w:szCs w:val="20"/>
              </w:rPr>
              <w:t>1</w:t>
            </w:r>
          </w:p>
        </w:tc>
      </w:tr>
      <w:tr w:rsidR="00C717E1" w:rsidRPr="00522CD2" w14:paraId="1094DCFD" w14:textId="77777777">
        <w:trPr>
          <w:trHeight w:val="283"/>
        </w:trPr>
        <w:tc>
          <w:tcPr>
            <w:tcW w:w="6499" w:type="dxa"/>
            <w:shd w:val="clear" w:color="auto" w:fill="auto"/>
            <w:tcMar>
              <w:top w:w="72" w:type="dxa"/>
              <w:left w:w="120" w:type="dxa"/>
              <w:bottom w:w="72" w:type="dxa"/>
              <w:right w:w="120" w:type="dxa"/>
            </w:tcMar>
            <w:vAlign w:val="center"/>
          </w:tcPr>
          <w:p w14:paraId="4D3344C9" w14:textId="77777777" w:rsidR="00C717E1" w:rsidRPr="00522CD2" w:rsidRDefault="00C717E1" w:rsidP="00F01264">
            <w:pPr>
              <w:shd w:val="clear" w:color="auto" w:fill="FFFFFF" w:themeFill="background1"/>
              <w:spacing w:line="276" w:lineRule="auto"/>
              <w:rPr>
                <w:sz w:val="20"/>
                <w:szCs w:val="20"/>
              </w:rPr>
            </w:pPr>
            <w:r w:rsidRPr="00522CD2">
              <w:rPr>
                <w:sz w:val="20"/>
                <w:szCs w:val="20"/>
              </w:rPr>
              <w:t>Patient experience: satisfaction/complaints</w:t>
            </w:r>
          </w:p>
        </w:tc>
        <w:tc>
          <w:tcPr>
            <w:tcW w:w="1843" w:type="dxa"/>
            <w:shd w:val="clear" w:color="auto" w:fill="auto"/>
            <w:vAlign w:val="center"/>
          </w:tcPr>
          <w:p w14:paraId="42E2C463" w14:textId="77777777" w:rsidR="00C717E1" w:rsidRPr="00522CD2" w:rsidRDefault="00C717E1" w:rsidP="00F01264">
            <w:pPr>
              <w:shd w:val="clear" w:color="auto" w:fill="FFFFFF" w:themeFill="background1"/>
              <w:spacing w:line="276" w:lineRule="auto"/>
              <w:jc w:val="center"/>
              <w:rPr>
                <w:sz w:val="20"/>
                <w:szCs w:val="20"/>
              </w:rPr>
            </w:pPr>
            <w:r w:rsidRPr="00522CD2">
              <w:rPr>
                <w:sz w:val="20"/>
                <w:szCs w:val="20"/>
              </w:rPr>
              <w:t>3</w:t>
            </w:r>
          </w:p>
        </w:tc>
      </w:tr>
      <w:tr w:rsidR="00C717E1" w:rsidRPr="00522CD2" w14:paraId="39B81C2C" w14:textId="77777777">
        <w:trPr>
          <w:trHeight w:val="283"/>
        </w:trPr>
        <w:tc>
          <w:tcPr>
            <w:tcW w:w="6499" w:type="dxa"/>
            <w:shd w:val="clear" w:color="auto" w:fill="auto"/>
            <w:tcMar>
              <w:top w:w="72" w:type="dxa"/>
              <w:left w:w="120" w:type="dxa"/>
              <w:bottom w:w="72" w:type="dxa"/>
              <w:right w:w="120" w:type="dxa"/>
            </w:tcMar>
            <w:vAlign w:val="center"/>
          </w:tcPr>
          <w:p w14:paraId="39EE9347" w14:textId="77777777" w:rsidR="00C717E1" w:rsidRPr="00522CD2" w:rsidRDefault="00C717E1" w:rsidP="00F01264">
            <w:pPr>
              <w:shd w:val="clear" w:color="auto" w:fill="FFFFFF" w:themeFill="background1"/>
              <w:spacing w:line="276" w:lineRule="auto"/>
              <w:rPr>
                <w:sz w:val="20"/>
                <w:szCs w:val="20"/>
              </w:rPr>
            </w:pPr>
            <w:r w:rsidRPr="00522CD2">
              <w:rPr>
                <w:sz w:val="20"/>
                <w:szCs w:val="20"/>
              </w:rPr>
              <w:t>Total</w:t>
            </w:r>
          </w:p>
        </w:tc>
        <w:tc>
          <w:tcPr>
            <w:tcW w:w="1843" w:type="dxa"/>
            <w:shd w:val="clear" w:color="auto" w:fill="auto"/>
            <w:vAlign w:val="center"/>
          </w:tcPr>
          <w:p w14:paraId="1094DB92" w14:textId="77777777" w:rsidR="00C717E1" w:rsidRPr="00522CD2" w:rsidRDefault="00C717E1" w:rsidP="00F01264">
            <w:pPr>
              <w:shd w:val="clear" w:color="auto" w:fill="FFFFFF" w:themeFill="background1"/>
              <w:spacing w:line="276" w:lineRule="auto"/>
              <w:jc w:val="center"/>
              <w:rPr>
                <w:sz w:val="20"/>
                <w:szCs w:val="20"/>
              </w:rPr>
            </w:pPr>
            <w:r w:rsidRPr="00522CD2">
              <w:rPr>
                <w:sz w:val="20"/>
                <w:szCs w:val="20"/>
              </w:rPr>
              <w:t>11</w:t>
            </w:r>
          </w:p>
        </w:tc>
      </w:tr>
      <w:tr w:rsidR="00C717E1" w:rsidRPr="00522CD2" w14:paraId="051A5950" w14:textId="77777777">
        <w:trPr>
          <w:trHeight w:val="283"/>
        </w:trPr>
        <w:tc>
          <w:tcPr>
            <w:tcW w:w="6499" w:type="dxa"/>
            <w:shd w:val="clear" w:color="auto" w:fill="auto"/>
            <w:tcMar>
              <w:top w:w="72" w:type="dxa"/>
              <w:left w:w="120" w:type="dxa"/>
              <w:bottom w:w="72" w:type="dxa"/>
              <w:right w:w="120" w:type="dxa"/>
            </w:tcMar>
            <w:vAlign w:val="center"/>
          </w:tcPr>
          <w:p w14:paraId="671D9D4C" w14:textId="77777777" w:rsidR="00C717E1" w:rsidRPr="00522CD2" w:rsidRDefault="00C717E1" w:rsidP="00F01264">
            <w:pPr>
              <w:shd w:val="clear" w:color="auto" w:fill="FFFFFF" w:themeFill="background1"/>
              <w:spacing w:line="276" w:lineRule="auto"/>
              <w:rPr>
                <w:sz w:val="20"/>
                <w:szCs w:val="20"/>
              </w:rPr>
            </w:pPr>
          </w:p>
        </w:tc>
        <w:tc>
          <w:tcPr>
            <w:tcW w:w="1843" w:type="dxa"/>
            <w:shd w:val="clear" w:color="auto" w:fill="auto"/>
            <w:vAlign w:val="center"/>
          </w:tcPr>
          <w:p w14:paraId="76285A3A" w14:textId="77777777" w:rsidR="00C717E1" w:rsidRPr="00522CD2" w:rsidRDefault="00C717E1" w:rsidP="00F01264">
            <w:pPr>
              <w:shd w:val="clear" w:color="auto" w:fill="FFFFFF" w:themeFill="background1"/>
              <w:spacing w:line="276" w:lineRule="auto"/>
              <w:jc w:val="center"/>
              <w:rPr>
                <w:sz w:val="20"/>
                <w:szCs w:val="20"/>
              </w:rPr>
            </w:pPr>
          </w:p>
        </w:tc>
      </w:tr>
    </w:tbl>
    <w:p w14:paraId="5EE0F773" w14:textId="77777777" w:rsidR="00C717E1" w:rsidRPr="00522CD2" w:rsidRDefault="00C717E1">
      <w:pPr>
        <w:rPr>
          <w:b/>
          <w:lang w:eastAsia="en-GB"/>
        </w:rPr>
      </w:pPr>
    </w:p>
    <w:p w14:paraId="7781E91D" w14:textId="77777777" w:rsidR="00742DFD" w:rsidRPr="00522CD2" w:rsidRDefault="00742DFD">
      <w:pPr>
        <w:rPr>
          <w:b/>
          <w:lang w:eastAsia="en-GB"/>
        </w:rPr>
      </w:pPr>
      <w:r w:rsidRPr="00522CD2">
        <w:rPr>
          <w:b/>
          <w:lang w:eastAsia="en-GB"/>
        </w:rPr>
        <w:br w:type="page"/>
      </w:r>
    </w:p>
    <w:p w14:paraId="4DD904C8" w14:textId="77777777" w:rsidR="00D94CA9" w:rsidRPr="00522CD2" w:rsidRDefault="00D94CA9" w:rsidP="009726BA">
      <w:pPr>
        <w:rPr>
          <w:b/>
          <w:lang w:eastAsia="en-GB"/>
        </w:rPr>
      </w:pPr>
      <w:r w:rsidRPr="00522CD2">
        <w:rPr>
          <w:b/>
          <w:lang w:eastAsia="en-GB"/>
        </w:rPr>
        <w:t>Table 3: Final framework of outcome domains and sub-domains</w:t>
      </w:r>
    </w:p>
    <w:tbl>
      <w:tblPr>
        <w:tblpPr w:leftFromText="180" w:rightFromText="180" w:vertAnchor="text" w:horzAnchor="margin" w:tblpY="144"/>
        <w:tblOverlap w:val="never"/>
        <w:tblW w:w="8887" w:type="dxa"/>
        <w:tblLayout w:type="fixed"/>
        <w:tblCellMar>
          <w:left w:w="0" w:type="dxa"/>
          <w:right w:w="0" w:type="dxa"/>
        </w:tblCellMar>
        <w:tblLook w:val="04A0" w:firstRow="1" w:lastRow="0" w:firstColumn="1" w:lastColumn="0" w:noHBand="0" w:noVBand="1"/>
      </w:tblPr>
      <w:tblGrid>
        <w:gridCol w:w="7720"/>
        <w:gridCol w:w="1167"/>
      </w:tblGrid>
      <w:tr w:rsidR="00C83A5B" w:rsidRPr="00522CD2" w14:paraId="569087FB" w14:textId="77777777" w:rsidTr="00C83A5B">
        <w:trPr>
          <w:trHeight w:val="110"/>
        </w:trPr>
        <w:tc>
          <w:tcPr>
            <w:tcW w:w="7720" w:type="dxa"/>
            <w:tcBorders>
              <w:bottom w:val="single" w:sz="6" w:space="0" w:color="DBD5CC"/>
            </w:tcBorders>
            <w:shd w:val="clear" w:color="auto" w:fill="auto"/>
            <w:tcMar>
              <w:top w:w="72" w:type="dxa"/>
              <w:left w:w="120" w:type="dxa"/>
              <w:bottom w:w="72" w:type="dxa"/>
              <w:right w:w="120" w:type="dxa"/>
            </w:tcMar>
            <w:vAlign w:val="center"/>
          </w:tcPr>
          <w:p w14:paraId="6FE96809" w14:textId="77777777" w:rsidR="00C83A5B" w:rsidRPr="00522CD2" w:rsidRDefault="00C83A5B" w:rsidP="00C83A5B">
            <w:pPr>
              <w:widowControl w:val="0"/>
              <w:spacing w:line="336" w:lineRule="atLeast"/>
              <w:ind w:right="-143"/>
              <w:rPr>
                <w:b/>
                <w:color w:val="000000" w:themeColor="text1"/>
                <w:sz w:val="20"/>
                <w:szCs w:val="20"/>
              </w:rPr>
            </w:pPr>
            <w:r w:rsidRPr="00522CD2">
              <w:rPr>
                <w:b/>
                <w:color w:val="000000" w:themeColor="text1"/>
                <w:sz w:val="20"/>
                <w:szCs w:val="20"/>
              </w:rPr>
              <w:t>Effectiveness</w:t>
            </w:r>
          </w:p>
        </w:tc>
        <w:tc>
          <w:tcPr>
            <w:tcW w:w="1167" w:type="dxa"/>
            <w:tcBorders>
              <w:bottom w:val="single" w:sz="6" w:space="0" w:color="DBD5CC"/>
            </w:tcBorders>
            <w:shd w:val="clear" w:color="auto" w:fill="auto"/>
            <w:vAlign w:val="center"/>
          </w:tcPr>
          <w:p w14:paraId="684913FC" w14:textId="77777777" w:rsidR="00C83A5B" w:rsidRPr="00522CD2" w:rsidRDefault="00C83A5B" w:rsidP="00C83A5B">
            <w:pPr>
              <w:widowControl w:val="0"/>
              <w:spacing w:line="336" w:lineRule="atLeast"/>
              <w:ind w:right="-143"/>
              <w:jc w:val="center"/>
              <w:rPr>
                <w:color w:val="000000" w:themeColor="text1"/>
                <w:sz w:val="20"/>
                <w:szCs w:val="20"/>
              </w:rPr>
            </w:pPr>
            <w:r w:rsidRPr="00522CD2">
              <w:rPr>
                <w:color w:val="000000" w:themeColor="text1"/>
                <w:sz w:val="20"/>
                <w:szCs w:val="20"/>
              </w:rPr>
              <w:t>Source</w:t>
            </w:r>
          </w:p>
        </w:tc>
      </w:tr>
      <w:tr w:rsidR="00C83A5B" w:rsidRPr="00522CD2" w14:paraId="4E553345" w14:textId="77777777" w:rsidTr="00C83A5B">
        <w:trPr>
          <w:trHeight w:val="166"/>
        </w:trPr>
        <w:tc>
          <w:tcPr>
            <w:tcW w:w="7720" w:type="dxa"/>
            <w:tcBorders>
              <w:top w:val="single" w:sz="6" w:space="0" w:color="DBD5CC"/>
            </w:tcBorders>
            <w:shd w:val="clear" w:color="auto" w:fill="auto"/>
            <w:tcMar>
              <w:top w:w="72" w:type="dxa"/>
              <w:left w:w="120" w:type="dxa"/>
              <w:bottom w:w="72" w:type="dxa"/>
              <w:right w:w="120" w:type="dxa"/>
            </w:tcMar>
            <w:vAlign w:val="center"/>
          </w:tcPr>
          <w:p w14:paraId="01BD956F"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Discharge outcome/direction of care pathway</w:t>
            </w:r>
          </w:p>
        </w:tc>
        <w:tc>
          <w:tcPr>
            <w:tcW w:w="1167" w:type="dxa"/>
            <w:tcBorders>
              <w:top w:val="single" w:sz="6" w:space="0" w:color="DBD5CC"/>
            </w:tcBorders>
            <w:shd w:val="clear" w:color="auto" w:fill="auto"/>
            <w:vAlign w:val="center"/>
          </w:tcPr>
          <w:p w14:paraId="611A705B"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094469C4" w14:textId="77777777" w:rsidTr="00C83A5B">
        <w:trPr>
          <w:trHeight w:val="166"/>
        </w:trPr>
        <w:tc>
          <w:tcPr>
            <w:tcW w:w="7720" w:type="dxa"/>
            <w:shd w:val="clear" w:color="auto" w:fill="auto"/>
            <w:tcMar>
              <w:top w:w="72" w:type="dxa"/>
              <w:left w:w="120" w:type="dxa"/>
              <w:bottom w:w="72" w:type="dxa"/>
              <w:right w:w="120" w:type="dxa"/>
            </w:tcMar>
            <w:vAlign w:val="center"/>
          </w:tcPr>
          <w:p w14:paraId="359CB13D"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Delayed discharge/current placement appropriateness</w:t>
            </w:r>
          </w:p>
        </w:tc>
        <w:tc>
          <w:tcPr>
            <w:tcW w:w="1167" w:type="dxa"/>
            <w:shd w:val="clear" w:color="auto" w:fill="auto"/>
            <w:vAlign w:val="center"/>
          </w:tcPr>
          <w:p w14:paraId="57483C76"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52A3541D" w14:textId="77777777" w:rsidTr="00C83A5B">
        <w:trPr>
          <w:trHeight w:val="166"/>
        </w:trPr>
        <w:tc>
          <w:tcPr>
            <w:tcW w:w="7720" w:type="dxa"/>
            <w:shd w:val="clear" w:color="auto" w:fill="auto"/>
            <w:tcMar>
              <w:top w:w="72" w:type="dxa"/>
              <w:left w:w="120" w:type="dxa"/>
              <w:bottom w:w="72" w:type="dxa"/>
              <w:right w:w="120" w:type="dxa"/>
            </w:tcMar>
            <w:vAlign w:val="center"/>
          </w:tcPr>
          <w:p w14:paraId="209A3116"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Re-admission (i.e. readmitted to hospital or prison)</w:t>
            </w:r>
          </w:p>
        </w:tc>
        <w:tc>
          <w:tcPr>
            <w:tcW w:w="1167" w:type="dxa"/>
            <w:shd w:val="clear" w:color="auto" w:fill="auto"/>
            <w:vAlign w:val="center"/>
          </w:tcPr>
          <w:p w14:paraId="5659EB43"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70224952" w14:textId="77777777" w:rsidTr="00C83A5B">
        <w:trPr>
          <w:trHeight w:val="166"/>
        </w:trPr>
        <w:tc>
          <w:tcPr>
            <w:tcW w:w="7720" w:type="dxa"/>
            <w:shd w:val="clear" w:color="auto" w:fill="auto"/>
            <w:tcMar>
              <w:top w:w="72" w:type="dxa"/>
              <w:left w:w="120" w:type="dxa"/>
              <w:bottom w:w="72" w:type="dxa"/>
              <w:right w:w="120" w:type="dxa"/>
            </w:tcMar>
            <w:vAlign w:val="center"/>
          </w:tcPr>
          <w:p w14:paraId="5EDEB027"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Length of hospital stay</w:t>
            </w:r>
          </w:p>
        </w:tc>
        <w:tc>
          <w:tcPr>
            <w:tcW w:w="1167" w:type="dxa"/>
            <w:shd w:val="clear" w:color="auto" w:fill="auto"/>
            <w:vAlign w:val="center"/>
          </w:tcPr>
          <w:p w14:paraId="2018BD48"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1B947A98" w14:textId="77777777" w:rsidTr="00C83A5B">
        <w:trPr>
          <w:trHeight w:val="166"/>
        </w:trPr>
        <w:tc>
          <w:tcPr>
            <w:tcW w:w="7720" w:type="dxa"/>
            <w:shd w:val="clear" w:color="auto" w:fill="auto"/>
            <w:tcMar>
              <w:top w:w="72" w:type="dxa"/>
              <w:left w:w="120" w:type="dxa"/>
              <w:bottom w:w="72" w:type="dxa"/>
              <w:right w:w="120" w:type="dxa"/>
            </w:tcMar>
            <w:vAlign w:val="center"/>
          </w:tcPr>
          <w:p w14:paraId="6E63CAA5"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Adaptive functioning</w:t>
            </w:r>
          </w:p>
        </w:tc>
        <w:tc>
          <w:tcPr>
            <w:tcW w:w="1167" w:type="dxa"/>
            <w:shd w:val="clear" w:color="auto" w:fill="auto"/>
            <w:vAlign w:val="center"/>
          </w:tcPr>
          <w:p w14:paraId="0561FF86"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2D2B1D27" w14:textId="77777777" w:rsidTr="00C83A5B">
        <w:trPr>
          <w:trHeight w:val="166"/>
        </w:trPr>
        <w:tc>
          <w:tcPr>
            <w:tcW w:w="7720" w:type="dxa"/>
            <w:shd w:val="clear" w:color="auto" w:fill="auto"/>
            <w:tcMar>
              <w:top w:w="72" w:type="dxa"/>
              <w:left w:w="120" w:type="dxa"/>
              <w:bottom w:w="72" w:type="dxa"/>
              <w:right w:w="120" w:type="dxa"/>
            </w:tcMar>
            <w:vAlign w:val="center"/>
          </w:tcPr>
          <w:p w14:paraId="2A2FD490"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Clinical symptom severity/treatment needs: patient rated</w:t>
            </w:r>
          </w:p>
        </w:tc>
        <w:tc>
          <w:tcPr>
            <w:tcW w:w="1167" w:type="dxa"/>
            <w:shd w:val="clear" w:color="auto" w:fill="auto"/>
            <w:vAlign w:val="center"/>
          </w:tcPr>
          <w:p w14:paraId="07FA6CC3"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0ADC9EF9" w14:textId="77777777" w:rsidTr="00C83A5B">
        <w:trPr>
          <w:trHeight w:val="166"/>
        </w:trPr>
        <w:tc>
          <w:tcPr>
            <w:tcW w:w="7720" w:type="dxa"/>
            <w:shd w:val="clear" w:color="auto" w:fill="auto"/>
            <w:tcMar>
              <w:top w:w="72" w:type="dxa"/>
              <w:left w:w="120" w:type="dxa"/>
              <w:bottom w:w="72" w:type="dxa"/>
              <w:right w:w="120" w:type="dxa"/>
            </w:tcMar>
            <w:vAlign w:val="center"/>
          </w:tcPr>
          <w:p w14:paraId="6A0A305D"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Clinical symptom severity/treatment needs: clinician rated</w:t>
            </w:r>
          </w:p>
        </w:tc>
        <w:tc>
          <w:tcPr>
            <w:tcW w:w="1167" w:type="dxa"/>
            <w:shd w:val="clear" w:color="auto" w:fill="auto"/>
            <w:vAlign w:val="center"/>
          </w:tcPr>
          <w:p w14:paraId="23EE5FC4"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00CCF125" w14:textId="77777777" w:rsidTr="00C83A5B">
        <w:trPr>
          <w:trHeight w:val="166"/>
        </w:trPr>
        <w:tc>
          <w:tcPr>
            <w:tcW w:w="7720" w:type="dxa"/>
            <w:shd w:val="clear" w:color="auto" w:fill="auto"/>
            <w:tcMar>
              <w:top w:w="72" w:type="dxa"/>
              <w:left w:w="120" w:type="dxa"/>
              <w:bottom w:w="72" w:type="dxa"/>
              <w:right w:w="120" w:type="dxa"/>
            </w:tcMar>
            <w:vAlign w:val="center"/>
          </w:tcPr>
          <w:p w14:paraId="4CCB75D9"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Recovery /engagement/progress on treatment goals: clinician rated</w:t>
            </w:r>
          </w:p>
        </w:tc>
        <w:tc>
          <w:tcPr>
            <w:tcW w:w="1167" w:type="dxa"/>
            <w:shd w:val="clear" w:color="auto" w:fill="auto"/>
            <w:vAlign w:val="center"/>
          </w:tcPr>
          <w:p w14:paraId="3474D2EF"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7E6E24DA" w14:textId="77777777" w:rsidTr="00C83A5B">
        <w:trPr>
          <w:trHeight w:val="166"/>
        </w:trPr>
        <w:tc>
          <w:tcPr>
            <w:tcW w:w="7720" w:type="dxa"/>
            <w:shd w:val="clear" w:color="auto" w:fill="auto"/>
            <w:tcMar>
              <w:top w:w="72" w:type="dxa"/>
              <w:left w:w="120" w:type="dxa"/>
              <w:bottom w:w="72" w:type="dxa"/>
              <w:right w:w="120" w:type="dxa"/>
            </w:tcMar>
            <w:vAlign w:val="center"/>
          </w:tcPr>
          <w:p w14:paraId="514BD582"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 xml:space="preserve">Recovery /engagement/progress on treatment goals: patient /carer  rated  </w:t>
            </w:r>
          </w:p>
        </w:tc>
        <w:tc>
          <w:tcPr>
            <w:tcW w:w="1167" w:type="dxa"/>
            <w:shd w:val="clear" w:color="auto" w:fill="auto"/>
            <w:vAlign w:val="center"/>
          </w:tcPr>
          <w:p w14:paraId="654AB77D"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2</w:t>
            </w:r>
          </w:p>
        </w:tc>
      </w:tr>
      <w:tr w:rsidR="00C83A5B" w:rsidRPr="00522CD2" w14:paraId="3AC2947B" w14:textId="77777777" w:rsidTr="00C83A5B">
        <w:trPr>
          <w:trHeight w:val="166"/>
        </w:trPr>
        <w:tc>
          <w:tcPr>
            <w:tcW w:w="7720" w:type="dxa"/>
            <w:shd w:val="clear" w:color="auto" w:fill="auto"/>
            <w:tcMar>
              <w:top w:w="72" w:type="dxa"/>
              <w:left w:w="120" w:type="dxa"/>
              <w:bottom w:w="72" w:type="dxa"/>
              <w:right w:w="120" w:type="dxa"/>
            </w:tcMar>
            <w:vAlign w:val="center"/>
          </w:tcPr>
          <w:p w14:paraId="6288B55B"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Re offending (i.e. charges/convictions) on discharge</w:t>
            </w:r>
          </w:p>
        </w:tc>
        <w:tc>
          <w:tcPr>
            <w:tcW w:w="1167" w:type="dxa"/>
            <w:shd w:val="clear" w:color="auto" w:fill="auto"/>
            <w:vAlign w:val="center"/>
          </w:tcPr>
          <w:p w14:paraId="31A24F22"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20F1E058" w14:textId="77777777" w:rsidTr="00C83A5B">
        <w:trPr>
          <w:trHeight w:val="166"/>
        </w:trPr>
        <w:tc>
          <w:tcPr>
            <w:tcW w:w="7720" w:type="dxa"/>
            <w:shd w:val="clear" w:color="auto" w:fill="auto"/>
            <w:tcMar>
              <w:top w:w="72" w:type="dxa"/>
              <w:left w:w="120" w:type="dxa"/>
              <w:bottom w:w="72" w:type="dxa"/>
              <w:right w:w="120" w:type="dxa"/>
            </w:tcMar>
            <w:vAlign w:val="center"/>
          </w:tcPr>
          <w:p w14:paraId="55C71750"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Offending-like behaviour  (no CJS involvement) on discharge</w:t>
            </w:r>
          </w:p>
        </w:tc>
        <w:tc>
          <w:tcPr>
            <w:tcW w:w="1167" w:type="dxa"/>
            <w:shd w:val="clear" w:color="auto" w:fill="auto"/>
            <w:vAlign w:val="center"/>
          </w:tcPr>
          <w:p w14:paraId="51D62FBA"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366E97AA" w14:textId="77777777" w:rsidTr="00C83A5B">
        <w:trPr>
          <w:trHeight w:val="166"/>
        </w:trPr>
        <w:tc>
          <w:tcPr>
            <w:tcW w:w="7720" w:type="dxa"/>
            <w:shd w:val="clear" w:color="auto" w:fill="auto"/>
            <w:tcMar>
              <w:top w:w="72" w:type="dxa"/>
              <w:left w:w="120" w:type="dxa"/>
              <w:bottom w:w="72" w:type="dxa"/>
              <w:right w:w="120" w:type="dxa"/>
            </w:tcMar>
            <w:vAlign w:val="center"/>
          </w:tcPr>
          <w:p w14:paraId="7A38476A"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Incidents (violence/self-harm) (in care setting)</w:t>
            </w:r>
          </w:p>
        </w:tc>
        <w:tc>
          <w:tcPr>
            <w:tcW w:w="1167" w:type="dxa"/>
            <w:shd w:val="clear" w:color="auto" w:fill="auto"/>
            <w:vAlign w:val="center"/>
          </w:tcPr>
          <w:p w14:paraId="5C18973B"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1EEE47CA" w14:textId="77777777" w:rsidTr="00C83A5B">
        <w:trPr>
          <w:trHeight w:val="166"/>
        </w:trPr>
        <w:tc>
          <w:tcPr>
            <w:tcW w:w="7720" w:type="dxa"/>
            <w:shd w:val="clear" w:color="auto" w:fill="auto"/>
            <w:tcMar>
              <w:top w:w="72" w:type="dxa"/>
              <w:left w:w="120" w:type="dxa"/>
              <w:bottom w:w="72" w:type="dxa"/>
              <w:right w:w="120" w:type="dxa"/>
            </w:tcMar>
            <w:vAlign w:val="center"/>
          </w:tcPr>
          <w:p w14:paraId="4BBD1772"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Risk assessment measures</w:t>
            </w:r>
          </w:p>
        </w:tc>
        <w:tc>
          <w:tcPr>
            <w:tcW w:w="1167" w:type="dxa"/>
            <w:shd w:val="clear" w:color="auto" w:fill="auto"/>
            <w:vAlign w:val="center"/>
          </w:tcPr>
          <w:p w14:paraId="30393D38"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0B47B290" w14:textId="77777777" w:rsidTr="00C83A5B">
        <w:trPr>
          <w:trHeight w:val="166"/>
        </w:trPr>
        <w:tc>
          <w:tcPr>
            <w:tcW w:w="7720" w:type="dxa"/>
            <w:shd w:val="clear" w:color="auto" w:fill="auto"/>
            <w:tcMar>
              <w:top w:w="72" w:type="dxa"/>
              <w:left w:w="120" w:type="dxa"/>
              <w:bottom w:w="72" w:type="dxa"/>
              <w:right w:w="120" w:type="dxa"/>
            </w:tcMar>
            <w:vAlign w:val="center"/>
          </w:tcPr>
          <w:p w14:paraId="3644DDEF"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Security need  (i.e. physical/procedural/escort/leave)</w:t>
            </w:r>
          </w:p>
        </w:tc>
        <w:tc>
          <w:tcPr>
            <w:tcW w:w="1167" w:type="dxa"/>
            <w:shd w:val="clear" w:color="auto" w:fill="auto"/>
            <w:vAlign w:val="center"/>
          </w:tcPr>
          <w:p w14:paraId="0B02F398"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0165CB1F" w14:textId="77777777" w:rsidTr="00C83A5B">
        <w:trPr>
          <w:trHeight w:val="166"/>
        </w:trPr>
        <w:tc>
          <w:tcPr>
            <w:tcW w:w="7720" w:type="dxa"/>
            <w:tcBorders>
              <w:bottom w:val="single" w:sz="4" w:space="0" w:color="DBD5CC"/>
            </w:tcBorders>
            <w:shd w:val="clear" w:color="auto" w:fill="auto"/>
            <w:tcMar>
              <w:top w:w="72" w:type="dxa"/>
              <w:left w:w="120" w:type="dxa"/>
              <w:bottom w:w="72" w:type="dxa"/>
              <w:right w:w="120" w:type="dxa"/>
            </w:tcMar>
            <w:vAlign w:val="center"/>
          </w:tcPr>
          <w:p w14:paraId="5899F575" w14:textId="77777777" w:rsidR="00C83A5B" w:rsidRPr="00522CD2" w:rsidRDefault="00C83A5B" w:rsidP="00C83A5B">
            <w:pPr>
              <w:widowControl w:val="0"/>
              <w:spacing w:line="276" w:lineRule="auto"/>
              <w:ind w:right="-143"/>
              <w:rPr>
                <w:b/>
                <w:color w:val="000000" w:themeColor="text1"/>
                <w:sz w:val="20"/>
                <w:szCs w:val="20"/>
              </w:rPr>
            </w:pPr>
            <w:r w:rsidRPr="00522CD2">
              <w:rPr>
                <w:b/>
                <w:color w:val="000000" w:themeColor="text1"/>
                <w:sz w:val="20"/>
                <w:szCs w:val="20"/>
              </w:rPr>
              <w:t>Patient Safety</w:t>
            </w:r>
          </w:p>
        </w:tc>
        <w:tc>
          <w:tcPr>
            <w:tcW w:w="1167" w:type="dxa"/>
            <w:tcBorders>
              <w:bottom w:val="single" w:sz="4" w:space="0" w:color="DBD5CC"/>
            </w:tcBorders>
            <w:shd w:val="clear" w:color="auto" w:fill="auto"/>
            <w:vAlign w:val="center"/>
          </w:tcPr>
          <w:p w14:paraId="256A7DB8" w14:textId="77777777" w:rsidR="00C83A5B" w:rsidRPr="00522CD2" w:rsidRDefault="00C83A5B" w:rsidP="00C83A5B">
            <w:pPr>
              <w:widowControl w:val="0"/>
              <w:spacing w:line="276" w:lineRule="auto"/>
              <w:ind w:right="-143"/>
              <w:jc w:val="center"/>
              <w:rPr>
                <w:color w:val="000000" w:themeColor="text1"/>
                <w:sz w:val="20"/>
                <w:szCs w:val="20"/>
              </w:rPr>
            </w:pPr>
          </w:p>
        </w:tc>
      </w:tr>
      <w:tr w:rsidR="00C83A5B" w:rsidRPr="00522CD2" w14:paraId="6E4FFEE4" w14:textId="77777777" w:rsidTr="00C83A5B">
        <w:trPr>
          <w:trHeight w:val="166"/>
        </w:trPr>
        <w:tc>
          <w:tcPr>
            <w:tcW w:w="7720" w:type="dxa"/>
            <w:tcBorders>
              <w:top w:val="single" w:sz="4" w:space="0" w:color="DBD5CC"/>
            </w:tcBorders>
            <w:shd w:val="clear" w:color="auto" w:fill="auto"/>
            <w:tcMar>
              <w:top w:w="72" w:type="dxa"/>
              <w:left w:w="120" w:type="dxa"/>
              <w:bottom w:w="72" w:type="dxa"/>
              <w:right w:w="120" w:type="dxa"/>
            </w:tcMar>
            <w:vAlign w:val="center"/>
          </w:tcPr>
          <w:p w14:paraId="392E1E7B"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Premature death/suicide</w:t>
            </w:r>
          </w:p>
        </w:tc>
        <w:tc>
          <w:tcPr>
            <w:tcW w:w="1167" w:type="dxa"/>
            <w:tcBorders>
              <w:top w:val="single" w:sz="4" w:space="0" w:color="DBD5CC"/>
            </w:tcBorders>
            <w:shd w:val="clear" w:color="auto" w:fill="auto"/>
            <w:vAlign w:val="center"/>
          </w:tcPr>
          <w:p w14:paraId="395433B2" w14:textId="77777777" w:rsidR="00C83A5B" w:rsidRPr="00522CD2" w:rsidRDefault="00C83A5B" w:rsidP="00C83A5B">
            <w:pPr>
              <w:widowControl w:val="0"/>
              <w:spacing w:line="276" w:lineRule="auto"/>
              <w:ind w:right="-143" w:hanging="22"/>
              <w:jc w:val="center"/>
              <w:rPr>
                <w:color w:val="000000" w:themeColor="text1"/>
                <w:sz w:val="20"/>
                <w:szCs w:val="20"/>
              </w:rPr>
            </w:pPr>
            <w:r w:rsidRPr="00522CD2">
              <w:rPr>
                <w:color w:val="000000" w:themeColor="text1"/>
                <w:sz w:val="20"/>
                <w:szCs w:val="20"/>
              </w:rPr>
              <w:t>1</w:t>
            </w:r>
          </w:p>
        </w:tc>
      </w:tr>
      <w:tr w:rsidR="00C83A5B" w:rsidRPr="00522CD2" w14:paraId="327F0F74" w14:textId="77777777" w:rsidTr="00C83A5B">
        <w:trPr>
          <w:trHeight w:val="166"/>
        </w:trPr>
        <w:tc>
          <w:tcPr>
            <w:tcW w:w="7720" w:type="dxa"/>
            <w:shd w:val="clear" w:color="auto" w:fill="auto"/>
            <w:tcMar>
              <w:top w:w="72" w:type="dxa"/>
              <w:left w:w="120" w:type="dxa"/>
              <w:bottom w:w="72" w:type="dxa"/>
              <w:right w:w="120" w:type="dxa"/>
            </w:tcMar>
            <w:vAlign w:val="center"/>
          </w:tcPr>
          <w:p w14:paraId="0DF258C2"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Physical health</w:t>
            </w:r>
          </w:p>
        </w:tc>
        <w:tc>
          <w:tcPr>
            <w:tcW w:w="1167" w:type="dxa"/>
            <w:shd w:val="clear" w:color="auto" w:fill="auto"/>
            <w:vAlign w:val="center"/>
          </w:tcPr>
          <w:p w14:paraId="2543BB8E" w14:textId="77777777" w:rsidR="00C83A5B" w:rsidRPr="00522CD2" w:rsidRDefault="00C83A5B" w:rsidP="00C83A5B">
            <w:pPr>
              <w:widowControl w:val="0"/>
              <w:spacing w:line="276" w:lineRule="auto"/>
              <w:ind w:right="-143" w:hanging="22"/>
              <w:jc w:val="center"/>
              <w:rPr>
                <w:color w:val="000000" w:themeColor="text1"/>
                <w:sz w:val="20"/>
                <w:szCs w:val="20"/>
              </w:rPr>
            </w:pPr>
            <w:r w:rsidRPr="00522CD2">
              <w:rPr>
                <w:color w:val="000000" w:themeColor="text1"/>
                <w:sz w:val="20"/>
                <w:szCs w:val="20"/>
              </w:rPr>
              <w:t>1</w:t>
            </w:r>
          </w:p>
        </w:tc>
      </w:tr>
      <w:tr w:rsidR="00C83A5B" w:rsidRPr="00522CD2" w14:paraId="1274A319" w14:textId="77777777" w:rsidTr="00C83A5B">
        <w:trPr>
          <w:trHeight w:val="166"/>
        </w:trPr>
        <w:tc>
          <w:tcPr>
            <w:tcW w:w="7720" w:type="dxa"/>
            <w:shd w:val="clear" w:color="auto" w:fill="auto"/>
            <w:tcMar>
              <w:top w:w="72" w:type="dxa"/>
              <w:left w:w="120" w:type="dxa"/>
              <w:bottom w:w="72" w:type="dxa"/>
              <w:right w:w="120" w:type="dxa"/>
            </w:tcMar>
            <w:vAlign w:val="center"/>
          </w:tcPr>
          <w:p w14:paraId="4F8098F3"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Medication (i.e. PRN usage/exceeding BNF limits/side effects patient rating)</w:t>
            </w:r>
          </w:p>
        </w:tc>
        <w:tc>
          <w:tcPr>
            <w:tcW w:w="1167" w:type="dxa"/>
            <w:shd w:val="clear" w:color="auto" w:fill="auto"/>
            <w:vAlign w:val="center"/>
          </w:tcPr>
          <w:p w14:paraId="13788AE1" w14:textId="77777777" w:rsidR="00C83A5B" w:rsidRPr="00522CD2" w:rsidRDefault="00C83A5B" w:rsidP="00C83A5B">
            <w:pPr>
              <w:widowControl w:val="0"/>
              <w:spacing w:line="276" w:lineRule="auto"/>
              <w:ind w:right="-143" w:hanging="22"/>
              <w:jc w:val="center"/>
              <w:rPr>
                <w:color w:val="000000" w:themeColor="text1"/>
                <w:sz w:val="20"/>
                <w:szCs w:val="20"/>
              </w:rPr>
            </w:pPr>
            <w:r w:rsidRPr="00522CD2">
              <w:rPr>
                <w:color w:val="000000" w:themeColor="text1"/>
                <w:sz w:val="20"/>
                <w:szCs w:val="20"/>
              </w:rPr>
              <w:t>1/2</w:t>
            </w:r>
          </w:p>
        </w:tc>
      </w:tr>
      <w:tr w:rsidR="00C83A5B" w:rsidRPr="00522CD2" w14:paraId="7C2770E1" w14:textId="77777777" w:rsidTr="00C83A5B">
        <w:trPr>
          <w:trHeight w:val="166"/>
        </w:trPr>
        <w:tc>
          <w:tcPr>
            <w:tcW w:w="7720" w:type="dxa"/>
            <w:shd w:val="clear" w:color="auto" w:fill="auto"/>
            <w:tcMar>
              <w:top w:w="72" w:type="dxa"/>
              <w:left w:w="120" w:type="dxa"/>
              <w:bottom w:w="72" w:type="dxa"/>
              <w:right w:w="120" w:type="dxa"/>
            </w:tcMar>
            <w:vAlign w:val="center"/>
          </w:tcPr>
          <w:p w14:paraId="1FA1A2E4"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Restrictive practices (restraint)</w:t>
            </w:r>
          </w:p>
        </w:tc>
        <w:tc>
          <w:tcPr>
            <w:tcW w:w="1167" w:type="dxa"/>
            <w:shd w:val="clear" w:color="auto" w:fill="auto"/>
            <w:vAlign w:val="center"/>
          </w:tcPr>
          <w:p w14:paraId="16F2D022" w14:textId="77777777" w:rsidR="00C83A5B" w:rsidRPr="00522CD2" w:rsidRDefault="00C83A5B" w:rsidP="00C83A5B">
            <w:pPr>
              <w:widowControl w:val="0"/>
              <w:spacing w:line="276" w:lineRule="auto"/>
              <w:ind w:right="-143" w:hanging="22"/>
              <w:jc w:val="center"/>
              <w:rPr>
                <w:color w:val="000000" w:themeColor="text1"/>
                <w:sz w:val="20"/>
                <w:szCs w:val="20"/>
              </w:rPr>
            </w:pPr>
            <w:r w:rsidRPr="00522CD2">
              <w:rPr>
                <w:color w:val="000000" w:themeColor="text1"/>
                <w:sz w:val="20"/>
                <w:szCs w:val="20"/>
              </w:rPr>
              <w:t>1</w:t>
            </w:r>
          </w:p>
        </w:tc>
      </w:tr>
      <w:tr w:rsidR="00C83A5B" w:rsidRPr="00522CD2" w14:paraId="41328F97" w14:textId="77777777" w:rsidTr="00C83A5B">
        <w:trPr>
          <w:trHeight w:val="166"/>
        </w:trPr>
        <w:tc>
          <w:tcPr>
            <w:tcW w:w="7720" w:type="dxa"/>
            <w:shd w:val="clear" w:color="auto" w:fill="auto"/>
            <w:tcMar>
              <w:top w:w="72" w:type="dxa"/>
              <w:left w:w="120" w:type="dxa"/>
              <w:bottom w:w="72" w:type="dxa"/>
              <w:right w:w="120" w:type="dxa"/>
            </w:tcMar>
            <w:vAlign w:val="center"/>
          </w:tcPr>
          <w:p w14:paraId="1022615A"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Restrictive practices (seclusion/segregation)</w:t>
            </w:r>
          </w:p>
        </w:tc>
        <w:tc>
          <w:tcPr>
            <w:tcW w:w="1167" w:type="dxa"/>
            <w:shd w:val="clear" w:color="auto" w:fill="auto"/>
            <w:vAlign w:val="center"/>
          </w:tcPr>
          <w:p w14:paraId="11FD65AE" w14:textId="77777777" w:rsidR="00C83A5B" w:rsidRPr="00522CD2" w:rsidRDefault="00C83A5B" w:rsidP="00C83A5B">
            <w:pPr>
              <w:widowControl w:val="0"/>
              <w:spacing w:line="276" w:lineRule="auto"/>
              <w:ind w:right="-143" w:hanging="22"/>
              <w:jc w:val="center"/>
              <w:rPr>
                <w:color w:val="000000" w:themeColor="text1"/>
                <w:sz w:val="20"/>
                <w:szCs w:val="20"/>
              </w:rPr>
            </w:pPr>
            <w:r w:rsidRPr="00522CD2">
              <w:rPr>
                <w:color w:val="000000" w:themeColor="text1"/>
                <w:sz w:val="20"/>
                <w:szCs w:val="20"/>
              </w:rPr>
              <w:t>1</w:t>
            </w:r>
          </w:p>
        </w:tc>
      </w:tr>
      <w:tr w:rsidR="00C83A5B" w:rsidRPr="00522CD2" w14:paraId="0BD302B9" w14:textId="77777777" w:rsidTr="00C83A5B">
        <w:trPr>
          <w:trHeight w:val="166"/>
        </w:trPr>
        <w:tc>
          <w:tcPr>
            <w:tcW w:w="7720" w:type="dxa"/>
            <w:shd w:val="clear" w:color="auto" w:fill="auto"/>
            <w:tcMar>
              <w:top w:w="72" w:type="dxa"/>
              <w:left w:w="120" w:type="dxa"/>
              <w:bottom w:w="72" w:type="dxa"/>
              <w:right w:w="120" w:type="dxa"/>
            </w:tcMar>
            <w:vAlign w:val="center"/>
          </w:tcPr>
          <w:p w14:paraId="4BBB635B"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Victimisation/safeguarding</w:t>
            </w:r>
          </w:p>
        </w:tc>
        <w:tc>
          <w:tcPr>
            <w:tcW w:w="1167" w:type="dxa"/>
            <w:shd w:val="clear" w:color="auto" w:fill="auto"/>
            <w:vAlign w:val="center"/>
          </w:tcPr>
          <w:p w14:paraId="6EDF692E" w14:textId="77777777" w:rsidR="00C83A5B" w:rsidRPr="00522CD2" w:rsidRDefault="00C83A5B" w:rsidP="00C83A5B">
            <w:pPr>
              <w:widowControl w:val="0"/>
              <w:spacing w:line="276" w:lineRule="auto"/>
              <w:ind w:right="-143" w:hanging="22"/>
              <w:jc w:val="center"/>
              <w:rPr>
                <w:color w:val="000000" w:themeColor="text1"/>
                <w:sz w:val="20"/>
                <w:szCs w:val="20"/>
              </w:rPr>
            </w:pPr>
            <w:r w:rsidRPr="00522CD2">
              <w:rPr>
                <w:color w:val="000000" w:themeColor="text1"/>
                <w:sz w:val="20"/>
                <w:szCs w:val="20"/>
              </w:rPr>
              <w:t>2</w:t>
            </w:r>
          </w:p>
        </w:tc>
      </w:tr>
      <w:tr w:rsidR="00C83A5B" w:rsidRPr="00522CD2" w14:paraId="46919398" w14:textId="77777777" w:rsidTr="00C83A5B">
        <w:trPr>
          <w:trHeight w:val="166"/>
        </w:trPr>
        <w:tc>
          <w:tcPr>
            <w:tcW w:w="7720" w:type="dxa"/>
            <w:tcBorders>
              <w:bottom w:val="single" w:sz="4" w:space="0" w:color="DBD5CC"/>
            </w:tcBorders>
            <w:shd w:val="clear" w:color="auto" w:fill="auto"/>
            <w:tcMar>
              <w:top w:w="72" w:type="dxa"/>
              <w:left w:w="120" w:type="dxa"/>
              <w:bottom w:w="72" w:type="dxa"/>
              <w:right w:w="120" w:type="dxa"/>
            </w:tcMar>
            <w:vAlign w:val="center"/>
          </w:tcPr>
          <w:p w14:paraId="391C342C" w14:textId="77777777" w:rsidR="00C83A5B" w:rsidRPr="00522CD2" w:rsidRDefault="00C83A5B" w:rsidP="00C83A5B">
            <w:pPr>
              <w:widowControl w:val="0"/>
              <w:spacing w:line="276" w:lineRule="auto"/>
              <w:ind w:right="-143"/>
              <w:rPr>
                <w:b/>
                <w:color w:val="000000" w:themeColor="text1"/>
                <w:sz w:val="20"/>
                <w:szCs w:val="20"/>
              </w:rPr>
            </w:pPr>
            <w:r w:rsidRPr="00522CD2">
              <w:rPr>
                <w:b/>
                <w:color w:val="000000" w:themeColor="text1"/>
                <w:sz w:val="20"/>
                <w:szCs w:val="20"/>
              </w:rPr>
              <w:t>Patient /Carer Experience</w:t>
            </w:r>
          </w:p>
        </w:tc>
        <w:tc>
          <w:tcPr>
            <w:tcW w:w="1167" w:type="dxa"/>
            <w:tcBorders>
              <w:bottom w:val="single" w:sz="4" w:space="0" w:color="DBD5CC"/>
            </w:tcBorders>
            <w:shd w:val="clear" w:color="auto" w:fill="auto"/>
            <w:vAlign w:val="center"/>
          </w:tcPr>
          <w:p w14:paraId="0A0A41F9" w14:textId="77777777" w:rsidR="00C83A5B" w:rsidRPr="00522CD2" w:rsidRDefault="00C83A5B" w:rsidP="00C83A5B">
            <w:pPr>
              <w:widowControl w:val="0"/>
              <w:spacing w:line="276" w:lineRule="auto"/>
              <w:ind w:right="-143"/>
              <w:rPr>
                <w:color w:val="000000" w:themeColor="text1"/>
                <w:sz w:val="20"/>
                <w:szCs w:val="20"/>
              </w:rPr>
            </w:pPr>
          </w:p>
        </w:tc>
      </w:tr>
      <w:tr w:rsidR="00C83A5B" w:rsidRPr="00522CD2" w14:paraId="0AAD542E" w14:textId="77777777" w:rsidTr="00C83A5B">
        <w:trPr>
          <w:trHeight w:val="166"/>
        </w:trPr>
        <w:tc>
          <w:tcPr>
            <w:tcW w:w="7720" w:type="dxa"/>
            <w:tcBorders>
              <w:top w:val="single" w:sz="4" w:space="0" w:color="DBD5CC"/>
            </w:tcBorders>
            <w:shd w:val="clear" w:color="auto" w:fill="auto"/>
            <w:tcMar>
              <w:top w:w="72" w:type="dxa"/>
              <w:left w:w="120" w:type="dxa"/>
              <w:bottom w:w="72" w:type="dxa"/>
              <w:right w:w="120" w:type="dxa"/>
            </w:tcMar>
            <w:vAlign w:val="center"/>
          </w:tcPr>
          <w:p w14:paraId="59D81984"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Patient experience: involvement in care</w:t>
            </w:r>
          </w:p>
        </w:tc>
        <w:tc>
          <w:tcPr>
            <w:tcW w:w="1167" w:type="dxa"/>
            <w:tcBorders>
              <w:top w:val="single" w:sz="4" w:space="0" w:color="DBD5CC"/>
            </w:tcBorders>
            <w:shd w:val="clear" w:color="auto" w:fill="auto"/>
            <w:vAlign w:val="center"/>
          </w:tcPr>
          <w:p w14:paraId="5257BAFD"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2</w:t>
            </w:r>
          </w:p>
        </w:tc>
      </w:tr>
      <w:tr w:rsidR="00C83A5B" w:rsidRPr="00522CD2" w14:paraId="5E8B5417" w14:textId="77777777" w:rsidTr="00C83A5B">
        <w:trPr>
          <w:trHeight w:val="166"/>
        </w:trPr>
        <w:tc>
          <w:tcPr>
            <w:tcW w:w="7720" w:type="dxa"/>
            <w:shd w:val="clear" w:color="auto" w:fill="auto"/>
            <w:tcMar>
              <w:top w:w="72" w:type="dxa"/>
              <w:left w:w="120" w:type="dxa"/>
              <w:bottom w:w="72" w:type="dxa"/>
              <w:right w:w="120" w:type="dxa"/>
            </w:tcMar>
            <w:vAlign w:val="center"/>
          </w:tcPr>
          <w:p w14:paraId="36831B23"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Patient experience: satisfaction/complaints</w:t>
            </w:r>
          </w:p>
        </w:tc>
        <w:tc>
          <w:tcPr>
            <w:tcW w:w="1167" w:type="dxa"/>
            <w:shd w:val="clear" w:color="auto" w:fill="auto"/>
            <w:vAlign w:val="center"/>
          </w:tcPr>
          <w:p w14:paraId="5EB4F0EB"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0078A4C2" w14:textId="77777777" w:rsidTr="00C83A5B">
        <w:trPr>
          <w:trHeight w:val="166"/>
        </w:trPr>
        <w:tc>
          <w:tcPr>
            <w:tcW w:w="7720" w:type="dxa"/>
            <w:shd w:val="clear" w:color="auto" w:fill="auto"/>
            <w:tcMar>
              <w:top w:w="72" w:type="dxa"/>
              <w:left w:w="120" w:type="dxa"/>
              <w:bottom w:w="72" w:type="dxa"/>
              <w:right w:w="120" w:type="dxa"/>
            </w:tcMar>
            <w:vAlign w:val="center"/>
          </w:tcPr>
          <w:p w14:paraId="2225E5B3" w14:textId="77777777" w:rsidR="00C83A5B" w:rsidRPr="00522CD2" w:rsidRDefault="00C83A5B" w:rsidP="00C83A5B">
            <w:pPr>
              <w:widowControl w:val="0"/>
              <w:spacing w:line="276" w:lineRule="auto"/>
              <w:ind w:right="-143"/>
              <w:rPr>
                <w:color w:val="000000" w:themeColor="text1"/>
                <w:sz w:val="20"/>
                <w:szCs w:val="20"/>
              </w:rPr>
            </w:pPr>
            <w:r w:rsidRPr="00522CD2">
              <w:rPr>
                <w:color w:val="000000" w:themeColor="text1"/>
                <w:sz w:val="20"/>
                <w:szCs w:val="20"/>
              </w:rPr>
              <w:t xml:space="preserve">   Quality of life: patient rated</w:t>
            </w:r>
          </w:p>
        </w:tc>
        <w:tc>
          <w:tcPr>
            <w:tcW w:w="1167" w:type="dxa"/>
            <w:shd w:val="clear" w:color="auto" w:fill="auto"/>
            <w:vAlign w:val="center"/>
          </w:tcPr>
          <w:p w14:paraId="22E9DAB9"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1DE378F2" w14:textId="77777777" w:rsidTr="00C83A5B">
        <w:trPr>
          <w:trHeight w:val="166"/>
        </w:trPr>
        <w:tc>
          <w:tcPr>
            <w:tcW w:w="7720" w:type="dxa"/>
            <w:shd w:val="clear" w:color="auto" w:fill="auto"/>
            <w:tcMar>
              <w:top w:w="72" w:type="dxa"/>
              <w:left w:w="120" w:type="dxa"/>
              <w:bottom w:w="72" w:type="dxa"/>
              <w:right w:w="120" w:type="dxa"/>
            </w:tcMar>
            <w:vAlign w:val="center"/>
          </w:tcPr>
          <w:p w14:paraId="2F5546C6"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Therapeutic Climate</w:t>
            </w:r>
          </w:p>
        </w:tc>
        <w:tc>
          <w:tcPr>
            <w:tcW w:w="1167" w:type="dxa"/>
            <w:shd w:val="clear" w:color="auto" w:fill="auto"/>
            <w:vAlign w:val="center"/>
          </w:tcPr>
          <w:p w14:paraId="7588D86B"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1</w:t>
            </w:r>
          </w:p>
        </w:tc>
      </w:tr>
      <w:tr w:rsidR="00C83A5B" w:rsidRPr="00522CD2" w14:paraId="6EB039CE" w14:textId="77777777" w:rsidTr="00C83A5B">
        <w:trPr>
          <w:trHeight w:val="166"/>
        </w:trPr>
        <w:tc>
          <w:tcPr>
            <w:tcW w:w="7720" w:type="dxa"/>
            <w:shd w:val="clear" w:color="auto" w:fill="auto"/>
            <w:tcMar>
              <w:top w:w="72" w:type="dxa"/>
              <w:left w:w="120" w:type="dxa"/>
              <w:bottom w:w="72" w:type="dxa"/>
              <w:right w:w="120" w:type="dxa"/>
            </w:tcMar>
            <w:vAlign w:val="center"/>
          </w:tcPr>
          <w:p w14:paraId="3AA3A5B8"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Access to work/meaningful activity (where appropriate)</w:t>
            </w:r>
          </w:p>
        </w:tc>
        <w:tc>
          <w:tcPr>
            <w:tcW w:w="1167" w:type="dxa"/>
            <w:shd w:val="clear" w:color="auto" w:fill="auto"/>
            <w:vAlign w:val="center"/>
          </w:tcPr>
          <w:p w14:paraId="33195A76"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2</w:t>
            </w:r>
          </w:p>
        </w:tc>
      </w:tr>
      <w:tr w:rsidR="00C83A5B" w:rsidRPr="00522CD2" w14:paraId="651CC684" w14:textId="77777777" w:rsidTr="00C83A5B">
        <w:trPr>
          <w:trHeight w:val="166"/>
        </w:trPr>
        <w:tc>
          <w:tcPr>
            <w:tcW w:w="7720" w:type="dxa"/>
            <w:shd w:val="clear" w:color="auto" w:fill="auto"/>
            <w:tcMar>
              <w:top w:w="72" w:type="dxa"/>
              <w:left w:w="120" w:type="dxa"/>
              <w:bottom w:w="72" w:type="dxa"/>
              <w:right w:w="120" w:type="dxa"/>
            </w:tcMar>
            <w:vAlign w:val="center"/>
          </w:tcPr>
          <w:p w14:paraId="79A684F9"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Level of support/involvement in community (post discharge)</w:t>
            </w:r>
          </w:p>
        </w:tc>
        <w:tc>
          <w:tcPr>
            <w:tcW w:w="1167" w:type="dxa"/>
            <w:shd w:val="clear" w:color="auto" w:fill="auto"/>
            <w:vAlign w:val="center"/>
          </w:tcPr>
          <w:p w14:paraId="04484F74"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2</w:t>
            </w:r>
          </w:p>
        </w:tc>
      </w:tr>
      <w:tr w:rsidR="00C83A5B" w:rsidRPr="00522CD2" w14:paraId="3259D103" w14:textId="77777777" w:rsidTr="00C83A5B">
        <w:trPr>
          <w:trHeight w:val="166"/>
        </w:trPr>
        <w:tc>
          <w:tcPr>
            <w:tcW w:w="7720" w:type="dxa"/>
            <w:shd w:val="clear" w:color="auto" w:fill="auto"/>
            <w:tcMar>
              <w:top w:w="72" w:type="dxa"/>
              <w:left w:w="120" w:type="dxa"/>
              <w:bottom w:w="72" w:type="dxa"/>
              <w:right w:w="120" w:type="dxa"/>
            </w:tcMar>
            <w:vAlign w:val="center"/>
          </w:tcPr>
          <w:p w14:paraId="1BF8AAB2" w14:textId="77777777" w:rsidR="00C83A5B" w:rsidRPr="00522CD2" w:rsidRDefault="00C83A5B" w:rsidP="00C83A5B">
            <w:pPr>
              <w:widowControl w:val="0"/>
              <w:spacing w:line="276" w:lineRule="auto"/>
              <w:ind w:right="-143" w:firstLine="142"/>
              <w:rPr>
                <w:color w:val="000000" w:themeColor="text1"/>
                <w:sz w:val="20"/>
                <w:szCs w:val="20"/>
              </w:rPr>
            </w:pPr>
            <w:r w:rsidRPr="00522CD2">
              <w:rPr>
                <w:color w:val="000000" w:themeColor="text1"/>
                <w:sz w:val="20"/>
                <w:szCs w:val="20"/>
              </w:rPr>
              <w:t>Carer experience: communication with services/involvement in care</w:t>
            </w:r>
          </w:p>
        </w:tc>
        <w:tc>
          <w:tcPr>
            <w:tcW w:w="1167" w:type="dxa"/>
            <w:shd w:val="clear" w:color="auto" w:fill="auto"/>
            <w:vAlign w:val="center"/>
          </w:tcPr>
          <w:p w14:paraId="2DB921FE" w14:textId="77777777" w:rsidR="00C83A5B" w:rsidRPr="00522CD2" w:rsidRDefault="00C83A5B" w:rsidP="00C83A5B">
            <w:pPr>
              <w:widowControl w:val="0"/>
              <w:spacing w:line="276" w:lineRule="auto"/>
              <w:ind w:right="-143"/>
              <w:jc w:val="center"/>
              <w:rPr>
                <w:color w:val="000000" w:themeColor="text1"/>
                <w:sz w:val="20"/>
                <w:szCs w:val="20"/>
              </w:rPr>
            </w:pPr>
            <w:r w:rsidRPr="00522CD2">
              <w:rPr>
                <w:color w:val="000000" w:themeColor="text1"/>
                <w:sz w:val="20"/>
                <w:szCs w:val="20"/>
              </w:rPr>
              <w:t>2</w:t>
            </w:r>
          </w:p>
        </w:tc>
      </w:tr>
      <w:tr w:rsidR="00C83A5B" w:rsidRPr="00522CD2" w14:paraId="1A73FB5A" w14:textId="77777777" w:rsidTr="00C83A5B">
        <w:trPr>
          <w:trHeight w:val="166"/>
        </w:trPr>
        <w:tc>
          <w:tcPr>
            <w:tcW w:w="7720" w:type="dxa"/>
            <w:tcBorders>
              <w:bottom w:val="single" w:sz="4" w:space="0" w:color="auto"/>
            </w:tcBorders>
            <w:shd w:val="clear" w:color="auto" w:fill="auto"/>
            <w:tcMar>
              <w:top w:w="72" w:type="dxa"/>
              <w:left w:w="120" w:type="dxa"/>
              <w:bottom w:w="72" w:type="dxa"/>
              <w:right w:w="120" w:type="dxa"/>
            </w:tcMar>
            <w:vAlign w:val="center"/>
          </w:tcPr>
          <w:p w14:paraId="3AB41B5C" w14:textId="77777777" w:rsidR="00C83A5B" w:rsidRPr="00522CD2" w:rsidRDefault="00C83A5B" w:rsidP="00C83A5B">
            <w:pPr>
              <w:widowControl w:val="0"/>
              <w:spacing w:line="276" w:lineRule="auto"/>
              <w:ind w:right="-143" w:firstLine="142"/>
              <w:rPr>
                <w:color w:val="000000" w:themeColor="text1"/>
                <w:sz w:val="20"/>
                <w:szCs w:val="20"/>
              </w:rPr>
            </w:pPr>
          </w:p>
        </w:tc>
        <w:tc>
          <w:tcPr>
            <w:tcW w:w="1167" w:type="dxa"/>
            <w:tcBorders>
              <w:bottom w:val="single" w:sz="4" w:space="0" w:color="auto"/>
            </w:tcBorders>
            <w:shd w:val="clear" w:color="auto" w:fill="auto"/>
            <w:vAlign w:val="center"/>
          </w:tcPr>
          <w:p w14:paraId="2A8A65E6" w14:textId="77777777" w:rsidR="00C83A5B" w:rsidRPr="00522CD2" w:rsidRDefault="00C83A5B" w:rsidP="00C83A5B">
            <w:pPr>
              <w:widowControl w:val="0"/>
              <w:spacing w:line="276" w:lineRule="auto"/>
              <w:ind w:right="-143"/>
              <w:jc w:val="center"/>
              <w:rPr>
                <w:color w:val="000000" w:themeColor="text1"/>
                <w:sz w:val="20"/>
                <w:szCs w:val="20"/>
              </w:rPr>
            </w:pPr>
          </w:p>
        </w:tc>
      </w:tr>
      <w:tr w:rsidR="00C83A5B" w:rsidRPr="00522CD2" w14:paraId="052F1D75" w14:textId="77777777" w:rsidTr="00042144">
        <w:trPr>
          <w:trHeight w:val="21"/>
        </w:trPr>
        <w:tc>
          <w:tcPr>
            <w:tcW w:w="8887" w:type="dxa"/>
            <w:gridSpan w:val="2"/>
            <w:tcBorders>
              <w:top w:val="single" w:sz="4" w:space="0" w:color="auto"/>
            </w:tcBorders>
            <w:shd w:val="clear" w:color="auto" w:fill="auto"/>
            <w:tcMar>
              <w:top w:w="72" w:type="dxa"/>
              <w:left w:w="120" w:type="dxa"/>
              <w:bottom w:w="72" w:type="dxa"/>
              <w:right w:w="120" w:type="dxa"/>
            </w:tcMar>
            <w:vAlign w:val="center"/>
          </w:tcPr>
          <w:p w14:paraId="6E7E7A84" w14:textId="77777777" w:rsidR="00C83A5B" w:rsidRPr="00522CD2" w:rsidRDefault="00C83A5B" w:rsidP="00C83A5B">
            <w:pPr>
              <w:widowControl w:val="0"/>
              <w:ind w:right="-143"/>
              <w:rPr>
                <w:color w:val="000000" w:themeColor="text1"/>
                <w:sz w:val="20"/>
                <w:szCs w:val="20"/>
              </w:rPr>
            </w:pPr>
            <w:r w:rsidRPr="00522CD2">
              <w:rPr>
                <w:i/>
                <w:color w:val="000000" w:themeColor="text1"/>
                <w:sz w:val="20"/>
                <w:szCs w:val="20"/>
              </w:rPr>
              <w:t xml:space="preserve">Note. Source of domain </w:t>
            </w:r>
            <w:r w:rsidRPr="00522CD2">
              <w:rPr>
                <w:color w:val="000000" w:themeColor="text1"/>
                <w:sz w:val="20"/>
                <w:szCs w:val="20"/>
              </w:rPr>
              <w:t xml:space="preserve">Stage 1 = systematic review; Stage 2 = patient/carer involvement groups, Stage 3 = Delphi </w:t>
            </w:r>
          </w:p>
        </w:tc>
      </w:tr>
    </w:tbl>
    <w:p w14:paraId="3D13C593" w14:textId="2AE43158" w:rsidR="00C83A5B" w:rsidRPr="00522CD2" w:rsidRDefault="00C83A5B" w:rsidP="009726BA">
      <w:pPr>
        <w:pStyle w:val="Heading1"/>
        <w:rPr>
          <w:lang w:eastAsia="en-GB"/>
        </w:rPr>
      </w:pPr>
      <w:r w:rsidRPr="00522CD2">
        <w:rPr>
          <w:lang w:eastAsia="en-GB"/>
        </w:rPr>
        <w:t>References</w:t>
      </w:r>
    </w:p>
    <w:p w14:paraId="570E8721" w14:textId="5B26FA0A" w:rsidR="00E353A8" w:rsidRPr="00522CD2" w:rsidRDefault="00F95447" w:rsidP="00E353A8">
      <w:pPr>
        <w:widowControl w:val="0"/>
        <w:autoSpaceDE w:val="0"/>
        <w:autoSpaceDN w:val="0"/>
        <w:adjustRightInd w:val="0"/>
        <w:spacing w:line="360" w:lineRule="auto"/>
        <w:ind w:left="640" w:hanging="640"/>
        <w:rPr>
          <w:noProof/>
        </w:rPr>
      </w:pPr>
      <w:r w:rsidRPr="00522CD2">
        <w:rPr>
          <w:lang w:eastAsia="en-GB"/>
        </w:rPr>
        <w:fldChar w:fldCharType="begin" w:fldLock="1"/>
      </w:r>
      <w:r w:rsidRPr="00522CD2">
        <w:rPr>
          <w:lang w:eastAsia="en-GB"/>
        </w:rPr>
        <w:instrText xml:space="preserve">ADDIN Mendeley Bibliography CSL_BIBLIOGRAPHY </w:instrText>
      </w:r>
      <w:r w:rsidRPr="00522CD2">
        <w:rPr>
          <w:lang w:eastAsia="en-GB"/>
        </w:rPr>
        <w:fldChar w:fldCharType="separate"/>
      </w:r>
      <w:r w:rsidR="00E353A8" w:rsidRPr="00522CD2">
        <w:rPr>
          <w:noProof/>
        </w:rPr>
        <w:t xml:space="preserve">1. </w:t>
      </w:r>
      <w:r w:rsidR="00E353A8" w:rsidRPr="00522CD2">
        <w:rPr>
          <w:noProof/>
        </w:rPr>
        <w:tab/>
        <w:t xml:space="preserve">Health and Social Care Information Centre. Learning Disabilities Census Report. 2013; </w:t>
      </w:r>
    </w:p>
    <w:p w14:paraId="6362D4A7"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2. </w:t>
      </w:r>
      <w:r w:rsidRPr="00522CD2">
        <w:rPr>
          <w:noProof/>
        </w:rPr>
        <w:tab/>
        <w:t>Devapriam J, Rosenbach A, Alexander R. In-patient services for people with intellectual disability and mental health or behavioural difficulties. BJPscyh Adv [Internet]. 2015 Mar 2 [cited 2016 Jul 6];21(2):116–23. Available from: http://apt.rcpsych.org/content/21/2/116.abstract</w:t>
      </w:r>
    </w:p>
    <w:p w14:paraId="6184F870"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3. </w:t>
      </w:r>
      <w:r w:rsidRPr="00522CD2">
        <w:rPr>
          <w:noProof/>
        </w:rPr>
        <w:tab/>
        <w:t xml:space="preserve">Royal College of Psychiatrists’ Faculty of Psychiatry of Intellectual Disability. People with Learning Disability and Mental Health, Behavioural or Forensic Problems: The Role of In-Patient Services. 2013. </w:t>
      </w:r>
    </w:p>
    <w:p w14:paraId="453BBE7F"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4. </w:t>
      </w:r>
      <w:r w:rsidRPr="00522CD2">
        <w:rPr>
          <w:noProof/>
        </w:rPr>
        <w:tab/>
        <w:t>Esan F, Chester V, Gunaratna IJ, Hoare S, Alexander RT. The clinical, forensic and treatment outcome factors of patients with autism spectrum disorder treated in a forensic intellectual disability service. J Appl Res Intellect Disabil [Internet]. 2015 May [cited 2016 Jul 11];28(3):193–200. Available from: http://www.ncbi.nlm.nih.gov/pubmed/25379816</w:t>
      </w:r>
    </w:p>
    <w:p w14:paraId="2007F7DD"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5. </w:t>
      </w:r>
      <w:r w:rsidRPr="00522CD2">
        <w:rPr>
          <w:noProof/>
        </w:rPr>
        <w:tab/>
        <w:t>Alexander R, Hiremath A, Chester V, Green F, Gunaratna I, Hoare S. Evaluation of treatment outcomes from a medium secure unit for people with intellectual disability. Adv Ment Heal Intellect Disabil [Internet]. 2011 Jan 24 [cited 2016 Jul 12];5(1):22–32. Available from: http://www.emeraldinsight.com/doi/abs/10.5042/amhid.2011.0013</w:t>
      </w:r>
    </w:p>
    <w:p w14:paraId="6CBC9813"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6. </w:t>
      </w:r>
      <w:r w:rsidRPr="00522CD2">
        <w:rPr>
          <w:noProof/>
        </w:rPr>
        <w:tab/>
        <w:t xml:space="preserve">Department of Health. The NHS Outcomes Framework 2015/16. London; 2014. </w:t>
      </w:r>
    </w:p>
    <w:p w14:paraId="1A22F2FC"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7. </w:t>
      </w:r>
      <w:r w:rsidRPr="00522CD2">
        <w:rPr>
          <w:noProof/>
        </w:rPr>
        <w:tab/>
        <w:t xml:space="preserve">NHS England. Building the right support: A national plan to develop community services and close inpatient facilities for people with a learning disability and/or autism who display behaviour that challenges, including those with a mental health condition. 2015. </w:t>
      </w:r>
    </w:p>
    <w:p w14:paraId="49D07E8B"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8. </w:t>
      </w:r>
      <w:r w:rsidRPr="00522CD2">
        <w:rPr>
          <w:noProof/>
        </w:rPr>
        <w:tab/>
        <w:t xml:space="preserve">Fitzpatrick R, Chambers J, Burns T, Doll H, Fazel S, Jenkinson C, et al. A systematic review of outcome measures used in forensic mental health research with consensus panel opinion. Health Technol Assess (Rockv). 2010;14(18). </w:t>
      </w:r>
    </w:p>
    <w:p w14:paraId="5E9381E5"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9. </w:t>
      </w:r>
      <w:r w:rsidRPr="00522CD2">
        <w:rPr>
          <w:noProof/>
        </w:rPr>
        <w:tab/>
        <w:t xml:space="preserve">Gilbody SM, House AO, Sheldon TA. Outcomes measurement in psychiatry: a critical review of outcomes measurement in psychiatric research and practice. 2003; </w:t>
      </w:r>
    </w:p>
    <w:p w14:paraId="5BEB2181"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10. </w:t>
      </w:r>
      <w:r w:rsidRPr="00522CD2">
        <w:rPr>
          <w:noProof/>
        </w:rPr>
        <w:tab/>
        <w:t xml:space="preserve">Department of Health. Transparency in outcomes: a framework for the NHS. London; 2010. </w:t>
      </w:r>
    </w:p>
    <w:p w14:paraId="6671409B"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11. </w:t>
      </w:r>
      <w:r w:rsidRPr="00522CD2">
        <w:rPr>
          <w:noProof/>
        </w:rPr>
        <w:tab/>
        <w:t>Hassiotis A, Hall I. Behavioural and cognitive-behavioural interventions for outwardly-directed aggressive behaviour in people with learning disabilities. Cochrane database Syst Rev [Internet]. 2004 [cited 2016 Jul 12];(4):CD003406. Available from: http://www.ncbi.nlm.nih.gov/pubmed/15495051</w:t>
      </w:r>
    </w:p>
    <w:p w14:paraId="21C865FC"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12. </w:t>
      </w:r>
      <w:r w:rsidRPr="00522CD2">
        <w:rPr>
          <w:noProof/>
        </w:rPr>
        <w:tab/>
        <w:t xml:space="preserve">Duggan C. The Empirical Basis of Sex Offender Treatment Effectiveness. Sex Offender Treat. 2014;9(2):1–13. </w:t>
      </w:r>
    </w:p>
    <w:p w14:paraId="1FFD28B3"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13. </w:t>
      </w:r>
      <w:r w:rsidRPr="00522CD2">
        <w:rPr>
          <w:noProof/>
        </w:rPr>
        <w:tab/>
        <w:t>Hsieh H-F, Shannon SE. Three approaches to qualitative content analysis. Qual Health Res [Internet]. 2005 Nov [cited 2016 Jul 12];15(9):1277–88. Available from: http://www.ncbi.nlm.nih.gov/pubmed/16204405</w:t>
      </w:r>
    </w:p>
    <w:p w14:paraId="4E0F1EB0"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14. </w:t>
      </w:r>
      <w:r w:rsidRPr="00522CD2">
        <w:rPr>
          <w:noProof/>
        </w:rPr>
        <w:tab/>
        <w:t xml:space="preserve">Leonard R. Derogatis. Brief Symptom Inventory (BSI®). Pearson Clin. </w:t>
      </w:r>
    </w:p>
    <w:p w14:paraId="3519209A"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15. </w:t>
      </w:r>
      <w:r w:rsidRPr="00522CD2">
        <w:rPr>
          <w:noProof/>
        </w:rPr>
        <w:tab/>
        <w:t xml:space="preserve">Prout HT; Strohmer DC. Emotional Problems Scales. Professional Manual for the Behaviour Rating Scales and Self-Report Inventory. Lutz, FL: Psychological Assessment Resources Inc.; 1991. </w:t>
      </w:r>
    </w:p>
    <w:p w14:paraId="2004858B"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16. </w:t>
      </w:r>
      <w:r w:rsidRPr="00522CD2">
        <w:rPr>
          <w:noProof/>
        </w:rPr>
        <w:tab/>
        <w:t xml:space="preserve">Steve Moss. The Mini PAS-ADD Handbook. Pavilion; 2014. </w:t>
      </w:r>
    </w:p>
    <w:p w14:paraId="6883F7EA"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17. </w:t>
      </w:r>
      <w:r w:rsidRPr="00522CD2">
        <w:rPr>
          <w:noProof/>
        </w:rPr>
        <w:tab/>
        <w:t>Alexander RT, Crouch K, Halstead S, Piachaud J, Piachaud J, Singh I, et al. Long-term outcome from a medium secure service for people with intellectual disability. J Intellect Disabil Res [Internet]. 2006 Apr [cited 2016 Jul 6];50(Pt 4):305–15. Available from: http://www.ncbi.nlm.nih.gov/pubmed/16507035</w:t>
      </w:r>
    </w:p>
    <w:p w14:paraId="29CAC4B8"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18. </w:t>
      </w:r>
      <w:r w:rsidRPr="00522CD2">
        <w:rPr>
          <w:noProof/>
        </w:rPr>
        <w:tab/>
        <w:t>Dickens G, Sugarman P, Walker L. HoNOS-secure: A reliable outcome measure for users of secure and forensic mental health services. J Forens Psychiatry Psychol [Internet]. 2007 [cited 2016 Jul 13];18(4):507–14. Available from: http://www.tandfonline.com/action/journalInformation?journalCode=rjfp20</w:t>
      </w:r>
    </w:p>
    <w:p w14:paraId="62E99238"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19. </w:t>
      </w:r>
      <w:r w:rsidRPr="00522CD2">
        <w:rPr>
          <w:noProof/>
        </w:rPr>
        <w:tab/>
        <w:t xml:space="preserve">Guy W. ECDEU Assessment Manual for Psychopharmacology. US Department of Heath, Education, and Welfare Public Health Service Alcohol, Drug Abuse, and Mental Health Administration; 1976. </w:t>
      </w:r>
    </w:p>
    <w:p w14:paraId="359B6435"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20. </w:t>
      </w:r>
      <w:r w:rsidRPr="00522CD2">
        <w:rPr>
          <w:noProof/>
        </w:rPr>
        <w:tab/>
        <w:t>Alexander RT, Chester V, Gray NS, Snowden RJ. Patients with personality disorders and intellectual disability – closer to personality disorders or intellectual disability? A three-way comparison. J Forens Psychiatry Psychol [Internet]. 2012;23(4):435–51. Available from: http://www.tandfonline.com/doi/abs/10.1080/14789949.2012.694462</w:t>
      </w:r>
    </w:p>
    <w:p w14:paraId="7FD10316" w14:textId="77777777" w:rsidR="003A7D44" w:rsidRPr="00522CD2" w:rsidRDefault="003A7D44" w:rsidP="003A7D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58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87" w:hanging="587"/>
        <w:jc w:val="both"/>
        <w:rPr>
          <w:color w:val="000000"/>
        </w:rPr>
      </w:pPr>
      <w:r w:rsidRPr="00522CD2">
        <w:rPr>
          <w:noProof/>
        </w:rPr>
        <w:t xml:space="preserve">21. </w:t>
      </w:r>
      <w:r w:rsidRPr="00522CD2">
        <w:rPr>
          <w:noProof/>
        </w:rPr>
        <w:tab/>
      </w:r>
      <w:r w:rsidRPr="00522CD2">
        <w:rPr>
          <w:color w:val="222222"/>
          <w:bdr w:val="none" w:sz="0" w:space="0" w:color="auto"/>
          <w:lang w:eastAsia="en-GB"/>
        </w:rPr>
        <w:t xml:space="preserve">Fitzgerald S, Gray N, Alexander RT, Bagshaw R, Chesterman P, Huckle P, </w:t>
      </w:r>
      <w:r w:rsidRPr="00522CD2">
        <w:rPr>
          <w:i/>
          <w:color w:val="222222"/>
          <w:bdr w:val="none" w:sz="0" w:space="0" w:color="auto"/>
          <w:lang w:eastAsia="en-GB"/>
        </w:rPr>
        <w:t>et al</w:t>
      </w:r>
      <w:r w:rsidRPr="00522CD2">
        <w:rPr>
          <w:color w:val="222222"/>
          <w:bdr w:val="none" w:sz="0" w:space="0" w:color="auto"/>
          <w:lang w:eastAsia="en-GB"/>
        </w:rPr>
        <w:t>. Predicting institutional violence in offenders with intellectual disabilities: The Predictive Efficacy of the VRAG and the HCR</w:t>
      </w:r>
      <w:r w:rsidRPr="00522CD2">
        <w:rPr>
          <w:rFonts w:ascii="Cambria Math" w:hAnsi="Cambria Math" w:cs="Cambria Math"/>
          <w:color w:val="222222"/>
          <w:bdr w:val="none" w:sz="0" w:space="0" w:color="auto"/>
          <w:lang w:eastAsia="en-GB"/>
        </w:rPr>
        <w:t>‐</w:t>
      </w:r>
      <w:r w:rsidRPr="00522CD2">
        <w:rPr>
          <w:color w:val="222222"/>
          <w:bdr w:val="none" w:sz="0" w:space="0" w:color="auto"/>
          <w:lang w:eastAsia="en-GB"/>
        </w:rPr>
        <w:t xml:space="preserve">20. </w:t>
      </w:r>
      <w:r w:rsidRPr="00522CD2">
        <w:rPr>
          <w:color w:val="000000"/>
        </w:rPr>
        <w:t xml:space="preserve"> </w:t>
      </w:r>
      <w:r w:rsidRPr="00522CD2">
        <w:rPr>
          <w:i/>
          <w:iCs/>
          <w:color w:val="000000"/>
        </w:rPr>
        <w:t xml:space="preserve">J Appl Res Intellect Disabil </w:t>
      </w:r>
      <w:r w:rsidRPr="00522CD2">
        <w:rPr>
          <w:color w:val="000000"/>
        </w:rPr>
        <w:t>2013;</w:t>
      </w:r>
      <w:r w:rsidRPr="00522CD2">
        <w:rPr>
          <w:color w:val="222222"/>
          <w:bdr w:val="none" w:sz="0" w:space="0" w:color="auto"/>
          <w:lang w:eastAsia="en-GB"/>
        </w:rPr>
        <w:t>26(5):384-93.</w:t>
      </w:r>
    </w:p>
    <w:p w14:paraId="71FA9FE2"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22. </w:t>
      </w:r>
      <w:r w:rsidRPr="00522CD2">
        <w:rPr>
          <w:noProof/>
        </w:rPr>
        <w:tab/>
        <w:t xml:space="preserve">Fitzgerald S, Gray NS, Taylor J, Snowden RJ. Risk factors for recidivism in offenders with intellectual disabilities. Psychol Crime Law. 2011; </w:t>
      </w:r>
    </w:p>
    <w:p w14:paraId="36D4885B"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23. </w:t>
      </w:r>
      <w:r w:rsidRPr="00522CD2">
        <w:rPr>
          <w:noProof/>
        </w:rPr>
        <w:tab/>
        <w:t>Palucka AM, Raina P, Liu S, Lunsky Y. The clinical profiles of forensic inpatients with intellectual disabilities in a specialized unit. J Learn Disabil Offending Behav [Internet]. 2012 [cited 2016 Jul 12];3(4):219–27. Available from: http://www.emeraldinsight.com/doi/abs/10.1108/20420921211327365</w:t>
      </w:r>
    </w:p>
    <w:p w14:paraId="127FCA3A"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24. </w:t>
      </w:r>
      <w:r w:rsidRPr="00522CD2">
        <w:rPr>
          <w:noProof/>
        </w:rPr>
        <w:tab/>
        <w:t>Lindsay WR, Steptoe L, Wallace L, Haut F, Brewster E. An evaluation and 20-year follow-up of a community forensic intellectual disability service. Crim Behav Ment Health [Internet]. 2013 Apr [cited 2016 Jul 12];23(2):138–49. Available from: http://www.ncbi.nlm.nih.gov/pubmed/23595864</w:t>
      </w:r>
    </w:p>
    <w:p w14:paraId="4B7DCB44"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25. </w:t>
      </w:r>
      <w:r w:rsidRPr="00522CD2">
        <w:rPr>
          <w:noProof/>
        </w:rPr>
        <w:tab/>
        <w:t>Lindsay WR, Smith AHW, Law J, Quinn K, Anderson A, Smith A, et al. Sexual and nonsexual offenders with intellectual and learning disabilities: a comparison of characteristics, referral patterns, and outcome. J Interpers Violence [Internet]. 2004 Aug [cited 2016 Jul 12];19(8):875–90. Available from: http://www.ncbi.nlm.nih.gov/pubmed/15231027</w:t>
      </w:r>
    </w:p>
    <w:p w14:paraId="33EBD262"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26. </w:t>
      </w:r>
      <w:r w:rsidRPr="00522CD2">
        <w:rPr>
          <w:noProof/>
        </w:rPr>
        <w:tab/>
        <w:t>Lindsay WR, Steele L, Smith AHW, Quinn K, Allan R. A community forensic intellectual disability service: Twelve year follow up of referrals, analysis of referral patterns and assessment of harm reduction. Leg Criminol Psychol [Internet]. 2006 Feb 1 [cited 2016 Jul 12];11(1):113–30. Available from: http://doi.wiley.com/10.1348/135532505X55669</w:t>
      </w:r>
    </w:p>
    <w:p w14:paraId="78F2DBE8"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27. </w:t>
      </w:r>
      <w:r w:rsidRPr="00522CD2">
        <w:rPr>
          <w:noProof/>
        </w:rPr>
        <w:tab/>
        <w:t xml:space="preserve">Halstead S, Cahill A, Fernando L, Isweran M. Discharges from a Learning-disability medium Secure Unit: What Happens to Them? Br J Forensic Pract. 2001;3(1):11–21. </w:t>
      </w:r>
    </w:p>
    <w:p w14:paraId="17EB391D"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28. </w:t>
      </w:r>
      <w:r w:rsidRPr="00522CD2">
        <w:rPr>
          <w:noProof/>
        </w:rPr>
        <w:tab/>
        <w:t>Lindsay WR, Smith AHW, Law J, Quinn K, Anderson A, Smith A, et al. A Treatment Service for Sex Offenders and Abusers with Intellectual Disability: Characteristics of Referrals and Evaluation. J Appl Res Intellect Disabil [Internet]. 2002 Jun [cited 2016 Jul 12];15(2):166–74. Available from: http://doi.wiley.com/10.1046/j.1468-3148.2002.00111.x</w:t>
      </w:r>
    </w:p>
    <w:p w14:paraId="35FABB51"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29. </w:t>
      </w:r>
      <w:r w:rsidRPr="00522CD2">
        <w:rPr>
          <w:noProof/>
        </w:rPr>
        <w:tab/>
        <w:t xml:space="preserve">Linhorst DM, McCutchen TA, Bennett L. Recidivism among offenders with developmental disabilities participating in a case management program. Res Dev Disabil. 2003;24(3):210–30. </w:t>
      </w:r>
    </w:p>
    <w:p w14:paraId="6EF0EB97"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30. </w:t>
      </w:r>
      <w:r w:rsidRPr="00522CD2">
        <w:rPr>
          <w:noProof/>
        </w:rPr>
        <w:tab/>
        <w:t xml:space="preserve">Douglas KS, Hart SD, Webster CD, Belfrage H, Guy LS, Wilson CM. Historical-Clinical-Risk Management-20, Version 3 (HCR-20V3): Development and Overview. http://dx.doi.org/101080/149990132014906519. 2014; </w:t>
      </w:r>
    </w:p>
    <w:p w14:paraId="2B8ADF8A"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31. </w:t>
      </w:r>
      <w:r w:rsidRPr="00522CD2">
        <w:rPr>
          <w:noProof/>
        </w:rPr>
        <w:tab/>
        <w:t xml:space="preserve">Harris G. T., Rice, M. E. &amp; Camilleri JA. Applying a forensic actuarial assessment (the Violence Risk Appraisal Guide) to non-forensic patients. J Interpers Violence. 2004;19:1063–74. </w:t>
      </w:r>
    </w:p>
    <w:p w14:paraId="09AE8954"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32. </w:t>
      </w:r>
      <w:r w:rsidRPr="00522CD2">
        <w:rPr>
          <w:noProof/>
        </w:rPr>
        <w:tab/>
        <w:t xml:space="preserve">Hanson, R.C.; Thornton D. Static 99: Improving Actuarial Risk Assessments for Sex Offenders. In: Prediction of Criminal Behaviour. 199AD. </w:t>
      </w:r>
    </w:p>
    <w:p w14:paraId="07D706FA"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33. </w:t>
      </w:r>
      <w:r w:rsidRPr="00522CD2">
        <w:rPr>
          <w:noProof/>
        </w:rPr>
        <w:tab/>
        <w:t>Morrissey C, Beeley C, Milton J. Longitudinal HCR-20 scores in a high-secure psychiatric hospital. Crim Behav Ment Heal [Internet]. 2014 Jul [cited 2016 Jul 12];24(3):169–80. Available from: http://doi.wiley.com/10.1002/cbm.1893</w:t>
      </w:r>
    </w:p>
    <w:p w14:paraId="5F3365C8"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34. </w:t>
      </w:r>
      <w:r w:rsidRPr="00522CD2">
        <w:rPr>
          <w:noProof/>
        </w:rPr>
        <w:tab/>
        <w:t xml:space="preserve">Department of Health. Positive and Proactive Care: reducing the need for restrictive interventions. 2014. </w:t>
      </w:r>
    </w:p>
    <w:p w14:paraId="51D49600"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35. </w:t>
      </w:r>
      <w:r w:rsidRPr="00522CD2">
        <w:rPr>
          <w:noProof/>
        </w:rPr>
        <w:tab/>
        <w:t xml:space="preserve">Glover G, Brown I, Hatton C. How psychiatric in-patient care for people with learning disabilities is transforming after Winterbourne View. http://dx.doi.org/101108/TLDR-04-2014-0009. 2014; </w:t>
      </w:r>
    </w:p>
    <w:p w14:paraId="638B70DD"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36. </w:t>
      </w:r>
      <w:r w:rsidRPr="00522CD2">
        <w:rPr>
          <w:noProof/>
        </w:rPr>
        <w:tab/>
        <w:t xml:space="preserve">NHS England. Supporting people with a learning disability and/or autism who display behaviour that challenges, including those with a mental health condition. Service model for commissioners of health and social care services. 2015. </w:t>
      </w:r>
    </w:p>
    <w:p w14:paraId="7775B994"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37. </w:t>
      </w:r>
      <w:r w:rsidRPr="00522CD2">
        <w:rPr>
          <w:noProof/>
        </w:rPr>
        <w:tab/>
        <w:t xml:space="preserve">Alexander RT, Green FN, O’Mahony B, Gunaratna IJ, Gangadharan SK, Hoare S. Personality disorders in offerders with intellectual disability: A comparison of clinical, forensic and outcome variables and implications for service provision. J Intellect Disabil Res. 2010;54(7):650–8. </w:t>
      </w:r>
    </w:p>
    <w:p w14:paraId="7A5D6729"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38. </w:t>
      </w:r>
      <w:r w:rsidRPr="00522CD2">
        <w:rPr>
          <w:noProof/>
        </w:rPr>
        <w:tab/>
        <w:t>Alexander RT, Chester V, Green FN, Gunaratna I, Hoare S. Arson or fire setting in offenders with intellectual disability: Clinical characteristics, forensic histories, and treatment outcomes. J Intellect Dev Disabil [Internet]. 2015 [cited 2016 Jul 12];40(2):189–97. Available from: http://www.tandfonline.com/doi/full/10.3109/13668250.2014.998182</w:t>
      </w:r>
    </w:p>
    <w:p w14:paraId="6C4B8E99"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39. </w:t>
      </w:r>
      <w:r w:rsidRPr="00522CD2">
        <w:rPr>
          <w:noProof/>
        </w:rPr>
        <w:tab/>
        <w:t xml:space="preserve">Ayres M, Roy A. Supporting people with complex mental health needs to get a life! The role of the Supported Living Outreach Team. Tizard Learn Disabil Rev. 2013;14(1):29–39. </w:t>
      </w:r>
    </w:p>
    <w:p w14:paraId="29AA636B"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40. </w:t>
      </w:r>
      <w:r w:rsidRPr="00522CD2">
        <w:rPr>
          <w:noProof/>
        </w:rPr>
        <w:tab/>
        <w:t>Barron P, Hassiotis A, Banes J. Offenders with intellectual disability: a prospective comparative study. J Intellect Disabil Res [Internet]. 2004 Jan [cited 2016 Jul 12];48(1):69–76. Available from: http://www.ncbi.nlm.nih.gov/pubmed/14675234</w:t>
      </w:r>
    </w:p>
    <w:p w14:paraId="08B4BFA4"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41. </w:t>
      </w:r>
      <w:r w:rsidRPr="00522CD2">
        <w:rPr>
          <w:noProof/>
        </w:rPr>
        <w:tab/>
        <w:t>Benton C, Roy A. The first three years of a community forensic service for people with a learning disability. Br J Forensic Pract [Internet]. 2006 [cited 2016 Jul 12];10(2):4–12. Available from: http://dx.doi.org/10.1108/14636646200800008</w:t>
      </w:r>
    </w:p>
    <w:p w14:paraId="192899CC"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42. </w:t>
      </w:r>
      <w:r w:rsidRPr="00522CD2">
        <w:rPr>
          <w:noProof/>
        </w:rPr>
        <w:tab/>
        <w:t>Butwell M, Jamieson E, Leese M, Taylor P. Trends in special (high-security) hospitals. 2: Residency and discharge episodes, 1986-1995. Br J Psychiatry [Internet]. 2000 Mar [cited 2016 Jul 12];176(3):260–5. Available from: http://www.ncbi.nlm.nih.gov/pubmed/10755074</w:t>
      </w:r>
    </w:p>
    <w:p w14:paraId="45A0E8D2"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43. </w:t>
      </w:r>
      <w:r w:rsidRPr="00522CD2">
        <w:rPr>
          <w:noProof/>
        </w:rPr>
        <w:tab/>
        <w:t>Day K. A hospital-based treatment programme for male mentally handicapped offenders. Br J Psychiatry [Internet]. 1988 Nov [cited 2016 Jul 12];153(5):635–44. Available from: http://www.ncbi.nlm.nih.gov/pubmed/2855609</w:t>
      </w:r>
    </w:p>
    <w:p w14:paraId="4910A598"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44. </w:t>
      </w:r>
      <w:r w:rsidRPr="00522CD2">
        <w:rPr>
          <w:noProof/>
        </w:rPr>
        <w:tab/>
        <w:t>Dickens G, Sugarman P, Picchioni M, Long C. HoNOS-Secure: Tracking risk and recovery for men in secure care. Br J Forensic Pract [Internet]. 2010 [cited 2016 Jul 12];12(4):36–46. Available from: 10.5042/bjfp.2010.0613\nhttp://ezproxy.net.ucf.edu/login?url=http://search.ebscohost.com/login.aspx?direct=true&amp;db=psyh&amp;AN=2011-02034-005&amp;site=ehost-live\ngdickens@standrew.co.uk</w:t>
      </w:r>
    </w:p>
    <w:p w14:paraId="1EAD81E0" w14:textId="1D3F869E"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45. </w:t>
      </w:r>
      <w:r w:rsidRPr="00522CD2">
        <w:rPr>
          <w:noProof/>
        </w:rPr>
        <w:tab/>
      </w:r>
      <w:r w:rsidR="003A7D44" w:rsidRPr="00522CD2">
        <w:rPr>
          <w:noProof/>
        </w:rPr>
        <w:t>Gray NS, Fitzgerald S, Taylor J, Macculloch MJ, Snowden RJ. Predicting future reconviction in offenders with intellectual disabilities: the predictive efficacy of VRAG, PCL-SV, and the HCR-20. Psychol Assess. 2007;19(4):474–9.</w:t>
      </w:r>
      <w:r w:rsidRPr="00522CD2">
        <w:rPr>
          <w:noProof/>
        </w:rPr>
        <w:t xml:space="preserve"> </w:t>
      </w:r>
    </w:p>
    <w:p w14:paraId="015C370F"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46. </w:t>
      </w:r>
      <w:r w:rsidRPr="00522CD2">
        <w:rPr>
          <w:noProof/>
        </w:rPr>
        <w:tab/>
        <w:t>Lindsay WR, Smith AHW, Quinn K, Anderson A, Smith A, Allan R, et al. Women with intellectual disability who have offended: characteristics and outcome. J Intellect Disabil Res [Internet]. 2004 Sep [cited 2016 Jul 12];48(Pt 6):580–90. Available from: http://www.ncbi.nlm.nih.gov/pubmed/15312059</w:t>
      </w:r>
    </w:p>
    <w:p w14:paraId="49B8F545"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47. </w:t>
      </w:r>
      <w:r w:rsidRPr="00522CD2">
        <w:rPr>
          <w:noProof/>
        </w:rPr>
        <w:tab/>
        <w:t>Lindsay WR, Holland T, Wheeler JR, Carson D, O’Brien G, Taylor JL, et al. Pathways through services for offenders with intellectual disability: a one- and two-year follow-up study. Am J Intellect Dev Disabil [Internet]. 2010 May [cited 2016 Jul 12];115(3):250–62. Available from: http://www.ncbi.nlm.nih.gov/pubmed/20441394</w:t>
      </w:r>
    </w:p>
    <w:p w14:paraId="57A62218"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48. </w:t>
      </w:r>
      <w:r w:rsidRPr="00522CD2">
        <w:rPr>
          <w:noProof/>
        </w:rPr>
        <w:tab/>
        <w:t xml:space="preserve">Marks K. Assessing Risk and Outcomes in Offenders Detained in Intellectual Disability and Mental Health Medium Secure Units in the United Kingdom. University of Birmingham; 2011. </w:t>
      </w:r>
    </w:p>
    <w:p w14:paraId="1B76E9B5" w14:textId="655D8622" w:rsidR="00E353A8" w:rsidRPr="00522CD2" w:rsidRDefault="003A7D44" w:rsidP="00E353A8">
      <w:pPr>
        <w:widowControl w:val="0"/>
        <w:autoSpaceDE w:val="0"/>
        <w:autoSpaceDN w:val="0"/>
        <w:adjustRightInd w:val="0"/>
        <w:spacing w:line="360" w:lineRule="auto"/>
        <w:ind w:left="640" w:hanging="640"/>
        <w:rPr>
          <w:noProof/>
        </w:rPr>
      </w:pPr>
      <w:r w:rsidRPr="00522CD2">
        <w:rPr>
          <w:noProof/>
        </w:rPr>
        <w:t xml:space="preserve">49. </w:t>
      </w:r>
      <w:r w:rsidRPr="00522CD2">
        <w:rPr>
          <w:noProof/>
        </w:rPr>
        <w:tab/>
      </w:r>
      <w:r w:rsidR="00E353A8" w:rsidRPr="00522CD2">
        <w:rPr>
          <w:noProof/>
        </w:rPr>
        <w:t>M</w:t>
      </w:r>
      <w:r w:rsidRPr="00522CD2">
        <w:rPr>
          <w:noProof/>
        </w:rPr>
        <w:t>orrissey C,</w:t>
      </w:r>
      <w:r w:rsidR="00E353A8" w:rsidRPr="00522CD2">
        <w:rPr>
          <w:noProof/>
        </w:rPr>
        <w:t xml:space="preserve"> T</w:t>
      </w:r>
      <w:r w:rsidRPr="00522CD2">
        <w:rPr>
          <w:noProof/>
        </w:rPr>
        <w:t>aylor J</w:t>
      </w:r>
      <w:r w:rsidR="00E353A8" w:rsidRPr="00522CD2">
        <w:rPr>
          <w:noProof/>
        </w:rPr>
        <w:t>. Changes in Personality Disorder Traits Following 2 Years of Treatment in a Secure Therapeutic Community Milieu. J Ment Health Res Intellect Disabil [Internet]. 2014 [cited 2016 Jul 12];7(4):323–36. Available from: http://www.scopus.com/inward/record.url?eid=2-s2.0-84915751646&amp;partnerID=40&amp;md5=6d39ee00dd692cc1d75524da954c3d73</w:t>
      </w:r>
    </w:p>
    <w:p w14:paraId="3BF08950"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50. </w:t>
      </w:r>
      <w:r w:rsidRPr="00522CD2">
        <w:rPr>
          <w:noProof/>
        </w:rPr>
        <w:tab/>
        <w:t>Morrissey C, Mooney P, Hogue TE, Lindsay WR, Taylor JL. Predictive validity of the PCL-R for offenders with intellectual disability in a high security hospital: treatment progress. J Intellect Dev Disabil [Internet]. 2007 Jun [cited 2016 Jul 12];32(2):125–33. Available from: http://www.ncbi.nlm.nih.gov/pubmed/17613683</w:t>
      </w:r>
    </w:p>
    <w:p w14:paraId="15D0A39F"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51. </w:t>
      </w:r>
      <w:r w:rsidRPr="00522CD2">
        <w:rPr>
          <w:noProof/>
        </w:rPr>
        <w:tab/>
        <w:t>Morrissey C, Hobson B, Faulkner E, James T. Outcomes from the National High Secure Learning Disability Service: findings and challenges. Regi Alexander D, editor. Adv Ment Heal Intellect Disabil [Internet]. 2015 May 5 [cited 2016 Jul 12];9(3):116–23. Available from: http://www.emeraldinsight.com/doi/abs/10.1108/AMHID-06-2014-0023</w:t>
      </w:r>
    </w:p>
    <w:p w14:paraId="0021D146"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52. </w:t>
      </w:r>
      <w:r w:rsidRPr="00522CD2">
        <w:rPr>
          <w:noProof/>
        </w:rPr>
        <w:tab/>
        <w:t>Reed S, Russell A, Xenitidis K, Murphy DGM. People with learning disabilities in a low secure in-patient unit: Comparison of offenders and non-offenders. Br J Psychiatry [Internet]. 2004 Dec [cited 2016 Jul 12];185(DEC.):499–504. Available from: http://www.ncbi.nlm.nih.gov/pubmed/15572741</w:t>
      </w:r>
    </w:p>
    <w:p w14:paraId="2C661AFC"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53. </w:t>
      </w:r>
      <w:r w:rsidRPr="00522CD2">
        <w:rPr>
          <w:noProof/>
        </w:rPr>
        <w:tab/>
        <w:t>Xenitidis KI, Henry J, Russell AJ, Ward A, Murphy DG. An inpatient treatment model for adults with mild intellectual disability and challenging behaviour. J Intellect Disabil Res [Internet]. 1999 Apr [cited 2016 Jul 12];43 ( Pt 2):128–34. Available from: http://www.ncbi.nlm.nih.gov/pubmed/10221793</w:t>
      </w:r>
    </w:p>
    <w:p w14:paraId="642603FF"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54. </w:t>
      </w:r>
      <w:r w:rsidRPr="00522CD2">
        <w:rPr>
          <w:noProof/>
        </w:rPr>
        <w:tab/>
        <w:t xml:space="preserve">Ajmal MA. Self-Esteem and Mental Health in a Forensic Learning Disabilities Setting. Pakistan J Soc Clin Psychol. 2008;4:47–58. </w:t>
      </w:r>
    </w:p>
    <w:p w14:paraId="21743CAF"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55. </w:t>
      </w:r>
      <w:r w:rsidRPr="00522CD2">
        <w:rPr>
          <w:noProof/>
        </w:rPr>
        <w:tab/>
        <w:t>Beer D, Turk V, McGovern P, Gravestock SM, Brooks D, Barnett L, et al. Characteristics of patients exhibiting severe challenging behaviour in low secure mental health and mild learning disabilities units. J Psychiatr Intensive Care [Internet]. 2005 Sep 15 [cited 2016 Jul 12];1(1):29. Available from: http://www.journals.cambridge.org/abstract_S1742646405000063</w:t>
      </w:r>
    </w:p>
    <w:p w14:paraId="0348C066"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56. </w:t>
      </w:r>
      <w:r w:rsidRPr="00522CD2">
        <w:rPr>
          <w:noProof/>
        </w:rPr>
        <w:tab/>
        <w:t>Beer D, Spiller MJ, Pickard M, Gravestock S, Mcgovern P, Leese M, et al. Low secure units: Factors predicting delayed discharge. J Forens Psychiatry Psychol [Internet]. 2005 [cited 2016 Jul 12];16(4):621–37. Available from: http://www.tandfonline.com/doi/abs/10.1080/14789940500159475</w:t>
      </w:r>
    </w:p>
    <w:p w14:paraId="1909ACB9"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57. </w:t>
      </w:r>
      <w:r w:rsidRPr="00522CD2">
        <w:rPr>
          <w:noProof/>
        </w:rPr>
        <w:tab/>
        <w:t>Chaplin E, Eyeoyibo M, Wright S, Xenitidis K, McCarthy J. Historical and clinical items of the HCR-20 as predictors of risk within an intellectual disability population. Adv Ment Heal Intellect Disabil [Internet]. 2015 [cited 2016 Jul 12];9(2):62–9. Available from: http://ovidsp.ovid.com/ovidweb.cgi?T=JS&amp;CSC=Y&amp;NEWS=N&amp;PAGE=fulltext&amp;D=psyc11&amp;AN=2015-09184-002\nhttp://sfx.nottingham.ac.uk:80/sfx_local?genre=article&amp;atitle=Historical+and+clinical+items+of+the+HCR-20+as+predictors+of+risk+within+an+intellectual+disabilit</w:t>
      </w:r>
    </w:p>
    <w:p w14:paraId="2333FA5F"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58. </w:t>
      </w:r>
      <w:r w:rsidRPr="00522CD2">
        <w:rPr>
          <w:noProof/>
        </w:rPr>
        <w:tab/>
        <w:t>Chilvers J, Thomas C. Do male and female forensic patients with learning disabilities differ on subscales of the Novaco Anger Scale and Provocation Inventory (NAS-PI)? J Learn Disabil Offending Behav [Internet]. 2011 [cited 2016 Jul 12];2(2):84–97. Available from: http://ezproxy.library.nyu.edu:2048/login?url=http://search.proquest.com/docview/1012267399?accountid=12768\nhttp://getit.library.nyu.edu/resolve?url_ver=Z39.88-2004&amp;rft_val_fmt=info:ofi/fmt:kev:mtx:journal&amp;genre=article&amp;sid=ProQ:ProQ:criminaljusticeper</w:t>
      </w:r>
    </w:p>
    <w:p w14:paraId="1C18CBBB"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59. </w:t>
      </w:r>
      <w:r w:rsidRPr="00522CD2">
        <w:rPr>
          <w:noProof/>
        </w:rPr>
        <w:tab/>
        <w:t>Crossland S, Burns M, Leach C, Quinn P. Needs assessment in forensic learning disability. Med Sci Law [Internet]. 2005 Apr [cited 2016 Jul 12];45(2):147–53. Available from: http://www.ncbi.nlm.nih.gov/pubmed/15895641</w:t>
      </w:r>
    </w:p>
    <w:p w14:paraId="7E4C87C4"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60. </w:t>
      </w:r>
      <w:r w:rsidRPr="00522CD2">
        <w:rPr>
          <w:noProof/>
        </w:rPr>
        <w:tab/>
        <w:t>Dickens G, Picchioni M, Long C. Aggression in specialist secure and forensic inpatient mental health care: incidence across care pathways. J Forensic Pract [Internet]. 2013 [cited 2016 Jul 12];15(3):206–17. Available from: http://www.emeraldinsight.com/doi/abs/10.1108/JFP-09-2012-0017</w:t>
      </w:r>
    </w:p>
    <w:p w14:paraId="59016B4E"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61. </w:t>
      </w:r>
      <w:r w:rsidRPr="00522CD2">
        <w:rPr>
          <w:noProof/>
        </w:rPr>
        <w:tab/>
        <w:t xml:space="preserve">Hall I, Yacoub E, Boast N, Bates R, Stamps R, Holder S, et al. Secure inpatient services: a needs assessment. J Intellect Disabil Offending Behav. 2014;5(1):38–53. </w:t>
      </w:r>
    </w:p>
    <w:p w14:paraId="267E67FA"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62. </w:t>
      </w:r>
      <w:r w:rsidRPr="00522CD2">
        <w:rPr>
          <w:noProof/>
        </w:rPr>
        <w:tab/>
        <w:t>Hogue TE, Mooney P, Morrissey C, Steptoe L, Johnston S, Lindsay WR, et al. Emotional and behavioural problems in offenders with intellectual disability: comparative data from three forensic services. J Intellect Disabil Res [Internet]. 2007 Oct [cited 2016 Jul 12];51(Pt 10):778–85. Available from: http://www.ncbi.nlm.nih.gov/pubmed/17803496</w:t>
      </w:r>
    </w:p>
    <w:p w14:paraId="5A67B716"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63. </w:t>
      </w:r>
      <w:r w:rsidRPr="00522CD2">
        <w:rPr>
          <w:noProof/>
        </w:rPr>
        <w:tab/>
        <w:t>Johnson P. The prevalence of low self-esteem in an intellectually disabled forensic population. J Intellect Disabil Res [Internet]. 2012 Mar [cited 2016 Jul 12];56(3):317–25. Available from: http://www.ncbi.nlm.nih.gov/pubmed/21726326</w:t>
      </w:r>
    </w:p>
    <w:p w14:paraId="57E7BBF4"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64. </w:t>
      </w:r>
      <w:r w:rsidRPr="00522CD2">
        <w:rPr>
          <w:noProof/>
        </w:rPr>
        <w:tab/>
        <w:t>Kellett S, Beail N, Newman DW, Frankish P. Utility of the Brief Symptom Inventory in the Assessment of Psychological Distress. J Appl Res Intellect Disabil [Internet]. 2003 Jun [cited 2016 Jul 12];16(2):127–34. Available from: http://doi.wiley.com/10.1046/j.1468-3148.2003.00152.x</w:t>
      </w:r>
    </w:p>
    <w:p w14:paraId="70226E3B"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65. </w:t>
      </w:r>
      <w:r w:rsidRPr="00522CD2">
        <w:rPr>
          <w:noProof/>
        </w:rPr>
        <w:tab/>
        <w:t>Lindsay WR, Elliot SF, Astell A. Predictors of Sexual Offence Recidivism in Offenders with Intellectual Disabilities. J Appl Res Intellect Disabil [Internet]. 2004 Dec [cited 2016 Jul 12];17(4):299–305. Available from: http://doi.wiley.com/10.1111/j.1468-3148.2004.00217.x</w:t>
      </w:r>
    </w:p>
    <w:p w14:paraId="73EBD188"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66. </w:t>
      </w:r>
      <w:r w:rsidRPr="00522CD2">
        <w:rPr>
          <w:noProof/>
        </w:rPr>
        <w:tab/>
        <w:t>Lindsay WR, Hogue TE, Taylor JL, Steptoe L, Mooney P, O’Brien G, et al. Risk assessment in offenders with intellectual disability: a comparison across three levels of security. Int J Offender Ther Comp Criminol [Internet]. 2008 Feb [cited 2016 Jul 12];52(1):90–111. Available from: http://www.ncbi.nlm.nih.gov/pubmed/18174529</w:t>
      </w:r>
    </w:p>
    <w:p w14:paraId="38D2313D"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67. </w:t>
      </w:r>
      <w:r w:rsidRPr="00522CD2">
        <w:rPr>
          <w:noProof/>
        </w:rPr>
        <w:tab/>
        <w:t>Lindsay W, Carson D, O’Brien G, Holland AJ, Johnston S, Taylor JL, et al. The relationship between assessed risk and service security level for offenders with intellectual disability. J Forens Psychiatry Psychol [Internet]. 2010 [cited 2016 Jul 12];21(4):537. Available from: http://ovidsp.ovid.com/ovidweb.cgi?T=JS&amp;PAGE=reference&amp;D=med5&amp;NEWS=N&amp;AN=18941166\nhttp://ezproxy.cul.columbia.edu/login?url=http://search.proquest.com/docview/737031247?accountid=10226</w:t>
      </w:r>
    </w:p>
    <w:p w14:paraId="72B7BB1D"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68. </w:t>
      </w:r>
      <w:r w:rsidRPr="00522CD2">
        <w:rPr>
          <w:noProof/>
        </w:rPr>
        <w:tab/>
        <w:t>Lofthouse RE, Lindsay WR, Totsika V, Hastings RP, Roberts D. Dynamic risk and violence in individuals with an intellectual disability: tool development and initial validation. J Forens Psychiatry Psychol [Internet]. 2014 [cited 2016 Jul 12];25(3):288–306. Available from: http://dx.doi.org/10.1080/14789949.2014.911946</w:t>
      </w:r>
    </w:p>
    <w:p w14:paraId="0D922C18" w14:textId="54D46598"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69. </w:t>
      </w:r>
      <w:r w:rsidRPr="00522CD2">
        <w:rPr>
          <w:noProof/>
        </w:rPr>
        <w:tab/>
        <w:t>Mansell J, Ritchie F, Dyer R. Health Service Inpatient Units for People with Intellectual Disabilities and Challenging Behaviour or Mental Health Problems. J Appl Res Intellect Disabil [Internet]. 2010 [cited 2016 Jul 12];23:552–9. Available from: &lt;Go to ISI&gt;://WOS:000283162400008</w:t>
      </w:r>
    </w:p>
    <w:p w14:paraId="3BB23F34"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70. </w:t>
      </w:r>
      <w:r w:rsidRPr="00522CD2">
        <w:rPr>
          <w:noProof/>
        </w:rPr>
        <w:tab/>
        <w:t>McMillan D, Hastings RP, Coldwell J. Clinical and Actuarial Prediction of Physical Violence in a Forensic Intellectual Disability Hospital: A Longitudinal Study. J Appl Res Intellect Disabil [Internet]. 2004 Dec [cited 2016 Jul 12];17(4):255–65. Available from: http://doi.wiley.com/10.1111/j.1468-3148.2004.00213.x</w:t>
      </w:r>
    </w:p>
    <w:p w14:paraId="402F875B"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71. </w:t>
      </w:r>
      <w:r w:rsidRPr="00522CD2">
        <w:rPr>
          <w:noProof/>
        </w:rPr>
        <w:tab/>
        <w:t>O’Shea LE, Picchioni MM, McCarthy J, Mason FL, Dickens GL. Predictive validity of the HCR-20 for inpatient aggression: the effect of intellectual disability on accuracy. J Intellect Disabil Res [Internet]. 2015 Nov [cited 2016 Jul 12];59(11):1042–54. Available from: http://www.ncbi.nlm.nih.gov/pubmed/25683589</w:t>
      </w:r>
    </w:p>
    <w:p w14:paraId="7A688340"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72. </w:t>
      </w:r>
      <w:r w:rsidRPr="00522CD2">
        <w:rPr>
          <w:noProof/>
        </w:rPr>
        <w:tab/>
        <w:t>Perera C, Simpson N, Douds F, Campbell M. A survey of learning disability inpatient services in Scotland in 2007. J Intellect Disabil [Internet]. 2009 Jun [cited 2016 Jul 12];13(2):161–71. Available from: http://www.ncbi.nlm.nih.gov/pubmed/19628535</w:t>
      </w:r>
    </w:p>
    <w:p w14:paraId="16801C3F"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73. </w:t>
      </w:r>
      <w:r w:rsidRPr="00522CD2">
        <w:rPr>
          <w:noProof/>
        </w:rPr>
        <w:tab/>
        <w:t>Thomas SD, Dolan M, Johnston S, Middleton H, Harty MA, Carlisle J, et al. Defining the needs of patients with intellectual disabilities in the high security psychiatric hospitals in England. J Intellect Disabil Res [Internet]. 2004 Sep [cited 2016 Jul 12];48(Pt 6):603–10. Available from: http://www.ncbi.nlm.nih.gov/pubmed/15312061</w:t>
      </w:r>
    </w:p>
    <w:p w14:paraId="4BC8693D"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74. </w:t>
      </w:r>
      <w:r w:rsidRPr="00522CD2">
        <w:rPr>
          <w:noProof/>
        </w:rPr>
        <w:tab/>
        <w:t>Uppal G, McMurran M. Recorded incidents in a high-secure hospital: a descriptive analysis. Crim Behav Ment Health [Internet]. 2009 [cited 2016 Jul 12];19(4):265–76. Available from: http://www.ncbi.nlm.nih.gov/pubmed/19780021</w:t>
      </w:r>
    </w:p>
    <w:p w14:paraId="627A2685"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75. </w:t>
      </w:r>
      <w:r w:rsidRPr="00522CD2">
        <w:rPr>
          <w:noProof/>
        </w:rPr>
        <w:tab/>
        <w:t>Mason T. SECLUSION AND LEARNING DISABILITIES: RESEARCH AND DEDUCTION. Br J Dev Disabil [Internet]. 1996 [cited 2016 Jul 12];42(83):149–59. Available from: http://www.tandfonline.com/doi/full/10.1179/bjdd.1996.013</w:t>
      </w:r>
    </w:p>
    <w:p w14:paraId="0324A299"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76. </w:t>
      </w:r>
      <w:r w:rsidRPr="00522CD2">
        <w:rPr>
          <w:noProof/>
        </w:rPr>
        <w:tab/>
        <w:t>Fish R, Lobley J. Evaluating a Forensic Service for People with Learning Disabilities: Comparing Approaches. J Intellect Disabil [Internet]. 2001 Jun 1 [cited 2016 Jul 12];5(2):97–109. Available from: http://jid.sagepub.com/cgi/doi/10.1177/146900470100500201</w:t>
      </w:r>
    </w:p>
    <w:p w14:paraId="2F7E78BD"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77. </w:t>
      </w:r>
      <w:r w:rsidRPr="00522CD2">
        <w:rPr>
          <w:noProof/>
        </w:rPr>
        <w:tab/>
        <w:t xml:space="preserve">Long CG, Bell N, Carr A, Cairns L, Webb A, Collins L. The benefits of environmental change in a secure service for people with intellectual disabilities. Adv Ment Heal Intellect Disabil. 2014;8(5):309–20. </w:t>
      </w:r>
    </w:p>
    <w:p w14:paraId="21EAA422"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78. </w:t>
      </w:r>
      <w:r w:rsidRPr="00522CD2">
        <w:rPr>
          <w:noProof/>
        </w:rPr>
        <w:tab/>
        <w:t xml:space="preserve">Trout S. National High Secure Learning Disability Service, Rampton Hospital. Service Evaluation: Patient Focus. 2011. </w:t>
      </w:r>
    </w:p>
    <w:p w14:paraId="41A7830B"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79. </w:t>
      </w:r>
      <w:r w:rsidRPr="00522CD2">
        <w:rPr>
          <w:noProof/>
        </w:rPr>
        <w:tab/>
        <w:t>Langdon PE, Swift A, Budd R. Social climate within secure inpatient services for people with intellectual disabilities. J Intellect Disabil Res [Internet]. 2006 Nov [cited 2016 Jul 12];50(Pt 11):828–36. Available from: http://www.ncbi.nlm.nih.gov/pubmed/16999782</w:t>
      </w:r>
    </w:p>
    <w:p w14:paraId="525B1CE7"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80. </w:t>
      </w:r>
      <w:r w:rsidRPr="00522CD2">
        <w:rPr>
          <w:noProof/>
        </w:rPr>
        <w:tab/>
        <w:t xml:space="preserve">Steptoe L, Lindsay WR, Forrest D, Power M. Quality of life and relationships in sex offenders with intellectual disability. Vol. 31, Journal of intellectual &amp; developmental disability. Routledge; 2006. p. 13–9. </w:t>
      </w:r>
    </w:p>
    <w:p w14:paraId="0C70B6F1" w14:textId="77777777" w:rsidR="00E353A8" w:rsidRPr="00522CD2" w:rsidRDefault="00E353A8" w:rsidP="00E353A8">
      <w:pPr>
        <w:widowControl w:val="0"/>
        <w:autoSpaceDE w:val="0"/>
        <w:autoSpaceDN w:val="0"/>
        <w:adjustRightInd w:val="0"/>
        <w:spacing w:line="360" w:lineRule="auto"/>
        <w:ind w:left="640" w:hanging="640"/>
        <w:rPr>
          <w:noProof/>
        </w:rPr>
      </w:pPr>
      <w:r w:rsidRPr="00522CD2">
        <w:rPr>
          <w:noProof/>
        </w:rPr>
        <w:t xml:space="preserve">81. </w:t>
      </w:r>
      <w:r w:rsidRPr="00522CD2">
        <w:rPr>
          <w:noProof/>
        </w:rPr>
        <w:tab/>
        <w:t>Willets L, Mooney P, Blagden N. Social climate in Learning Disability services. J Intellect Disabil Offending Behav [Internet]. 2014 [cited 2016 Jul 12];5(1):24–37. Available from: http://www.scopus.com/inward/record.url?eid=2-s2.0-84900403968&amp;partnerID=tZOtx3y1</w:t>
      </w:r>
    </w:p>
    <w:p w14:paraId="17F3C80F" w14:textId="2329BF65" w:rsidR="00D15954" w:rsidRPr="00522CD2" w:rsidRDefault="00F95447" w:rsidP="00FE78E1">
      <w:pPr>
        <w:shd w:val="clear" w:color="auto" w:fill="FFFFFF" w:themeFill="background1"/>
        <w:spacing w:line="360" w:lineRule="auto"/>
        <w:ind w:left="567" w:hanging="709"/>
        <w:rPr>
          <w:lang w:eastAsia="en-GB"/>
        </w:rPr>
      </w:pPr>
      <w:r w:rsidRPr="00522CD2">
        <w:rPr>
          <w:lang w:eastAsia="en-GB"/>
        </w:rPr>
        <w:fldChar w:fldCharType="end"/>
      </w:r>
    </w:p>
    <w:sectPr w:rsidR="00D15954" w:rsidRPr="00522CD2" w:rsidSect="00991F00">
      <w:footerReference w:type="even" r:id="rId14"/>
      <w:footerReference w:type="default" r:id="rId15"/>
      <w:pgSz w:w="11907" w:h="16840" w:code="9"/>
      <w:pgMar w:top="1440" w:right="1440" w:bottom="1440" w:left="1440" w:header="709"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386CA" w14:textId="77777777" w:rsidR="007B4339" w:rsidRDefault="007B4339" w:rsidP="004C7CEC">
      <w:r>
        <w:separator/>
      </w:r>
    </w:p>
  </w:endnote>
  <w:endnote w:type="continuationSeparator" w:id="0">
    <w:p w14:paraId="4907F073" w14:textId="77777777" w:rsidR="007B4339" w:rsidRDefault="007B4339" w:rsidP="004C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736654"/>
      <w:docPartObj>
        <w:docPartGallery w:val="Page Numbers (Bottom of Page)"/>
        <w:docPartUnique/>
      </w:docPartObj>
    </w:sdtPr>
    <w:sdtEndPr>
      <w:rPr>
        <w:noProof/>
        <w:sz w:val="20"/>
        <w:szCs w:val="20"/>
      </w:rPr>
    </w:sdtEndPr>
    <w:sdtContent>
      <w:p w14:paraId="2534B32D" w14:textId="2644C831" w:rsidR="007B4339" w:rsidRPr="00203FDF" w:rsidRDefault="007B4339">
        <w:pPr>
          <w:pStyle w:val="Footer"/>
          <w:jc w:val="right"/>
          <w:rPr>
            <w:sz w:val="20"/>
            <w:szCs w:val="20"/>
          </w:rPr>
        </w:pPr>
        <w:r>
          <w:fldChar w:fldCharType="begin"/>
        </w:r>
        <w:r>
          <w:instrText xml:space="preserve"> PAGE   \* MERGEFORMAT </w:instrText>
        </w:r>
        <w:r>
          <w:fldChar w:fldCharType="separate"/>
        </w:r>
        <w:r w:rsidR="00522CD2" w:rsidRPr="00522CD2">
          <w:rPr>
            <w:noProof/>
            <w:sz w:val="20"/>
            <w:szCs w:val="20"/>
          </w:rPr>
          <w:t>3</w:t>
        </w:r>
        <w:r>
          <w:rPr>
            <w:noProof/>
            <w:sz w:val="20"/>
            <w:szCs w:val="20"/>
          </w:rPr>
          <w:fldChar w:fldCharType="end"/>
        </w:r>
      </w:p>
    </w:sdtContent>
  </w:sdt>
  <w:p w14:paraId="71CA88EE" w14:textId="77777777" w:rsidR="007B4339" w:rsidRDefault="007B4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611969"/>
      <w:docPartObj>
        <w:docPartGallery w:val="Page Numbers (Bottom of Page)"/>
        <w:docPartUnique/>
      </w:docPartObj>
    </w:sdtPr>
    <w:sdtEndPr>
      <w:rPr>
        <w:noProof/>
      </w:rPr>
    </w:sdtEndPr>
    <w:sdtContent>
      <w:p w14:paraId="06806681" w14:textId="0FDA8A62" w:rsidR="007B4339" w:rsidRDefault="007B4339">
        <w:pPr>
          <w:pStyle w:val="Footer"/>
          <w:jc w:val="center"/>
        </w:pPr>
        <w:r>
          <w:fldChar w:fldCharType="begin"/>
        </w:r>
        <w:r>
          <w:instrText xml:space="preserve"> PAGE   \* MERGEFORMAT </w:instrText>
        </w:r>
        <w:r>
          <w:fldChar w:fldCharType="separate"/>
        </w:r>
        <w:r w:rsidR="00522CD2">
          <w:rPr>
            <w:noProof/>
          </w:rPr>
          <w:t>1</w:t>
        </w:r>
        <w:r>
          <w:rPr>
            <w:noProof/>
          </w:rPr>
          <w:fldChar w:fldCharType="end"/>
        </w:r>
      </w:p>
    </w:sdtContent>
  </w:sdt>
  <w:p w14:paraId="74E4BF00" w14:textId="77777777" w:rsidR="007B4339" w:rsidRDefault="007B43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9392D" w14:textId="77777777" w:rsidR="007B4339" w:rsidRDefault="007B4339" w:rsidP="00093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361DD" w14:textId="77777777" w:rsidR="007B4339" w:rsidRDefault="007B4339" w:rsidP="00093AB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2C18A" w14:textId="01E1C65C" w:rsidR="007B4339" w:rsidRDefault="007B4339" w:rsidP="00093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2CD2">
      <w:rPr>
        <w:rStyle w:val="PageNumber"/>
        <w:noProof/>
      </w:rPr>
      <w:t>49</w:t>
    </w:r>
    <w:r>
      <w:rPr>
        <w:rStyle w:val="PageNumber"/>
      </w:rPr>
      <w:fldChar w:fldCharType="end"/>
    </w:r>
  </w:p>
  <w:p w14:paraId="7B37753D" w14:textId="77777777" w:rsidR="007B4339" w:rsidRDefault="007B4339" w:rsidP="00093A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9AA42" w14:textId="77777777" w:rsidR="007B4339" w:rsidRDefault="007B4339" w:rsidP="004C7CEC">
      <w:r>
        <w:separator/>
      </w:r>
    </w:p>
  </w:footnote>
  <w:footnote w:type="continuationSeparator" w:id="0">
    <w:p w14:paraId="1DE8055D" w14:textId="77777777" w:rsidR="007B4339" w:rsidRDefault="007B4339" w:rsidP="004C7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4C52" w14:textId="77777777" w:rsidR="007B4339" w:rsidRDefault="007B4339">
    <w:pPr>
      <w:pStyle w:val="Header"/>
    </w:pPr>
    <w:r>
      <w:t>OUTCOME DOMAINS</w:t>
    </w:r>
  </w:p>
  <w:p w14:paraId="5F5A9ECF" w14:textId="77777777" w:rsidR="007B4339" w:rsidRDefault="007B4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1201D" w14:textId="77777777" w:rsidR="007B4339" w:rsidRDefault="007B4339">
    <w:pPr>
      <w:pStyle w:val="Header"/>
    </w:pPr>
    <w:r>
      <w:t>Running Head: OUTCOME DOMAINS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342F0D"/>
    <w:multiLevelType w:val="hybridMultilevel"/>
    <w:tmpl w:val="DB7A8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A4D3A"/>
    <w:multiLevelType w:val="multilevel"/>
    <w:tmpl w:val="FE0A7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60858"/>
    <w:multiLevelType w:val="hybridMultilevel"/>
    <w:tmpl w:val="9BD4B484"/>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94FFA"/>
    <w:multiLevelType w:val="hybridMultilevel"/>
    <w:tmpl w:val="EC38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93209"/>
    <w:multiLevelType w:val="hybridMultilevel"/>
    <w:tmpl w:val="D0EC8F4E"/>
    <w:lvl w:ilvl="0" w:tplc="4AB0BCFA">
      <w:start w:val="1"/>
      <w:numFmt w:val="decimal"/>
      <w:lvlText w:val="%1."/>
      <w:lvlJc w:val="left"/>
      <w:pPr>
        <w:ind w:left="720" w:hanging="360"/>
      </w:pPr>
      <w:rPr>
        <w:rFonts w:ascii="Times" w:eastAsia="Arial Unicode MS" w:hAnsi="Times"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244AC6"/>
    <w:multiLevelType w:val="hybridMultilevel"/>
    <w:tmpl w:val="E200CC90"/>
    <w:lvl w:ilvl="0" w:tplc="0809000F">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C9A247C"/>
    <w:multiLevelType w:val="hybridMultilevel"/>
    <w:tmpl w:val="4A1EF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0629E6"/>
    <w:multiLevelType w:val="hybridMultilevel"/>
    <w:tmpl w:val="7E20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393E0E"/>
    <w:multiLevelType w:val="hybridMultilevel"/>
    <w:tmpl w:val="D5A0F9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AC1650"/>
    <w:multiLevelType w:val="hybridMultilevel"/>
    <w:tmpl w:val="E200CC90"/>
    <w:lvl w:ilvl="0" w:tplc="0809000F">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52CA58A1"/>
    <w:multiLevelType w:val="hybridMultilevel"/>
    <w:tmpl w:val="AB2E9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0A39EA"/>
    <w:multiLevelType w:val="hybridMultilevel"/>
    <w:tmpl w:val="4A4A7332"/>
    <w:lvl w:ilvl="0" w:tplc="45F06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1"/>
  </w:num>
  <w:num w:numId="5">
    <w:abstractNumId w:val="8"/>
  </w:num>
  <w:num w:numId="6">
    <w:abstractNumId w:val="7"/>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2"/>
  </w:num>
  <w:num w:numId="12">
    <w:abstractNumId w:val="4"/>
  </w:num>
  <w:num w:numId="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4F"/>
    <w:rsid w:val="000023DF"/>
    <w:rsid w:val="000211FA"/>
    <w:rsid w:val="00021A49"/>
    <w:rsid w:val="000237A9"/>
    <w:rsid w:val="000323BB"/>
    <w:rsid w:val="000326BE"/>
    <w:rsid w:val="000344E3"/>
    <w:rsid w:val="00034578"/>
    <w:rsid w:val="00034794"/>
    <w:rsid w:val="00037E43"/>
    <w:rsid w:val="00042144"/>
    <w:rsid w:val="00042C50"/>
    <w:rsid w:val="00046078"/>
    <w:rsid w:val="00052F1F"/>
    <w:rsid w:val="0005488C"/>
    <w:rsid w:val="00054BE5"/>
    <w:rsid w:val="00054E5F"/>
    <w:rsid w:val="00061472"/>
    <w:rsid w:val="00061BB1"/>
    <w:rsid w:val="000703FD"/>
    <w:rsid w:val="00070441"/>
    <w:rsid w:val="00074BB5"/>
    <w:rsid w:val="00085CDB"/>
    <w:rsid w:val="000863FD"/>
    <w:rsid w:val="000875F3"/>
    <w:rsid w:val="00093A18"/>
    <w:rsid w:val="00093AB2"/>
    <w:rsid w:val="000951FE"/>
    <w:rsid w:val="000954B6"/>
    <w:rsid w:val="000B05EF"/>
    <w:rsid w:val="000B4701"/>
    <w:rsid w:val="000B4B27"/>
    <w:rsid w:val="000B4BE8"/>
    <w:rsid w:val="000C0509"/>
    <w:rsid w:val="000C38B9"/>
    <w:rsid w:val="000D01D5"/>
    <w:rsid w:val="000D7C0A"/>
    <w:rsid w:val="000D7C52"/>
    <w:rsid w:val="000E2950"/>
    <w:rsid w:val="000E32AC"/>
    <w:rsid w:val="000E7E4C"/>
    <w:rsid w:val="000F0198"/>
    <w:rsid w:val="000F512F"/>
    <w:rsid w:val="000F5B04"/>
    <w:rsid w:val="001012DF"/>
    <w:rsid w:val="0010171E"/>
    <w:rsid w:val="001032F8"/>
    <w:rsid w:val="00103B68"/>
    <w:rsid w:val="00107D7B"/>
    <w:rsid w:val="0011692F"/>
    <w:rsid w:val="00124DC4"/>
    <w:rsid w:val="0012765D"/>
    <w:rsid w:val="00131C22"/>
    <w:rsid w:val="00137B7D"/>
    <w:rsid w:val="00137EED"/>
    <w:rsid w:val="00140597"/>
    <w:rsid w:val="001420CF"/>
    <w:rsid w:val="0015003F"/>
    <w:rsid w:val="0015181D"/>
    <w:rsid w:val="00154570"/>
    <w:rsid w:val="00155894"/>
    <w:rsid w:val="0015594A"/>
    <w:rsid w:val="001600ED"/>
    <w:rsid w:val="00165967"/>
    <w:rsid w:val="00165BA3"/>
    <w:rsid w:val="00165F91"/>
    <w:rsid w:val="00170955"/>
    <w:rsid w:val="00171EEF"/>
    <w:rsid w:val="001745F1"/>
    <w:rsid w:val="001834F7"/>
    <w:rsid w:val="00192752"/>
    <w:rsid w:val="0019328B"/>
    <w:rsid w:val="001943EC"/>
    <w:rsid w:val="001973F3"/>
    <w:rsid w:val="001A5C3C"/>
    <w:rsid w:val="001A71FF"/>
    <w:rsid w:val="001B007A"/>
    <w:rsid w:val="001B0B40"/>
    <w:rsid w:val="001B5838"/>
    <w:rsid w:val="001B6D12"/>
    <w:rsid w:val="001B702D"/>
    <w:rsid w:val="001C03EF"/>
    <w:rsid w:val="001C0E18"/>
    <w:rsid w:val="001E1A0F"/>
    <w:rsid w:val="001E1F61"/>
    <w:rsid w:val="001F376C"/>
    <w:rsid w:val="001F5AF2"/>
    <w:rsid w:val="001F7833"/>
    <w:rsid w:val="002008C3"/>
    <w:rsid w:val="00202A25"/>
    <w:rsid w:val="00203D9E"/>
    <w:rsid w:val="00207ADC"/>
    <w:rsid w:val="002202BF"/>
    <w:rsid w:val="00223877"/>
    <w:rsid w:val="0023107B"/>
    <w:rsid w:val="00233864"/>
    <w:rsid w:val="00233974"/>
    <w:rsid w:val="0023489B"/>
    <w:rsid w:val="00236605"/>
    <w:rsid w:val="00245317"/>
    <w:rsid w:val="00245985"/>
    <w:rsid w:val="00256468"/>
    <w:rsid w:val="002564FB"/>
    <w:rsid w:val="0026340F"/>
    <w:rsid w:val="0026453E"/>
    <w:rsid w:val="00266CE0"/>
    <w:rsid w:val="00272555"/>
    <w:rsid w:val="0027392D"/>
    <w:rsid w:val="00275D8E"/>
    <w:rsid w:val="00277CA1"/>
    <w:rsid w:val="002816B2"/>
    <w:rsid w:val="002816CC"/>
    <w:rsid w:val="00286B2B"/>
    <w:rsid w:val="0028792B"/>
    <w:rsid w:val="00290AAF"/>
    <w:rsid w:val="00293045"/>
    <w:rsid w:val="00293E24"/>
    <w:rsid w:val="00297758"/>
    <w:rsid w:val="002A19DC"/>
    <w:rsid w:val="002A5215"/>
    <w:rsid w:val="002A603A"/>
    <w:rsid w:val="002B0495"/>
    <w:rsid w:val="002B1DB9"/>
    <w:rsid w:val="002C386C"/>
    <w:rsid w:val="002C4861"/>
    <w:rsid w:val="002E36B5"/>
    <w:rsid w:val="002F10A9"/>
    <w:rsid w:val="002F19E4"/>
    <w:rsid w:val="002F2765"/>
    <w:rsid w:val="002F7342"/>
    <w:rsid w:val="003002B9"/>
    <w:rsid w:val="00301AED"/>
    <w:rsid w:val="003062A1"/>
    <w:rsid w:val="00314F52"/>
    <w:rsid w:val="00315E28"/>
    <w:rsid w:val="00316850"/>
    <w:rsid w:val="00325524"/>
    <w:rsid w:val="00331063"/>
    <w:rsid w:val="0033261C"/>
    <w:rsid w:val="00337FD4"/>
    <w:rsid w:val="003418E4"/>
    <w:rsid w:val="00345335"/>
    <w:rsid w:val="00356B1A"/>
    <w:rsid w:val="00361F9D"/>
    <w:rsid w:val="00363126"/>
    <w:rsid w:val="00365F6E"/>
    <w:rsid w:val="003727CE"/>
    <w:rsid w:val="00372E64"/>
    <w:rsid w:val="00375A74"/>
    <w:rsid w:val="00380E50"/>
    <w:rsid w:val="003813C3"/>
    <w:rsid w:val="0038211E"/>
    <w:rsid w:val="00386B2B"/>
    <w:rsid w:val="00386CDB"/>
    <w:rsid w:val="00390463"/>
    <w:rsid w:val="00392155"/>
    <w:rsid w:val="003939B2"/>
    <w:rsid w:val="00393A2D"/>
    <w:rsid w:val="00395960"/>
    <w:rsid w:val="003A1807"/>
    <w:rsid w:val="003A2E7B"/>
    <w:rsid w:val="003A49A7"/>
    <w:rsid w:val="003A7D44"/>
    <w:rsid w:val="003B00A5"/>
    <w:rsid w:val="003B096D"/>
    <w:rsid w:val="003B34FB"/>
    <w:rsid w:val="003B492E"/>
    <w:rsid w:val="003B72BE"/>
    <w:rsid w:val="003C2219"/>
    <w:rsid w:val="003C2C9F"/>
    <w:rsid w:val="003D5841"/>
    <w:rsid w:val="003D5A9F"/>
    <w:rsid w:val="003E12E5"/>
    <w:rsid w:val="003E19F8"/>
    <w:rsid w:val="003E20DC"/>
    <w:rsid w:val="003F674F"/>
    <w:rsid w:val="003F7054"/>
    <w:rsid w:val="00400B42"/>
    <w:rsid w:val="00416D08"/>
    <w:rsid w:val="0042028B"/>
    <w:rsid w:val="00427C45"/>
    <w:rsid w:val="0043354E"/>
    <w:rsid w:val="004371BE"/>
    <w:rsid w:val="004407D6"/>
    <w:rsid w:val="00447C87"/>
    <w:rsid w:val="0045268F"/>
    <w:rsid w:val="00456A4E"/>
    <w:rsid w:val="004572A6"/>
    <w:rsid w:val="00467145"/>
    <w:rsid w:val="00471F20"/>
    <w:rsid w:val="00471F85"/>
    <w:rsid w:val="00473A46"/>
    <w:rsid w:val="004764C0"/>
    <w:rsid w:val="004816EE"/>
    <w:rsid w:val="00491D03"/>
    <w:rsid w:val="00493649"/>
    <w:rsid w:val="00496652"/>
    <w:rsid w:val="00496B29"/>
    <w:rsid w:val="004A0781"/>
    <w:rsid w:val="004A50C5"/>
    <w:rsid w:val="004A5D12"/>
    <w:rsid w:val="004B0B08"/>
    <w:rsid w:val="004B2B5B"/>
    <w:rsid w:val="004C0623"/>
    <w:rsid w:val="004C7249"/>
    <w:rsid w:val="004C7CEC"/>
    <w:rsid w:val="004C7D9A"/>
    <w:rsid w:val="004D1138"/>
    <w:rsid w:val="004D1D5F"/>
    <w:rsid w:val="004D23B0"/>
    <w:rsid w:val="004D474B"/>
    <w:rsid w:val="004D4B2D"/>
    <w:rsid w:val="004D6F03"/>
    <w:rsid w:val="004E2A2F"/>
    <w:rsid w:val="004E6497"/>
    <w:rsid w:val="004E7522"/>
    <w:rsid w:val="004F0F84"/>
    <w:rsid w:val="004F1888"/>
    <w:rsid w:val="004F2C77"/>
    <w:rsid w:val="004F595C"/>
    <w:rsid w:val="005023E3"/>
    <w:rsid w:val="00504A26"/>
    <w:rsid w:val="00505A64"/>
    <w:rsid w:val="00507E72"/>
    <w:rsid w:val="005142AC"/>
    <w:rsid w:val="005156C7"/>
    <w:rsid w:val="00516F19"/>
    <w:rsid w:val="00522CD2"/>
    <w:rsid w:val="00531B7B"/>
    <w:rsid w:val="005371F9"/>
    <w:rsid w:val="0054051E"/>
    <w:rsid w:val="0054123D"/>
    <w:rsid w:val="00542AB1"/>
    <w:rsid w:val="00545B4D"/>
    <w:rsid w:val="0054648A"/>
    <w:rsid w:val="00547141"/>
    <w:rsid w:val="00550A44"/>
    <w:rsid w:val="005528FD"/>
    <w:rsid w:val="00555439"/>
    <w:rsid w:val="005574B4"/>
    <w:rsid w:val="00557A01"/>
    <w:rsid w:val="00557C0C"/>
    <w:rsid w:val="005617B4"/>
    <w:rsid w:val="00564C32"/>
    <w:rsid w:val="00582290"/>
    <w:rsid w:val="0059023C"/>
    <w:rsid w:val="0059152B"/>
    <w:rsid w:val="00592CA5"/>
    <w:rsid w:val="00594C43"/>
    <w:rsid w:val="00596A63"/>
    <w:rsid w:val="005A125F"/>
    <w:rsid w:val="005A3FA5"/>
    <w:rsid w:val="005A489E"/>
    <w:rsid w:val="005A500A"/>
    <w:rsid w:val="005A58F8"/>
    <w:rsid w:val="005A6A35"/>
    <w:rsid w:val="005B1D10"/>
    <w:rsid w:val="005B5295"/>
    <w:rsid w:val="005C2F04"/>
    <w:rsid w:val="005C55C2"/>
    <w:rsid w:val="005D27A0"/>
    <w:rsid w:val="005E03E3"/>
    <w:rsid w:val="005E0547"/>
    <w:rsid w:val="005E0989"/>
    <w:rsid w:val="005E45DE"/>
    <w:rsid w:val="005E7455"/>
    <w:rsid w:val="005F7BAF"/>
    <w:rsid w:val="006015AA"/>
    <w:rsid w:val="00605C2D"/>
    <w:rsid w:val="00611269"/>
    <w:rsid w:val="00617FE9"/>
    <w:rsid w:val="0063005F"/>
    <w:rsid w:val="006313F0"/>
    <w:rsid w:val="00631C06"/>
    <w:rsid w:val="00635F12"/>
    <w:rsid w:val="00636BFE"/>
    <w:rsid w:val="00642AFB"/>
    <w:rsid w:val="00644DCB"/>
    <w:rsid w:val="00645B6F"/>
    <w:rsid w:val="00651761"/>
    <w:rsid w:val="00652283"/>
    <w:rsid w:val="00653A03"/>
    <w:rsid w:val="00660251"/>
    <w:rsid w:val="00662F9C"/>
    <w:rsid w:val="0066476C"/>
    <w:rsid w:val="006721EE"/>
    <w:rsid w:val="0067292C"/>
    <w:rsid w:val="00677AD3"/>
    <w:rsid w:val="00683698"/>
    <w:rsid w:val="00683763"/>
    <w:rsid w:val="006858C9"/>
    <w:rsid w:val="0069131C"/>
    <w:rsid w:val="00691F80"/>
    <w:rsid w:val="006927DF"/>
    <w:rsid w:val="00695D99"/>
    <w:rsid w:val="006A2B1E"/>
    <w:rsid w:val="006A50DE"/>
    <w:rsid w:val="006A51B4"/>
    <w:rsid w:val="006B6AF8"/>
    <w:rsid w:val="006C5C93"/>
    <w:rsid w:val="006D2ADD"/>
    <w:rsid w:val="006D5ABF"/>
    <w:rsid w:val="006D6863"/>
    <w:rsid w:val="006E05C7"/>
    <w:rsid w:val="006E0948"/>
    <w:rsid w:val="006E2673"/>
    <w:rsid w:val="006E31D7"/>
    <w:rsid w:val="006E5C46"/>
    <w:rsid w:val="006E6866"/>
    <w:rsid w:val="006F15F8"/>
    <w:rsid w:val="006F5313"/>
    <w:rsid w:val="00703808"/>
    <w:rsid w:val="00706226"/>
    <w:rsid w:val="0070728E"/>
    <w:rsid w:val="00714E2B"/>
    <w:rsid w:val="00720E11"/>
    <w:rsid w:val="00722651"/>
    <w:rsid w:val="00735B3D"/>
    <w:rsid w:val="0073795E"/>
    <w:rsid w:val="00742DFD"/>
    <w:rsid w:val="00745047"/>
    <w:rsid w:val="007475E1"/>
    <w:rsid w:val="0075680B"/>
    <w:rsid w:val="00757E0E"/>
    <w:rsid w:val="0076480B"/>
    <w:rsid w:val="00764822"/>
    <w:rsid w:val="007736B3"/>
    <w:rsid w:val="00774A00"/>
    <w:rsid w:val="00780355"/>
    <w:rsid w:val="0078264C"/>
    <w:rsid w:val="0078511E"/>
    <w:rsid w:val="00787C29"/>
    <w:rsid w:val="0079094E"/>
    <w:rsid w:val="0079638D"/>
    <w:rsid w:val="007A010B"/>
    <w:rsid w:val="007A188E"/>
    <w:rsid w:val="007A61F2"/>
    <w:rsid w:val="007A6C6E"/>
    <w:rsid w:val="007A6F5F"/>
    <w:rsid w:val="007A7893"/>
    <w:rsid w:val="007A7CFE"/>
    <w:rsid w:val="007B4130"/>
    <w:rsid w:val="007B4339"/>
    <w:rsid w:val="007B5CD8"/>
    <w:rsid w:val="007B738C"/>
    <w:rsid w:val="007D05F0"/>
    <w:rsid w:val="007D0F6E"/>
    <w:rsid w:val="007D58D1"/>
    <w:rsid w:val="007D6326"/>
    <w:rsid w:val="007E107F"/>
    <w:rsid w:val="007E5CBC"/>
    <w:rsid w:val="007E6ED1"/>
    <w:rsid w:val="007E753F"/>
    <w:rsid w:val="007F051C"/>
    <w:rsid w:val="007F1525"/>
    <w:rsid w:val="007F22A8"/>
    <w:rsid w:val="007F445F"/>
    <w:rsid w:val="007F4DE2"/>
    <w:rsid w:val="00803C94"/>
    <w:rsid w:val="00812B23"/>
    <w:rsid w:val="00813E71"/>
    <w:rsid w:val="008211D3"/>
    <w:rsid w:val="008269E7"/>
    <w:rsid w:val="00831998"/>
    <w:rsid w:val="008327E6"/>
    <w:rsid w:val="00841348"/>
    <w:rsid w:val="00846E51"/>
    <w:rsid w:val="0085274B"/>
    <w:rsid w:val="008531EA"/>
    <w:rsid w:val="00853DBE"/>
    <w:rsid w:val="0085580A"/>
    <w:rsid w:val="0086138D"/>
    <w:rsid w:val="00861F42"/>
    <w:rsid w:val="008642B3"/>
    <w:rsid w:val="00867D75"/>
    <w:rsid w:val="0087301D"/>
    <w:rsid w:val="00874402"/>
    <w:rsid w:val="00874D38"/>
    <w:rsid w:val="0087659E"/>
    <w:rsid w:val="008823D2"/>
    <w:rsid w:val="00882986"/>
    <w:rsid w:val="00883CAC"/>
    <w:rsid w:val="008A36E2"/>
    <w:rsid w:val="008A6558"/>
    <w:rsid w:val="008B2A85"/>
    <w:rsid w:val="008B4514"/>
    <w:rsid w:val="008B7925"/>
    <w:rsid w:val="008B7EAF"/>
    <w:rsid w:val="008C28BA"/>
    <w:rsid w:val="008C4B3B"/>
    <w:rsid w:val="008C7116"/>
    <w:rsid w:val="008C7D6B"/>
    <w:rsid w:val="008D0E15"/>
    <w:rsid w:val="008D51A6"/>
    <w:rsid w:val="008D6A25"/>
    <w:rsid w:val="009060F3"/>
    <w:rsid w:val="009147E1"/>
    <w:rsid w:val="00920272"/>
    <w:rsid w:val="00932E61"/>
    <w:rsid w:val="00934B37"/>
    <w:rsid w:val="00935B15"/>
    <w:rsid w:val="00935FD6"/>
    <w:rsid w:val="0093605F"/>
    <w:rsid w:val="00936B2A"/>
    <w:rsid w:val="00937B5B"/>
    <w:rsid w:val="009539DB"/>
    <w:rsid w:val="009619DB"/>
    <w:rsid w:val="00961A15"/>
    <w:rsid w:val="009726BA"/>
    <w:rsid w:val="00973080"/>
    <w:rsid w:val="00976CD2"/>
    <w:rsid w:val="0097716C"/>
    <w:rsid w:val="00980007"/>
    <w:rsid w:val="00991F00"/>
    <w:rsid w:val="009A08A3"/>
    <w:rsid w:val="009A0BF1"/>
    <w:rsid w:val="009A3050"/>
    <w:rsid w:val="009A53C4"/>
    <w:rsid w:val="009A5C78"/>
    <w:rsid w:val="009A7263"/>
    <w:rsid w:val="009B0AD5"/>
    <w:rsid w:val="009B602E"/>
    <w:rsid w:val="009B66DA"/>
    <w:rsid w:val="009C32E7"/>
    <w:rsid w:val="009C5E52"/>
    <w:rsid w:val="009C6932"/>
    <w:rsid w:val="009D08F2"/>
    <w:rsid w:val="009E0B64"/>
    <w:rsid w:val="009F2A8C"/>
    <w:rsid w:val="009F3922"/>
    <w:rsid w:val="00A03178"/>
    <w:rsid w:val="00A03A45"/>
    <w:rsid w:val="00A11210"/>
    <w:rsid w:val="00A14C90"/>
    <w:rsid w:val="00A14E3E"/>
    <w:rsid w:val="00A22C49"/>
    <w:rsid w:val="00A2372C"/>
    <w:rsid w:val="00A24DA3"/>
    <w:rsid w:val="00A258D9"/>
    <w:rsid w:val="00A26415"/>
    <w:rsid w:val="00A320D4"/>
    <w:rsid w:val="00A3226A"/>
    <w:rsid w:val="00A35196"/>
    <w:rsid w:val="00A45C26"/>
    <w:rsid w:val="00A501A6"/>
    <w:rsid w:val="00A5201C"/>
    <w:rsid w:val="00A52FCD"/>
    <w:rsid w:val="00A55D57"/>
    <w:rsid w:val="00A64B27"/>
    <w:rsid w:val="00A669EB"/>
    <w:rsid w:val="00A66FA8"/>
    <w:rsid w:val="00A708B2"/>
    <w:rsid w:val="00A71C89"/>
    <w:rsid w:val="00A72A7F"/>
    <w:rsid w:val="00A7442A"/>
    <w:rsid w:val="00A760F0"/>
    <w:rsid w:val="00A76D3D"/>
    <w:rsid w:val="00A81ED8"/>
    <w:rsid w:val="00A92732"/>
    <w:rsid w:val="00AA34D6"/>
    <w:rsid w:val="00AB0405"/>
    <w:rsid w:val="00AB187E"/>
    <w:rsid w:val="00AB19B4"/>
    <w:rsid w:val="00AC340B"/>
    <w:rsid w:val="00AC53DA"/>
    <w:rsid w:val="00AC5461"/>
    <w:rsid w:val="00AC7487"/>
    <w:rsid w:val="00AD1695"/>
    <w:rsid w:val="00AD78F5"/>
    <w:rsid w:val="00AE52CE"/>
    <w:rsid w:val="00AE5FA0"/>
    <w:rsid w:val="00AF4D7B"/>
    <w:rsid w:val="00B00711"/>
    <w:rsid w:val="00B02CC0"/>
    <w:rsid w:val="00B02F44"/>
    <w:rsid w:val="00B06DB0"/>
    <w:rsid w:val="00B07D6F"/>
    <w:rsid w:val="00B112BF"/>
    <w:rsid w:val="00B143F1"/>
    <w:rsid w:val="00B14D7B"/>
    <w:rsid w:val="00B2035F"/>
    <w:rsid w:val="00B206F7"/>
    <w:rsid w:val="00B22B67"/>
    <w:rsid w:val="00B24407"/>
    <w:rsid w:val="00B30638"/>
    <w:rsid w:val="00B30C0B"/>
    <w:rsid w:val="00B32616"/>
    <w:rsid w:val="00B336C4"/>
    <w:rsid w:val="00B4569B"/>
    <w:rsid w:val="00B45CC0"/>
    <w:rsid w:val="00B53764"/>
    <w:rsid w:val="00B561C9"/>
    <w:rsid w:val="00B571D8"/>
    <w:rsid w:val="00B57998"/>
    <w:rsid w:val="00B661C2"/>
    <w:rsid w:val="00B668B9"/>
    <w:rsid w:val="00B70BFB"/>
    <w:rsid w:val="00B71BA4"/>
    <w:rsid w:val="00B76C70"/>
    <w:rsid w:val="00B801DD"/>
    <w:rsid w:val="00B806DA"/>
    <w:rsid w:val="00B81263"/>
    <w:rsid w:val="00B82947"/>
    <w:rsid w:val="00B8639F"/>
    <w:rsid w:val="00B86F2E"/>
    <w:rsid w:val="00B90463"/>
    <w:rsid w:val="00B97605"/>
    <w:rsid w:val="00BA3052"/>
    <w:rsid w:val="00BA4206"/>
    <w:rsid w:val="00BB017C"/>
    <w:rsid w:val="00BB19EC"/>
    <w:rsid w:val="00BB64D5"/>
    <w:rsid w:val="00BB7AA4"/>
    <w:rsid w:val="00BB7F69"/>
    <w:rsid w:val="00BC2682"/>
    <w:rsid w:val="00BD2B42"/>
    <w:rsid w:val="00BD5E18"/>
    <w:rsid w:val="00BE4A6E"/>
    <w:rsid w:val="00BF39B5"/>
    <w:rsid w:val="00C00F68"/>
    <w:rsid w:val="00C05FF2"/>
    <w:rsid w:val="00C105D0"/>
    <w:rsid w:val="00C13CE8"/>
    <w:rsid w:val="00C15F41"/>
    <w:rsid w:val="00C2143A"/>
    <w:rsid w:val="00C2395D"/>
    <w:rsid w:val="00C24012"/>
    <w:rsid w:val="00C267E0"/>
    <w:rsid w:val="00C27EAA"/>
    <w:rsid w:val="00C32FFC"/>
    <w:rsid w:val="00C33893"/>
    <w:rsid w:val="00C37773"/>
    <w:rsid w:val="00C41501"/>
    <w:rsid w:val="00C42252"/>
    <w:rsid w:val="00C43F83"/>
    <w:rsid w:val="00C512E0"/>
    <w:rsid w:val="00C530B0"/>
    <w:rsid w:val="00C61141"/>
    <w:rsid w:val="00C655B8"/>
    <w:rsid w:val="00C65C1F"/>
    <w:rsid w:val="00C717E1"/>
    <w:rsid w:val="00C72803"/>
    <w:rsid w:val="00C73087"/>
    <w:rsid w:val="00C73282"/>
    <w:rsid w:val="00C76785"/>
    <w:rsid w:val="00C8030C"/>
    <w:rsid w:val="00C8126D"/>
    <w:rsid w:val="00C83A5B"/>
    <w:rsid w:val="00C87CDF"/>
    <w:rsid w:val="00C9365E"/>
    <w:rsid w:val="00C978B5"/>
    <w:rsid w:val="00CA54B1"/>
    <w:rsid w:val="00CB159E"/>
    <w:rsid w:val="00CB7475"/>
    <w:rsid w:val="00CB7A79"/>
    <w:rsid w:val="00CC0CE4"/>
    <w:rsid w:val="00CC1E6E"/>
    <w:rsid w:val="00CC2BF2"/>
    <w:rsid w:val="00CC34B1"/>
    <w:rsid w:val="00CC5204"/>
    <w:rsid w:val="00CC53EC"/>
    <w:rsid w:val="00CD37F5"/>
    <w:rsid w:val="00CD5C6D"/>
    <w:rsid w:val="00CD63BA"/>
    <w:rsid w:val="00CE11F2"/>
    <w:rsid w:val="00CE262F"/>
    <w:rsid w:val="00CE5B08"/>
    <w:rsid w:val="00CE7962"/>
    <w:rsid w:val="00CF0124"/>
    <w:rsid w:val="00CF1260"/>
    <w:rsid w:val="00CF3407"/>
    <w:rsid w:val="00D0338D"/>
    <w:rsid w:val="00D12489"/>
    <w:rsid w:val="00D139D3"/>
    <w:rsid w:val="00D14932"/>
    <w:rsid w:val="00D15954"/>
    <w:rsid w:val="00D15FE1"/>
    <w:rsid w:val="00D17538"/>
    <w:rsid w:val="00D22148"/>
    <w:rsid w:val="00D25A6C"/>
    <w:rsid w:val="00D26296"/>
    <w:rsid w:val="00D26D1C"/>
    <w:rsid w:val="00D3043C"/>
    <w:rsid w:val="00D33FA3"/>
    <w:rsid w:val="00D36532"/>
    <w:rsid w:val="00D369FB"/>
    <w:rsid w:val="00D377D2"/>
    <w:rsid w:val="00D378EF"/>
    <w:rsid w:val="00D37F94"/>
    <w:rsid w:val="00D4291D"/>
    <w:rsid w:val="00D45C09"/>
    <w:rsid w:val="00D47C9F"/>
    <w:rsid w:val="00D50F9A"/>
    <w:rsid w:val="00D56817"/>
    <w:rsid w:val="00D612AF"/>
    <w:rsid w:val="00D6256D"/>
    <w:rsid w:val="00D65685"/>
    <w:rsid w:val="00D73041"/>
    <w:rsid w:val="00D83C0B"/>
    <w:rsid w:val="00D903B0"/>
    <w:rsid w:val="00D90517"/>
    <w:rsid w:val="00D92F36"/>
    <w:rsid w:val="00D94CA9"/>
    <w:rsid w:val="00DA49A0"/>
    <w:rsid w:val="00DB2AFE"/>
    <w:rsid w:val="00DB2BAC"/>
    <w:rsid w:val="00DB6574"/>
    <w:rsid w:val="00DB6787"/>
    <w:rsid w:val="00DC27FD"/>
    <w:rsid w:val="00DD2DE1"/>
    <w:rsid w:val="00DD386F"/>
    <w:rsid w:val="00DD3EB0"/>
    <w:rsid w:val="00DD4775"/>
    <w:rsid w:val="00DD4785"/>
    <w:rsid w:val="00DF1E01"/>
    <w:rsid w:val="00DF6EAA"/>
    <w:rsid w:val="00E00DBB"/>
    <w:rsid w:val="00E0192B"/>
    <w:rsid w:val="00E04859"/>
    <w:rsid w:val="00E05D41"/>
    <w:rsid w:val="00E1145E"/>
    <w:rsid w:val="00E17FFE"/>
    <w:rsid w:val="00E20315"/>
    <w:rsid w:val="00E24488"/>
    <w:rsid w:val="00E26E5E"/>
    <w:rsid w:val="00E32733"/>
    <w:rsid w:val="00E353A8"/>
    <w:rsid w:val="00E40755"/>
    <w:rsid w:val="00E411C6"/>
    <w:rsid w:val="00E4426B"/>
    <w:rsid w:val="00E443B9"/>
    <w:rsid w:val="00E461F0"/>
    <w:rsid w:val="00E46429"/>
    <w:rsid w:val="00E46748"/>
    <w:rsid w:val="00E514C8"/>
    <w:rsid w:val="00E566A2"/>
    <w:rsid w:val="00E62497"/>
    <w:rsid w:val="00E63033"/>
    <w:rsid w:val="00E76445"/>
    <w:rsid w:val="00E863A9"/>
    <w:rsid w:val="00E90310"/>
    <w:rsid w:val="00EA213D"/>
    <w:rsid w:val="00EA4303"/>
    <w:rsid w:val="00EB04F3"/>
    <w:rsid w:val="00EB2868"/>
    <w:rsid w:val="00EB60F9"/>
    <w:rsid w:val="00EC1D52"/>
    <w:rsid w:val="00EC4C4F"/>
    <w:rsid w:val="00EC6490"/>
    <w:rsid w:val="00EC6C25"/>
    <w:rsid w:val="00ED11DE"/>
    <w:rsid w:val="00ED2138"/>
    <w:rsid w:val="00ED37F8"/>
    <w:rsid w:val="00EE062D"/>
    <w:rsid w:val="00EE5469"/>
    <w:rsid w:val="00EE78C8"/>
    <w:rsid w:val="00EF653E"/>
    <w:rsid w:val="00EF7C5F"/>
    <w:rsid w:val="00F01264"/>
    <w:rsid w:val="00F017F1"/>
    <w:rsid w:val="00F10BE9"/>
    <w:rsid w:val="00F14E6A"/>
    <w:rsid w:val="00F3147E"/>
    <w:rsid w:val="00F31B6A"/>
    <w:rsid w:val="00F324AD"/>
    <w:rsid w:val="00F33777"/>
    <w:rsid w:val="00F33FB7"/>
    <w:rsid w:val="00F3447F"/>
    <w:rsid w:val="00F3780D"/>
    <w:rsid w:val="00F4017B"/>
    <w:rsid w:val="00F42D0D"/>
    <w:rsid w:val="00F47B98"/>
    <w:rsid w:val="00F5074C"/>
    <w:rsid w:val="00F54004"/>
    <w:rsid w:val="00F54118"/>
    <w:rsid w:val="00F56DBD"/>
    <w:rsid w:val="00F56FFB"/>
    <w:rsid w:val="00F57B21"/>
    <w:rsid w:val="00F57B5F"/>
    <w:rsid w:val="00F67C42"/>
    <w:rsid w:val="00F7697C"/>
    <w:rsid w:val="00F77AD1"/>
    <w:rsid w:val="00F77FE2"/>
    <w:rsid w:val="00F9320A"/>
    <w:rsid w:val="00F95447"/>
    <w:rsid w:val="00F97791"/>
    <w:rsid w:val="00FA6DA0"/>
    <w:rsid w:val="00FB5419"/>
    <w:rsid w:val="00FC3FE5"/>
    <w:rsid w:val="00FD6CB9"/>
    <w:rsid w:val="00FE0F19"/>
    <w:rsid w:val="00FE19E9"/>
    <w:rsid w:val="00FE1B24"/>
    <w:rsid w:val="00FE21D2"/>
    <w:rsid w:val="00FE2651"/>
    <w:rsid w:val="00FE66B0"/>
    <w:rsid w:val="00FE78E1"/>
    <w:rsid w:val="00FF36E3"/>
    <w:rsid w:val="00FF4C0F"/>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BD06"/>
  <w15:docId w15:val="{F6FD7A54-607A-4351-8C33-1FA95FC9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674F"/>
    <w:rPr>
      <w:sz w:val="24"/>
      <w:szCs w:val="24"/>
    </w:rPr>
  </w:style>
  <w:style w:type="paragraph" w:styleId="Heading1">
    <w:name w:val="heading 1"/>
    <w:basedOn w:val="Normal"/>
    <w:next w:val="Normal"/>
    <w:link w:val="Heading1Char"/>
    <w:uiPriority w:val="9"/>
    <w:qFormat/>
    <w:rsid w:val="00FC3FE5"/>
    <w:pPr>
      <w:keepNext/>
      <w:keepLines/>
      <w:spacing w:before="480" w:line="480" w:lineRule="auto"/>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qFormat/>
    <w:rsid w:val="0029775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eastAsia="Times New Roman"/>
      <w:b/>
      <w:bCs/>
      <w:color w:val="000000"/>
      <w:kern w:val="28"/>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81ED8"/>
    <w:rPr>
      <w:rFonts w:ascii="Lucida Grande" w:hAnsi="Lucida Grande" w:cs="Lucida Grande"/>
      <w:sz w:val="18"/>
      <w:szCs w:val="18"/>
    </w:rPr>
  </w:style>
  <w:style w:type="character" w:customStyle="1" w:styleId="BalloonTextChar">
    <w:name w:val="Balloon Text Char"/>
    <w:basedOn w:val="DefaultParagraphFont"/>
    <w:uiPriority w:val="99"/>
    <w:semiHidden/>
    <w:rsid w:val="0027335B"/>
    <w:rPr>
      <w:rFonts w:ascii="Lucida Grande" w:hAnsi="Lucida Grande" w:cs="Lucida Grande"/>
      <w:sz w:val="18"/>
      <w:szCs w:val="18"/>
    </w:rPr>
  </w:style>
  <w:style w:type="character" w:customStyle="1" w:styleId="BalloonTextChar0">
    <w:name w:val="Balloon Text Char"/>
    <w:basedOn w:val="DefaultParagraphFont"/>
    <w:uiPriority w:val="99"/>
    <w:semiHidden/>
    <w:rsid w:val="0027335B"/>
    <w:rPr>
      <w:rFonts w:ascii="Lucida Grande" w:hAnsi="Lucida Grande" w:cs="Lucida Grande"/>
      <w:sz w:val="18"/>
      <w:szCs w:val="18"/>
    </w:rPr>
  </w:style>
  <w:style w:type="character" w:customStyle="1" w:styleId="BalloonTextChar2">
    <w:name w:val="Balloon Text Char"/>
    <w:basedOn w:val="DefaultParagraphFont"/>
    <w:uiPriority w:val="99"/>
    <w:semiHidden/>
    <w:rsid w:val="0027335B"/>
    <w:rPr>
      <w:rFonts w:ascii="Lucida Grande" w:hAnsi="Lucida Grande" w:cs="Lucida Grande"/>
      <w:sz w:val="18"/>
      <w:szCs w:val="18"/>
    </w:rPr>
  </w:style>
  <w:style w:type="character" w:customStyle="1" w:styleId="BalloonTextChar3">
    <w:name w:val="Balloon Text Char"/>
    <w:basedOn w:val="DefaultParagraphFont"/>
    <w:uiPriority w:val="99"/>
    <w:semiHidden/>
    <w:rsid w:val="0027335B"/>
    <w:rPr>
      <w:rFonts w:ascii="Lucida Grande" w:hAnsi="Lucida Grande" w:cs="Lucida Grande"/>
      <w:sz w:val="18"/>
      <w:szCs w:val="18"/>
    </w:rPr>
  </w:style>
  <w:style w:type="character" w:customStyle="1" w:styleId="Heading1Char">
    <w:name w:val="Heading 1 Char"/>
    <w:basedOn w:val="DefaultParagraphFont"/>
    <w:link w:val="Heading1"/>
    <w:uiPriority w:val="9"/>
    <w:rsid w:val="00FC3FE5"/>
    <w:rPr>
      <w:rFonts w:eastAsiaTheme="majorEastAsia" w:cstheme="majorBidi"/>
      <w:b/>
      <w:bCs/>
      <w:color w:val="000000" w:themeColor="text1"/>
      <w:sz w:val="24"/>
      <w:szCs w:val="28"/>
    </w:rPr>
  </w:style>
  <w:style w:type="character" w:customStyle="1" w:styleId="Heading2Char">
    <w:name w:val="Heading 2 Char"/>
    <w:basedOn w:val="DefaultParagraphFont"/>
    <w:link w:val="Heading2"/>
    <w:rsid w:val="00297758"/>
    <w:rPr>
      <w:rFonts w:eastAsia="Times New Roman"/>
      <w:b/>
      <w:bCs/>
      <w:color w:val="000000"/>
      <w:kern w:val="28"/>
      <w:sz w:val="24"/>
      <w:szCs w:val="24"/>
      <w:bdr w:val="none" w:sz="0" w:space="0" w:color="auto"/>
      <w:lang w:val="en-CA" w:eastAsia="en-CA"/>
    </w:rPr>
  </w:style>
  <w:style w:type="character" w:customStyle="1" w:styleId="BalloonTextChar1">
    <w:name w:val="Balloon Text Char1"/>
    <w:basedOn w:val="DefaultParagraphFont"/>
    <w:link w:val="BalloonText"/>
    <w:uiPriority w:val="99"/>
    <w:semiHidden/>
    <w:rsid w:val="00A81ED8"/>
    <w:rPr>
      <w:rFonts w:ascii="Lucida Grande" w:hAnsi="Lucida Grande" w:cs="Lucida Grande"/>
      <w:sz w:val="18"/>
      <w:szCs w:val="18"/>
      <w:lang w:val="en-US"/>
    </w:rPr>
  </w:style>
  <w:style w:type="character" w:customStyle="1" w:styleId="BalloonTextChar4">
    <w:name w:val="Balloon Text Char"/>
    <w:basedOn w:val="DefaultParagraphFont"/>
    <w:uiPriority w:val="99"/>
    <w:semiHidden/>
    <w:rsid w:val="0027335B"/>
    <w:rPr>
      <w:rFonts w:ascii="Lucida Grande" w:hAnsi="Lucida Grande" w:cs="Lucida Grande"/>
      <w:sz w:val="18"/>
      <w:szCs w:val="18"/>
    </w:rPr>
  </w:style>
  <w:style w:type="character" w:styleId="Hyperlink">
    <w:name w:val="Hyperlink"/>
    <w:rsid w:val="003F674F"/>
    <w:rPr>
      <w:u w:val="single"/>
    </w:rPr>
  </w:style>
  <w:style w:type="paragraph" w:customStyle="1" w:styleId="Default">
    <w:name w:val="Default"/>
    <w:rsid w:val="003F674F"/>
    <w:rPr>
      <w:rFonts w:ascii="Helvetica" w:hAnsi="Arial Unicode MS" w:cs="Arial Unicode MS"/>
      <w:color w:val="000000"/>
      <w:sz w:val="22"/>
      <w:szCs w:val="22"/>
    </w:rPr>
  </w:style>
  <w:style w:type="paragraph" w:styleId="CommentText">
    <w:name w:val="annotation text"/>
    <w:basedOn w:val="Normal"/>
    <w:link w:val="CommentTextChar"/>
    <w:uiPriority w:val="99"/>
    <w:unhideWhenUsed/>
    <w:rsid w:val="003F674F"/>
  </w:style>
  <w:style w:type="character" w:customStyle="1" w:styleId="CommentTextChar">
    <w:name w:val="Comment Text Char"/>
    <w:basedOn w:val="DefaultParagraphFont"/>
    <w:link w:val="CommentText"/>
    <w:uiPriority w:val="99"/>
    <w:rsid w:val="003F674F"/>
    <w:rPr>
      <w:sz w:val="24"/>
      <w:szCs w:val="24"/>
      <w:lang w:val="en-US"/>
    </w:rPr>
  </w:style>
  <w:style w:type="character" w:styleId="CommentReference">
    <w:name w:val="annotation reference"/>
    <w:basedOn w:val="DefaultParagraphFont"/>
    <w:uiPriority w:val="99"/>
    <w:semiHidden/>
    <w:unhideWhenUsed/>
    <w:rsid w:val="003F674F"/>
    <w:rPr>
      <w:sz w:val="18"/>
      <w:szCs w:val="18"/>
    </w:rPr>
  </w:style>
  <w:style w:type="paragraph" w:styleId="CommentSubject">
    <w:name w:val="annotation subject"/>
    <w:basedOn w:val="CommentText"/>
    <w:next w:val="CommentText"/>
    <w:link w:val="CommentSubjectChar"/>
    <w:uiPriority w:val="99"/>
    <w:semiHidden/>
    <w:unhideWhenUsed/>
    <w:rsid w:val="004A0781"/>
    <w:rPr>
      <w:b/>
      <w:bCs/>
      <w:sz w:val="20"/>
      <w:szCs w:val="20"/>
    </w:rPr>
  </w:style>
  <w:style w:type="character" w:customStyle="1" w:styleId="CommentSubjectChar">
    <w:name w:val="Comment Subject Char"/>
    <w:basedOn w:val="CommentTextChar"/>
    <w:link w:val="CommentSubject"/>
    <w:uiPriority w:val="99"/>
    <w:semiHidden/>
    <w:rsid w:val="004A0781"/>
    <w:rPr>
      <w:b/>
      <w:bCs/>
      <w:sz w:val="24"/>
      <w:szCs w:val="24"/>
      <w:lang w:val="en-US"/>
    </w:rPr>
  </w:style>
  <w:style w:type="paragraph" w:styleId="Footer">
    <w:name w:val="footer"/>
    <w:basedOn w:val="Normal"/>
    <w:link w:val="FooterChar"/>
    <w:uiPriority w:val="99"/>
    <w:unhideWhenUsed/>
    <w:rsid w:val="00093AB2"/>
    <w:pPr>
      <w:tabs>
        <w:tab w:val="center" w:pos="4320"/>
        <w:tab w:val="right" w:pos="8640"/>
      </w:tabs>
    </w:pPr>
  </w:style>
  <w:style w:type="character" w:customStyle="1" w:styleId="FooterChar">
    <w:name w:val="Footer Char"/>
    <w:basedOn w:val="DefaultParagraphFont"/>
    <w:link w:val="Footer"/>
    <w:uiPriority w:val="99"/>
    <w:rsid w:val="00093AB2"/>
    <w:rPr>
      <w:sz w:val="24"/>
      <w:szCs w:val="24"/>
      <w:lang w:val="en-US"/>
    </w:rPr>
  </w:style>
  <w:style w:type="character" w:styleId="PageNumber">
    <w:name w:val="page number"/>
    <w:basedOn w:val="DefaultParagraphFont"/>
    <w:uiPriority w:val="99"/>
    <w:semiHidden/>
    <w:unhideWhenUsed/>
    <w:rsid w:val="00093AB2"/>
  </w:style>
  <w:style w:type="paragraph" w:styleId="FootnoteText">
    <w:name w:val="footnote text"/>
    <w:basedOn w:val="Normal"/>
    <w:link w:val="FootnoteTextChar"/>
    <w:unhideWhenUsed/>
    <w:rsid w:val="0054648A"/>
  </w:style>
  <w:style w:type="character" w:customStyle="1" w:styleId="FootnoteTextChar">
    <w:name w:val="Footnote Text Char"/>
    <w:basedOn w:val="DefaultParagraphFont"/>
    <w:link w:val="FootnoteText"/>
    <w:rsid w:val="0054648A"/>
    <w:rPr>
      <w:sz w:val="24"/>
      <w:szCs w:val="24"/>
      <w:lang w:val="en-US"/>
    </w:rPr>
  </w:style>
  <w:style w:type="character" w:styleId="FootnoteReference">
    <w:name w:val="footnote reference"/>
    <w:basedOn w:val="DefaultParagraphFont"/>
    <w:unhideWhenUsed/>
    <w:rsid w:val="0054648A"/>
    <w:rPr>
      <w:vertAlign w:val="superscript"/>
    </w:rPr>
  </w:style>
  <w:style w:type="paragraph" w:styleId="Header">
    <w:name w:val="header"/>
    <w:basedOn w:val="Normal"/>
    <w:link w:val="HeaderChar"/>
    <w:uiPriority w:val="99"/>
    <w:unhideWhenUsed/>
    <w:rsid w:val="009147E1"/>
    <w:pPr>
      <w:tabs>
        <w:tab w:val="center" w:pos="4320"/>
        <w:tab w:val="right" w:pos="8640"/>
      </w:tabs>
    </w:pPr>
  </w:style>
  <w:style w:type="character" w:customStyle="1" w:styleId="HeaderChar">
    <w:name w:val="Header Char"/>
    <w:basedOn w:val="DefaultParagraphFont"/>
    <w:link w:val="Header"/>
    <w:uiPriority w:val="99"/>
    <w:rsid w:val="009147E1"/>
    <w:rPr>
      <w:sz w:val="24"/>
      <w:szCs w:val="24"/>
      <w:lang w:val="en-US"/>
    </w:rPr>
  </w:style>
  <w:style w:type="paragraph" w:styleId="NormalWeb">
    <w:name w:val="Normal (Web)"/>
    <w:basedOn w:val="Normal"/>
    <w:uiPriority w:val="99"/>
    <w:unhideWhenUsed/>
    <w:rsid w:val="00A351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ListParagraph">
    <w:name w:val="List Paragraph"/>
    <w:basedOn w:val="Normal"/>
    <w:uiPriority w:val="34"/>
    <w:qFormat/>
    <w:rsid w:val="00B57998"/>
    <w:pPr>
      <w:ind w:left="720"/>
      <w:contextualSpacing/>
    </w:pPr>
  </w:style>
  <w:style w:type="character" w:customStyle="1" w:styleId="highwire-cite-article-type">
    <w:name w:val="highwire-cite-article-type"/>
    <w:basedOn w:val="DefaultParagraphFont"/>
    <w:rsid w:val="00C72803"/>
  </w:style>
  <w:style w:type="character" w:customStyle="1" w:styleId="apple-converted-space">
    <w:name w:val="apple-converted-space"/>
    <w:rsid w:val="00C2395D"/>
  </w:style>
  <w:style w:type="paragraph" w:styleId="EndnoteText">
    <w:name w:val="endnote text"/>
    <w:basedOn w:val="Normal"/>
    <w:link w:val="EndnoteTextChar"/>
    <w:rsid w:val="0084134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szCs w:val="20"/>
      <w:bdr w:val="none" w:sz="0" w:space="0" w:color="auto"/>
    </w:rPr>
  </w:style>
  <w:style w:type="character" w:customStyle="1" w:styleId="EndnoteTextChar">
    <w:name w:val="Endnote Text Char"/>
    <w:basedOn w:val="DefaultParagraphFont"/>
    <w:link w:val="EndnoteText"/>
    <w:rsid w:val="00841348"/>
    <w:rPr>
      <w:rFonts w:ascii="Arial" w:eastAsia="Times New Roman" w:hAnsi="Arial"/>
      <w:bdr w:val="none" w:sz="0" w:space="0" w:color="auto"/>
    </w:rPr>
  </w:style>
  <w:style w:type="character" w:styleId="EndnoteReference">
    <w:name w:val="endnote reference"/>
    <w:basedOn w:val="DefaultParagraphFont"/>
    <w:rsid w:val="00841348"/>
    <w:rPr>
      <w:vertAlign w:val="superscript"/>
    </w:rPr>
  </w:style>
  <w:style w:type="character" w:styleId="Emphasis">
    <w:name w:val="Emphasis"/>
    <w:basedOn w:val="DefaultParagraphFont"/>
    <w:uiPriority w:val="20"/>
    <w:qFormat/>
    <w:rsid w:val="00A03178"/>
    <w:rPr>
      <w:i/>
      <w:iCs/>
    </w:rPr>
  </w:style>
  <w:style w:type="paragraph" w:styleId="Revision">
    <w:name w:val="Revision"/>
    <w:hidden/>
    <w:uiPriority w:val="99"/>
    <w:semiHidden/>
    <w:rsid w:val="00C05FF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None">
    <w:name w:val="None"/>
    <w:rsid w:val="002F7342"/>
  </w:style>
  <w:style w:type="table" w:styleId="TableGrid">
    <w:name w:val="Table Grid"/>
    <w:basedOn w:val="TableNormal"/>
    <w:rsid w:val="00A22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13739">
      <w:bodyDiv w:val="1"/>
      <w:marLeft w:val="0"/>
      <w:marRight w:val="0"/>
      <w:marTop w:val="0"/>
      <w:marBottom w:val="0"/>
      <w:divBdr>
        <w:top w:val="none" w:sz="0" w:space="0" w:color="auto"/>
        <w:left w:val="none" w:sz="0" w:space="0" w:color="auto"/>
        <w:bottom w:val="none" w:sz="0" w:space="0" w:color="auto"/>
        <w:right w:val="none" w:sz="0" w:space="0" w:color="auto"/>
      </w:divBdr>
    </w:div>
    <w:div w:id="1140995440">
      <w:bodyDiv w:val="1"/>
      <w:marLeft w:val="0"/>
      <w:marRight w:val="0"/>
      <w:marTop w:val="0"/>
      <w:marBottom w:val="0"/>
      <w:divBdr>
        <w:top w:val="none" w:sz="0" w:space="0" w:color="auto"/>
        <w:left w:val="none" w:sz="0" w:space="0" w:color="auto"/>
        <w:bottom w:val="none" w:sz="0" w:space="0" w:color="auto"/>
        <w:right w:val="none" w:sz="0" w:space="0" w:color="auto"/>
      </w:divBdr>
      <w:divsChild>
        <w:div w:id="901522187">
          <w:marLeft w:val="0"/>
          <w:marRight w:val="0"/>
          <w:marTop w:val="75"/>
          <w:marBottom w:val="0"/>
          <w:divBdr>
            <w:top w:val="none" w:sz="0" w:space="0" w:color="auto"/>
            <w:left w:val="none" w:sz="0" w:space="0" w:color="auto"/>
            <w:bottom w:val="none" w:sz="0" w:space="0" w:color="auto"/>
            <w:right w:val="none" w:sz="0" w:space="0" w:color="auto"/>
          </w:divBdr>
        </w:div>
        <w:div w:id="1990592588">
          <w:marLeft w:val="0"/>
          <w:marRight w:val="0"/>
          <w:marTop w:val="75"/>
          <w:marBottom w:val="0"/>
          <w:divBdr>
            <w:top w:val="none" w:sz="0" w:space="0" w:color="auto"/>
            <w:left w:val="none" w:sz="0" w:space="0" w:color="auto"/>
            <w:bottom w:val="none" w:sz="0" w:space="0" w:color="auto"/>
            <w:right w:val="none" w:sz="0" w:space="0" w:color="auto"/>
          </w:divBdr>
        </w:div>
        <w:div w:id="1743093360">
          <w:marLeft w:val="0"/>
          <w:marRight w:val="0"/>
          <w:marTop w:val="75"/>
          <w:marBottom w:val="0"/>
          <w:divBdr>
            <w:top w:val="none" w:sz="0" w:space="0" w:color="auto"/>
            <w:left w:val="none" w:sz="0" w:space="0" w:color="auto"/>
            <w:bottom w:val="none" w:sz="0" w:space="0" w:color="auto"/>
            <w:right w:val="none" w:sz="0" w:space="0" w:color="auto"/>
          </w:divBdr>
        </w:div>
      </w:divsChild>
    </w:div>
    <w:div w:id="1151677714">
      <w:bodyDiv w:val="1"/>
      <w:marLeft w:val="0"/>
      <w:marRight w:val="0"/>
      <w:marTop w:val="0"/>
      <w:marBottom w:val="0"/>
      <w:divBdr>
        <w:top w:val="none" w:sz="0" w:space="0" w:color="auto"/>
        <w:left w:val="none" w:sz="0" w:space="0" w:color="auto"/>
        <w:bottom w:val="none" w:sz="0" w:space="0" w:color="auto"/>
        <w:right w:val="none" w:sz="0" w:space="0" w:color="auto"/>
      </w:divBdr>
    </w:div>
    <w:div w:id="1256134406">
      <w:bodyDiv w:val="1"/>
      <w:marLeft w:val="0"/>
      <w:marRight w:val="0"/>
      <w:marTop w:val="0"/>
      <w:marBottom w:val="0"/>
      <w:divBdr>
        <w:top w:val="none" w:sz="0" w:space="0" w:color="auto"/>
        <w:left w:val="none" w:sz="0" w:space="0" w:color="auto"/>
        <w:bottom w:val="none" w:sz="0" w:space="0" w:color="auto"/>
        <w:right w:val="none" w:sz="0" w:space="0" w:color="auto"/>
      </w:divBdr>
    </w:div>
    <w:div w:id="1707751767">
      <w:bodyDiv w:val="1"/>
      <w:marLeft w:val="0"/>
      <w:marRight w:val="0"/>
      <w:marTop w:val="0"/>
      <w:marBottom w:val="0"/>
      <w:divBdr>
        <w:top w:val="none" w:sz="0" w:space="0" w:color="auto"/>
        <w:left w:val="none" w:sz="0" w:space="0" w:color="auto"/>
        <w:bottom w:val="none" w:sz="0" w:space="0" w:color="auto"/>
        <w:right w:val="none" w:sz="0" w:space="0" w:color="auto"/>
      </w:divBdr>
    </w:div>
    <w:div w:id="200581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yonline.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cpsych.ac.uk/quality/quality,accreditationaudit/forensicmentalhealth/templatehomepage.aspx" TargetMode="Externa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9C0C1-8BB2-4B2E-B33A-9BC4BE9B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53</Pages>
  <Words>61646</Words>
  <Characters>351388</Characters>
  <Application>Microsoft Office Word</Application>
  <DocSecurity>0</DocSecurity>
  <Lines>2928</Lines>
  <Paragraphs>824</Paragraphs>
  <ScaleCrop>false</ScaleCrop>
  <HeadingPairs>
    <vt:vector size="2" baseType="variant">
      <vt:variant>
        <vt:lpstr>Title</vt:lpstr>
      </vt:variant>
      <vt:variant>
        <vt:i4>1</vt:i4>
      </vt:variant>
    </vt:vector>
  </HeadingPairs>
  <TitlesOfParts>
    <vt:vector size="1" baseType="lpstr">
      <vt:lpstr/>
    </vt:vector>
  </TitlesOfParts>
  <Company>colin</Company>
  <LinksUpToDate>false</LinksUpToDate>
  <CharactersWithSpaces>412210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Geach Nicole</dc:creator>
  <cp:lastModifiedBy>Verity Chester</cp:lastModifiedBy>
  <cp:revision>28</cp:revision>
  <cp:lastPrinted>2016-06-16T12:11:00Z</cp:lastPrinted>
  <dcterms:created xsi:type="dcterms:W3CDTF">2016-12-21T14:23:00Z</dcterms:created>
  <dcterms:modified xsi:type="dcterms:W3CDTF">2017-01-10T10:28:00Z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verity.chester@partnershipsincare.co.uk@www.mendeley.com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