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5B3AAF" w14:textId="77777777" w:rsidR="00D60AFE" w:rsidRDefault="00D60AFE" w:rsidP="0005639B">
      <w:pPr>
        <w:pStyle w:val="Heading1"/>
        <w:numPr>
          <w:ilvl w:val="0"/>
          <w:numId w:val="0"/>
        </w:numPr>
        <w:rPr>
          <w:rFonts w:asciiTheme="minorHAnsi" w:hAnsiTheme="minorHAnsi" w:cs="Arial"/>
        </w:rPr>
      </w:pPr>
      <w:bookmarkStart w:id="0" w:name="_Toc436765710"/>
      <w:r>
        <w:rPr>
          <w:rFonts w:asciiTheme="minorHAnsi" w:hAnsiTheme="minorHAnsi" w:cs="Arial"/>
        </w:rPr>
        <w:t>Clinical Trial Protocol</w:t>
      </w:r>
    </w:p>
    <w:p w14:paraId="60E7305A" w14:textId="4BB8570A" w:rsidR="0005639B" w:rsidRDefault="006949B4" w:rsidP="0005639B">
      <w:pPr>
        <w:pStyle w:val="Heading1"/>
        <w:numPr>
          <w:ilvl w:val="0"/>
          <w:numId w:val="0"/>
        </w:numPr>
        <w:rPr>
          <w:rFonts w:asciiTheme="minorHAnsi" w:hAnsiTheme="minorHAnsi" w:cs="Arial"/>
        </w:rPr>
      </w:pPr>
      <w:r>
        <w:rPr>
          <w:rFonts w:asciiTheme="minorHAnsi" w:hAnsiTheme="minorHAnsi" w:cs="Arial"/>
        </w:rPr>
        <w:t xml:space="preserve">A </w:t>
      </w:r>
      <w:r w:rsidR="00796776">
        <w:rPr>
          <w:rFonts w:asciiTheme="minorHAnsi" w:hAnsiTheme="minorHAnsi" w:cs="Arial"/>
        </w:rPr>
        <w:t>r</w:t>
      </w:r>
      <w:r w:rsidR="00D60AFE">
        <w:rPr>
          <w:rFonts w:asciiTheme="minorHAnsi" w:hAnsiTheme="minorHAnsi" w:cs="Arial"/>
        </w:rPr>
        <w:t xml:space="preserve">andomized double-blind placebo controlled </w:t>
      </w:r>
      <w:r w:rsidR="00AA640E">
        <w:rPr>
          <w:rFonts w:asciiTheme="minorHAnsi" w:hAnsiTheme="minorHAnsi" w:cs="Arial"/>
        </w:rPr>
        <w:t xml:space="preserve">cross-over </w:t>
      </w:r>
      <w:r w:rsidR="00EF04C0">
        <w:rPr>
          <w:rFonts w:asciiTheme="minorHAnsi" w:hAnsiTheme="minorHAnsi" w:cs="Arial"/>
        </w:rPr>
        <w:t xml:space="preserve">trial of sodium nitrate in patients with stable angina. </w:t>
      </w:r>
      <w:r w:rsidR="0005639B" w:rsidRPr="00401306">
        <w:rPr>
          <w:rFonts w:asciiTheme="minorHAnsi" w:hAnsiTheme="minorHAnsi" w:cs="Arial"/>
        </w:rPr>
        <w:t>Inorganic Nitrate in Angina Study</w:t>
      </w:r>
      <w:bookmarkEnd w:id="0"/>
      <w:r w:rsidR="00D60AFE">
        <w:rPr>
          <w:rFonts w:asciiTheme="minorHAnsi" w:hAnsiTheme="minorHAnsi" w:cs="Arial"/>
        </w:rPr>
        <w:t xml:space="preserve"> (INAS)</w:t>
      </w:r>
    </w:p>
    <w:p w14:paraId="2036D24D" w14:textId="740A6996" w:rsidR="007B6403" w:rsidRPr="00520919" w:rsidRDefault="007B6403" w:rsidP="0064000E">
      <w:pPr>
        <w:spacing w:line="480" w:lineRule="auto"/>
        <w:rPr>
          <w:vertAlign w:val="superscript"/>
          <w:lang w:val="en-US"/>
        </w:rPr>
      </w:pPr>
      <w:r w:rsidRPr="002A76B1">
        <w:rPr>
          <w:lang w:val="en-US"/>
        </w:rPr>
        <w:t>Konstantin Schwarz</w:t>
      </w:r>
      <w:r w:rsidR="00520919">
        <w:rPr>
          <w:vertAlign w:val="superscript"/>
          <w:lang w:val="en-US"/>
        </w:rPr>
        <w:t>1,2</w:t>
      </w:r>
      <w:r w:rsidRPr="002A76B1">
        <w:rPr>
          <w:lang w:val="en-US"/>
        </w:rPr>
        <w:t>, Satnam Singh</w:t>
      </w:r>
      <w:r w:rsidR="00520919">
        <w:rPr>
          <w:vertAlign w:val="superscript"/>
          <w:lang w:val="en-US"/>
        </w:rPr>
        <w:t>1</w:t>
      </w:r>
      <w:r w:rsidRPr="002A76B1">
        <w:rPr>
          <w:lang w:val="en-US"/>
        </w:rPr>
        <w:t>, Satish Kumar Parasuraman</w:t>
      </w:r>
      <w:r w:rsidR="00520919">
        <w:rPr>
          <w:vertAlign w:val="superscript"/>
          <w:lang w:val="en-US"/>
        </w:rPr>
        <w:t>1,3</w:t>
      </w:r>
      <w:r w:rsidRPr="002A76B1">
        <w:rPr>
          <w:lang w:val="en-US"/>
        </w:rPr>
        <w:t xml:space="preserve">, </w:t>
      </w:r>
      <w:r w:rsidR="002A76B1" w:rsidRPr="002A76B1">
        <w:rPr>
          <w:lang w:val="en-US"/>
        </w:rPr>
        <w:t>Maggie Bruce</w:t>
      </w:r>
      <w:r w:rsidR="00520919">
        <w:rPr>
          <w:vertAlign w:val="superscript"/>
          <w:lang w:val="en-US"/>
        </w:rPr>
        <w:t>1</w:t>
      </w:r>
      <w:r w:rsidR="009876CA">
        <w:rPr>
          <w:lang w:val="en-US"/>
        </w:rPr>
        <w:t xml:space="preserve">, </w:t>
      </w:r>
      <w:r w:rsidR="002A76B1" w:rsidRPr="002A76B1">
        <w:rPr>
          <w:lang w:val="en-US"/>
        </w:rPr>
        <w:t>Lee Shepstone</w:t>
      </w:r>
      <w:r w:rsidR="00520919">
        <w:rPr>
          <w:vertAlign w:val="superscript"/>
          <w:lang w:val="en-US"/>
        </w:rPr>
        <w:t>3</w:t>
      </w:r>
      <w:r w:rsidR="002A76B1" w:rsidRPr="002A76B1">
        <w:rPr>
          <w:lang w:val="en-US"/>
        </w:rPr>
        <w:t>, Martin Feelis</w:t>
      </w:r>
      <w:r w:rsidR="00BB7A1F">
        <w:rPr>
          <w:lang w:val="en-US"/>
        </w:rPr>
        <w:t>c</w:t>
      </w:r>
      <w:r w:rsidR="002A76B1" w:rsidRPr="002A76B1">
        <w:rPr>
          <w:lang w:val="en-US"/>
        </w:rPr>
        <w:t>h</w:t>
      </w:r>
      <w:r w:rsidR="00520919">
        <w:rPr>
          <w:vertAlign w:val="superscript"/>
          <w:lang w:val="en-US"/>
        </w:rPr>
        <w:t>4</w:t>
      </w:r>
      <w:r w:rsidR="002A76B1" w:rsidRPr="002A76B1">
        <w:rPr>
          <w:lang w:val="en-US"/>
        </w:rPr>
        <w:t>, Magda</w:t>
      </w:r>
      <w:r w:rsidR="005A3A6A">
        <w:rPr>
          <w:lang w:val="en-US"/>
        </w:rPr>
        <w:t>lena</w:t>
      </w:r>
      <w:r w:rsidR="002A76B1" w:rsidRPr="002A76B1">
        <w:rPr>
          <w:lang w:val="en-US"/>
        </w:rPr>
        <w:t xml:space="preserve"> Minnion</w:t>
      </w:r>
      <w:r w:rsidR="00520919">
        <w:rPr>
          <w:vertAlign w:val="superscript"/>
          <w:lang w:val="en-US"/>
        </w:rPr>
        <w:t>4</w:t>
      </w:r>
      <w:r w:rsidR="002A76B1" w:rsidRPr="002A76B1">
        <w:rPr>
          <w:lang w:val="en-US"/>
        </w:rPr>
        <w:t xml:space="preserve">,  </w:t>
      </w:r>
      <w:r w:rsidR="00703A2C">
        <w:rPr>
          <w:lang w:val="en-US"/>
        </w:rPr>
        <w:t>Shakil Ahmad</w:t>
      </w:r>
      <w:r w:rsidR="00520919">
        <w:rPr>
          <w:vertAlign w:val="superscript"/>
          <w:lang w:val="en-US"/>
        </w:rPr>
        <w:t>5</w:t>
      </w:r>
      <w:r w:rsidR="002A76B1" w:rsidRPr="002A76B1">
        <w:rPr>
          <w:lang w:val="en-US"/>
        </w:rPr>
        <w:t>, John Horowitz</w:t>
      </w:r>
      <w:r w:rsidR="00520919">
        <w:rPr>
          <w:vertAlign w:val="superscript"/>
          <w:lang w:val="en-US"/>
        </w:rPr>
        <w:t>1,6</w:t>
      </w:r>
      <w:r w:rsidR="002A76B1" w:rsidRPr="002A76B1">
        <w:rPr>
          <w:lang w:val="en-US"/>
        </w:rPr>
        <w:t>, Dana Dawson</w:t>
      </w:r>
      <w:r w:rsidR="00520919">
        <w:rPr>
          <w:vertAlign w:val="superscript"/>
          <w:lang w:val="en-US"/>
        </w:rPr>
        <w:t>1</w:t>
      </w:r>
      <w:r w:rsidR="002A76B1" w:rsidRPr="002A76B1">
        <w:rPr>
          <w:lang w:val="en-US"/>
        </w:rPr>
        <w:t xml:space="preserve">, </w:t>
      </w:r>
      <w:r w:rsidR="002A76B1">
        <w:rPr>
          <w:lang w:val="en-US"/>
        </w:rPr>
        <w:t>Michael Frenneaux</w:t>
      </w:r>
      <w:r w:rsidR="00520919">
        <w:rPr>
          <w:vertAlign w:val="superscript"/>
          <w:lang w:val="en-US"/>
        </w:rPr>
        <w:t>1,3</w:t>
      </w:r>
      <w:r w:rsidR="00A571B3">
        <w:rPr>
          <w:vertAlign w:val="superscript"/>
          <w:lang w:val="en-US"/>
        </w:rPr>
        <w:t>*</w:t>
      </w:r>
    </w:p>
    <w:p w14:paraId="722E9322" w14:textId="77777777" w:rsidR="00520919" w:rsidRDefault="00A8198F" w:rsidP="007B6403">
      <w:pPr>
        <w:rPr>
          <w:lang w:val="en-US"/>
        </w:rPr>
      </w:pPr>
      <w:r>
        <w:rPr>
          <w:vertAlign w:val="superscript"/>
          <w:lang w:val="en-US"/>
        </w:rPr>
        <w:t>1</w:t>
      </w:r>
      <w:r>
        <w:rPr>
          <w:lang w:val="en-US"/>
        </w:rPr>
        <w:t>School of Medicine &amp; Dentistry, University of Aberdeen, Aberdeen</w:t>
      </w:r>
      <w:r w:rsidR="00A571B3">
        <w:rPr>
          <w:lang w:val="en-US"/>
        </w:rPr>
        <w:t>, UK</w:t>
      </w:r>
    </w:p>
    <w:p w14:paraId="7FCF8445" w14:textId="77777777" w:rsidR="00A571B3" w:rsidRDefault="00A571B3" w:rsidP="007B6403">
      <w:pPr>
        <w:rPr>
          <w:lang w:val="en-US"/>
        </w:rPr>
      </w:pPr>
      <w:r>
        <w:rPr>
          <w:vertAlign w:val="superscript"/>
          <w:lang w:val="en-US"/>
        </w:rPr>
        <w:t>2</w:t>
      </w:r>
      <w:r>
        <w:rPr>
          <w:lang w:val="en-US"/>
        </w:rPr>
        <w:t>Worcestershire Royal Hospital, Worcester, UK</w:t>
      </w:r>
    </w:p>
    <w:p w14:paraId="57125442" w14:textId="77777777" w:rsidR="00B77FC0" w:rsidRPr="00B77FC0" w:rsidRDefault="00B77FC0" w:rsidP="00B77FC0">
      <w:pPr>
        <w:rPr>
          <w:lang w:val="en-US"/>
        </w:rPr>
      </w:pPr>
      <w:r>
        <w:rPr>
          <w:vertAlign w:val="superscript"/>
          <w:lang w:val="en-US"/>
        </w:rPr>
        <w:t>3</w:t>
      </w:r>
      <w:r>
        <w:rPr>
          <w:lang w:val="en-US"/>
        </w:rPr>
        <w:t xml:space="preserve">Norwich Medical School, University of East Anglia, </w:t>
      </w:r>
      <w:r w:rsidRPr="00B77FC0">
        <w:rPr>
          <w:lang w:val="en-US"/>
        </w:rPr>
        <w:t>Bob Champion Research and Education Building</w:t>
      </w:r>
    </w:p>
    <w:p w14:paraId="7537584B" w14:textId="77777777" w:rsidR="00B77FC0" w:rsidRDefault="00B77FC0" w:rsidP="00B77FC0">
      <w:pPr>
        <w:rPr>
          <w:lang w:val="en-US"/>
        </w:rPr>
      </w:pPr>
      <w:r w:rsidRPr="00B77FC0">
        <w:rPr>
          <w:lang w:val="en-US"/>
        </w:rPr>
        <w:t>James Watson Road</w:t>
      </w:r>
      <w:r>
        <w:rPr>
          <w:lang w:val="en-US"/>
        </w:rPr>
        <w:t>,</w:t>
      </w:r>
      <w:r w:rsidRPr="00B77FC0">
        <w:rPr>
          <w:lang w:val="en-US"/>
        </w:rPr>
        <w:t xml:space="preserve"> </w:t>
      </w:r>
      <w:r>
        <w:rPr>
          <w:lang w:val="en-US"/>
        </w:rPr>
        <w:t>Norwich,</w:t>
      </w:r>
      <w:r w:rsidRPr="00B77FC0">
        <w:t xml:space="preserve"> </w:t>
      </w:r>
      <w:r w:rsidRPr="00B77FC0">
        <w:rPr>
          <w:lang w:val="en-US"/>
        </w:rPr>
        <w:t>NR4 7UQ</w:t>
      </w:r>
      <w:r>
        <w:rPr>
          <w:lang w:val="en-US"/>
        </w:rPr>
        <w:t>, UK</w:t>
      </w:r>
    </w:p>
    <w:p w14:paraId="674319CC" w14:textId="77777777" w:rsidR="00E25156" w:rsidRDefault="00E25156" w:rsidP="00B77FC0">
      <w:pPr>
        <w:rPr>
          <w:lang w:val="en-US"/>
        </w:rPr>
      </w:pPr>
      <w:r>
        <w:rPr>
          <w:vertAlign w:val="superscript"/>
          <w:lang w:val="en-US"/>
        </w:rPr>
        <w:t>4</w:t>
      </w:r>
      <w:r w:rsidR="00151FF3">
        <w:rPr>
          <w:lang w:val="en-US"/>
        </w:rPr>
        <w:t>University of Southampton, Southampton, UK</w:t>
      </w:r>
    </w:p>
    <w:p w14:paraId="14419E53" w14:textId="38F3820D" w:rsidR="00151FF3" w:rsidRDefault="00151FF3" w:rsidP="00B77FC0">
      <w:pPr>
        <w:rPr>
          <w:lang w:val="en-US"/>
        </w:rPr>
      </w:pPr>
      <w:r>
        <w:rPr>
          <w:vertAlign w:val="superscript"/>
          <w:lang w:val="en-US"/>
        </w:rPr>
        <w:t>5</w:t>
      </w:r>
      <w:r w:rsidR="00703A2C" w:rsidRPr="00703A2C">
        <w:rPr>
          <w:lang w:val="en-US"/>
        </w:rPr>
        <w:t>Aston Medical Research Institute, Aston Medical School, Aston University, Birmingham, B4 7ET, UK</w:t>
      </w:r>
    </w:p>
    <w:p w14:paraId="34638941" w14:textId="77777777" w:rsidR="00151FF3" w:rsidRDefault="00151FF3" w:rsidP="00B77FC0">
      <w:pPr>
        <w:rPr>
          <w:lang w:val="en-US"/>
        </w:rPr>
      </w:pPr>
      <w:r>
        <w:rPr>
          <w:vertAlign w:val="superscript"/>
          <w:lang w:val="en-US"/>
        </w:rPr>
        <w:t>6</w:t>
      </w:r>
      <w:r>
        <w:rPr>
          <w:lang w:val="en-US"/>
        </w:rPr>
        <w:t>University of Adelaide, Adelaide, Australia</w:t>
      </w:r>
    </w:p>
    <w:p w14:paraId="699557CE" w14:textId="77777777" w:rsidR="009409FF" w:rsidRDefault="009409FF" w:rsidP="00B77FC0">
      <w:pPr>
        <w:rPr>
          <w:lang w:val="en-US"/>
        </w:rPr>
      </w:pPr>
      <w:r>
        <w:rPr>
          <w:lang w:val="en-US"/>
        </w:rPr>
        <w:t>*m.frenneaux@uea.ac.uk</w:t>
      </w:r>
    </w:p>
    <w:p w14:paraId="215667D5" w14:textId="77777777" w:rsidR="00151FF3" w:rsidRPr="00151FF3" w:rsidRDefault="00151FF3" w:rsidP="00B77FC0">
      <w:pPr>
        <w:rPr>
          <w:lang w:val="en-US"/>
        </w:rPr>
      </w:pPr>
    </w:p>
    <w:p w14:paraId="0ADA22BC" w14:textId="77777777" w:rsidR="007B6403" w:rsidRDefault="007B6403" w:rsidP="007B6403">
      <w:pPr>
        <w:rPr>
          <w:lang w:val="en-US"/>
        </w:rPr>
      </w:pPr>
    </w:p>
    <w:p w14:paraId="680A1270" w14:textId="77777777" w:rsidR="00E756DC" w:rsidRDefault="00E756DC" w:rsidP="007B6403">
      <w:pPr>
        <w:rPr>
          <w:lang w:val="en-US"/>
        </w:rPr>
      </w:pPr>
    </w:p>
    <w:p w14:paraId="2BEF3411" w14:textId="77777777" w:rsidR="00E756DC" w:rsidRDefault="00E756DC" w:rsidP="007B6403">
      <w:pPr>
        <w:rPr>
          <w:lang w:val="en-US"/>
        </w:rPr>
      </w:pPr>
    </w:p>
    <w:p w14:paraId="7AF96EAF" w14:textId="77777777" w:rsidR="00E756DC" w:rsidRDefault="00E756DC" w:rsidP="007B6403">
      <w:pPr>
        <w:rPr>
          <w:lang w:val="en-US"/>
        </w:rPr>
      </w:pPr>
    </w:p>
    <w:p w14:paraId="39A9BEC0" w14:textId="77777777" w:rsidR="00E756DC" w:rsidRDefault="00E756DC" w:rsidP="007B6403">
      <w:pPr>
        <w:rPr>
          <w:lang w:val="en-US"/>
        </w:rPr>
      </w:pPr>
    </w:p>
    <w:p w14:paraId="52BE2224" w14:textId="77777777" w:rsidR="00E756DC" w:rsidRDefault="00E756DC" w:rsidP="007B6403">
      <w:pPr>
        <w:rPr>
          <w:lang w:val="en-US"/>
        </w:rPr>
      </w:pPr>
    </w:p>
    <w:p w14:paraId="33943F94" w14:textId="77777777" w:rsidR="00E756DC" w:rsidRPr="002A76B1" w:rsidRDefault="00E756DC" w:rsidP="007B6403">
      <w:pPr>
        <w:rPr>
          <w:lang w:val="en-US"/>
        </w:rPr>
      </w:pPr>
    </w:p>
    <w:p w14:paraId="6D733D4B" w14:textId="77777777" w:rsidR="001C2F49" w:rsidRPr="00F96AE3" w:rsidRDefault="001C2F49" w:rsidP="007C7A49">
      <w:pPr>
        <w:pStyle w:val="Heading2"/>
        <w:rPr>
          <w:rFonts w:asciiTheme="minorHAnsi" w:hAnsiTheme="minorHAnsi"/>
        </w:rPr>
      </w:pPr>
      <w:r w:rsidRPr="00F96AE3">
        <w:rPr>
          <w:rFonts w:asciiTheme="minorHAnsi" w:hAnsiTheme="minorHAnsi"/>
        </w:rPr>
        <w:lastRenderedPageBreak/>
        <w:t>Abstract</w:t>
      </w:r>
    </w:p>
    <w:p w14:paraId="79034C85" w14:textId="162F51ED" w:rsidR="00623842" w:rsidRDefault="006E7F3D" w:rsidP="007C7A49">
      <w:pPr>
        <w:spacing w:line="480" w:lineRule="auto"/>
        <w:rPr>
          <w:rFonts w:cs="Arial"/>
        </w:rPr>
      </w:pPr>
      <w:r>
        <w:rPr>
          <w:rFonts w:cs="Arial"/>
          <w:lang w:val="en-US"/>
        </w:rPr>
        <w:t>I</w:t>
      </w:r>
      <w:r>
        <w:rPr>
          <w:rFonts w:cs="Arial"/>
        </w:rPr>
        <w:t>n an aging western population a</w:t>
      </w:r>
      <w:r w:rsidR="001C2F49">
        <w:rPr>
          <w:rFonts w:cs="Arial"/>
        </w:rPr>
        <w:t xml:space="preserve"> significant number of patients continue to suffer from angina </w:t>
      </w:r>
      <w:r w:rsidR="008972F6">
        <w:rPr>
          <w:rFonts w:cs="Arial"/>
        </w:rPr>
        <w:t>once</w:t>
      </w:r>
      <w:r w:rsidR="006204D8">
        <w:rPr>
          <w:rFonts w:cs="Arial"/>
        </w:rPr>
        <w:t xml:space="preserve"> </w:t>
      </w:r>
      <w:r w:rsidR="000B19E7">
        <w:rPr>
          <w:rFonts w:cs="Arial"/>
        </w:rPr>
        <w:t>all</w:t>
      </w:r>
      <w:r w:rsidR="00560D90">
        <w:rPr>
          <w:rFonts w:cs="Arial"/>
        </w:rPr>
        <w:t xml:space="preserve"> </w:t>
      </w:r>
      <w:r w:rsidR="001C2F49">
        <w:rPr>
          <w:rFonts w:cs="Arial"/>
        </w:rPr>
        <w:t>revascularization</w:t>
      </w:r>
      <w:r w:rsidR="000B19E7">
        <w:rPr>
          <w:rFonts w:cs="Arial"/>
        </w:rPr>
        <w:t xml:space="preserve"> </w:t>
      </w:r>
      <w:r w:rsidR="0054142A">
        <w:rPr>
          <w:rFonts w:cs="Arial"/>
        </w:rPr>
        <w:t xml:space="preserve">and </w:t>
      </w:r>
      <w:r w:rsidR="009841A8">
        <w:rPr>
          <w:rFonts w:cs="Arial"/>
        </w:rPr>
        <w:t>optimal medical treatment</w:t>
      </w:r>
      <w:r w:rsidR="006204D8" w:rsidRPr="006204D8">
        <w:rPr>
          <w:rFonts w:cs="Arial"/>
        </w:rPr>
        <w:t xml:space="preserve"> </w:t>
      </w:r>
      <w:r w:rsidR="008972F6">
        <w:rPr>
          <w:rFonts w:cs="Arial"/>
        </w:rPr>
        <w:t xml:space="preserve">options </w:t>
      </w:r>
      <w:r w:rsidR="008013C7">
        <w:rPr>
          <w:rFonts w:cs="Arial"/>
        </w:rPr>
        <w:t>a</w:t>
      </w:r>
      <w:r w:rsidR="006204D8">
        <w:rPr>
          <w:rFonts w:cs="Arial"/>
        </w:rPr>
        <w:t>re exhausted</w:t>
      </w:r>
      <w:r w:rsidR="001C2F49">
        <w:rPr>
          <w:rFonts w:cs="Arial"/>
        </w:rPr>
        <w:t>.</w:t>
      </w:r>
      <w:r w:rsidR="000232B8">
        <w:rPr>
          <w:rFonts w:cs="Arial"/>
        </w:rPr>
        <w:t xml:space="preserve"> Und</w:t>
      </w:r>
      <w:r w:rsidR="00B43CB3">
        <w:rPr>
          <w:rFonts w:cs="Arial"/>
        </w:rPr>
        <w:t>e</w:t>
      </w:r>
      <w:r w:rsidR="000232B8">
        <w:rPr>
          <w:rFonts w:cs="Arial"/>
        </w:rPr>
        <w:t>r experimental conditions</w:t>
      </w:r>
      <w:r w:rsidR="000170E6">
        <w:rPr>
          <w:rFonts w:cs="Arial"/>
        </w:rPr>
        <w:t xml:space="preserve"> oral supplementation with </w:t>
      </w:r>
      <w:r w:rsidR="00623842">
        <w:rPr>
          <w:rFonts w:cs="Arial"/>
        </w:rPr>
        <w:t>inorganic</w:t>
      </w:r>
      <w:r w:rsidR="001C2F49">
        <w:rPr>
          <w:rFonts w:cs="Arial"/>
        </w:rPr>
        <w:t xml:space="preserve"> nitrate was </w:t>
      </w:r>
      <w:r w:rsidR="00546AA5">
        <w:rPr>
          <w:rFonts w:cs="Arial"/>
        </w:rPr>
        <w:t xml:space="preserve">shown to exhibit </w:t>
      </w:r>
      <w:r w:rsidR="00A03887">
        <w:rPr>
          <w:rFonts w:cs="Arial"/>
        </w:rPr>
        <w:t>blood pressure</w:t>
      </w:r>
      <w:r w:rsidR="00546AA5">
        <w:rPr>
          <w:rFonts w:cs="Arial"/>
        </w:rPr>
        <w:t xml:space="preserve"> lowering effect</w:t>
      </w:r>
      <w:r>
        <w:rPr>
          <w:rFonts w:cs="Arial"/>
        </w:rPr>
        <w:t xml:space="preserve">, </w:t>
      </w:r>
      <w:r w:rsidR="00A03887">
        <w:rPr>
          <w:rFonts w:cs="Arial"/>
        </w:rPr>
        <w:t xml:space="preserve">and has also been shown to </w:t>
      </w:r>
      <w:r w:rsidR="00560D90">
        <w:rPr>
          <w:rFonts w:cs="Arial"/>
        </w:rPr>
        <w:t xml:space="preserve">promote </w:t>
      </w:r>
      <w:r>
        <w:rPr>
          <w:rFonts w:cs="Arial"/>
        </w:rPr>
        <w:t>angiogenesis,</w:t>
      </w:r>
      <w:r w:rsidR="00546AA5">
        <w:rPr>
          <w:rFonts w:cs="Arial"/>
        </w:rPr>
        <w:t xml:space="preserve"> improve endothelial dysfunction</w:t>
      </w:r>
      <w:r w:rsidR="00560D90">
        <w:rPr>
          <w:rFonts w:cs="Arial"/>
        </w:rPr>
        <w:t xml:space="preserve"> and mitochondrial efficiency in skeletal muscle.</w:t>
      </w:r>
      <w:r w:rsidR="00A03887">
        <w:rPr>
          <w:rFonts w:cs="Arial"/>
        </w:rPr>
        <w:t xml:space="preserve"> It is unknown whether similar changes occur in cardiac muscle.</w:t>
      </w:r>
      <w:r w:rsidR="00560D90">
        <w:rPr>
          <w:rFonts w:cs="Arial"/>
        </w:rPr>
        <w:t xml:space="preserve"> In the current study we investigate whether oral sodium</w:t>
      </w:r>
      <w:r w:rsidR="002B07BB">
        <w:rPr>
          <w:rFonts w:cs="Arial"/>
        </w:rPr>
        <w:t xml:space="preserve"> nitrate</w:t>
      </w:r>
      <w:r w:rsidR="00560D90">
        <w:rPr>
          <w:rFonts w:cs="Arial"/>
        </w:rPr>
        <w:t xml:space="preserve"> treatment will improve </w:t>
      </w:r>
      <w:r w:rsidR="00DA1DC8">
        <w:rPr>
          <w:rFonts w:cs="Arial"/>
        </w:rPr>
        <w:t>myocardial ischaemia in patients with sta</w:t>
      </w:r>
      <w:r w:rsidR="00B43CB3">
        <w:rPr>
          <w:rFonts w:cs="Arial"/>
        </w:rPr>
        <w:t>bl</w:t>
      </w:r>
      <w:r w:rsidR="00DA1DC8">
        <w:rPr>
          <w:rFonts w:cs="Arial"/>
        </w:rPr>
        <w:t xml:space="preserve">e angina. </w:t>
      </w:r>
    </w:p>
    <w:p w14:paraId="0E9B8846" w14:textId="77777777" w:rsidR="0005639B" w:rsidRPr="00401306" w:rsidRDefault="009874BF" w:rsidP="007C7A49">
      <w:pPr>
        <w:pStyle w:val="Heading2"/>
        <w:rPr>
          <w:rFonts w:asciiTheme="minorHAnsi" w:hAnsiTheme="minorHAnsi" w:cs="Arial"/>
        </w:rPr>
      </w:pPr>
      <w:r>
        <w:rPr>
          <w:rFonts w:asciiTheme="minorHAnsi" w:hAnsiTheme="minorHAnsi" w:cs="Arial"/>
        </w:rPr>
        <w:t>Background</w:t>
      </w:r>
    </w:p>
    <w:p w14:paraId="7FC7A5F0" w14:textId="58E02097" w:rsidR="0005639B" w:rsidRPr="00401306" w:rsidRDefault="0005639B" w:rsidP="007C7A49">
      <w:pPr>
        <w:spacing w:line="480" w:lineRule="auto"/>
        <w:rPr>
          <w:rFonts w:cs="Arial"/>
        </w:rPr>
      </w:pPr>
      <w:r w:rsidRPr="00401306">
        <w:rPr>
          <w:rFonts w:cs="Arial"/>
        </w:rPr>
        <w:t xml:space="preserve">In 2013 </w:t>
      </w:r>
      <w:r>
        <w:rPr>
          <w:rFonts w:cs="Arial"/>
        </w:rPr>
        <w:t xml:space="preserve">the </w:t>
      </w:r>
      <w:r w:rsidRPr="00401306">
        <w:rPr>
          <w:rFonts w:cs="Arial"/>
        </w:rPr>
        <w:t xml:space="preserve">British Heart Foundation reported </w:t>
      </w:r>
      <w:r>
        <w:rPr>
          <w:rFonts w:cs="Arial"/>
        </w:rPr>
        <w:t xml:space="preserve">that </w:t>
      </w:r>
      <w:r w:rsidRPr="00401306">
        <w:rPr>
          <w:rFonts w:cs="Arial"/>
        </w:rPr>
        <w:t>2.3 million patients</w:t>
      </w:r>
      <w:r>
        <w:rPr>
          <w:rFonts w:cs="Arial"/>
        </w:rPr>
        <w:t xml:space="preserve"> (3.5% of the population) </w:t>
      </w:r>
      <w:r w:rsidRPr="00401306">
        <w:rPr>
          <w:rFonts w:cs="Arial"/>
        </w:rPr>
        <w:t xml:space="preserve">were registered with the diagnosis of angina in the United Kingdom </w:t>
      </w:r>
      <w:r w:rsidRPr="00401306">
        <w:rPr>
          <w:rFonts w:cs="Arial"/>
        </w:rPr>
        <w:fldChar w:fldCharType="begin"/>
      </w:r>
      <w:r w:rsidRPr="00401306">
        <w:rPr>
          <w:rFonts w:cs="Arial"/>
        </w:rPr>
        <w:instrText>ADDIN RW.CITE{{918 BritishHeartFoundation [No Information]}}</w:instrText>
      </w:r>
      <w:r w:rsidRPr="00401306">
        <w:rPr>
          <w:rFonts w:cs="Arial"/>
        </w:rPr>
        <w:fldChar w:fldCharType="separate"/>
      </w:r>
      <w:r w:rsidR="00067D24" w:rsidRPr="00067D24">
        <w:rPr>
          <w:rFonts w:cs="Arial"/>
        </w:rPr>
        <w:t>[1]</w:t>
      </w:r>
      <w:r w:rsidRPr="00401306">
        <w:rPr>
          <w:rFonts w:cs="Arial"/>
        </w:rPr>
        <w:fldChar w:fldCharType="end"/>
      </w:r>
      <w:r w:rsidRPr="00401306">
        <w:rPr>
          <w:rFonts w:cs="Arial"/>
        </w:rPr>
        <w:t>. Despite impressive advances in revascularization options and optimal medical treatment over the last two decades, a significa</w:t>
      </w:r>
      <w:r w:rsidR="00086DEA">
        <w:rPr>
          <w:rFonts w:cs="Arial"/>
        </w:rPr>
        <w:t xml:space="preserve">nt number of patients continue </w:t>
      </w:r>
      <w:r w:rsidRPr="00401306">
        <w:rPr>
          <w:rFonts w:cs="Arial"/>
        </w:rPr>
        <w:t xml:space="preserve">to suffer </w:t>
      </w:r>
      <w:r w:rsidR="00CA5691">
        <w:rPr>
          <w:rFonts w:cs="Arial"/>
        </w:rPr>
        <w:t>from</w:t>
      </w:r>
      <w:r w:rsidRPr="00401306">
        <w:rPr>
          <w:rFonts w:cs="Arial"/>
        </w:rPr>
        <w:t xml:space="preserve"> limiting angina. With improving survival and active life-style clinicians increasingly encounter patients 10-20 years after their initial</w:t>
      </w:r>
      <w:r w:rsidR="00A2719D">
        <w:rPr>
          <w:rFonts w:cs="Arial"/>
        </w:rPr>
        <w:t xml:space="preserve"> revascularization procedure</w:t>
      </w:r>
      <w:r>
        <w:rPr>
          <w:rFonts w:cs="Arial"/>
        </w:rPr>
        <w:t xml:space="preserve"> in wh</w:t>
      </w:r>
      <w:r w:rsidRPr="0037392A">
        <w:rPr>
          <w:rFonts w:cs="Arial"/>
        </w:rPr>
        <w:t>om repeat revascularization is not possible or only to a limited extent. Current first line a</w:t>
      </w:r>
      <w:r w:rsidRPr="00401306">
        <w:rPr>
          <w:rFonts w:cs="Arial"/>
        </w:rPr>
        <w:t>nti-</w:t>
      </w:r>
      <w:proofErr w:type="spellStart"/>
      <w:r w:rsidRPr="00401306">
        <w:rPr>
          <w:rFonts w:cs="Arial"/>
        </w:rPr>
        <w:t>anginal</w:t>
      </w:r>
      <w:proofErr w:type="spellEnd"/>
      <w:r w:rsidRPr="00401306">
        <w:rPr>
          <w:rFonts w:cs="Arial"/>
        </w:rPr>
        <w:t xml:space="preserve"> drugs are very effective, but in some patients their use can be precluded due to side effects (especially in pre</w:t>
      </w:r>
      <w:r w:rsidR="00016FD6">
        <w:rPr>
          <w:rFonts w:cs="Arial"/>
        </w:rPr>
        <w:t>-</w:t>
      </w:r>
      <w:r w:rsidRPr="00401306">
        <w:rPr>
          <w:rFonts w:cs="Arial"/>
        </w:rPr>
        <w:t xml:space="preserve">existing bradycardia or hypotension). </w:t>
      </w:r>
    </w:p>
    <w:p w14:paraId="2935F774" w14:textId="48A2555E" w:rsidR="0005639B" w:rsidRPr="00FF2C5F" w:rsidRDefault="0005639B" w:rsidP="007C7A49">
      <w:pPr>
        <w:spacing w:line="480" w:lineRule="auto"/>
        <w:rPr>
          <w:rFonts w:cs="Arial"/>
        </w:rPr>
      </w:pPr>
      <w:r w:rsidRPr="00401306">
        <w:rPr>
          <w:rFonts w:cs="Arial"/>
        </w:rPr>
        <w:t xml:space="preserve">Over the last decade inorganic nitrate </w:t>
      </w:r>
      <w:r>
        <w:rPr>
          <w:rFonts w:cs="Arial"/>
        </w:rPr>
        <w:t>(putatively via the</w:t>
      </w:r>
      <w:r w:rsidRPr="00401306">
        <w:rPr>
          <w:rFonts w:cs="Arial"/>
        </w:rPr>
        <w:t xml:space="preserve"> nitrate-nitrite-nitric oxide pathway</w:t>
      </w:r>
      <w:r>
        <w:rPr>
          <w:rFonts w:cs="Arial"/>
        </w:rPr>
        <w:t>)</w:t>
      </w:r>
      <w:r w:rsidRPr="00401306">
        <w:rPr>
          <w:rFonts w:cs="Arial"/>
        </w:rPr>
        <w:t xml:space="preserve"> </w:t>
      </w:r>
      <w:r w:rsidR="00CA5691">
        <w:rPr>
          <w:rFonts w:cs="Arial"/>
        </w:rPr>
        <w:t>has been at the centre of considerable</w:t>
      </w:r>
      <w:r w:rsidRPr="00401306">
        <w:rPr>
          <w:rFonts w:cs="Arial"/>
        </w:rPr>
        <w:t xml:space="preserve"> interest as a potential therapeutic option for cardiovascular diseases </w:t>
      </w:r>
      <w:r w:rsidRPr="00401306">
        <w:rPr>
          <w:rFonts w:cs="Arial"/>
        </w:rPr>
        <w:fldChar w:fldCharType="begin"/>
      </w:r>
      <w:r w:rsidRPr="00401306">
        <w:rPr>
          <w:rFonts w:cs="Arial"/>
        </w:rPr>
        <w:instrText>ADDIN RW.CITE{{462 Lundberg,J.O. 2008; 848 Butler,A.R. 2008}}</w:instrText>
      </w:r>
      <w:r w:rsidRPr="00401306">
        <w:rPr>
          <w:rFonts w:cs="Arial"/>
        </w:rPr>
        <w:fldChar w:fldCharType="separate"/>
      </w:r>
      <w:r w:rsidR="00067D24" w:rsidRPr="00067D24">
        <w:rPr>
          <w:rFonts w:eastAsia="Times New Roman" w:cs="Arial"/>
        </w:rPr>
        <w:t>[2</w:t>
      </w:r>
      <w:proofErr w:type="gramStart"/>
      <w:r w:rsidR="00067D24" w:rsidRPr="00067D24">
        <w:rPr>
          <w:rFonts w:eastAsia="Times New Roman" w:cs="Arial"/>
        </w:rPr>
        <w:t>,3</w:t>
      </w:r>
      <w:proofErr w:type="gramEnd"/>
      <w:r w:rsidR="00067D24" w:rsidRPr="00067D24">
        <w:rPr>
          <w:rFonts w:eastAsia="Times New Roman" w:cs="Arial"/>
        </w:rPr>
        <w:t>]</w:t>
      </w:r>
      <w:r w:rsidRPr="00401306">
        <w:rPr>
          <w:rFonts w:cs="Arial"/>
        </w:rPr>
        <w:fldChar w:fldCharType="end"/>
      </w:r>
      <w:r w:rsidRPr="00401306">
        <w:rPr>
          <w:rFonts w:cs="Arial"/>
        </w:rPr>
        <w:t>.</w:t>
      </w:r>
      <w:r w:rsidR="00850710">
        <w:rPr>
          <w:rFonts w:cs="Arial"/>
        </w:rPr>
        <w:t xml:space="preserve"> T</w:t>
      </w:r>
      <w:r>
        <w:rPr>
          <w:rFonts w:cs="Arial"/>
        </w:rPr>
        <w:t xml:space="preserve">he </w:t>
      </w:r>
      <w:r w:rsidRPr="00401306">
        <w:rPr>
          <w:rFonts w:cs="Arial"/>
        </w:rPr>
        <w:t xml:space="preserve">human body is able to produce endogenous nitrite and nitrate via oxidation of nitric oxide originating from nitric oxide syntheses (NOSs). However the major source of the body storage pool comes from diet. Beetroot and leafy green vegetables are especially rich in inorganic nitrate. </w:t>
      </w:r>
      <w:r w:rsidR="00CA5691">
        <w:rPr>
          <w:rFonts w:cs="Arial"/>
        </w:rPr>
        <w:t>Inorganic nitrate is actively tran</w:t>
      </w:r>
      <w:r w:rsidR="00CA5691" w:rsidRPr="000A0CF8">
        <w:rPr>
          <w:rFonts w:cs="Arial"/>
        </w:rPr>
        <w:t xml:space="preserve">sported into the salivary glands and secreted into the saliva. Salivary bacteria reduce the nitrate into nitrite. This is in turn reduced to nitric oxide </w:t>
      </w:r>
      <w:r w:rsidR="00BB7309" w:rsidRPr="000A0CF8">
        <w:rPr>
          <w:rFonts w:cs="Arial"/>
        </w:rPr>
        <w:t xml:space="preserve">in the </w:t>
      </w:r>
      <w:r w:rsidR="00E119D9" w:rsidRPr="000A0CF8">
        <w:rPr>
          <w:rFonts w:cs="Arial"/>
        </w:rPr>
        <w:t xml:space="preserve">stomach, an effect which is facilitated by the presence of low </w:t>
      </w:r>
      <w:proofErr w:type="spellStart"/>
      <w:r w:rsidR="00E119D9" w:rsidRPr="000A0CF8">
        <w:rPr>
          <w:rFonts w:cs="Arial"/>
        </w:rPr>
        <w:t>pH</w:t>
      </w:r>
      <w:r w:rsidR="000F526D">
        <w:rPr>
          <w:rFonts w:cs="Arial"/>
        </w:rPr>
        <w:t>.</w:t>
      </w:r>
      <w:proofErr w:type="spellEnd"/>
      <w:r w:rsidR="000F526D">
        <w:rPr>
          <w:rFonts w:cs="Arial"/>
        </w:rPr>
        <w:t xml:space="preserve"> This effect of oral nitrate load on stomach </w:t>
      </w:r>
      <w:r w:rsidR="000F526D">
        <w:rPr>
          <w:rFonts w:cs="Arial"/>
        </w:rPr>
        <w:lastRenderedPageBreak/>
        <w:t>nitric oxide production has been elegantly demonstrated by</w:t>
      </w:r>
      <w:r w:rsidR="000F526D" w:rsidRPr="000F526D">
        <w:t xml:space="preserve"> </w:t>
      </w:r>
      <w:proofErr w:type="spellStart"/>
      <w:r w:rsidR="000F526D" w:rsidRPr="000F526D">
        <w:rPr>
          <w:rFonts w:cs="Arial"/>
        </w:rPr>
        <w:t>Spieglhalder</w:t>
      </w:r>
      <w:proofErr w:type="spellEnd"/>
      <w:r w:rsidR="000F526D">
        <w:rPr>
          <w:rFonts w:cs="Arial"/>
        </w:rPr>
        <w:t xml:space="preserve"> et al</w:t>
      </w:r>
      <w:r w:rsidR="000F526D" w:rsidRPr="000F526D">
        <w:rPr>
          <w:rFonts w:cs="Arial"/>
        </w:rPr>
        <w:t>, Benjamin</w:t>
      </w:r>
      <w:r w:rsidR="000F526D">
        <w:rPr>
          <w:rFonts w:cs="Arial"/>
        </w:rPr>
        <w:t xml:space="preserve"> et al</w:t>
      </w:r>
      <w:r w:rsidR="000F526D" w:rsidRPr="000F526D">
        <w:rPr>
          <w:rFonts w:cs="Arial"/>
        </w:rPr>
        <w:t xml:space="preserve"> and Lundberg</w:t>
      </w:r>
      <w:r w:rsidR="000F526D">
        <w:rPr>
          <w:rFonts w:cs="Arial"/>
        </w:rPr>
        <w:t xml:space="preserve"> et </w:t>
      </w:r>
      <w:proofErr w:type="gramStart"/>
      <w:r w:rsidR="000F526D">
        <w:rPr>
          <w:rFonts w:cs="Arial"/>
        </w:rPr>
        <w:t>al</w:t>
      </w:r>
      <w:proofErr w:type="gramEnd"/>
      <w:r w:rsidR="00F51CE4">
        <w:rPr>
          <w:rFonts w:cs="Arial"/>
        </w:rPr>
        <w:fldChar w:fldCharType="begin"/>
      </w:r>
      <w:r w:rsidR="00F51CE4">
        <w:rPr>
          <w:rFonts w:cs="Arial"/>
        </w:rPr>
        <w:instrText>ADDIN RW.CITE{{1006 Spiegelhalder,B. 1976; 1005 Benjamin,N. 1994; 1004 Lundberg,J.O. 1994}}</w:instrText>
      </w:r>
      <w:r w:rsidR="00F51CE4">
        <w:rPr>
          <w:rFonts w:cs="Arial"/>
        </w:rPr>
        <w:fldChar w:fldCharType="separate"/>
      </w:r>
      <w:r w:rsidR="00067D24" w:rsidRPr="00067D24">
        <w:rPr>
          <w:rFonts w:ascii="Calibri" w:hAnsi="Calibri" w:cs="Arial"/>
          <w:color w:val="FF0000"/>
        </w:rPr>
        <w:t>[4-6]</w:t>
      </w:r>
      <w:r w:rsidR="00F51CE4">
        <w:rPr>
          <w:rFonts w:cs="Arial"/>
        </w:rPr>
        <w:fldChar w:fldCharType="end"/>
      </w:r>
      <w:r w:rsidR="00E119D9" w:rsidRPr="000A0CF8">
        <w:rPr>
          <w:rFonts w:cs="Arial"/>
        </w:rPr>
        <w:t xml:space="preserve">. </w:t>
      </w:r>
      <w:r w:rsidR="004B3274" w:rsidRPr="000A0CF8">
        <w:rPr>
          <w:rFonts w:cs="Arial"/>
        </w:rPr>
        <w:t xml:space="preserve">The nitric oxide and some of the remaining nitrite is absorbed in the upper small intestine and reaches all tissues via circulation presumably via conversion back to nitrite which is more stable. </w:t>
      </w:r>
      <w:r w:rsidRPr="000A0CF8">
        <w:rPr>
          <w:rFonts w:cs="Arial"/>
        </w:rPr>
        <w:t xml:space="preserve">Intravenous </w:t>
      </w:r>
      <w:r w:rsidRPr="00401306">
        <w:rPr>
          <w:rFonts w:cs="Arial"/>
        </w:rPr>
        <w:t xml:space="preserve">nitrite (the main metabolite of inorganic nitrate) is a potent vasodilator under hypoxia, but only </w:t>
      </w:r>
      <w:r>
        <w:rPr>
          <w:rFonts w:cs="Arial"/>
        </w:rPr>
        <w:t xml:space="preserve">a </w:t>
      </w:r>
      <w:r w:rsidRPr="00401306">
        <w:rPr>
          <w:rFonts w:cs="Arial"/>
        </w:rPr>
        <w:t xml:space="preserve">modest vasodilator under </w:t>
      </w:r>
      <w:proofErr w:type="spellStart"/>
      <w:r w:rsidRPr="00401306">
        <w:rPr>
          <w:rFonts w:cs="Arial"/>
        </w:rPr>
        <w:t>normoxia</w:t>
      </w:r>
      <w:proofErr w:type="spellEnd"/>
      <w:r w:rsidR="00CB1597">
        <w:rPr>
          <w:rFonts w:cs="Arial"/>
        </w:rPr>
        <w:t xml:space="preserve">, an effect demonstrated first by Cosby et al and </w:t>
      </w:r>
      <w:r w:rsidR="00F5509A">
        <w:rPr>
          <w:rFonts w:cs="Arial"/>
        </w:rPr>
        <w:t xml:space="preserve">later </w:t>
      </w:r>
      <w:r w:rsidR="005F7ECE">
        <w:rPr>
          <w:rFonts w:cs="Arial"/>
        </w:rPr>
        <w:t>confirmed by</w:t>
      </w:r>
      <w:r w:rsidR="00CB1597">
        <w:rPr>
          <w:rFonts w:cs="Arial"/>
        </w:rPr>
        <w:t xml:space="preserve"> other</w:t>
      </w:r>
      <w:r w:rsidR="00CB1597" w:rsidRPr="00F5509A">
        <w:rPr>
          <w:rFonts w:cs="Arial"/>
          <w:color w:val="FF0000"/>
        </w:rPr>
        <w:t xml:space="preserve">s </w:t>
      </w:r>
      <w:r w:rsidRPr="00F5509A">
        <w:rPr>
          <w:rFonts w:cs="Arial"/>
          <w:color w:val="FF0000"/>
        </w:rPr>
        <w:fldChar w:fldCharType="begin"/>
      </w:r>
      <w:r w:rsidR="00F5509A" w:rsidRPr="00F5509A">
        <w:rPr>
          <w:rFonts w:cs="Arial"/>
          <w:color w:val="FF0000"/>
        </w:rPr>
        <w:instrText>ADDIN RW.CITE{{468 Cosby,K. 2003; 572 Maher,A.R. 2008; 919 Ingram,T.E. 2010}}</w:instrText>
      </w:r>
      <w:r w:rsidRPr="00F5509A">
        <w:rPr>
          <w:rFonts w:cs="Arial"/>
          <w:color w:val="FF0000"/>
        </w:rPr>
        <w:fldChar w:fldCharType="separate"/>
      </w:r>
      <w:r w:rsidR="00067D24" w:rsidRPr="00067D24">
        <w:rPr>
          <w:rFonts w:cs="Arial"/>
          <w:color w:val="FF0000"/>
        </w:rPr>
        <w:t>[7-9]</w:t>
      </w:r>
      <w:r w:rsidRPr="00F5509A">
        <w:rPr>
          <w:rFonts w:cs="Arial"/>
          <w:color w:val="FF0000"/>
        </w:rPr>
        <w:fldChar w:fldCharType="end"/>
      </w:r>
      <w:r w:rsidRPr="00401306">
        <w:rPr>
          <w:rFonts w:cs="Arial"/>
        </w:rPr>
        <w:t xml:space="preserve">.  </w:t>
      </w:r>
      <w:r>
        <w:rPr>
          <w:rFonts w:cs="Arial"/>
        </w:rPr>
        <w:t>Nitrite reduces the increase in pulmonary arterial pressure induced by hypoxia in healthy volunteers,</w:t>
      </w:r>
      <w:r w:rsidRPr="00401306">
        <w:rPr>
          <w:rFonts w:cs="Arial"/>
        </w:rPr>
        <w:t xml:space="preserve"> an </w:t>
      </w:r>
      <w:r>
        <w:rPr>
          <w:rFonts w:cs="Arial"/>
        </w:rPr>
        <w:t>effect which persisted</w:t>
      </w:r>
      <w:r w:rsidRPr="00401306">
        <w:rPr>
          <w:rFonts w:cs="Arial"/>
        </w:rPr>
        <w:t xml:space="preserve"> even one hour after cessation of nitrite infusion when plasma levels returned back to the baseline </w:t>
      </w:r>
      <w:r w:rsidRPr="00401306">
        <w:rPr>
          <w:rFonts w:cs="Arial"/>
        </w:rPr>
        <w:fldChar w:fldCharType="begin"/>
      </w:r>
      <w:r w:rsidRPr="00401306">
        <w:rPr>
          <w:rFonts w:cs="Arial"/>
        </w:rPr>
        <w:instrText>ADDIN RW.CITE{{919 Ingram,T.E. 2010}}</w:instrText>
      </w:r>
      <w:r w:rsidRPr="00401306">
        <w:rPr>
          <w:rFonts w:cs="Arial"/>
        </w:rPr>
        <w:fldChar w:fldCharType="separate"/>
      </w:r>
      <w:r w:rsidR="00067D24" w:rsidRPr="00067D24">
        <w:rPr>
          <w:rFonts w:cs="Arial"/>
        </w:rPr>
        <w:t>[9]</w:t>
      </w:r>
      <w:r w:rsidRPr="00401306">
        <w:rPr>
          <w:rFonts w:cs="Arial"/>
        </w:rPr>
        <w:fldChar w:fldCharType="end"/>
      </w:r>
      <w:r w:rsidRPr="00401306">
        <w:rPr>
          <w:rFonts w:cs="Arial"/>
        </w:rPr>
        <w:t xml:space="preserve">. A single dose of oral sodium nitrate elevated angiogenic markers and recruited circulating angiogenic cells in healthy human volunteers </w:t>
      </w:r>
      <w:r w:rsidRPr="00401306">
        <w:rPr>
          <w:rFonts w:cs="Arial"/>
        </w:rPr>
        <w:fldChar w:fldCharType="begin"/>
      </w:r>
      <w:r w:rsidRPr="00401306">
        <w:rPr>
          <w:rFonts w:cs="Arial"/>
        </w:rPr>
        <w:instrText>ADDIN RW.CITE{{880 Heiss,C. 2012}}</w:instrText>
      </w:r>
      <w:r w:rsidRPr="00401306">
        <w:rPr>
          <w:rFonts w:cs="Arial"/>
        </w:rPr>
        <w:fldChar w:fldCharType="separate"/>
      </w:r>
      <w:r w:rsidR="00067D24" w:rsidRPr="00067D24">
        <w:rPr>
          <w:rFonts w:cs="Arial"/>
        </w:rPr>
        <w:t>[10]</w:t>
      </w:r>
      <w:r w:rsidRPr="00401306">
        <w:rPr>
          <w:rFonts w:cs="Arial"/>
        </w:rPr>
        <w:fldChar w:fldCharType="end"/>
      </w:r>
      <w:r>
        <w:rPr>
          <w:rFonts w:cs="Arial"/>
        </w:rPr>
        <w:t>. I</w:t>
      </w:r>
      <w:r w:rsidRPr="00401306">
        <w:rPr>
          <w:rFonts w:cs="Arial"/>
        </w:rPr>
        <w:t>mproved angiogenesis was confirmed in an experimental animal model of chronic hind limb ischaemia followi</w:t>
      </w:r>
      <w:r>
        <w:rPr>
          <w:rFonts w:cs="Arial"/>
        </w:rPr>
        <w:t xml:space="preserve">ng chronic oral supplementation </w:t>
      </w:r>
      <w:r w:rsidRPr="00401306">
        <w:rPr>
          <w:rFonts w:cs="Arial"/>
        </w:rPr>
        <w:fldChar w:fldCharType="begin"/>
      </w:r>
      <w:r w:rsidRPr="00401306">
        <w:rPr>
          <w:rFonts w:cs="Arial"/>
        </w:rPr>
        <w:instrText>ADDIN RW.CITE{{668 Hendgen-Cotta,U.B. 2012}}</w:instrText>
      </w:r>
      <w:r w:rsidRPr="00401306">
        <w:rPr>
          <w:rFonts w:cs="Arial"/>
        </w:rPr>
        <w:fldChar w:fldCharType="separate"/>
      </w:r>
      <w:r w:rsidR="00067D24" w:rsidRPr="00067D24">
        <w:rPr>
          <w:rFonts w:cs="Arial"/>
        </w:rPr>
        <w:t>[11]</w:t>
      </w:r>
      <w:r w:rsidRPr="00401306">
        <w:rPr>
          <w:rFonts w:cs="Arial"/>
        </w:rPr>
        <w:fldChar w:fldCharType="end"/>
      </w:r>
      <w:r w:rsidRPr="00401306">
        <w:rPr>
          <w:rFonts w:cs="Arial"/>
        </w:rPr>
        <w:t xml:space="preserve">. </w:t>
      </w:r>
      <w:r w:rsidR="003058FE">
        <w:rPr>
          <w:rFonts w:cs="Arial"/>
        </w:rPr>
        <w:t xml:space="preserve">Recently </w:t>
      </w:r>
      <w:r w:rsidRPr="00401306">
        <w:rPr>
          <w:rFonts w:cs="Arial"/>
        </w:rPr>
        <w:t xml:space="preserve">four week supplementation with sodium nitrate </w:t>
      </w:r>
      <w:r>
        <w:rPr>
          <w:rFonts w:cs="Arial"/>
        </w:rPr>
        <w:t>resulted in</w:t>
      </w:r>
      <w:r w:rsidRPr="00401306">
        <w:rPr>
          <w:rFonts w:cs="Arial"/>
        </w:rPr>
        <w:t xml:space="preserve"> improved endothelial dysfunction when assessed by brachial artery flow mediated vasodilation and </w:t>
      </w:r>
      <w:r w:rsidR="00F2568B">
        <w:rPr>
          <w:rFonts w:cs="Arial"/>
        </w:rPr>
        <w:t xml:space="preserve">also reduce </w:t>
      </w:r>
      <w:r w:rsidRPr="00401306">
        <w:rPr>
          <w:rFonts w:cs="Arial"/>
        </w:rPr>
        <w:t xml:space="preserve">arterial stiffness </w:t>
      </w:r>
      <w:r w:rsidR="003058FE">
        <w:rPr>
          <w:rFonts w:cs="Arial"/>
        </w:rPr>
        <w:t xml:space="preserve">in an elderly </w:t>
      </w:r>
      <w:proofErr w:type="gramStart"/>
      <w:r w:rsidR="003058FE">
        <w:rPr>
          <w:rFonts w:cs="Arial"/>
        </w:rPr>
        <w:t>population</w:t>
      </w:r>
      <w:proofErr w:type="gramEnd"/>
      <w:r w:rsidRPr="00401306">
        <w:rPr>
          <w:rFonts w:cs="Arial"/>
        </w:rPr>
        <w:fldChar w:fldCharType="begin"/>
      </w:r>
      <w:r w:rsidRPr="00401306">
        <w:rPr>
          <w:rFonts w:cs="Arial"/>
        </w:rPr>
        <w:instrText>ADDIN RW.CITE{{883 Rammos,C. 2014}}</w:instrText>
      </w:r>
      <w:r w:rsidRPr="00401306">
        <w:rPr>
          <w:rFonts w:cs="Arial"/>
        </w:rPr>
        <w:fldChar w:fldCharType="separate"/>
      </w:r>
      <w:r w:rsidR="00067D24" w:rsidRPr="00067D24">
        <w:rPr>
          <w:rFonts w:cs="Arial"/>
        </w:rPr>
        <w:t>[12]</w:t>
      </w:r>
      <w:r w:rsidRPr="00401306">
        <w:rPr>
          <w:rFonts w:cs="Arial"/>
        </w:rPr>
        <w:fldChar w:fldCharType="end"/>
      </w:r>
      <w:r w:rsidRPr="00401306">
        <w:rPr>
          <w:rFonts w:cs="Arial"/>
        </w:rPr>
        <w:t>.</w:t>
      </w:r>
      <w:r w:rsidR="005F7ECE">
        <w:rPr>
          <w:rFonts w:cs="Arial"/>
        </w:rPr>
        <w:t xml:space="preserve"> </w:t>
      </w:r>
      <w:r w:rsidR="005F7ECE">
        <w:rPr>
          <w:rFonts w:cs="Arial"/>
        </w:rPr>
        <w:t xml:space="preserve">A beneficial effect </w:t>
      </w:r>
      <w:r w:rsidR="0000506E">
        <w:rPr>
          <w:rFonts w:cs="Arial"/>
        </w:rPr>
        <w:t xml:space="preserve">of inorganic nitrate or beetroot supplementation </w:t>
      </w:r>
      <w:r w:rsidR="005F7ECE">
        <w:rPr>
          <w:rFonts w:cs="Arial"/>
        </w:rPr>
        <w:t xml:space="preserve">on endothelial function </w:t>
      </w:r>
      <w:r w:rsidR="0000506E">
        <w:rPr>
          <w:rFonts w:cs="Arial"/>
        </w:rPr>
        <w:t xml:space="preserve">was reported by a recent </w:t>
      </w:r>
      <w:proofErr w:type="spellStart"/>
      <w:r w:rsidR="0000506E">
        <w:rPr>
          <w:rFonts w:cs="Arial"/>
        </w:rPr>
        <w:t>metanalysis</w:t>
      </w:r>
      <w:proofErr w:type="spellEnd"/>
      <w:r w:rsidR="0000506E">
        <w:rPr>
          <w:rFonts w:cs="Arial"/>
        </w:rPr>
        <w:t xml:space="preserve"> </w:t>
      </w:r>
      <w:r w:rsidR="0000506E">
        <w:rPr>
          <w:rFonts w:cs="Arial"/>
        </w:rPr>
        <w:fldChar w:fldCharType="begin"/>
      </w:r>
      <w:r w:rsidR="0000506E">
        <w:rPr>
          <w:rFonts w:cs="Arial"/>
        </w:rPr>
        <w:instrText>ADDIN RW.CITE{{1008 Lara,J. 2016}}</w:instrText>
      </w:r>
      <w:r w:rsidR="0000506E">
        <w:rPr>
          <w:rFonts w:cs="Arial"/>
        </w:rPr>
        <w:fldChar w:fldCharType="separate"/>
      </w:r>
      <w:r w:rsidR="00067D24" w:rsidRPr="00067D24">
        <w:rPr>
          <w:rFonts w:ascii="Calibri" w:hAnsi="Calibri" w:cs="Arial"/>
          <w:color w:val="FF0000"/>
        </w:rPr>
        <w:t>[13]</w:t>
      </w:r>
      <w:r w:rsidR="0000506E">
        <w:rPr>
          <w:rFonts w:cs="Arial"/>
        </w:rPr>
        <w:fldChar w:fldCharType="end"/>
      </w:r>
      <w:r w:rsidR="0000506E">
        <w:rPr>
          <w:rFonts w:cs="Arial"/>
        </w:rPr>
        <w:t>.</w:t>
      </w:r>
      <w:r w:rsidR="0000506E">
        <w:rPr>
          <w:rFonts w:cs="Arial"/>
        </w:rPr>
        <w:t xml:space="preserve"> </w:t>
      </w:r>
      <w:r w:rsidR="00ED613E">
        <w:rPr>
          <w:rFonts w:cs="Arial"/>
        </w:rPr>
        <w:t>A</w:t>
      </w:r>
      <w:r w:rsidR="0081773C">
        <w:rPr>
          <w:rFonts w:cs="Arial"/>
        </w:rPr>
        <w:t>nother</w:t>
      </w:r>
      <w:r w:rsidRPr="00401306">
        <w:rPr>
          <w:rFonts w:cs="Arial"/>
        </w:rPr>
        <w:t xml:space="preserve"> recent meta-analysis </w:t>
      </w:r>
      <w:r w:rsidR="00935F23">
        <w:rPr>
          <w:rFonts w:cs="Arial"/>
        </w:rPr>
        <w:t>(</w:t>
      </w:r>
      <w:r w:rsidR="00C157D0">
        <w:rPr>
          <w:rFonts w:cs="Arial"/>
        </w:rPr>
        <w:t xml:space="preserve">total number of participants </w:t>
      </w:r>
      <w:r w:rsidR="00935F23">
        <w:rPr>
          <w:rFonts w:cs="Arial"/>
        </w:rPr>
        <w:t>n=254</w:t>
      </w:r>
      <w:r w:rsidR="00C157D0">
        <w:rPr>
          <w:rFonts w:cs="Arial"/>
        </w:rPr>
        <w:t>, 7-30 participants per study</w:t>
      </w:r>
      <w:r w:rsidR="00935F23">
        <w:rPr>
          <w:rFonts w:cs="Arial"/>
        </w:rPr>
        <w:t xml:space="preserve">) </w:t>
      </w:r>
      <w:r w:rsidRPr="00401306">
        <w:rPr>
          <w:rFonts w:cs="Arial"/>
        </w:rPr>
        <w:t>suggests</w:t>
      </w:r>
      <w:r w:rsidR="00184DCF">
        <w:rPr>
          <w:rFonts w:cs="Arial"/>
        </w:rPr>
        <w:t xml:space="preserve"> that a dose of 300 to 600mg of s</w:t>
      </w:r>
      <w:r w:rsidR="00F521B5">
        <w:rPr>
          <w:rFonts w:cs="Arial"/>
        </w:rPr>
        <w:t>odium nitrate</w:t>
      </w:r>
      <w:r w:rsidR="00B906C7">
        <w:rPr>
          <w:rFonts w:cs="Arial"/>
        </w:rPr>
        <w:t xml:space="preserve"> </w:t>
      </w:r>
      <w:r w:rsidR="00F521B5">
        <w:rPr>
          <w:rFonts w:cs="Arial"/>
        </w:rPr>
        <w:t xml:space="preserve">modestly </w:t>
      </w:r>
      <w:r w:rsidR="00F2568B">
        <w:rPr>
          <w:rFonts w:cs="Arial"/>
        </w:rPr>
        <w:t xml:space="preserve">reduces </w:t>
      </w:r>
      <w:r w:rsidR="00F521B5">
        <w:rPr>
          <w:rFonts w:cs="Arial"/>
        </w:rPr>
        <w:t>blood pressure</w:t>
      </w:r>
      <w:r w:rsidRPr="00401306">
        <w:rPr>
          <w:rFonts w:cs="Arial"/>
        </w:rPr>
        <w:t xml:space="preserve"> </w:t>
      </w:r>
      <w:r w:rsidRPr="00401306">
        <w:rPr>
          <w:rFonts w:cs="Arial"/>
        </w:rPr>
        <w:fldChar w:fldCharType="begin"/>
      </w:r>
      <w:r w:rsidRPr="00401306">
        <w:rPr>
          <w:rFonts w:cs="Arial"/>
        </w:rPr>
        <w:instrText>ADDIN RW.CITE{{771 Siervo,M. 2013}}</w:instrText>
      </w:r>
      <w:r w:rsidRPr="00401306">
        <w:rPr>
          <w:rFonts w:cs="Arial"/>
        </w:rPr>
        <w:fldChar w:fldCharType="separate"/>
      </w:r>
      <w:r w:rsidR="00067D24" w:rsidRPr="00067D24">
        <w:rPr>
          <w:rFonts w:cs="Arial"/>
        </w:rPr>
        <w:t>[14]</w:t>
      </w:r>
      <w:r w:rsidRPr="00401306">
        <w:rPr>
          <w:rFonts w:cs="Arial"/>
        </w:rPr>
        <w:fldChar w:fldCharType="end"/>
      </w:r>
      <w:r w:rsidRPr="00401306">
        <w:rPr>
          <w:rFonts w:cs="Arial"/>
        </w:rPr>
        <w:t xml:space="preserve">. </w:t>
      </w:r>
      <w:r w:rsidR="00050264">
        <w:rPr>
          <w:rFonts w:cs="Arial"/>
        </w:rPr>
        <w:t xml:space="preserve">In this </w:t>
      </w:r>
      <w:proofErr w:type="spellStart"/>
      <w:r w:rsidR="00050264">
        <w:rPr>
          <w:rFonts w:cs="Arial"/>
        </w:rPr>
        <w:t>metanalysis</w:t>
      </w:r>
      <w:proofErr w:type="spellEnd"/>
      <w:r w:rsidR="00050264">
        <w:rPr>
          <w:rFonts w:cs="Arial"/>
        </w:rPr>
        <w:t xml:space="preserve"> of </w:t>
      </w:r>
      <w:r w:rsidR="00C157D0">
        <w:rPr>
          <w:rFonts w:cs="Arial"/>
        </w:rPr>
        <w:t xml:space="preserve">inorganic nitrate and beetroot supplementation was associated with grater mean changes in systolic BP (-4.4 mmHg, p&lt;0.001) than diastolic BP (-1.1 mmHg, p=0.06). </w:t>
      </w:r>
      <w:r w:rsidRPr="00401306">
        <w:rPr>
          <w:rFonts w:cs="Arial"/>
        </w:rPr>
        <w:t xml:space="preserve">Oral inorganic nitrate </w:t>
      </w:r>
      <w:r w:rsidR="00F2568B">
        <w:rPr>
          <w:rFonts w:cs="Arial"/>
        </w:rPr>
        <w:t xml:space="preserve">supplementation </w:t>
      </w:r>
      <w:r w:rsidRPr="00401306">
        <w:rPr>
          <w:rFonts w:cs="Arial"/>
        </w:rPr>
        <w:t xml:space="preserve">was shown to </w:t>
      </w:r>
      <w:r w:rsidR="008F102B">
        <w:rPr>
          <w:rFonts w:cs="Arial"/>
        </w:rPr>
        <w:t>reduce</w:t>
      </w:r>
      <w:r w:rsidRPr="00401306">
        <w:rPr>
          <w:rFonts w:cs="Arial"/>
        </w:rPr>
        <w:t xml:space="preserve"> </w:t>
      </w:r>
      <w:r w:rsidR="008F102B">
        <w:rPr>
          <w:rFonts w:cs="Arial"/>
        </w:rPr>
        <w:t xml:space="preserve">the </w:t>
      </w:r>
      <w:r w:rsidRPr="00401306">
        <w:rPr>
          <w:rFonts w:cs="Arial"/>
        </w:rPr>
        <w:t>oxygen</w:t>
      </w:r>
      <w:r w:rsidR="008F102B">
        <w:rPr>
          <w:rFonts w:cs="Arial"/>
        </w:rPr>
        <w:t xml:space="preserve"> cost</w:t>
      </w:r>
      <w:r w:rsidR="00902765">
        <w:rPr>
          <w:rFonts w:cs="Arial"/>
        </w:rPr>
        <w:t xml:space="preserve"> of submaximal exercise in healthy </w:t>
      </w:r>
      <w:r w:rsidRPr="00401306">
        <w:rPr>
          <w:rFonts w:cs="Arial"/>
        </w:rPr>
        <w:t xml:space="preserve">volunteers  </w:t>
      </w:r>
      <w:r w:rsidRPr="00401306">
        <w:rPr>
          <w:rFonts w:cs="Arial"/>
        </w:rPr>
        <w:fldChar w:fldCharType="begin"/>
      </w:r>
      <w:r w:rsidRPr="00401306">
        <w:rPr>
          <w:rFonts w:cs="Arial"/>
        </w:rPr>
        <w:instrText>ADDIN RW.CITE{{460 Bailey,S.J. 2009; 459 Larsen,F.J. 2010; 881 Hoon,M.W. 2013}}</w:instrText>
      </w:r>
      <w:r w:rsidRPr="00401306">
        <w:rPr>
          <w:rFonts w:cs="Arial"/>
        </w:rPr>
        <w:fldChar w:fldCharType="separate"/>
      </w:r>
      <w:r w:rsidR="00067D24" w:rsidRPr="00067D24">
        <w:rPr>
          <w:rFonts w:cs="Arial"/>
        </w:rPr>
        <w:t>[15-17]</w:t>
      </w:r>
      <w:r w:rsidRPr="00401306">
        <w:rPr>
          <w:rFonts w:cs="Arial"/>
        </w:rPr>
        <w:fldChar w:fldCharType="end"/>
      </w:r>
      <w:r w:rsidRPr="00401306">
        <w:rPr>
          <w:rFonts w:cs="Arial"/>
        </w:rPr>
        <w:t xml:space="preserve">, to improve skeletal muscle contractile function </w:t>
      </w:r>
      <w:r w:rsidRPr="00401306">
        <w:rPr>
          <w:rFonts w:cs="Arial"/>
        </w:rPr>
        <w:fldChar w:fldCharType="begin"/>
      </w:r>
      <w:r w:rsidRPr="00401306">
        <w:rPr>
          <w:rFonts w:cs="Arial"/>
        </w:rPr>
        <w:instrText>ADDIN RW.CITE{{447 Bailey,S.J. 2010; 459 Larsen,F.J. 2010}}</w:instrText>
      </w:r>
      <w:r w:rsidRPr="00401306">
        <w:rPr>
          <w:rFonts w:cs="Arial"/>
        </w:rPr>
        <w:fldChar w:fldCharType="separate"/>
      </w:r>
      <w:r w:rsidR="00067D24" w:rsidRPr="00067D24">
        <w:rPr>
          <w:rFonts w:cs="Arial"/>
        </w:rPr>
        <w:t>[16,18]</w:t>
      </w:r>
      <w:r w:rsidRPr="00401306">
        <w:rPr>
          <w:rFonts w:cs="Arial"/>
        </w:rPr>
        <w:fldChar w:fldCharType="end"/>
      </w:r>
      <w:r w:rsidRPr="00401306">
        <w:rPr>
          <w:rFonts w:cs="Arial"/>
        </w:rPr>
        <w:t xml:space="preserve"> and skeletal muscle mitochondrial ATP production efficiency </w:t>
      </w:r>
      <w:r w:rsidRPr="00401306">
        <w:rPr>
          <w:rFonts w:cs="Arial"/>
        </w:rPr>
        <w:fldChar w:fldCharType="begin"/>
      </w:r>
      <w:r w:rsidRPr="00401306">
        <w:rPr>
          <w:rFonts w:cs="Arial"/>
        </w:rPr>
        <w:instrText>ADDIN RW.CITE{{324 Larsen,F.J. 2011}}</w:instrText>
      </w:r>
      <w:r w:rsidRPr="00401306">
        <w:rPr>
          <w:rFonts w:cs="Arial"/>
        </w:rPr>
        <w:fldChar w:fldCharType="separate"/>
      </w:r>
      <w:r w:rsidR="00067D24" w:rsidRPr="00067D24">
        <w:rPr>
          <w:rFonts w:cs="Arial"/>
        </w:rPr>
        <w:t>[19]</w:t>
      </w:r>
      <w:r w:rsidRPr="00401306">
        <w:rPr>
          <w:rFonts w:cs="Arial"/>
        </w:rPr>
        <w:fldChar w:fldCharType="end"/>
      </w:r>
      <w:r w:rsidRPr="00401306">
        <w:rPr>
          <w:rFonts w:cs="Arial"/>
        </w:rPr>
        <w:t xml:space="preserve">. </w:t>
      </w:r>
      <w:r>
        <w:rPr>
          <w:rFonts w:cs="Arial"/>
        </w:rPr>
        <w:t xml:space="preserve"> Recently improved </w:t>
      </w:r>
      <w:r w:rsidR="00902765">
        <w:rPr>
          <w:rFonts w:cs="Arial"/>
        </w:rPr>
        <w:t xml:space="preserve">skeletal </w:t>
      </w:r>
      <w:r>
        <w:rPr>
          <w:rFonts w:cs="Arial"/>
        </w:rPr>
        <w:t xml:space="preserve">muscle contractile function was documented following a single dose of oral inorganic nitrate load (11.2 </w:t>
      </w:r>
      <w:proofErr w:type="spellStart"/>
      <w:r>
        <w:rPr>
          <w:rFonts w:cs="Arial"/>
        </w:rPr>
        <w:t>mmol</w:t>
      </w:r>
      <w:proofErr w:type="spellEnd"/>
      <w:r>
        <w:rPr>
          <w:rFonts w:cs="Arial"/>
        </w:rPr>
        <w:t xml:space="preserve"> beetroot juice) in patients</w:t>
      </w:r>
      <w:r w:rsidR="00902765">
        <w:rPr>
          <w:rFonts w:cs="Arial"/>
        </w:rPr>
        <w:t xml:space="preserve"> suffering</w:t>
      </w:r>
      <w:r>
        <w:rPr>
          <w:rFonts w:cs="Arial"/>
        </w:rPr>
        <w:t xml:space="preserve"> with systolic heart failure </w:t>
      </w:r>
      <w:r>
        <w:rPr>
          <w:rFonts w:cs="Arial"/>
        </w:rPr>
        <w:fldChar w:fldCharType="begin"/>
      </w:r>
      <w:r>
        <w:rPr>
          <w:rFonts w:cs="Arial"/>
        </w:rPr>
        <w:instrText>ADDIN RW.CITE{{952 Coggan,A.R. 2015}}</w:instrText>
      </w:r>
      <w:r>
        <w:rPr>
          <w:rFonts w:cs="Arial"/>
        </w:rPr>
        <w:fldChar w:fldCharType="separate"/>
      </w:r>
      <w:r w:rsidR="00067D24" w:rsidRPr="00067D24">
        <w:rPr>
          <w:rFonts w:ascii="Calibri" w:hAnsi="Calibri" w:cs="Arial"/>
        </w:rPr>
        <w:t>[20]</w:t>
      </w:r>
      <w:r>
        <w:rPr>
          <w:rFonts w:cs="Arial"/>
        </w:rPr>
        <w:fldChar w:fldCharType="end"/>
      </w:r>
      <w:r>
        <w:rPr>
          <w:rFonts w:cs="Arial"/>
        </w:rPr>
        <w:t>.</w:t>
      </w:r>
      <w:r w:rsidR="00902765">
        <w:rPr>
          <w:rFonts w:cs="Arial"/>
        </w:rPr>
        <w:t xml:space="preserve"> It is unclear whether these effects in skeletal muscle also occur in cardiac muscle.</w:t>
      </w:r>
      <w:r w:rsidR="00FF2C5F">
        <w:rPr>
          <w:rFonts w:cs="Arial"/>
        </w:rPr>
        <w:t xml:space="preserve"> </w:t>
      </w:r>
      <w:r w:rsidR="00902765">
        <w:rPr>
          <w:rFonts w:cs="Arial"/>
        </w:rPr>
        <w:t xml:space="preserve">However these vascular and myocyte properties </w:t>
      </w:r>
      <w:r w:rsidR="00B81D7D">
        <w:rPr>
          <w:rFonts w:cs="Arial"/>
        </w:rPr>
        <w:t>would potentially be of therapeutic value</w:t>
      </w:r>
      <w:r w:rsidRPr="00401306">
        <w:rPr>
          <w:rFonts w:cs="Arial"/>
        </w:rPr>
        <w:t xml:space="preserve"> in patients suffering from angina. </w:t>
      </w:r>
    </w:p>
    <w:p w14:paraId="1662DC02" w14:textId="77777777" w:rsidR="00467168" w:rsidRDefault="007932EE" w:rsidP="007C7A49">
      <w:pPr>
        <w:pStyle w:val="Heading2"/>
        <w:rPr>
          <w:rFonts w:asciiTheme="minorHAnsi" w:hAnsiTheme="minorHAnsi"/>
        </w:rPr>
      </w:pPr>
      <w:r>
        <w:rPr>
          <w:rFonts w:asciiTheme="minorHAnsi" w:hAnsiTheme="minorHAnsi"/>
        </w:rPr>
        <w:lastRenderedPageBreak/>
        <w:t>Hypothesis</w:t>
      </w:r>
    </w:p>
    <w:p w14:paraId="699EFB69" w14:textId="73C54CEF" w:rsidR="00EC5394" w:rsidRPr="00EC5394" w:rsidRDefault="003C1FDF" w:rsidP="007C7A49">
      <w:pPr>
        <w:spacing w:line="480" w:lineRule="auto"/>
        <w:rPr>
          <w:lang w:val="en-US"/>
        </w:rPr>
      </w:pPr>
      <w:r>
        <w:rPr>
          <w:lang w:val="en-US"/>
        </w:rPr>
        <w:t>The main hypothesis is t</w:t>
      </w:r>
      <w:r w:rsidR="00EC5394">
        <w:rPr>
          <w:lang w:val="en-US"/>
        </w:rPr>
        <w:t xml:space="preserve">o assess </w:t>
      </w:r>
      <w:r w:rsidR="006324E1">
        <w:rPr>
          <w:lang w:val="en-US"/>
        </w:rPr>
        <w:t>any potential anti-</w:t>
      </w:r>
      <w:proofErr w:type="spellStart"/>
      <w:r w:rsidR="006324E1">
        <w:rPr>
          <w:lang w:val="en-US"/>
        </w:rPr>
        <w:t>ischaemia</w:t>
      </w:r>
      <w:proofErr w:type="spellEnd"/>
      <w:r w:rsidR="006324E1">
        <w:rPr>
          <w:lang w:val="en-US"/>
        </w:rPr>
        <w:t xml:space="preserve"> </w:t>
      </w:r>
      <w:r w:rsidR="00EC5394">
        <w:rPr>
          <w:lang w:val="en-US"/>
        </w:rPr>
        <w:t>effects of oral sodium nitrate treatment</w:t>
      </w:r>
      <w:r w:rsidR="00FF24A7">
        <w:rPr>
          <w:lang w:val="en-US"/>
        </w:rPr>
        <w:t xml:space="preserve"> in patients with stable angina treated with background cardiovascular and anti-</w:t>
      </w:r>
      <w:proofErr w:type="spellStart"/>
      <w:r w:rsidR="00FF24A7">
        <w:rPr>
          <w:lang w:val="en-US"/>
        </w:rPr>
        <w:t>anginal</w:t>
      </w:r>
      <w:proofErr w:type="spellEnd"/>
      <w:r w:rsidR="00FF24A7">
        <w:rPr>
          <w:lang w:val="en-US"/>
        </w:rPr>
        <w:t xml:space="preserve"> medication.</w:t>
      </w:r>
    </w:p>
    <w:p w14:paraId="131FDE50" w14:textId="77777777" w:rsidR="00346714" w:rsidRDefault="00346714" w:rsidP="007C7A49">
      <w:pPr>
        <w:spacing w:line="480" w:lineRule="auto"/>
        <w:rPr>
          <w:rFonts w:cs="Arial"/>
          <w:u w:val="single"/>
        </w:rPr>
      </w:pPr>
    </w:p>
    <w:p w14:paraId="48A05D82" w14:textId="77777777" w:rsidR="00467168" w:rsidRPr="00401306" w:rsidRDefault="00467168" w:rsidP="007C7A49">
      <w:pPr>
        <w:spacing w:line="480" w:lineRule="auto"/>
        <w:rPr>
          <w:rFonts w:cs="Arial"/>
          <w:u w:val="single"/>
        </w:rPr>
      </w:pPr>
      <w:r w:rsidRPr="00401306">
        <w:rPr>
          <w:rFonts w:cs="Arial"/>
          <w:u w:val="single"/>
        </w:rPr>
        <w:t xml:space="preserve">Primary outcome: </w:t>
      </w:r>
    </w:p>
    <w:p w14:paraId="4B3011C7" w14:textId="77777777" w:rsidR="00467168" w:rsidRPr="00300D3A" w:rsidRDefault="00467168" w:rsidP="007C7A49">
      <w:pPr>
        <w:pStyle w:val="ListParagraph"/>
        <w:numPr>
          <w:ilvl w:val="0"/>
          <w:numId w:val="37"/>
        </w:numPr>
        <w:rPr>
          <w:rFonts w:cs="Arial"/>
          <w:sz w:val="22"/>
        </w:rPr>
      </w:pPr>
      <w:r w:rsidRPr="00300D3A">
        <w:rPr>
          <w:rFonts w:cs="Arial"/>
          <w:sz w:val="22"/>
        </w:rPr>
        <w:t>Time to 1mm ST depression (exercise treadmill test)</w:t>
      </w:r>
    </w:p>
    <w:p w14:paraId="0E26D90F" w14:textId="77777777" w:rsidR="00467168" w:rsidRPr="00300D3A" w:rsidRDefault="00467168" w:rsidP="007C7A49">
      <w:pPr>
        <w:spacing w:line="480" w:lineRule="auto"/>
        <w:rPr>
          <w:rFonts w:cs="Arial"/>
          <w:u w:val="single"/>
        </w:rPr>
      </w:pPr>
      <w:r w:rsidRPr="00300D3A">
        <w:rPr>
          <w:rFonts w:cs="Arial"/>
          <w:u w:val="single"/>
        </w:rPr>
        <w:t>Secondary outcomes:</w:t>
      </w:r>
    </w:p>
    <w:p w14:paraId="0361DF28" w14:textId="77777777" w:rsidR="00467168" w:rsidRPr="00300D3A" w:rsidRDefault="00467168" w:rsidP="007C7A49">
      <w:pPr>
        <w:pStyle w:val="ListParagraph"/>
        <w:numPr>
          <w:ilvl w:val="0"/>
          <w:numId w:val="36"/>
        </w:numPr>
        <w:rPr>
          <w:rFonts w:cs="Arial"/>
          <w:sz w:val="22"/>
        </w:rPr>
      </w:pPr>
      <w:r w:rsidRPr="00300D3A">
        <w:rPr>
          <w:rFonts w:cs="Arial"/>
          <w:sz w:val="22"/>
        </w:rPr>
        <w:t xml:space="preserve">Time to </w:t>
      </w:r>
      <w:r w:rsidR="00767B96" w:rsidRPr="00300D3A">
        <w:rPr>
          <w:rFonts w:cs="Arial"/>
          <w:sz w:val="22"/>
        </w:rPr>
        <w:t>chest pain</w:t>
      </w:r>
      <w:r w:rsidRPr="00300D3A">
        <w:rPr>
          <w:rFonts w:cs="Arial"/>
          <w:sz w:val="22"/>
        </w:rPr>
        <w:t xml:space="preserve"> onset</w:t>
      </w:r>
      <w:r w:rsidR="003B1EE8" w:rsidRPr="00300D3A">
        <w:rPr>
          <w:rFonts w:cs="Arial"/>
          <w:sz w:val="22"/>
        </w:rPr>
        <w:t xml:space="preserve"> (exercise treadmill test)</w:t>
      </w:r>
    </w:p>
    <w:p w14:paraId="5CBAB8AD" w14:textId="77777777" w:rsidR="009F6504" w:rsidRPr="00300D3A" w:rsidRDefault="009F6504" w:rsidP="007C7A49">
      <w:pPr>
        <w:pStyle w:val="ListParagraph"/>
        <w:numPr>
          <w:ilvl w:val="0"/>
          <w:numId w:val="36"/>
        </w:numPr>
        <w:rPr>
          <w:rFonts w:cs="Arial"/>
          <w:sz w:val="22"/>
        </w:rPr>
      </w:pPr>
      <w:r w:rsidRPr="00300D3A">
        <w:rPr>
          <w:rFonts w:cs="Arial"/>
          <w:sz w:val="22"/>
        </w:rPr>
        <w:t>Total exercise time (exercise treadmill test</w:t>
      </w:r>
      <w:r w:rsidR="00767B96" w:rsidRPr="00300D3A">
        <w:rPr>
          <w:rFonts w:cs="Arial"/>
          <w:sz w:val="22"/>
        </w:rPr>
        <w:t>)</w:t>
      </w:r>
    </w:p>
    <w:p w14:paraId="024BB911" w14:textId="77777777" w:rsidR="00467168" w:rsidRPr="00300D3A" w:rsidRDefault="00467168" w:rsidP="007C7A49">
      <w:pPr>
        <w:pStyle w:val="ListParagraph"/>
        <w:numPr>
          <w:ilvl w:val="0"/>
          <w:numId w:val="36"/>
        </w:numPr>
        <w:rPr>
          <w:rFonts w:cs="Arial"/>
          <w:sz w:val="22"/>
        </w:rPr>
      </w:pPr>
      <w:r w:rsidRPr="00300D3A">
        <w:rPr>
          <w:rFonts w:cs="Arial"/>
          <w:sz w:val="22"/>
        </w:rPr>
        <w:t>Angina and GTN use frequency</w:t>
      </w:r>
    </w:p>
    <w:p w14:paraId="2E076A17" w14:textId="77777777" w:rsidR="00467168" w:rsidRPr="00300D3A" w:rsidRDefault="00467168" w:rsidP="007C7A49">
      <w:pPr>
        <w:pStyle w:val="ListParagraph"/>
        <w:numPr>
          <w:ilvl w:val="0"/>
          <w:numId w:val="36"/>
        </w:numPr>
        <w:rPr>
          <w:rFonts w:cs="Arial"/>
          <w:sz w:val="22"/>
        </w:rPr>
      </w:pPr>
      <w:r w:rsidRPr="00300D3A">
        <w:rPr>
          <w:rFonts w:cs="Arial"/>
          <w:sz w:val="22"/>
        </w:rPr>
        <w:t>Modified Seattle Questionnaire</w:t>
      </w:r>
    </w:p>
    <w:p w14:paraId="6D7DAE93" w14:textId="77777777" w:rsidR="00467168" w:rsidRPr="00300D3A" w:rsidRDefault="00467168" w:rsidP="007C7A49">
      <w:pPr>
        <w:pStyle w:val="ListParagraph"/>
        <w:numPr>
          <w:ilvl w:val="0"/>
          <w:numId w:val="36"/>
        </w:numPr>
        <w:rPr>
          <w:rFonts w:cs="Arial"/>
          <w:sz w:val="22"/>
        </w:rPr>
      </w:pPr>
      <w:r w:rsidRPr="00300D3A">
        <w:rPr>
          <w:rFonts w:cs="Arial"/>
          <w:sz w:val="22"/>
        </w:rPr>
        <w:t>Nitrate and nitrite plasma levels, angiogenic markers</w:t>
      </w:r>
    </w:p>
    <w:p w14:paraId="099F336B" w14:textId="77777777" w:rsidR="00467168" w:rsidRPr="00300D3A" w:rsidRDefault="00467168" w:rsidP="007C7A49">
      <w:pPr>
        <w:pStyle w:val="ListParagraph"/>
        <w:numPr>
          <w:ilvl w:val="0"/>
          <w:numId w:val="36"/>
        </w:numPr>
        <w:rPr>
          <w:rFonts w:cs="Arial"/>
          <w:sz w:val="22"/>
        </w:rPr>
      </w:pPr>
      <w:proofErr w:type="spellStart"/>
      <w:r w:rsidRPr="00300D3A">
        <w:rPr>
          <w:rFonts w:cs="Arial"/>
          <w:sz w:val="22"/>
        </w:rPr>
        <w:t>Dobutamine</w:t>
      </w:r>
      <w:proofErr w:type="spellEnd"/>
      <w:r w:rsidRPr="00300D3A">
        <w:rPr>
          <w:rFonts w:cs="Arial"/>
          <w:sz w:val="22"/>
        </w:rPr>
        <w:t xml:space="preserve"> Stress Echocardiography - Tissue Doppler Imaging</w:t>
      </w:r>
    </w:p>
    <w:p w14:paraId="3B8446A5" w14:textId="77777777" w:rsidR="0005639B" w:rsidRPr="00300D3A" w:rsidRDefault="0014218C" w:rsidP="007C7A49">
      <w:pPr>
        <w:pStyle w:val="ListParagraph"/>
        <w:numPr>
          <w:ilvl w:val="1"/>
          <w:numId w:val="6"/>
        </w:numPr>
        <w:rPr>
          <w:rFonts w:cs="Arial"/>
          <w:sz w:val="22"/>
        </w:rPr>
      </w:pPr>
      <w:r w:rsidRPr="00300D3A">
        <w:rPr>
          <w:rFonts w:cs="Arial"/>
          <w:sz w:val="22"/>
        </w:rPr>
        <w:t>Myocardial c</w:t>
      </w:r>
      <w:r w:rsidR="00E3636D" w:rsidRPr="00300D3A">
        <w:rPr>
          <w:rFonts w:cs="Arial"/>
          <w:sz w:val="22"/>
        </w:rPr>
        <w:t>ontractility assessment by peak systolic v</w:t>
      </w:r>
      <w:r w:rsidR="000C222B" w:rsidRPr="00300D3A">
        <w:rPr>
          <w:rFonts w:cs="Arial"/>
          <w:sz w:val="22"/>
        </w:rPr>
        <w:t>elocity</w:t>
      </w:r>
      <w:r w:rsidR="00CF139E" w:rsidRPr="00300D3A">
        <w:rPr>
          <w:rFonts w:cs="Arial"/>
          <w:sz w:val="22"/>
        </w:rPr>
        <w:t xml:space="preserve"> </w:t>
      </w:r>
    </w:p>
    <w:p w14:paraId="3BD581D2" w14:textId="2AF4E6A2" w:rsidR="003A612D" w:rsidRDefault="00B50E0B" w:rsidP="007C7A49">
      <w:pPr>
        <w:spacing w:line="480" w:lineRule="auto"/>
      </w:pPr>
      <w:bookmarkStart w:id="1" w:name="_Toc436765712"/>
      <w:r w:rsidRPr="00B50E0B">
        <w:rPr>
          <w:bCs/>
        </w:rPr>
        <w:t xml:space="preserve">Previously the best validated primary outcome was time to 1mm ST depression in several clinical cross-over design studies assessing the effects of pharmacological intervention in patients suffering from stable angina </w:t>
      </w:r>
      <w:r w:rsidR="003A612D">
        <w:fldChar w:fldCharType="begin"/>
      </w:r>
      <w:r w:rsidR="003A612D">
        <w:instrText>ADDIN RW.CITE{{935 Thadani,U. 2002; 933 Fox,K.M. 2003; 817 Dunselman,P.H.J.M. 1998; 819 Halcox,J.P.J. 2002; 593 Noman,A. 2010}}</w:instrText>
      </w:r>
      <w:r w:rsidR="003A612D">
        <w:fldChar w:fldCharType="separate"/>
      </w:r>
      <w:r w:rsidR="00067D24" w:rsidRPr="00067D24">
        <w:rPr>
          <w:rFonts w:ascii="Calibri" w:hAnsi="Calibri"/>
        </w:rPr>
        <w:t>[21-25]</w:t>
      </w:r>
      <w:r w:rsidR="003A612D">
        <w:fldChar w:fldCharType="end"/>
      </w:r>
      <w:r w:rsidR="003A612D">
        <w:t xml:space="preserve">. </w:t>
      </w:r>
      <w:r w:rsidR="003A612D">
        <w:t xml:space="preserve">Some studies report several treadmill ‘main outcomes’ including time to change in total exercise time, time to chest pain onset and time to 1mm ST depression </w:t>
      </w:r>
      <w:r w:rsidR="003A612D">
        <w:fldChar w:fldCharType="begin"/>
      </w:r>
      <w:r w:rsidR="003A612D">
        <w:instrText>ADDIN RW.CITE{{595 Chaitman,B.R. 2004; 594 Chaitman,B.R. 2004}}</w:instrText>
      </w:r>
      <w:r w:rsidR="003A612D">
        <w:fldChar w:fldCharType="separate"/>
      </w:r>
      <w:r w:rsidR="00067D24" w:rsidRPr="00067D24">
        <w:rPr>
          <w:rFonts w:ascii="Calibri" w:hAnsi="Calibri"/>
        </w:rPr>
        <w:t>[26,27]</w:t>
      </w:r>
      <w:r w:rsidR="003A612D">
        <w:fldChar w:fldCharType="end"/>
      </w:r>
      <w:r w:rsidR="00C23B75">
        <w:t>.</w:t>
      </w:r>
      <w:r w:rsidR="00C23B75">
        <w:t xml:space="preserve"> The treadmill test </w:t>
      </w:r>
      <w:r w:rsidR="00984E03">
        <w:t>results will be</w:t>
      </w:r>
      <w:r w:rsidR="00C23B75">
        <w:t xml:space="preserve"> the best validated set of data</w:t>
      </w:r>
      <w:r w:rsidR="0012497C">
        <w:t xml:space="preserve">. These results will be </w:t>
      </w:r>
      <w:r w:rsidR="00984E03">
        <w:t xml:space="preserve">least likely </w:t>
      </w:r>
      <w:r w:rsidR="0012497C">
        <w:t>to vary due to daily life challenges of patients when not under standardised research facility observation. H</w:t>
      </w:r>
      <w:r w:rsidR="00C23B75">
        <w:t xml:space="preserve">owever we will report also the other above secondary outcomes including the angiogenic marker and </w:t>
      </w:r>
      <w:proofErr w:type="spellStart"/>
      <w:r w:rsidR="00C23B75">
        <w:t>dobutamine</w:t>
      </w:r>
      <w:proofErr w:type="spellEnd"/>
      <w:r w:rsidR="00C23B75">
        <w:t xml:space="preserve"> stress echocardiogram results which may contribute to the mechanistic explanation of the potential anti</w:t>
      </w:r>
      <w:r w:rsidR="00445288">
        <w:t>-</w:t>
      </w:r>
      <w:proofErr w:type="spellStart"/>
      <w:r w:rsidR="00C23B75">
        <w:t>anginal</w:t>
      </w:r>
      <w:proofErr w:type="spellEnd"/>
      <w:r w:rsidR="00C23B75">
        <w:t xml:space="preserve"> benefits. </w:t>
      </w:r>
    </w:p>
    <w:p w14:paraId="5C96F950" w14:textId="77777777" w:rsidR="0005639B" w:rsidRPr="00401306" w:rsidRDefault="0005639B" w:rsidP="007C7A49">
      <w:pPr>
        <w:pStyle w:val="Heading2"/>
        <w:rPr>
          <w:rFonts w:asciiTheme="minorHAnsi" w:hAnsiTheme="minorHAnsi" w:cs="Arial"/>
        </w:rPr>
      </w:pPr>
      <w:r w:rsidRPr="00401306">
        <w:rPr>
          <w:rFonts w:asciiTheme="minorHAnsi" w:hAnsiTheme="minorHAnsi" w:cs="Arial"/>
        </w:rPr>
        <w:lastRenderedPageBreak/>
        <w:t>Methods</w:t>
      </w:r>
      <w:bookmarkEnd w:id="1"/>
    </w:p>
    <w:p w14:paraId="26E755F2" w14:textId="77777777" w:rsidR="0005639B" w:rsidRPr="00401306" w:rsidRDefault="0005639B" w:rsidP="007C7A49">
      <w:pPr>
        <w:pStyle w:val="Heading4"/>
      </w:pPr>
      <w:bookmarkStart w:id="2" w:name="_Toc436765713"/>
      <w:r w:rsidRPr="00401306">
        <w:t>Design</w:t>
      </w:r>
      <w:bookmarkEnd w:id="2"/>
    </w:p>
    <w:p w14:paraId="13D8DD43" w14:textId="77777777" w:rsidR="0005639B" w:rsidRPr="00401306" w:rsidRDefault="0005639B" w:rsidP="007C7A49">
      <w:pPr>
        <w:spacing w:line="480" w:lineRule="auto"/>
        <w:rPr>
          <w:rFonts w:cs="Arial"/>
        </w:rPr>
      </w:pPr>
      <w:r w:rsidRPr="00401306">
        <w:rPr>
          <w:rFonts w:cs="Arial"/>
        </w:rPr>
        <w:t xml:space="preserve">The trial </w:t>
      </w:r>
      <w:r w:rsidR="006350C4">
        <w:rPr>
          <w:rFonts w:cs="Arial"/>
        </w:rPr>
        <w:t>ha</w:t>
      </w:r>
      <w:r w:rsidR="00ED613E">
        <w:rPr>
          <w:rFonts w:cs="Arial"/>
        </w:rPr>
        <w:t>s</w:t>
      </w:r>
      <w:r w:rsidRPr="00401306">
        <w:rPr>
          <w:rFonts w:cs="Arial"/>
        </w:rPr>
        <w:t xml:space="preserve"> a randomised, </w:t>
      </w:r>
      <w:r w:rsidR="00313D90" w:rsidRPr="00401306">
        <w:rPr>
          <w:rFonts w:cs="Arial"/>
        </w:rPr>
        <w:t>placebo controlled</w:t>
      </w:r>
      <w:r w:rsidR="00313D90">
        <w:rPr>
          <w:rFonts w:cs="Arial"/>
        </w:rPr>
        <w:t>,</w:t>
      </w:r>
      <w:r w:rsidR="00313D90" w:rsidRPr="00401306">
        <w:rPr>
          <w:rFonts w:cs="Arial"/>
        </w:rPr>
        <w:t xml:space="preserve"> </w:t>
      </w:r>
      <w:r w:rsidRPr="00401306">
        <w:rPr>
          <w:rFonts w:cs="Arial"/>
        </w:rPr>
        <w:t xml:space="preserve">double-blind, </w:t>
      </w:r>
      <w:proofErr w:type="gramStart"/>
      <w:r w:rsidRPr="00401306">
        <w:rPr>
          <w:rFonts w:cs="Arial"/>
        </w:rPr>
        <w:t>crossover</w:t>
      </w:r>
      <w:proofErr w:type="gramEnd"/>
      <w:r w:rsidRPr="00401306">
        <w:rPr>
          <w:rFonts w:cs="Arial"/>
        </w:rPr>
        <w:t xml:space="preserve"> design. The study </w:t>
      </w:r>
      <w:r w:rsidR="00606B29">
        <w:rPr>
          <w:rFonts w:cs="Arial"/>
        </w:rPr>
        <w:t>i</w:t>
      </w:r>
      <w:r w:rsidRPr="00401306">
        <w:rPr>
          <w:rFonts w:cs="Arial"/>
        </w:rPr>
        <w:t xml:space="preserve">s approved by </w:t>
      </w:r>
      <w:r>
        <w:rPr>
          <w:rFonts w:cs="Arial"/>
        </w:rPr>
        <w:t xml:space="preserve">the </w:t>
      </w:r>
      <w:r w:rsidRPr="00401306">
        <w:rPr>
          <w:rFonts w:cs="Arial"/>
        </w:rPr>
        <w:t xml:space="preserve">Scotland </w:t>
      </w:r>
      <w:proofErr w:type="gramStart"/>
      <w:r w:rsidRPr="00401306">
        <w:rPr>
          <w:rFonts w:cs="Arial"/>
        </w:rPr>
        <w:t>A</w:t>
      </w:r>
      <w:proofErr w:type="gramEnd"/>
      <w:r w:rsidRPr="00401306">
        <w:rPr>
          <w:rFonts w:cs="Arial"/>
        </w:rPr>
        <w:t xml:space="preserve"> Research Ethics Committee</w:t>
      </w:r>
      <w:r>
        <w:rPr>
          <w:rFonts w:cs="Arial"/>
        </w:rPr>
        <w:t xml:space="preserve"> (SAREC)</w:t>
      </w:r>
      <w:r w:rsidRPr="00401306">
        <w:rPr>
          <w:rFonts w:cs="Arial"/>
        </w:rPr>
        <w:t xml:space="preserve">, subject to MHRA regulation, and ran in accordance with the Declaration of Helsinki. All patients </w:t>
      </w:r>
      <w:r w:rsidR="00C524D8">
        <w:rPr>
          <w:rFonts w:cs="Arial"/>
        </w:rPr>
        <w:t>will sign</w:t>
      </w:r>
      <w:r w:rsidRPr="00401306">
        <w:rPr>
          <w:rFonts w:cs="Arial"/>
        </w:rPr>
        <w:t xml:space="preserve"> an informed written consent. </w:t>
      </w:r>
    </w:p>
    <w:p w14:paraId="01AD1D99" w14:textId="77777777" w:rsidR="0005639B" w:rsidRPr="00401306" w:rsidRDefault="0005639B" w:rsidP="007C7A49">
      <w:pPr>
        <w:pStyle w:val="Heading4"/>
      </w:pPr>
      <w:bookmarkStart w:id="3" w:name="_Toc436765714"/>
      <w:r w:rsidRPr="00401306">
        <w:t>Patient selection and protocol</w:t>
      </w:r>
      <w:bookmarkEnd w:id="3"/>
    </w:p>
    <w:p w14:paraId="492C589B" w14:textId="77777777" w:rsidR="000C6BFA" w:rsidRPr="000C6BFA" w:rsidRDefault="000C6BFA" w:rsidP="007C7A49">
      <w:pPr>
        <w:spacing w:line="480" w:lineRule="auto"/>
        <w:rPr>
          <w:rFonts w:cs="Arial"/>
        </w:rPr>
      </w:pPr>
      <w:r w:rsidRPr="000C6BFA">
        <w:rPr>
          <w:rFonts w:cs="Arial"/>
          <w:lang w:val="en-US"/>
        </w:rPr>
        <w:t xml:space="preserve">Patients will be recruited </w:t>
      </w:r>
      <w:r>
        <w:rPr>
          <w:rFonts w:cs="Arial"/>
          <w:lang w:val="en-US"/>
        </w:rPr>
        <w:t>from several sources</w:t>
      </w:r>
      <w:r w:rsidRPr="000C6BFA">
        <w:rPr>
          <w:rFonts w:cs="Arial"/>
          <w:lang w:val="en-US"/>
        </w:rPr>
        <w:t xml:space="preserve">: Aberdeen Royal Infirmary cardiology department, GP surgeries via </w:t>
      </w:r>
      <w:r w:rsidRPr="000C6BFA">
        <w:rPr>
          <w:rFonts w:cs="Arial"/>
        </w:rPr>
        <w:t>Scottish Primary Care Research Network (SPCRN), patients attending the Heart Health Community Study in Aberdeen, and by posters in public places and adverts in local newspapers.</w:t>
      </w:r>
    </w:p>
    <w:p w14:paraId="7BCAC431" w14:textId="77777777" w:rsidR="000C6BFA" w:rsidRDefault="000C6BFA" w:rsidP="007C7A49">
      <w:pPr>
        <w:spacing w:line="480" w:lineRule="auto"/>
        <w:rPr>
          <w:rFonts w:cs="Arial"/>
        </w:rPr>
      </w:pPr>
    </w:p>
    <w:p w14:paraId="69552A48" w14:textId="1026F6E3" w:rsidR="00DF1DD6" w:rsidRPr="00401306" w:rsidRDefault="0005639B" w:rsidP="007C7A49">
      <w:pPr>
        <w:spacing w:line="480" w:lineRule="auto"/>
        <w:rPr>
          <w:rFonts w:cs="Arial"/>
        </w:rPr>
      </w:pPr>
      <w:r w:rsidRPr="00401306">
        <w:rPr>
          <w:rFonts w:cs="Arial"/>
        </w:rPr>
        <w:t xml:space="preserve">Patients aged 18 and over with chronic exertional angina (≥2 </w:t>
      </w:r>
      <w:proofErr w:type="gramStart"/>
      <w:r w:rsidRPr="00401306">
        <w:rPr>
          <w:rFonts w:cs="Arial"/>
        </w:rPr>
        <w:t>months</w:t>
      </w:r>
      <w:proofErr w:type="gramEnd"/>
      <w:r w:rsidRPr="00401306">
        <w:rPr>
          <w:rFonts w:cs="Arial"/>
        </w:rPr>
        <w:t xml:space="preserve"> duration) w</w:t>
      </w:r>
      <w:r w:rsidR="00606B29">
        <w:rPr>
          <w:rFonts w:cs="Arial"/>
        </w:rPr>
        <w:t>ill be</w:t>
      </w:r>
      <w:r w:rsidRPr="00401306">
        <w:rPr>
          <w:rFonts w:cs="Arial"/>
        </w:rPr>
        <w:t xml:space="preserve"> </w:t>
      </w:r>
      <w:r w:rsidR="00606B29">
        <w:rPr>
          <w:rFonts w:cs="Arial"/>
        </w:rPr>
        <w:t>intervi</w:t>
      </w:r>
      <w:r w:rsidR="008F702A">
        <w:rPr>
          <w:rFonts w:cs="Arial"/>
        </w:rPr>
        <w:t>ewed, examined and asked to give</w:t>
      </w:r>
      <w:r w:rsidR="00606B29">
        <w:rPr>
          <w:rFonts w:cs="Arial"/>
        </w:rPr>
        <w:t xml:space="preserve"> a written </w:t>
      </w:r>
      <w:r w:rsidR="00BD20E2">
        <w:rPr>
          <w:rFonts w:cs="Arial"/>
        </w:rPr>
        <w:t xml:space="preserve">informed </w:t>
      </w:r>
      <w:r w:rsidR="00606B29">
        <w:rPr>
          <w:rFonts w:cs="Arial"/>
        </w:rPr>
        <w:t xml:space="preserve">consent. Entry criteria </w:t>
      </w:r>
      <w:r w:rsidR="00DF1DD6">
        <w:rPr>
          <w:rFonts w:cs="Arial"/>
        </w:rPr>
        <w:t>will be</w:t>
      </w:r>
      <w:r w:rsidRPr="00401306">
        <w:rPr>
          <w:rFonts w:cs="Arial"/>
        </w:rPr>
        <w:t xml:space="preserve"> positive ECG treadmill test (ETT) and either angiographic evidence of obstructive coronary artery disease or if not available a positive </w:t>
      </w:r>
      <w:proofErr w:type="spellStart"/>
      <w:r w:rsidRPr="00401306">
        <w:rPr>
          <w:rFonts w:cs="Arial"/>
        </w:rPr>
        <w:t>dobutamine</w:t>
      </w:r>
      <w:proofErr w:type="spellEnd"/>
      <w:r w:rsidRPr="00401306">
        <w:rPr>
          <w:rFonts w:cs="Arial"/>
        </w:rPr>
        <w:t xml:space="preserve"> stress echocardiogram or a positive myocardial perfusion scan. </w:t>
      </w:r>
      <w:r w:rsidR="00DF1DD6">
        <w:rPr>
          <w:rFonts w:cs="Arial"/>
        </w:rPr>
        <w:t xml:space="preserve">Patients will be </w:t>
      </w:r>
      <w:r w:rsidR="00DF1DD6" w:rsidRPr="00401306">
        <w:rPr>
          <w:rFonts w:cs="Arial"/>
        </w:rPr>
        <w:t xml:space="preserve">screened with two modified-Bruce protocol ETTs on separate days and enrolled only if they </w:t>
      </w:r>
      <w:r w:rsidR="00AF012A">
        <w:rPr>
          <w:rFonts w:cs="Arial"/>
        </w:rPr>
        <w:t xml:space="preserve">have </w:t>
      </w:r>
      <w:r w:rsidR="00DF1DD6" w:rsidRPr="00401306">
        <w:rPr>
          <w:rFonts w:cs="Arial"/>
        </w:rPr>
        <w:t xml:space="preserve">replicable exercise induced ECG evidence of ischaemia (≤15%  difference in time to 1mm ST segment depression at the J+80ms point between the first and the second baseline ETT </w:t>
      </w:r>
      <w:r w:rsidR="00DF1DD6" w:rsidRPr="00401306">
        <w:rPr>
          <w:rFonts w:cs="Arial"/>
        </w:rPr>
        <w:fldChar w:fldCharType="begin"/>
      </w:r>
      <w:r w:rsidR="00DF1DD6" w:rsidRPr="00401306">
        <w:rPr>
          <w:rFonts w:cs="Arial"/>
        </w:rPr>
        <w:instrText>ADDIN RW.CITE{{593 Noman,A. 2010}}</w:instrText>
      </w:r>
      <w:r w:rsidR="00DF1DD6" w:rsidRPr="00401306">
        <w:rPr>
          <w:rFonts w:cs="Arial"/>
        </w:rPr>
        <w:fldChar w:fldCharType="separate"/>
      </w:r>
      <w:r w:rsidR="00067D24" w:rsidRPr="00067D24">
        <w:rPr>
          <w:rFonts w:cs="Arial"/>
        </w:rPr>
        <w:t>[25]</w:t>
      </w:r>
      <w:r w:rsidR="00DF1DD6" w:rsidRPr="00401306">
        <w:rPr>
          <w:rFonts w:cs="Arial"/>
        </w:rPr>
        <w:fldChar w:fldCharType="end"/>
      </w:r>
      <w:r w:rsidR="00AF012A">
        <w:rPr>
          <w:rFonts w:cs="Arial"/>
        </w:rPr>
        <w:t>, F</w:t>
      </w:r>
      <w:r w:rsidR="0003141A">
        <w:rPr>
          <w:rFonts w:cs="Arial"/>
        </w:rPr>
        <w:t>igure</w:t>
      </w:r>
      <w:r w:rsidR="00AF012A">
        <w:rPr>
          <w:rFonts w:cs="Arial"/>
        </w:rPr>
        <w:t xml:space="preserve"> 1</w:t>
      </w:r>
      <w:r w:rsidR="00DF1DD6" w:rsidRPr="00401306">
        <w:rPr>
          <w:rFonts w:cs="Arial"/>
        </w:rPr>
        <w:t xml:space="preserve">. </w:t>
      </w:r>
    </w:p>
    <w:p w14:paraId="0343F2BD" w14:textId="77777777" w:rsidR="0005639B" w:rsidRPr="00401306" w:rsidRDefault="00DD2546" w:rsidP="007C7A49">
      <w:pPr>
        <w:spacing w:line="480" w:lineRule="auto"/>
        <w:rPr>
          <w:rFonts w:cs="Arial"/>
        </w:rPr>
      </w:pPr>
      <w:r>
        <w:rPr>
          <w:rFonts w:cs="Arial"/>
        </w:rPr>
        <w:t>E</w:t>
      </w:r>
      <w:r w:rsidR="00606B29">
        <w:rPr>
          <w:rFonts w:cs="Arial"/>
        </w:rPr>
        <w:t>xclusion criteria will be</w:t>
      </w:r>
      <w:r w:rsidR="0005639B" w:rsidRPr="00401306">
        <w:rPr>
          <w:rFonts w:cs="Arial"/>
        </w:rPr>
        <w:t xml:space="preserve"> inability to perform </w:t>
      </w:r>
      <w:r w:rsidR="006172F7">
        <w:rPr>
          <w:rFonts w:cs="Arial"/>
        </w:rPr>
        <w:t xml:space="preserve">an </w:t>
      </w:r>
      <w:r w:rsidR="0005639B" w:rsidRPr="00401306">
        <w:rPr>
          <w:rFonts w:cs="Arial"/>
        </w:rPr>
        <w:t>exercise treadmill test, women of child bearing potential, G6PD deficiency, LV ejection fraction &lt;45% or New York Heart Association heart failure class III or IV, myocardial infarction or revascularisation within the last two months, resting ST depression</w:t>
      </w:r>
      <w:r w:rsidR="002603B8">
        <w:rPr>
          <w:rFonts w:cs="Arial"/>
        </w:rPr>
        <w:t xml:space="preserve"> ≥ 1mm or</w:t>
      </w:r>
      <w:r w:rsidR="0005639B" w:rsidRPr="00401306">
        <w:rPr>
          <w:rFonts w:cs="Arial"/>
        </w:rPr>
        <w:t xml:space="preserve"> LBBB. </w:t>
      </w:r>
      <w:r w:rsidR="0005639B">
        <w:rPr>
          <w:rFonts w:cs="Arial"/>
        </w:rPr>
        <w:t>Additionally p</w:t>
      </w:r>
      <w:r w:rsidR="0005639B" w:rsidRPr="00401306">
        <w:rPr>
          <w:rFonts w:cs="Arial"/>
        </w:rPr>
        <w:t>atients in non-sinus rhythm and s</w:t>
      </w:r>
      <w:r w:rsidR="006172F7">
        <w:rPr>
          <w:rFonts w:cs="Arial"/>
        </w:rPr>
        <w:t xml:space="preserve">ignificant </w:t>
      </w:r>
      <w:proofErr w:type="spellStart"/>
      <w:r w:rsidR="006172F7">
        <w:rPr>
          <w:rFonts w:cs="Arial"/>
        </w:rPr>
        <w:t>valvular</w:t>
      </w:r>
      <w:proofErr w:type="spellEnd"/>
      <w:r w:rsidR="006172F7">
        <w:rPr>
          <w:rFonts w:cs="Arial"/>
        </w:rPr>
        <w:t xml:space="preserve"> disease will</w:t>
      </w:r>
      <w:r w:rsidR="0005639B" w:rsidRPr="00401306">
        <w:rPr>
          <w:rFonts w:cs="Arial"/>
        </w:rPr>
        <w:t xml:space="preserve"> not </w:t>
      </w:r>
      <w:proofErr w:type="spellStart"/>
      <w:proofErr w:type="gramStart"/>
      <w:r w:rsidR="0005639B" w:rsidRPr="00401306">
        <w:rPr>
          <w:rFonts w:cs="Arial"/>
        </w:rPr>
        <w:t>included</w:t>
      </w:r>
      <w:proofErr w:type="spellEnd"/>
      <w:proofErr w:type="gramEnd"/>
      <w:r w:rsidR="0005639B" w:rsidRPr="00401306">
        <w:rPr>
          <w:rFonts w:cs="Arial"/>
        </w:rPr>
        <w:t xml:space="preserve"> </w:t>
      </w:r>
      <w:r w:rsidR="0005639B">
        <w:rPr>
          <w:rFonts w:cs="Arial"/>
        </w:rPr>
        <w:t xml:space="preserve">in the study </w:t>
      </w:r>
      <w:r w:rsidR="000B22CA">
        <w:rPr>
          <w:rFonts w:cs="Arial"/>
        </w:rPr>
        <w:t>as these may</w:t>
      </w:r>
      <w:r w:rsidR="0005639B" w:rsidRPr="00401306">
        <w:rPr>
          <w:rFonts w:cs="Arial"/>
        </w:rPr>
        <w:t xml:space="preserve"> render the data interpretation unreliable.</w:t>
      </w:r>
    </w:p>
    <w:p w14:paraId="60C3FA53" w14:textId="77777777" w:rsidR="0005639B" w:rsidRDefault="006210EA" w:rsidP="007C7A49">
      <w:pPr>
        <w:spacing w:line="480" w:lineRule="auto"/>
        <w:rPr>
          <w:rFonts w:cs="Arial"/>
        </w:rPr>
      </w:pPr>
      <w:r>
        <w:rPr>
          <w:rFonts w:cs="Arial"/>
        </w:rPr>
        <w:lastRenderedPageBreak/>
        <w:t>Patients will be</w:t>
      </w:r>
      <w:r w:rsidR="0005639B" w:rsidRPr="00401306">
        <w:rPr>
          <w:rFonts w:cs="Arial"/>
        </w:rPr>
        <w:t xml:space="preserve"> able to continue their regular anti-</w:t>
      </w:r>
      <w:proofErr w:type="spellStart"/>
      <w:r w:rsidR="0005639B" w:rsidRPr="00401306">
        <w:rPr>
          <w:rFonts w:cs="Arial"/>
        </w:rPr>
        <w:t>anginal</w:t>
      </w:r>
      <w:proofErr w:type="spellEnd"/>
      <w:r w:rsidR="0005639B" w:rsidRPr="00401306">
        <w:rPr>
          <w:rFonts w:cs="Arial"/>
        </w:rPr>
        <w:t xml:space="preserve"> medication at a fixed dose apart from long-acting organic nitrates which w</w:t>
      </w:r>
      <w:r w:rsidR="00E648A1">
        <w:rPr>
          <w:rFonts w:cs="Arial"/>
        </w:rPr>
        <w:t>ill be</w:t>
      </w:r>
      <w:r w:rsidR="0005639B" w:rsidRPr="00401306">
        <w:rPr>
          <w:rFonts w:cs="Arial"/>
        </w:rPr>
        <w:t xml:space="preserve"> stopped </w:t>
      </w:r>
      <w:r w:rsidR="00E648A1">
        <w:rPr>
          <w:rFonts w:cs="Arial"/>
        </w:rPr>
        <w:t xml:space="preserve">in all patients </w:t>
      </w:r>
      <w:r w:rsidR="0005639B" w:rsidRPr="00401306">
        <w:rPr>
          <w:rFonts w:cs="Arial"/>
        </w:rPr>
        <w:t xml:space="preserve">at least 72 hours prior </w:t>
      </w:r>
      <w:proofErr w:type="spellStart"/>
      <w:r w:rsidR="0005639B" w:rsidRPr="00401306">
        <w:rPr>
          <w:rFonts w:cs="Arial"/>
        </w:rPr>
        <w:t>enrollment</w:t>
      </w:r>
      <w:proofErr w:type="spellEnd"/>
      <w:r w:rsidR="0005639B" w:rsidRPr="00401306">
        <w:rPr>
          <w:rFonts w:cs="Arial"/>
        </w:rPr>
        <w:t>.</w:t>
      </w:r>
      <w:r w:rsidR="00E648A1">
        <w:rPr>
          <w:rFonts w:cs="Arial"/>
        </w:rPr>
        <w:t xml:space="preserve"> P</w:t>
      </w:r>
      <w:r w:rsidR="0005639B" w:rsidRPr="00401306">
        <w:rPr>
          <w:rFonts w:cs="Arial"/>
        </w:rPr>
        <w:t xml:space="preserve">atients undergoing a concomitant </w:t>
      </w:r>
      <w:proofErr w:type="spellStart"/>
      <w:r w:rsidR="0005639B" w:rsidRPr="00401306">
        <w:rPr>
          <w:rFonts w:cs="Arial"/>
        </w:rPr>
        <w:t>dobutamin</w:t>
      </w:r>
      <w:proofErr w:type="spellEnd"/>
      <w:r w:rsidR="0005639B" w:rsidRPr="00401306">
        <w:rPr>
          <w:rFonts w:cs="Arial"/>
        </w:rPr>
        <w:t xml:space="preserve"> stress echocardiogram w</w:t>
      </w:r>
      <w:r w:rsidR="00E648A1">
        <w:rPr>
          <w:rFonts w:cs="Arial"/>
        </w:rPr>
        <w:t>ill be</w:t>
      </w:r>
      <w:r w:rsidR="0005639B" w:rsidRPr="00401306">
        <w:rPr>
          <w:rFonts w:cs="Arial"/>
        </w:rPr>
        <w:t xml:space="preserve"> asked to omit their beta-blocker for 48 hours prior their visits in order to facilitate the </w:t>
      </w:r>
      <w:proofErr w:type="spellStart"/>
      <w:r w:rsidR="0005639B" w:rsidRPr="00401306">
        <w:rPr>
          <w:rFonts w:cs="Arial"/>
        </w:rPr>
        <w:t>dobutamin</w:t>
      </w:r>
      <w:r w:rsidR="0005639B">
        <w:rPr>
          <w:rFonts w:cs="Arial"/>
        </w:rPr>
        <w:t>e</w:t>
      </w:r>
      <w:proofErr w:type="spellEnd"/>
      <w:r w:rsidR="00E648A1">
        <w:rPr>
          <w:rFonts w:cs="Arial"/>
        </w:rPr>
        <w:t xml:space="preserve"> response, unless clinically contraindicated in which case the beta-blocker treatment may continue uninterrupted. This decision will be</w:t>
      </w:r>
      <w:r w:rsidR="0005639B" w:rsidRPr="00401306">
        <w:rPr>
          <w:rFonts w:cs="Arial"/>
        </w:rPr>
        <w:t xml:space="preserve"> at the discretion of the researcher (mainly depending on the severity of symptoms) and the elected strategy </w:t>
      </w:r>
      <w:r w:rsidR="003E1E9B">
        <w:rPr>
          <w:rFonts w:cs="Arial"/>
        </w:rPr>
        <w:t>will be</w:t>
      </w:r>
      <w:r w:rsidR="0005639B" w:rsidRPr="00401306">
        <w:rPr>
          <w:rFonts w:cs="Arial"/>
        </w:rPr>
        <w:t xml:space="preserve"> kept fixed throughout all subsequent </w:t>
      </w:r>
      <w:proofErr w:type="gramStart"/>
      <w:r w:rsidR="0005639B" w:rsidRPr="00401306">
        <w:rPr>
          <w:rFonts w:cs="Arial"/>
        </w:rPr>
        <w:t>patient’s</w:t>
      </w:r>
      <w:proofErr w:type="gramEnd"/>
      <w:r w:rsidR="0005639B" w:rsidRPr="00401306">
        <w:rPr>
          <w:rFonts w:cs="Arial"/>
        </w:rPr>
        <w:t xml:space="preserve"> visits. Patients w</w:t>
      </w:r>
      <w:r w:rsidR="00916676">
        <w:rPr>
          <w:rFonts w:cs="Arial"/>
        </w:rPr>
        <w:t>ill be</w:t>
      </w:r>
      <w:r w:rsidR="0005639B" w:rsidRPr="00401306">
        <w:rPr>
          <w:rFonts w:cs="Arial"/>
        </w:rPr>
        <w:t xml:space="preserve"> allowed to continue short-acting sublingual GTN use and other background angina medication at a fixed dose.</w:t>
      </w:r>
    </w:p>
    <w:p w14:paraId="59672ECD" w14:textId="77777777" w:rsidR="0005639B" w:rsidRDefault="0005639B" w:rsidP="007C7A49">
      <w:pPr>
        <w:spacing w:line="480" w:lineRule="auto"/>
        <w:rPr>
          <w:rFonts w:cs="Arial"/>
        </w:rPr>
      </w:pPr>
    </w:p>
    <w:p w14:paraId="667B477C" w14:textId="77777777" w:rsidR="0005639B" w:rsidRDefault="0005639B" w:rsidP="007C7A49">
      <w:pPr>
        <w:spacing w:line="480" w:lineRule="auto"/>
        <w:rPr>
          <w:rFonts w:cs="Arial"/>
          <w:b/>
          <w:noProof/>
          <w:lang w:eastAsia="en-GB"/>
        </w:rPr>
      </w:pPr>
      <w:r w:rsidRPr="006D5527">
        <w:rPr>
          <w:rFonts w:cs="Arial"/>
          <w:b/>
          <w:color w:val="FF0000"/>
        </w:rPr>
        <w:t xml:space="preserve">Figure </w:t>
      </w:r>
      <w:r w:rsidR="000F4210" w:rsidRPr="006D5527">
        <w:rPr>
          <w:rFonts w:cs="Arial"/>
          <w:b/>
          <w:color w:val="FF0000"/>
        </w:rPr>
        <w:t>1</w:t>
      </w:r>
      <w:r w:rsidR="00C12203" w:rsidRPr="006D5527">
        <w:rPr>
          <w:rFonts w:eastAsiaTheme="minorEastAsia" w:cs="Arial"/>
          <w:color w:val="FF0000"/>
        </w:rPr>
        <w:t xml:space="preserve"> </w:t>
      </w:r>
      <w:r w:rsidR="00C12203">
        <w:rPr>
          <w:rFonts w:eastAsiaTheme="minorEastAsia" w:cs="Arial"/>
        </w:rPr>
        <w:br/>
      </w:r>
      <w:r w:rsidR="00C12203" w:rsidRPr="007C39B6">
        <w:rPr>
          <w:rFonts w:eastAsiaTheme="minorEastAsia" w:cs="Arial"/>
        </w:rPr>
        <w:t>Flowchart: randomised double-blind placebo controlled crossover design</w:t>
      </w:r>
    </w:p>
    <w:p w14:paraId="22725829" w14:textId="4512768A" w:rsidR="0005639B" w:rsidRDefault="006D5527" w:rsidP="007C7A49">
      <w:pPr>
        <w:spacing w:line="480" w:lineRule="auto"/>
        <w:rPr>
          <w:rFonts w:cs="Arial"/>
          <w:b/>
        </w:rPr>
      </w:pPr>
      <w:r>
        <w:rPr>
          <w:rFonts w:cs="Arial"/>
          <w:b/>
          <w:noProof/>
          <w:lang w:eastAsia="en-GB"/>
        </w:rPr>
        <w:drawing>
          <wp:inline distT="0" distB="0" distL="0" distR="0" wp14:anchorId="693A3ED3" wp14:editId="0BC7AD7E">
            <wp:extent cx="2954215" cy="30384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5689" cy="3039950"/>
                    </a:xfrm>
                    <a:prstGeom prst="rect">
                      <a:avLst/>
                    </a:prstGeom>
                    <a:noFill/>
                  </pic:spPr>
                </pic:pic>
              </a:graphicData>
            </a:graphic>
          </wp:inline>
        </w:drawing>
      </w:r>
    </w:p>
    <w:p w14:paraId="17ACD6E4" w14:textId="77777777" w:rsidR="0005639B" w:rsidRPr="0023241A" w:rsidRDefault="004C505F" w:rsidP="007C7A49">
      <w:pPr>
        <w:spacing w:line="480" w:lineRule="auto"/>
        <w:rPr>
          <w:rFonts w:ascii="Times New Roman" w:eastAsia="Times New Roman" w:hAnsi="Times New Roman" w:cs="Times New Roman"/>
          <w:sz w:val="24"/>
          <w:szCs w:val="24"/>
          <w:lang w:eastAsia="en-GB"/>
        </w:rPr>
      </w:pPr>
      <w:r w:rsidRPr="004C505F">
        <w:rPr>
          <w:position w:val="8"/>
          <w:vertAlign w:val="superscript"/>
          <w:lang w:eastAsia="en-GB"/>
        </w:rPr>
        <w:t>†</w:t>
      </w:r>
      <w:r w:rsidRPr="004C505F">
        <w:rPr>
          <w:lang w:eastAsia="en-GB"/>
        </w:rPr>
        <w:t xml:space="preserve"> </w:t>
      </w:r>
      <w:r w:rsidR="00663345">
        <w:rPr>
          <w:lang w:eastAsia="en-GB"/>
        </w:rPr>
        <w:t>Patient w</w:t>
      </w:r>
      <w:r w:rsidR="00421DA8">
        <w:rPr>
          <w:lang w:eastAsia="en-GB"/>
        </w:rPr>
        <w:t>ill be</w:t>
      </w:r>
      <w:r w:rsidR="00663345">
        <w:rPr>
          <w:lang w:eastAsia="en-GB"/>
        </w:rPr>
        <w:t xml:space="preserve"> exclude</w:t>
      </w:r>
      <w:r w:rsidR="00421DA8">
        <w:rPr>
          <w:lang w:eastAsia="en-GB"/>
        </w:rPr>
        <w:t>d</w:t>
      </w:r>
      <w:r w:rsidR="00663345">
        <w:rPr>
          <w:lang w:eastAsia="en-GB"/>
        </w:rPr>
        <w:t xml:space="preserve"> </w:t>
      </w:r>
      <w:r w:rsidRPr="004C505F">
        <w:rPr>
          <w:lang w:eastAsia="en-GB"/>
        </w:rPr>
        <w:t xml:space="preserve">if DSE or MPI positive but recent angiographic evidence of non-obstructive coronary artery disease </w:t>
      </w:r>
    </w:p>
    <w:p w14:paraId="5CBCB2EE" w14:textId="77777777" w:rsidR="0005639B" w:rsidRPr="00401306" w:rsidRDefault="0005639B" w:rsidP="007C7A49">
      <w:pPr>
        <w:pStyle w:val="Heading4"/>
      </w:pPr>
      <w:bookmarkStart w:id="4" w:name="_Toc436765716"/>
      <w:r w:rsidRPr="00401306">
        <w:lastRenderedPageBreak/>
        <w:t>Treatment and randomization process</w:t>
      </w:r>
      <w:bookmarkEnd w:id="4"/>
    </w:p>
    <w:p w14:paraId="166F0E6F" w14:textId="4B34A7B2" w:rsidR="004C441D" w:rsidRPr="00137B2E" w:rsidRDefault="004C441D" w:rsidP="004C441D">
      <w:pPr>
        <w:spacing w:line="480" w:lineRule="auto"/>
        <w:rPr>
          <w:rFonts w:cs="Arial"/>
          <w:lang w:val="en-US"/>
        </w:rPr>
      </w:pPr>
      <w:r w:rsidRPr="00137B2E">
        <w:rPr>
          <w:rFonts w:cs="Arial"/>
          <w:lang w:val="en-US"/>
        </w:rPr>
        <w:t xml:space="preserve">The </w:t>
      </w:r>
      <w:r w:rsidR="003F77F0">
        <w:rPr>
          <w:rFonts w:cs="Arial"/>
          <w:lang w:val="en-US"/>
        </w:rPr>
        <w:t>rationale</w:t>
      </w:r>
      <w:r w:rsidRPr="00137B2E">
        <w:rPr>
          <w:rFonts w:cs="Arial"/>
          <w:lang w:val="en-US"/>
        </w:rPr>
        <w:t xml:space="preserve"> for the dose used in the study </w:t>
      </w:r>
      <w:r>
        <w:rPr>
          <w:rFonts w:cs="Arial"/>
          <w:lang w:val="en-US"/>
        </w:rPr>
        <w:t>[</w:t>
      </w:r>
      <w:r w:rsidRPr="00137B2E">
        <w:rPr>
          <w:rFonts w:cs="Arial"/>
          <w:lang w:val="en-US"/>
        </w:rPr>
        <w:t>600mg (7mmol)</w:t>
      </w:r>
      <w:r>
        <w:rPr>
          <w:rFonts w:cs="Arial"/>
          <w:lang w:val="en-US"/>
        </w:rPr>
        <w:t xml:space="preserve"> sodium nitrate per day] is based on</w:t>
      </w:r>
      <w:r w:rsidRPr="00137B2E">
        <w:rPr>
          <w:rFonts w:cs="Arial"/>
          <w:lang w:val="en-US"/>
        </w:rPr>
        <w:t xml:space="preserve"> evidence from previous studies using similar or smaller doses (often given in a single bolus) when assessing blood pressure lowering effects </w:t>
      </w:r>
      <w:r>
        <w:rPr>
          <w:rFonts w:cs="Arial"/>
          <w:lang w:val="en-US"/>
        </w:rPr>
        <w:fldChar w:fldCharType="begin"/>
      </w:r>
      <w:r>
        <w:rPr>
          <w:rFonts w:cs="Arial"/>
          <w:lang w:val="en-US"/>
        </w:rPr>
        <w:instrText>ADDIN RW.CITE{{454 Kapil,V. 2010; 771 Siervo,M. 2013}}</w:instrText>
      </w:r>
      <w:r>
        <w:rPr>
          <w:rFonts w:cs="Arial"/>
          <w:lang w:val="en-US"/>
        </w:rPr>
        <w:fldChar w:fldCharType="separate"/>
      </w:r>
      <w:r w:rsidR="00067D24" w:rsidRPr="00067D24">
        <w:rPr>
          <w:rFonts w:ascii="Calibri" w:hAnsi="Calibri" w:cs="Arial"/>
          <w:lang w:val="en-US"/>
        </w:rPr>
        <w:t>[14,28]</w:t>
      </w:r>
      <w:r>
        <w:rPr>
          <w:rFonts w:cs="Arial"/>
          <w:lang w:val="en-US"/>
        </w:rPr>
        <w:fldChar w:fldCharType="end"/>
      </w:r>
      <w:r>
        <w:rPr>
          <w:rFonts w:cs="Arial"/>
          <w:lang w:val="en-US"/>
        </w:rPr>
        <w:t xml:space="preserve"> </w:t>
      </w:r>
      <w:r w:rsidRPr="00137B2E">
        <w:rPr>
          <w:rFonts w:cs="Arial"/>
          <w:lang w:val="en-US"/>
        </w:rPr>
        <w:t>and exercise capacity studies</w:t>
      </w:r>
      <w:r>
        <w:rPr>
          <w:rFonts w:cs="Arial"/>
          <w:lang w:val="en-US"/>
        </w:rPr>
        <w:t xml:space="preserve"> </w:t>
      </w:r>
      <w:r>
        <w:rPr>
          <w:rFonts w:cs="Arial"/>
          <w:lang w:val="en-US"/>
        </w:rPr>
        <w:fldChar w:fldCharType="begin"/>
      </w:r>
      <w:r>
        <w:rPr>
          <w:rFonts w:cs="Arial"/>
          <w:lang w:val="en-US"/>
        </w:rPr>
        <w:instrText>ADDIN RW.CITE{{881 Hoon,M.W. 2013}}</w:instrText>
      </w:r>
      <w:r>
        <w:rPr>
          <w:rFonts w:cs="Arial"/>
          <w:lang w:val="en-US"/>
        </w:rPr>
        <w:fldChar w:fldCharType="separate"/>
      </w:r>
      <w:r w:rsidR="00067D24" w:rsidRPr="00067D24">
        <w:rPr>
          <w:rFonts w:ascii="Calibri" w:hAnsi="Calibri" w:cs="Arial"/>
          <w:lang w:val="en-US"/>
        </w:rPr>
        <w:t>[17]</w:t>
      </w:r>
      <w:r>
        <w:rPr>
          <w:rFonts w:cs="Arial"/>
          <w:lang w:val="en-US"/>
        </w:rPr>
        <w:fldChar w:fldCharType="end"/>
      </w:r>
      <w:r w:rsidRPr="00137B2E">
        <w:rPr>
          <w:rFonts w:cs="Arial"/>
          <w:lang w:val="en-US"/>
        </w:rPr>
        <w:t>. Doses as low as 3.5</w:t>
      </w:r>
      <w:r w:rsidR="001B7A20">
        <w:rPr>
          <w:rFonts w:cs="Arial"/>
          <w:lang w:val="en-US"/>
        </w:rPr>
        <w:t xml:space="preserve"> </w:t>
      </w:r>
      <w:proofErr w:type="spellStart"/>
      <w:r w:rsidRPr="00137B2E">
        <w:rPr>
          <w:rFonts w:cs="Arial"/>
          <w:lang w:val="en-US"/>
        </w:rPr>
        <w:t>mmol</w:t>
      </w:r>
      <w:proofErr w:type="spellEnd"/>
      <w:r w:rsidRPr="00137B2E">
        <w:rPr>
          <w:rFonts w:cs="Arial"/>
          <w:lang w:val="en-US"/>
        </w:rPr>
        <w:t xml:space="preserve"> </w:t>
      </w:r>
      <w:proofErr w:type="gramStart"/>
      <w:r w:rsidRPr="00137B2E">
        <w:rPr>
          <w:rFonts w:cs="Arial"/>
          <w:lang w:val="en-US"/>
        </w:rPr>
        <w:t>nitrate</w:t>
      </w:r>
      <w:proofErr w:type="gramEnd"/>
      <w:r w:rsidRPr="00137B2E">
        <w:rPr>
          <w:rFonts w:cs="Arial"/>
          <w:lang w:val="en-US"/>
        </w:rPr>
        <w:t xml:space="preserve"> (beetroot juice) were effective to lower blood pressure when given to drug naïve grade 1 hypertensive volunteers </w:t>
      </w:r>
      <w:r w:rsidRPr="00137B2E">
        <w:rPr>
          <w:rFonts w:cs="Arial"/>
          <w:lang w:val="en-US"/>
        </w:rPr>
        <w:fldChar w:fldCharType="begin"/>
      </w:r>
      <w:r w:rsidRPr="00137B2E">
        <w:rPr>
          <w:rFonts w:cs="Arial"/>
          <w:lang w:val="en-US"/>
        </w:rPr>
        <w:instrText>ADDIN RW.CITE{{884 Ghosh,S.M. 2013}}</w:instrText>
      </w:r>
      <w:r w:rsidRPr="00137B2E">
        <w:rPr>
          <w:rFonts w:cs="Arial"/>
          <w:lang w:val="en-US"/>
        </w:rPr>
        <w:fldChar w:fldCharType="separate"/>
      </w:r>
      <w:r w:rsidR="00067D24" w:rsidRPr="00067D24">
        <w:rPr>
          <w:rFonts w:cs="Arial"/>
          <w:lang w:val="en-US"/>
        </w:rPr>
        <w:t>[29]</w:t>
      </w:r>
      <w:r w:rsidRPr="00137B2E">
        <w:rPr>
          <w:rFonts w:cs="Arial"/>
        </w:rPr>
        <w:fldChar w:fldCharType="end"/>
      </w:r>
      <w:r w:rsidRPr="00137B2E">
        <w:rPr>
          <w:rFonts w:cs="Arial"/>
          <w:lang w:val="en-US"/>
        </w:rPr>
        <w:t xml:space="preserve">. A single dose of 4mmol nitrate (potassium nitrate) in a single oral dose was sufficient to lower the blood pressure in healthy volunteers </w:t>
      </w:r>
      <w:r w:rsidRPr="00137B2E">
        <w:rPr>
          <w:rFonts w:cs="Arial"/>
          <w:lang w:val="en-US"/>
        </w:rPr>
        <w:fldChar w:fldCharType="begin"/>
      </w:r>
      <w:r w:rsidRPr="00137B2E">
        <w:rPr>
          <w:rFonts w:cs="Arial"/>
          <w:lang w:val="en-US"/>
        </w:rPr>
        <w:instrText>ADDIN RW.CITE{{454 Kapil,V. 2010}}</w:instrText>
      </w:r>
      <w:r w:rsidRPr="00137B2E">
        <w:rPr>
          <w:rFonts w:cs="Arial"/>
          <w:lang w:val="en-US"/>
        </w:rPr>
        <w:fldChar w:fldCharType="separate"/>
      </w:r>
      <w:r w:rsidR="00067D24" w:rsidRPr="00067D24">
        <w:rPr>
          <w:rFonts w:cs="Arial"/>
          <w:lang w:val="en-US"/>
        </w:rPr>
        <w:t>[28]</w:t>
      </w:r>
      <w:r w:rsidRPr="00137B2E">
        <w:rPr>
          <w:rFonts w:cs="Arial"/>
        </w:rPr>
        <w:fldChar w:fldCharType="end"/>
      </w:r>
      <w:r w:rsidRPr="00137B2E">
        <w:rPr>
          <w:rFonts w:cs="Arial"/>
          <w:lang w:val="en-US"/>
        </w:rPr>
        <w:t xml:space="preserve">.  </w:t>
      </w:r>
    </w:p>
    <w:p w14:paraId="3D896881" w14:textId="6853744B" w:rsidR="004C441D" w:rsidRDefault="004C441D" w:rsidP="004C441D">
      <w:pPr>
        <w:spacing w:line="480" w:lineRule="auto"/>
        <w:rPr>
          <w:rFonts w:cs="Arial"/>
        </w:rPr>
      </w:pPr>
      <w:r w:rsidRPr="00137B2E">
        <w:rPr>
          <w:rFonts w:cs="Arial"/>
          <w:lang w:val="en-US"/>
        </w:rPr>
        <w:t>A recent meta-analysis of 17 studies showed that doses ranging from 300mg to 600mg of inorganic nitrate (either in form of beetroot juice or sodium nitrate</w:t>
      </w:r>
      <w:r>
        <w:rPr>
          <w:rFonts w:cs="Arial"/>
          <w:lang w:val="en-US"/>
        </w:rPr>
        <w:t>, ranging from single bolus to 15 day supplementation</w:t>
      </w:r>
      <w:r w:rsidRPr="00137B2E">
        <w:rPr>
          <w:rFonts w:cs="Arial"/>
          <w:lang w:val="en-US"/>
        </w:rPr>
        <w:t xml:space="preserve">) showed a significant moderate benefit on exhaustion time </w:t>
      </w:r>
      <w:r w:rsidRPr="00137B2E">
        <w:rPr>
          <w:rFonts w:cs="Arial"/>
          <w:lang w:val="en-US"/>
        </w:rPr>
        <w:fldChar w:fldCharType="begin"/>
      </w:r>
      <w:r w:rsidRPr="00137B2E">
        <w:rPr>
          <w:rFonts w:cs="Arial"/>
          <w:lang w:val="en-US"/>
        </w:rPr>
        <w:instrText>ADDIN RW.CITE{{881 Hoon,M.W. 2013}}</w:instrText>
      </w:r>
      <w:r w:rsidRPr="00137B2E">
        <w:rPr>
          <w:rFonts w:cs="Arial"/>
          <w:lang w:val="en-US"/>
        </w:rPr>
        <w:fldChar w:fldCharType="separate"/>
      </w:r>
      <w:r w:rsidR="00067D24" w:rsidRPr="00067D24">
        <w:rPr>
          <w:rFonts w:cs="Arial"/>
          <w:lang w:val="en-US"/>
        </w:rPr>
        <w:t>[17]</w:t>
      </w:r>
      <w:r w:rsidRPr="00137B2E">
        <w:rPr>
          <w:rFonts w:cs="Arial"/>
        </w:rPr>
        <w:fldChar w:fldCharType="end"/>
      </w:r>
      <w:r w:rsidRPr="00137B2E">
        <w:rPr>
          <w:rFonts w:cs="Arial"/>
          <w:lang w:val="en-US"/>
        </w:rPr>
        <w:t xml:space="preserve">. Larsen et al demonstrated in young healthy volunteers that a dose of 0.1mmol/kg (7mmol=600mg for 70kg) split in three doses over the day given for 3 consecutive days can improve mitochondrial efficiency in the skeletal muscle </w:t>
      </w:r>
      <w:r w:rsidRPr="00137B2E">
        <w:rPr>
          <w:rFonts w:cs="Arial"/>
          <w:lang w:val="en-US"/>
        </w:rPr>
        <w:fldChar w:fldCharType="begin"/>
      </w:r>
      <w:r w:rsidRPr="00137B2E">
        <w:rPr>
          <w:rFonts w:cs="Arial"/>
          <w:lang w:val="en-US"/>
        </w:rPr>
        <w:instrText>ADDIN RW.CITE{{324 Larsen,F.J. 2011}}</w:instrText>
      </w:r>
      <w:r w:rsidRPr="00137B2E">
        <w:rPr>
          <w:rFonts w:cs="Arial"/>
          <w:lang w:val="en-US"/>
        </w:rPr>
        <w:fldChar w:fldCharType="separate"/>
      </w:r>
      <w:r w:rsidR="00067D24" w:rsidRPr="00067D24">
        <w:rPr>
          <w:rFonts w:cs="Arial"/>
          <w:lang w:val="en-US"/>
        </w:rPr>
        <w:t>[19]</w:t>
      </w:r>
      <w:r w:rsidRPr="00137B2E">
        <w:rPr>
          <w:rFonts w:cs="Arial"/>
        </w:rPr>
        <w:fldChar w:fldCharType="end"/>
      </w:r>
      <w:r w:rsidRPr="00137B2E">
        <w:rPr>
          <w:rFonts w:cs="Arial"/>
          <w:lang w:val="en-US"/>
        </w:rPr>
        <w:t xml:space="preserve">. </w:t>
      </w:r>
      <w:proofErr w:type="spellStart"/>
      <w:r w:rsidRPr="00137B2E">
        <w:rPr>
          <w:rFonts w:cs="Arial"/>
          <w:lang w:val="en-US"/>
        </w:rPr>
        <w:t>Kenjale</w:t>
      </w:r>
      <w:proofErr w:type="spellEnd"/>
      <w:r w:rsidRPr="00137B2E">
        <w:rPr>
          <w:rFonts w:cs="Arial"/>
          <w:lang w:val="en-US"/>
        </w:rPr>
        <w:t xml:space="preserve"> </w:t>
      </w:r>
      <w:proofErr w:type="gramStart"/>
      <w:r w:rsidRPr="00137B2E">
        <w:rPr>
          <w:rFonts w:cs="Arial"/>
          <w:lang w:val="en-US"/>
        </w:rPr>
        <w:t>et</w:t>
      </w:r>
      <w:proofErr w:type="gramEnd"/>
      <w:r w:rsidRPr="00137B2E">
        <w:rPr>
          <w:rFonts w:cs="Arial"/>
          <w:lang w:val="en-US"/>
        </w:rPr>
        <w:t xml:space="preserve"> all gave single dose of 9 </w:t>
      </w:r>
      <w:proofErr w:type="spellStart"/>
      <w:r w:rsidRPr="00137B2E">
        <w:rPr>
          <w:rFonts w:cs="Arial"/>
          <w:lang w:val="en-US"/>
        </w:rPr>
        <w:t>mmol</w:t>
      </w:r>
      <w:proofErr w:type="spellEnd"/>
      <w:r w:rsidRPr="00137B2E">
        <w:rPr>
          <w:rFonts w:cs="Arial"/>
          <w:lang w:val="en-US"/>
        </w:rPr>
        <w:t xml:space="preserve"> inorganic nitrate in form of a 750ml beetroot juice showing improvement in claudication onset </w:t>
      </w:r>
      <w:r w:rsidRPr="00137B2E">
        <w:rPr>
          <w:rFonts w:cs="Arial"/>
          <w:lang w:val="en-US"/>
        </w:rPr>
        <w:fldChar w:fldCharType="begin"/>
      </w:r>
      <w:r w:rsidRPr="00137B2E">
        <w:rPr>
          <w:rFonts w:cs="Arial"/>
          <w:lang w:val="en-US"/>
        </w:rPr>
        <w:instrText>ADDIN RW.CITE{{365 Kenjale,A.A. 2011}}</w:instrText>
      </w:r>
      <w:r w:rsidRPr="00137B2E">
        <w:rPr>
          <w:rFonts w:cs="Arial"/>
          <w:lang w:val="en-US"/>
        </w:rPr>
        <w:fldChar w:fldCharType="separate"/>
      </w:r>
      <w:r w:rsidR="00067D24" w:rsidRPr="00067D24">
        <w:rPr>
          <w:rFonts w:cs="Arial"/>
          <w:lang w:val="en-US"/>
        </w:rPr>
        <w:t>[30]</w:t>
      </w:r>
      <w:r w:rsidRPr="00137B2E">
        <w:rPr>
          <w:rFonts w:cs="Arial"/>
        </w:rPr>
        <w:fldChar w:fldCharType="end"/>
      </w:r>
      <w:r w:rsidRPr="00137B2E">
        <w:rPr>
          <w:rFonts w:cs="Arial"/>
          <w:lang w:val="en-US"/>
        </w:rPr>
        <w:t xml:space="preserve">. The dose used in our study (600mg, 7mmol) is several times higher than an average western diet intake which contains approximately 100mg/d </w:t>
      </w:r>
      <w:r w:rsidRPr="00137B2E">
        <w:rPr>
          <w:rFonts w:cs="Arial"/>
          <w:lang w:val="en-US"/>
        </w:rPr>
        <w:fldChar w:fldCharType="begin"/>
      </w:r>
      <w:r w:rsidRPr="00137B2E">
        <w:rPr>
          <w:rFonts w:cs="Arial"/>
          <w:lang w:val="en-US"/>
        </w:rPr>
        <w:instrText>ADDIN RW.CITE{{862 Hord,N.G. 2009}}</w:instrText>
      </w:r>
      <w:r w:rsidRPr="00137B2E">
        <w:rPr>
          <w:rFonts w:cs="Arial"/>
          <w:lang w:val="en-US"/>
        </w:rPr>
        <w:fldChar w:fldCharType="separate"/>
      </w:r>
      <w:r w:rsidR="00067D24" w:rsidRPr="00067D24">
        <w:rPr>
          <w:rFonts w:cs="Arial"/>
          <w:lang w:val="en-US"/>
        </w:rPr>
        <w:t>[31]</w:t>
      </w:r>
      <w:r w:rsidRPr="00137B2E">
        <w:rPr>
          <w:rFonts w:cs="Arial"/>
        </w:rPr>
        <w:fldChar w:fldCharType="end"/>
      </w:r>
      <w:r>
        <w:rPr>
          <w:rFonts w:cs="Arial"/>
          <w:lang w:val="en-US"/>
        </w:rPr>
        <w:t>,</w:t>
      </w:r>
      <w:r>
        <w:rPr>
          <w:rFonts w:cs="Arial"/>
          <w:lang w:val="en-US"/>
        </w:rPr>
        <w:t xml:space="preserve"> but </w:t>
      </w:r>
      <w:r w:rsidR="001B7A20">
        <w:rPr>
          <w:rFonts w:cs="Arial"/>
          <w:lang w:val="en-US"/>
        </w:rPr>
        <w:t xml:space="preserve">this </w:t>
      </w:r>
      <w:r>
        <w:rPr>
          <w:rFonts w:cs="Arial"/>
          <w:lang w:val="en-US"/>
        </w:rPr>
        <w:t>should be safe as the s</w:t>
      </w:r>
      <w:r w:rsidR="005454B5">
        <w:rPr>
          <w:rFonts w:cs="Arial"/>
          <w:lang w:val="en-US"/>
        </w:rPr>
        <w:t>imilar or even higher</w:t>
      </w:r>
      <w:r>
        <w:rPr>
          <w:rFonts w:cs="Arial"/>
          <w:lang w:val="en-US"/>
        </w:rPr>
        <w:t xml:space="preserve"> nitrate content can be achieved by </w:t>
      </w:r>
      <w:r w:rsidRPr="004C441D">
        <w:rPr>
          <w:rFonts w:cs="Arial"/>
          <w:lang w:val="en-US"/>
        </w:rPr>
        <w:t>nitrate rich Mediterranean diet or the fruit and vegetable rich DASH diet</w:t>
      </w:r>
      <w:r>
        <w:rPr>
          <w:rFonts w:cs="Arial"/>
          <w:lang w:val="en-US"/>
        </w:rPr>
        <w:t xml:space="preserve"> </w:t>
      </w:r>
      <w:r>
        <w:rPr>
          <w:rFonts w:cs="Arial"/>
          <w:lang w:val="en-US"/>
        </w:rPr>
        <w:t xml:space="preserve">which confer health benefits </w:t>
      </w:r>
      <w:r w:rsidRPr="004C441D">
        <w:rPr>
          <w:rFonts w:ascii="Calibri" w:eastAsia="Times New Roman" w:hAnsi="Calibri" w:cs="Arial"/>
          <w:sz w:val="24"/>
          <w:lang w:val="en-US"/>
        </w:rPr>
        <w:fldChar w:fldCharType="begin"/>
      </w:r>
      <w:r w:rsidRPr="004C441D">
        <w:rPr>
          <w:rFonts w:ascii="Calibri" w:eastAsia="Times New Roman" w:hAnsi="Calibri" w:cs="Arial"/>
          <w:sz w:val="24"/>
          <w:lang w:val="en-US"/>
        </w:rPr>
        <w:instrText>ADDIN RW.CITE{{462 Lundberg,J.O. 2008; 862 Hord,N.G. 2009; 893 Machha,A. 2012}}</w:instrText>
      </w:r>
      <w:r w:rsidRPr="004C441D">
        <w:rPr>
          <w:rFonts w:ascii="Calibri" w:eastAsia="Times New Roman" w:hAnsi="Calibri" w:cs="Arial"/>
          <w:sz w:val="24"/>
          <w:lang w:val="en-US"/>
        </w:rPr>
        <w:fldChar w:fldCharType="separate"/>
      </w:r>
      <w:r w:rsidR="00067D24" w:rsidRPr="00067D24">
        <w:rPr>
          <w:rFonts w:ascii="Calibri" w:eastAsia="Times New Roman" w:hAnsi="Calibri" w:cs="Arial"/>
          <w:sz w:val="24"/>
          <w:lang w:val="en-US"/>
        </w:rPr>
        <w:t>[2,31,32]</w:t>
      </w:r>
      <w:r w:rsidRPr="004C441D">
        <w:rPr>
          <w:rFonts w:ascii="Calibri" w:eastAsia="Times New Roman" w:hAnsi="Calibri" w:cs="Arial"/>
          <w:sz w:val="24"/>
          <w:lang w:val="en-US"/>
        </w:rPr>
        <w:fldChar w:fldCharType="end"/>
      </w:r>
      <w:r>
        <w:rPr>
          <w:rFonts w:ascii="Calibri" w:eastAsia="Times New Roman" w:hAnsi="Calibri" w:cs="Arial"/>
          <w:sz w:val="24"/>
          <w:lang w:val="en-US"/>
        </w:rPr>
        <w:t>.</w:t>
      </w:r>
    </w:p>
    <w:p w14:paraId="5B8D94F3" w14:textId="77777777" w:rsidR="00137B2E" w:rsidRDefault="0005639B" w:rsidP="007C7A49">
      <w:pPr>
        <w:spacing w:line="480" w:lineRule="auto"/>
        <w:rPr>
          <w:rFonts w:cs="Arial"/>
        </w:rPr>
      </w:pPr>
      <w:r w:rsidRPr="00401306">
        <w:rPr>
          <w:rFonts w:cs="Arial"/>
        </w:rPr>
        <w:t xml:space="preserve">The trial medication </w:t>
      </w:r>
      <w:r w:rsidR="00443C5F">
        <w:rPr>
          <w:rFonts w:cs="Arial"/>
        </w:rPr>
        <w:t>will be</w:t>
      </w:r>
      <w:r w:rsidRPr="00401306">
        <w:rPr>
          <w:rFonts w:cs="Arial"/>
        </w:rPr>
        <w:t xml:space="preserve"> manufactured and p</w:t>
      </w:r>
      <w:r>
        <w:rPr>
          <w:rFonts w:cs="Arial"/>
        </w:rPr>
        <w:t>laced</w:t>
      </w:r>
      <w:r w:rsidRPr="00401306">
        <w:rPr>
          <w:rFonts w:cs="Arial"/>
        </w:rPr>
        <w:t xml:space="preserve"> into packs containing two bottles labelled 1 (first treatment visit) and 2 (second treatment visit) </w:t>
      </w:r>
      <w:r>
        <w:rPr>
          <w:rFonts w:cs="Arial"/>
        </w:rPr>
        <w:t>at the</w:t>
      </w:r>
      <w:r w:rsidRPr="00401306">
        <w:rPr>
          <w:rFonts w:cs="Arial"/>
        </w:rPr>
        <w:t xml:space="preserve"> Western Glasgow Infirmary Pharmacy. </w:t>
      </w:r>
      <w:r w:rsidR="0099263F" w:rsidRPr="0099263F">
        <w:rPr>
          <w:rFonts w:cs="Arial"/>
          <w:bCs/>
        </w:rPr>
        <w:t xml:space="preserve">Sodium Nitrate powder will be purchased from </w:t>
      </w:r>
      <w:r w:rsidR="0099263F" w:rsidRPr="0099263F">
        <w:rPr>
          <w:rFonts w:cs="Arial"/>
          <w:bCs/>
          <w:i/>
        </w:rPr>
        <w:t xml:space="preserve">Merck </w:t>
      </w:r>
      <w:proofErr w:type="spellStart"/>
      <w:r w:rsidR="0099263F" w:rsidRPr="0099263F">
        <w:rPr>
          <w:rFonts w:cs="Arial"/>
          <w:bCs/>
          <w:i/>
        </w:rPr>
        <w:t>KGaA</w:t>
      </w:r>
      <w:proofErr w:type="spellEnd"/>
      <w:r w:rsidR="0099263F" w:rsidRPr="0099263F">
        <w:rPr>
          <w:rFonts w:cs="Arial"/>
          <w:bCs/>
          <w:i/>
        </w:rPr>
        <w:t xml:space="preserve">, </w:t>
      </w:r>
      <w:proofErr w:type="spellStart"/>
      <w:r w:rsidR="0099263F" w:rsidRPr="0099263F">
        <w:rPr>
          <w:rFonts w:cs="Arial"/>
          <w:bCs/>
          <w:i/>
        </w:rPr>
        <w:t>Damstadt</w:t>
      </w:r>
      <w:proofErr w:type="spellEnd"/>
      <w:r w:rsidR="0099263F" w:rsidRPr="0099263F">
        <w:rPr>
          <w:rFonts w:cs="Arial"/>
          <w:bCs/>
          <w:i/>
        </w:rPr>
        <w:t>, Germany</w:t>
      </w:r>
      <w:r w:rsidR="0099263F">
        <w:rPr>
          <w:rFonts w:cs="Arial"/>
        </w:rPr>
        <w:t xml:space="preserve">. </w:t>
      </w:r>
      <w:r w:rsidRPr="00401306">
        <w:rPr>
          <w:rFonts w:cs="Arial"/>
        </w:rPr>
        <w:t xml:space="preserve">Each bottle </w:t>
      </w:r>
      <w:r w:rsidR="00443C5F">
        <w:rPr>
          <w:rFonts w:cs="Arial"/>
        </w:rPr>
        <w:t>will include</w:t>
      </w:r>
      <w:r w:rsidR="00603A1A">
        <w:rPr>
          <w:rFonts w:cs="Arial"/>
        </w:rPr>
        <w:t xml:space="preserve"> 14 capsules and contains</w:t>
      </w:r>
      <w:r w:rsidRPr="00401306">
        <w:rPr>
          <w:rFonts w:cs="Arial"/>
        </w:rPr>
        <w:t xml:space="preserve"> either 600mg (7mmol) of sodium nitrate or placebo (lactose monohydrate) filled in opaque matching hard </w:t>
      </w:r>
      <w:proofErr w:type="spellStart"/>
      <w:r w:rsidRPr="00401306">
        <w:rPr>
          <w:rFonts w:cs="Arial"/>
        </w:rPr>
        <w:t>gelatin</w:t>
      </w:r>
      <w:proofErr w:type="spellEnd"/>
      <w:r w:rsidRPr="00401306">
        <w:rPr>
          <w:rFonts w:cs="Arial"/>
        </w:rPr>
        <w:t xml:space="preserve"> capsules. </w:t>
      </w:r>
      <w:bookmarkStart w:id="5" w:name="_GoBack"/>
    </w:p>
    <w:bookmarkEnd w:id="5"/>
    <w:p w14:paraId="4E2946F3" w14:textId="619806FE" w:rsidR="00670849" w:rsidRDefault="0005639B" w:rsidP="007C7A49">
      <w:pPr>
        <w:spacing w:line="480" w:lineRule="auto"/>
        <w:rPr>
          <w:rFonts w:cs="Arial"/>
        </w:rPr>
      </w:pPr>
      <w:r w:rsidRPr="00401306">
        <w:rPr>
          <w:rFonts w:cs="Arial"/>
        </w:rPr>
        <w:t>The sequence of treatment r</w:t>
      </w:r>
      <w:r w:rsidR="00603A1A">
        <w:rPr>
          <w:rFonts w:cs="Arial"/>
        </w:rPr>
        <w:t>a</w:t>
      </w:r>
      <w:r w:rsidR="008E50CC">
        <w:rPr>
          <w:rFonts w:cs="Arial"/>
        </w:rPr>
        <w:t>ndomization to bottle 1 and 2 will be</w:t>
      </w:r>
      <w:r w:rsidRPr="00401306">
        <w:rPr>
          <w:rFonts w:cs="Arial"/>
        </w:rPr>
        <w:t xml:space="preserve"> decided according to a list provided by Aberdeen Randomisation Service (</w:t>
      </w:r>
      <w:proofErr w:type="spellStart"/>
      <w:r w:rsidRPr="00401306">
        <w:rPr>
          <w:rFonts w:cs="Arial"/>
        </w:rPr>
        <w:t>CHaRT</w:t>
      </w:r>
      <w:proofErr w:type="spellEnd"/>
      <w:r w:rsidRPr="00401306">
        <w:rPr>
          <w:rFonts w:cs="Arial"/>
        </w:rPr>
        <w:t xml:space="preserve">, University of Aberdeen). At no point during </w:t>
      </w:r>
      <w:r w:rsidRPr="00401306">
        <w:rPr>
          <w:rFonts w:cs="Arial"/>
        </w:rPr>
        <w:lastRenderedPageBreak/>
        <w:t xml:space="preserve">the study </w:t>
      </w:r>
      <w:r w:rsidR="00603A1A">
        <w:rPr>
          <w:rFonts w:cs="Arial"/>
        </w:rPr>
        <w:t>will</w:t>
      </w:r>
      <w:r w:rsidRPr="00401306">
        <w:rPr>
          <w:rFonts w:cs="Arial"/>
        </w:rPr>
        <w:t xml:space="preserve"> the research team or the patient know which bottle contain</w:t>
      </w:r>
      <w:r w:rsidR="00603A1A">
        <w:rPr>
          <w:rFonts w:cs="Arial"/>
        </w:rPr>
        <w:t>s</w:t>
      </w:r>
      <w:r w:rsidRPr="00401306">
        <w:rPr>
          <w:rFonts w:cs="Arial"/>
        </w:rPr>
        <w:t xml:space="preserve"> which treatment. Following treatment </w:t>
      </w:r>
      <w:proofErr w:type="spellStart"/>
      <w:r w:rsidRPr="00401306">
        <w:rPr>
          <w:rFonts w:cs="Arial"/>
        </w:rPr>
        <w:t>enrollment</w:t>
      </w:r>
      <w:proofErr w:type="spellEnd"/>
      <w:r w:rsidRPr="00401306">
        <w:rPr>
          <w:rFonts w:cs="Arial"/>
        </w:rPr>
        <w:t xml:space="preserve"> the patient w</w:t>
      </w:r>
      <w:r w:rsidR="005A3700">
        <w:rPr>
          <w:rFonts w:cs="Arial"/>
        </w:rPr>
        <w:t>ill be</w:t>
      </w:r>
      <w:r w:rsidRPr="00401306">
        <w:rPr>
          <w:rFonts w:cs="Arial"/>
        </w:rPr>
        <w:t xml:space="preserve"> handed out </w:t>
      </w:r>
      <w:r w:rsidR="005A3700">
        <w:rPr>
          <w:rFonts w:cs="Arial"/>
        </w:rPr>
        <w:t>the first bottle and start</w:t>
      </w:r>
      <w:r w:rsidRPr="00401306">
        <w:rPr>
          <w:rFonts w:cs="Arial"/>
        </w:rPr>
        <w:t xml:space="preserve"> treatment with one capsule a day for a period of 7-10 days before undergoing a treadmill test and/or DSE and/or blood tests</w:t>
      </w:r>
      <w:r w:rsidR="005A3700">
        <w:rPr>
          <w:rFonts w:cs="Arial"/>
        </w:rPr>
        <w:t xml:space="preserve"> and a second bottle will be handed out</w:t>
      </w:r>
      <w:r w:rsidRPr="00401306">
        <w:rPr>
          <w:rFonts w:cs="Arial"/>
        </w:rPr>
        <w:t xml:space="preserve">. After a two weeks </w:t>
      </w:r>
      <w:r>
        <w:rPr>
          <w:rFonts w:cs="Arial"/>
        </w:rPr>
        <w:t>wash</w:t>
      </w:r>
      <w:r w:rsidRPr="00401306">
        <w:rPr>
          <w:rFonts w:cs="Arial"/>
        </w:rPr>
        <w:t xml:space="preserve"> out period </w:t>
      </w:r>
      <w:r w:rsidR="005A3700">
        <w:rPr>
          <w:rFonts w:cs="Arial"/>
        </w:rPr>
        <w:t>the second bottle</w:t>
      </w:r>
      <w:r w:rsidRPr="00401306">
        <w:rPr>
          <w:rFonts w:cs="Arial"/>
        </w:rPr>
        <w:t xml:space="preserve"> w</w:t>
      </w:r>
      <w:r w:rsidR="005A3700">
        <w:rPr>
          <w:rFonts w:cs="Arial"/>
        </w:rPr>
        <w:t>ill</w:t>
      </w:r>
      <w:r w:rsidRPr="00401306">
        <w:rPr>
          <w:rFonts w:cs="Arial"/>
        </w:rPr>
        <w:t xml:space="preserve"> </w:t>
      </w:r>
      <w:r w:rsidR="005A3700">
        <w:rPr>
          <w:rFonts w:cs="Arial"/>
        </w:rPr>
        <w:t xml:space="preserve">be </w:t>
      </w:r>
      <w:r w:rsidRPr="00401306">
        <w:rPr>
          <w:rFonts w:cs="Arial"/>
        </w:rPr>
        <w:t xml:space="preserve">started for 7-10 days and same tests performed on the last day. After each arm the patient </w:t>
      </w:r>
      <w:r w:rsidR="005A3700">
        <w:rPr>
          <w:rFonts w:cs="Arial"/>
        </w:rPr>
        <w:t xml:space="preserve">will </w:t>
      </w:r>
      <w:r w:rsidRPr="00401306">
        <w:rPr>
          <w:rFonts w:cs="Arial"/>
        </w:rPr>
        <w:t xml:space="preserve">returned the bottle with </w:t>
      </w:r>
      <w:r>
        <w:rPr>
          <w:rFonts w:cs="Arial"/>
        </w:rPr>
        <w:t xml:space="preserve">the </w:t>
      </w:r>
      <w:r w:rsidRPr="00401306">
        <w:rPr>
          <w:rFonts w:cs="Arial"/>
        </w:rPr>
        <w:t xml:space="preserve">remaining capsules </w:t>
      </w:r>
      <w:r w:rsidR="00A16EB7">
        <w:rPr>
          <w:rFonts w:cs="Arial"/>
        </w:rPr>
        <w:t>for compliance assessment and</w:t>
      </w:r>
      <w:r w:rsidRPr="00401306">
        <w:rPr>
          <w:rFonts w:cs="Arial"/>
        </w:rPr>
        <w:t xml:space="preserve"> </w:t>
      </w:r>
      <w:r w:rsidR="00A16EB7">
        <w:rPr>
          <w:rFonts w:cs="Arial"/>
        </w:rPr>
        <w:t>returned t</w:t>
      </w:r>
      <w:r w:rsidRPr="00401306">
        <w:rPr>
          <w:rFonts w:cs="Arial"/>
        </w:rPr>
        <w:t>o pharmacy.</w:t>
      </w:r>
      <w:r>
        <w:rPr>
          <w:rFonts w:cs="Arial"/>
        </w:rPr>
        <w:t xml:space="preserve"> The two weeks wash out period should be sufficient to avoid any confounding carry-over effects of nitrate treatment as its plasma half-life ranges from 5-8h. </w:t>
      </w:r>
    </w:p>
    <w:p w14:paraId="2093C719" w14:textId="1BD704F7" w:rsidR="0005639B" w:rsidRPr="00401306" w:rsidRDefault="0005639B" w:rsidP="007C7A49">
      <w:pPr>
        <w:spacing w:line="480" w:lineRule="auto"/>
        <w:rPr>
          <w:rFonts w:cs="Arial"/>
        </w:rPr>
      </w:pPr>
      <w:r w:rsidRPr="00401306">
        <w:rPr>
          <w:rFonts w:cs="Arial"/>
        </w:rPr>
        <w:t>Followin</w:t>
      </w:r>
      <w:r>
        <w:rPr>
          <w:rFonts w:cs="Arial"/>
        </w:rPr>
        <w:t>g verbal instruction</w:t>
      </w:r>
      <w:r w:rsidR="008E50CC">
        <w:rPr>
          <w:rFonts w:cs="Arial"/>
        </w:rPr>
        <w:t>,</w:t>
      </w:r>
      <w:r w:rsidRPr="00401306">
        <w:rPr>
          <w:rFonts w:cs="Arial"/>
        </w:rPr>
        <w:t xml:space="preserve"> patients w</w:t>
      </w:r>
      <w:r w:rsidR="00670849">
        <w:rPr>
          <w:rFonts w:cs="Arial"/>
        </w:rPr>
        <w:t>ill be</w:t>
      </w:r>
      <w:r w:rsidRPr="00401306">
        <w:rPr>
          <w:rFonts w:cs="Arial"/>
        </w:rPr>
        <w:t xml:space="preserve"> handed-out a written diet advice sheet and asked to follow a low nitrate and nitrite diet,</w:t>
      </w:r>
      <w:r>
        <w:rPr>
          <w:rFonts w:cs="Arial"/>
        </w:rPr>
        <w:t xml:space="preserve"> to</w:t>
      </w:r>
      <w:r w:rsidRPr="00401306">
        <w:rPr>
          <w:rFonts w:cs="Arial"/>
        </w:rPr>
        <w:t xml:space="preserve"> limit caffeine intake and avoid use of anti-bacterial mouthwash during the treatment weeks. The latter </w:t>
      </w:r>
      <w:r w:rsidR="000A4725">
        <w:rPr>
          <w:rFonts w:cs="Arial"/>
        </w:rPr>
        <w:t>is</w:t>
      </w:r>
      <w:r w:rsidRPr="00401306">
        <w:rPr>
          <w:rFonts w:cs="Arial"/>
        </w:rPr>
        <w:t xml:space="preserve"> in order to prevent the loss of nitrate to nitrite bacterial bioconversion which occurs in the oral cavity and forms an integral part of the nitrate/nitrite </w:t>
      </w:r>
      <w:proofErr w:type="spellStart"/>
      <w:r w:rsidRPr="00401306">
        <w:rPr>
          <w:rFonts w:cs="Arial"/>
        </w:rPr>
        <w:t>entero</w:t>
      </w:r>
      <w:proofErr w:type="spellEnd"/>
      <w:r w:rsidRPr="00401306">
        <w:rPr>
          <w:rFonts w:cs="Arial"/>
        </w:rPr>
        <w:t xml:space="preserve">-salivary circulation </w:t>
      </w:r>
      <w:r w:rsidRPr="00CC4265">
        <w:rPr>
          <w:rFonts w:cs="Arial"/>
          <w:color w:val="FF0000"/>
        </w:rPr>
        <w:fldChar w:fldCharType="begin"/>
      </w:r>
      <w:r w:rsidR="00CC4265" w:rsidRPr="00CC4265">
        <w:rPr>
          <w:rFonts w:cs="Arial"/>
          <w:color w:val="FF0000"/>
        </w:rPr>
        <w:instrText>ADDIN RW.CITE{{1009 Govoni,M. 2008; 859 Webb,A.J. 2008; 1010 Kapil,V. 2013; 920 Bondonno,C.P. 2014}}</w:instrText>
      </w:r>
      <w:r w:rsidRPr="00CC4265">
        <w:rPr>
          <w:rFonts w:cs="Arial"/>
          <w:color w:val="FF0000"/>
        </w:rPr>
        <w:fldChar w:fldCharType="separate"/>
      </w:r>
      <w:r w:rsidR="00067D24" w:rsidRPr="00067D24">
        <w:rPr>
          <w:rFonts w:cs="Arial"/>
          <w:color w:val="FF0000"/>
        </w:rPr>
        <w:t>[33-36]</w:t>
      </w:r>
      <w:r w:rsidRPr="00CC4265">
        <w:rPr>
          <w:rFonts w:cs="Arial"/>
          <w:color w:val="FF0000"/>
        </w:rPr>
        <w:fldChar w:fldCharType="end"/>
      </w:r>
      <w:r w:rsidRPr="00401306">
        <w:rPr>
          <w:rFonts w:cs="Arial"/>
        </w:rPr>
        <w:t>. On the morning of the test the patients w</w:t>
      </w:r>
      <w:r w:rsidR="000A4725">
        <w:rPr>
          <w:rFonts w:cs="Arial"/>
        </w:rPr>
        <w:t>ill be</w:t>
      </w:r>
      <w:r w:rsidRPr="00401306">
        <w:rPr>
          <w:rFonts w:cs="Arial"/>
        </w:rPr>
        <w:t xml:space="preserve"> asked to avoid any caffeine intake and take the last study capsule approximately two hours prior their visit.</w:t>
      </w:r>
      <w:r w:rsidR="00670849" w:rsidRPr="00670849">
        <w:rPr>
          <w:rFonts w:cs="Arial"/>
        </w:rPr>
        <w:t xml:space="preserve"> </w:t>
      </w:r>
    </w:p>
    <w:p w14:paraId="6049D65B" w14:textId="77777777" w:rsidR="0005639B" w:rsidRPr="00401306" w:rsidRDefault="0005639B" w:rsidP="007C7A49">
      <w:pPr>
        <w:pStyle w:val="Heading4"/>
      </w:pPr>
      <w:bookmarkStart w:id="6" w:name="_Toc436765717"/>
      <w:r w:rsidRPr="00401306">
        <w:t>E</w:t>
      </w:r>
      <w:r>
        <w:t>xercise Treadmill Test</w:t>
      </w:r>
      <w:bookmarkEnd w:id="6"/>
    </w:p>
    <w:p w14:paraId="0BB15DD1" w14:textId="7322C147" w:rsidR="0005639B" w:rsidRPr="00401306" w:rsidRDefault="00B5238F" w:rsidP="007C7A49">
      <w:pPr>
        <w:spacing w:line="480" w:lineRule="auto"/>
        <w:rPr>
          <w:rFonts w:cs="Arial"/>
          <w:noProof/>
          <w:lang w:eastAsia="en-GB"/>
        </w:rPr>
      </w:pPr>
      <w:r>
        <w:rPr>
          <w:rFonts w:cs="Arial"/>
        </w:rPr>
        <w:t>Seventy p</w:t>
      </w:r>
      <w:r w:rsidR="0005639B" w:rsidRPr="00401306">
        <w:rPr>
          <w:rFonts w:cs="Arial"/>
        </w:rPr>
        <w:t xml:space="preserve">atients </w:t>
      </w:r>
      <w:r w:rsidR="00142571">
        <w:rPr>
          <w:rFonts w:cs="Arial"/>
        </w:rPr>
        <w:t xml:space="preserve">will </w:t>
      </w:r>
      <w:r w:rsidR="007D5CF9">
        <w:rPr>
          <w:rFonts w:cs="Arial"/>
        </w:rPr>
        <w:t xml:space="preserve">undergo </w:t>
      </w:r>
      <w:r>
        <w:rPr>
          <w:rFonts w:cs="Arial"/>
        </w:rPr>
        <w:t>an ECG treadmill test</w:t>
      </w:r>
      <w:r w:rsidR="0005639B" w:rsidRPr="00401306">
        <w:rPr>
          <w:rFonts w:cs="Arial"/>
        </w:rPr>
        <w:t xml:space="preserve"> following each treatment arm. </w:t>
      </w:r>
      <w:r w:rsidR="002E6CB9">
        <w:rPr>
          <w:rFonts w:cs="Arial"/>
        </w:rPr>
        <w:t xml:space="preserve">They will </w:t>
      </w:r>
      <w:r w:rsidR="00B43E60">
        <w:rPr>
          <w:rFonts w:cs="Arial"/>
        </w:rPr>
        <w:t xml:space="preserve">be performed </w:t>
      </w:r>
      <w:r w:rsidR="0005639B" w:rsidRPr="00401306">
        <w:rPr>
          <w:rFonts w:cs="Arial"/>
        </w:rPr>
        <w:t xml:space="preserve">approximately two hours following ingestion of the last study capsule </w:t>
      </w:r>
      <w:r w:rsidR="00B43E60">
        <w:rPr>
          <w:rFonts w:cs="Arial"/>
        </w:rPr>
        <w:t>to ensure the nitrate to nitrite bioconversion can take place.</w:t>
      </w:r>
      <w:r w:rsidR="0005639B" w:rsidRPr="00401306">
        <w:rPr>
          <w:rFonts w:cs="Arial"/>
        </w:rPr>
        <w:t xml:space="preserve"> Automated </w:t>
      </w:r>
      <w:r w:rsidR="00B43E60">
        <w:rPr>
          <w:rFonts w:cs="Arial"/>
        </w:rPr>
        <w:t>blood pressure monitoring</w:t>
      </w:r>
      <w:r w:rsidR="0005639B" w:rsidRPr="00401306">
        <w:rPr>
          <w:rFonts w:cs="Arial"/>
        </w:rPr>
        <w:t xml:space="preserve"> and 12 lead ECGs w</w:t>
      </w:r>
      <w:r w:rsidR="00B43E60">
        <w:rPr>
          <w:rFonts w:cs="Arial"/>
        </w:rPr>
        <w:t>ill be</w:t>
      </w:r>
      <w:r w:rsidR="0005639B" w:rsidRPr="00401306">
        <w:rPr>
          <w:rFonts w:cs="Arial"/>
        </w:rPr>
        <w:t xml:space="preserve"> recorded at rest in standing position </w:t>
      </w:r>
      <w:r w:rsidR="00E52842">
        <w:rPr>
          <w:rFonts w:cs="Arial"/>
        </w:rPr>
        <w:t xml:space="preserve">and </w:t>
      </w:r>
      <w:r w:rsidR="00B43E60">
        <w:rPr>
          <w:rFonts w:cs="Arial"/>
        </w:rPr>
        <w:t>during a</w:t>
      </w:r>
      <w:r w:rsidR="0005639B" w:rsidRPr="00401306">
        <w:rPr>
          <w:rFonts w:cs="Arial"/>
        </w:rPr>
        <w:t xml:space="preserve"> modified Bruce protocol </w:t>
      </w:r>
      <w:r w:rsidR="005F171A">
        <w:rPr>
          <w:rFonts w:cs="Arial"/>
        </w:rPr>
        <w:t>(</w:t>
      </w:r>
      <w:r w:rsidR="0005639B" w:rsidRPr="00401306">
        <w:rPr>
          <w:rFonts w:cs="Arial"/>
        </w:rPr>
        <w:t xml:space="preserve">at the end of each stage, at the time of first 1mm ST depression, at time of first chest pain onset, at peak exercise and every </w:t>
      </w:r>
      <w:r w:rsidR="005F171A">
        <w:rPr>
          <w:rFonts w:cs="Arial"/>
        </w:rPr>
        <w:t>three</w:t>
      </w:r>
      <w:r w:rsidR="0005639B" w:rsidRPr="00401306">
        <w:rPr>
          <w:rFonts w:cs="Arial"/>
        </w:rPr>
        <w:t xml:space="preserve"> minutes into recovery</w:t>
      </w:r>
      <w:r w:rsidR="005F171A">
        <w:rPr>
          <w:rFonts w:cs="Arial"/>
        </w:rPr>
        <w:t>)</w:t>
      </w:r>
      <w:r w:rsidR="0005639B" w:rsidRPr="00401306">
        <w:rPr>
          <w:rFonts w:cs="Arial"/>
        </w:rPr>
        <w:t>. In patients with minor resting ST depression (&lt;1mm), the time to 1mm ST change w</w:t>
      </w:r>
      <w:r w:rsidR="00027C56">
        <w:rPr>
          <w:rFonts w:cs="Arial"/>
        </w:rPr>
        <w:t>ill be</w:t>
      </w:r>
      <w:r w:rsidR="0005639B" w:rsidRPr="00401306">
        <w:rPr>
          <w:rFonts w:cs="Arial"/>
        </w:rPr>
        <w:t xml:space="preserve"> defined as additional ST depression of 1mm below the resting value </w:t>
      </w:r>
      <w:r w:rsidR="00027C56">
        <w:rPr>
          <w:rFonts w:cs="Arial"/>
        </w:rPr>
        <w:t xml:space="preserve"> as digitally displayed</w:t>
      </w:r>
      <w:r w:rsidR="00027C56" w:rsidRPr="00027C56">
        <w:rPr>
          <w:rFonts w:cs="Arial"/>
        </w:rPr>
        <w:t xml:space="preserve"> </w:t>
      </w:r>
      <w:r w:rsidR="00027C56" w:rsidRPr="00401306">
        <w:rPr>
          <w:rFonts w:cs="Arial"/>
        </w:rPr>
        <w:t xml:space="preserve">at J point + 80 </w:t>
      </w:r>
      <w:proofErr w:type="spellStart"/>
      <w:r w:rsidR="00027C56" w:rsidRPr="00401306">
        <w:rPr>
          <w:rFonts w:cs="Arial"/>
        </w:rPr>
        <w:t>ms</w:t>
      </w:r>
      <w:proofErr w:type="spellEnd"/>
      <w:r w:rsidR="0072259D" w:rsidRPr="00401306">
        <w:rPr>
          <w:rFonts w:cs="Arial"/>
        </w:rPr>
        <w:fldChar w:fldCharType="begin"/>
      </w:r>
      <w:r w:rsidR="0072259D" w:rsidRPr="00401306">
        <w:rPr>
          <w:rFonts w:cs="Arial"/>
        </w:rPr>
        <w:instrText>ADDIN RW.CITE{{595 Chaitman,B.R. 2004}}</w:instrText>
      </w:r>
      <w:r w:rsidR="0072259D" w:rsidRPr="00401306">
        <w:rPr>
          <w:rFonts w:cs="Arial"/>
        </w:rPr>
        <w:fldChar w:fldCharType="separate"/>
      </w:r>
      <w:r w:rsidR="00067D24" w:rsidRPr="00067D24">
        <w:rPr>
          <w:rFonts w:cs="Arial"/>
        </w:rPr>
        <w:t>[26]</w:t>
      </w:r>
      <w:r w:rsidR="0072259D" w:rsidRPr="00401306">
        <w:rPr>
          <w:rFonts w:cs="Arial"/>
        </w:rPr>
        <w:fldChar w:fldCharType="end"/>
      </w:r>
      <w:r w:rsidR="0005639B" w:rsidRPr="00401306">
        <w:rPr>
          <w:rFonts w:cs="Arial"/>
        </w:rPr>
        <w:t xml:space="preserve">. </w:t>
      </w:r>
    </w:p>
    <w:p w14:paraId="2E68DEF6" w14:textId="77777777" w:rsidR="0005639B" w:rsidRPr="00401306" w:rsidRDefault="0005639B" w:rsidP="007C7A49">
      <w:pPr>
        <w:spacing w:line="480" w:lineRule="auto"/>
        <w:rPr>
          <w:rFonts w:cs="Arial"/>
        </w:rPr>
      </w:pPr>
    </w:p>
    <w:p w14:paraId="09A99991" w14:textId="38BCEABF" w:rsidR="0080792D" w:rsidRDefault="0080792D" w:rsidP="007C7A49">
      <w:pPr>
        <w:pStyle w:val="Heading4"/>
      </w:pPr>
      <w:bookmarkStart w:id="7" w:name="_Toc436765718"/>
      <w:r>
        <w:rPr>
          <w:noProof/>
          <w:lang w:val="en-GB" w:eastAsia="en-GB"/>
        </w:rPr>
        <w:lastRenderedPageBreak/>
        <w:drawing>
          <wp:inline distT="0" distB="0" distL="0" distR="0" wp14:anchorId="72D9C6EC" wp14:editId="01C9E0AC">
            <wp:extent cx="5602605" cy="19691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2605" cy="1969135"/>
                    </a:xfrm>
                    <a:prstGeom prst="rect">
                      <a:avLst/>
                    </a:prstGeom>
                    <a:noFill/>
                  </pic:spPr>
                </pic:pic>
              </a:graphicData>
            </a:graphic>
          </wp:inline>
        </w:drawing>
      </w:r>
    </w:p>
    <w:p w14:paraId="21C370AC" w14:textId="728FC17C" w:rsidR="0080792D" w:rsidRPr="0080792D" w:rsidRDefault="0080792D" w:rsidP="0080792D">
      <w:pPr>
        <w:rPr>
          <w:rFonts w:cs="Arial"/>
          <w:b/>
          <w:color w:val="FF0000"/>
        </w:rPr>
      </w:pPr>
      <w:r w:rsidRPr="0080792D">
        <w:rPr>
          <w:rFonts w:cs="Arial"/>
          <w:b/>
          <w:color w:val="FF0000"/>
        </w:rPr>
        <w:t>Figure 2</w:t>
      </w:r>
    </w:p>
    <w:p w14:paraId="61C62A1C" w14:textId="42D60689" w:rsidR="0080792D" w:rsidRPr="00401306" w:rsidRDefault="0080792D" w:rsidP="0080792D">
      <w:pPr>
        <w:rPr>
          <w:rFonts w:cs="Arial"/>
          <w:i/>
        </w:rPr>
      </w:pPr>
      <w:r>
        <w:rPr>
          <w:rFonts w:cs="Arial"/>
          <w:i/>
        </w:rPr>
        <w:t>Set-up for A)</w:t>
      </w:r>
      <w:r w:rsidRPr="00401306">
        <w:rPr>
          <w:rFonts w:cs="Arial"/>
          <w:i/>
        </w:rPr>
        <w:t xml:space="preserve"> ECG treadmill test and B) </w:t>
      </w:r>
      <w:proofErr w:type="spellStart"/>
      <w:r w:rsidRPr="00401306">
        <w:rPr>
          <w:rFonts w:cs="Arial"/>
          <w:i/>
        </w:rPr>
        <w:t>dobutamine</w:t>
      </w:r>
      <w:proofErr w:type="spellEnd"/>
      <w:r w:rsidRPr="00401306">
        <w:rPr>
          <w:rFonts w:cs="Arial"/>
          <w:i/>
        </w:rPr>
        <w:t xml:space="preserve"> stres</w:t>
      </w:r>
      <w:r>
        <w:rPr>
          <w:rFonts w:cs="Arial"/>
          <w:i/>
        </w:rPr>
        <w:t xml:space="preserve">s echocardiography examination </w:t>
      </w:r>
      <w:r w:rsidRPr="00401306">
        <w:rPr>
          <w:rFonts w:cs="Arial"/>
          <w:i/>
        </w:rPr>
        <w:t xml:space="preserve">(one </w:t>
      </w:r>
      <w:proofErr w:type="spellStart"/>
      <w:r w:rsidRPr="00401306">
        <w:rPr>
          <w:rFonts w:cs="Arial"/>
          <w:i/>
        </w:rPr>
        <w:t>echocardiographer</w:t>
      </w:r>
      <w:proofErr w:type="spellEnd"/>
      <w:r w:rsidRPr="00401306">
        <w:rPr>
          <w:rFonts w:cs="Arial"/>
          <w:i/>
        </w:rPr>
        <w:t xml:space="preserve"> + two assistants)</w:t>
      </w:r>
    </w:p>
    <w:p w14:paraId="60FA6A1A" w14:textId="77777777" w:rsidR="0080792D" w:rsidRDefault="0080792D" w:rsidP="007C7A49">
      <w:pPr>
        <w:pStyle w:val="Heading4"/>
        <w:rPr>
          <w:lang w:val="en-GB"/>
        </w:rPr>
      </w:pPr>
    </w:p>
    <w:p w14:paraId="53475267" w14:textId="63EA8C2F" w:rsidR="00017AFC" w:rsidRDefault="00017AFC" w:rsidP="00017AFC">
      <w:r>
        <w:rPr>
          <w:noProof/>
          <w:lang w:eastAsia="en-GB"/>
        </w:rPr>
        <w:drawing>
          <wp:inline distT="0" distB="0" distL="0" distR="0" wp14:anchorId="534332B5" wp14:editId="241F6821">
            <wp:extent cx="4950460" cy="2962910"/>
            <wp:effectExtent l="0" t="0" r="254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0460" cy="2962910"/>
                    </a:xfrm>
                    <a:prstGeom prst="rect">
                      <a:avLst/>
                    </a:prstGeom>
                    <a:noFill/>
                  </pic:spPr>
                </pic:pic>
              </a:graphicData>
            </a:graphic>
          </wp:inline>
        </w:drawing>
      </w:r>
    </w:p>
    <w:p w14:paraId="4609D83E" w14:textId="46A41E81" w:rsidR="00017AFC" w:rsidRPr="00017AFC" w:rsidRDefault="00017AFC" w:rsidP="00017AFC">
      <w:pPr>
        <w:rPr>
          <w:rFonts w:cs="Arial"/>
          <w:b/>
          <w:noProof/>
          <w:lang w:eastAsia="en-GB"/>
        </w:rPr>
      </w:pPr>
      <w:r w:rsidRPr="00017AFC">
        <w:rPr>
          <w:rFonts w:cs="Arial"/>
          <w:b/>
          <w:noProof/>
          <w:lang w:eastAsia="en-GB"/>
        </w:rPr>
        <w:t xml:space="preserve">Figure </w:t>
      </w:r>
    </w:p>
    <w:p w14:paraId="02B9A296" w14:textId="77777777" w:rsidR="00017AFC" w:rsidRPr="00017AFC" w:rsidRDefault="00017AFC" w:rsidP="00017AFC">
      <w:pPr>
        <w:rPr>
          <w:rFonts w:cs="Arial"/>
          <w:i/>
          <w:noProof/>
          <w:lang w:eastAsia="en-GB"/>
        </w:rPr>
      </w:pPr>
      <w:r w:rsidRPr="00017AFC">
        <w:rPr>
          <w:rFonts w:cs="Arial"/>
          <w:i/>
          <w:noProof/>
          <w:lang w:eastAsia="en-GB"/>
        </w:rPr>
        <w:t xml:space="preserve">A: Example of ECG exercise treadmill test and time to 1 mm ST depression end-point </w:t>
      </w:r>
    </w:p>
    <w:p w14:paraId="269F02BA" w14:textId="6871A608" w:rsidR="00017AFC" w:rsidRPr="00017AFC" w:rsidRDefault="00017AFC" w:rsidP="00017AFC">
      <w:pPr>
        <w:rPr>
          <w:rFonts w:cs="Arial"/>
          <w:i/>
          <w:noProof/>
          <w:lang w:eastAsia="en-GB"/>
        </w:rPr>
      </w:pPr>
      <w:r w:rsidRPr="00017AFC">
        <w:rPr>
          <w:rFonts w:cs="Arial"/>
          <w:i/>
          <w:noProof/>
          <w:lang w:eastAsia="en-GB"/>
        </w:rPr>
        <w:t>B: Dobutamine stress echocardiography, top – screening contrast echocardiography (different stages of dobutamine stress, four chamber view), bottom – example of TVI  systolic velocity measurement</w:t>
      </w:r>
      <w:r>
        <w:rPr>
          <w:rFonts w:cs="Arial"/>
          <w:i/>
          <w:noProof/>
          <w:lang w:eastAsia="en-GB"/>
        </w:rPr>
        <w:t>,</w:t>
      </w:r>
      <w:r w:rsidRPr="00017AFC">
        <w:rPr>
          <w:rFonts w:cs="Arial"/>
          <w:i/>
          <w:noProof/>
          <w:lang w:eastAsia="en-GB"/>
        </w:rPr>
        <w:t xml:space="preserve"> three chamber view).</w:t>
      </w:r>
    </w:p>
    <w:p w14:paraId="3D66C104" w14:textId="77777777" w:rsidR="00017AFC" w:rsidRPr="00017AFC" w:rsidRDefault="00017AFC" w:rsidP="00017AFC"/>
    <w:p w14:paraId="083E5A83" w14:textId="77777777" w:rsidR="0005639B" w:rsidRDefault="0005639B" w:rsidP="007C7A49">
      <w:pPr>
        <w:pStyle w:val="Heading4"/>
      </w:pPr>
      <w:proofErr w:type="spellStart"/>
      <w:r>
        <w:lastRenderedPageBreak/>
        <w:t>Dobutamine</w:t>
      </w:r>
      <w:proofErr w:type="spellEnd"/>
      <w:r>
        <w:t xml:space="preserve"> Stress Echocardiography</w:t>
      </w:r>
      <w:bookmarkEnd w:id="7"/>
    </w:p>
    <w:p w14:paraId="5B231095" w14:textId="77777777" w:rsidR="00337C5E" w:rsidRDefault="00F64F76" w:rsidP="007C7A49">
      <w:pPr>
        <w:spacing w:line="480" w:lineRule="auto"/>
      </w:pPr>
      <w:r>
        <w:rPr>
          <w:lang w:val="en-US"/>
        </w:rPr>
        <w:t xml:space="preserve">All </w:t>
      </w:r>
      <w:r w:rsidRPr="00401306">
        <w:t>patients</w:t>
      </w:r>
      <w:r w:rsidR="0005639B" w:rsidRPr="00401306">
        <w:t xml:space="preserve"> </w:t>
      </w:r>
      <w:r>
        <w:t xml:space="preserve">with a </w:t>
      </w:r>
      <w:r w:rsidR="0005639B" w:rsidRPr="00401306">
        <w:t xml:space="preserve">positive ECG treadmill test </w:t>
      </w:r>
      <w:r w:rsidRPr="00401306">
        <w:t>wi</w:t>
      </w:r>
      <w:r>
        <w:t>ll be</w:t>
      </w:r>
      <w:r w:rsidRPr="00401306">
        <w:t xml:space="preserve"> </w:t>
      </w:r>
      <w:r w:rsidR="0005639B" w:rsidRPr="00401306">
        <w:t>invited for a screening</w:t>
      </w:r>
      <w:r>
        <w:t xml:space="preserve"> contrast</w:t>
      </w:r>
      <w:r w:rsidR="0005639B" w:rsidRPr="00401306">
        <w:t xml:space="preserve"> </w:t>
      </w:r>
      <w:proofErr w:type="spellStart"/>
      <w:r w:rsidR="0005639B" w:rsidRPr="00401306">
        <w:t>dobutamine</w:t>
      </w:r>
      <w:proofErr w:type="spellEnd"/>
      <w:r w:rsidR="0005639B" w:rsidRPr="00401306">
        <w:t xml:space="preserve"> stress echocardiogram (DSE). </w:t>
      </w:r>
      <w:r>
        <w:t>Only p</w:t>
      </w:r>
      <w:r w:rsidR="0005639B" w:rsidRPr="00401306">
        <w:t>atients with evidence of inducible regional wall motion abnormalities, satisfactory echo windows</w:t>
      </w:r>
      <w:r>
        <w:t xml:space="preserve">, </w:t>
      </w:r>
      <w:r w:rsidR="0005639B" w:rsidRPr="00401306">
        <w:t>tolerating</w:t>
      </w:r>
      <w:r>
        <w:t xml:space="preserve"> well</w:t>
      </w:r>
      <w:r w:rsidR="0005639B" w:rsidRPr="00401306">
        <w:t xml:space="preserve"> the baseline scan w</w:t>
      </w:r>
      <w:r>
        <w:t>ill be</w:t>
      </w:r>
      <w:r w:rsidR="0005639B" w:rsidRPr="00401306">
        <w:t xml:space="preserve"> enrolled into the DSE arm. </w:t>
      </w:r>
      <w:r w:rsidR="00337C5E" w:rsidRPr="00401306">
        <w:rPr>
          <w:rFonts w:cs="Arial"/>
        </w:rPr>
        <w:t>All tests w</w:t>
      </w:r>
      <w:r w:rsidR="00337C5E">
        <w:rPr>
          <w:rFonts w:cs="Arial"/>
        </w:rPr>
        <w:t>ill</w:t>
      </w:r>
      <w:r w:rsidR="00337C5E" w:rsidRPr="00401306">
        <w:rPr>
          <w:rFonts w:cs="Arial"/>
        </w:rPr>
        <w:t xml:space="preserve"> run two hours following finish of the ETT and approximately five hours following</w:t>
      </w:r>
      <w:r w:rsidR="00337C5E">
        <w:rPr>
          <w:rFonts w:cs="Arial"/>
        </w:rPr>
        <w:t xml:space="preserve"> the last capsule ingestion</w:t>
      </w:r>
      <w:r w:rsidR="003721A8">
        <w:rPr>
          <w:rFonts w:cs="Arial"/>
        </w:rPr>
        <w:t xml:space="preserve"> (to allow </w:t>
      </w:r>
      <w:r w:rsidR="00320AA5">
        <w:rPr>
          <w:rFonts w:cs="Arial"/>
        </w:rPr>
        <w:t>optimal</w:t>
      </w:r>
      <w:r w:rsidR="003721A8">
        <w:rPr>
          <w:rFonts w:cs="Arial"/>
        </w:rPr>
        <w:t xml:space="preserve"> treatment </w:t>
      </w:r>
      <w:r w:rsidR="009C228D">
        <w:rPr>
          <w:rFonts w:cs="Arial"/>
        </w:rPr>
        <w:t>plasma</w:t>
      </w:r>
      <w:r w:rsidR="003721A8">
        <w:rPr>
          <w:rFonts w:cs="Arial"/>
        </w:rPr>
        <w:t xml:space="preserve"> levels)</w:t>
      </w:r>
      <w:r w:rsidR="00337C5E" w:rsidRPr="00401306">
        <w:rPr>
          <w:rFonts w:cs="Arial"/>
        </w:rPr>
        <w:t xml:space="preserve">. </w:t>
      </w:r>
    </w:p>
    <w:p w14:paraId="6B3FF86C" w14:textId="4DBF0389" w:rsidR="0005639B" w:rsidRPr="00401306" w:rsidRDefault="0005639B" w:rsidP="007C7A49">
      <w:pPr>
        <w:spacing w:line="480" w:lineRule="auto"/>
        <w:rPr>
          <w:rFonts w:cs="Arial"/>
        </w:rPr>
      </w:pPr>
      <w:r w:rsidRPr="00401306">
        <w:rPr>
          <w:rFonts w:cs="Arial"/>
        </w:rPr>
        <w:t xml:space="preserve">A standard protocol </w:t>
      </w:r>
      <w:r w:rsidR="00AB3F4A">
        <w:rPr>
          <w:rFonts w:cs="Arial"/>
        </w:rPr>
        <w:t>will involve</w:t>
      </w:r>
      <w:r w:rsidRPr="00401306">
        <w:rPr>
          <w:rFonts w:cs="Arial"/>
        </w:rPr>
        <w:t xml:space="preserve"> resti</w:t>
      </w:r>
      <w:r w:rsidR="00AB3F4A">
        <w:rPr>
          <w:rFonts w:cs="Arial"/>
        </w:rPr>
        <w:t>ng for 20 minutes</w:t>
      </w:r>
      <w:r w:rsidRPr="00401306">
        <w:rPr>
          <w:rFonts w:cs="Arial"/>
        </w:rPr>
        <w:t xml:space="preserve">, baseline acquisition, loading with </w:t>
      </w:r>
      <w:proofErr w:type="spellStart"/>
      <w:r w:rsidRPr="00401306">
        <w:rPr>
          <w:rFonts w:cs="Arial"/>
        </w:rPr>
        <w:t>dobutamine</w:t>
      </w:r>
      <w:proofErr w:type="spellEnd"/>
      <w:r w:rsidRPr="00401306">
        <w:rPr>
          <w:rFonts w:cs="Arial"/>
        </w:rPr>
        <w:t xml:space="preserve"> 10ug/kg/min for 5 minutes and then 20, 30 and 40ug/kg/min each for 3 minutes. The pre-defined endpoints w</w:t>
      </w:r>
      <w:r w:rsidR="00AB3F4A">
        <w:rPr>
          <w:rFonts w:cs="Arial"/>
        </w:rPr>
        <w:t>ill be</w:t>
      </w:r>
      <w:r w:rsidRPr="00401306">
        <w:rPr>
          <w:rFonts w:cs="Arial"/>
        </w:rPr>
        <w:t>: inducible regional wall motion abnormality, significant chest pain, ST depression &gt;2mm or ST elevation, persistent arrhythmia and symptomatic BP fall. In patients with poor heart rate rise without any other predefined end-points atropine (up to total of 1.2mg) c</w:t>
      </w:r>
      <w:r w:rsidR="00AB3F4A">
        <w:rPr>
          <w:rFonts w:cs="Arial"/>
        </w:rPr>
        <w:t>an</w:t>
      </w:r>
      <w:r w:rsidRPr="00401306">
        <w:rPr>
          <w:rFonts w:cs="Arial"/>
        </w:rPr>
        <w:t xml:space="preserve"> be added from 30mcg/kg/min stage onwards to reach at least 85% of age predicted target HR (0.85*220-age)</w:t>
      </w:r>
      <w:r w:rsidRPr="00401306">
        <w:rPr>
          <w:rFonts w:cs="Arial"/>
        </w:rPr>
        <w:fldChar w:fldCharType="begin"/>
      </w:r>
      <w:r w:rsidRPr="00401306">
        <w:rPr>
          <w:rFonts w:cs="Arial"/>
        </w:rPr>
        <w:instrText>ADDIN RW.CITE{{823 Senior,R. 2009}}</w:instrText>
      </w:r>
      <w:r w:rsidRPr="00401306">
        <w:rPr>
          <w:rFonts w:cs="Arial"/>
        </w:rPr>
        <w:fldChar w:fldCharType="separate"/>
      </w:r>
      <w:r w:rsidR="00067D24" w:rsidRPr="00067D24">
        <w:rPr>
          <w:rFonts w:cs="Arial"/>
        </w:rPr>
        <w:t>[37]</w:t>
      </w:r>
      <w:r w:rsidRPr="00401306">
        <w:rPr>
          <w:rFonts w:cs="Arial"/>
        </w:rPr>
        <w:fldChar w:fldCharType="end"/>
      </w:r>
      <w:r w:rsidRPr="00401306">
        <w:rPr>
          <w:rFonts w:cs="Arial"/>
        </w:rPr>
        <w:t xml:space="preserve">. </w:t>
      </w:r>
      <w:r w:rsidR="005A2F4C">
        <w:rPr>
          <w:rFonts w:cs="Arial"/>
        </w:rPr>
        <w:t>LV contrast agent will be used as this was</w:t>
      </w:r>
      <w:r w:rsidR="005A2F4C" w:rsidRPr="00401306">
        <w:rPr>
          <w:rFonts w:cs="Arial"/>
        </w:rPr>
        <w:t xml:space="preserve"> previously shown to significantly improve detection of inducible regional wall motion abnormalities </w:t>
      </w:r>
      <w:r w:rsidR="005A2F4C" w:rsidRPr="00401306">
        <w:rPr>
          <w:rFonts w:cs="Arial"/>
        </w:rPr>
        <w:fldChar w:fldCharType="begin"/>
      </w:r>
      <w:r w:rsidR="005A2F4C" w:rsidRPr="00401306">
        <w:rPr>
          <w:rFonts w:cs="Arial"/>
        </w:rPr>
        <w:instrText>ADDIN RW.CITE{{827 Schnaack,S.D. 2000}}</w:instrText>
      </w:r>
      <w:r w:rsidR="005A2F4C" w:rsidRPr="00401306">
        <w:rPr>
          <w:rFonts w:cs="Arial"/>
        </w:rPr>
        <w:fldChar w:fldCharType="separate"/>
      </w:r>
      <w:r w:rsidR="00067D24" w:rsidRPr="00067D24">
        <w:rPr>
          <w:rFonts w:cs="Arial"/>
        </w:rPr>
        <w:t>[38]</w:t>
      </w:r>
      <w:r w:rsidR="005A2F4C" w:rsidRPr="00401306">
        <w:rPr>
          <w:rFonts w:cs="Arial"/>
        </w:rPr>
        <w:fldChar w:fldCharType="end"/>
      </w:r>
      <w:r w:rsidR="005A2F4C" w:rsidRPr="00401306">
        <w:rPr>
          <w:rFonts w:cs="Arial"/>
        </w:rPr>
        <w:t>.</w:t>
      </w:r>
      <w:r w:rsidR="00337C5E">
        <w:rPr>
          <w:rFonts w:cs="Arial"/>
        </w:rPr>
        <w:t xml:space="preserve"> </w:t>
      </w:r>
      <w:r w:rsidRPr="00401306">
        <w:rPr>
          <w:rFonts w:cs="Arial"/>
        </w:rPr>
        <w:t xml:space="preserve">Six views (apical 4-chamber, 2-chamber, 3-chamber, parasternal short axis at </w:t>
      </w:r>
      <w:r w:rsidR="005A2F4C">
        <w:rPr>
          <w:rFonts w:cs="Arial"/>
        </w:rPr>
        <w:t>base, mid ventricle and apex) will be</w:t>
      </w:r>
      <w:r w:rsidRPr="00401306">
        <w:rPr>
          <w:rFonts w:cs="Arial"/>
        </w:rPr>
        <w:t xml:space="preserve"> routinely obtained. </w:t>
      </w:r>
    </w:p>
    <w:p w14:paraId="102A2E57" w14:textId="28E612FB" w:rsidR="0005639B" w:rsidRPr="00401306" w:rsidRDefault="0005639B" w:rsidP="007C7A49">
      <w:pPr>
        <w:spacing w:line="480" w:lineRule="auto"/>
        <w:rPr>
          <w:rFonts w:cs="Arial"/>
        </w:rPr>
      </w:pPr>
      <w:r w:rsidRPr="00401306">
        <w:rPr>
          <w:rFonts w:cs="Arial"/>
        </w:rPr>
        <w:t xml:space="preserve">Patients with </w:t>
      </w:r>
      <w:r w:rsidR="00617EA7">
        <w:rPr>
          <w:rFonts w:cs="Arial"/>
        </w:rPr>
        <w:t xml:space="preserve">an </w:t>
      </w:r>
      <w:r w:rsidRPr="00401306">
        <w:rPr>
          <w:rFonts w:cs="Arial"/>
        </w:rPr>
        <w:t>evidence of inducible regional wall motion abnormality on screening w</w:t>
      </w:r>
      <w:r w:rsidR="00337C5E">
        <w:rPr>
          <w:rFonts w:cs="Arial"/>
        </w:rPr>
        <w:t>ill be</w:t>
      </w:r>
      <w:r w:rsidRPr="00401306">
        <w:rPr>
          <w:rFonts w:cs="Arial"/>
        </w:rPr>
        <w:t xml:space="preserve"> enrolled into the DSE arm and under</w:t>
      </w:r>
      <w:r w:rsidR="00337C5E">
        <w:rPr>
          <w:rFonts w:cs="Arial"/>
        </w:rPr>
        <w:t>go</w:t>
      </w:r>
      <w:r w:rsidRPr="00401306">
        <w:rPr>
          <w:rFonts w:cs="Arial"/>
        </w:rPr>
        <w:t xml:space="preserve"> two further tests, one following each treatment arm. These on-treatment DSEs w</w:t>
      </w:r>
      <w:r w:rsidR="00337C5E">
        <w:rPr>
          <w:rFonts w:cs="Arial"/>
        </w:rPr>
        <w:t>ill</w:t>
      </w:r>
      <w:r w:rsidRPr="00401306">
        <w:rPr>
          <w:rFonts w:cs="Arial"/>
        </w:rPr>
        <w:t xml:space="preserve"> run using exactly the same individual pharmacological protocol (</w:t>
      </w:r>
      <w:proofErr w:type="spellStart"/>
      <w:r w:rsidRPr="00401306">
        <w:rPr>
          <w:rFonts w:cs="Arial"/>
        </w:rPr>
        <w:t>dobutamine</w:t>
      </w:r>
      <w:proofErr w:type="spellEnd"/>
      <w:r w:rsidRPr="00401306">
        <w:rPr>
          <w:rFonts w:cs="Arial"/>
        </w:rPr>
        <w:t xml:space="preserve"> stage ± fixed atropine dose) as defined during </w:t>
      </w:r>
      <w:r>
        <w:rPr>
          <w:rFonts w:cs="Arial"/>
        </w:rPr>
        <w:t xml:space="preserve">the </w:t>
      </w:r>
      <w:r w:rsidRPr="00401306">
        <w:rPr>
          <w:rFonts w:cs="Arial"/>
        </w:rPr>
        <w:t>patient’s screening exam. Images w</w:t>
      </w:r>
      <w:r w:rsidR="004D46ED">
        <w:rPr>
          <w:rFonts w:cs="Arial"/>
        </w:rPr>
        <w:t>ill be</w:t>
      </w:r>
      <w:r w:rsidRPr="00401306">
        <w:rPr>
          <w:rFonts w:cs="Arial"/>
        </w:rPr>
        <w:t xml:space="preserve"> obtained without contrast using Doppler tissue velocity imaging (TVI, Q-stress) in apical 4-chamber, 2-chamber and 3-chamber view only.  Image depth, width, </w:t>
      </w:r>
      <w:proofErr w:type="spellStart"/>
      <w:r w:rsidRPr="00401306">
        <w:rPr>
          <w:rFonts w:cs="Arial"/>
        </w:rPr>
        <w:t>color</w:t>
      </w:r>
      <w:proofErr w:type="spellEnd"/>
      <w:r w:rsidRPr="00401306">
        <w:rPr>
          <w:rFonts w:cs="Arial"/>
        </w:rPr>
        <w:t xml:space="preserve"> tissue </w:t>
      </w:r>
      <w:proofErr w:type="spellStart"/>
      <w:proofErr w:type="gramStart"/>
      <w:r w:rsidRPr="00401306">
        <w:rPr>
          <w:rFonts w:cs="Arial"/>
        </w:rPr>
        <w:t>doppler</w:t>
      </w:r>
      <w:proofErr w:type="spellEnd"/>
      <w:proofErr w:type="gramEnd"/>
      <w:r w:rsidRPr="00401306">
        <w:rPr>
          <w:rFonts w:cs="Arial"/>
        </w:rPr>
        <w:t xml:space="preserve"> velocity scale and frame rate w</w:t>
      </w:r>
      <w:r w:rsidR="004D46ED">
        <w:rPr>
          <w:rFonts w:cs="Arial"/>
        </w:rPr>
        <w:t xml:space="preserve">ill be </w:t>
      </w:r>
      <w:r w:rsidRPr="00401306">
        <w:rPr>
          <w:rFonts w:cs="Arial"/>
        </w:rPr>
        <w:t>optimized to avoid aliasing and aim at &gt;120 frames/s. During passively held end-expiration three loops w</w:t>
      </w:r>
      <w:r w:rsidR="004D46ED">
        <w:rPr>
          <w:rFonts w:cs="Arial"/>
        </w:rPr>
        <w:t>ill be</w:t>
      </w:r>
      <w:r w:rsidRPr="00401306">
        <w:rPr>
          <w:rFonts w:cs="Arial"/>
        </w:rPr>
        <w:t xml:space="preserve"> recorded in each view in the last minute of each stage. Digitized images w</w:t>
      </w:r>
      <w:r w:rsidR="004D46ED">
        <w:rPr>
          <w:rFonts w:cs="Arial"/>
        </w:rPr>
        <w:t>ill be</w:t>
      </w:r>
      <w:r w:rsidRPr="00401306">
        <w:rPr>
          <w:rFonts w:cs="Arial"/>
        </w:rPr>
        <w:t xml:space="preserve"> later</w:t>
      </w:r>
      <w:r w:rsidR="004D46ED">
        <w:rPr>
          <w:rFonts w:cs="Arial"/>
        </w:rPr>
        <w:t xml:space="preserve"> </w:t>
      </w:r>
      <w:proofErr w:type="spellStart"/>
      <w:r w:rsidR="004D46ED">
        <w:rPr>
          <w:rFonts w:cs="Arial"/>
        </w:rPr>
        <w:t>analyzed</w:t>
      </w:r>
      <w:proofErr w:type="spellEnd"/>
      <w:r w:rsidR="004D46ED">
        <w:rPr>
          <w:rFonts w:cs="Arial"/>
        </w:rPr>
        <w:t xml:space="preserve"> off line</w:t>
      </w:r>
      <w:r w:rsidRPr="00401306">
        <w:rPr>
          <w:rFonts w:cs="Arial"/>
        </w:rPr>
        <w:t>. Longitudinal basal segment peak systolic velocity (</w:t>
      </w:r>
      <w:proofErr w:type="spellStart"/>
      <w:r w:rsidRPr="00401306">
        <w:rPr>
          <w:rFonts w:cs="Arial"/>
        </w:rPr>
        <w:t>Sp</w:t>
      </w:r>
      <w:proofErr w:type="spellEnd"/>
      <w:r w:rsidRPr="00401306">
        <w:rPr>
          <w:rFonts w:cs="Arial"/>
        </w:rPr>
        <w:t xml:space="preserve">) is the </w:t>
      </w:r>
      <w:r w:rsidRPr="00401306">
        <w:rPr>
          <w:rFonts w:cs="Arial"/>
        </w:rPr>
        <w:lastRenderedPageBreak/>
        <w:t xml:space="preserve">most reproducible tissue Doppler parameter, sensitive to ischaemia and related to blood flow </w:t>
      </w:r>
      <w:r w:rsidRPr="00401306">
        <w:rPr>
          <w:rFonts w:cs="Arial"/>
        </w:rPr>
        <w:fldChar w:fldCharType="begin"/>
      </w:r>
      <w:r w:rsidRPr="00401306">
        <w:rPr>
          <w:rFonts w:cs="Arial"/>
        </w:rPr>
        <w:instrText>ADDIN RW.CITE{{825 Fraser,A.G. 2003; 826 Vatner,S.F. 1980}}</w:instrText>
      </w:r>
      <w:r w:rsidRPr="00401306">
        <w:rPr>
          <w:rFonts w:cs="Arial"/>
        </w:rPr>
        <w:fldChar w:fldCharType="separate"/>
      </w:r>
      <w:r w:rsidR="00067D24" w:rsidRPr="00067D24">
        <w:rPr>
          <w:rFonts w:cs="Arial"/>
        </w:rPr>
        <w:t>[39,40]</w:t>
      </w:r>
      <w:r w:rsidRPr="00401306">
        <w:rPr>
          <w:rFonts w:cs="Arial"/>
        </w:rPr>
        <w:fldChar w:fldCharType="end"/>
      </w:r>
      <w:r w:rsidRPr="00401306">
        <w:rPr>
          <w:rFonts w:cs="Arial"/>
        </w:rPr>
        <w:t xml:space="preserve">. </w:t>
      </w:r>
      <w:proofErr w:type="spellStart"/>
      <w:r w:rsidRPr="00401306">
        <w:rPr>
          <w:rFonts w:cs="Arial"/>
        </w:rPr>
        <w:t>Sp</w:t>
      </w:r>
      <w:proofErr w:type="spellEnd"/>
      <w:r w:rsidRPr="00401306">
        <w:rPr>
          <w:rFonts w:cs="Arial"/>
        </w:rPr>
        <w:t xml:space="preserve"> w</w:t>
      </w:r>
      <w:r w:rsidR="00C427AF">
        <w:rPr>
          <w:rFonts w:cs="Arial"/>
        </w:rPr>
        <w:t>ill be</w:t>
      </w:r>
      <w:r w:rsidRPr="00401306">
        <w:rPr>
          <w:rFonts w:cs="Arial"/>
        </w:rPr>
        <w:t xml:space="preserve"> measured in 6 segments: basal </w:t>
      </w:r>
      <w:proofErr w:type="spellStart"/>
      <w:r w:rsidRPr="00401306">
        <w:rPr>
          <w:rFonts w:cs="Arial"/>
        </w:rPr>
        <w:t>inferoseptum</w:t>
      </w:r>
      <w:proofErr w:type="spellEnd"/>
      <w:r w:rsidRPr="00401306">
        <w:rPr>
          <w:rFonts w:cs="Arial"/>
        </w:rPr>
        <w:t xml:space="preserve">, basal lateral, basal inferior, basal anterior, basal posterior and basal </w:t>
      </w:r>
      <w:proofErr w:type="spellStart"/>
      <w:r w:rsidRPr="00401306">
        <w:rPr>
          <w:rFonts w:cs="Arial"/>
        </w:rPr>
        <w:t>anteroseptum</w:t>
      </w:r>
      <w:proofErr w:type="spellEnd"/>
      <w:r w:rsidRPr="00401306">
        <w:rPr>
          <w:rFonts w:cs="Arial"/>
        </w:rPr>
        <w:t xml:space="preserve"> as previously described </w:t>
      </w:r>
      <w:r w:rsidRPr="00401306">
        <w:rPr>
          <w:rFonts w:cs="Arial"/>
        </w:rPr>
        <w:fldChar w:fldCharType="begin"/>
      </w:r>
      <w:r w:rsidRPr="00401306">
        <w:rPr>
          <w:rFonts w:cs="Arial"/>
        </w:rPr>
        <w:instrText>ADDIN RW.CITE{{824 Ingram,T.E. 2013}}</w:instrText>
      </w:r>
      <w:r w:rsidRPr="00401306">
        <w:rPr>
          <w:rFonts w:cs="Arial"/>
        </w:rPr>
        <w:fldChar w:fldCharType="separate"/>
      </w:r>
      <w:r w:rsidR="00067D24" w:rsidRPr="00067D24">
        <w:rPr>
          <w:rFonts w:cs="Arial"/>
        </w:rPr>
        <w:t>[41]</w:t>
      </w:r>
      <w:r w:rsidRPr="00401306">
        <w:rPr>
          <w:rFonts w:cs="Arial"/>
        </w:rPr>
        <w:fldChar w:fldCharType="end"/>
      </w:r>
      <w:r w:rsidRPr="00401306">
        <w:rPr>
          <w:rFonts w:cs="Arial"/>
        </w:rPr>
        <w:t xml:space="preserve">. </w:t>
      </w:r>
      <w:proofErr w:type="spellStart"/>
      <w:r w:rsidRPr="00401306">
        <w:rPr>
          <w:rFonts w:cs="Arial"/>
        </w:rPr>
        <w:t>Sp</w:t>
      </w:r>
      <w:proofErr w:type="spellEnd"/>
      <w:r w:rsidRPr="00401306">
        <w:rPr>
          <w:rFonts w:cs="Arial"/>
        </w:rPr>
        <w:t xml:space="preserve"> w</w:t>
      </w:r>
      <w:r w:rsidR="00C427AF">
        <w:rPr>
          <w:rFonts w:cs="Arial"/>
        </w:rPr>
        <w:t>ill be</w:t>
      </w:r>
      <w:r w:rsidRPr="00401306">
        <w:rPr>
          <w:rFonts w:cs="Arial"/>
        </w:rPr>
        <w:t xml:space="preserve"> measured as the maximal velocity following </w:t>
      </w:r>
      <w:proofErr w:type="spellStart"/>
      <w:r w:rsidRPr="00401306">
        <w:rPr>
          <w:rFonts w:cs="Arial"/>
        </w:rPr>
        <w:t>isovolumic</w:t>
      </w:r>
      <w:proofErr w:type="spellEnd"/>
      <w:r w:rsidRPr="00401306">
        <w:rPr>
          <w:rFonts w:cs="Arial"/>
        </w:rPr>
        <w:t xml:space="preserve"> contraction averaged from three cycles.</w:t>
      </w:r>
    </w:p>
    <w:p w14:paraId="3D4070AF" w14:textId="77777777" w:rsidR="0005639B" w:rsidRPr="00401306" w:rsidRDefault="0005639B" w:rsidP="007C7A49">
      <w:pPr>
        <w:pStyle w:val="Heading4"/>
      </w:pPr>
      <w:bookmarkStart w:id="8" w:name="_Toc436765719"/>
      <w:r w:rsidRPr="00401306">
        <w:t>Bloods</w:t>
      </w:r>
      <w:bookmarkEnd w:id="8"/>
    </w:p>
    <w:p w14:paraId="6C2FC270" w14:textId="77777777" w:rsidR="0005639B" w:rsidRPr="00D32F49" w:rsidRDefault="003145D6" w:rsidP="007C7A49">
      <w:pPr>
        <w:spacing w:line="480" w:lineRule="auto"/>
        <w:rPr>
          <w:rFonts w:cs="Arial"/>
          <w:i/>
          <w:color w:val="FF0000"/>
        </w:rPr>
      </w:pPr>
      <w:r>
        <w:rPr>
          <w:rFonts w:cs="Arial"/>
          <w:lang w:val="en-US"/>
        </w:rPr>
        <w:t>T</w:t>
      </w:r>
      <w:proofErr w:type="spellStart"/>
      <w:r w:rsidR="0005639B" w:rsidRPr="00401306">
        <w:rPr>
          <w:rFonts w:cs="Arial"/>
        </w:rPr>
        <w:t>wenty</w:t>
      </w:r>
      <w:proofErr w:type="spellEnd"/>
      <w:r w:rsidR="0005639B" w:rsidRPr="00401306">
        <w:rPr>
          <w:rFonts w:cs="Arial"/>
        </w:rPr>
        <w:t xml:space="preserve"> patients </w:t>
      </w:r>
      <w:r>
        <w:rPr>
          <w:rFonts w:cs="Arial"/>
        </w:rPr>
        <w:t xml:space="preserve">will be invited </w:t>
      </w:r>
      <w:r w:rsidR="0005639B" w:rsidRPr="00401306">
        <w:rPr>
          <w:rFonts w:cs="Arial"/>
        </w:rPr>
        <w:t xml:space="preserve">additionally to take </w:t>
      </w:r>
      <w:r>
        <w:rPr>
          <w:rFonts w:cs="Arial"/>
        </w:rPr>
        <w:t>part in the blood subgroup</w:t>
      </w:r>
      <w:r w:rsidR="0005639B" w:rsidRPr="00401306">
        <w:rPr>
          <w:rFonts w:cs="Arial"/>
        </w:rPr>
        <w:t xml:space="preserve">. These patients </w:t>
      </w:r>
      <w:r w:rsidR="00D32F49">
        <w:rPr>
          <w:rFonts w:cs="Arial"/>
        </w:rPr>
        <w:t xml:space="preserve">will have </w:t>
      </w:r>
      <w:r w:rsidR="0005639B" w:rsidRPr="00401306">
        <w:rPr>
          <w:rFonts w:cs="Arial"/>
        </w:rPr>
        <w:t xml:space="preserve">blood taken on three occasions: their </w:t>
      </w:r>
      <w:r w:rsidR="0005639B">
        <w:rPr>
          <w:rFonts w:cs="Arial"/>
        </w:rPr>
        <w:t>final</w:t>
      </w:r>
      <w:r w:rsidR="0005639B" w:rsidRPr="00401306">
        <w:rPr>
          <w:rFonts w:cs="Arial"/>
        </w:rPr>
        <w:t xml:space="preserve"> screening visit and the two on-treatment visits. All </w:t>
      </w:r>
      <w:r w:rsidR="00D32F49">
        <w:rPr>
          <w:rFonts w:cs="Arial"/>
        </w:rPr>
        <w:t>will attend</w:t>
      </w:r>
      <w:r w:rsidR="0005639B" w:rsidRPr="00401306">
        <w:rPr>
          <w:rFonts w:cs="Arial"/>
        </w:rPr>
        <w:t xml:space="preserve"> fasting from midnight, but clear water w</w:t>
      </w:r>
      <w:r w:rsidR="00D32F49">
        <w:rPr>
          <w:rFonts w:cs="Arial"/>
        </w:rPr>
        <w:t>ill be</w:t>
      </w:r>
      <w:r w:rsidR="0005639B" w:rsidRPr="00401306">
        <w:rPr>
          <w:rFonts w:cs="Arial"/>
        </w:rPr>
        <w:t xml:space="preserve"> allowed with their morning medication.  Patients w</w:t>
      </w:r>
      <w:r w:rsidR="00D32F49">
        <w:rPr>
          <w:rFonts w:cs="Arial"/>
        </w:rPr>
        <w:t>ill be</w:t>
      </w:r>
      <w:r w:rsidR="0005639B" w:rsidRPr="00401306">
        <w:rPr>
          <w:rFonts w:cs="Arial"/>
        </w:rPr>
        <w:t xml:space="preserve"> advised to take the last study capsule approximately two hours prior </w:t>
      </w:r>
      <w:r w:rsidR="0005639B">
        <w:rPr>
          <w:rFonts w:cs="Arial"/>
        </w:rPr>
        <w:t xml:space="preserve">to </w:t>
      </w:r>
      <w:r w:rsidR="0005639B" w:rsidRPr="00401306">
        <w:rPr>
          <w:rFonts w:cs="Arial"/>
        </w:rPr>
        <w:t>their study visit. Diabetic patients taking either tablet or insulin treatment w</w:t>
      </w:r>
      <w:r w:rsidR="00D32F49">
        <w:rPr>
          <w:rFonts w:cs="Arial"/>
        </w:rPr>
        <w:t>ill not be</w:t>
      </w:r>
      <w:r w:rsidR="0005639B" w:rsidRPr="00401306">
        <w:rPr>
          <w:rFonts w:cs="Arial"/>
        </w:rPr>
        <w:t xml:space="preserve"> included in this substudy in order to avoid </w:t>
      </w:r>
      <w:proofErr w:type="spellStart"/>
      <w:r w:rsidR="0005639B" w:rsidRPr="00401306">
        <w:rPr>
          <w:rFonts w:cs="Arial"/>
        </w:rPr>
        <w:t>hypoglycemia</w:t>
      </w:r>
      <w:proofErr w:type="spellEnd"/>
      <w:r w:rsidR="0005639B" w:rsidRPr="00401306">
        <w:rPr>
          <w:rFonts w:cs="Arial"/>
        </w:rPr>
        <w:t xml:space="preserve"> when fasting and exercising. Blood w</w:t>
      </w:r>
      <w:r w:rsidR="00D32F49">
        <w:rPr>
          <w:rFonts w:cs="Arial"/>
        </w:rPr>
        <w:t xml:space="preserve">ill be </w:t>
      </w:r>
      <w:r w:rsidR="0005639B" w:rsidRPr="00401306">
        <w:rPr>
          <w:rFonts w:cs="Arial"/>
        </w:rPr>
        <w:t xml:space="preserve">taken prior </w:t>
      </w:r>
      <w:r w:rsidR="0005639B">
        <w:rPr>
          <w:rFonts w:cs="Arial"/>
        </w:rPr>
        <w:t xml:space="preserve">to </w:t>
      </w:r>
      <w:r w:rsidR="0005639B" w:rsidRPr="00401306">
        <w:rPr>
          <w:rFonts w:cs="Arial"/>
        </w:rPr>
        <w:t xml:space="preserve">the treadmill test and samples for Angiogenic markers- sFlt-1, </w:t>
      </w:r>
      <w:proofErr w:type="spellStart"/>
      <w:r w:rsidR="0005639B" w:rsidRPr="00401306">
        <w:rPr>
          <w:rFonts w:cs="Arial"/>
        </w:rPr>
        <w:t>PlGF</w:t>
      </w:r>
      <w:proofErr w:type="spellEnd"/>
      <w:r w:rsidR="0005639B" w:rsidRPr="00401306">
        <w:rPr>
          <w:rFonts w:cs="Arial"/>
        </w:rPr>
        <w:t xml:space="preserve"> and VEGF</w:t>
      </w:r>
      <w:r w:rsidR="0005639B">
        <w:rPr>
          <w:rFonts w:cs="Arial"/>
        </w:rPr>
        <w:t xml:space="preserve"> in </w:t>
      </w:r>
      <w:r w:rsidR="0005639B" w:rsidRPr="00401306">
        <w:rPr>
          <w:rFonts w:cs="Arial"/>
        </w:rPr>
        <w:t>Li-Heparin</w:t>
      </w:r>
      <w:r w:rsidR="0005639B">
        <w:rPr>
          <w:rFonts w:cs="Arial"/>
        </w:rPr>
        <w:t xml:space="preserve"> tubes</w:t>
      </w:r>
      <w:r w:rsidR="0005639B" w:rsidRPr="00401306">
        <w:rPr>
          <w:rFonts w:cs="Arial"/>
        </w:rPr>
        <w:t xml:space="preserve"> </w:t>
      </w:r>
      <w:r w:rsidR="0005639B">
        <w:rPr>
          <w:rFonts w:cs="Arial"/>
        </w:rPr>
        <w:t>and</w:t>
      </w:r>
      <w:r w:rsidR="0005639B" w:rsidRPr="00401306">
        <w:rPr>
          <w:rFonts w:cs="Arial"/>
        </w:rPr>
        <w:t xml:space="preserve"> nitrate/nitrite </w:t>
      </w:r>
      <w:r w:rsidR="0005639B">
        <w:rPr>
          <w:rFonts w:cs="Arial"/>
        </w:rPr>
        <w:t>aliquots w</w:t>
      </w:r>
      <w:r w:rsidR="001E420B">
        <w:rPr>
          <w:rFonts w:cs="Arial"/>
        </w:rPr>
        <w:t>ill be</w:t>
      </w:r>
      <w:r w:rsidR="0005639B">
        <w:rPr>
          <w:rFonts w:cs="Arial"/>
        </w:rPr>
        <w:t xml:space="preserve"> sampled</w:t>
      </w:r>
      <w:r w:rsidR="0005639B" w:rsidRPr="00401306">
        <w:rPr>
          <w:rFonts w:cs="Arial"/>
        </w:rPr>
        <w:t xml:space="preserve"> into EDTA tubes which w</w:t>
      </w:r>
      <w:r w:rsidR="00330FE7">
        <w:rPr>
          <w:rFonts w:cs="Arial"/>
        </w:rPr>
        <w:t>ill</w:t>
      </w:r>
      <w:r w:rsidR="0005639B" w:rsidRPr="00401306">
        <w:rPr>
          <w:rFonts w:cs="Arial"/>
        </w:rPr>
        <w:t xml:space="preserve"> supplemented with N-Ethylmalmeide (NEM). </w:t>
      </w:r>
    </w:p>
    <w:p w14:paraId="7F432CDB" w14:textId="77777777" w:rsidR="0005639B" w:rsidRPr="00401306" w:rsidRDefault="0005639B" w:rsidP="007C7A49">
      <w:pPr>
        <w:pStyle w:val="Heading5"/>
      </w:pPr>
      <w:bookmarkStart w:id="9" w:name="_Toc436765720"/>
      <w:r w:rsidRPr="00401306">
        <w:t>Nitrite/nitrate plasma levels</w:t>
      </w:r>
      <w:bookmarkEnd w:id="9"/>
    </w:p>
    <w:p w14:paraId="4F1CDC99" w14:textId="5D51D380" w:rsidR="0005639B" w:rsidRPr="00401306" w:rsidRDefault="0005639B" w:rsidP="007C7A49">
      <w:pPr>
        <w:spacing w:line="480" w:lineRule="auto"/>
        <w:rPr>
          <w:rFonts w:cs="Arial"/>
        </w:rPr>
      </w:pPr>
      <w:r w:rsidRPr="00401306">
        <w:rPr>
          <w:rFonts w:cs="Arial"/>
        </w:rPr>
        <w:t>All samples w</w:t>
      </w:r>
      <w:r w:rsidR="001366B3">
        <w:rPr>
          <w:rFonts w:cs="Arial"/>
        </w:rPr>
        <w:t>ill be</w:t>
      </w:r>
      <w:r w:rsidRPr="00401306">
        <w:rPr>
          <w:rFonts w:cs="Arial"/>
        </w:rPr>
        <w:t xml:space="preserve"> spun immediately for 5 minutes at 1000g</w:t>
      </w:r>
      <w:r>
        <w:rPr>
          <w:rFonts w:cs="Arial"/>
        </w:rPr>
        <w:t xml:space="preserve"> at room temperature</w:t>
      </w:r>
      <w:r w:rsidRPr="00401306">
        <w:rPr>
          <w:rFonts w:cs="Arial"/>
        </w:rPr>
        <w:t>, supernatant w</w:t>
      </w:r>
      <w:r w:rsidR="001366B3">
        <w:rPr>
          <w:rFonts w:cs="Arial"/>
        </w:rPr>
        <w:t>ill be</w:t>
      </w:r>
      <w:r w:rsidRPr="00401306">
        <w:rPr>
          <w:rFonts w:cs="Arial"/>
        </w:rPr>
        <w:t xml:space="preserve"> saved and snap frozen in liquid nitrogen and stored by -80°C. Nitrite/nitrate levels w</w:t>
      </w:r>
      <w:r w:rsidR="001366B3">
        <w:rPr>
          <w:rFonts w:cs="Arial"/>
        </w:rPr>
        <w:t>ill be</w:t>
      </w:r>
      <w:r w:rsidRPr="00401306">
        <w:rPr>
          <w:rFonts w:cs="Arial"/>
        </w:rPr>
        <w:t xml:space="preserve"> </w:t>
      </w:r>
      <w:proofErr w:type="spellStart"/>
      <w:r w:rsidRPr="00401306">
        <w:rPr>
          <w:rFonts w:cs="Arial"/>
        </w:rPr>
        <w:t>analyzed</w:t>
      </w:r>
      <w:proofErr w:type="spellEnd"/>
      <w:r w:rsidRPr="00401306">
        <w:rPr>
          <w:rFonts w:cs="Arial"/>
        </w:rPr>
        <w:t xml:space="preserve"> at the University of Sout</w:t>
      </w:r>
      <w:r w:rsidR="001366B3">
        <w:rPr>
          <w:rFonts w:cs="Arial"/>
        </w:rPr>
        <w:t xml:space="preserve">hampton </w:t>
      </w:r>
      <w:r w:rsidR="001366B3">
        <w:rPr>
          <w:rFonts w:cs="Arial"/>
        </w:rPr>
        <w:fldChar w:fldCharType="begin"/>
      </w:r>
      <w:r w:rsidR="001366B3">
        <w:rPr>
          <w:rFonts w:cs="Arial"/>
        </w:rPr>
        <w:instrText>ADDIN RW.CITE{{875 Siddiqi,N. 2014}}</w:instrText>
      </w:r>
      <w:r w:rsidR="001366B3">
        <w:rPr>
          <w:rFonts w:cs="Arial"/>
        </w:rPr>
        <w:fldChar w:fldCharType="separate"/>
      </w:r>
      <w:r w:rsidR="00067D24" w:rsidRPr="00067D24">
        <w:rPr>
          <w:rFonts w:ascii="Calibri" w:hAnsi="Calibri" w:cs="Arial"/>
        </w:rPr>
        <w:t>[42]</w:t>
      </w:r>
      <w:r w:rsidR="001366B3">
        <w:rPr>
          <w:rFonts w:cs="Arial"/>
        </w:rPr>
        <w:fldChar w:fldCharType="end"/>
      </w:r>
      <w:r w:rsidR="001366B3">
        <w:rPr>
          <w:rFonts w:cs="Arial"/>
          <w:i/>
        </w:rPr>
        <w:t>.</w:t>
      </w:r>
      <w:r w:rsidRPr="00401306">
        <w:rPr>
          <w:rFonts w:cs="Arial"/>
        </w:rPr>
        <w:t xml:space="preserve"> Frozen plasma samples w</w:t>
      </w:r>
      <w:r w:rsidR="001366B3">
        <w:rPr>
          <w:rFonts w:cs="Arial"/>
        </w:rPr>
        <w:t>ill be</w:t>
      </w:r>
      <w:r w:rsidRPr="00401306">
        <w:rPr>
          <w:rFonts w:cs="Arial"/>
        </w:rPr>
        <w:t xml:space="preserve"> thawed in the presence of N-</w:t>
      </w:r>
      <w:proofErr w:type="spellStart"/>
      <w:r w:rsidRPr="00401306">
        <w:rPr>
          <w:rFonts w:cs="Arial"/>
        </w:rPr>
        <w:t>ethylmaleimide</w:t>
      </w:r>
      <w:proofErr w:type="spellEnd"/>
      <w:r w:rsidRPr="00401306">
        <w:rPr>
          <w:rFonts w:cs="Arial"/>
        </w:rPr>
        <w:t xml:space="preserve"> (10 mM final concentration) and </w:t>
      </w:r>
      <w:proofErr w:type="spellStart"/>
      <w:r w:rsidRPr="00401306">
        <w:rPr>
          <w:rFonts w:cs="Arial"/>
        </w:rPr>
        <w:t>deproteinized</w:t>
      </w:r>
      <w:proofErr w:type="spellEnd"/>
      <w:r w:rsidRPr="00401306">
        <w:rPr>
          <w:rFonts w:cs="Arial"/>
        </w:rPr>
        <w:t xml:space="preserve"> by methanol precipitation immediately prior to analysis. Plasma nitrite and nitrate w</w:t>
      </w:r>
      <w:r w:rsidR="001366B3">
        <w:rPr>
          <w:rFonts w:cs="Arial"/>
        </w:rPr>
        <w:t>ill be</w:t>
      </w:r>
      <w:r w:rsidRPr="00401306">
        <w:rPr>
          <w:rFonts w:cs="Arial"/>
        </w:rPr>
        <w:t xml:space="preserve"> measured by high-pressure liquid ion chromatography with post-column </w:t>
      </w:r>
      <w:proofErr w:type="spellStart"/>
      <w:r w:rsidRPr="00401306">
        <w:rPr>
          <w:rFonts w:cs="Arial"/>
        </w:rPr>
        <w:t>derivatization</w:t>
      </w:r>
      <w:proofErr w:type="spellEnd"/>
      <w:r w:rsidRPr="00401306">
        <w:rPr>
          <w:rFonts w:cs="Arial"/>
        </w:rPr>
        <w:t xml:space="preserve"> using a dedicated analysis system (ENO-20 with Gilson 234 </w:t>
      </w:r>
      <w:proofErr w:type="spellStart"/>
      <w:r w:rsidRPr="00401306">
        <w:rPr>
          <w:rFonts w:cs="Arial"/>
        </w:rPr>
        <w:t>autoinjector</w:t>
      </w:r>
      <w:proofErr w:type="spellEnd"/>
      <w:r w:rsidRPr="00401306">
        <w:rPr>
          <w:rFonts w:cs="Arial"/>
        </w:rPr>
        <w:t xml:space="preserve">, EPC-500 data processor and </w:t>
      </w:r>
      <w:proofErr w:type="spellStart"/>
      <w:r w:rsidRPr="00401306">
        <w:rPr>
          <w:rFonts w:cs="Arial"/>
        </w:rPr>
        <w:t>PowerChrome</w:t>
      </w:r>
      <w:proofErr w:type="spellEnd"/>
      <w:r w:rsidRPr="00401306">
        <w:rPr>
          <w:rFonts w:cs="Arial"/>
        </w:rPr>
        <w:t xml:space="preserve"> software; </w:t>
      </w:r>
      <w:proofErr w:type="spellStart"/>
      <w:r w:rsidRPr="00401306">
        <w:rPr>
          <w:rFonts w:cs="Arial"/>
        </w:rPr>
        <w:t>Eicom</w:t>
      </w:r>
      <w:proofErr w:type="spellEnd"/>
      <w:r w:rsidRPr="00401306">
        <w:rPr>
          <w:rFonts w:cs="Arial"/>
        </w:rPr>
        <w:t xml:space="preserve">). </w:t>
      </w:r>
    </w:p>
    <w:p w14:paraId="2147A9FB" w14:textId="77777777" w:rsidR="0005639B" w:rsidRPr="00401306" w:rsidRDefault="0005639B" w:rsidP="007C7A49">
      <w:pPr>
        <w:pStyle w:val="Heading5"/>
      </w:pPr>
      <w:bookmarkStart w:id="10" w:name="_Toc436765721"/>
      <w:r w:rsidRPr="00401306">
        <w:lastRenderedPageBreak/>
        <w:t>Angiogenic markers</w:t>
      </w:r>
      <w:bookmarkEnd w:id="10"/>
    </w:p>
    <w:p w14:paraId="5550D833" w14:textId="5484B0A9" w:rsidR="0005639B" w:rsidRPr="00450E1C" w:rsidRDefault="0005639B" w:rsidP="007C7A49">
      <w:pPr>
        <w:spacing w:line="480" w:lineRule="auto"/>
        <w:rPr>
          <w:rFonts w:cs="Arial"/>
        </w:rPr>
      </w:pPr>
      <w:r w:rsidRPr="00401306">
        <w:rPr>
          <w:rFonts w:cs="Arial"/>
        </w:rPr>
        <w:t xml:space="preserve">Vascular endothelial growth factor (VEGF) and </w:t>
      </w:r>
      <w:r>
        <w:rPr>
          <w:rFonts w:cs="Arial"/>
        </w:rPr>
        <w:t xml:space="preserve">its receptor (VEGFR-1 = Flt-1) </w:t>
      </w:r>
      <w:r w:rsidRPr="00401306">
        <w:rPr>
          <w:rFonts w:cs="Arial"/>
        </w:rPr>
        <w:t xml:space="preserve">play a central role in </w:t>
      </w:r>
      <w:r w:rsidR="00703A2C" w:rsidRPr="00703A2C">
        <w:rPr>
          <w:rFonts w:cs="Arial"/>
        </w:rPr>
        <w:t>maintain</w:t>
      </w:r>
      <w:r w:rsidR="00703A2C">
        <w:rPr>
          <w:rFonts w:cs="Arial"/>
        </w:rPr>
        <w:t>ing</w:t>
      </w:r>
      <w:r w:rsidR="00703A2C" w:rsidRPr="00703A2C">
        <w:rPr>
          <w:rFonts w:cs="Arial"/>
        </w:rPr>
        <w:t xml:space="preserve"> endothelial cell integrity</w:t>
      </w:r>
      <w:r w:rsidR="00703A2C">
        <w:rPr>
          <w:rFonts w:cs="Arial"/>
        </w:rPr>
        <w:t xml:space="preserve"> and in the </w:t>
      </w:r>
      <w:r w:rsidRPr="00401306">
        <w:rPr>
          <w:rFonts w:cs="Arial"/>
        </w:rPr>
        <w:t xml:space="preserve">promotion of angiogenesis and </w:t>
      </w:r>
      <w:proofErr w:type="spellStart"/>
      <w:r w:rsidRPr="00401306">
        <w:rPr>
          <w:rFonts w:cs="Arial"/>
        </w:rPr>
        <w:t>lymphogenesis</w:t>
      </w:r>
      <w:proofErr w:type="spellEnd"/>
      <w:r w:rsidRPr="00401306">
        <w:rPr>
          <w:rFonts w:cs="Arial"/>
        </w:rPr>
        <w:t xml:space="preserve">. </w:t>
      </w:r>
      <w:r w:rsidR="00703A2C">
        <w:rPr>
          <w:rFonts w:cs="Arial"/>
        </w:rPr>
        <w:t xml:space="preserve">Soluble </w:t>
      </w:r>
      <w:r w:rsidR="00703A2C" w:rsidRPr="00401306">
        <w:rPr>
          <w:rFonts w:cs="Arial"/>
        </w:rPr>
        <w:t>Flt</w:t>
      </w:r>
      <w:r w:rsidRPr="00401306">
        <w:rPr>
          <w:rFonts w:cs="Arial"/>
        </w:rPr>
        <w:t>-1 (</w:t>
      </w:r>
      <w:r w:rsidR="00703A2C">
        <w:rPr>
          <w:rFonts w:cs="Arial"/>
        </w:rPr>
        <w:t>s</w:t>
      </w:r>
      <w:r w:rsidR="00703A2C" w:rsidRPr="00401306">
        <w:rPr>
          <w:rFonts w:cs="Arial"/>
        </w:rPr>
        <w:t xml:space="preserve">oluble </w:t>
      </w:r>
      <w:proofErr w:type="spellStart"/>
      <w:r w:rsidR="00703A2C" w:rsidRPr="00401306">
        <w:rPr>
          <w:rFonts w:cs="Arial"/>
        </w:rPr>
        <w:t>F</w:t>
      </w:r>
      <w:r w:rsidR="00703A2C">
        <w:rPr>
          <w:rFonts w:cs="Arial"/>
        </w:rPr>
        <w:t>ms</w:t>
      </w:r>
      <w:proofErr w:type="spellEnd"/>
      <w:r w:rsidRPr="00401306">
        <w:rPr>
          <w:rFonts w:cs="Arial"/>
        </w:rPr>
        <w:t xml:space="preserve">-like tyrosine kinase-1 also known as soluble </w:t>
      </w:r>
      <w:r w:rsidR="00703A2C" w:rsidRPr="00401306">
        <w:rPr>
          <w:rFonts w:cs="Arial"/>
        </w:rPr>
        <w:t>V</w:t>
      </w:r>
      <w:r w:rsidR="00703A2C">
        <w:rPr>
          <w:rFonts w:cs="Arial"/>
        </w:rPr>
        <w:t>EG</w:t>
      </w:r>
      <w:r w:rsidR="00703A2C" w:rsidRPr="00401306">
        <w:rPr>
          <w:rFonts w:cs="Arial"/>
        </w:rPr>
        <w:t>F receptor</w:t>
      </w:r>
      <w:r w:rsidR="00703A2C">
        <w:rPr>
          <w:rFonts w:cs="Arial"/>
        </w:rPr>
        <w:t>-</w:t>
      </w:r>
      <w:r w:rsidRPr="00401306">
        <w:rPr>
          <w:rFonts w:cs="Arial"/>
        </w:rPr>
        <w:t>1</w:t>
      </w:r>
      <w:r w:rsidR="00703A2C">
        <w:rPr>
          <w:rFonts w:cs="Arial"/>
        </w:rPr>
        <w:t xml:space="preserve"> or sFlt-1</w:t>
      </w:r>
      <w:proofErr w:type="gramStart"/>
      <w:r w:rsidRPr="00401306">
        <w:rPr>
          <w:rFonts w:cs="Arial"/>
        </w:rPr>
        <w:t>)  is</w:t>
      </w:r>
      <w:proofErr w:type="gramEnd"/>
      <w:r w:rsidRPr="00401306">
        <w:rPr>
          <w:rFonts w:cs="Arial"/>
        </w:rPr>
        <w:t xml:space="preserve"> derived from  the ligand binding region of VEGFR-1/Flt-1 and its main function is believed to be </w:t>
      </w:r>
      <w:r w:rsidR="00703A2C">
        <w:rPr>
          <w:rFonts w:cs="Arial"/>
        </w:rPr>
        <w:t xml:space="preserve">in the regulation of VEGF bioavailability </w:t>
      </w:r>
      <w:r w:rsidRPr="00401306">
        <w:rPr>
          <w:rFonts w:cs="Arial"/>
        </w:rPr>
        <w:t xml:space="preserve">and hence suppression of VEGF </w:t>
      </w:r>
      <w:proofErr w:type="spellStart"/>
      <w:r w:rsidRPr="00401306">
        <w:rPr>
          <w:rFonts w:cs="Arial"/>
        </w:rPr>
        <w:t>signaling</w:t>
      </w:r>
      <w:proofErr w:type="spellEnd"/>
      <w:r>
        <w:rPr>
          <w:rFonts w:cs="Arial"/>
        </w:rPr>
        <w:fldChar w:fldCharType="begin"/>
      </w:r>
      <w:r>
        <w:rPr>
          <w:rFonts w:cs="Arial"/>
        </w:rPr>
        <w:instrText>ADDIN RW.CITE{{932 Shibuya,M. 2014}}</w:instrText>
      </w:r>
      <w:r>
        <w:rPr>
          <w:rFonts w:cs="Arial"/>
        </w:rPr>
        <w:fldChar w:fldCharType="separate"/>
      </w:r>
      <w:r w:rsidR="00067D24" w:rsidRPr="00067D24">
        <w:rPr>
          <w:rFonts w:ascii="Calibri" w:hAnsi="Calibri" w:cs="Arial"/>
        </w:rPr>
        <w:t>[43]</w:t>
      </w:r>
      <w:r>
        <w:rPr>
          <w:rFonts w:cs="Arial"/>
        </w:rPr>
        <w:fldChar w:fldCharType="end"/>
      </w:r>
      <w:r>
        <w:rPr>
          <w:rFonts w:cs="Arial"/>
        </w:rPr>
        <w:t>.</w:t>
      </w:r>
      <w:r w:rsidRPr="00401306">
        <w:rPr>
          <w:rFonts w:cs="Arial"/>
        </w:rPr>
        <w:t xml:space="preserve"> </w:t>
      </w:r>
    </w:p>
    <w:p w14:paraId="19830A73" w14:textId="77777777" w:rsidR="002A1952" w:rsidRDefault="002A1952" w:rsidP="007C7A49">
      <w:pPr>
        <w:pStyle w:val="Heading4"/>
      </w:pPr>
      <w:bookmarkStart w:id="11" w:name="_Toc436765730"/>
      <w:bookmarkStart w:id="12" w:name="_Toc436765722"/>
      <w:r>
        <w:t>Modified Seattle Questionnaire, GTN use and angina frequency</w:t>
      </w:r>
      <w:bookmarkEnd w:id="11"/>
    </w:p>
    <w:p w14:paraId="5334A329" w14:textId="3D2D1196" w:rsidR="002A1952" w:rsidRDefault="002A1952" w:rsidP="007C7A49">
      <w:pPr>
        <w:spacing w:line="480" w:lineRule="auto"/>
      </w:pPr>
      <w:r>
        <w:t xml:space="preserve">The Seattle Questionnaire (SQ) was developed in the 1990’s as a 19-item quality of life questionnaire assessing five dimensions of patients suffering from angina: physical limitation, angina stability, angina frequency, treatment satisfaction and disease perception </w:t>
      </w:r>
      <w:r>
        <w:fldChar w:fldCharType="begin"/>
      </w:r>
      <w:r>
        <w:instrText>ADDIN RW.CITE{{937 Spertus,J.A. 1995}}</w:instrText>
      </w:r>
      <w:r>
        <w:fldChar w:fldCharType="separate"/>
      </w:r>
      <w:r w:rsidR="00067D24" w:rsidRPr="00067D24">
        <w:rPr>
          <w:rFonts w:ascii="Calibri" w:hAnsi="Calibri"/>
        </w:rPr>
        <w:t>[44]</w:t>
      </w:r>
      <w:r>
        <w:fldChar w:fldCharType="end"/>
      </w:r>
      <w:r>
        <w:t xml:space="preserve">. It is widely used and was validated as a functional instrument in cardiovascular research outcome </w:t>
      </w:r>
      <w:r>
        <w:fldChar w:fldCharType="begin"/>
      </w:r>
      <w:r>
        <w:instrText>ADDIN RW.CITE{{940 Safley,D.M. 2014; 939 Beatty,A.L. 2014; 938 Arnold,S.V. 2014; 941 Arnold,S.V. 2014; 942 Abdallah,M.S. 2013}}</w:instrText>
      </w:r>
      <w:r>
        <w:fldChar w:fldCharType="separate"/>
      </w:r>
      <w:r w:rsidR="00067D24" w:rsidRPr="00067D24">
        <w:rPr>
          <w:rFonts w:ascii="Calibri" w:hAnsi="Calibri"/>
        </w:rPr>
        <w:t>[45-49]</w:t>
      </w:r>
      <w:r>
        <w:fldChar w:fldCharType="end"/>
      </w:r>
      <w:r>
        <w:t xml:space="preserve">.  We modified the questionnaire to reflect the short treatment period of one week in our study when compared to the original SQ which in contrast interrogates over a period of the last four weeks. The higher the score the better is the quality of life, angina control and disease perception. </w:t>
      </w:r>
      <w:r w:rsidR="00061F83">
        <w:t xml:space="preserve"> Patients will be handed out a checklist where they will document the frequency of their angina attacks and GTN use during their treatment weeks.</w:t>
      </w:r>
    </w:p>
    <w:p w14:paraId="25643D61" w14:textId="77777777" w:rsidR="00E67FD7" w:rsidRDefault="00E67FD7" w:rsidP="007C7A49">
      <w:pPr>
        <w:pStyle w:val="Heading4"/>
      </w:pPr>
      <w:bookmarkStart w:id="13" w:name="_Toc436765723"/>
      <w:r>
        <w:t>Statistical analysis</w:t>
      </w:r>
      <w:bookmarkEnd w:id="13"/>
    </w:p>
    <w:p w14:paraId="119371C8" w14:textId="2390ED05" w:rsidR="00E67FD7" w:rsidRPr="00C20476" w:rsidRDefault="00E67FD7" w:rsidP="007C7A49">
      <w:pPr>
        <w:spacing w:line="480" w:lineRule="auto"/>
      </w:pPr>
      <w:r w:rsidRPr="00C20476">
        <w:t>Based on data from several previous randomized controlled studies testing the efficacy of anti-</w:t>
      </w:r>
      <w:proofErr w:type="spellStart"/>
      <w:r w:rsidRPr="00C20476">
        <w:t>anginal</w:t>
      </w:r>
      <w:proofErr w:type="spellEnd"/>
      <w:r w:rsidRPr="00C20476">
        <w:t xml:space="preserve"> medication with ECG exercise treadmill tests, the mean improvement in time to 1 mm ST depression between the active and placebo groups was around 50 sec [36sec with amlodipine </w:t>
      </w:r>
      <w:r w:rsidRPr="00C20476">
        <w:fldChar w:fldCharType="begin"/>
      </w:r>
      <w:r w:rsidRPr="00C20476">
        <w:instrText>ADDIN RW.CITE{{817 Dunselman,P.H.J.M. 1998; 818 Knight,C.J. 1998}}</w:instrText>
      </w:r>
      <w:r w:rsidRPr="00C20476">
        <w:fldChar w:fldCharType="separate"/>
      </w:r>
      <w:r w:rsidR="00067D24" w:rsidRPr="00067D24">
        <w:t>[23,50]</w:t>
      </w:r>
      <w:r w:rsidRPr="00C20476">
        <w:fldChar w:fldCharType="end"/>
      </w:r>
      <w:r w:rsidRPr="00C20476">
        <w:t xml:space="preserve">, 60 sec with organic nitrates </w:t>
      </w:r>
      <w:r w:rsidRPr="00C20476">
        <w:fldChar w:fldCharType="begin"/>
      </w:r>
      <w:r w:rsidRPr="00C20476">
        <w:instrText>ADDIN RW.CITE{{819 Halcox,J.P.J. 2002}}</w:instrText>
      </w:r>
      <w:r w:rsidRPr="00C20476">
        <w:fldChar w:fldCharType="separate"/>
      </w:r>
      <w:r w:rsidR="00067D24" w:rsidRPr="00067D24">
        <w:t>[24]</w:t>
      </w:r>
      <w:r w:rsidRPr="00C20476">
        <w:fldChar w:fldCharType="end"/>
      </w:r>
      <w:r w:rsidRPr="00C20476">
        <w:t xml:space="preserve">, 46 sec with atenolol and ranolazine </w:t>
      </w:r>
      <w:r w:rsidRPr="00C20476">
        <w:fldChar w:fldCharType="begin"/>
      </w:r>
      <w:r w:rsidRPr="00C20476">
        <w:instrText>ADDIN RW.CITE{{820 Rousseau,M.F. 2005}}</w:instrText>
      </w:r>
      <w:r w:rsidRPr="00C20476">
        <w:fldChar w:fldCharType="separate"/>
      </w:r>
      <w:r w:rsidR="00067D24" w:rsidRPr="00067D24">
        <w:t>[51]</w:t>
      </w:r>
      <w:r w:rsidRPr="00C20476">
        <w:fldChar w:fldCharType="end"/>
      </w:r>
      <w:r w:rsidRPr="00C20476">
        <w:t>, 46 sec with ivabridine</w:t>
      </w:r>
      <w:r w:rsidRPr="00C20476">
        <w:fldChar w:fldCharType="begin"/>
      </w:r>
      <w:r w:rsidRPr="00C20476">
        <w:instrText>ADDIN RW.CITE{{821 Tardif,J.-C. 2009}}</w:instrText>
      </w:r>
      <w:r w:rsidRPr="00C20476">
        <w:fldChar w:fldCharType="separate"/>
      </w:r>
      <w:r w:rsidR="00067D24" w:rsidRPr="00067D24">
        <w:t>[52]</w:t>
      </w:r>
      <w:r w:rsidRPr="00C20476">
        <w:fldChar w:fldCharType="end"/>
      </w:r>
      <w:r w:rsidRPr="00C20476">
        <w:t xml:space="preserve"> or 43 sec with allopurinol </w:t>
      </w:r>
      <w:r w:rsidRPr="00C20476">
        <w:fldChar w:fldCharType="begin"/>
      </w:r>
      <w:r w:rsidRPr="00C20476">
        <w:instrText>ADDIN RW.CITE{{593 Noman,A. 2010}}</w:instrText>
      </w:r>
      <w:r w:rsidRPr="00C20476">
        <w:fldChar w:fldCharType="separate"/>
      </w:r>
      <w:r w:rsidR="00067D24" w:rsidRPr="00067D24">
        <w:t>[25]</w:t>
      </w:r>
      <w:r w:rsidRPr="00C20476">
        <w:fldChar w:fldCharType="end"/>
      </w:r>
      <w:r w:rsidRPr="00C20476">
        <w:t xml:space="preserve">]. The standard deviation in cross-over studies ranged around 80-90 sec </w:t>
      </w:r>
      <w:r w:rsidRPr="00C20476">
        <w:fldChar w:fldCharType="begin"/>
      </w:r>
      <w:r w:rsidRPr="00C20476">
        <w:instrText>ADDIN RW.CITE{{935 Thadani,U. 2002; 817 Dunselman,P.H.J.M. 1998; 819 Halcox,J.P.J. 2002; 933 Fox,K.M. 2003}}</w:instrText>
      </w:r>
      <w:r w:rsidRPr="00C20476">
        <w:fldChar w:fldCharType="separate"/>
      </w:r>
      <w:r w:rsidR="00067D24" w:rsidRPr="00067D24">
        <w:rPr>
          <w:rFonts w:ascii="Calibri" w:hAnsi="Calibri"/>
        </w:rPr>
        <w:t>[21-24]</w:t>
      </w:r>
      <w:r w:rsidRPr="00C20476">
        <w:fldChar w:fldCharType="end"/>
      </w:r>
      <w:r w:rsidRPr="00C20476">
        <w:t>. Projecting an expected absolute mean treatment difference between the two arms of 30 s and a SD of 80 sec and allowing for a significance of 0.05 at 80% power in a pa</w:t>
      </w:r>
      <w:r w:rsidR="00761728">
        <w:t xml:space="preserve">ired </w:t>
      </w:r>
      <w:r w:rsidR="00761728">
        <w:lastRenderedPageBreak/>
        <w:t>crossover trial design, would require a</w:t>
      </w:r>
      <w:r w:rsidRPr="00C20476">
        <w:t xml:space="preserve"> sample size of 58 patients. To allow for drop-outs we planned to randomize 70 patients. </w:t>
      </w:r>
    </w:p>
    <w:p w14:paraId="6080BA54" w14:textId="77777777" w:rsidR="002E66AD" w:rsidRPr="00C345BD" w:rsidRDefault="00E67FD7" w:rsidP="007C7A49">
      <w:pPr>
        <w:spacing w:line="480" w:lineRule="auto"/>
        <w:rPr>
          <w:i/>
          <w:color w:val="FF0000"/>
        </w:rPr>
      </w:pPr>
      <w:r w:rsidRPr="00C20476">
        <w:t xml:space="preserve">For the secondary </w:t>
      </w:r>
      <w:proofErr w:type="spellStart"/>
      <w:r w:rsidRPr="00C20476">
        <w:t>dobutamine</w:t>
      </w:r>
      <w:proofErr w:type="spellEnd"/>
      <w:r w:rsidRPr="00C20476">
        <w:t xml:space="preserve"> stress echocardiogram endpoint of tissue Doppler velocity derived peak systolic velocity (</w:t>
      </w:r>
      <w:proofErr w:type="spellStart"/>
      <w:r w:rsidRPr="00C20476">
        <w:t>Sp</w:t>
      </w:r>
      <w:proofErr w:type="spellEnd"/>
      <w:r w:rsidRPr="00C20476">
        <w:t>) we aim to invite all elig</w:t>
      </w:r>
      <w:r w:rsidR="009F0015">
        <w:t>ible patients, but we recognize</w:t>
      </w:r>
      <w:r w:rsidRPr="00C20476">
        <w:t xml:space="preserve"> that many patients may not participate either due to contraindications, not tolerating the baseline scan or frequently their personal choice to opt out of this subgroup as the research visits will last significantly longer and often may interfere with their social</w:t>
      </w:r>
      <w:r w:rsidR="00C345BD">
        <w:t xml:space="preserve"> or working life.  We will aim</w:t>
      </w:r>
      <w:r w:rsidRPr="00C20476">
        <w:t xml:space="preserve"> to recruit a minimum of twenty patients based on a previous study by Ingram et al who showed that  single intravenous nitrite infusion (30µmol NaNO2) increased peak systolic velocity  in ischaemic segments when compared to saline infusion (N=10, 9.5±0.5 vs 12.4±0.6cm/s, p&lt;0.001) (Ingram, JACC 2013). A sample size of 16 patients would be necessary to observe 1.0 cm/s velocity difference </w:t>
      </w:r>
      <w:proofErr w:type="spellStart"/>
      <w:r w:rsidRPr="00C20476">
        <w:t>Sp</w:t>
      </w:r>
      <w:proofErr w:type="spellEnd"/>
      <w:r w:rsidRPr="00C20476">
        <w:t xml:space="preserve"> and a standard deviation of 1.0 cm/s  (two-tailed, paired, power 0.95 and p=0.05). </w:t>
      </w:r>
      <w:r w:rsidR="00C345BD">
        <w:rPr>
          <w:i/>
          <w:color w:val="FF0000"/>
        </w:rPr>
        <w:t xml:space="preserve"> </w:t>
      </w:r>
    </w:p>
    <w:p w14:paraId="45791CF4" w14:textId="2F484E78" w:rsidR="00C20476" w:rsidRPr="00C20476" w:rsidRDefault="00C20476" w:rsidP="007C7A49">
      <w:pPr>
        <w:spacing w:line="480" w:lineRule="auto"/>
      </w:pPr>
      <w:r w:rsidRPr="00C20476">
        <w:t xml:space="preserve">The primary endpoint (time to 1mm ST-Depression) is assumed to follow a Normal distribution.  The analysis will follow that recommended by </w:t>
      </w:r>
      <w:proofErr w:type="spellStart"/>
      <w:proofErr w:type="gramStart"/>
      <w:r w:rsidRPr="00C20476">
        <w:t>Senn</w:t>
      </w:r>
      <w:proofErr w:type="spellEnd"/>
      <w:proofErr w:type="gramEnd"/>
      <w:r w:rsidRPr="00C20476">
        <w:fldChar w:fldCharType="begin"/>
      </w:r>
      <w:r w:rsidRPr="00C20476">
        <w:instrText>ADDIN RW.CITE{{936 Senn,Stephen 1993}}</w:instrText>
      </w:r>
      <w:r w:rsidRPr="00C20476">
        <w:fldChar w:fldCharType="separate"/>
      </w:r>
      <w:r w:rsidR="00067D24" w:rsidRPr="00067D24">
        <w:rPr>
          <w:rFonts w:ascii="Calibri" w:hAnsi="Calibri"/>
        </w:rPr>
        <w:t>[53]</w:t>
      </w:r>
      <w:r w:rsidRPr="00C20476">
        <w:fldChar w:fldCharType="end"/>
      </w:r>
      <w:r w:rsidRPr="00C20476">
        <w:t xml:space="preserve"> </w:t>
      </w:r>
      <w:r w:rsidRPr="00C20476">
        <w:rPr>
          <w:vertAlign w:val="superscript"/>
        </w:rPr>
        <w:t xml:space="preserve"> </w:t>
      </w:r>
      <w:r w:rsidRPr="00C20476">
        <w:t>for the analysis of a 2-treatment, 2-period cross-over trial.  A General Linear Model (GLM) will be constructed with the following terms included: participant (as a random effect), period and treatment (both as fixed effects).  Baseline terms will not be included as baseline data is not available for both treatment periods.  Baseline data will, however, be tabulated and described, by randomised group (i.e. by treatment sequence). Treatment efficacy will be estimated as the treatment effect estimate from the GLM with a 95% confidence interval constructed and the hypothesis of zero effect tested (at the 5% significance level).</w:t>
      </w:r>
    </w:p>
    <w:p w14:paraId="5258A0D2" w14:textId="77777777" w:rsidR="00C20476" w:rsidRPr="00C20476" w:rsidRDefault="00C20476" w:rsidP="007C7A49">
      <w:pPr>
        <w:spacing w:line="480" w:lineRule="auto"/>
      </w:pPr>
      <w:r w:rsidRPr="00C20476">
        <w:t xml:space="preserve">Secondary endpoints will be analysed in the same manner.  </w:t>
      </w:r>
      <w:proofErr w:type="gramStart"/>
      <w:r w:rsidRPr="00C20476">
        <w:t>For some endpoints (for example number of angina attack episodes), the assumption of a Normal distribution is unlikely to hold and an appropriate transformation will be carried out prior to analysis (for example a logarithmic or square-root transformation).</w:t>
      </w:r>
      <w:proofErr w:type="gramEnd"/>
      <w:r w:rsidRPr="00C20476">
        <w:t xml:space="preserve">  The residuals from each model with </w:t>
      </w:r>
      <w:proofErr w:type="gramStart"/>
      <w:r w:rsidRPr="00C20476">
        <w:t>be</w:t>
      </w:r>
      <w:proofErr w:type="gramEnd"/>
      <w:r w:rsidRPr="00C20476">
        <w:t xml:space="preserve"> check to follow and approximate Normal distribution.</w:t>
      </w:r>
      <w:r w:rsidR="00326ECE">
        <w:t xml:space="preserve"> </w:t>
      </w:r>
      <w:r w:rsidRPr="00C20476">
        <w:t>The trial statistician will conduct a</w:t>
      </w:r>
      <w:r w:rsidR="00E07F7B">
        <w:t>nd report the analyses</w:t>
      </w:r>
      <w:r w:rsidRPr="00C20476">
        <w:t xml:space="preserve"> blind, i.e. </w:t>
      </w:r>
      <w:r w:rsidRPr="00C20476">
        <w:lastRenderedPageBreak/>
        <w:t>simply comparing treatment ‘A’ to treatment ‘B’ according to the randomisation schedule provided, without knowing which treatment is active or placebo.</w:t>
      </w:r>
      <w:r w:rsidR="00326ECE">
        <w:t xml:space="preserve"> </w:t>
      </w:r>
      <w:r w:rsidRPr="00C20476">
        <w:t>All analyses will be carried out in SAS version 9.3.</w:t>
      </w:r>
    </w:p>
    <w:p w14:paraId="2D1E6C83" w14:textId="77777777" w:rsidR="0005639B" w:rsidRPr="00401306" w:rsidRDefault="0005639B" w:rsidP="007C7A49">
      <w:pPr>
        <w:pStyle w:val="Heading4"/>
      </w:pPr>
      <w:r w:rsidRPr="00401306">
        <w:t xml:space="preserve">Trial Oversight </w:t>
      </w:r>
      <w:bookmarkEnd w:id="12"/>
    </w:p>
    <w:p w14:paraId="0335975D" w14:textId="77777777" w:rsidR="0005639B" w:rsidRDefault="0005639B" w:rsidP="007C7A49">
      <w:pPr>
        <w:spacing w:line="480" w:lineRule="auto"/>
        <w:rPr>
          <w:rFonts w:cs="Arial"/>
        </w:rPr>
      </w:pPr>
      <w:r w:rsidRPr="00401306">
        <w:rPr>
          <w:rFonts w:cs="Arial"/>
        </w:rPr>
        <w:t xml:space="preserve">A Trial Steering Committee </w:t>
      </w:r>
      <w:r w:rsidR="00AE2EC6">
        <w:rPr>
          <w:rFonts w:cs="Arial"/>
        </w:rPr>
        <w:t>will oversee</w:t>
      </w:r>
      <w:r w:rsidRPr="00401306">
        <w:rPr>
          <w:rFonts w:cs="Arial"/>
        </w:rPr>
        <w:t xml:space="preserve">, monitored and supervised </w:t>
      </w:r>
      <w:r w:rsidR="00AE2EC6">
        <w:rPr>
          <w:rFonts w:cs="Arial"/>
        </w:rPr>
        <w:t>the progress of the study and will be</w:t>
      </w:r>
      <w:r w:rsidRPr="00401306">
        <w:rPr>
          <w:rFonts w:cs="Arial"/>
        </w:rPr>
        <w:t xml:space="preserve"> responsible for the scientific integrity of the research. Data Monitoring Committee </w:t>
      </w:r>
      <w:r w:rsidR="00AE2EC6">
        <w:rPr>
          <w:rFonts w:cs="Arial"/>
        </w:rPr>
        <w:t xml:space="preserve">will </w:t>
      </w:r>
      <w:r w:rsidRPr="00401306">
        <w:rPr>
          <w:rFonts w:cs="Arial"/>
        </w:rPr>
        <w:t xml:space="preserve">monitor the safety of the study and research validity of its conduct. Research and Development department of the University of Aberdeen </w:t>
      </w:r>
      <w:r w:rsidR="00AE2EC6">
        <w:rPr>
          <w:rFonts w:cs="Arial"/>
        </w:rPr>
        <w:t>will act</w:t>
      </w:r>
      <w:r w:rsidRPr="00401306">
        <w:rPr>
          <w:rFonts w:cs="Arial"/>
        </w:rPr>
        <w:t xml:space="preserve"> as the sponsor and monitor of the study.  The study </w:t>
      </w:r>
      <w:r w:rsidR="00AE2EC6">
        <w:rPr>
          <w:rFonts w:cs="Arial"/>
        </w:rPr>
        <w:t>is</w:t>
      </w:r>
      <w:r w:rsidRPr="00401306">
        <w:rPr>
          <w:rFonts w:cs="Arial"/>
        </w:rPr>
        <w:t xml:space="preserve"> registered and underwent regulatory approvals by the MHRA (Medicine and Healthcare Regulatory Agency), NHS-Grampian R&amp;D department and the Research Ethics Committee. </w:t>
      </w:r>
    </w:p>
    <w:p w14:paraId="39FC7FFC" w14:textId="77777777" w:rsidR="00026C01" w:rsidRDefault="00026C01" w:rsidP="007C7A49">
      <w:pPr>
        <w:pStyle w:val="Heading2"/>
      </w:pPr>
      <w:r>
        <w:t>Conclusion</w:t>
      </w:r>
    </w:p>
    <w:p w14:paraId="26C6BF0B" w14:textId="5B92CA4C" w:rsidR="00026C01" w:rsidRPr="00026C01" w:rsidRDefault="00FF24A7" w:rsidP="007C7A49">
      <w:pPr>
        <w:spacing w:line="480" w:lineRule="auto"/>
        <w:rPr>
          <w:lang w:val="en-US"/>
        </w:rPr>
      </w:pPr>
      <w:r>
        <w:rPr>
          <w:lang w:val="en-US"/>
        </w:rPr>
        <w:t>In the aging population increasing proportion of patients with advanced coronary disease survive to the stage when no more</w:t>
      </w:r>
      <w:r w:rsidR="002B021E">
        <w:rPr>
          <w:lang w:val="en-US"/>
        </w:rPr>
        <w:t xml:space="preserve"> revascularization is possible and first line antianginal treatment options are exhausted.  Inorganic nitrate treatment offers via nitrate-nitrite-nitric oxide treatment pathway </w:t>
      </w:r>
      <w:r w:rsidR="0079161E">
        <w:rPr>
          <w:lang w:val="en-US"/>
        </w:rPr>
        <w:t>a unique anti-</w:t>
      </w:r>
      <w:proofErr w:type="spellStart"/>
      <w:r w:rsidR="0079161E">
        <w:rPr>
          <w:lang w:val="en-US"/>
        </w:rPr>
        <w:t>anginal</w:t>
      </w:r>
      <w:proofErr w:type="spellEnd"/>
      <w:r w:rsidR="0079161E">
        <w:rPr>
          <w:lang w:val="en-US"/>
        </w:rPr>
        <w:t xml:space="preserve"> strategy by theoretical improving selective vasodilation in hypoxic territories, promotion of vasodilation or improved mitochondrial efficiency. While sound in experimental animal studies and pilot studies on healthy volunteers, this study proposes to investigate potential anti-</w:t>
      </w:r>
      <w:proofErr w:type="spellStart"/>
      <w:r w:rsidR="0079161E">
        <w:rPr>
          <w:lang w:val="en-US"/>
        </w:rPr>
        <w:t>anginal</w:t>
      </w:r>
      <w:proofErr w:type="spellEnd"/>
      <w:r w:rsidR="0079161E">
        <w:rPr>
          <w:lang w:val="en-US"/>
        </w:rPr>
        <w:t xml:space="preserve"> benefits of sodium nitrate in </w:t>
      </w:r>
      <w:r w:rsidR="00861D3D">
        <w:rPr>
          <w:lang w:val="en-US"/>
        </w:rPr>
        <w:t xml:space="preserve">elderly </w:t>
      </w:r>
      <w:r w:rsidR="0079161E">
        <w:rPr>
          <w:lang w:val="en-US"/>
        </w:rPr>
        <w:t>population</w:t>
      </w:r>
      <w:r w:rsidR="00861D3D">
        <w:rPr>
          <w:lang w:val="en-US"/>
        </w:rPr>
        <w:t xml:space="preserve"> of </w:t>
      </w:r>
      <w:r w:rsidR="00FB16C6">
        <w:rPr>
          <w:lang w:val="en-US"/>
        </w:rPr>
        <w:t>patients</w:t>
      </w:r>
      <w:r w:rsidR="00861D3D">
        <w:rPr>
          <w:lang w:val="en-US"/>
        </w:rPr>
        <w:t xml:space="preserve"> suffering </w:t>
      </w:r>
      <w:r w:rsidR="0021458A">
        <w:rPr>
          <w:lang w:val="en-US"/>
        </w:rPr>
        <w:t>from</w:t>
      </w:r>
      <w:r w:rsidR="00861D3D">
        <w:rPr>
          <w:lang w:val="en-US"/>
        </w:rPr>
        <w:t xml:space="preserve"> angina and known advanced atherosclerotic disease</w:t>
      </w:r>
      <w:r w:rsidR="0079161E">
        <w:rPr>
          <w:lang w:val="en-US"/>
        </w:rPr>
        <w:t xml:space="preserve"> </w:t>
      </w:r>
      <w:proofErr w:type="gramStart"/>
      <w:r w:rsidR="005E71EE">
        <w:rPr>
          <w:lang w:val="en-US"/>
        </w:rPr>
        <w:t>who</w:t>
      </w:r>
      <w:proofErr w:type="gramEnd"/>
      <w:r w:rsidR="005E71EE">
        <w:rPr>
          <w:lang w:val="en-US"/>
        </w:rPr>
        <w:t xml:space="preserve"> are </w:t>
      </w:r>
      <w:r w:rsidR="0079161E">
        <w:rPr>
          <w:lang w:val="en-US"/>
        </w:rPr>
        <w:t>on background poly-pharmacy.</w:t>
      </w:r>
    </w:p>
    <w:p w14:paraId="319BC0F8" w14:textId="77777777" w:rsidR="00026C01" w:rsidRDefault="00026C01" w:rsidP="007C7A49">
      <w:pPr>
        <w:spacing w:line="480" w:lineRule="auto"/>
        <w:rPr>
          <w:rFonts w:cs="Arial"/>
        </w:rPr>
      </w:pPr>
    </w:p>
    <w:p w14:paraId="3F46B7DF" w14:textId="77777777" w:rsidR="0005639B" w:rsidRPr="00401306" w:rsidRDefault="0005639B" w:rsidP="007C7A49">
      <w:pPr>
        <w:pStyle w:val="Heading3"/>
        <w:rPr>
          <w:rFonts w:asciiTheme="minorHAnsi" w:hAnsiTheme="minorHAnsi" w:cs="Arial"/>
        </w:rPr>
      </w:pPr>
      <w:bookmarkStart w:id="14" w:name="_Toc436765724"/>
      <w:r w:rsidRPr="00401306">
        <w:rPr>
          <w:rFonts w:asciiTheme="minorHAnsi" w:hAnsiTheme="minorHAnsi" w:cs="Arial"/>
        </w:rPr>
        <w:t>Funding</w:t>
      </w:r>
      <w:bookmarkEnd w:id="14"/>
    </w:p>
    <w:p w14:paraId="1708AE52" w14:textId="77777777" w:rsidR="0005639B" w:rsidRDefault="0005639B" w:rsidP="007C7A49">
      <w:pPr>
        <w:spacing w:line="480" w:lineRule="auto"/>
        <w:rPr>
          <w:rFonts w:cs="Arial"/>
        </w:rPr>
      </w:pPr>
      <w:r w:rsidRPr="00401306">
        <w:rPr>
          <w:rFonts w:cs="Arial"/>
        </w:rPr>
        <w:t>The s</w:t>
      </w:r>
      <w:r>
        <w:rPr>
          <w:rFonts w:cs="Arial"/>
        </w:rPr>
        <w:t xml:space="preserve">tudy </w:t>
      </w:r>
      <w:r w:rsidR="002A1952">
        <w:rPr>
          <w:rFonts w:cs="Arial"/>
        </w:rPr>
        <w:t>i</w:t>
      </w:r>
      <w:r>
        <w:rPr>
          <w:rFonts w:cs="Arial"/>
        </w:rPr>
        <w:t>s funded by the Medical R</w:t>
      </w:r>
      <w:r w:rsidRPr="00401306">
        <w:rPr>
          <w:rFonts w:cs="Arial"/>
        </w:rPr>
        <w:t>esearch Council.</w:t>
      </w:r>
    </w:p>
    <w:p w14:paraId="43143E21" w14:textId="77777777" w:rsidR="000D0BDD" w:rsidRDefault="000D0BDD" w:rsidP="007C7A49">
      <w:pPr>
        <w:spacing w:line="480" w:lineRule="auto"/>
        <w:rPr>
          <w:lang w:val="en"/>
        </w:rPr>
      </w:pPr>
      <w:proofErr w:type="spellStart"/>
      <w:r>
        <w:rPr>
          <w:lang w:val="en"/>
        </w:rPr>
        <w:t>Edura</w:t>
      </w:r>
      <w:proofErr w:type="spellEnd"/>
      <w:r>
        <w:rPr>
          <w:lang w:val="en"/>
        </w:rPr>
        <w:t xml:space="preserve"> CT number:</w:t>
      </w:r>
      <w:r w:rsidR="00827739" w:rsidRPr="00827739">
        <w:t xml:space="preserve"> </w:t>
      </w:r>
      <w:r w:rsidR="00827739">
        <w:t>2012-000196-17</w:t>
      </w:r>
    </w:p>
    <w:p w14:paraId="7AA0569F" w14:textId="77777777" w:rsidR="000D0BDD" w:rsidRDefault="000D0BDD" w:rsidP="007C7A49">
      <w:pPr>
        <w:spacing w:line="480" w:lineRule="auto"/>
        <w:rPr>
          <w:lang w:val="en"/>
        </w:rPr>
      </w:pPr>
      <w:r>
        <w:rPr>
          <w:lang w:val="en"/>
        </w:rPr>
        <w:lastRenderedPageBreak/>
        <w:t>Trial Re</w:t>
      </w:r>
      <w:r w:rsidR="003E053A">
        <w:rPr>
          <w:lang w:val="en"/>
        </w:rPr>
        <w:t xml:space="preserve">gistration: ClinicalTrials.gov   </w:t>
      </w:r>
      <w:r>
        <w:rPr>
          <w:lang w:val="en"/>
        </w:rPr>
        <w:t>NCT02078921</w:t>
      </w:r>
    </w:p>
    <w:p w14:paraId="7427FB68" w14:textId="77777777" w:rsidR="00D04BEB" w:rsidRPr="00D04BEB" w:rsidRDefault="00D04BEB" w:rsidP="007C7A49">
      <w:pPr>
        <w:pStyle w:val="Heading3"/>
        <w:rPr>
          <w:rFonts w:asciiTheme="minorHAnsi" w:hAnsiTheme="minorHAnsi"/>
        </w:rPr>
      </w:pPr>
      <w:r w:rsidRPr="00D04BEB">
        <w:rPr>
          <w:rFonts w:asciiTheme="minorHAnsi" w:hAnsiTheme="minorHAnsi"/>
        </w:rPr>
        <w:t>Acknowledgement</w:t>
      </w:r>
    </w:p>
    <w:p w14:paraId="3CE4C97B" w14:textId="46292016" w:rsidR="00D04BEB" w:rsidRDefault="00D04BEB" w:rsidP="007C7A49">
      <w:pPr>
        <w:spacing w:line="480" w:lineRule="auto"/>
        <w:rPr>
          <w:rFonts w:cs="Arial"/>
        </w:rPr>
      </w:pPr>
      <w:r w:rsidRPr="00895872">
        <w:rPr>
          <w:rFonts w:cs="Arial"/>
        </w:rPr>
        <w:t>We are very grateful to Amanda Cardy (Scottish Primary Research Network) for her help with recruitment from primary care centres</w:t>
      </w:r>
      <w:r w:rsidR="00991DCE">
        <w:rPr>
          <w:rFonts w:cs="Arial"/>
        </w:rPr>
        <w:t xml:space="preserve">. Further thanks are to Val Harries, Amelia Rudd and Frances Adamson for their assistance with </w:t>
      </w:r>
      <w:r w:rsidR="00B55F9F">
        <w:rPr>
          <w:rFonts w:cs="Arial"/>
        </w:rPr>
        <w:t xml:space="preserve">facilitation of </w:t>
      </w:r>
      <w:r w:rsidR="003935ED">
        <w:rPr>
          <w:rFonts w:cs="Arial"/>
        </w:rPr>
        <w:t>study</w:t>
      </w:r>
      <w:r w:rsidR="00B55F9F">
        <w:rPr>
          <w:rFonts w:cs="Arial"/>
        </w:rPr>
        <w:t xml:space="preserve"> recruitment</w:t>
      </w:r>
      <w:r w:rsidR="00991DCE">
        <w:rPr>
          <w:rFonts w:cs="Arial"/>
        </w:rPr>
        <w:t>.</w:t>
      </w:r>
    </w:p>
    <w:tbl>
      <w:tblPr>
        <w:tblStyle w:val="TableGrid"/>
        <w:tblW w:w="0" w:type="auto"/>
        <w:tblLook w:val="04A0" w:firstRow="1" w:lastRow="0" w:firstColumn="1" w:lastColumn="0" w:noHBand="0" w:noVBand="1"/>
      </w:tblPr>
      <w:tblGrid>
        <w:gridCol w:w="9242"/>
      </w:tblGrid>
      <w:tr w:rsidR="00FC451A" w14:paraId="707ED968" w14:textId="77777777" w:rsidTr="00FC451A">
        <w:tc>
          <w:tcPr>
            <w:tcW w:w="9242" w:type="dxa"/>
            <w:shd w:val="clear" w:color="auto" w:fill="000000" w:themeFill="text1"/>
          </w:tcPr>
          <w:p w14:paraId="538355C9" w14:textId="5C47F1A5" w:rsidR="00FC451A" w:rsidRPr="00FC451A" w:rsidRDefault="00FC451A" w:rsidP="00FC451A">
            <w:pPr>
              <w:rPr>
                <w:rFonts w:cs="Arial"/>
                <w:b/>
                <w:color w:val="FFFFFF" w:themeColor="background1"/>
              </w:rPr>
            </w:pPr>
            <w:r w:rsidRPr="00FC451A">
              <w:rPr>
                <w:rFonts w:cs="Arial"/>
                <w:b/>
                <w:color w:val="FFFFFF" w:themeColor="background1"/>
              </w:rPr>
              <w:t>Executive summary</w:t>
            </w:r>
          </w:p>
        </w:tc>
      </w:tr>
      <w:tr w:rsidR="00FC451A" w14:paraId="11C28B44" w14:textId="77777777" w:rsidTr="00FC451A">
        <w:tc>
          <w:tcPr>
            <w:tcW w:w="9242" w:type="dxa"/>
            <w:shd w:val="clear" w:color="auto" w:fill="D9D9D9" w:themeFill="background1" w:themeFillShade="D9"/>
          </w:tcPr>
          <w:p w14:paraId="4D675F5F" w14:textId="3DA6E448" w:rsidR="00FC451A" w:rsidRPr="00FC451A" w:rsidRDefault="00FC451A" w:rsidP="00FC451A">
            <w:pPr>
              <w:rPr>
                <w:rFonts w:cs="Arial"/>
                <w:i/>
              </w:rPr>
            </w:pPr>
            <w:r w:rsidRPr="00FC451A">
              <w:rPr>
                <w:rFonts w:cs="Arial"/>
                <w:i/>
              </w:rPr>
              <w:t>Background</w:t>
            </w:r>
          </w:p>
        </w:tc>
      </w:tr>
      <w:tr w:rsidR="007C1A26" w14:paraId="2346A318" w14:textId="77777777" w:rsidTr="002F0BC4">
        <w:trPr>
          <w:trHeight w:val="1793"/>
        </w:trPr>
        <w:tc>
          <w:tcPr>
            <w:tcW w:w="9242" w:type="dxa"/>
          </w:tcPr>
          <w:p w14:paraId="57678FA9" w14:textId="77777777" w:rsidR="007C1A26" w:rsidRPr="00FC451A" w:rsidRDefault="007C1A26" w:rsidP="00FC451A">
            <w:pPr>
              <w:pStyle w:val="ListParagraph"/>
              <w:numPr>
                <w:ilvl w:val="0"/>
                <w:numId w:val="40"/>
              </w:numPr>
              <w:spacing w:line="240" w:lineRule="auto"/>
              <w:rPr>
                <w:rFonts w:cs="Arial"/>
              </w:rPr>
            </w:pPr>
            <w:r w:rsidRPr="00FC451A">
              <w:rPr>
                <w:rFonts w:cs="Arial"/>
              </w:rPr>
              <w:t>Angina remains a therapeutic challenge in the era of an aging Western population once all revascularization options are exhausted and the use of first line anti-</w:t>
            </w:r>
            <w:proofErr w:type="spellStart"/>
            <w:r w:rsidRPr="00FC451A">
              <w:rPr>
                <w:rFonts w:cs="Arial"/>
              </w:rPr>
              <w:t>anginal</w:t>
            </w:r>
            <w:proofErr w:type="spellEnd"/>
            <w:r w:rsidRPr="00FC451A">
              <w:rPr>
                <w:rFonts w:cs="Arial"/>
              </w:rPr>
              <w:t xml:space="preserve"> drugs is limited due to their side effects</w:t>
            </w:r>
          </w:p>
          <w:p w14:paraId="6F657BAE" w14:textId="3AFF27BA" w:rsidR="007C1A26" w:rsidRPr="00FC451A" w:rsidRDefault="007C1A26" w:rsidP="00787247">
            <w:pPr>
              <w:pStyle w:val="ListParagraph"/>
              <w:numPr>
                <w:ilvl w:val="0"/>
                <w:numId w:val="40"/>
              </w:numPr>
              <w:spacing w:line="240" w:lineRule="auto"/>
              <w:rPr>
                <w:rFonts w:cs="Arial"/>
              </w:rPr>
            </w:pPr>
            <w:r>
              <w:rPr>
                <w:rFonts w:cs="Arial"/>
              </w:rPr>
              <w:t xml:space="preserve">Oral inorganic nitrate supplementation was shown to selectively </w:t>
            </w:r>
            <w:proofErr w:type="spellStart"/>
            <w:r>
              <w:rPr>
                <w:rFonts w:cs="Arial"/>
              </w:rPr>
              <w:t>vasodilate</w:t>
            </w:r>
            <w:proofErr w:type="spellEnd"/>
            <w:r>
              <w:rPr>
                <w:rFonts w:cs="Arial"/>
              </w:rPr>
              <w:t xml:space="preserve"> under hypoxic conditions, lower blood pressure, </w:t>
            </w:r>
            <w:r w:rsidRPr="00FC451A">
              <w:rPr>
                <w:rFonts w:cs="Arial"/>
                <w:lang w:val="en-GB"/>
              </w:rPr>
              <w:t>improve endothelial dysfunction</w:t>
            </w:r>
            <w:r>
              <w:rPr>
                <w:rFonts w:cs="Arial"/>
                <w:lang w:val="en-GB"/>
              </w:rPr>
              <w:t>,</w:t>
            </w:r>
            <w:r w:rsidRPr="00FC451A">
              <w:rPr>
                <w:rFonts w:cs="Arial"/>
                <w:lang w:val="en-GB"/>
              </w:rPr>
              <w:t xml:space="preserve"> promote angiogenesis, and </w:t>
            </w:r>
            <w:r>
              <w:rPr>
                <w:rFonts w:cs="Arial"/>
                <w:lang w:val="en-GB"/>
              </w:rPr>
              <w:t xml:space="preserve">improve </w:t>
            </w:r>
            <w:r w:rsidRPr="00FC451A">
              <w:rPr>
                <w:rFonts w:cs="Arial"/>
                <w:lang w:val="en-GB"/>
              </w:rPr>
              <w:t>mitochondrial efficiency in skeletal muscle</w:t>
            </w:r>
          </w:p>
        </w:tc>
      </w:tr>
      <w:tr w:rsidR="00FC451A" w14:paraId="2F373EF2" w14:textId="77777777" w:rsidTr="00787247">
        <w:tc>
          <w:tcPr>
            <w:tcW w:w="9242" w:type="dxa"/>
            <w:shd w:val="clear" w:color="auto" w:fill="D9D9D9" w:themeFill="background1" w:themeFillShade="D9"/>
          </w:tcPr>
          <w:p w14:paraId="3AA38BCE" w14:textId="1478DC93" w:rsidR="00FC451A" w:rsidRPr="00787247" w:rsidRDefault="00787247" w:rsidP="00787247">
            <w:pPr>
              <w:rPr>
                <w:rFonts w:cs="Arial"/>
              </w:rPr>
            </w:pPr>
            <w:r w:rsidRPr="00787247">
              <w:rPr>
                <w:rFonts w:cs="Arial"/>
              </w:rPr>
              <w:t>Aim</w:t>
            </w:r>
          </w:p>
        </w:tc>
      </w:tr>
      <w:tr w:rsidR="00FC451A" w14:paraId="600B1C19" w14:textId="77777777" w:rsidTr="00FC451A">
        <w:tc>
          <w:tcPr>
            <w:tcW w:w="9242" w:type="dxa"/>
          </w:tcPr>
          <w:p w14:paraId="75768CF9" w14:textId="0808AD59" w:rsidR="00FC451A" w:rsidRPr="00FC451A" w:rsidRDefault="00787247" w:rsidP="00FC451A">
            <w:pPr>
              <w:pStyle w:val="ListParagraph"/>
              <w:numPr>
                <w:ilvl w:val="0"/>
                <w:numId w:val="40"/>
              </w:numPr>
              <w:spacing w:line="240" w:lineRule="auto"/>
              <w:rPr>
                <w:rFonts w:cs="Arial"/>
              </w:rPr>
            </w:pPr>
            <w:r>
              <w:rPr>
                <w:rFonts w:cs="Arial"/>
              </w:rPr>
              <w:t xml:space="preserve">We hypothesize that if similar effects occur in heart, oral sodium nitrate could improve markers of myocardial </w:t>
            </w:r>
            <w:proofErr w:type="spellStart"/>
            <w:r>
              <w:rPr>
                <w:rFonts w:cs="Arial"/>
              </w:rPr>
              <w:t>ischaemia</w:t>
            </w:r>
            <w:proofErr w:type="spellEnd"/>
            <w:r>
              <w:rPr>
                <w:rFonts w:cs="Arial"/>
              </w:rPr>
              <w:t xml:space="preserve"> in patients suffering from stable angina</w:t>
            </w:r>
          </w:p>
        </w:tc>
      </w:tr>
      <w:tr w:rsidR="00FC451A" w14:paraId="6AE6B878" w14:textId="77777777" w:rsidTr="007C1A26">
        <w:tc>
          <w:tcPr>
            <w:tcW w:w="9242" w:type="dxa"/>
            <w:shd w:val="clear" w:color="auto" w:fill="D9D9D9" w:themeFill="background1" w:themeFillShade="D9"/>
          </w:tcPr>
          <w:p w14:paraId="2541DDCD" w14:textId="01E04C70" w:rsidR="00FC451A" w:rsidRPr="007C1A26" w:rsidRDefault="007C1A26" w:rsidP="007C1A26">
            <w:pPr>
              <w:rPr>
                <w:rFonts w:cs="Arial"/>
                <w:i/>
              </w:rPr>
            </w:pPr>
            <w:r w:rsidRPr="007C1A26">
              <w:rPr>
                <w:rFonts w:cs="Arial"/>
                <w:i/>
              </w:rPr>
              <w:t>Methods</w:t>
            </w:r>
          </w:p>
        </w:tc>
      </w:tr>
      <w:tr w:rsidR="00FC451A" w14:paraId="17CA779B" w14:textId="77777777" w:rsidTr="00FC451A">
        <w:tc>
          <w:tcPr>
            <w:tcW w:w="9242" w:type="dxa"/>
          </w:tcPr>
          <w:p w14:paraId="303FB9DF" w14:textId="25221767" w:rsidR="00FC451A" w:rsidRPr="00FC451A" w:rsidRDefault="00843986" w:rsidP="00843986">
            <w:pPr>
              <w:pStyle w:val="ListParagraph"/>
              <w:numPr>
                <w:ilvl w:val="0"/>
                <w:numId w:val="40"/>
              </w:numPr>
              <w:spacing w:line="240" w:lineRule="auto"/>
              <w:rPr>
                <w:rFonts w:cs="Arial"/>
              </w:rPr>
            </w:pPr>
            <w:r>
              <w:rPr>
                <w:rFonts w:cs="Arial"/>
                <w:lang w:val="en-GB"/>
              </w:rPr>
              <w:t>D</w:t>
            </w:r>
            <w:proofErr w:type="spellStart"/>
            <w:r w:rsidR="007C1A26">
              <w:rPr>
                <w:rFonts w:cs="Arial"/>
              </w:rPr>
              <w:t>esign</w:t>
            </w:r>
            <w:proofErr w:type="spellEnd"/>
            <w:r w:rsidR="007C1A26">
              <w:rPr>
                <w:rFonts w:cs="Arial"/>
              </w:rPr>
              <w:t xml:space="preserve">, treatment protocol and </w:t>
            </w:r>
            <w:r w:rsidR="0045007E">
              <w:rPr>
                <w:rFonts w:cs="Arial"/>
              </w:rPr>
              <w:t>proposed analysis methods are reviewed in this trial protocol paper</w:t>
            </w:r>
          </w:p>
        </w:tc>
      </w:tr>
      <w:tr w:rsidR="007C1A26" w14:paraId="1290D7D5" w14:textId="77777777" w:rsidTr="007C1A26">
        <w:tc>
          <w:tcPr>
            <w:tcW w:w="9242" w:type="dxa"/>
            <w:shd w:val="clear" w:color="auto" w:fill="D9D9D9" w:themeFill="background1" w:themeFillShade="D9"/>
          </w:tcPr>
          <w:p w14:paraId="550A98B2" w14:textId="04A26C3A" w:rsidR="007C1A26" w:rsidRPr="007C1A26" w:rsidRDefault="007C1A26" w:rsidP="007C1A26">
            <w:pPr>
              <w:rPr>
                <w:rFonts w:cs="Arial"/>
                <w:i/>
              </w:rPr>
            </w:pPr>
            <w:r>
              <w:rPr>
                <w:rFonts w:cs="Arial"/>
                <w:i/>
              </w:rPr>
              <w:t>Conclusion</w:t>
            </w:r>
          </w:p>
        </w:tc>
      </w:tr>
      <w:tr w:rsidR="007C1A26" w14:paraId="06562C35" w14:textId="77777777" w:rsidTr="00FC451A">
        <w:tc>
          <w:tcPr>
            <w:tcW w:w="9242" w:type="dxa"/>
          </w:tcPr>
          <w:p w14:paraId="59B4C0D2" w14:textId="7FBF8EC4" w:rsidR="007C1A26" w:rsidRDefault="007C1A26" w:rsidP="0021458A">
            <w:pPr>
              <w:pStyle w:val="ListParagraph"/>
              <w:numPr>
                <w:ilvl w:val="0"/>
                <w:numId w:val="40"/>
              </w:numPr>
              <w:spacing w:line="240" w:lineRule="auto"/>
              <w:rPr>
                <w:rFonts w:cs="Arial"/>
              </w:rPr>
            </w:pPr>
            <w:r>
              <w:rPr>
                <w:rFonts w:cs="Arial"/>
                <w:lang w:val="en-GB"/>
              </w:rPr>
              <w:t>This</w:t>
            </w:r>
            <w:r w:rsidRPr="007C1A26">
              <w:rPr>
                <w:rFonts w:cs="Arial"/>
                <w:lang w:val="en-GB"/>
              </w:rPr>
              <w:t xml:space="preserve"> study proposes to investigate potential anti-</w:t>
            </w:r>
            <w:proofErr w:type="spellStart"/>
            <w:r w:rsidRPr="007C1A26">
              <w:rPr>
                <w:rFonts w:cs="Arial"/>
                <w:lang w:val="en-GB"/>
              </w:rPr>
              <w:t>anginal</w:t>
            </w:r>
            <w:proofErr w:type="spellEnd"/>
            <w:r w:rsidRPr="007C1A26">
              <w:rPr>
                <w:rFonts w:cs="Arial"/>
                <w:lang w:val="en-GB"/>
              </w:rPr>
              <w:t xml:space="preserve"> benefits of sodium nitrate in elderly population of patients suffering </w:t>
            </w:r>
            <w:r w:rsidR="0021458A">
              <w:rPr>
                <w:rFonts w:cs="Arial"/>
                <w:lang w:val="en-GB"/>
              </w:rPr>
              <w:t>from</w:t>
            </w:r>
            <w:r w:rsidRPr="007C1A26">
              <w:rPr>
                <w:rFonts w:cs="Arial"/>
                <w:lang w:val="en-GB"/>
              </w:rPr>
              <w:t xml:space="preserve"> angina and known advanced atherosclerotic disease who are on background poly-pharmacy</w:t>
            </w:r>
          </w:p>
        </w:tc>
      </w:tr>
    </w:tbl>
    <w:p w14:paraId="30124189" w14:textId="77777777" w:rsidR="00E73877" w:rsidRDefault="00E73877" w:rsidP="007C7A49">
      <w:pPr>
        <w:spacing w:line="480" w:lineRule="auto"/>
        <w:rPr>
          <w:rFonts w:cs="Arial"/>
        </w:rPr>
      </w:pPr>
    </w:p>
    <w:p w14:paraId="5E0FBEBC" w14:textId="77777777" w:rsidR="00067D24" w:rsidRDefault="00067D24" w:rsidP="007C7A49">
      <w:pPr>
        <w:spacing w:line="480" w:lineRule="auto"/>
        <w:rPr>
          <w:rFonts w:cs="Arial"/>
        </w:rPr>
      </w:pPr>
    </w:p>
    <w:p w14:paraId="2A1DE1E7" w14:textId="5D0B80C0" w:rsidR="00067D24" w:rsidRPr="00067D24" w:rsidRDefault="00067D24" w:rsidP="00067D24">
      <w:pPr>
        <w:pStyle w:val="Heading3"/>
        <w:rPr>
          <w:rFonts w:asciiTheme="minorHAnsi" w:hAnsiTheme="minorHAnsi"/>
        </w:rPr>
      </w:pPr>
      <w:r>
        <w:rPr>
          <w:rFonts w:asciiTheme="minorHAnsi" w:hAnsiTheme="minorHAnsi"/>
        </w:rPr>
        <w:t>References</w:t>
      </w:r>
    </w:p>
    <w:p w14:paraId="38584D57" w14:textId="1CD6B565" w:rsidR="00AF48B1" w:rsidRPr="00AF48B1" w:rsidRDefault="00E73877" w:rsidP="00AF48B1">
      <w:pPr>
        <w:pStyle w:val="NormalWeb"/>
        <w:rPr>
          <w:rFonts w:ascii="Calibri" w:hAnsi="Calibri"/>
          <w:sz w:val="22"/>
        </w:rPr>
      </w:pPr>
      <w:r>
        <w:rPr>
          <w:rFonts w:cs="Arial"/>
        </w:rPr>
        <w:fldChar w:fldCharType="begin"/>
      </w:r>
      <w:r w:rsidR="00AF48B1">
        <w:rPr>
          <w:rFonts w:cs="Arial"/>
        </w:rPr>
        <w:instrText>ADDIN RW.BIB</w:instrText>
      </w:r>
      <w:r>
        <w:rPr>
          <w:rFonts w:cs="Arial"/>
        </w:rPr>
        <w:fldChar w:fldCharType="separate"/>
      </w:r>
      <w:r w:rsidR="00AF48B1" w:rsidRPr="00AF48B1">
        <w:rPr>
          <w:rFonts w:ascii="Calibri" w:hAnsi="Calibri"/>
          <w:sz w:val="22"/>
        </w:rPr>
        <w:t>1. British Heart Foundation: Cardiovascular Disease Statistics 2014.</w:t>
      </w:r>
    </w:p>
    <w:p w14:paraId="2E9BC1B2" w14:textId="249ADCC8" w:rsidR="00AF48B1" w:rsidRPr="00AF48B1" w:rsidRDefault="00AF48B1" w:rsidP="00AF48B1">
      <w:pPr>
        <w:pStyle w:val="NormalWeb"/>
        <w:rPr>
          <w:rFonts w:ascii="Calibri" w:hAnsi="Calibri"/>
          <w:sz w:val="22"/>
        </w:rPr>
      </w:pPr>
      <w:r w:rsidRPr="00AF48B1">
        <w:rPr>
          <w:rFonts w:ascii="Calibri" w:hAnsi="Calibri"/>
          <w:sz w:val="22"/>
        </w:rPr>
        <w:t>2. Lundberg JO, Weitzberg E, Gladwin MT: The nitrate-nitrite-nitric oxide pathway in physiology and therapeutics.</w:t>
      </w:r>
      <w:r w:rsidRPr="00AF48B1">
        <w:rPr>
          <w:rFonts w:ascii="Calibri" w:hAnsi="Calibri"/>
          <w:i/>
          <w:iCs/>
          <w:sz w:val="22"/>
        </w:rPr>
        <w:t xml:space="preserve"> Nature Reviews Drug Discovery</w:t>
      </w:r>
      <w:r w:rsidRPr="00AF48B1">
        <w:rPr>
          <w:rFonts w:ascii="Calibri" w:hAnsi="Calibri"/>
          <w:sz w:val="22"/>
        </w:rPr>
        <w:t xml:space="preserve"> 7(2), 156-167 (2008).</w:t>
      </w:r>
      <w:r w:rsidR="004B0797">
        <w:rPr>
          <w:rFonts w:ascii="Calibri" w:hAnsi="Calibri"/>
          <w:sz w:val="22"/>
        </w:rPr>
        <w:t>**</w:t>
      </w:r>
    </w:p>
    <w:p w14:paraId="2862A142" w14:textId="77777777" w:rsidR="00AF48B1" w:rsidRPr="00AF48B1" w:rsidRDefault="00AF48B1" w:rsidP="00AF48B1">
      <w:pPr>
        <w:pStyle w:val="NormalWeb"/>
        <w:rPr>
          <w:rFonts w:ascii="Calibri" w:hAnsi="Calibri"/>
          <w:sz w:val="22"/>
        </w:rPr>
      </w:pPr>
      <w:r w:rsidRPr="00AF48B1">
        <w:rPr>
          <w:rFonts w:ascii="Calibri" w:hAnsi="Calibri"/>
          <w:sz w:val="22"/>
        </w:rPr>
        <w:t>3. Butler AR, Feelisch M: Therapeutic uses of inorganic nitrite and nitrate: From the past to the future.</w:t>
      </w:r>
      <w:r w:rsidRPr="00AF48B1">
        <w:rPr>
          <w:rFonts w:ascii="Calibri" w:hAnsi="Calibri"/>
          <w:i/>
          <w:iCs/>
          <w:sz w:val="22"/>
        </w:rPr>
        <w:t xml:space="preserve"> Circulation</w:t>
      </w:r>
      <w:r w:rsidRPr="00AF48B1">
        <w:rPr>
          <w:rFonts w:ascii="Calibri" w:hAnsi="Calibri"/>
          <w:sz w:val="22"/>
        </w:rPr>
        <w:t xml:space="preserve"> 117(16), 2151-2159 (2008).</w:t>
      </w:r>
    </w:p>
    <w:p w14:paraId="6AD1216A" w14:textId="77777777" w:rsidR="00AF48B1" w:rsidRPr="00AF48B1" w:rsidRDefault="00AF48B1" w:rsidP="00AF48B1">
      <w:pPr>
        <w:pStyle w:val="NormalWeb"/>
        <w:rPr>
          <w:rFonts w:ascii="Calibri" w:hAnsi="Calibri"/>
          <w:sz w:val="22"/>
        </w:rPr>
      </w:pPr>
      <w:r w:rsidRPr="00AF48B1">
        <w:rPr>
          <w:rFonts w:ascii="Calibri" w:hAnsi="Calibri"/>
          <w:sz w:val="22"/>
        </w:rPr>
        <w:t>4. Spiegelhalder B, Eisenbrand G, Preussmann R: Influence of dietary nitrate on nitrite content of human saliva: possible relevance to in vivo formation of N-nitroso compounds.</w:t>
      </w:r>
      <w:r w:rsidRPr="00AF48B1">
        <w:rPr>
          <w:rFonts w:ascii="Calibri" w:hAnsi="Calibri"/>
          <w:i/>
          <w:iCs/>
          <w:sz w:val="22"/>
        </w:rPr>
        <w:t xml:space="preserve"> Food Cosmet. Toxicol.</w:t>
      </w:r>
      <w:r w:rsidRPr="00AF48B1">
        <w:rPr>
          <w:rFonts w:ascii="Calibri" w:hAnsi="Calibri"/>
          <w:sz w:val="22"/>
        </w:rPr>
        <w:t xml:space="preserve"> 14(6), 545-548 (1976).</w:t>
      </w:r>
    </w:p>
    <w:p w14:paraId="73FBC170" w14:textId="77777777" w:rsidR="00AF48B1" w:rsidRPr="00AF48B1" w:rsidRDefault="00AF48B1" w:rsidP="00AF48B1">
      <w:pPr>
        <w:pStyle w:val="NormalWeb"/>
        <w:rPr>
          <w:rFonts w:ascii="Calibri" w:hAnsi="Calibri"/>
          <w:sz w:val="22"/>
        </w:rPr>
      </w:pPr>
      <w:r w:rsidRPr="00AF48B1">
        <w:rPr>
          <w:rFonts w:ascii="Calibri" w:hAnsi="Calibri"/>
          <w:sz w:val="22"/>
        </w:rPr>
        <w:lastRenderedPageBreak/>
        <w:t>5. Benjamin N, O'Driscoll F, Dougall H</w:t>
      </w:r>
      <w:r w:rsidRPr="00AF48B1">
        <w:rPr>
          <w:rFonts w:ascii="Calibri" w:hAnsi="Calibri"/>
          <w:i/>
          <w:iCs/>
          <w:sz w:val="22"/>
        </w:rPr>
        <w:t xml:space="preserve"> et al.</w:t>
      </w:r>
      <w:r w:rsidRPr="00AF48B1">
        <w:rPr>
          <w:rFonts w:ascii="Calibri" w:hAnsi="Calibri"/>
          <w:sz w:val="22"/>
        </w:rPr>
        <w:t>: Stomach NO synthesis.</w:t>
      </w:r>
      <w:r w:rsidRPr="00AF48B1">
        <w:rPr>
          <w:rFonts w:ascii="Calibri" w:hAnsi="Calibri"/>
          <w:i/>
          <w:iCs/>
          <w:sz w:val="22"/>
        </w:rPr>
        <w:t xml:space="preserve"> Nature</w:t>
      </w:r>
      <w:r w:rsidRPr="00AF48B1">
        <w:rPr>
          <w:rFonts w:ascii="Calibri" w:hAnsi="Calibri"/>
          <w:sz w:val="22"/>
        </w:rPr>
        <w:t xml:space="preserve"> 368(6471), 502 (1994).</w:t>
      </w:r>
    </w:p>
    <w:p w14:paraId="1C38CF1D" w14:textId="77777777" w:rsidR="00AF48B1" w:rsidRPr="00AF48B1" w:rsidRDefault="00AF48B1" w:rsidP="00AF48B1">
      <w:pPr>
        <w:pStyle w:val="NormalWeb"/>
        <w:rPr>
          <w:rFonts w:ascii="Calibri" w:hAnsi="Calibri"/>
          <w:sz w:val="22"/>
        </w:rPr>
      </w:pPr>
      <w:r w:rsidRPr="00AF48B1">
        <w:rPr>
          <w:rFonts w:ascii="Calibri" w:hAnsi="Calibri"/>
          <w:sz w:val="22"/>
        </w:rPr>
        <w:t>6. Lundberg JO, Weitzberg E, Lundberg JM, Alving K: Intragastric nitric oxide production in humans: measurements in expelled air.</w:t>
      </w:r>
      <w:r w:rsidRPr="00AF48B1">
        <w:rPr>
          <w:rFonts w:ascii="Calibri" w:hAnsi="Calibri"/>
          <w:i/>
          <w:iCs/>
          <w:sz w:val="22"/>
        </w:rPr>
        <w:t xml:space="preserve"> Gut</w:t>
      </w:r>
      <w:r w:rsidRPr="00AF48B1">
        <w:rPr>
          <w:rFonts w:ascii="Calibri" w:hAnsi="Calibri"/>
          <w:sz w:val="22"/>
        </w:rPr>
        <w:t xml:space="preserve"> 35(11), 1543-1546 (1994).</w:t>
      </w:r>
    </w:p>
    <w:p w14:paraId="4A6E54E4" w14:textId="77777777" w:rsidR="00AF48B1" w:rsidRPr="00AF48B1" w:rsidRDefault="00AF48B1" w:rsidP="00AF48B1">
      <w:pPr>
        <w:pStyle w:val="NormalWeb"/>
        <w:rPr>
          <w:rFonts w:ascii="Calibri" w:hAnsi="Calibri"/>
          <w:sz w:val="22"/>
        </w:rPr>
      </w:pPr>
      <w:r w:rsidRPr="00AF48B1">
        <w:rPr>
          <w:rFonts w:ascii="Calibri" w:hAnsi="Calibri"/>
          <w:sz w:val="22"/>
        </w:rPr>
        <w:t>7. Cosby K, Partovi KS, Crawford JH</w:t>
      </w:r>
      <w:r w:rsidRPr="00AF48B1">
        <w:rPr>
          <w:rFonts w:ascii="Calibri" w:hAnsi="Calibri"/>
          <w:i/>
          <w:iCs/>
          <w:sz w:val="22"/>
        </w:rPr>
        <w:t xml:space="preserve"> et al.</w:t>
      </w:r>
      <w:r w:rsidRPr="00AF48B1">
        <w:rPr>
          <w:rFonts w:ascii="Calibri" w:hAnsi="Calibri"/>
          <w:sz w:val="22"/>
        </w:rPr>
        <w:t>: Nitrite reduction to nitric oxide by deoxyhemoglobin vasodilates the human circulation.</w:t>
      </w:r>
      <w:r w:rsidRPr="00AF48B1">
        <w:rPr>
          <w:rFonts w:ascii="Calibri" w:hAnsi="Calibri"/>
          <w:i/>
          <w:iCs/>
          <w:sz w:val="22"/>
        </w:rPr>
        <w:t xml:space="preserve"> Nat. Med.</w:t>
      </w:r>
      <w:r w:rsidRPr="00AF48B1">
        <w:rPr>
          <w:rFonts w:ascii="Calibri" w:hAnsi="Calibri"/>
          <w:sz w:val="22"/>
        </w:rPr>
        <w:t xml:space="preserve"> 9(12), 1498-1505 (2003).</w:t>
      </w:r>
    </w:p>
    <w:p w14:paraId="05BB8201" w14:textId="77777777" w:rsidR="00AF48B1" w:rsidRPr="00AF48B1" w:rsidRDefault="00AF48B1" w:rsidP="00AF48B1">
      <w:pPr>
        <w:pStyle w:val="NormalWeb"/>
        <w:rPr>
          <w:rFonts w:ascii="Calibri" w:hAnsi="Calibri"/>
          <w:sz w:val="22"/>
        </w:rPr>
      </w:pPr>
      <w:r w:rsidRPr="00AF48B1">
        <w:rPr>
          <w:rFonts w:ascii="Calibri" w:hAnsi="Calibri"/>
          <w:sz w:val="22"/>
        </w:rPr>
        <w:t>8. Maher AR, Milsom AB, Gunaruwan P</w:t>
      </w:r>
      <w:r w:rsidRPr="00AF48B1">
        <w:rPr>
          <w:rFonts w:ascii="Calibri" w:hAnsi="Calibri"/>
          <w:i/>
          <w:iCs/>
          <w:sz w:val="22"/>
        </w:rPr>
        <w:t xml:space="preserve"> et al.</w:t>
      </w:r>
      <w:r w:rsidRPr="00AF48B1">
        <w:rPr>
          <w:rFonts w:ascii="Calibri" w:hAnsi="Calibri"/>
          <w:sz w:val="22"/>
        </w:rPr>
        <w:t>: Hypoxic modulation of exogenous nitrite-induced vasodilation in humans.</w:t>
      </w:r>
      <w:r w:rsidRPr="00AF48B1">
        <w:rPr>
          <w:rFonts w:ascii="Calibri" w:hAnsi="Calibri"/>
          <w:i/>
          <w:iCs/>
          <w:sz w:val="22"/>
        </w:rPr>
        <w:t xml:space="preserve"> Circulation</w:t>
      </w:r>
      <w:r w:rsidRPr="00AF48B1">
        <w:rPr>
          <w:rFonts w:ascii="Calibri" w:hAnsi="Calibri"/>
          <w:sz w:val="22"/>
        </w:rPr>
        <w:t xml:space="preserve"> 117(5), 670-677 (2008).</w:t>
      </w:r>
    </w:p>
    <w:p w14:paraId="0577054F" w14:textId="77777777" w:rsidR="00AF48B1" w:rsidRPr="00AF48B1" w:rsidRDefault="00AF48B1" w:rsidP="00AF48B1">
      <w:pPr>
        <w:pStyle w:val="NormalWeb"/>
        <w:rPr>
          <w:rFonts w:ascii="Calibri" w:hAnsi="Calibri"/>
          <w:sz w:val="22"/>
        </w:rPr>
      </w:pPr>
      <w:r w:rsidRPr="00AF48B1">
        <w:rPr>
          <w:rFonts w:ascii="Calibri" w:hAnsi="Calibri"/>
          <w:sz w:val="22"/>
        </w:rPr>
        <w:t>9. Ingram TE, Pinder AG, Bailey DM, Fraser AG, James PE: Low-dose sodium nitrite vasodilates hypoxic human pulmonary vasculature by a means that is not dependent on a simultaneous elevation in plasma nitrite.</w:t>
      </w:r>
      <w:r w:rsidRPr="00AF48B1">
        <w:rPr>
          <w:rFonts w:ascii="Calibri" w:hAnsi="Calibri"/>
          <w:i/>
          <w:iCs/>
          <w:sz w:val="22"/>
        </w:rPr>
        <w:t xml:space="preserve"> Am. J. Physiol. Heart Circ. Physiol.</w:t>
      </w:r>
      <w:r w:rsidRPr="00AF48B1">
        <w:rPr>
          <w:rFonts w:ascii="Calibri" w:hAnsi="Calibri"/>
          <w:sz w:val="22"/>
        </w:rPr>
        <w:t xml:space="preserve"> 298(2), H331-9 (2010).</w:t>
      </w:r>
    </w:p>
    <w:p w14:paraId="421349DE" w14:textId="77777777" w:rsidR="00AF48B1" w:rsidRPr="00AF48B1" w:rsidRDefault="00AF48B1" w:rsidP="00AF48B1">
      <w:pPr>
        <w:pStyle w:val="NormalWeb"/>
        <w:rPr>
          <w:rFonts w:ascii="Calibri" w:hAnsi="Calibri"/>
          <w:sz w:val="22"/>
        </w:rPr>
      </w:pPr>
      <w:r w:rsidRPr="00AF48B1">
        <w:rPr>
          <w:rFonts w:ascii="Calibri" w:hAnsi="Calibri"/>
          <w:sz w:val="22"/>
        </w:rPr>
        <w:t>10. Heiss C, Meyer C, Totzeck M</w:t>
      </w:r>
      <w:r w:rsidRPr="00AF48B1">
        <w:rPr>
          <w:rFonts w:ascii="Calibri" w:hAnsi="Calibri"/>
          <w:i/>
          <w:iCs/>
          <w:sz w:val="22"/>
        </w:rPr>
        <w:t xml:space="preserve"> et al.</w:t>
      </w:r>
      <w:r w:rsidRPr="00AF48B1">
        <w:rPr>
          <w:rFonts w:ascii="Calibri" w:hAnsi="Calibri"/>
          <w:sz w:val="22"/>
        </w:rPr>
        <w:t>: Dietary inorganic nitrate mobilizes circulating angiogenic cells.</w:t>
      </w:r>
      <w:r w:rsidRPr="00AF48B1">
        <w:rPr>
          <w:rFonts w:ascii="Calibri" w:hAnsi="Calibri"/>
          <w:i/>
          <w:iCs/>
          <w:sz w:val="22"/>
        </w:rPr>
        <w:t xml:space="preserve"> Free Radical Biology and Medicine</w:t>
      </w:r>
      <w:r w:rsidRPr="00AF48B1">
        <w:rPr>
          <w:rFonts w:ascii="Calibri" w:hAnsi="Calibri"/>
          <w:sz w:val="22"/>
        </w:rPr>
        <w:t xml:space="preserve"> 52(9), 1767-1772 (2012).</w:t>
      </w:r>
    </w:p>
    <w:p w14:paraId="79059CE4" w14:textId="77777777" w:rsidR="00AF48B1" w:rsidRPr="00AF48B1" w:rsidRDefault="00AF48B1" w:rsidP="00AF48B1">
      <w:pPr>
        <w:pStyle w:val="NormalWeb"/>
        <w:rPr>
          <w:rFonts w:ascii="Calibri" w:hAnsi="Calibri"/>
          <w:sz w:val="22"/>
        </w:rPr>
      </w:pPr>
      <w:r w:rsidRPr="00AF48B1">
        <w:rPr>
          <w:rFonts w:ascii="Calibri" w:hAnsi="Calibri"/>
          <w:sz w:val="22"/>
        </w:rPr>
        <w:t>11. Hendgen-Cotta UB, Luedike P, Totzeck M</w:t>
      </w:r>
      <w:r w:rsidRPr="00AF48B1">
        <w:rPr>
          <w:rFonts w:ascii="Calibri" w:hAnsi="Calibri"/>
          <w:i/>
          <w:iCs/>
          <w:sz w:val="22"/>
        </w:rPr>
        <w:t xml:space="preserve"> et al.</w:t>
      </w:r>
      <w:r w:rsidRPr="00AF48B1">
        <w:rPr>
          <w:rFonts w:ascii="Calibri" w:hAnsi="Calibri"/>
          <w:sz w:val="22"/>
        </w:rPr>
        <w:t>: Dietary nitrate supplementation improves revascularization in chronic ischemia.</w:t>
      </w:r>
      <w:r w:rsidRPr="00AF48B1">
        <w:rPr>
          <w:rFonts w:ascii="Calibri" w:hAnsi="Calibri"/>
          <w:i/>
          <w:iCs/>
          <w:sz w:val="22"/>
        </w:rPr>
        <w:t xml:space="preserve"> Circulation</w:t>
      </w:r>
      <w:r w:rsidRPr="00AF48B1">
        <w:rPr>
          <w:rFonts w:ascii="Calibri" w:hAnsi="Calibri"/>
          <w:sz w:val="22"/>
        </w:rPr>
        <w:t xml:space="preserve"> 126(16), 1983-1992 (2012).</w:t>
      </w:r>
    </w:p>
    <w:p w14:paraId="6760CF76" w14:textId="77777777" w:rsidR="00AF48B1" w:rsidRPr="00AF48B1" w:rsidRDefault="00AF48B1" w:rsidP="00AF48B1">
      <w:pPr>
        <w:pStyle w:val="NormalWeb"/>
        <w:rPr>
          <w:rFonts w:ascii="Calibri" w:hAnsi="Calibri"/>
          <w:sz w:val="22"/>
        </w:rPr>
      </w:pPr>
      <w:r w:rsidRPr="00AF48B1">
        <w:rPr>
          <w:rFonts w:ascii="Calibri" w:hAnsi="Calibri"/>
          <w:sz w:val="22"/>
        </w:rPr>
        <w:t>12. Rammos C, Hendgen-Cotta UB, Sobierajski J, Bernard A, Kelm M, Rassaf T: Dietary nitrate reverses vascular dysfunction in older adults with moderately increased cardiovascular risk.</w:t>
      </w:r>
      <w:r w:rsidRPr="00AF48B1">
        <w:rPr>
          <w:rFonts w:ascii="Calibri" w:hAnsi="Calibri"/>
          <w:i/>
          <w:iCs/>
          <w:sz w:val="22"/>
        </w:rPr>
        <w:t xml:space="preserve"> J. Am. Coll. Cardiol.</w:t>
      </w:r>
      <w:r w:rsidRPr="00AF48B1">
        <w:rPr>
          <w:rFonts w:ascii="Calibri" w:hAnsi="Calibri"/>
          <w:sz w:val="22"/>
        </w:rPr>
        <w:t xml:space="preserve"> 63(15), 1584-1585 (2014).</w:t>
      </w:r>
    </w:p>
    <w:p w14:paraId="0803CCCB" w14:textId="77777777" w:rsidR="00AF48B1" w:rsidRPr="00AF48B1" w:rsidRDefault="00AF48B1" w:rsidP="00AF48B1">
      <w:pPr>
        <w:pStyle w:val="NormalWeb"/>
        <w:rPr>
          <w:rFonts w:ascii="Calibri" w:hAnsi="Calibri"/>
          <w:sz w:val="22"/>
        </w:rPr>
      </w:pPr>
      <w:r w:rsidRPr="00AF48B1">
        <w:rPr>
          <w:rFonts w:ascii="Calibri" w:hAnsi="Calibri"/>
          <w:sz w:val="22"/>
        </w:rPr>
        <w:t>13. Lara J, Ashor AW, Oggioni C, Ahluwalia A, Mathers JC, Siervo M: Effects of inorganic nitrate and beetroot supplementation on endothelial function: a systematic review and meta-analysis.</w:t>
      </w:r>
      <w:r w:rsidRPr="00AF48B1">
        <w:rPr>
          <w:rFonts w:ascii="Calibri" w:hAnsi="Calibri"/>
          <w:i/>
          <w:iCs/>
          <w:sz w:val="22"/>
        </w:rPr>
        <w:t xml:space="preserve"> Eur. J. Nutr.</w:t>
      </w:r>
      <w:r w:rsidRPr="00AF48B1">
        <w:rPr>
          <w:rFonts w:ascii="Calibri" w:hAnsi="Calibri"/>
          <w:sz w:val="22"/>
        </w:rPr>
        <w:t xml:space="preserve"> 55(2), 451-459 (2016).</w:t>
      </w:r>
    </w:p>
    <w:p w14:paraId="14D442F1" w14:textId="452CF9F4" w:rsidR="00AF48B1" w:rsidRPr="00AF48B1" w:rsidRDefault="00AF48B1" w:rsidP="00AF48B1">
      <w:pPr>
        <w:pStyle w:val="NormalWeb"/>
        <w:rPr>
          <w:rFonts w:ascii="Calibri" w:hAnsi="Calibri"/>
          <w:sz w:val="22"/>
        </w:rPr>
      </w:pPr>
      <w:r w:rsidRPr="00AF48B1">
        <w:rPr>
          <w:rFonts w:ascii="Calibri" w:hAnsi="Calibri"/>
          <w:sz w:val="22"/>
        </w:rPr>
        <w:t>14. Siervo M, Lara J, Ogbonmwan I, Mathers JC: Inorganic nitrate and beetroot juice supplementation reduces blood pressure in adults: A systematic review and meta-analysis.</w:t>
      </w:r>
      <w:r w:rsidRPr="00AF48B1">
        <w:rPr>
          <w:rFonts w:ascii="Calibri" w:hAnsi="Calibri"/>
          <w:i/>
          <w:iCs/>
          <w:sz w:val="22"/>
        </w:rPr>
        <w:t xml:space="preserve"> J. Nutr.</w:t>
      </w:r>
      <w:r w:rsidRPr="00AF48B1">
        <w:rPr>
          <w:rFonts w:ascii="Calibri" w:hAnsi="Calibri"/>
          <w:sz w:val="22"/>
        </w:rPr>
        <w:t xml:space="preserve"> 143(6), 818-826 (2013).</w:t>
      </w:r>
      <w:r w:rsidR="004B0797">
        <w:rPr>
          <w:rFonts w:ascii="Calibri" w:hAnsi="Calibri"/>
          <w:sz w:val="22"/>
        </w:rPr>
        <w:t>*</w:t>
      </w:r>
    </w:p>
    <w:p w14:paraId="2E18DE0F" w14:textId="47451128" w:rsidR="00AF48B1" w:rsidRPr="00AF48B1" w:rsidRDefault="00AF48B1" w:rsidP="00AF48B1">
      <w:pPr>
        <w:pStyle w:val="NormalWeb"/>
        <w:rPr>
          <w:rFonts w:ascii="Calibri" w:hAnsi="Calibri"/>
          <w:sz w:val="22"/>
        </w:rPr>
      </w:pPr>
      <w:r w:rsidRPr="00AF48B1">
        <w:rPr>
          <w:rFonts w:ascii="Calibri" w:hAnsi="Calibri"/>
          <w:sz w:val="22"/>
        </w:rPr>
        <w:t>15. Bailey SJ, Winyard P, Vanhatalo A</w:t>
      </w:r>
      <w:r w:rsidRPr="00AF48B1">
        <w:rPr>
          <w:rFonts w:ascii="Calibri" w:hAnsi="Calibri"/>
          <w:i/>
          <w:iCs/>
          <w:sz w:val="22"/>
        </w:rPr>
        <w:t xml:space="preserve"> et al.</w:t>
      </w:r>
      <w:r w:rsidRPr="00AF48B1">
        <w:rPr>
          <w:rFonts w:ascii="Calibri" w:hAnsi="Calibri"/>
          <w:sz w:val="22"/>
        </w:rPr>
        <w:t>: Dietary nitrate supplementation reduces the O2 cost of low-intensity exercise and enhances tolerance to high-intensity exercise in humans.</w:t>
      </w:r>
      <w:r w:rsidRPr="00AF48B1">
        <w:rPr>
          <w:rFonts w:ascii="Calibri" w:hAnsi="Calibri"/>
          <w:i/>
          <w:iCs/>
          <w:sz w:val="22"/>
        </w:rPr>
        <w:t xml:space="preserve"> J. Appl. Physiol.</w:t>
      </w:r>
      <w:r w:rsidRPr="00AF48B1">
        <w:rPr>
          <w:rFonts w:ascii="Calibri" w:hAnsi="Calibri"/>
          <w:sz w:val="22"/>
        </w:rPr>
        <w:t xml:space="preserve"> 107(4), 1144-1155 (2009).</w:t>
      </w:r>
      <w:r w:rsidR="004B0797">
        <w:rPr>
          <w:rFonts w:ascii="Calibri" w:hAnsi="Calibri"/>
          <w:sz w:val="22"/>
        </w:rPr>
        <w:t>*</w:t>
      </w:r>
    </w:p>
    <w:p w14:paraId="0B0BBC5F" w14:textId="77777777" w:rsidR="00AF48B1" w:rsidRPr="00AF48B1" w:rsidRDefault="00AF48B1" w:rsidP="00AF48B1">
      <w:pPr>
        <w:pStyle w:val="NormalWeb"/>
        <w:rPr>
          <w:rFonts w:ascii="Calibri" w:hAnsi="Calibri"/>
          <w:sz w:val="22"/>
        </w:rPr>
      </w:pPr>
      <w:r w:rsidRPr="00AF48B1">
        <w:rPr>
          <w:rFonts w:ascii="Calibri" w:hAnsi="Calibri"/>
          <w:sz w:val="22"/>
        </w:rPr>
        <w:t>16. Larsen FJ, Weitzberg E, Lundberg JO, Ekblom B: Dietary nitrate reduces maximal oxygen consumption while maintaining work performance in maximal exercise.</w:t>
      </w:r>
      <w:r w:rsidRPr="00AF48B1">
        <w:rPr>
          <w:rFonts w:ascii="Calibri" w:hAnsi="Calibri"/>
          <w:i/>
          <w:iCs/>
          <w:sz w:val="22"/>
        </w:rPr>
        <w:t xml:space="preserve"> Free Radical Biology and Medicine</w:t>
      </w:r>
      <w:r w:rsidRPr="00AF48B1">
        <w:rPr>
          <w:rFonts w:ascii="Calibri" w:hAnsi="Calibri"/>
          <w:sz w:val="22"/>
        </w:rPr>
        <w:t xml:space="preserve"> 48(2), 342-347 (2010).</w:t>
      </w:r>
    </w:p>
    <w:p w14:paraId="5C463099" w14:textId="44008561" w:rsidR="00AF48B1" w:rsidRPr="00AF48B1" w:rsidRDefault="00AF48B1" w:rsidP="00AF48B1">
      <w:pPr>
        <w:pStyle w:val="NormalWeb"/>
        <w:rPr>
          <w:rFonts w:ascii="Calibri" w:hAnsi="Calibri"/>
          <w:sz w:val="22"/>
        </w:rPr>
      </w:pPr>
      <w:r w:rsidRPr="00AF48B1">
        <w:rPr>
          <w:rFonts w:ascii="Calibri" w:hAnsi="Calibri"/>
          <w:sz w:val="22"/>
        </w:rPr>
        <w:t>17. Hoon MW, Johnson NA, Chapman PG, Burke LM: The effect of nitrate supplementation on exercise performance in healthy individuals: A systematic review and meta-analysis.</w:t>
      </w:r>
      <w:r w:rsidRPr="00AF48B1">
        <w:rPr>
          <w:rFonts w:ascii="Calibri" w:hAnsi="Calibri"/>
          <w:i/>
          <w:iCs/>
          <w:sz w:val="22"/>
        </w:rPr>
        <w:t xml:space="preserve"> Int. J. Sport Nutr. Exerc. Metab.</w:t>
      </w:r>
      <w:r w:rsidRPr="00AF48B1">
        <w:rPr>
          <w:rFonts w:ascii="Calibri" w:hAnsi="Calibri"/>
          <w:sz w:val="22"/>
        </w:rPr>
        <w:t xml:space="preserve"> 23(5), 522-532 (2013).</w:t>
      </w:r>
      <w:r w:rsidR="004B0797">
        <w:rPr>
          <w:rFonts w:ascii="Calibri" w:hAnsi="Calibri"/>
          <w:sz w:val="22"/>
        </w:rPr>
        <w:t>*</w:t>
      </w:r>
    </w:p>
    <w:p w14:paraId="0BC33E3E" w14:textId="77777777" w:rsidR="00AF48B1" w:rsidRPr="00AF48B1" w:rsidRDefault="00AF48B1" w:rsidP="00AF48B1">
      <w:pPr>
        <w:pStyle w:val="NormalWeb"/>
        <w:rPr>
          <w:rFonts w:ascii="Calibri" w:hAnsi="Calibri"/>
          <w:sz w:val="22"/>
        </w:rPr>
      </w:pPr>
      <w:r w:rsidRPr="00AF48B1">
        <w:rPr>
          <w:rFonts w:ascii="Calibri" w:hAnsi="Calibri"/>
          <w:sz w:val="22"/>
        </w:rPr>
        <w:t>18. Bailey SJ, Fulford J, Vanhatalo A</w:t>
      </w:r>
      <w:r w:rsidRPr="00AF48B1">
        <w:rPr>
          <w:rFonts w:ascii="Calibri" w:hAnsi="Calibri"/>
          <w:i/>
          <w:iCs/>
          <w:sz w:val="22"/>
        </w:rPr>
        <w:t xml:space="preserve"> et al.</w:t>
      </w:r>
      <w:r w:rsidRPr="00AF48B1">
        <w:rPr>
          <w:rFonts w:ascii="Calibri" w:hAnsi="Calibri"/>
          <w:sz w:val="22"/>
        </w:rPr>
        <w:t>: Dietary nitrate supplementation enhances muscle contractile efficiency during knee-extensor exercise in humans.</w:t>
      </w:r>
      <w:r w:rsidRPr="00AF48B1">
        <w:rPr>
          <w:rFonts w:ascii="Calibri" w:hAnsi="Calibri"/>
          <w:i/>
          <w:iCs/>
          <w:sz w:val="22"/>
        </w:rPr>
        <w:t xml:space="preserve"> J. Appl. Physiol.</w:t>
      </w:r>
      <w:r w:rsidRPr="00AF48B1">
        <w:rPr>
          <w:rFonts w:ascii="Calibri" w:hAnsi="Calibri"/>
          <w:sz w:val="22"/>
        </w:rPr>
        <w:t xml:space="preserve"> 109(1), 135-148 (2010).</w:t>
      </w:r>
    </w:p>
    <w:p w14:paraId="5C379023" w14:textId="022764EC" w:rsidR="00AF48B1" w:rsidRPr="00AF48B1" w:rsidRDefault="00AF48B1" w:rsidP="00AF48B1">
      <w:pPr>
        <w:pStyle w:val="NormalWeb"/>
        <w:rPr>
          <w:rFonts w:ascii="Calibri" w:hAnsi="Calibri"/>
          <w:sz w:val="22"/>
        </w:rPr>
      </w:pPr>
      <w:r w:rsidRPr="00AF48B1">
        <w:rPr>
          <w:rFonts w:ascii="Calibri" w:hAnsi="Calibri"/>
          <w:sz w:val="22"/>
        </w:rPr>
        <w:t>19. Larsen FJ, Schiffer TA, Borniquel S</w:t>
      </w:r>
      <w:r w:rsidRPr="00AF48B1">
        <w:rPr>
          <w:rFonts w:ascii="Calibri" w:hAnsi="Calibri"/>
          <w:i/>
          <w:iCs/>
          <w:sz w:val="22"/>
        </w:rPr>
        <w:t xml:space="preserve"> et al.</w:t>
      </w:r>
      <w:r w:rsidRPr="00AF48B1">
        <w:rPr>
          <w:rFonts w:ascii="Calibri" w:hAnsi="Calibri"/>
          <w:sz w:val="22"/>
        </w:rPr>
        <w:t>: Dietary inorganic nitrate improves mitochondrial efficiency in humans.</w:t>
      </w:r>
      <w:r w:rsidRPr="00AF48B1">
        <w:rPr>
          <w:rFonts w:ascii="Calibri" w:hAnsi="Calibri"/>
          <w:i/>
          <w:iCs/>
          <w:sz w:val="22"/>
        </w:rPr>
        <w:t xml:space="preserve"> Cell Metabolism</w:t>
      </w:r>
      <w:r w:rsidRPr="00AF48B1">
        <w:rPr>
          <w:rFonts w:ascii="Calibri" w:hAnsi="Calibri"/>
          <w:sz w:val="22"/>
        </w:rPr>
        <w:t xml:space="preserve"> 13(2), 149-159 (2011).</w:t>
      </w:r>
      <w:r w:rsidR="004B0797">
        <w:rPr>
          <w:rFonts w:ascii="Calibri" w:hAnsi="Calibri"/>
          <w:sz w:val="22"/>
        </w:rPr>
        <w:t>*</w:t>
      </w:r>
    </w:p>
    <w:p w14:paraId="5AA170B8" w14:textId="77777777" w:rsidR="00AF48B1" w:rsidRPr="00AF48B1" w:rsidRDefault="00AF48B1" w:rsidP="00AF48B1">
      <w:pPr>
        <w:pStyle w:val="NormalWeb"/>
        <w:rPr>
          <w:rFonts w:ascii="Calibri" w:hAnsi="Calibri"/>
          <w:sz w:val="22"/>
        </w:rPr>
      </w:pPr>
      <w:r w:rsidRPr="00AF48B1">
        <w:rPr>
          <w:rFonts w:ascii="Calibri" w:hAnsi="Calibri"/>
          <w:sz w:val="22"/>
        </w:rPr>
        <w:lastRenderedPageBreak/>
        <w:t>20. Coggan AR, Leibowitz JL, Anderson Spearie C</w:t>
      </w:r>
      <w:r w:rsidRPr="00AF48B1">
        <w:rPr>
          <w:rFonts w:ascii="Calibri" w:hAnsi="Calibri"/>
          <w:i/>
          <w:iCs/>
          <w:sz w:val="22"/>
        </w:rPr>
        <w:t xml:space="preserve"> et al.</w:t>
      </w:r>
      <w:r w:rsidRPr="00AF48B1">
        <w:rPr>
          <w:rFonts w:ascii="Calibri" w:hAnsi="Calibri"/>
          <w:sz w:val="22"/>
        </w:rPr>
        <w:t>: Acute Dietary Nitrate Intake Improves Muscle Contractile Function in Patients with Heart Failure: A Double-Blind, Placebo-Controlled, Randomized Trial.</w:t>
      </w:r>
      <w:r w:rsidRPr="00AF48B1">
        <w:rPr>
          <w:rFonts w:ascii="Calibri" w:hAnsi="Calibri"/>
          <w:i/>
          <w:iCs/>
          <w:sz w:val="22"/>
        </w:rPr>
        <w:t xml:space="preserve"> Circ. Heart Fail.</w:t>
      </w:r>
      <w:r w:rsidRPr="00AF48B1">
        <w:rPr>
          <w:rFonts w:ascii="Calibri" w:hAnsi="Calibri"/>
          <w:sz w:val="22"/>
        </w:rPr>
        <w:t xml:space="preserve"> (2015).</w:t>
      </w:r>
    </w:p>
    <w:p w14:paraId="7E6E3328" w14:textId="77777777" w:rsidR="00AF48B1" w:rsidRPr="00AF48B1" w:rsidRDefault="00AF48B1" w:rsidP="00AF48B1">
      <w:pPr>
        <w:pStyle w:val="NormalWeb"/>
        <w:rPr>
          <w:rFonts w:ascii="Calibri" w:hAnsi="Calibri"/>
          <w:sz w:val="22"/>
        </w:rPr>
      </w:pPr>
      <w:r w:rsidRPr="00AF48B1">
        <w:rPr>
          <w:rFonts w:ascii="Calibri" w:hAnsi="Calibri"/>
          <w:sz w:val="22"/>
        </w:rPr>
        <w:t>21. Thadani U, Smith W, Nash S</w:t>
      </w:r>
      <w:r w:rsidRPr="00AF48B1">
        <w:rPr>
          <w:rFonts w:ascii="Calibri" w:hAnsi="Calibri"/>
          <w:i/>
          <w:iCs/>
          <w:sz w:val="22"/>
        </w:rPr>
        <w:t xml:space="preserve"> et al.</w:t>
      </w:r>
      <w:r w:rsidRPr="00AF48B1">
        <w:rPr>
          <w:rFonts w:ascii="Calibri" w:hAnsi="Calibri"/>
          <w:sz w:val="22"/>
        </w:rPr>
        <w:t>: The effect of vardenafil, a potent and highly selective phosphodiesterase-5 inhibitor for the treatment of erectile dysfunction, on the cardiovascular response to exercise in patients with coronary artery disease.</w:t>
      </w:r>
      <w:r w:rsidRPr="00AF48B1">
        <w:rPr>
          <w:rFonts w:ascii="Calibri" w:hAnsi="Calibri"/>
          <w:i/>
          <w:iCs/>
          <w:sz w:val="22"/>
        </w:rPr>
        <w:t xml:space="preserve"> J. Am. Coll. Cardiol.</w:t>
      </w:r>
      <w:r w:rsidRPr="00AF48B1">
        <w:rPr>
          <w:rFonts w:ascii="Calibri" w:hAnsi="Calibri"/>
          <w:sz w:val="22"/>
        </w:rPr>
        <w:t xml:space="preserve"> 40(11), 2006-2012 (2002).</w:t>
      </w:r>
    </w:p>
    <w:p w14:paraId="64AD9072" w14:textId="77777777" w:rsidR="00AF48B1" w:rsidRPr="00AF48B1" w:rsidRDefault="00AF48B1" w:rsidP="00AF48B1">
      <w:pPr>
        <w:pStyle w:val="NormalWeb"/>
        <w:rPr>
          <w:rFonts w:ascii="Calibri" w:hAnsi="Calibri"/>
          <w:sz w:val="22"/>
        </w:rPr>
      </w:pPr>
      <w:r w:rsidRPr="00AF48B1">
        <w:rPr>
          <w:rFonts w:ascii="Calibri" w:hAnsi="Calibri"/>
          <w:sz w:val="22"/>
        </w:rPr>
        <w:t>22. Fox KM, Thadani U, Ma PT</w:t>
      </w:r>
      <w:r w:rsidRPr="00AF48B1">
        <w:rPr>
          <w:rFonts w:ascii="Calibri" w:hAnsi="Calibri"/>
          <w:i/>
          <w:iCs/>
          <w:sz w:val="22"/>
        </w:rPr>
        <w:t xml:space="preserve"> et al.</w:t>
      </w:r>
      <w:r w:rsidRPr="00AF48B1">
        <w:rPr>
          <w:rFonts w:ascii="Calibri" w:hAnsi="Calibri"/>
          <w:sz w:val="22"/>
        </w:rPr>
        <w:t>: Sildenafil citrate does not reduce exercise tolerance in men with erectile dysfunction and chronic stable angina.</w:t>
      </w:r>
      <w:r w:rsidRPr="00AF48B1">
        <w:rPr>
          <w:rFonts w:ascii="Calibri" w:hAnsi="Calibri"/>
          <w:i/>
          <w:iCs/>
          <w:sz w:val="22"/>
        </w:rPr>
        <w:t xml:space="preserve"> Eur. Heart J.</w:t>
      </w:r>
      <w:r w:rsidRPr="00AF48B1">
        <w:rPr>
          <w:rFonts w:ascii="Calibri" w:hAnsi="Calibri"/>
          <w:sz w:val="22"/>
        </w:rPr>
        <w:t xml:space="preserve"> 24(24), 2206-2212 (2003).</w:t>
      </w:r>
    </w:p>
    <w:p w14:paraId="718B5C9F" w14:textId="77777777" w:rsidR="00AF48B1" w:rsidRPr="00AF48B1" w:rsidRDefault="00AF48B1" w:rsidP="00AF48B1">
      <w:pPr>
        <w:pStyle w:val="NormalWeb"/>
        <w:rPr>
          <w:rFonts w:ascii="Calibri" w:hAnsi="Calibri"/>
          <w:sz w:val="22"/>
        </w:rPr>
      </w:pPr>
      <w:r w:rsidRPr="00AF48B1">
        <w:rPr>
          <w:rFonts w:ascii="Calibri" w:hAnsi="Calibri"/>
          <w:sz w:val="22"/>
        </w:rPr>
        <w:t>23. Dunselman PHJM, Van Kempen LHJ, Bouwens LHM, Holwerda KJ, Herweijer AH, Bernink PJLM: Value of the addition of amlodipine to atenolol in patients with angina pectoris despite adequate beta blockade.</w:t>
      </w:r>
      <w:r w:rsidRPr="00AF48B1">
        <w:rPr>
          <w:rFonts w:ascii="Calibri" w:hAnsi="Calibri"/>
          <w:i/>
          <w:iCs/>
          <w:sz w:val="22"/>
        </w:rPr>
        <w:t xml:space="preserve"> Am. J. Cardiol.</w:t>
      </w:r>
      <w:r w:rsidRPr="00AF48B1">
        <w:rPr>
          <w:rFonts w:ascii="Calibri" w:hAnsi="Calibri"/>
          <w:sz w:val="22"/>
        </w:rPr>
        <w:t xml:space="preserve"> 81(2), 128-132 (1998).</w:t>
      </w:r>
    </w:p>
    <w:p w14:paraId="0A6D3F98" w14:textId="77777777" w:rsidR="00AF48B1" w:rsidRPr="00AF48B1" w:rsidRDefault="00AF48B1" w:rsidP="00AF48B1">
      <w:pPr>
        <w:pStyle w:val="NormalWeb"/>
        <w:rPr>
          <w:rFonts w:ascii="Calibri" w:hAnsi="Calibri"/>
          <w:sz w:val="22"/>
        </w:rPr>
      </w:pPr>
      <w:r w:rsidRPr="00AF48B1">
        <w:rPr>
          <w:rFonts w:ascii="Calibri" w:hAnsi="Calibri"/>
          <w:sz w:val="22"/>
        </w:rPr>
        <w:t>24. Halcox JPJ, Nour KRA, Zalos G</w:t>
      </w:r>
      <w:r w:rsidRPr="00AF48B1">
        <w:rPr>
          <w:rFonts w:ascii="Calibri" w:hAnsi="Calibri"/>
          <w:i/>
          <w:iCs/>
          <w:sz w:val="22"/>
        </w:rPr>
        <w:t xml:space="preserve"> et al.</w:t>
      </w:r>
      <w:r w:rsidRPr="00AF48B1">
        <w:rPr>
          <w:rFonts w:ascii="Calibri" w:hAnsi="Calibri"/>
          <w:sz w:val="22"/>
        </w:rPr>
        <w:t>: The effect of sildenafil on human vascular function, platelet activation, and myocardial ischemia.</w:t>
      </w:r>
      <w:r w:rsidRPr="00AF48B1">
        <w:rPr>
          <w:rFonts w:ascii="Calibri" w:hAnsi="Calibri"/>
          <w:i/>
          <w:iCs/>
          <w:sz w:val="22"/>
        </w:rPr>
        <w:t xml:space="preserve"> J. Am. Coll. Cardiol.</w:t>
      </w:r>
      <w:r w:rsidRPr="00AF48B1">
        <w:rPr>
          <w:rFonts w:ascii="Calibri" w:hAnsi="Calibri"/>
          <w:sz w:val="22"/>
        </w:rPr>
        <w:t xml:space="preserve"> 40(7), 1232-1240 (2002).</w:t>
      </w:r>
    </w:p>
    <w:p w14:paraId="1C2D5934" w14:textId="63E00E58" w:rsidR="00AF48B1" w:rsidRPr="00AF48B1" w:rsidRDefault="00AF48B1" w:rsidP="00AF48B1">
      <w:pPr>
        <w:pStyle w:val="NormalWeb"/>
        <w:rPr>
          <w:rFonts w:ascii="Calibri" w:hAnsi="Calibri"/>
          <w:sz w:val="22"/>
        </w:rPr>
      </w:pPr>
      <w:r w:rsidRPr="00AF48B1">
        <w:rPr>
          <w:rFonts w:ascii="Calibri" w:hAnsi="Calibri"/>
          <w:sz w:val="22"/>
        </w:rPr>
        <w:t>25. Noman A, Ang DS, Ogston S, Lang CC, Struthers AD: Effect of high-dose allopurinol on exercise in patients with chronic stable angina: a randomised, placebo controlled crossover trial.</w:t>
      </w:r>
      <w:r w:rsidRPr="00AF48B1">
        <w:rPr>
          <w:rFonts w:ascii="Calibri" w:hAnsi="Calibri"/>
          <w:i/>
          <w:iCs/>
          <w:sz w:val="22"/>
        </w:rPr>
        <w:t xml:space="preserve"> The Lancet</w:t>
      </w:r>
      <w:r w:rsidRPr="00AF48B1">
        <w:rPr>
          <w:rFonts w:ascii="Calibri" w:hAnsi="Calibri"/>
          <w:sz w:val="22"/>
        </w:rPr>
        <w:t xml:space="preserve"> 375(9732), 2161-2167 (2010).</w:t>
      </w:r>
      <w:r w:rsidR="004B0797">
        <w:rPr>
          <w:rFonts w:ascii="Calibri" w:hAnsi="Calibri"/>
          <w:sz w:val="22"/>
        </w:rPr>
        <w:t>*</w:t>
      </w:r>
    </w:p>
    <w:p w14:paraId="12C3CF19" w14:textId="77777777" w:rsidR="00AF48B1" w:rsidRPr="00AF48B1" w:rsidRDefault="00AF48B1" w:rsidP="00AF48B1">
      <w:pPr>
        <w:pStyle w:val="NormalWeb"/>
        <w:rPr>
          <w:rFonts w:ascii="Calibri" w:hAnsi="Calibri"/>
          <w:sz w:val="22"/>
        </w:rPr>
      </w:pPr>
      <w:r w:rsidRPr="00AF48B1">
        <w:rPr>
          <w:rFonts w:ascii="Calibri" w:hAnsi="Calibri"/>
          <w:sz w:val="22"/>
        </w:rPr>
        <w:t>26. Chaitman BR, Skettino SL, Parker JO</w:t>
      </w:r>
      <w:r w:rsidRPr="00AF48B1">
        <w:rPr>
          <w:rFonts w:ascii="Calibri" w:hAnsi="Calibri"/>
          <w:i/>
          <w:iCs/>
          <w:sz w:val="22"/>
        </w:rPr>
        <w:t xml:space="preserve"> et al.</w:t>
      </w:r>
      <w:r w:rsidRPr="00AF48B1">
        <w:rPr>
          <w:rFonts w:ascii="Calibri" w:hAnsi="Calibri"/>
          <w:sz w:val="22"/>
        </w:rPr>
        <w:t>: Anti-ischemic effects and long-term survival during ranolazine monotherapy in patients with chronic severe angina.</w:t>
      </w:r>
      <w:r w:rsidRPr="00AF48B1">
        <w:rPr>
          <w:rFonts w:ascii="Calibri" w:hAnsi="Calibri"/>
          <w:i/>
          <w:iCs/>
          <w:sz w:val="22"/>
        </w:rPr>
        <w:t xml:space="preserve"> J. Am. Coll. Cardiol.</w:t>
      </w:r>
      <w:r w:rsidRPr="00AF48B1">
        <w:rPr>
          <w:rFonts w:ascii="Calibri" w:hAnsi="Calibri"/>
          <w:sz w:val="22"/>
        </w:rPr>
        <w:t xml:space="preserve"> 43(8), 1375-1382 (2004).</w:t>
      </w:r>
    </w:p>
    <w:p w14:paraId="7CECB630" w14:textId="77777777" w:rsidR="00AF48B1" w:rsidRPr="00AF48B1" w:rsidRDefault="00AF48B1" w:rsidP="00AF48B1">
      <w:pPr>
        <w:pStyle w:val="NormalWeb"/>
        <w:rPr>
          <w:rFonts w:ascii="Calibri" w:hAnsi="Calibri"/>
          <w:sz w:val="22"/>
        </w:rPr>
      </w:pPr>
      <w:r w:rsidRPr="00AF48B1">
        <w:rPr>
          <w:rFonts w:ascii="Calibri" w:hAnsi="Calibri"/>
          <w:sz w:val="22"/>
        </w:rPr>
        <w:t>27. Chaitman BR, Pepine CJ, Parker JO</w:t>
      </w:r>
      <w:r w:rsidRPr="00AF48B1">
        <w:rPr>
          <w:rFonts w:ascii="Calibri" w:hAnsi="Calibri"/>
          <w:i/>
          <w:iCs/>
          <w:sz w:val="22"/>
        </w:rPr>
        <w:t xml:space="preserve"> et al.</w:t>
      </w:r>
      <w:r w:rsidRPr="00AF48B1">
        <w:rPr>
          <w:rFonts w:ascii="Calibri" w:hAnsi="Calibri"/>
          <w:sz w:val="22"/>
        </w:rPr>
        <w:t>: Effects of Ranolazine with Atenolol, Amlodipine, or Diltiazem on Exercise Tolerance and Angina Frequency in Patients with Severe Chronic Angina: A Randomized Controlled Trial.</w:t>
      </w:r>
      <w:r w:rsidRPr="00AF48B1">
        <w:rPr>
          <w:rFonts w:ascii="Calibri" w:hAnsi="Calibri"/>
          <w:i/>
          <w:iCs/>
          <w:sz w:val="22"/>
        </w:rPr>
        <w:t xml:space="preserve"> J. Am. Med. Assoc.</w:t>
      </w:r>
      <w:r w:rsidRPr="00AF48B1">
        <w:rPr>
          <w:rFonts w:ascii="Calibri" w:hAnsi="Calibri"/>
          <w:sz w:val="22"/>
        </w:rPr>
        <w:t xml:space="preserve"> 291(3), 309-316 (2004).</w:t>
      </w:r>
    </w:p>
    <w:p w14:paraId="201653EA" w14:textId="6D5D2A5E" w:rsidR="00AF48B1" w:rsidRPr="00AF48B1" w:rsidRDefault="00AF48B1" w:rsidP="00AF48B1">
      <w:pPr>
        <w:pStyle w:val="NormalWeb"/>
        <w:rPr>
          <w:rFonts w:ascii="Calibri" w:hAnsi="Calibri"/>
          <w:sz w:val="22"/>
        </w:rPr>
      </w:pPr>
      <w:r w:rsidRPr="00AF48B1">
        <w:rPr>
          <w:rFonts w:ascii="Calibri" w:hAnsi="Calibri"/>
          <w:sz w:val="22"/>
        </w:rPr>
        <w:t>28. Kapil V, Milsom AB, Okorie M</w:t>
      </w:r>
      <w:r w:rsidRPr="00AF48B1">
        <w:rPr>
          <w:rFonts w:ascii="Calibri" w:hAnsi="Calibri"/>
          <w:i/>
          <w:iCs/>
          <w:sz w:val="22"/>
        </w:rPr>
        <w:t xml:space="preserve"> et al.</w:t>
      </w:r>
      <w:r w:rsidRPr="00AF48B1">
        <w:rPr>
          <w:rFonts w:ascii="Calibri" w:hAnsi="Calibri"/>
          <w:sz w:val="22"/>
        </w:rPr>
        <w:t>: Inorganic nitrate supplementation lowers blood pressure in humans: Role for nitrite-derived no.</w:t>
      </w:r>
      <w:r w:rsidRPr="00AF48B1">
        <w:rPr>
          <w:rFonts w:ascii="Calibri" w:hAnsi="Calibri"/>
          <w:i/>
          <w:iCs/>
          <w:sz w:val="22"/>
        </w:rPr>
        <w:t xml:space="preserve"> Hypertension</w:t>
      </w:r>
      <w:r w:rsidRPr="00AF48B1">
        <w:rPr>
          <w:rFonts w:ascii="Calibri" w:hAnsi="Calibri"/>
          <w:sz w:val="22"/>
        </w:rPr>
        <w:t xml:space="preserve"> 56(2), 274-281 (2010).</w:t>
      </w:r>
      <w:r w:rsidR="004B0797">
        <w:rPr>
          <w:rFonts w:ascii="Calibri" w:hAnsi="Calibri"/>
          <w:sz w:val="22"/>
        </w:rPr>
        <w:t>*</w:t>
      </w:r>
    </w:p>
    <w:p w14:paraId="139DF0E2" w14:textId="77777777" w:rsidR="00AF48B1" w:rsidRPr="00AF48B1" w:rsidRDefault="00AF48B1" w:rsidP="00AF48B1">
      <w:pPr>
        <w:pStyle w:val="NormalWeb"/>
        <w:rPr>
          <w:rFonts w:ascii="Calibri" w:hAnsi="Calibri"/>
          <w:sz w:val="22"/>
        </w:rPr>
      </w:pPr>
      <w:r w:rsidRPr="00AF48B1">
        <w:rPr>
          <w:rFonts w:ascii="Calibri" w:hAnsi="Calibri"/>
          <w:sz w:val="22"/>
        </w:rPr>
        <w:t>29. Ghosh SM, Kapil V, Fuentes-Calvo I</w:t>
      </w:r>
      <w:r w:rsidRPr="00AF48B1">
        <w:rPr>
          <w:rFonts w:ascii="Calibri" w:hAnsi="Calibri"/>
          <w:i/>
          <w:iCs/>
          <w:sz w:val="22"/>
        </w:rPr>
        <w:t xml:space="preserve"> et al.</w:t>
      </w:r>
      <w:r w:rsidRPr="00AF48B1">
        <w:rPr>
          <w:rFonts w:ascii="Calibri" w:hAnsi="Calibri"/>
          <w:sz w:val="22"/>
        </w:rPr>
        <w:t>: Enhanced vasodilator activity of nitrite in hypertension: Critical role for erythrocytic xanthine oxidoreductase and translational potential.</w:t>
      </w:r>
      <w:r w:rsidRPr="00AF48B1">
        <w:rPr>
          <w:rFonts w:ascii="Calibri" w:hAnsi="Calibri"/>
          <w:i/>
          <w:iCs/>
          <w:sz w:val="22"/>
        </w:rPr>
        <w:t xml:space="preserve"> Hypertension</w:t>
      </w:r>
      <w:r w:rsidRPr="00AF48B1">
        <w:rPr>
          <w:rFonts w:ascii="Calibri" w:hAnsi="Calibri"/>
          <w:sz w:val="22"/>
        </w:rPr>
        <w:t xml:space="preserve"> 61(5), 1091-1102 (2013).</w:t>
      </w:r>
    </w:p>
    <w:p w14:paraId="2D2EBC69" w14:textId="77777777" w:rsidR="00AF48B1" w:rsidRPr="00AF48B1" w:rsidRDefault="00AF48B1" w:rsidP="00AF48B1">
      <w:pPr>
        <w:pStyle w:val="NormalWeb"/>
        <w:rPr>
          <w:rFonts w:ascii="Calibri" w:hAnsi="Calibri"/>
          <w:sz w:val="22"/>
        </w:rPr>
      </w:pPr>
      <w:r w:rsidRPr="00AF48B1">
        <w:rPr>
          <w:rFonts w:ascii="Calibri" w:hAnsi="Calibri"/>
          <w:sz w:val="22"/>
        </w:rPr>
        <w:t>30. Kenjale AA, Ham KL, Stabler T</w:t>
      </w:r>
      <w:r w:rsidRPr="00AF48B1">
        <w:rPr>
          <w:rFonts w:ascii="Calibri" w:hAnsi="Calibri"/>
          <w:i/>
          <w:iCs/>
          <w:sz w:val="22"/>
        </w:rPr>
        <w:t xml:space="preserve"> et al.</w:t>
      </w:r>
      <w:r w:rsidRPr="00AF48B1">
        <w:rPr>
          <w:rFonts w:ascii="Calibri" w:hAnsi="Calibri"/>
          <w:sz w:val="22"/>
        </w:rPr>
        <w:t>: Dietary nitrate supplementation enhances exercise performance in peripheral arterial disease.</w:t>
      </w:r>
      <w:r w:rsidRPr="00AF48B1">
        <w:rPr>
          <w:rFonts w:ascii="Calibri" w:hAnsi="Calibri"/>
          <w:i/>
          <w:iCs/>
          <w:sz w:val="22"/>
        </w:rPr>
        <w:t xml:space="preserve"> J. Appl. Physiol.</w:t>
      </w:r>
      <w:r w:rsidRPr="00AF48B1">
        <w:rPr>
          <w:rFonts w:ascii="Calibri" w:hAnsi="Calibri"/>
          <w:sz w:val="22"/>
        </w:rPr>
        <w:t xml:space="preserve"> 110(6), 1582-1591 (2011).</w:t>
      </w:r>
    </w:p>
    <w:p w14:paraId="74FEC55C" w14:textId="64079A5C" w:rsidR="00AF48B1" w:rsidRPr="00AF48B1" w:rsidRDefault="00AF48B1" w:rsidP="00AF48B1">
      <w:pPr>
        <w:pStyle w:val="NormalWeb"/>
        <w:rPr>
          <w:rFonts w:ascii="Calibri" w:hAnsi="Calibri"/>
          <w:sz w:val="22"/>
        </w:rPr>
      </w:pPr>
      <w:r w:rsidRPr="00AF48B1">
        <w:rPr>
          <w:rFonts w:ascii="Calibri" w:hAnsi="Calibri"/>
          <w:sz w:val="22"/>
        </w:rPr>
        <w:t>31. Hord NG, Tang Y, Bryan NS: Food sources of nitrates and nitrites: The physiologic context for potential health benefits.</w:t>
      </w:r>
      <w:r w:rsidRPr="00AF48B1">
        <w:rPr>
          <w:rFonts w:ascii="Calibri" w:hAnsi="Calibri"/>
          <w:i/>
          <w:iCs/>
          <w:sz w:val="22"/>
        </w:rPr>
        <w:t xml:space="preserve"> Am. J. Clin. Nutr.</w:t>
      </w:r>
      <w:r w:rsidRPr="00AF48B1">
        <w:rPr>
          <w:rFonts w:ascii="Calibri" w:hAnsi="Calibri"/>
          <w:sz w:val="22"/>
        </w:rPr>
        <w:t xml:space="preserve"> 90(1), 1-10 (2009).</w:t>
      </w:r>
    </w:p>
    <w:p w14:paraId="6CE6439E" w14:textId="77777777" w:rsidR="00AF48B1" w:rsidRPr="00AF48B1" w:rsidRDefault="00AF48B1" w:rsidP="00AF48B1">
      <w:pPr>
        <w:pStyle w:val="NormalWeb"/>
        <w:rPr>
          <w:rFonts w:ascii="Calibri" w:hAnsi="Calibri"/>
          <w:sz w:val="22"/>
        </w:rPr>
      </w:pPr>
      <w:r w:rsidRPr="00AF48B1">
        <w:rPr>
          <w:rFonts w:ascii="Calibri" w:hAnsi="Calibri"/>
          <w:sz w:val="22"/>
        </w:rPr>
        <w:t>32. Machha A, Schechter AN: Inorganic nitrate: A major player in the cardiovascular health benefits of vegetables?</w:t>
      </w:r>
      <w:r w:rsidRPr="00AF48B1">
        <w:rPr>
          <w:rFonts w:ascii="Calibri" w:hAnsi="Calibri"/>
          <w:i/>
          <w:iCs/>
          <w:sz w:val="22"/>
        </w:rPr>
        <w:t xml:space="preserve"> Nutr. Rev.</w:t>
      </w:r>
      <w:r w:rsidRPr="00AF48B1">
        <w:rPr>
          <w:rFonts w:ascii="Calibri" w:hAnsi="Calibri"/>
          <w:sz w:val="22"/>
        </w:rPr>
        <w:t xml:space="preserve"> 70(6), 367-372 (2012).</w:t>
      </w:r>
    </w:p>
    <w:p w14:paraId="58BD0580" w14:textId="77777777" w:rsidR="00AF48B1" w:rsidRPr="00AF48B1" w:rsidRDefault="00AF48B1" w:rsidP="00AF48B1">
      <w:pPr>
        <w:pStyle w:val="NormalWeb"/>
        <w:rPr>
          <w:rFonts w:ascii="Calibri" w:hAnsi="Calibri"/>
          <w:sz w:val="22"/>
        </w:rPr>
      </w:pPr>
      <w:r w:rsidRPr="00AF48B1">
        <w:rPr>
          <w:rFonts w:ascii="Calibri" w:hAnsi="Calibri"/>
          <w:sz w:val="22"/>
        </w:rPr>
        <w:t>33. Govoni M, Jansson EA, Weitzberg E, Lundberg JO: The increase in plasma nitrite after a dietary nitrate load is markedly attenuated by an antibacterial mouthwash.</w:t>
      </w:r>
      <w:r w:rsidRPr="00AF48B1">
        <w:rPr>
          <w:rFonts w:ascii="Calibri" w:hAnsi="Calibri"/>
          <w:i/>
          <w:iCs/>
          <w:sz w:val="22"/>
        </w:rPr>
        <w:t xml:space="preserve"> Nitric Oxide</w:t>
      </w:r>
      <w:r w:rsidRPr="00AF48B1">
        <w:rPr>
          <w:rFonts w:ascii="Calibri" w:hAnsi="Calibri"/>
          <w:sz w:val="22"/>
        </w:rPr>
        <w:t xml:space="preserve"> 19(4), 333-337 (2008).</w:t>
      </w:r>
    </w:p>
    <w:p w14:paraId="6688D823" w14:textId="1848F38C" w:rsidR="00AF48B1" w:rsidRPr="00AF48B1" w:rsidRDefault="00AF48B1" w:rsidP="00AF48B1">
      <w:pPr>
        <w:pStyle w:val="NormalWeb"/>
        <w:rPr>
          <w:rFonts w:ascii="Calibri" w:hAnsi="Calibri"/>
          <w:sz w:val="22"/>
        </w:rPr>
      </w:pPr>
      <w:r w:rsidRPr="00AF48B1">
        <w:rPr>
          <w:rFonts w:ascii="Calibri" w:hAnsi="Calibri"/>
          <w:sz w:val="22"/>
        </w:rPr>
        <w:lastRenderedPageBreak/>
        <w:t>34. Webb AJ, Patel N, Loukogeorgakis S</w:t>
      </w:r>
      <w:r w:rsidRPr="00AF48B1">
        <w:rPr>
          <w:rFonts w:ascii="Calibri" w:hAnsi="Calibri"/>
          <w:i/>
          <w:iCs/>
          <w:sz w:val="22"/>
        </w:rPr>
        <w:t xml:space="preserve"> et al.</w:t>
      </w:r>
      <w:r w:rsidRPr="00AF48B1">
        <w:rPr>
          <w:rFonts w:ascii="Calibri" w:hAnsi="Calibri"/>
          <w:sz w:val="22"/>
        </w:rPr>
        <w:t>: Acute blood pressure lowering, vasoprotective, and antiplatelet properties of dietary nitrate via bioconversion to nitrite.</w:t>
      </w:r>
      <w:r w:rsidRPr="00AF48B1">
        <w:rPr>
          <w:rFonts w:ascii="Calibri" w:hAnsi="Calibri"/>
          <w:i/>
          <w:iCs/>
          <w:sz w:val="22"/>
        </w:rPr>
        <w:t xml:space="preserve"> Hypertension</w:t>
      </w:r>
      <w:r w:rsidRPr="00AF48B1">
        <w:rPr>
          <w:rFonts w:ascii="Calibri" w:hAnsi="Calibri"/>
          <w:sz w:val="22"/>
        </w:rPr>
        <w:t xml:space="preserve"> 51(3), 784-790 (2008).</w:t>
      </w:r>
      <w:r w:rsidR="004B0797">
        <w:rPr>
          <w:rFonts w:ascii="Calibri" w:hAnsi="Calibri"/>
          <w:sz w:val="22"/>
        </w:rPr>
        <w:t>*</w:t>
      </w:r>
    </w:p>
    <w:p w14:paraId="2AD8B259" w14:textId="77777777" w:rsidR="00AF48B1" w:rsidRPr="00AF48B1" w:rsidRDefault="00AF48B1" w:rsidP="00AF48B1">
      <w:pPr>
        <w:pStyle w:val="NormalWeb"/>
        <w:rPr>
          <w:rFonts w:ascii="Calibri" w:hAnsi="Calibri"/>
          <w:sz w:val="22"/>
        </w:rPr>
      </w:pPr>
      <w:r w:rsidRPr="00AF48B1">
        <w:rPr>
          <w:rFonts w:ascii="Calibri" w:hAnsi="Calibri"/>
          <w:sz w:val="22"/>
        </w:rPr>
        <w:t>35. Kapil V, Haydar SM, Pearl V, Lundberg JO, Weitzberg E, Ahluwalia A: Physiological role for nitrate-reducing oral bacteria in blood pressure control.</w:t>
      </w:r>
      <w:r w:rsidRPr="00AF48B1">
        <w:rPr>
          <w:rFonts w:ascii="Calibri" w:hAnsi="Calibri"/>
          <w:i/>
          <w:iCs/>
          <w:sz w:val="22"/>
        </w:rPr>
        <w:t xml:space="preserve"> Free Radic. Biol. Med.</w:t>
      </w:r>
      <w:r w:rsidRPr="00AF48B1">
        <w:rPr>
          <w:rFonts w:ascii="Calibri" w:hAnsi="Calibri"/>
          <w:sz w:val="22"/>
        </w:rPr>
        <w:t xml:space="preserve"> 55, 93-100 (2013).</w:t>
      </w:r>
    </w:p>
    <w:p w14:paraId="563ECEEE" w14:textId="77777777" w:rsidR="00AF48B1" w:rsidRPr="00AF48B1" w:rsidRDefault="00AF48B1" w:rsidP="00AF48B1">
      <w:pPr>
        <w:pStyle w:val="NormalWeb"/>
        <w:rPr>
          <w:rFonts w:ascii="Calibri" w:hAnsi="Calibri"/>
          <w:sz w:val="22"/>
        </w:rPr>
      </w:pPr>
      <w:r w:rsidRPr="00AF48B1">
        <w:rPr>
          <w:rFonts w:ascii="Calibri" w:hAnsi="Calibri"/>
          <w:sz w:val="22"/>
        </w:rPr>
        <w:t>36. Bondonno CP, Liu AH, Croft KD</w:t>
      </w:r>
      <w:r w:rsidRPr="00AF48B1">
        <w:rPr>
          <w:rFonts w:ascii="Calibri" w:hAnsi="Calibri"/>
          <w:i/>
          <w:iCs/>
          <w:sz w:val="22"/>
        </w:rPr>
        <w:t xml:space="preserve"> et al.</w:t>
      </w:r>
      <w:r w:rsidRPr="00AF48B1">
        <w:rPr>
          <w:rFonts w:ascii="Calibri" w:hAnsi="Calibri"/>
          <w:sz w:val="22"/>
        </w:rPr>
        <w:t>: Antibacterial Mouthwash Blunts Oral Nitrate Reduction and Increases Blood Pressure in Treated Hypertensive Men and Women.</w:t>
      </w:r>
      <w:r w:rsidRPr="00AF48B1">
        <w:rPr>
          <w:rFonts w:ascii="Calibri" w:hAnsi="Calibri"/>
          <w:i/>
          <w:iCs/>
          <w:sz w:val="22"/>
        </w:rPr>
        <w:t xml:space="preserve"> Am. J. Hypertens.</w:t>
      </w:r>
      <w:r w:rsidRPr="00AF48B1">
        <w:rPr>
          <w:rFonts w:ascii="Calibri" w:hAnsi="Calibri"/>
          <w:sz w:val="22"/>
        </w:rPr>
        <w:t xml:space="preserve"> (2014).</w:t>
      </w:r>
    </w:p>
    <w:p w14:paraId="42956F0E" w14:textId="77777777" w:rsidR="00AF48B1" w:rsidRPr="00AF48B1" w:rsidRDefault="00AF48B1" w:rsidP="00AF48B1">
      <w:pPr>
        <w:pStyle w:val="NormalWeb"/>
        <w:rPr>
          <w:rFonts w:ascii="Calibri" w:hAnsi="Calibri"/>
          <w:sz w:val="22"/>
        </w:rPr>
      </w:pPr>
      <w:r w:rsidRPr="00AF48B1">
        <w:rPr>
          <w:rFonts w:ascii="Calibri" w:hAnsi="Calibri"/>
          <w:sz w:val="22"/>
        </w:rPr>
        <w:t>37. Senior R, Becher H, Monaghan M</w:t>
      </w:r>
      <w:r w:rsidRPr="00AF48B1">
        <w:rPr>
          <w:rFonts w:ascii="Calibri" w:hAnsi="Calibri"/>
          <w:i/>
          <w:iCs/>
          <w:sz w:val="22"/>
        </w:rPr>
        <w:t xml:space="preserve"> et al.</w:t>
      </w:r>
      <w:r w:rsidRPr="00AF48B1">
        <w:rPr>
          <w:rFonts w:ascii="Calibri" w:hAnsi="Calibri"/>
          <w:sz w:val="22"/>
        </w:rPr>
        <w:t>: Contrast echocardiography: Evidence-based recommendations by European Association of Echocardiography.</w:t>
      </w:r>
      <w:r w:rsidRPr="00AF48B1">
        <w:rPr>
          <w:rFonts w:ascii="Calibri" w:hAnsi="Calibri"/>
          <w:i/>
          <w:iCs/>
          <w:sz w:val="22"/>
        </w:rPr>
        <w:t xml:space="preserve"> European Journal of Echocardiography</w:t>
      </w:r>
      <w:r w:rsidRPr="00AF48B1">
        <w:rPr>
          <w:rFonts w:ascii="Calibri" w:hAnsi="Calibri"/>
          <w:sz w:val="22"/>
        </w:rPr>
        <w:t xml:space="preserve"> 10(2), 194-212 (2009).</w:t>
      </w:r>
    </w:p>
    <w:p w14:paraId="79D249D1" w14:textId="77777777" w:rsidR="00AF48B1" w:rsidRPr="00AF48B1" w:rsidRDefault="00AF48B1" w:rsidP="00AF48B1">
      <w:pPr>
        <w:pStyle w:val="NormalWeb"/>
        <w:rPr>
          <w:rFonts w:ascii="Calibri" w:hAnsi="Calibri"/>
          <w:sz w:val="22"/>
        </w:rPr>
      </w:pPr>
      <w:r w:rsidRPr="00AF48B1">
        <w:rPr>
          <w:rFonts w:ascii="Calibri" w:hAnsi="Calibri"/>
          <w:sz w:val="22"/>
        </w:rPr>
        <w:t>38. Schnaack SD, Siegmund P, Spes CH, Tammen AR, Theisen K, Angermann CE: Transpulmonary contrast echocardiography: Effects on delineation of endocardial border, assessment of wall motion and interobserver variability in stress echocardiograms of limited image quality.</w:t>
      </w:r>
      <w:r w:rsidRPr="00AF48B1">
        <w:rPr>
          <w:rFonts w:ascii="Calibri" w:hAnsi="Calibri"/>
          <w:i/>
          <w:iCs/>
          <w:sz w:val="22"/>
        </w:rPr>
        <w:t xml:space="preserve"> Coron. Artery Dis.</w:t>
      </w:r>
      <w:r w:rsidRPr="00AF48B1">
        <w:rPr>
          <w:rFonts w:ascii="Calibri" w:hAnsi="Calibri"/>
          <w:sz w:val="22"/>
        </w:rPr>
        <w:t xml:space="preserve"> 11(7), 549-554 (2000).</w:t>
      </w:r>
    </w:p>
    <w:p w14:paraId="1366E00C" w14:textId="77777777" w:rsidR="00AF48B1" w:rsidRPr="00AF48B1" w:rsidRDefault="00AF48B1" w:rsidP="00AF48B1">
      <w:pPr>
        <w:pStyle w:val="NormalWeb"/>
        <w:rPr>
          <w:rFonts w:ascii="Calibri" w:hAnsi="Calibri"/>
          <w:sz w:val="22"/>
        </w:rPr>
      </w:pPr>
      <w:r w:rsidRPr="00AF48B1">
        <w:rPr>
          <w:rFonts w:ascii="Calibri" w:hAnsi="Calibri"/>
          <w:sz w:val="22"/>
        </w:rPr>
        <w:t>39. Fraser AG, Payne N, Mädler CF</w:t>
      </w:r>
      <w:r w:rsidRPr="00AF48B1">
        <w:rPr>
          <w:rFonts w:ascii="Calibri" w:hAnsi="Calibri"/>
          <w:i/>
          <w:iCs/>
          <w:sz w:val="22"/>
        </w:rPr>
        <w:t xml:space="preserve"> et al.</w:t>
      </w:r>
      <w:r w:rsidRPr="00AF48B1">
        <w:rPr>
          <w:rFonts w:ascii="Calibri" w:hAnsi="Calibri"/>
          <w:sz w:val="22"/>
        </w:rPr>
        <w:t>: Feasibility and reproducibility of off-line tissue Doppler measurement of regional myocardial function during dobutamine stress echocardiography.</w:t>
      </w:r>
      <w:r w:rsidRPr="00AF48B1">
        <w:rPr>
          <w:rFonts w:ascii="Calibri" w:hAnsi="Calibri"/>
          <w:i/>
          <w:iCs/>
          <w:sz w:val="22"/>
        </w:rPr>
        <w:t xml:space="preserve"> European Journal of Echocardiography</w:t>
      </w:r>
      <w:r w:rsidRPr="00AF48B1">
        <w:rPr>
          <w:rFonts w:ascii="Calibri" w:hAnsi="Calibri"/>
          <w:sz w:val="22"/>
        </w:rPr>
        <w:t xml:space="preserve"> 4(1), 43-53 (2003).</w:t>
      </w:r>
    </w:p>
    <w:p w14:paraId="6CADEF6B" w14:textId="77777777" w:rsidR="00AF48B1" w:rsidRPr="00AF48B1" w:rsidRDefault="00AF48B1" w:rsidP="00AF48B1">
      <w:pPr>
        <w:pStyle w:val="NormalWeb"/>
        <w:rPr>
          <w:rFonts w:ascii="Calibri" w:hAnsi="Calibri"/>
          <w:sz w:val="22"/>
        </w:rPr>
      </w:pPr>
      <w:r w:rsidRPr="00AF48B1">
        <w:rPr>
          <w:rFonts w:ascii="Calibri" w:hAnsi="Calibri"/>
          <w:sz w:val="22"/>
        </w:rPr>
        <w:t>40. Vatner SF: Correlation between acute reductions in myocardial blood flow and function in conscious dogs.</w:t>
      </w:r>
      <w:r w:rsidRPr="00AF48B1">
        <w:rPr>
          <w:rFonts w:ascii="Calibri" w:hAnsi="Calibri"/>
          <w:i/>
          <w:iCs/>
          <w:sz w:val="22"/>
        </w:rPr>
        <w:t xml:space="preserve"> Circulation Research</w:t>
      </w:r>
      <w:r w:rsidRPr="00AF48B1">
        <w:rPr>
          <w:rFonts w:ascii="Calibri" w:hAnsi="Calibri"/>
          <w:sz w:val="22"/>
        </w:rPr>
        <w:t xml:space="preserve"> 47(2), 201-207 (1980).</w:t>
      </w:r>
    </w:p>
    <w:p w14:paraId="67C6CB83" w14:textId="2C8E0FCE" w:rsidR="00AF48B1" w:rsidRPr="00AF48B1" w:rsidRDefault="00AF48B1" w:rsidP="00AF48B1">
      <w:pPr>
        <w:pStyle w:val="NormalWeb"/>
        <w:rPr>
          <w:rFonts w:ascii="Calibri" w:hAnsi="Calibri"/>
          <w:sz w:val="22"/>
        </w:rPr>
      </w:pPr>
      <w:r w:rsidRPr="00AF48B1">
        <w:rPr>
          <w:rFonts w:ascii="Calibri" w:hAnsi="Calibri"/>
          <w:sz w:val="22"/>
        </w:rPr>
        <w:t>41. Ingram TE, Fraser AG, Bleasdale RA</w:t>
      </w:r>
      <w:r w:rsidRPr="00AF48B1">
        <w:rPr>
          <w:rFonts w:ascii="Calibri" w:hAnsi="Calibri"/>
          <w:i/>
          <w:iCs/>
          <w:sz w:val="22"/>
        </w:rPr>
        <w:t xml:space="preserve"> et al.</w:t>
      </w:r>
      <w:r w:rsidRPr="00AF48B1">
        <w:rPr>
          <w:rFonts w:ascii="Calibri" w:hAnsi="Calibri"/>
          <w:sz w:val="22"/>
        </w:rPr>
        <w:t>: Low-dose sodium nitrite attenuates myocardial ischemia and vascular ischemia-reperfusion injury in human models.</w:t>
      </w:r>
      <w:r w:rsidRPr="00AF48B1">
        <w:rPr>
          <w:rFonts w:ascii="Calibri" w:hAnsi="Calibri"/>
          <w:i/>
          <w:iCs/>
          <w:sz w:val="22"/>
        </w:rPr>
        <w:t xml:space="preserve"> J. Am. Coll. Cardiol.</w:t>
      </w:r>
      <w:r w:rsidRPr="00AF48B1">
        <w:rPr>
          <w:rFonts w:ascii="Calibri" w:hAnsi="Calibri"/>
          <w:sz w:val="22"/>
        </w:rPr>
        <w:t xml:space="preserve"> 61(25), 2534-2541 (2013).</w:t>
      </w:r>
      <w:r w:rsidR="004B0797">
        <w:rPr>
          <w:rFonts w:ascii="Calibri" w:hAnsi="Calibri"/>
          <w:sz w:val="22"/>
        </w:rPr>
        <w:t>*</w:t>
      </w:r>
    </w:p>
    <w:p w14:paraId="507A534E" w14:textId="77777777" w:rsidR="00AF48B1" w:rsidRPr="00AF48B1" w:rsidRDefault="00AF48B1" w:rsidP="00AF48B1">
      <w:pPr>
        <w:pStyle w:val="NormalWeb"/>
        <w:rPr>
          <w:rFonts w:ascii="Calibri" w:hAnsi="Calibri"/>
          <w:sz w:val="22"/>
        </w:rPr>
      </w:pPr>
      <w:r w:rsidRPr="00AF48B1">
        <w:rPr>
          <w:rFonts w:ascii="Calibri" w:hAnsi="Calibri"/>
          <w:sz w:val="22"/>
        </w:rPr>
        <w:t>42. Siddiqi N, Neil C, Bruce M</w:t>
      </w:r>
      <w:r w:rsidRPr="00AF48B1">
        <w:rPr>
          <w:rFonts w:ascii="Calibri" w:hAnsi="Calibri"/>
          <w:i/>
          <w:iCs/>
          <w:sz w:val="22"/>
        </w:rPr>
        <w:t xml:space="preserve"> et al.</w:t>
      </w:r>
      <w:r w:rsidRPr="00AF48B1">
        <w:rPr>
          <w:rFonts w:ascii="Calibri" w:hAnsi="Calibri"/>
          <w:sz w:val="22"/>
        </w:rPr>
        <w:t>: Intravenous sodium nitrite in acute ST-elevation myocardial infarction: A randomized controlled trial (NIAMI).</w:t>
      </w:r>
      <w:r w:rsidRPr="00AF48B1">
        <w:rPr>
          <w:rFonts w:ascii="Calibri" w:hAnsi="Calibri"/>
          <w:i/>
          <w:iCs/>
          <w:sz w:val="22"/>
        </w:rPr>
        <w:t xml:space="preserve"> Eur. Heart J.</w:t>
      </w:r>
      <w:r w:rsidRPr="00AF48B1">
        <w:rPr>
          <w:rFonts w:ascii="Calibri" w:hAnsi="Calibri"/>
          <w:sz w:val="22"/>
        </w:rPr>
        <w:t xml:space="preserve"> 35(19), 1255-1262a (2014).</w:t>
      </w:r>
    </w:p>
    <w:p w14:paraId="7FDAB4B1" w14:textId="77777777" w:rsidR="00AF48B1" w:rsidRPr="00AF48B1" w:rsidRDefault="00AF48B1" w:rsidP="00AF48B1">
      <w:pPr>
        <w:pStyle w:val="NormalWeb"/>
        <w:rPr>
          <w:rFonts w:ascii="Calibri" w:hAnsi="Calibri"/>
          <w:sz w:val="22"/>
        </w:rPr>
      </w:pPr>
      <w:r w:rsidRPr="00AF48B1">
        <w:rPr>
          <w:rFonts w:ascii="Calibri" w:hAnsi="Calibri"/>
          <w:sz w:val="22"/>
        </w:rPr>
        <w:t>43. Shibuya M: VEGF-VEGFR Signals in Health and Disease.</w:t>
      </w:r>
      <w:r w:rsidRPr="00AF48B1">
        <w:rPr>
          <w:rFonts w:ascii="Calibri" w:hAnsi="Calibri"/>
          <w:i/>
          <w:iCs/>
          <w:sz w:val="22"/>
        </w:rPr>
        <w:t xml:space="preserve"> Biomol. Ther. (Seoul)</w:t>
      </w:r>
      <w:r w:rsidRPr="00AF48B1">
        <w:rPr>
          <w:rFonts w:ascii="Calibri" w:hAnsi="Calibri"/>
          <w:sz w:val="22"/>
        </w:rPr>
        <w:t xml:space="preserve"> 22(1), 1-9 (2014).</w:t>
      </w:r>
    </w:p>
    <w:p w14:paraId="0452F6F2" w14:textId="77777777" w:rsidR="00AF48B1" w:rsidRPr="00AF48B1" w:rsidRDefault="00AF48B1" w:rsidP="00AF48B1">
      <w:pPr>
        <w:pStyle w:val="NormalWeb"/>
        <w:rPr>
          <w:rFonts w:ascii="Calibri" w:hAnsi="Calibri"/>
          <w:sz w:val="22"/>
        </w:rPr>
      </w:pPr>
      <w:r w:rsidRPr="00AF48B1">
        <w:rPr>
          <w:rFonts w:ascii="Calibri" w:hAnsi="Calibri"/>
          <w:sz w:val="22"/>
        </w:rPr>
        <w:t>44. Spertus JA, Winder JA, Dewhurst TA</w:t>
      </w:r>
      <w:r w:rsidRPr="00AF48B1">
        <w:rPr>
          <w:rFonts w:ascii="Calibri" w:hAnsi="Calibri"/>
          <w:i/>
          <w:iCs/>
          <w:sz w:val="22"/>
        </w:rPr>
        <w:t xml:space="preserve"> et al.</w:t>
      </w:r>
      <w:r w:rsidRPr="00AF48B1">
        <w:rPr>
          <w:rFonts w:ascii="Calibri" w:hAnsi="Calibri"/>
          <w:sz w:val="22"/>
        </w:rPr>
        <w:t>: Development and evaluation of the Seattle Angina Questionnaire: a new functional status measure for coronary artery disease.</w:t>
      </w:r>
      <w:r w:rsidRPr="00AF48B1">
        <w:rPr>
          <w:rFonts w:ascii="Calibri" w:hAnsi="Calibri"/>
          <w:i/>
          <w:iCs/>
          <w:sz w:val="22"/>
        </w:rPr>
        <w:t xml:space="preserve"> J. Am. Coll. Cardiol.</w:t>
      </w:r>
      <w:r w:rsidRPr="00AF48B1">
        <w:rPr>
          <w:rFonts w:ascii="Calibri" w:hAnsi="Calibri"/>
          <w:sz w:val="22"/>
        </w:rPr>
        <w:t xml:space="preserve"> 25(2), 333-341 (1995).</w:t>
      </w:r>
    </w:p>
    <w:p w14:paraId="7DD85323" w14:textId="77777777" w:rsidR="00AF48B1" w:rsidRPr="00AF48B1" w:rsidRDefault="00AF48B1" w:rsidP="00AF48B1">
      <w:pPr>
        <w:pStyle w:val="NormalWeb"/>
        <w:rPr>
          <w:rFonts w:ascii="Calibri" w:hAnsi="Calibri"/>
          <w:sz w:val="22"/>
        </w:rPr>
      </w:pPr>
      <w:r w:rsidRPr="00AF48B1">
        <w:rPr>
          <w:rFonts w:ascii="Calibri" w:hAnsi="Calibri"/>
          <w:sz w:val="22"/>
        </w:rPr>
        <w:t>45. Safley DM, Grantham JA, Hatch J, Jones PG, Spertus JA: Quality of life benefits of percutaneous coronary intervention for chronic occlusions.</w:t>
      </w:r>
      <w:r w:rsidRPr="00AF48B1">
        <w:rPr>
          <w:rFonts w:ascii="Calibri" w:hAnsi="Calibri"/>
          <w:i/>
          <w:iCs/>
          <w:sz w:val="22"/>
        </w:rPr>
        <w:t xml:space="preserve"> Catheter. Cardiovasc. Interv.</w:t>
      </w:r>
      <w:r w:rsidRPr="00AF48B1">
        <w:rPr>
          <w:rFonts w:ascii="Calibri" w:hAnsi="Calibri"/>
          <w:sz w:val="22"/>
        </w:rPr>
        <w:t xml:space="preserve"> 84(4), 629-634 (2014).</w:t>
      </w:r>
    </w:p>
    <w:p w14:paraId="6EFA72E1" w14:textId="77777777" w:rsidR="00AF48B1" w:rsidRPr="00AF48B1" w:rsidRDefault="00AF48B1" w:rsidP="00AF48B1">
      <w:pPr>
        <w:pStyle w:val="NormalWeb"/>
        <w:rPr>
          <w:rFonts w:ascii="Calibri" w:hAnsi="Calibri"/>
          <w:sz w:val="22"/>
        </w:rPr>
      </w:pPr>
      <w:r w:rsidRPr="00AF48B1">
        <w:rPr>
          <w:rFonts w:ascii="Calibri" w:hAnsi="Calibri"/>
          <w:sz w:val="22"/>
        </w:rPr>
        <w:t>46. Beatty AL, Spertus JA, Whooley MA: Frequency of angina pectoris and secondary events in patients with stable coronary heart disease (from the Heart and Soul Study).</w:t>
      </w:r>
      <w:r w:rsidRPr="00AF48B1">
        <w:rPr>
          <w:rFonts w:ascii="Calibri" w:hAnsi="Calibri"/>
          <w:i/>
          <w:iCs/>
          <w:sz w:val="22"/>
        </w:rPr>
        <w:t xml:space="preserve"> Am. J. Cardiol.</w:t>
      </w:r>
      <w:r w:rsidRPr="00AF48B1">
        <w:rPr>
          <w:rFonts w:ascii="Calibri" w:hAnsi="Calibri"/>
          <w:sz w:val="22"/>
        </w:rPr>
        <w:t xml:space="preserve"> 114(7), 997-1002 (2014).</w:t>
      </w:r>
    </w:p>
    <w:p w14:paraId="191603AC" w14:textId="77777777" w:rsidR="00AF48B1" w:rsidRPr="00AF48B1" w:rsidRDefault="00AF48B1" w:rsidP="00AF48B1">
      <w:pPr>
        <w:pStyle w:val="NormalWeb"/>
        <w:rPr>
          <w:rFonts w:ascii="Calibri" w:hAnsi="Calibri"/>
          <w:sz w:val="22"/>
        </w:rPr>
      </w:pPr>
      <w:r w:rsidRPr="00AF48B1">
        <w:rPr>
          <w:rFonts w:ascii="Calibri" w:hAnsi="Calibri"/>
          <w:sz w:val="22"/>
        </w:rPr>
        <w:t>47. Arnold SV, Kosiborod M, Li Y</w:t>
      </w:r>
      <w:r w:rsidRPr="00AF48B1">
        <w:rPr>
          <w:rFonts w:ascii="Calibri" w:hAnsi="Calibri"/>
          <w:i/>
          <w:iCs/>
          <w:sz w:val="22"/>
        </w:rPr>
        <w:t xml:space="preserve"> et al.</w:t>
      </w:r>
      <w:r w:rsidRPr="00AF48B1">
        <w:rPr>
          <w:rFonts w:ascii="Calibri" w:hAnsi="Calibri"/>
          <w:sz w:val="22"/>
        </w:rPr>
        <w:t>: Comparison of the Seattle Angina Questionnaire With Daily Angina Diary in the TERISA Clinical Trial.</w:t>
      </w:r>
      <w:r w:rsidRPr="00AF48B1">
        <w:rPr>
          <w:rFonts w:ascii="Calibri" w:hAnsi="Calibri"/>
          <w:i/>
          <w:iCs/>
          <w:sz w:val="22"/>
        </w:rPr>
        <w:t xml:space="preserve"> Circ. Cardiovasc. Qual. Outcomes</w:t>
      </w:r>
      <w:r w:rsidRPr="00AF48B1">
        <w:rPr>
          <w:rFonts w:ascii="Calibri" w:hAnsi="Calibri"/>
          <w:sz w:val="22"/>
        </w:rPr>
        <w:t xml:space="preserve"> 7(6), 844-850 (2014).</w:t>
      </w:r>
    </w:p>
    <w:p w14:paraId="7C97A08B" w14:textId="77777777" w:rsidR="00AF48B1" w:rsidRPr="00AF48B1" w:rsidRDefault="00AF48B1" w:rsidP="00AF48B1">
      <w:pPr>
        <w:pStyle w:val="NormalWeb"/>
        <w:rPr>
          <w:rFonts w:ascii="Calibri" w:hAnsi="Calibri"/>
          <w:sz w:val="22"/>
        </w:rPr>
      </w:pPr>
      <w:r w:rsidRPr="00AF48B1">
        <w:rPr>
          <w:rFonts w:ascii="Calibri" w:hAnsi="Calibri"/>
          <w:sz w:val="22"/>
        </w:rPr>
        <w:lastRenderedPageBreak/>
        <w:t>48. Arnold SV, Masoudi FA, Rumsfeld JS, Li Y, Jones PG, Spertus JA: Derivation and validation of a risk standardization model for benchmarking hospital performance for health-related quality of life outcomes after acute myocardial infarction.</w:t>
      </w:r>
      <w:r w:rsidRPr="00AF48B1">
        <w:rPr>
          <w:rFonts w:ascii="Calibri" w:hAnsi="Calibri"/>
          <w:i/>
          <w:iCs/>
          <w:sz w:val="22"/>
        </w:rPr>
        <w:t xml:space="preserve"> Circulation</w:t>
      </w:r>
      <w:r w:rsidRPr="00AF48B1">
        <w:rPr>
          <w:rFonts w:ascii="Calibri" w:hAnsi="Calibri"/>
          <w:sz w:val="22"/>
        </w:rPr>
        <w:t xml:space="preserve"> 129(3), 313-320 (2014).</w:t>
      </w:r>
    </w:p>
    <w:p w14:paraId="5FF6E423" w14:textId="77777777" w:rsidR="00AF48B1" w:rsidRPr="00AF48B1" w:rsidRDefault="00AF48B1" w:rsidP="00AF48B1">
      <w:pPr>
        <w:pStyle w:val="NormalWeb"/>
        <w:rPr>
          <w:rFonts w:ascii="Calibri" w:hAnsi="Calibri"/>
          <w:sz w:val="22"/>
        </w:rPr>
      </w:pPr>
      <w:r w:rsidRPr="00AF48B1">
        <w:rPr>
          <w:rFonts w:ascii="Calibri" w:hAnsi="Calibri"/>
          <w:sz w:val="22"/>
        </w:rPr>
        <w:t>49. Abdallah MS, Wang K, Magnuson EA</w:t>
      </w:r>
      <w:r w:rsidRPr="00AF48B1">
        <w:rPr>
          <w:rFonts w:ascii="Calibri" w:hAnsi="Calibri"/>
          <w:i/>
          <w:iCs/>
          <w:sz w:val="22"/>
        </w:rPr>
        <w:t xml:space="preserve"> et al.</w:t>
      </w:r>
      <w:r w:rsidRPr="00AF48B1">
        <w:rPr>
          <w:rFonts w:ascii="Calibri" w:hAnsi="Calibri"/>
          <w:sz w:val="22"/>
        </w:rPr>
        <w:t>: Quality of life after PCI vs CABG among patients with diabetes and multivessel coronary artery disease: a randomized clinical trial.</w:t>
      </w:r>
      <w:r w:rsidRPr="00AF48B1">
        <w:rPr>
          <w:rFonts w:ascii="Calibri" w:hAnsi="Calibri"/>
          <w:i/>
          <w:iCs/>
          <w:sz w:val="22"/>
        </w:rPr>
        <w:t xml:space="preserve"> JAMA</w:t>
      </w:r>
      <w:r w:rsidRPr="00AF48B1">
        <w:rPr>
          <w:rFonts w:ascii="Calibri" w:hAnsi="Calibri"/>
          <w:sz w:val="22"/>
        </w:rPr>
        <w:t xml:space="preserve"> 310(15), 1581-1590 (2013).</w:t>
      </w:r>
    </w:p>
    <w:p w14:paraId="1D9B056F" w14:textId="77777777" w:rsidR="00AF48B1" w:rsidRPr="00AF48B1" w:rsidRDefault="00AF48B1" w:rsidP="00AF48B1">
      <w:pPr>
        <w:pStyle w:val="NormalWeb"/>
        <w:rPr>
          <w:rFonts w:ascii="Calibri" w:hAnsi="Calibri"/>
          <w:sz w:val="22"/>
        </w:rPr>
      </w:pPr>
      <w:r w:rsidRPr="00AF48B1">
        <w:rPr>
          <w:rFonts w:ascii="Calibri" w:hAnsi="Calibri"/>
          <w:sz w:val="22"/>
        </w:rPr>
        <w:t>50. Knight CJ, Fox KM: Amlodipine versus diltiazem as additional antianginal treatment to atenolol.</w:t>
      </w:r>
      <w:r w:rsidRPr="00AF48B1">
        <w:rPr>
          <w:rFonts w:ascii="Calibri" w:hAnsi="Calibri"/>
          <w:i/>
          <w:iCs/>
          <w:sz w:val="22"/>
        </w:rPr>
        <w:t xml:space="preserve"> Am. J. Cardiol.</w:t>
      </w:r>
      <w:r w:rsidRPr="00AF48B1">
        <w:rPr>
          <w:rFonts w:ascii="Calibri" w:hAnsi="Calibri"/>
          <w:sz w:val="22"/>
        </w:rPr>
        <w:t xml:space="preserve"> 81(2), 133-136 (1998).</w:t>
      </w:r>
    </w:p>
    <w:p w14:paraId="5F2C2A52" w14:textId="77777777" w:rsidR="00AF48B1" w:rsidRPr="00AF48B1" w:rsidRDefault="00AF48B1" w:rsidP="00AF48B1">
      <w:pPr>
        <w:pStyle w:val="NormalWeb"/>
        <w:rPr>
          <w:rFonts w:ascii="Calibri" w:hAnsi="Calibri"/>
          <w:sz w:val="22"/>
        </w:rPr>
      </w:pPr>
      <w:r w:rsidRPr="00AF48B1">
        <w:rPr>
          <w:rFonts w:ascii="Calibri" w:hAnsi="Calibri"/>
          <w:sz w:val="22"/>
        </w:rPr>
        <w:t>51. Rousseau MF, Pouleur H, Cocco G, Wolff AA: Comparative efficacy of ranolazine versus atenolol for chronic angina pectoris.</w:t>
      </w:r>
      <w:r w:rsidRPr="00AF48B1">
        <w:rPr>
          <w:rFonts w:ascii="Calibri" w:hAnsi="Calibri"/>
          <w:i/>
          <w:iCs/>
          <w:sz w:val="22"/>
        </w:rPr>
        <w:t xml:space="preserve"> Am. J. Cardiol.</w:t>
      </w:r>
      <w:r w:rsidRPr="00AF48B1">
        <w:rPr>
          <w:rFonts w:ascii="Calibri" w:hAnsi="Calibri"/>
          <w:sz w:val="22"/>
        </w:rPr>
        <w:t xml:space="preserve"> 95(3), 311-316 (2005).</w:t>
      </w:r>
    </w:p>
    <w:p w14:paraId="3C607211" w14:textId="77777777" w:rsidR="00AF48B1" w:rsidRPr="00AF48B1" w:rsidRDefault="00AF48B1" w:rsidP="00AF48B1">
      <w:pPr>
        <w:pStyle w:val="NormalWeb"/>
        <w:rPr>
          <w:rFonts w:ascii="Calibri" w:hAnsi="Calibri"/>
          <w:sz w:val="22"/>
        </w:rPr>
      </w:pPr>
      <w:r w:rsidRPr="00AF48B1">
        <w:rPr>
          <w:rFonts w:ascii="Calibri" w:hAnsi="Calibri"/>
          <w:sz w:val="22"/>
        </w:rPr>
        <w:t>52. Tardif J-, Ponikowski P, Kahan T: Efficacy of the If current inhibitor ivabradine in patients with chronic stable angina receiving beta-blocker therapy: A 4-month, randomized, placebo-controlled trial.</w:t>
      </w:r>
      <w:r w:rsidRPr="00AF48B1">
        <w:rPr>
          <w:rFonts w:ascii="Calibri" w:hAnsi="Calibri"/>
          <w:i/>
          <w:iCs/>
          <w:sz w:val="22"/>
        </w:rPr>
        <w:t xml:space="preserve"> Eur. Heart J.</w:t>
      </w:r>
      <w:r w:rsidRPr="00AF48B1">
        <w:rPr>
          <w:rFonts w:ascii="Calibri" w:hAnsi="Calibri"/>
          <w:sz w:val="22"/>
        </w:rPr>
        <w:t xml:space="preserve"> 30(5), 540-548 (2009).</w:t>
      </w:r>
    </w:p>
    <w:p w14:paraId="5B04CDB1" w14:textId="77777777" w:rsidR="00AF48B1" w:rsidRDefault="00AF48B1" w:rsidP="00AF48B1">
      <w:pPr>
        <w:pStyle w:val="NormalWeb"/>
        <w:rPr>
          <w:rFonts w:ascii="Calibri" w:hAnsi="Calibri"/>
          <w:sz w:val="22"/>
        </w:rPr>
      </w:pPr>
      <w:r w:rsidRPr="00AF48B1">
        <w:rPr>
          <w:rFonts w:ascii="Calibri" w:hAnsi="Calibri"/>
          <w:sz w:val="22"/>
        </w:rPr>
        <w:t>53. Senn S: Cross-over Trials in Clinical Research. John Wiley &amp; Sons, Chichester (1993).</w:t>
      </w:r>
    </w:p>
    <w:p w14:paraId="07B656C0" w14:textId="2973A301" w:rsidR="00A4190E" w:rsidRDefault="004B0797" w:rsidP="00AF48B1">
      <w:pPr>
        <w:pStyle w:val="NormalWeb"/>
        <w:rPr>
          <w:rFonts w:ascii="Calibri" w:hAnsi="Calibri"/>
          <w:sz w:val="22"/>
        </w:rPr>
      </w:pPr>
      <w:r>
        <w:rPr>
          <w:rFonts w:ascii="Calibri" w:hAnsi="Calibri"/>
          <w:sz w:val="22"/>
        </w:rPr>
        <w:t>*</w:t>
      </w:r>
      <w:r w:rsidR="00A4190E">
        <w:rPr>
          <w:rFonts w:ascii="Calibri" w:hAnsi="Calibri"/>
          <w:sz w:val="22"/>
        </w:rPr>
        <w:t>*</w:t>
      </w:r>
      <w:r w:rsidR="008951EF">
        <w:rPr>
          <w:rFonts w:ascii="Calibri" w:hAnsi="Calibri"/>
          <w:sz w:val="22"/>
        </w:rPr>
        <w:t xml:space="preserve">this is an </w:t>
      </w:r>
      <w:r w:rsidR="00A4190E">
        <w:rPr>
          <w:rFonts w:ascii="Calibri" w:hAnsi="Calibri"/>
          <w:sz w:val="22"/>
        </w:rPr>
        <w:t>excellent overv</w:t>
      </w:r>
      <w:r w:rsidR="008951EF">
        <w:rPr>
          <w:rFonts w:ascii="Calibri" w:hAnsi="Calibri"/>
          <w:sz w:val="22"/>
        </w:rPr>
        <w:t xml:space="preserve">iew of nitrate-nitirite-nitric </w:t>
      </w:r>
      <w:r w:rsidR="00A4190E">
        <w:rPr>
          <w:rFonts w:ascii="Calibri" w:hAnsi="Calibri"/>
          <w:sz w:val="22"/>
        </w:rPr>
        <w:t>oxide patway and physiology</w:t>
      </w:r>
    </w:p>
    <w:p w14:paraId="7AF5638B" w14:textId="71590BF0" w:rsidR="004B0797" w:rsidRPr="00AF48B1" w:rsidRDefault="00A4190E" w:rsidP="00AF48B1">
      <w:pPr>
        <w:pStyle w:val="NormalWeb"/>
        <w:rPr>
          <w:rFonts w:ascii="Calibri" w:hAnsi="Calibri"/>
          <w:sz w:val="22"/>
        </w:rPr>
      </w:pPr>
      <w:r>
        <w:rPr>
          <w:rFonts w:ascii="Calibri" w:hAnsi="Calibri"/>
          <w:sz w:val="22"/>
        </w:rPr>
        <w:t>*</w:t>
      </w:r>
      <w:r w:rsidR="004B0797">
        <w:rPr>
          <w:rFonts w:ascii="Calibri" w:hAnsi="Calibri"/>
          <w:sz w:val="22"/>
        </w:rPr>
        <w:t xml:space="preserve">articles with considerable interest </w:t>
      </w:r>
    </w:p>
    <w:p w14:paraId="76C263EE" w14:textId="73F9A986" w:rsidR="00E73877" w:rsidRPr="00895872" w:rsidRDefault="00AF48B1" w:rsidP="00AF48B1">
      <w:pPr>
        <w:rPr>
          <w:rFonts w:cs="Arial"/>
        </w:rPr>
      </w:pPr>
      <w:r w:rsidRPr="00AF48B1">
        <w:rPr>
          <w:rFonts w:ascii="Calibri" w:eastAsia="Times New Roman" w:hAnsi="Calibri"/>
        </w:rPr>
        <w:t> </w:t>
      </w:r>
      <w:r w:rsidR="00E73877">
        <w:rPr>
          <w:rFonts w:cs="Arial"/>
        </w:rPr>
        <w:fldChar w:fldCharType="end"/>
      </w:r>
    </w:p>
    <w:sectPr w:rsidR="00E73877" w:rsidRPr="00895872" w:rsidSect="00E756DC">
      <w:footerReference w:type="default" r:id="rId12"/>
      <w:pgSz w:w="11906" w:h="16838"/>
      <w:pgMar w:top="1440" w:right="1440" w:bottom="1440" w:left="1440" w:header="709" w:footer="709" w:gutter="0"/>
      <w:lnNumType w:countBy="1" w:distance="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2A947C" w14:textId="77777777" w:rsidR="00C656ED" w:rsidRDefault="00C656ED" w:rsidP="007C7A49">
      <w:pPr>
        <w:spacing w:after="0" w:line="240" w:lineRule="auto"/>
      </w:pPr>
      <w:r>
        <w:separator/>
      </w:r>
    </w:p>
  </w:endnote>
  <w:endnote w:type="continuationSeparator" w:id="0">
    <w:p w14:paraId="12B930F0" w14:textId="77777777" w:rsidR="00C656ED" w:rsidRDefault="00C656ED" w:rsidP="007C7A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7670244"/>
      <w:docPartObj>
        <w:docPartGallery w:val="Page Numbers (Bottom of Page)"/>
        <w:docPartUnique/>
      </w:docPartObj>
    </w:sdtPr>
    <w:sdtEndPr>
      <w:rPr>
        <w:noProof/>
      </w:rPr>
    </w:sdtEndPr>
    <w:sdtContent>
      <w:p w14:paraId="44653A76" w14:textId="3134F504" w:rsidR="007C7A49" w:rsidRDefault="007C7A49">
        <w:pPr>
          <w:pStyle w:val="Footer"/>
          <w:jc w:val="center"/>
        </w:pPr>
        <w:r>
          <w:fldChar w:fldCharType="begin"/>
        </w:r>
        <w:r>
          <w:instrText xml:space="preserve"> PAGE   \* MERGEFORMAT </w:instrText>
        </w:r>
        <w:r>
          <w:fldChar w:fldCharType="separate"/>
        </w:r>
        <w:r w:rsidR="00E34153">
          <w:rPr>
            <w:noProof/>
          </w:rPr>
          <w:t>19</w:t>
        </w:r>
        <w:r>
          <w:rPr>
            <w:noProof/>
          </w:rPr>
          <w:fldChar w:fldCharType="end"/>
        </w:r>
      </w:p>
    </w:sdtContent>
  </w:sdt>
  <w:p w14:paraId="0FE460FE" w14:textId="77777777" w:rsidR="007C7A49" w:rsidRDefault="007C7A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8984B1" w14:textId="77777777" w:rsidR="00C656ED" w:rsidRDefault="00C656ED" w:rsidP="007C7A49">
      <w:pPr>
        <w:spacing w:after="0" w:line="240" w:lineRule="auto"/>
      </w:pPr>
      <w:r>
        <w:separator/>
      </w:r>
    </w:p>
  </w:footnote>
  <w:footnote w:type="continuationSeparator" w:id="0">
    <w:p w14:paraId="37BCC0E7" w14:textId="77777777" w:rsidR="00C656ED" w:rsidRDefault="00C656ED" w:rsidP="007C7A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10E56"/>
    <w:multiLevelType w:val="hybridMultilevel"/>
    <w:tmpl w:val="AB4AB592"/>
    <w:lvl w:ilvl="0" w:tplc="D684108A">
      <w:start w:val="1"/>
      <w:numFmt w:val="bullet"/>
      <w:lvlText w:val=""/>
      <w:lvlJc w:val="left"/>
      <w:pPr>
        <w:tabs>
          <w:tab w:val="num" w:pos="284"/>
        </w:tabs>
        <w:ind w:left="284" w:hanging="284"/>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
    <w:nsid w:val="056B0400"/>
    <w:multiLevelType w:val="hybridMultilevel"/>
    <w:tmpl w:val="6B10B77C"/>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nsid w:val="059C5E4B"/>
    <w:multiLevelType w:val="hybridMultilevel"/>
    <w:tmpl w:val="37204A52"/>
    <w:lvl w:ilvl="0" w:tplc="7B607466">
      <w:start w:val="1"/>
      <w:numFmt w:val="decimal"/>
      <w:lvlText w:val="%1."/>
      <w:lvlJc w:val="left"/>
      <w:pPr>
        <w:ind w:left="1160" w:hanging="360"/>
      </w:pPr>
    </w:lvl>
    <w:lvl w:ilvl="1" w:tplc="08090019" w:tentative="1">
      <w:start w:val="1"/>
      <w:numFmt w:val="lowerLetter"/>
      <w:lvlText w:val="%2."/>
      <w:lvlJc w:val="left"/>
      <w:pPr>
        <w:ind w:left="1880" w:hanging="360"/>
      </w:pPr>
    </w:lvl>
    <w:lvl w:ilvl="2" w:tplc="0809001B" w:tentative="1">
      <w:start w:val="1"/>
      <w:numFmt w:val="lowerRoman"/>
      <w:lvlText w:val="%3."/>
      <w:lvlJc w:val="right"/>
      <w:pPr>
        <w:ind w:left="2600" w:hanging="180"/>
      </w:pPr>
    </w:lvl>
    <w:lvl w:ilvl="3" w:tplc="0809000F" w:tentative="1">
      <w:start w:val="1"/>
      <w:numFmt w:val="decimal"/>
      <w:lvlText w:val="%4."/>
      <w:lvlJc w:val="left"/>
      <w:pPr>
        <w:ind w:left="3320" w:hanging="360"/>
      </w:pPr>
    </w:lvl>
    <w:lvl w:ilvl="4" w:tplc="08090019" w:tentative="1">
      <w:start w:val="1"/>
      <w:numFmt w:val="lowerLetter"/>
      <w:lvlText w:val="%5."/>
      <w:lvlJc w:val="left"/>
      <w:pPr>
        <w:ind w:left="4040" w:hanging="360"/>
      </w:pPr>
    </w:lvl>
    <w:lvl w:ilvl="5" w:tplc="0809001B" w:tentative="1">
      <w:start w:val="1"/>
      <w:numFmt w:val="lowerRoman"/>
      <w:lvlText w:val="%6."/>
      <w:lvlJc w:val="right"/>
      <w:pPr>
        <w:ind w:left="4760" w:hanging="180"/>
      </w:pPr>
    </w:lvl>
    <w:lvl w:ilvl="6" w:tplc="0809000F" w:tentative="1">
      <w:start w:val="1"/>
      <w:numFmt w:val="decimal"/>
      <w:lvlText w:val="%7."/>
      <w:lvlJc w:val="left"/>
      <w:pPr>
        <w:ind w:left="5480" w:hanging="360"/>
      </w:pPr>
    </w:lvl>
    <w:lvl w:ilvl="7" w:tplc="08090019" w:tentative="1">
      <w:start w:val="1"/>
      <w:numFmt w:val="lowerLetter"/>
      <w:lvlText w:val="%8."/>
      <w:lvlJc w:val="left"/>
      <w:pPr>
        <w:ind w:left="6200" w:hanging="360"/>
      </w:pPr>
    </w:lvl>
    <w:lvl w:ilvl="8" w:tplc="0809001B" w:tentative="1">
      <w:start w:val="1"/>
      <w:numFmt w:val="lowerRoman"/>
      <w:lvlText w:val="%9."/>
      <w:lvlJc w:val="right"/>
      <w:pPr>
        <w:ind w:left="6920" w:hanging="180"/>
      </w:pPr>
    </w:lvl>
  </w:abstractNum>
  <w:abstractNum w:abstractNumId="3">
    <w:nsid w:val="05B76572"/>
    <w:multiLevelType w:val="hybridMultilevel"/>
    <w:tmpl w:val="4B4E5B26"/>
    <w:lvl w:ilvl="0" w:tplc="04090001">
      <w:start w:val="1"/>
      <w:numFmt w:val="bullet"/>
      <w:lvlText w:val=""/>
      <w:lvlJc w:val="left"/>
      <w:pPr>
        <w:ind w:left="750" w:hanging="360"/>
      </w:pPr>
      <w:rPr>
        <w:rFonts w:ascii="Symbol" w:hAnsi="Symbol" w:hint="default"/>
      </w:rPr>
    </w:lvl>
    <w:lvl w:ilvl="1" w:tplc="04090003">
      <w:start w:val="1"/>
      <w:numFmt w:val="bullet"/>
      <w:lvlText w:val="o"/>
      <w:lvlJc w:val="left"/>
      <w:pPr>
        <w:ind w:left="1470" w:hanging="360"/>
      </w:pPr>
      <w:rPr>
        <w:rFonts w:ascii="Courier New" w:hAnsi="Courier New" w:cs="Courier New" w:hint="default"/>
      </w:rPr>
    </w:lvl>
    <w:lvl w:ilvl="2" w:tplc="04090005">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4">
    <w:nsid w:val="05E66AAD"/>
    <w:multiLevelType w:val="hybridMultilevel"/>
    <w:tmpl w:val="76A04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9052B63"/>
    <w:multiLevelType w:val="hybridMultilevel"/>
    <w:tmpl w:val="E962133A"/>
    <w:lvl w:ilvl="0" w:tplc="1C88035A">
      <w:start w:val="1"/>
      <w:numFmt w:val="decimal"/>
      <w:lvlText w:val="%1."/>
      <w:lvlJc w:val="left"/>
      <w:pPr>
        <w:ind w:left="11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C6C4A88"/>
    <w:multiLevelType w:val="hybridMultilevel"/>
    <w:tmpl w:val="1D3AAE5C"/>
    <w:lvl w:ilvl="0" w:tplc="8D406D46">
      <w:start w:val="1"/>
      <w:numFmt w:val="bullet"/>
      <w:lvlText w:val="•"/>
      <w:lvlJc w:val="left"/>
      <w:pPr>
        <w:tabs>
          <w:tab w:val="num" w:pos="720"/>
        </w:tabs>
        <w:ind w:left="720" w:hanging="360"/>
      </w:pPr>
      <w:rPr>
        <w:rFonts w:ascii="Arial" w:hAnsi="Arial" w:hint="default"/>
      </w:rPr>
    </w:lvl>
    <w:lvl w:ilvl="1" w:tplc="8D7098DC" w:tentative="1">
      <w:start w:val="1"/>
      <w:numFmt w:val="bullet"/>
      <w:lvlText w:val="•"/>
      <w:lvlJc w:val="left"/>
      <w:pPr>
        <w:tabs>
          <w:tab w:val="num" w:pos="1440"/>
        </w:tabs>
        <w:ind w:left="1440" w:hanging="360"/>
      </w:pPr>
      <w:rPr>
        <w:rFonts w:ascii="Arial" w:hAnsi="Arial" w:hint="default"/>
      </w:rPr>
    </w:lvl>
    <w:lvl w:ilvl="2" w:tplc="CE5C1A7C" w:tentative="1">
      <w:start w:val="1"/>
      <w:numFmt w:val="bullet"/>
      <w:lvlText w:val="•"/>
      <w:lvlJc w:val="left"/>
      <w:pPr>
        <w:tabs>
          <w:tab w:val="num" w:pos="2160"/>
        </w:tabs>
        <w:ind w:left="2160" w:hanging="360"/>
      </w:pPr>
      <w:rPr>
        <w:rFonts w:ascii="Arial" w:hAnsi="Arial" w:hint="default"/>
      </w:rPr>
    </w:lvl>
    <w:lvl w:ilvl="3" w:tplc="6E8EC19A" w:tentative="1">
      <w:start w:val="1"/>
      <w:numFmt w:val="bullet"/>
      <w:lvlText w:val="•"/>
      <w:lvlJc w:val="left"/>
      <w:pPr>
        <w:tabs>
          <w:tab w:val="num" w:pos="2880"/>
        </w:tabs>
        <w:ind w:left="2880" w:hanging="360"/>
      </w:pPr>
      <w:rPr>
        <w:rFonts w:ascii="Arial" w:hAnsi="Arial" w:hint="default"/>
      </w:rPr>
    </w:lvl>
    <w:lvl w:ilvl="4" w:tplc="E6D4D6C0" w:tentative="1">
      <w:start w:val="1"/>
      <w:numFmt w:val="bullet"/>
      <w:lvlText w:val="•"/>
      <w:lvlJc w:val="left"/>
      <w:pPr>
        <w:tabs>
          <w:tab w:val="num" w:pos="3600"/>
        </w:tabs>
        <w:ind w:left="3600" w:hanging="360"/>
      </w:pPr>
      <w:rPr>
        <w:rFonts w:ascii="Arial" w:hAnsi="Arial" w:hint="default"/>
      </w:rPr>
    </w:lvl>
    <w:lvl w:ilvl="5" w:tplc="18C0E4C2" w:tentative="1">
      <w:start w:val="1"/>
      <w:numFmt w:val="bullet"/>
      <w:lvlText w:val="•"/>
      <w:lvlJc w:val="left"/>
      <w:pPr>
        <w:tabs>
          <w:tab w:val="num" w:pos="4320"/>
        </w:tabs>
        <w:ind w:left="4320" w:hanging="360"/>
      </w:pPr>
      <w:rPr>
        <w:rFonts w:ascii="Arial" w:hAnsi="Arial" w:hint="default"/>
      </w:rPr>
    </w:lvl>
    <w:lvl w:ilvl="6" w:tplc="83FA6E96" w:tentative="1">
      <w:start w:val="1"/>
      <w:numFmt w:val="bullet"/>
      <w:lvlText w:val="•"/>
      <w:lvlJc w:val="left"/>
      <w:pPr>
        <w:tabs>
          <w:tab w:val="num" w:pos="5040"/>
        </w:tabs>
        <w:ind w:left="5040" w:hanging="360"/>
      </w:pPr>
      <w:rPr>
        <w:rFonts w:ascii="Arial" w:hAnsi="Arial" w:hint="default"/>
      </w:rPr>
    </w:lvl>
    <w:lvl w:ilvl="7" w:tplc="DEA4CB16" w:tentative="1">
      <w:start w:val="1"/>
      <w:numFmt w:val="bullet"/>
      <w:lvlText w:val="•"/>
      <w:lvlJc w:val="left"/>
      <w:pPr>
        <w:tabs>
          <w:tab w:val="num" w:pos="5760"/>
        </w:tabs>
        <w:ind w:left="5760" w:hanging="360"/>
      </w:pPr>
      <w:rPr>
        <w:rFonts w:ascii="Arial" w:hAnsi="Arial" w:hint="default"/>
      </w:rPr>
    </w:lvl>
    <w:lvl w:ilvl="8" w:tplc="ABD0E5B6" w:tentative="1">
      <w:start w:val="1"/>
      <w:numFmt w:val="bullet"/>
      <w:lvlText w:val="•"/>
      <w:lvlJc w:val="left"/>
      <w:pPr>
        <w:tabs>
          <w:tab w:val="num" w:pos="6480"/>
        </w:tabs>
        <w:ind w:left="6480" w:hanging="360"/>
      </w:pPr>
      <w:rPr>
        <w:rFonts w:ascii="Arial" w:hAnsi="Arial" w:hint="default"/>
      </w:rPr>
    </w:lvl>
  </w:abstractNum>
  <w:abstractNum w:abstractNumId="7">
    <w:nsid w:val="0EAF0889"/>
    <w:multiLevelType w:val="hybridMultilevel"/>
    <w:tmpl w:val="4E326BA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0F0D060A"/>
    <w:multiLevelType w:val="hybridMultilevel"/>
    <w:tmpl w:val="B2C83FE6"/>
    <w:lvl w:ilvl="0" w:tplc="04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105E2933"/>
    <w:multiLevelType w:val="hybridMultilevel"/>
    <w:tmpl w:val="D390BC62"/>
    <w:lvl w:ilvl="0" w:tplc="AF90B58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16B71E9"/>
    <w:multiLevelType w:val="hybridMultilevel"/>
    <w:tmpl w:val="A44EBBD2"/>
    <w:lvl w:ilvl="0" w:tplc="04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276D3A8C"/>
    <w:multiLevelType w:val="hybridMultilevel"/>
    <w:tmpl w:val="8FE6177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288C4C20"/>
    <w:multiLevelType w:val="hybridMultilevel"/>
    <w:tmpl w:val="327AF96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38001E"/>
    <w:multiLevelType w:val="hybridMultilevel"/>
    <w:tmpl w:val="676E652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2A361156"/>
    <w:multiLevelType w:val="hybridMultilevel"/>
    <w:tmpl w:val="3B7EC6A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2ADF6FDB"/>
    <w:multiLevelType w:val="hybridMultilevel"/>
    <w:tmpl w:val="DEEA7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6A3083"/>
    <w:multiLevelType w:val="hybridMultilevel"/>
    <w:tmpl w:val="93769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B60275"/>
    <w:multiLevelType w:val="hybridMultilevel"/>
    <w:tmpl w:val="011E1F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107F5E"/>
    <w:multiLevelType w:val="hybridMultilevel"/>
    <w:tmpl w:val="FFD2B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EF70E0"/>
    <w:multiLevelType w:val="hybridMultilevel"/>
    <w:tmpl w:val="DAA45F6A"/>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0">
    <w:nsid w:val="363B29F7"/>
    <w:multiLevelType w:val="hybridMultilevel"/>
    <w:tmpl w:val="56A21A88"/>
    <w:lvl w:ilvl="0" w:tplc="30044E3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D702D8E"/>
    <w:multiLevelType w:val="hybridMultilevel"/>
    <w:tmpl w:val="C1A08EB4"/>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2">
    <w:nsid w:val="3DE52BAD"/>
    <w:multiLevelType w:val="hybridMultilevel"/>
    <w:tmpl w:val="0CB4A750"/>
    <w:lvl w:ilvl="0" w:tplc="81783E1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700EAE"/>
    <w:multiLevelType w:val="hybridMultilevel"/>
    <w:tmpl w:val="268C1E48"/>
    <w:lvl w:ilvl="0" w:tplc="ACB299D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14264B"/>
    <w:multiLevelType w:val="multilevel"/>
    <w:tmpl w:val="9D22CD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3C86942"/>
    <w:multiLevelType w:val="hybridMultilevel"/>
    <w:tmpl w:val="555AE69E"/>
    <w:lvl w:ilvl="0" w:tplc="E8AEEE0E">
      <w:start w:val="9"/>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6C21B60"/>
    <w:multiLevelType w:val="hybridMultilevel"/>
    <w:tmpl w:val="AAAABFF2"/>
    <w:lvl w:ilvl="0" w:tplc="04090001">
      <w:start w:val="1"/>
      <w:numFmt w:val="bullet"/>
      <w:lvlText w:val=""/>
      <w:lvlJc w:val="left"/>
      <w:pPr>
        <w:ind w:left="2389" w:hanging="360"/>
      </w:pPr>
      <w:rPr>
        <w:rFonts w:ascii="Symbol" w:hAnsi="Symbol" w:hint="default"/>
      </w:rPr>
    </w:lvl>
    <w:lvl w:ilvl="1" w:tplc="04090003">
      <w:start w:val="1"/>
      <w:numFmt w:val="bullet"/>
      <w:lvlText w:val="o"/>
      <w:lvlJc w:val="left"/>
      <w:pPr>
        <w:ind w:left="3109" w:hanging="360"/>
      </w:pPr>
      <w:rPr>
        <w:rFonts w:ascii="Courier New" w:hAnsi="Courier New" w:cs="Courier New" w:hint="default"/>
      </w:rPr>
    </w:lvl>
    <w:lvl w:ilvl="2" w:tplc="04090005" w:tentative="1">
      <w:start w:val="1"/>
      <w:numFmt w:val="bullet"/>
      <w:lvlText w:val=""/>
      <w:lvlJc w:val="left"/>
      <w:pPr>
        <w:ind w:left="3829" w:hanging="360"/>
      </w:pPr>
      <w:rPr>
        <w:rFonts w:ascii="Wingdings" w:hAnsi="Wingdings" w:hint="default"/>
      </w:rPr>
    </w:lvl>
    <w:lvl w:ilvl="3" w:tplc="04090001" w:tentative="1">
      <w:start w:val="1"/>
      <w:numFmt w:val="bullet"/>
      <w:lvlText w:val=""/>
      <w:lvlJc w:val="left"/>
      <w:pPr>
        <w:ind w:left="4549" w:hanging="360"/>
      </w:pPr>
      <w:rPr>
        <w:rFonts w:ascii="Symbol" w:hAnsi="Symbol" w:hint="default"/>
      </w:rPr>
    </w:lvl>
    <w:lvl w:ilvl="4" w:tplc="04090003" w:tentative="1">
      <w:start w:val="1"/>
      <w:numFmt w:val="bullet"/>
      <w:lvlText w:val="o"/>
      <w:lvlJc w:val="left"/>
      <w:pPr>
        <w:ind w:left="5269" w:hanging="360"/>
      </w:pPr>
      <w:rPr>
        <w:rFonts w:ascii="Courier New" w:hAnsi="Courier New" w:cs="Courier New" w:hint="default"/>
      </w:rPr>
    </w:lvl>
    <w:lvl w:ilvl="5" w:tplc="04090005" w:tentative="1">
      <w:start w:val="1"/>
      <w:numFmt w:val="bullet"/>
      <w:lvlText w:val=""/>
      <w:lvlJc w:val="left"/>
      <w:pPr>
        <w:ind w:left="5989" w:hanging="360"/>
      </w:pPr>
      <w:rPr>
        <w:rFonts w:ascii="Wingdings" w:hAnsi="Wingdings" w:hint="default"/>
      </w:rPr>
    </w:lvl>
    <w:lvl w:ilvl="6" w:tplc="04090001" w:tentative="1">
      <w:start w:val="1"/>
      <w:numFmt w:val="bullet"/>
      <w:lvlText w:val=""/>
      <w:lvlJc w:val="left"/>
      <w:pPr>
        <w:ind w:left="6709" w:hanging="360"/>
      </w:pPr>
      <w:rPr>
        <w:rFonts w:ascii="Symbol" w:hAnsi="Symbol" w:hint="default"/>
      </w:rPr>
    </w:lvl>
    <w:lvl w:ilvl="7" w:tplc="04090003" w:tentative="1">
      <w:start w:val="1"/>
      <w:numFmt w:val="bullet"/>
      <w:lvlText w:val="o"/>
      <w:lvlJc w:val="left"/>
      <w:pPr>
        <w:ind w:left="7429" w:hanging="360"/>
      </w:pPr>
      <w:rPr>
        <w:rFonts w:ascii="Courier New" w:hAnsi="Courier New" w:cs="Courier New" w:hint="default"/>
      </w:rPr>
    </w:lvl>
    <w:lvl w:ilvl="8" w:tplc="04090005" w:tentative="1">
      <w:start w:val="1"/>
      <w:numFmt w:val="bullet"/>
      <w:lvlText w:val=""/>
      <w:lvlJc w:val="left"/>
      <w:pPr>
        <w:ind w:left="8149" w:hanging="360"/>
      </w:pPr>
      <w:rPr>
        <w:rFonts w:ascii="Wingdings" w:hAnsi="Wingdings" w:hint="default"/>
      </w:rPr>
    </w:lvl>
  </w:abstractNum>
  <w:abstractNum w:abstractNumId="27">
    <w:nsid w:val="5A8E5540"/>
    <w:multiLevelType w:val="hybridMultilevel"/>
    <w:tmpl w:val="7D0483C2"/>
    <w:lvl w:ilvl="0" w:tplc="27240BC4">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C697CBD"/>
    <w:multiLevelType w:val="hybridMultilevel"/>
    <w:tmpl w:val="4F7CE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2332F1"/>
    <w:multiLevelType w:val="hybridMultilevel"/>
    <w:tmpl w:val="17DEF882"/>
    <w:lvl w:ilvl="0" w:tplc="93AEEBD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0B972EB"/>
    <w:multiLevelType w:val="hybridMultilevel"/>
    <w:tmpl w:val="D98A41AE"/>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535FC1"/>
    <w:multiLevelType w:val="hybridMultilevel"/>
    <w:tmpl w:val="9A62461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6DA78F1"/>
    <w:multiLevelType w:val="hybridMultilevel"/>
    <w:tmpl w:val="634826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F625A7A"/>
    <w:multiLevelType w:val="hybridMultilevel"/>
    <w:tmpl w:val="8604BDB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3F603A0"/>
    <w:multiLevelType w:val="hybridMultilevel"/>
    <w:tmpl w:val="7A08F4A2"/>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5">
    <w:nsid w:val="75F223CC"/>
    <w:multiLevelType w:val="hybridMultilevel"/>
    <w:tmpl w:val="9FB0AB2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nsid w:val="7BDB548A"/>
    <w:multiLevelType w:val="hybridMultilevel"/>
    <w:tmpl w:val="EB86F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E816759"/>
    <w:multiLevelType w:val="hybridMultilevel"/>
    <w:tmpl w:val="7AAA57D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FC04B7E"/>
    <w:multiLevelType w:val="hybridMultilevel"/>
    <w:tmpl w:val="EB20B3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9"/>
  </w:num>
  <w:num w:numId="3">
    <w:abstractNumId w:val="11"/>
  </w:num>
  <w:num w:numId="4">
    <w:abstractNumId w:val="36"/>
  </w:num>
  <w:num w:numId="5">
    <w:abstractNumId w:val="25"/>
  </w:num>
  <w:num w:numId="6">
    <w:abstractNumId w:val="30"/>
  </w:num>
  <w:num w:numId="7">
    <w:abstractNumId w:val="22"/>
  </w:num>
  <w:num w:numId="8">
    <w:abstractNumId w:val="6"/>
  </w:num>
  <w:num w:numId="9">
    <w:abstractNumId w:val="15"/>
  </w:num>
  <w:num w:numId="10">
    <w:abstractNumId w:val="38"/>
  </w:num>
  <w:num w:numId="11">
    <w:abstractNumId w:val="16"/>
  </w:num>
  <w:num w:numId="12">
    <w:abstractNumId w:val="28"/>
  </w:num>
  <w:num w:numId="13">
    <w:abstractNumId w:val="18"/>
  </w:num>
  <w:num w:numId="14">
    <w:abstractNumId w:val="34"/>
  </w:num>
  <w:num w:numId="15">
    <w:abstractNumId w:val="21"/>
  </w:num>
  <w:num w:numId="16">
    <w:abstractNumId w:val="14"/>
  </w:num>
  <w:num w:numId="17">
    <w:abstractNumId w:val="35"/>
  </w:num>
  <w:num w:numId="18">
    <w:abstractNumId w:val="13"/>
  </w:num>
  <w:num w:numId="19">
    <w:abstractNumId w:val="1"/>
  </w:num>
  <w:num w:numId="20">
    <w:abstractNumId w:val="26"/>
  </w:num>
  <w:num w:numId="21">
    <w:abstractNumId w:val="7"/>
  </w:num>
  <w:num w:numId="22">
    <w:abstractNumId w:val="32"/>
  </w:num>
  <w:num w:numId="23">
    <w:abstractNumId w:val="17"/>
  </w:num>
  <w:num w:numId="24">
    <w:abstractNumId w:val="12"/>
  </w:num>
  <w:num w:numId="25">
    <w:abstractNumId w:val="0"/>
  </w:num>
  <w:num w:numId="26">
    <w:abstractNumId w:val="37"/>
  </w:num>
  <w:num w:numId="27">
    <w:abstractNumId w:val="19"/>
  </w:num>
  <w:num w:numId="28">
    <w:abstractNumId w:val="3"/>
  </w:num>
  <w:num w:numId="29">
    <w:abstractNumId w:val="33"/>
  </w:num>
  <w:num w:numId="30">
    <w:abstractNumId w:val="23"/>
  </w:num>
  <w:num w:numId="31">
    <w:abstractNumId w:val="2"/>
  </w:num>
  <w:num w:numId="32">
    <w:abstractNumId w:val="5"/>
  </w:num>
  <w:num w:numId="33">
    <w:abstractNumId w:val="27"/>
  </w:num>
  <w:num w:numId="34">
    <w:abstractNumId w:val="20"/>
  </w:num>
  <w:num w:numId="35">
    <w:abstractNumId w:val="9"/>
  </w:num>
  <w:num w:numId="36">
    <w:abstractNumId w:val="8"/>
  </w:num>
  <w:num w:numId="37">
    <w:abstractNumId w:val="10"/>
  </w:num>
  <w:num w:numId="38">
    <w:abstractNumId w:val="31"/>
  </w:num>
  <w:num w:numId="39">
    <w:abstractNumId w:val="27"/>
    <w:lvlOverride w:ilvl="0">
      <w:startOverride w:val="1"/>
    </w:lvlOverride>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4986"/>
    <w:rsid w:val="0000506E"/>
    <w:rsid w:val="00010186"/>
    <w:rsid w:val="00011E2F"/>
    <w:rsid w:val="00014B19"/>
    <w:rsid w:val="00016FD6"/>
    <w:rsid w:val="000170E6"/>
    <w:rsid w:val="00017AFC"/>
    <w:rsid w:val="000205A2"/>
    <w:rsid w:val="000232B8"/>
    <w:rsid w:val="00026C01"/>
    <w:rsid w:val="00027C56"/>
    <w:rsid w:val="0003141A"/>
    <w:rsid w:val="00032CF6"/>
    <w:rsid w:val="0004292D"/>
    <w:rsid w:val="00050264"/>
    <w:rsid w:val="0005639B"/>
    <w:rsid w:val="00060E21"/>
    <w:rsid w:val="00061F83"/>
    <w:rsid w:val="00067D24"/>
    <w:rsid w:val="00074301"/>
    <w:rsid w:val="00074F11"/>
    <w:rsid w:val="000760FA"/>
    <w:rsid w:val="000806E5"/>
    <w:rsid w:val="00080CAD"/>
    <w:rsid w:val="00086DEA"/>
    <w:rsid w:val="000948BC"/>
    <w:rsid w:val="000954F8"/>
    <w:rsid w:val="000A0CF8"/>
    <w:rsid w:val="000A23E0"/>
    <w:rsid w:val="000A4725"/>
    <w:rsid w:val="000B19E7"/>
    <w:rsid w:val="000B22CA"/>
    <w:rsid w:val="000B69AF"/>
    <w:rsid w:val="000C222B"/>
    <w:rsid w:val="000C6BFA"/>
    <w:rsid w:val="000C7387"/>
    <w:rsid w:val="000D0BDD"/>
    <w:rsid w:val="000E2C6A"/>
    <w:rsid w:val="000E38E9"/>
    <w:rsid w:val="000F232F"/>
    <w:rsid w:val="000F4210"/>
    <w:rsid w:val="000F526D"/>
    <w:rsid w:val="00117FEE"/>
    <w:rsid w:val="0012497C"/>
    <w:rsid w:val="00125B71"/>
    <w:rsid w:val="001332DA"/>
    <w:rsid w:val="001366B3"/>
    <w:rsid w:val="00137B2E"/>
    <w:rsid w:val="0014218C"/>
    <w:rsid w:val="00142571"/>
    <w:rsid w:val="0014364D"/>
    <w:rsid w:val="0014380A"/>
    <w:rsid w:val="00147846"/>
    <w:rsid w:val="00151010"/>
    <w:rsid w:val="00151FF3"/>
    <w:rsid w:val="001521FE"/>
    <w:rsid w:val="00175182"/>
    <w:rsid w:val="00175E79"/>
    <w:rsid w:val="001773D0"/>
    <w:rsid w:val="0017750A"/>
    <w:rsid w:val="00184DCF"/>
    <w:rsid w:val="001960AB"/>
    <w:rsid w:val="00196189"/>
    <w:rsid w:val="00197BE4"/>
    <w:rsid w:val="001A252A"/>
    <w:rsid w:val="001A329F"/>
    <w:rsid w:val="001A5A02"/>
    <w:rsid w:val="001B2122"/>
    <w:rsid w:val="001B7A20"/>
    <w:rsid w:val="001C0B91"/>
    <w:rsid w:val="001C2F49"/>
    <w:rsid w:val="001C32D5"/>
    <w:rsid w:val="001D6682"/>
    <w:rsid w:val="001E0552"/>
    <w:rsid w:val="001E1905"/>
    <w:rsid w:val="001E1C30"/>
    <w:rsid w:val="001E21D7"/>
    <w:rsid w:val="001E420B"/>
    <w:rsid w:val="001E6F25"/>
    <w:rsid w:val="001E7FF8"/>
    <w:rsid w:val="001F26E0"/>
    <w:rsid w:val="001F3DC5"/>
    <w:rsid w:val="001F63FB"/>
    <w:rsid w:val="00207150"/>
    <w:rsid w:val="0021458A"/>
    <w:rsid w:val="002174B6"/>
    <w:rsid w:val="0021784C"/>
    <w:rsid w:val="00223F7E"/>
    <w:rsid w:val="00224D45"/>
    <w:rsid w:val="00225DB3"/>
    <w:rsid w:val="0023241A"/>
    <w:rsid w:val="00241FF9"/>
    <w:rsid w:val="00250E41"/>
    <w:rsid w:val="002603B8"/>
    <w:rsid w:val="00261296"/>
    <w:rsid w:val="00263FE5"/>
    <w:rsid w:val="00264205"/>
    <w:rsid w:val="002701F7"/>
    <w:rsid w:val="002707D6"/>
    <w:rsid w:val="0027424E"/>
    <w:rsid w:val="00275456"/>
    <w:rsid w:val="00284C99"/>
    <w:rsid w:val="00287363"/>
    <w:rsid w:val="00292612"/>
    <w:rsid w:val="00296090"/>
    <w:rsid w:val="002A1952"/>
    <w:rsid w:val="002A455A"/>
    <w:rsid w:val="002A53C1"/>
    <w:rsid w:val="002A6BB9"/>
    <w:rsid w:val="002A76B1"/>
    <w:rsid w:val="002A793A"/>
    <w:rsid w:val="002B021E"/>
    <w:rsid w:val="002B07BB"/>
    <w:rsid w:val="002C398C"/>
    <w:rsid w:val="002E0DDB"/>
    <w:rsid w:val="002E66AD"/>
    <w:rsid w:val="002E6CB9"/>
    <w:rsid w:val="002F3EFC"/>
    <w:rsid w:val="00300D3A"/>
    <w:rsid w:val="00300F3A"/>
    <w:rsid w:val="0030232E"/>
    <w:rsid w:val="003058FE"/>
    <w:rsid w:val="00307C1D"/>
    <w:rsid w:val="00313D90"/>
    <w:rsid w:val="003145D6"/>
    <w:rsid w:val="00317416"/>
    <w:rsid w:val="00317419"/>
    <w:rsid w:val="00320AA5"/>
    <w:rsid w:val="00323221"/>
    <w:rsid w:val="003260F3"/>
    <w:rsid w:val="00326ECE"/>
    <w:rsid w:val="00330FE7"/>
    <w:rsid w:val="00331532"/>
    <w:rsid w:val="00333CCC"/>
    <w:rsid w:val="00337C5E"/>
    <w:rsid w:val="00343C5F"/>
    <w:rsid w:val="0034468C"/>
    <w:rsid w:val="00346714"/>
    <w:rsid w:val="00354931"/>
    <w:rsid w:val="00354A30"/>
    <w:rsid w:val="00371785"/>
    <w:rsid w:val="003721A8"/>
    <w:rsid w:val="00372AF5"/>
    <w:rsid w:val="00384589"/>
    <w:rsid w:val="003935ED"/>
    <w:rsid w:val="003A0CFD"/>
    <w:rsid w:val="003A612D"/>
    <w:rsid w:val="003A726C"/>
    <w:rsid w:val="003B1EE8"/>
    <w:rsid w:val="003C1FDF"/>
    <w:rsid w:val="003E053A"/>
    <w:rsid w:val="003E1E9B"/>
    <w:rsid w:val="003F77F0"/>
    <w:rsid w:val="00401CA3"/>
    <w:rsid w:val="0041061B"/>
    <w:rsid w:val="00412151"/>
    <w:rsid w:val="00414370"/>
    <w:rsid w:val="0041778B"/>
    <w:rsid w:val="00421DA8"/>
    <w:rsid w:val="004230C3"/>
    <w:rsid w:val="0043233E"/>
    <w:rsid w:val="00437564"/>
    <w:rsid w:val="004417C5"/>
    <w:rsid w:val="004417E9"/>
    <w:rsid w:val="00443943"/>
    <w:rsid w:val="00443C5F"/>
    <w:rsid w:val="004446E8"/>
    <w:rsid w:val="00445288"/>
    <w:rsid w:val="0045007E"/>
    <w:rsid w:val="00450E1C"/>
    <w:rsid w:val="004563FE"/>
    <w:rsid w:val="004607E3"/>
    <w:rsid w:val="00467168"/>
    <w:rsid w:val="004718C1"/>
    <w:rsid w:val="004803CF"/>
    <w:rsid w:val="0048302E"/>
    <w:rsid w:val="00484FD8"/>
    <w:rsid w:val="00491BE7"/>
    <w:rsid w:val="004934A2"/>
    <w:rsid w:val="00497115"/>
    <w:rsid w:val="004A1751"/>
    <w:rsid w:val="004A2193"/>
    <w:rsid w:val="004A4C35"/>
    <w:rsid w:val="004A79D8"/>
    <w:rsid w:val="004B06A2"/>
    <w:rsid w:val="004B0797"/>
    <w:rsid w:val="004B3274"/>
    <w:rsid w:val="004B489D"/>
    <w:rsid w:val="004B7C70"/>
    <w:rsid w:val="004C16AD"/>
    <w:rsid w:val="004C441D"/>
    <w:rsid w:val="004C472F"/>
    <w:rsid w:val="004C505F"/>
    <w:rsid w:val="004D46ED"/>
    <w:rsid w:val="004E22A8"/>
    <w:rsid w:val="004F4561"/>
    <w:rsid w:val="004F7F81"/>
    <w:rsid w:val="00504986"/>
    <w:rsid w:val="00506A3B"/>
    <w:rsid w:val="005074B4"/>
    <w:rsid w:val="00511006"/>
    <w:rsid w:val="0051464D"/>
    <w:rsid w:val="00520919"/>
    <w:rsid w:val="00521F87"/>
    <w:rsid w:val="00527E0B"/>
    <w:rsid w:val="00540C0C"/>
    <w:rsid w:val="0054142A"/>
    <w:rsid w:val="005441E4"/>
    <w:rsid w:val="005454B5"/>
    <w:rsid w:val="00546AA5"/>
    <w:rsid w:val="00555490"/>
    <w:rsid w:val="0055633A"/>
    <w:rsid w:val="00560D90"/>
    <w:rsid w:val="00572D67"/>
    <w:rsid w:val="00575C86"/>
    <w:rsid w:val="0057727A"/>
    <w:rsid w:val="00580247"/>
    <w:rsid w:val="00580973"/>
    <w:rsid w:val="0059529B"/>
    <w:rsid w:val="005A2F4C"/>
    <w:rsid w:val="005A3700"/>
    <w:rsid w:val="005A3A6A"/>
    <w:rsid w:val="005A4CEF"/>
    <w:rsid w:val="005B0F1D"/>
    <w:rsid w:val="005B1168"/>
    <w:rsid w:val="005B3B0A"/>
    <w:rsid w:val="005B7126"/>
    <w:rsid w:val="005C45F1"/>
    <w:rsid w:val="005D0151"/>
    <w:rsid w:val="005D3692"/>
    <w:rsid w:val="005E71EE"/>
    <w:rsid w:val="005F127F"/>
    <w:rsid w:val="005F171A"/>
    <w:rsid w:val="005F3B5C"/>
    <w:rsid w:val="005F7ECE"/>
    <w:rsid w:val="00603A1A"/>
    <w:rsid w:val="00605C81"/>
    <w:rsid w:val="00606B29"/>
    <w:rsid w:val="00614B0B"/>
    <w:rsid w:val="006172F7"/>
    <w:rsid w:val="00617EA7"/>
    <w:rsid w:val="006204D8"/>
    <w:rsid w:val="006210EA"/>
    <w:rsid w:val="00623842"/>
    <w:rsid w:val="006256DE"/>
    <w:rsid w:val="006321EC"/>
    <w:rsid w:val="006324E1"/>
    <w:rsid w:val="00633BF1"/>
    <w:rsid w:val="006350C4"/>
    <w:rsid w:val="0064000E"/>
    <w:rsid w:val="006548CE"/>
    <w:rsid w:val="00656788"/>
    <w:rsid w:val="00661464"/>
    <w:rsid w:val="00661C0E"/>
    <w:rsid w:val="00663345"/>
    <w:rsid w:val="00670849"/>
    <w:rsid w:val="00673739"/>
    <w:rsid w:val="00680D88"/>
    <w:rsid w:val="00680F67"/>
    <w:rsid w:val="00681B77"/>
    <w:rsid w:val="0069191B"/>
    <w:rsid w:val="006949B4"/>
    <w:rsid w:val="006969BA"/>
    <w:rsid w:val="006A6C98"/>
    <w:rsid w:val="006B0B20"/>
    <w:rsid w:val="006C79A2"/>
    <w:rsid w:val="006D1EC5"/>
    <w:rsid w:val="006D25C4"/>
    <w:rsid w:val="006D5527"/>
    <w:rsid w:val="006D6BF2"/>
    <w:rsid w:val="006E6DF7"/>
    <w:rsid w:val="006E76EB"/>
    <w:rsid w:val="006E7F3D"/>
    <w:rsid w:val="006F195C"/>
    <w:rsid w:val="006F7F7C"/>
    <w:rsid w:val="00702835"/>
    <w:rsid w:val="00703A2C"/>
    <w:rsid w:val="00705D9A"/>
    <w:rsid w:val="0071052C"/>
    <w:rsid w:val="00714608"/>
    <w:rsid w:val="0072259D"/>
    <w:rsid w:val="00742FF1"/>
    <w:rsid w:val="00754142"/>
    <w:rsid w:val="00754841"/>
    <w:rsid w:val="00761728"/>
    <w:rsid w:val="00763D2C"/>
    <w:rsid w:val="00767B96"/>
    <w:rsid w:val="007717EA"/>
    <w:rsid w:val="00777F43"/>
    <w:rsid w:val="00784AF3"/>
    <w:rsid w:val="00787247"/>
    <w:rsid w:val="0079161E"/>
    <w:rsid w:val="007923D2"/>
    <w:rsid w:val="007932EE"/>
    <w:rsid w:val="00796776"/>
    <w:rsid w:val="007A1841"/>
    <w:rsid w:val="007B202C"/>
    <w:rsid w:val="007B6403"/>
    <w:rsid w:val="007B7799"/>
    <w:rsid w:val="007C1A26"/>
    <w:rsid w:val="007C1F17"/>
    <w:rsid w:val="007C4C3B"/>
    <w:rsid w:val="007C7A49"/>
    <w:rsid w:val="007D5CF9"/>
    <w:rsid w:val="007E563C"/>
    <w:rsid w:val="007E5FE0"/>
    <w:rsid w:val="007E629B"/>
    <w:rsid w:val="007F03F8"/>
    <w:rsid w:val="007F347D"/>
    <w:rsid w:val="007F57FC"/>
    <w:rsid w:val="007F59D5"/>
    <w:rsid w:val="007F686C"/>
    <w:rsid w:val="008013C7"/>
    <w:rsid w:val="008061AB"/>
    <w:rsid w:val="0080792D"/>
    <w:rsid w:val="008103BD"/>
    <w:rsid w:val="00812522"/>
    <w:rsid w:val="0081669F"/>
    <w:rsid w:val="0081773C"/>
    <w:rsid w:val="00827739"/>
    <w:rsid w:val="00832186"/>
    <w:rsid w:val="0083528D"/>
    <w:rsid w:val="008370DB"/>
    <w:rsid w:val="00843986"/>
    <w:rsid w:val="00845E2E"/>
    <w:rsid w:val="00850710"/>
    <w:rsid w:val="008608D5"/>
    <w:rsid w:val="00861D3D"/>
    <w:rsid w:val="00864462"/>
    <w:rsid w:val="00865E77"/>
    <w:rsid w:val="00870B1C"/>
    <w:rsid w:val="008729BC"/>
    <w:rsid w:val="008835AA"/>
    <w:rsid w:val="00886549"/>
    <w:rsid w:val="00887C1A"/>
    <w:rsid w:val="0089005D"/>
    <w:rsid w:val="0089111D"/>
    <w:rsid w:val="008951EF"/>
    <w:rsid w:val="008954C1"/>
    <w:rsid w:val="00895872"/>
    <w:rsid w:val="008972F6"/>
    <w:rsid w:val="008A32D6"/>
    <w:rsid w:val="008A44AB"/>
    <w:rsid w:val="008B6A35"/>
    <w:rsid w:val="008C5C38"/>
    <w:rsid w:val="008E50CC"/>
    <w:rsid w:val="008F102B"/>
    <w:rsid w:val="008F702A"/>
    <w:rsid w:val="00900D65"/>
    <w:rsid w:val="00902765"/>
    <w:rsid w:val="00902998"/>
    <w:rsid w:val="00915769"/>
    <w:rsid w:val="00916676"/>
    <w:rsid w:val="00917C73"/>
    <w:rsid w:val="00920B88"/>
    <w:rsid w:val="009252F8"/>
    <w:rsid w:val="00935F23"/>
    <w:rsid w:val="0093615C"/>
    <w:rsid w:val="00936D6B"/>
    <w:rsid w:val="009409FF"/>
    <w:rsid w:val="00940CDD"/>
    <w:rsid w:val="00957138"/>
    <w:rsid w:val="009659F6"/>
    <w:rsid w:val="009775B6"/>
    <w:rsid w:val="00983263"/>
    <w:rsid w:val="009841A8"/>
    <w:rsid w:val="00984575"/>
    <w:rsid w:val="00984E03"/>
    <w:rsid w:val="00986A18"/>
    <w:rsid w:val="00987215"/>
    <w:rsid w:val="009874BF"/>
    <w:rsid w:val="009876CA"/>
    <w:rsid w:val="00990DF0"/>
    <w:rsid w:val="00990E61"/>
    <w:rsid w:val="00991DCE"/>
    <w:rsid w:val="0099263F"/>
    <w:rsid w:val="009A5712"/>
    <w:rsid w:val="009C228D"/>
    <w:rsid w:val="009D0EBC"/>
    <w:rsid w:val="009D33C8"/>
    <w:rsid w:val="009D4194"/>
    <w:rsid w:val="009E1A93"/>
    <w:rsid w:val="009E4C6C"/>
    <w:rsid w:val="009F0015"/>
    <w:rsid w:val="009F6238"/>
    <w:rsid w:val="009F6504"/>
    <w:rsid w:val="00A018E0"/>
    <w:rsid w:val="00A03887"/>
    <w:rsid w:val="00A03ED0"/>
    <w:rsid w:val="00A07016"/>
    <w:rsid w:val="00A11FC6"/>
    <w:rsid w:val="00A1330A"/>
    <w:rsid w:val="00A159F6"/>
    <w:rsid w:val="00A16EB7"/>
    <w:rsid w:val="00A2719D"/>
    <w:rsid w:val="00A32C80"/>
    <w:rsid w:val="00A32DED"/>
    <w:rsid w:val="00A4190E"/>
    <w:rsid w:val="00A4206A"/>
    <w:rsid w:val="00A42D5B"/>
    <w:rsid w:val="00A565E5"/>
    <w:rsid w:val="00A571B3"/>
    <w:rsid w:val="00A612CB"/>
    <w:rsid w:val="00A71E5F"/>
    <w:rsid w:val="00A72F5D"/>
    <w:rsid w:val="00A731FD"/>
    <w:rsid w:val="00A7481C"/>
    <w:rsid w:val="00A74AF6"/>
    <w:rsid w:val="00A8198F"/>
    <w:rsid w:val="00A9149F"/>
    <w:rsid w:val="00A93653"/>
    <w:rsid w:val="00A97D67"/>
    <w:rsid w:val="00AA640E"/>
    <w:rsid w:val="00AB0A33"/>
    <w:rsid w:val="00AB2FA7"/>
    <w:rsid w:val="00AB3E90"/>
    <w:rsid w:val="00AB3F4A"/>
    <w:rsid w:val="00AC323B"/>
    <w:rsid w:val="00AD5222"/>
    <w:rsid w:val="00AD5EBE"/>
    <w:rsid w:val="00AD6ACA"/>
    <w:rsid w:val="00AE2EC6"/>
    <w:rsid w:val="00AE43D2"/>
    <w:rsid w:val="00AF012A"/>
    <w:rsid w:val="00AF48B1"/>
    <w:rsid w:val="00AF4EFB"/>
    <w:rsid w:val="00AF79E9"/>
    <w:rsid w:val="00AF7A37"/>
    <w:rsid w:val="00B10B9D"/>
    <w:rsid w:val="00B221B8"/>
    <w:rsid w:val="00B27329"/>
    <w:rsid w:val="00B376F3"/>
    <w:rsid w:val="00B43CB3"/>
    <w:rsid w:val="00B43E60"/>
    <w:rsid w:val="00B46566"/>
    <w:rsid w:val="00B50E0B"/>
    <w:rsid w:val="00B5238F"/>
    <w:rsid w:val="00B54092"/>
    <w:rsid w:val="00B55F9F"/>
    <w:rsid w:val="00B7131A"/>
    <w:rsid w:val="00B73DCB"/>
    <w:rsid w:val="00B77FC0"/>
    <w:rsid w:val="00B81D7D"/>
    <w:rsid w:val="00B87537"/>
    <w:rsid w:val="00B906C7"/>
    <w:rsid w:val="00B90B6A"/>
    <w:rsid w:val="00B93760"/>
    <w:rsid w:val="00B95A15"/>
    <w:rsid w:val="00BA0584"/>
    <w:rsid w:val="00BA4D29"/>
    <w:rsid w:val="00BB305F"/>
    <w:rsid w:val="00BB4F93"/>
    <w:rsid w:val="00BB7309"/>
    <w:rsid w:val="00BB7A1F"/>
    <w:rsid w:val="00BC0E5F"/>
    <w:rsid w:val="00BC0E78"/>
    <w:rsid w:val="00BC2D90"/>
    <w:rsid w:val="00BD20E2"/>
    <w:rsid w:val="00BD688B"/>
    <w:rsid w:val="00BD7F6F"/>
    <w:rsid w:val="00BE1B0E"/>
    <w:rsid w:val="00BE1F37"/>
    <w:rsid w:val="00C12022"/>
    <w:rsid w:val="00C12203"/>
    <w:rsid w:val="00C157D0"/>
    <w:rsid w:val="00C20476"/>
    <w:rsid w:val="00C20F57"/>
    <w:rsid w:val="00C22D14"/>
    <w:rsid w:val="00C23B75"/>
    <w:rsid w:val="00C3018D"/>
    <w:rsid w:val="00C345BD"/>
    <w:rsid w:val="00C373B3"/>
    <w:rsid w:val="00C37B76"/>
    <w:rsid w:val="00C427AF"/>
    <w:rsid w:val="00C45322"/>
    <w:rsid w:val="00C524D8"/>
    <w:rsid w:val="00C52DCA"/>
    <w:rsid w:val="00C656ED"/>
    <w:rsid w:val="00C72E18"/>
    <w:rsid w:val="00C75755"/>
    <w:rsid w:val="00C76896"/>
    <w:rsid w:val="00C82B04"/>
    <w:rsid w:val="00C8393C"/>
    <w:rsid w:val="00C866F9"/>
    <w:rsid w:val="00C94810"/>
    <w:rsid w:val="00C96C27"/>
    <w:rsid w:val="00C9709D"/>
    <w:rsid w:val="00CA5691"/>
    <w:rsid w:val="00CB1597"/>
    <w:rsid w:val="00CC4265"/>
    <w:rsid w:val="00CC438A"/>
    <w:rsid w:val="00CC70DB"/>
    <w:rsid w:val="00CE1467"/>
    <w:rsid w:val="00CE22C1"/>
    <w:rsid w:val="00CF139E"/>
    <w:rsid w:val="00D04BEB"/>
    <w:rsid w:val="00D12110"/>
    <w:rsid w:val="00D17C33"/>
    <w:rsid w:val="00D32F49"/>
    <w:rsid w:val="00D42671"/>
    <w:rsid w:val="00D467FA"/>
    <w:rsid w:val="00D54AF0"/>
    <w:rsid w:val="00D60AFE"/>
    <w:rsid w:val="00D86535"/>
    <w:rsid w:val="00D908CF"/>
    <w:rsid w:val="00DA1DC8"/>
    <w:rsid w:val="00DA7525"/>
    <w:rsid w:val="00DB0334"/>
    <w:rsid w:val="00DB651A"/>
    <w:rsid w:val="00DB7BE4"/>
    <w:rsid w:val="00DC1988"/>
    <w:rsid w:val="00DC39D4"/>
    <w:rsid w:val="00DC3F3D"/>
    <w:rsid w:val="00DD2546"/>
    <w:rsid w:val="00DD5424"/>
    <w:rsid w:val="00DD755B"/>
    <w:rsid w:val="00DE1578"/>
    <w:rsid w:val="00DE26C6"/>
    <w:rsid w:val="00DF134B"/>
    <w:rsid w:val="00DF1DD6"/>
    <w:rsid w:val="00E02944"/>
    <w:rsid w:val="00E0554C"/>
    <w:rsid w:val="00E07F7B"/>
    <w:rsid w:val="00E119D9"/>
    <w:rsid w:val="00E249DD"/>
    <w:rsid w:val="00E25156"/>
    <w:rsid w:val="00E34153"/>
    <w:rsid w:val="00E3636D"/>
    <w:rsid w:val="00E401FC"/>
    <w:rsid w:val="00E427AE"/>
    <w:rsid w:val="00E452F0"/>
    <w:rsid w:val="00E52842"/>
    <w:rsid w:val="00E54CFC"/>
    <w:rsid w:val="00E60A06"/>
    <w:rsid w:val="00E632A6"/>
    <w:rsid w:val="00E648A1"/>
    <w:rsid w:val="00E67FD7"/>
    <w:rsid w:val="00E73877"/>
    <w:rsid w:val="00E756DC"/>
    <w:rsid w:val="00EA60CC"/>
    <w:rsid w:val="00EB3084"/>
    <w:rsid w:val="00EB5CBC"/>
    <w:rsid w:val="00EC5394"/>
    <w:rsid w:val="00ED115D"/>
    <w:rsid w:val="00ED3A34"/>
    <w:rsid w:val="00ED5C8A"/>
    <w:rsid w:val="00ED5E70"/>
    <w:rsid w:val="00ED613E"/>
    <w:rsid w:val="00EE7F81"/>
    <w:rsid w:val="00EF04C0"/>
    <w:rsid w:val="00EF4C78"/>
    <w:rsid w:val="00EF7CFC"/>
    <w:rsid w:val="00F04AE1"/>
    <w:rsid w:val="00F148DD"/>
    <w:rsid w:val="00F2255A"/>
    <w:rsid w:val="00F2568B"/>
    <w:rsid w:val="00F44F8C"/>
    <w:rsid w:val="00F46426"/>
    <w:rsid w:val="00F50A38"/>
    <w:rsid w:val="00F51CE4"/>
    <w:rsid w:val="00F521B5"/>
    <w:rsid w:val="00F5509A"/>
    <w:rsid w:val="00F64F76"/>
    <w:rsid w:val="00F66605"/>
    <w:rsid w:val="00F74FC1"/>
    <w:rsid w:val="00F83D3A"/>
    <w:rsid w:val="00F9082F"/>
    <w:rsid w:val="00F92AAC"/>
    <w:rsid w:val="00F96AE3"/>
    <w:rsid w:val="00FB16C6"/>
    <w:rsid w:val="00FC451A"/>
    <w:rsid w:val="00FE7E68"/>
    <w:rsid w:val="00FF24A7"/>
    <w:rsid w:val="00FF2C5F"/>
    <w:rsid w:val="00FF37D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084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5639B"/>
    <w:pPr>
      <w:keepNext/>
      <w:keepLines/>
      <w:numPr>
        <w:numId w:val="33"/>
      </w:numPr>
      <w:spacing w:before="480" w:after="0" w:line="480" w:lineRule="auto"/>
      <w:outlineLvl w:val="0"/>
    </w:pPr>
    <w:rPr>
      <w:rFonts w:asciiTheme="majorHAnsi" w:eastAsiaTheme="majorEastAsia" w:hAnsiTheme="majorHAnsi" w:cstheme="majorBidi"/>
      <w:b/>
      <w:bCs/>
      <w:sz w:val="28"/>
      <w:szCs w:val="28"/>
      <w:lang w:val="en-US"/>
    </w:rPr>
  </w:style>
  <w:style w:type="paragraph" w:styleId="Heading2">
    <w:name w:val="heading 2"/>
    <w:basedOn w:val="Normal"/>
    <w:next w:val="Normal"/>
    <w:link w:val="Heading2Char"/>
    <w:uiPriority w:val="9"/>
    <w:unhideWhenUsed/>
    <w:qFormat/>
    <w:rsid w:val="0005639B"/>
    <w:pPr>
      <w:keepNext/>
      <w:keepLines/>
      <w:spacing w:before="200" w:after="0" w:line="480" w:lineRule="auto"/>
      <w:outlineLvl w:val="1"/>
    </w:pPr>
    <w:rPr>
      <w:rFonts w:asciiTheme="majorHAnsi" w:eastAsiaTheme="majorEastAsia" w:hAnsiTheme="majorHAnsi" w:cstheme="majorBidi"/>
      <w:b/>
      <w:bCs/>
      <w:color w:val="000000" w:themeColor="text1"/>
      <w:sz w:val="26"/>
      <w:szCs w:val="26"/>
      <w:lang w:val="en-US"/>
    </w:rPr>
  </w:style>
  <w:style w:type="paragraph" w:styleId="Heading3">
    <w:name w:val="heading 3"/>
    <w:basedOn w:val="Normal"/>
    <w:next w:val="Normal"/>
    <w:link w:val="Heading3Char"/>
    <w:uiPriority w:val="9"/>
    <w:unhideWhenUsed/>
    <w:qFormat/>
    <w:rsid w:val="0005639B"/>
    <w:pPr>
      <w:keepNext/>
      <w:keepLines/>
      <w:spacing w:before="200" w:after="0" w:line="480" w:lineRule="auto"/>
      <w:outlineLvl w:val="2"/>
    </w:pPr>
    <w:rPr>
      <w:rFonts w:asciiTheme="majorHAnsi" w:eastAsiaTheme="majorEastAsia" w:hAnsiTheme="majorHAnsi" w:cstheme="majorBidi"/>
      <w:b/>
      <w:bCs/>
      <w:sz w:val="24"/>
      <w:lang w:val="en-US"/>
    </w:rPr>
  </w:style>
  <w:style w:type="paragraph" w:styleId="Heading4">
    <w:name w:val="heading 4"/>
    <w:basedOn w:val="Normal"/>
    <w:next w:val="Normal"/>
    <w:link w:val="Heading4Char"/>
    <w:uiPriority w:val="9"/>
    <w:unhideWhenUsed/>
    <w:qFormat/>
    <w:rsid w:val="0005639B"/>
    <w:pPr>
      <w:keepNext/>
      <w:keepLines/>
      <w:spacing w:before="200" w:after="0" w:line="480" w:lineRule="auto"/>
      <w:outlineLvl w:val="3"/>
    </w:pPr>
    <w:rPr>
      <w:rFonts w:asciiTheme="majorHAnsi" w:eastAsiaTheme="majorEastAsia" w:hAnsiTheme="majorHAnsi" w:cstheme="majorBidi"/>
      <w:b/>
      <w:bCs/>
      <w:i/>
      <w:iCs/>
      <w:color w:val="000000" w:themeColor="text1"/>
      <w:sz w:val="24"/>
      <w:lang w:val="en-US"/>
    </w:rPr>
  </w:style>
  <w:style w:type="paragraph" w:styleId="Heading5">
    <w:name w:val="heading 5"/>
    <w:basedOn w:val="Normal"/>
    <w:next w:val="Normal"/>
    <w:link w:val="Heading5Char"/>
    <w:uiPriority w:val="9"/>
    <w:unhideWhenUsed/>
    <w:qFormat/>
    <w:rsid w:val="0005639B"/>
    <w:pPr>
      <w:keepNext/>
      <w:keepLines/>
      <w:spacing w:before="200" w:after="0" w:line="480" w:lineRule="auto"/>
      <w:outlineLvl w:val="4"/>
    </w:pPr>
    <w:rPr>
      <w:rFonts w:asciiTheme="majorHAnsi" w:eastAsiaTheme="majorEastAsia" w:hAnsiTheme="majorHAnsi" w:cstheme="majorBidi"/>
      <w:color w:val="000000" w:themeColor="text1"/>
      <w:sz w:val="24"/>
      <w:u w:val="single"/>
      <w:lang w:val="en-US"/>
    </w:rPr>
  </w:style>
  <w:style w:type="paragraph" w:styleId="Heading6">
    <w:name w:val="heading 6"/>
    <w:basedOn w:val="Normal"/>
    <w:next w:val="Normal"/>
    <w:link w:val="Heading6Char"/>
    <w:uiPriority w:val="9"/>
    <w:semiHidden/>
    <w:unhideWhenUsed/>
    <w:qFormat/>
    <w:rsid w:val="0005639B"/>
    <w:pPr>
      <w:keepNext/>
      <w:keepLines/>
      <w:spacing w:before="200" w:after="0" w:line="480" w:lineRule="auto"/>
      <w:outlineLvl w:val="5"/>
    </w:pPr>
    <w:rPr>
      <w:rFonts w:asciiTheme="majorHAnsi" w:eastAsiaTheme="majorEastAsia" w:hAnsiTheme="majorHAnsi" w:cstheme="majorBidi"/>
      <w:i/>
      <w:iCs/>
      <w:color w:val="243F60" w:themeColor="accent1" w:themeShade="7F"/>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49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4986"/>
    <w:rPr>
      <w:rFonts w:ascii="Tahoma" w:hAnsi="Tahoma" w:cs="Tahoma"/>
      <w:sz w:val="16"/>
      <w:szCs w:val="16"/>
    </w:rPr>
  </w:style>
  <w:style w:type="character" w:customStyle="1" w:styleId="Heading1Char">
    <w:name w:val="Heading 1 Char"/>
    <w:basedOn w:val="DefaultParagraphFont"/>
    <w:link w:val="Heading1"/>
    <w:uiPriority w:val="9"/>
    <w:rsid w:val="0005639B"/>
    <w:rPr>
      <w:rFonts w:asciiTheme="majorHAnsi" w:eastAsiaTheme="majorEastAsia" w:hAnsiTheme="majorHAnsi" w:cstheme="majorBidi"/>
      <w:b/>
      <w:bCs/>
      <w:sz w:val="28"/>
      <w:szCs w:val="28"/>
      <w:lang w:val="en-US"/>
    </w:rPr>
  </w:style>
  <w:style w:type="character" w:customStyle="1" w:styleId="Heading2Char">
    <w:name w:val="Heading 2 Char"/>
    <w:basedOn w:val="DefaultParagraphFont"/>
    <w:link w:val="Heading2"/>
    <w:uiPriority w:val="9"/>
    <w:rsid w:val="0005639B"/>
    <w:rPr>
      <w:rFonts w:asciiTheme="majorHAnsi" w:eastAsiaTheme="majorEastAsia" w:hAnsiTheme="majorHAnsi" w:cstheme="majorBidi"/>
      <w:b/>
      <w:bCs/>
      <w:color w:val="000000" w:themeColor="text1"/>
      <w:sz w:val="26"/>
      <w:szCs w:val="26"/>
      <w:lang w:val="en-US"/>
    </w:rPr>
  </w:style>
  <w:style w:type="character" w:customStyle="1" w:styleId="Heading3Char">
    <w:name w:val="Heading 3 Char"/>
    <w:basedOn w:val="DefaultParagraphFont"/>
    <w:link w:val="Heading3"/>
    <w:uiPriority w:val="9"/>
    <w:rsid w:val="0005639B"/>
    <w:rPr>
      <w:rFonts w:asciiTheme="majorHAnsi" w:eastAsiaTheme="majorEastAsia" w:hAnsiTheme="majorHAnsi" w:cstheme="majorBidi"/>
      <w:b/>
      <w:bCs/>
      <w:sz w:val="24"/>
      <w:lang w:val="en-US"/>
    </w:rPr>
  </w:style>
  <w:style w:type="character" w:customStyle="1" w:styleId="Heading4Char">
    <w:name w:val="Heading 4 Char"/>
    <w:basedOn w:val="DefaultParagraphFont"/>
    <w:link w:val="Heading4"/>
    <w:uiPriority w:val="9"/>
    <w:rsid w:val="0005639B"/>
    <w:rPr>
      <w:rFonts w:asciiTheme="majorHAnsi" w:eastAsiaTheme="majorEastAsia" w:hAnsiTheme="majorHAnsi" w:cstheme="majorBidi"/>
      <w:b/>
      <w:bCs/>
      <w:i/>
      <w:iCs/>
      <w:color w:val="000000" w:themeColor="text1"/>
      <w:sz w:val="24"/>
      <w:lang w:val="en-US"/>
    </w:rPr>
  </w:style>
  <w:style w:type="character" w:customStyle="1" w:styleId="Heading5Char">
    <w:name w:val="Heading 5 Char"/>
    <w:basedOn w:val="DefaultParagraphFont"/>
    <w:link w:val="Heading5"/>
    <w:uiPriority w:val="9"/>
    <w:rsid w:val="0005639B"/>
    <w:rPr>
      <w:rFonts w:asciiTheme="majorHAnsi" w:eastAsiaTheme="majorEastAsia" w:hAnsiTheme="majorHAnsi" w:cstheme="majorBidi"/>
      <w:color w:val="000000" w:themeColor="text1"/>
      <w:sz w:val="24"/>
      <w:u w:val="single"/>
      <w:lang w:val="en-US"/>
    </w:rPr>
  </w:style>
  <w:style w:type="character" w:customStyle="1" w:styleId="Heading6Char">
    <w:name w:val="Heading 6 Char"/>
    <w:basedOn w:val="DefaultParagraphFont"/>
    <w:link w:val="Heading6"/>
    <w:uiPriority w:val="9"/>
    <w:semiHidden/>
    <w:rsid w:val="0005639B"/>
    <w:rPr>
      <w:rFonts w:asciiTheme="majorHAnsi" w:eastAsiaTheme="majorEastAsia" w:hAnsiTheme="majorHAnsi" w:cstheme="majorBidi"/>
      <w:i/>
      <w:iCs/>
      <w:color w:val="243F60" w:themeColor="accent1" w:themeShade="7F"/>
      <w:sz w:val="24"/>
      <w:lang w:val="en-US"/>
    </w:rPr>
  </w:style>
  <w:style w:type="paragraph" w:styleId="TOC1">
    <w:name w:val="toc 1"/>
    <w:basedOn w:val="Normal"/>
    <w:next w:val="Normal"/>
    <w:autoRedefine/>
    <w:uiPriority w:val="39"/>
    <w:unhideWhenUsed/>
    <w:rsid w:val="0005639B"/>
    <w:pPr>
      <w:tabs>
        <w:tab w:val="right" w:leader="dot" w:pos="9016"/>
      </w:tabs>
      <w:spacing w:after="100" w:line="480" w:lineRule="auto"/>
    </w:pPr>
    <w:rPr>
      <w:rFonts w:eastAsiaTheme="minorEastAsia"/>
      <w:sz w:val="24"/>
      <w:lang w:val="en-US"/>
    </w:rPr>
  </w:style>
  <w:style w:type="paragraph" w:styleId="Title">
    <w:name w:val="Title"/>
    <w:basedOn w:val="Normal"/>
    <w:next w:val="Normal"/>
    <w:link w:val="TitleChar"/>
    <w:uiPriority w:val="10"/>
    <w:qFormat/>
    <w:rsid w:val="0005639B"/>
    <w:pPr>
      <w:pBdr>
        <w:bottom w:val="single" w:sz="8" w:space="4" w:color="4F81BD" w:themeColor="accent1"/>
      </w:pBdr>
      <w:spacing w:after="300" w:line="240" w:lineRule="auto"/>
      <w:contextualSpacing/>
    </w:pPr>
    <w:rPr>
      <w:rFonts w:asciiTheme="majorHAnsi" w:eastAsiaTheme="majorEastAsia" w:hAnsiTheme="majorHAnsi" w:cstheme="majorBidi"/>
      <w:color w:val="000000" w:themeColor="text1"/>
      <w:spacing w:val="5"/>
      <w:kern w:val="28"/>
      <w:sz w:val="40"/>
      <w:szCs w:val="52"/>
      <w:lang w:val="en-US"/>
    </w:rPr>
  </w:style>
  <w:style w:type="character" w:customStyle="1" w:styleId="TitleChar">
    <w:name w:val="Title Char"/>
    <w:basedOn w:val="DefaultParagraphFont"/>
    <w:link w:val="Title"/>
    <w:uiPriority w:val="10"/>
    <w:rsid w:val="0005639B"/>
    <w:rPr>
      <w:rFonts w:asciiTheme="majorHAnsi" w:eastAsiaTheme="majorEastAsia" w:hAnsiTheme="majorHAnsi" w:cstheme="majorBidi"/>
      <w:color w:val="000000" w:themeColor="text1"/>
      <w:spacing w:val="5"/>
      <w:kern w:val="28"/>
      <w:sz w:val="40"/>
      <w:szCs w:val="52"/>
      <w:lang w:val="en-US"/>
    </w:rPr>
  </w:style>
  <w:style w:type="character" w:styleId="CommentReference">
    <w:name w:val="annotation reference"/>
    <w:basedOn w:val="DefaultParagraphFont"/>
    <w:uiPriority w:val="99"/>
    <w:semiHidden/>
    <w:unhideWhenUsed/>
    <w:rsid w:val="0005639B"/>
    <w:rPr>
      <w:sz w:val="16"/>
      <w:szCs w:val="16"/>
    </w:rPr>
  </w:style>
  <w:style w:type="paragraph" w:styleId="CommentText">
    <w:name w:val="annotation text"/>
    <w:basedOn w:val="Normal"/>
    <w:link w:val="CommentTextChar"/>
    <w:uiPriority w:val="99"/>
    <w:semiHidden/>
    <w:unhideWhenUsed/>
    <w:rsid w:val="0005639B"/>
    <w:pPr>
      <w:spacing w:line="240" w:lineRule="auto"/>
    </w:pPr>
    <w:rPr>
      <w:rFonts w:eastAsiaTheme="minorEastAsia"/>
      <w:sz w:val="20"/>
      <w:szCs w:val="20"/>
      <w:lang w:val="en-US"/>
    </w:rPr>
  </w:style>
  <w:style w:type="character" w:customStyle="1" w:styleId="CommentTextChar">
    <w:name w:val="Comment Text Char"/>
    <w:basedOn w:val="DefaultParagraphFont"/>
    <w:link w:val="CommentText"/>
    <w:uiPriority w:val="99"/>
    <w:semiHidden/>
    <w:rsid w:val="0005639B"/>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05639B"/>
    <w:rPr>
      <w:b/>
      <w:bCs/>
    </w:rPr>
  </w:style>
  <w:style w:type="character" w:customStyle="1" w:styleId="CommentSubjectChar">
    <w:name w:val="Comment Subject Char"/>
    <w:basedOn w:val="CommentTextChar"/>
    <w:link w:val="CommentSubject"/>
    <w:uiPriority w:val="99"/>
    <w:semiHidden/>
    <w:rsid w:val="0005639B"/>
    <w:rPr>
      <w:rFonts w:eastAsiaTheme="minorEastAsia"/>
      <w:b/>
      <w:bCs/>
      <w:sz w:val="20"/>
      <w:szCs w:val="20"/>
      <w:lang w:val="en-US"/>
    </w:rPr>
  </w:style>
  <w:style w:type="paragraph" w:styleId="TOC2">
    <w:name w:val="toc 2"/>
    <w:basedOn w:val="Normal"/>
    <w:next w:val="Normal"/>
    <w:autoRedefine/>
    <w:uiPriority w:val="39"/>
    <w:unhideWhenUsed/>
    <w:rsid w:val="0005639B"/>
    <w:pPr>
      <w:tabs>
        <w:tab w:val="right" w:leader="dot" w:pos="9016"/>
      </w:tabs>
      <w:spacing w:after="100" w:line="480" w:lineRule="auto"/>
      <w:ind w:left="426"/>
    </w:pPr>
    <w:rPr>
      <w:rFonts w:eastAsiaTheme="minorEastAsia"/>
      <w:sz w:val="24"/>
      <w:lang w:val="en-US"/>
    </w:rPr>
  </w:style>
  <w:style w:type="paragraph" w:styleId="TOC3">
    <w:name w:val="toc 3"/>
    <w:basedOn w:val="Normal"/>
    <w:next w:val="Normal"/>
    <w:autoRedefine/>
    <w:uiPriority w:val="39"/>
    <w:unhideWhenUsed/>
    <w:rsid w:val="0005639B"/>
    <w:pPr>
      <w:tabs>
        <w:tab w:val="right" w:leader="dot" w:pos="9016"/>
      </w:tabs>
      <w:spacing w:after="100" w:line="480" w:lineRule="auto"/>
      <w:ind w:left="1418"/>
    </w:pPr>
    <w:rPr>
      <w:rFonts w:eastAsiaTheme="minorEastAsia"/>
      <w:sz w:val="24"/>
      <w:lang w:val="en-US"/>
    </w:rPr>
  </w:style>
  <w:style w:type="paragraph" w:styleId="TOC4">
    <w:name w:val="toc 4"/>
    <w:basedOn w:val="Normal"/>
    <w:next w:val="Normal"/>
    <w:autoRedefine/>
    <w:uiPriority w:val="39"/>
    <w:unhideWhenUsed/>
    <w:rsid w:val="0005639B"/>
    <w:pPr>
      <w:tabs>
        <w:tab w:val="right" w:leader="dot" w:pos="9016"/>
      </w:tabs>
      <w:spacing w:after="100" w:line="480" w:lineRule="auto"/>
      <w:ind w:left="1843" w:hanging="425"/>
    </w:pPr>
    <w:rPr>
      <w:rFonts w:eastAsiaTheme="minorEastAsia"/>
      <w:sz w:val="24"/>
      <w:lang w:val="en-US"/>
    </w:rPr>
  </w:style>
  <w:style w:type="paragraph" w:styleId="Header">
    <w:name w:val="header"/>
    <w:basedOn w:val="Normal"/>
    <w:link w:val="HeaderChar"/>
    <w:uiPriority w:val="99"/>
    <w:unhideWhenUsed/>
    <w:rsid w:val="0005639B"/>
    <w:pPr>
      <w:tabs>
        <w:tab w:val="center" w:pos="4513"/>
        <w:tab w:val="right" w:pos="9026"/>
      </w:tabs>
      <w:spacing w:after="0" w:line="240" w:lineRule="auto"/>
    </w:pPr>
    <w:rPr>
      <w:rFonts w:eastAsiaTheme="minorEastAsia"/>
      <w:sz w:val="24"/>
      <w:lang w:val="en-US"/>
    </w:rPr>
  </w:style>
  <w:style w:type="character" w:customStyle="1" w:styleId="HeaderChar">
    <w:name w:val="Header Char"/>
    <w:basedOn w:val="DefaultParagraphFont"/>
    <w:link w:val="Header"/>
    <w:uiPriority w:val="99"/>
    <w:rsid w:val="0005639B"/>
    <w:rPr>
      <w:rFonts w:eastAsiaTheme="minorEastAsia"/>
      <w:sz w:val="24"/>
      <w:lang w:val="en-US"/>
    </w:rPr>
  </w:style>
  <w:style w:type="paragraph" w:styleId="Footer">
    <w:name w:val="footer"/>
    <w:basedOn w:val="Normal"/>
    <w:link w:val="FooterChar"/>
    <w:uiPriority w:val="99"/>
    <w:unhideWhenUsed/>
    <w:rsid w:val="0005639B"/>
    <w:pPr>
      <w:tabs>
        <w:tab w:val="center" w:pos="4513"/>
        <w:tab w:val="right" w:pos="9026"/>
      </w:tabs>
      <w:spacing w:after="0" w:line="240" w:lineRule="auto"/>
    </w:pPr>
    <w:rPr>
      <w:rFonts w:eastAsiaTheme="minorEastAsia"/>
      <w:sz w:val="24"/>
      <w:lang w:val="en-US"/>
    </w:rPr>
  </w:style>
  <w:style w:type="character" w:customStyle="1" w:styleId="FooterChar">
    <w:name w:val="Footer Char"/>
    <w:basedOn w:val="DefaultParagraphFont"/>
    <w:link w:val="Footer"/>
    <w:uiPriority w:val="99"/>
    <w:rsid w:val="0005639B"/>
    <w:rPr>
      <w:rFonts w:eastAsiaTheme="minorEastAsia"/>
      <w:sz w:val="24"/>
      <w:lang w:val="en-US"/>
    </w:rPr>
  </w:style>
  <w:style w:type="paragraph" w:styleId="ListParagraph">
    <w:name w:val="List Paragraph"/>
    <w:basedOn w:val="Normal"/>
    <w:uiPriority w:val="34"/>
    <w:qFormat/>
    <w:rsid w:val="0005639B"/>
    <w:pPr>
      <w:spacing w:line="480" w:lineRule="auto"/>
      <w:ind w:left="720"/>
      <w:contextualSpacing/>
    </w:pPr>
    <w:rPr>
      <w:sz w:val="24"/>
      <w:lang w:val="en-US"/>
    </w:rPr>
  </w:style>
  <w:style w:type="paragraph" w:styleId="NormalWeb">
    <w:name w:val="Normal (Web)"/>
    <w:basedOn w:val="Normal"/>
    <w:uiPriority w:val="99"/>
    <w:unhideWhenUsed/>
    <w:rsid w:val="0005639B"/>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styleId="PlaceholderText">
    <w:name w:val="Placeholder Text"/>
    <w:basedOn w:val="DefaultParagraphFont"/>
    <w:uiPriority w:val="99"/>
    <w:semiHidden/>
    <w:rsid w:val="0005639B"/>
    <w:rPr>
      <w:color w:val="808080"/>
    </w:rPr>
  </w:style>
  <w:style w:type="character" w:styleId="Hyperlink">
    <w:name w:val="Hyperlink"/>
    <w:basedOn w:val="DefaultParagraphFont"/>
    <w:uiPriority w:val="99"/>
    <w:semiHidden/>
    <w:unhideWhenUsed/>
    <w:rsid w:val="0005639B"/>
    <w:rPr>
      <w:color w:val="0000FF"/>
      <w:u w:val="single"/>
    </w:rPr>
  </w:style>
  <w:style w:type="table" w:styleId="TableGrid">
    <w:name w:val="Table Grid"/>
    <w:basedOn w:val="TableNormal"/>
    <w:uiPriority w:val="59"/>
    <w:rsid w:val="0005639B"/>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unhideWhenUsed/>
    <w:rsid w:val="0005639B"/>
    <w:pPr>
      <w:tabs>
        <w:tab w:val="right" w:leader="dot" w:pos="9016"/>
      </w:tabs>
      <w:spacing w:after="100" w:line="480" w:lineRule="auto"/>
      <w:ind w:left="1418"/>
    </w:pPr>
    <w:rPr>
      <w:rFonts w:eastAsiaTheme="minorEastAsia"/>
      <w:sz w:val="24"/>
      <w:lang w:val="en-US"/>
    </w:rPr>
  </w:style>
  <w:style w:type="table" w:customStyle="1" w:styleId="TableGrid1">
    <w:name w:val="Table Grid1"/>
    <w:basedOn w:val="TableNormal"/>
    <w:next w:val="TableGrid"/>
    <w:uiPriority w:val="59"/>
    <w:rsid w:val="0005639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E756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5639B"/>
    <w:pPr>
      <w:keepNext/>
      <w:keepLines/>
      <w:numPr>
        <w:numId w:val="33"/>
      </w:numPr>
      <w:spacing w:before="480" w:after="0" w:line="480" w:lineRule="auto"/>
      <w:outlineLvl w:val="0"/>
    </w:pPr>
    <w:rPr>
      <w:rFonts w:asciiTheme="majorHAnsi" w:eastAsiaTheme="majorEastAsia" w:hAnsiTheme="majorHAnsi" w:cstheme="majorBidi"/>
      <w:b/>
      <w:bCs/>
      <w:sz w:val="28"/>
      <w:szCs w:val="28"/>
      <w:lang w:val="en-US"/>
    </w:rPr>
  </w:style>
  <w:style w:type="paragraph" w:styleId="Heading2">
    <w:name w:val="heading 2"/>
    <w:basedOn w:val="Normal"/>
    <w:next w:val="Normal"/>
    <w:link w:val="Heading2Char"/>
    <w:uiPriority w:val="9"/>
    <w:unhideWhenUsed/>
    <w:qFormat/>
    <w:rsid w:val="0005639B"/>
    <w:pPr>
      <w:keepNext/>
      <w:keepLines/>
      <w:spacing w:before="200" w:after="0" w:line="480" w:lineRule="auto"/>
      <w:outlineLvl w:val="1"/>
    </w:pPr>
    <w:rPr>
      <w:rFonts w:asciiTheme="majorHAnsi" w:eastAsiaTheme="majorEastAsia" w:hAnsiTheme="majorHAnsi" w:cstheme="majorBidi"/>
      <w:b/>
      <w:bCs/>
      <w:color w:val="000000" w:themeColor="text1"/>
      <w:sz w:val="26"/>
      <w:szCs w:val="26"/>
      <w:lang w:val="en-US"/>
    </w:rPr>
  </w:style>
  <w:style w:type="paragraph" w:styleId="Heading3">
    <w:name w:val="heading 3"/>
    <w:basedOn w:val="Normal"/>
    <w:next w:val="Normal"/>
    <w:link w:val="Heading3Char"/>
    <w:uiPriority w:val="9"/>
    <w:unhideWhenUsed/>
    <w:qFormat/>
    <w:rsid w:val="0005639B"/>
    <w:pPr>
      <w:keepNext/>
      <w:keepLines/>
      <w:spacing w:before="200" w:after="0" w:line="480" w:lineRule="auto"/>
      <w:outlineLvl w:val="2"/>
    </w:pPr>
    <w:rPr>
      <w:rFonts w:asciiTheme="majorHAnsi" w:eastAsiaTheme="majorEastAsia" w:hAnsiTheme="majorHAnsi" w:cstheme="majorBidi"/>
      <w:b/>
      <w:bCs/>
      <w:sz w:val="24"/>
      <w:lang w:val="en-US"/>
    </w:rPr>
  </w:style>
  <w:style w:type="paragraph" w:styleId="Heading4">
    <w:name w:val="heading 4"/>
    <w:basedOn w:val="Normal"/>
    <w:next w:val="Normal"/>
    <w:link w:val="Heading4Char"/>
    <w:uiPriority w:val="9"/>
    <w:unhideWhenUsed/>
    <w:qFormat/>
    <w:rsid w:val="0005639B"/>
    <w:pPr>
      <w:keepNext/>
      <w:keepLines/>
      <w:spacing w:before="200" w:after="0" w:line="480" w:lineRule="auto"/>
      <w:outlineLvl w:val="3"/>
    </w:pPr>
    <w:rPr>
      <w:rFonts w:asciiTheme="majorHAnsi" w:eastAsiaTheme="majorEastAsia" w:hAnsiTheme="majorHAnsi" w:cstheme="majorBidi"/>
      <w:b/>
      <w:bCs/>
      <w:i/>
      <w:iCs/>
      <w:color w:val="000000" w:themeColor="text1"/>
      <w:sz w:val="24"/>
      <w:lang w:val="en-US"/>
    </w:rPr>
  </w:style>
  <w:style w:type="paragraph" w:styleId="Heading5">
    <w:name w:val="heading 5"/>
    <w:basedOn w:val="Normal"/>
    <w:next w:val="Normal"/>
    <w:link w:val="Heading5Char"/>
    <w:uiPriority w:val="9"/>
    <w:unhideWhenUsed/>
    <w:qFormat/>
    <w:rsid w:val="0005639B"/>
    <w:pPr>
      <w:keepNext/>
      <w:keepLines/>
      <w:spacing w:before="200" w:after="0" w:line="480" w:lineRule="auto"/>
      <w:outlineLvl w:val="4"/>
    </w:pPr>
    <w:rPr>
      <w:rFonts w:asciiTheme="majorHAnsi" w:eastAsiaTheme="majorEastAsia" w:hAnsiTheme="majorHAnsi" w:cstheme="majorBidi"/>
      <w:color w:val="000000" w:themeColor="text1"/>
      <w:sz w:val="24"/>
      <w:u w:val="single"/>
      <w:lang w:val="en-US"/>
    </w:rPr>
  </w:style>
  <w:style w:type="paragraph" w:styleId="Heading6">
    <w:name w:val="heading 6"/>
    <w:basedOn w:val="Normal"/>
    <w:next w:val="Normal"/>
    <w:link w:val="Heading6Char"/>
    <w:uiPriority w:val="9"/>
    <w:semiHidden/>
    <w:unhideWhenUsed/>
    <w:qFormat/>
    <w:rsid w:val="0005639B"/>
    <w:pPr>
      <w:keepNext/>
      <w:keepLines/>
      <w:spacing w:before="200" w:after="0" w:line="480" w:lineRule="auto"/>
      <w:outlineLvl w:val="5"/>
    </w:pPr>
    <w:rPr>
      <w:rFonts w:asciiTheme="majorHAnsi" w:eastAsiaTheme="majorEastAsia" w:hAnsiTheme="majorHAnsi" w:cstheme="majorBidi"/>
      <w:i/>
      <w:iCs/>
      <w:color w:val="243F60" w:themeColor="accent1" w:themeShade="7F"/>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49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4986"/>
    <w:rPr>
      <w:rFonts w:ascii="Tahoma" w:hAnsi="Tahoma" w:cs="Tahoma"/>
      <w:sz w:val="16"/>
      <w:szCs w:val="16"/>
    </w:rPr>
  </w:style>
  <w:style w:type="character" w:customStyle="1" w:styleId="Heading1Char">
    <w:name w:val="Heading 1 Char"/>
    <w:basedOn w:val="DefaultParagraphFont"/>
    <w:link w:val="Heading1"/>
    <w:uiPriority w:val="9"/>
    <w:rsid w:val="0005639B"/>
    <w:rPr>
      <w:rFonts w:asciiTheme="majorHAnsi" w:eastAsiaTheme="majorEastAsia" w:hAnsiTheme="majorHAnsi" w:cstheme="majorBidi"/>
      <w:b/>
      <w:bCs/>
      <w:sz w:val="28"/>
      <w:szCs w:val="28"/>
      <w:lang w:val="en-US"/>
    </w:rPr>
  </w:style>
  <w:style w:type="character" w:customStyle="1" w:styleId="Heading2Char">
    <w:name w:val="Heading 2 Char"/>
    <w:basedOn w:val="DefaultParagraphFont"/>
    <w:link w:val="Heading2"/>
    <w:uiPriority w:val="9"/>
    <w:rsid w:val="0005639B"/>
    <w:rPr>
      <w:rFonts w:asciiTheme="majorHAnsi" w:eastAsiaTheme="majorEastAsia" w:hAnsiTheme="majorHAnsi" w:cstheme="majorBidi"/>
      <w:b/>
      <w:bCs/>
      <w:color w:val="000000" w:themeColor="text1"/>
      <w:sz w:val="26"/>
      <w:szCs w:val="26"/>
      <w:lang w:val="en-US"/>
    </w:rPr>
  </w:style>
  <w:style w:type="character" w:customStyle="1" w:styleId="Heading3Char">
    <w:name w:val="Heading 3 Char"/>
    <w:basedOn w:val="DefaultParagraphFont"/>
    <w:link w:val="Heading3"/>
    <w:uiPriority w:val="9"/>
    <w:rsid w:val="0005639B"/>
    <w:rPr>
      <w:rFonts w:asciiTheme="majorHAnsi" w:eastAsiaTheme="majorEastAsia" w:hAnsiTheme="majorHAnsi" w:cstheme="majorBidi"/>
      <w:b/>
      <w:bCs/>
      <w:sz w:val="24"/>
      <w:lang w:val="en-US"/>
    </w:rPr>
  </w:style>
  <w:style w:type="character" w:customStyle="1" w:styleId="Heading4Char">
    <w:name w:val="Heading 4 Char"/>
    <w:basedOn w:val="DefaultParagraphFont"/>
    <w:link w:val="Heading4"/>
    <w:uiPriority w:val="9"/>
    <w:rsid w:val="0005639B"/>
    <w:rPr>
      <w:rFonts w:asciiTheme="majorHAnsi" w:eastAsiaTheme="majorEastAsia" w:hAnsiTheme="majorHAnsi" w:cstheme="majorBidi"/>
      <w:b/>
      <w:bCs/>
      <w:i/>
      <w:iCs/>
      <w:color w:val="000000" w:themeColor="text1"/>
      <w:sz w:val="24"/>
      <w:lang w:val="en-US"/>
    </w:rPr>
  </w:style>
  <w:style w:type="character" w:customStyle="1" w:styleId="Heading5Char">
    <w:name w:val="Heading 5 Char"/>
    <w:basedOn w:val="DefaultParagraphFont"/>
    <w:link w:val="Heading5"/>
    <w:uiPriority w:val="9"/>
    <w:rsid w:val="0005639B"/>
    <w:rPr>
      <w:rFonts w:asciiTheme="majorHAnsi" w:eastAsiaTheme="majorEastAsia" w:hAnsiTheme="majorHAnsi" w:cstheme="majorBidi"/>
      <w:color w:val="000000" w:themeColor="text1"/>
      <w:sz w:val="24"/>
      <w:u w:val="single"/>
      <w:lang w:val="en-US"/>
    </w:rPr>
  </w:style>
  <w:style w:type="character" w:customStyle="1" w:styleId="Heading6Char">
    <w:name w:val="Heading 6 Char"/>
    <w:basedOn w:val="DefaultParagraphFont"/>
    <w:link w:val="Heading6"/>
    <w:uiPriority w:val="9"/>
    <w:semiHidden/>
    <w:rsid w:val="0005639B"/>
    <w:rPr>
      <w:rFonts w:asciiTheme="majorHAnsi" w:eastAsiaTheme="majorEastAsia" w:hAnsiTheme="majorHAnsi" w:cstheme="majorBidi"/>
      <w:i/>
      <w:iCs/>
      <w:color w:val="243F60" w:themeColor="accent1" w:themeShade="7F"/>
      <w:sz w:val="24"/>
      <w:lang w:val="en-US"/>
    </w:rPr>
  </w:style>
  <w:style w:type="paragraph" w:styleId="TOC1">
    <w:name w:val="toc 1"/>
    <w:basedOn w:val="Normal"/>
    <w:next w:val="Normal"/>
    <w:autoRedefine/>
    <w:uiPriority w:val="39"/>
    <w:unhideWhenUsed/>
    <w:rsid w:val="0005639B"/>
    <w:pPr>
      <w:tabs>
        <w:tab w:val="right" w:leader="dot" w:pos="9016"/>
      </w:tabs>
      <w:spacing w:after="100" w:line="480" w:lineRule="auto"/>
    </w:pPr>
    <w:rPr>
      <w:rFonts w:eastAsiaTheme="minorEastAsia"/>
      <w:sz w:val="24"/>
      <w:lang w:val="en-US"/>
    </w:rPr>
  </w:style>
  <w:style w:type="paragraph" w:styleId="Title">
    <w:name w:val="Title"/>
    <w:basedOn w:val="Normal"/>
    <w:next w:val="Normal"/>
    <w:link w:val="TitleChar"/>
    <w:uiPriority w:val="10"/>
    <w:qFormat/>
    <w:rsid w:val="0005639B"/>
    <w:pPr>
      <w:pBdr>
        <w:bottom w:val="single" w:sz="8" w:space="4" w:color="4F81BD" w:themeColor="accent1"/>
      </w:pBdr>
      <w:spacing w:after="300" w:line="240" w:lineRule="auto"/>
      <w:contextualSpacing/>
    </w:pPr>
    <w:rPr>
      <w:rFonts w:asciiTheme="majorHAnsi" w:eastAsiaTheme="majorEastAsia" w:hAnsiTheme="majorHAnsi" w:cstheme="majorBidi"/>
      <w:color w:val="000000" w:themeColor="text1"/>
      <w:spacing w:val="5"/>
      <w:kern w:val="28"/>
      <w:sz w:val="40"/>
      <w:szCs w:val="52"/>
      <w:lang w:val="en-US"/>
    </w:rPr>
  </w:style>
  <w:style w:type="character" w:customStyle="1" w:styleId="TitleChar">
    <w:name w:val="Title Char"/>
    <w:basedOn w:val="DefaultParagraphFont"/>
    <w:link w:val="Title"/>
    <w:uiPriority w:val="10"/>
    <w:rsid w:val="0005639B"/>
    <w:rPr>
      <w:rFonts w:asciiTheme="majorHAnsi" w:eastAsiaTheme="majorEastAsia" w:hAnsiTheme="majorHAnsi" w:cstheme="majorBidi"/>
      <w:color w:val="000000" w:themeColor="text1"/>
      <w:spacing w:val="5"/>
      <w:kern w:val="28"/>
      <w:sz w:val="40"/>
      <w:szCs w:val="52"/>
      <w:lang w:val="en-US"/>
    </w:rPr>
  </w:style>
  <w:style w:type="character" w:styleId="CommentReference">
    <w:name w:val="annotation reference"/>
    <w:basedOn w:val="DefaultParagraphFont"/>
    <w:uiPriority w:val="99"/>
    <w:semiHidden/>
    <w:unhideWhenUsed/>
    <w:rsid w:val="0005639B"/>
    <w:rPr>
      <w:sz w:val="16"/>
      <w:szCs w:val="16"/>
    </w:rPr>
  </w:style>
  <w:style w:type="paragraph" w:styleId="CommentText">
    <w:name w:val="annotation text"/>
    <w:basedOn w:val="Normal"/>
    <w:link w:val="CommentTextChar"/>
    <w:uiPriority w:val="99"/>
    <w:semiHidden/>
    <w:unhideWhenUsed/>
    <w:rsid w:val="0005639B"/>
    <w:pPr>
      <w:spacing w:line="240" w:lineRule="auto"/>
    </w:pPr>
    <w:rPr>
      <w:rFonts w:eastAsiaTheme="minorEastAsia"/>
      <w:sz w:val="20"/>
      <w:szCs w:val="20"/>
      <w:lang w:val="en-US"/>
    </w:rPr>
  </w:style>
  <w:style w:type="character" w:customStyle="1" w:styleId="CommentTextChar">
    <w:name w:val="Comment Text Char"/>
    <w:basedOn w:val="DefaultParagraphFont"/>
    <w:link w:val="CommentText"/>
    <w:uiPriority w:val="99"/>
    <w:semiHidden/>
    <w:rsid w:val="0005639B"/>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05639B"/>
    <w:rPr>
      <w:b/>
      <w:bCs/>
    </w:rPr>
  </w:style>
  <w:style w:type="character" w:customStyle="1" w:styleId="CommentSubjectChar">
    <w:name w:val="Comment Subject Char"/>
    <w:basedOn w:val="CommentTextChar"/>
    <w:link w:val="CommentSubject"/>
    <w:uiPriority w:val="99"/>
    <w:semiHidden/>
    <w:rsid w:val="0005639B"/>
    <w:rPr>
      <w:rFonts w:eastAsiaTheme="minorEastAsia"/>
      <w:b/>
      <w:bCs/>
      <w:sz w:val="20"/>
      <w:szCs w:val="20"/>
      <w:lang w:val="en-US"/>
    </w:rPr>
  </w:style>
  <w:style w:type="paragraph" w:styleId="TOC2">
    <w:name w:val="toc 2"/>
    <w:basedOn w:val="Normal"/>
    <w:next w:val="Normal"/>
    <w:autoRedefine/>
    <w:uiPriority w:val="39"/>
    <w:unhideWhenUsed/>
    <w:rsid w:val="0005639B"/>
    <w:pPr>
      <w:tabs>
        <w:tab w:val="right" w:leader="dot" w:pos="9016"/>
      </w:tabs>
      <w:spacing w:after="100" w:line="480" w:lineRule="auto"/>
      <w:ind w:left="426"/>
    </w:pPr>
    <w:rPr>
      <w:rFonts w:eastAsiaTheme="minorEastAsia"/>
      <w:sz w:val="24"/>
      <w:lang w:val="en-US"/>
    </w:rPr>
  </w:style>
  <w:style w:type="paragraph" w:styleId="TOC3">
    <w:name w:val="toc 3"/>
    <w:basedOn w:val="Normal"/>
    <w:next w:val="Normal"/>
    <w:autoRedefine/>
    <w:uiPriority w:val="39"/>
    <w:unhideWhenUsed/>
    <w:rsid w:val="0005639B"/>
    <w:pPr>
      <w:tabs>
        <w:tab w:val="right" w:leader="dot" w:pos="9016"/>
      </w:tabs>
      <w:spacing w:after="100" w:line="480" w:lineRule="auto"/>
      <w:ind w:left="1418"/>
    </w:pPr>
    <w:rPr>
      <w:rFonts w:eastAsiaTheme="minorEastAsia"/>
      <w:sz w:val="24"/>
      <w:lang w:val="en-US"/>
    </w:rPr>
  </w:style>
  <w:style w:type="paragraph" w:styleId="TOC4">
    <w:name w:val="toc 4"/>
    <w:basedOn w:val="Normal"/>
    <w:next w:val="Normal"/>
    <w:autoRedefine/>
    <w:uiPriority w:val="39"/>
    <w:unhideWhenUsed/>
    <w:rsid w:val="0005639B"/>
    <w:pPr>
      <w:tabs>
        <w:tab w:val="right" w:leader="dot" w:pos="9016"/>
      </w:tabs>
      <w:spacing w:after="100" w:line="480" w:lineRule="auto"/>
      <w:ind w:left="1843" w:hanging="425"/>
    </w:pPr>
    <w:rPr>
      <w:rFonts w:eastAsiaTheme="minorEastAsia"/>
      <w:sz w:val="24"/>
      <w:lang w:val="en-US"/>
    </w:rPr>
  </w:style>
  <w:style w:type="paragraph" w:styleId="Header">
    <w:name w:val="header"/>
    <w:basedOn w:val="Normal"/>
    <w:link w:val="HeaderChar"/>
    <w:uiPriority w:val="99"/>
    <w:unhideWhenUsed/>
    <w:rsid w:val="0005639B"/>
    <w:pPr>
      <w:tabs>
        <w:tab w:val="center" w:pos="4513"/>
        <w:tab w:val="right" w:pos="9026"/>
      </w:tabs>
      <w:spacing w:after="0" w:line="240" w:lineRule="auto"/>
    </w:pPr>
    <w:rPr>
      <w:rFonts w:eastAsiaTheme="minorEastAsia"/>
      <w:sz w:val="24"/>
      <w:lang w:val="en-US"/>
    </w:rPr>
  </w:style>
  <w:style w:type="character" w:customStyle="1" w:styleId="HeaderChar">
    <w:name w:val="Header Char"/>
    <w:basedOn w:val="DefaultParagraphFont"/>
    <w:link w:val="Header"/>
    <w:uiPriority w:val="99"/>
    <w:rsid w:val="0005639B"/>
    <w:rPr>
      <w:rFonts w:eastAsiaTheme="minorEastAsia"/>
      <w:sz w:val="24"/>
      <w:lang w:val="en-US"/>
    </w:rPr>
  </w:style>
  <w:style w:type="paragraph" w:styleId="Footer">
    <w:name w:val="footer"/>
    <w:basedOn w:val="Normal"/>
    <w:link w:val="FooterChar"/>
    <w:uiPriority w:val="99"/>
    <w:unhideWhenUsed/>
    <w:rsid w:val="0005639B"/>
    <w:pPr>
      <w:tabs>
        <w:tab w:val="center" w:pos="4513"/>
        <w:tab w:val="right" w:pos="9026"/>
      </w:tabs>
      <w:spacing w:after="0" w:line="240" w:lineRule="auto"/>
    </w:pPr>
    <w:rPr>
      <w:rFonts w:eastAsiaTheme="minorEastAsia"/>
      <w:sz w:val="24"/>
      <w:lang w:val="en-US"/>
    </w:rPr>
  </w:style>
  <w:style w:type="character" w:customStyle="1" w:styleId="FooterChar">
    <w:name w:val="Footer Char"/>
    <w:basedOn w:val="DefaultParagraphFont"/>
    <w:link w:val="Footer"/>
    <w:uiPriority w:val="99"/>
    <w:rsid w:val="0005639B"/>
    <w:rPr>
      <w:rFonts w:eastAsiaTheme="minorEastAsia"/>
      <w:sz w:val="24"/>
      <w:lang w:val="en-US"/>
    </w:rPr>
  </w:style>
  <w:style w:type="paragraph" w:styleId="ListParagraph">
    <w:name w:val="List Paragraph"/>
    <w:basedOn w:val="Normal"/>
    <w:uiPriority w:val="34"/>
    <w:qFormat/>
    <w:rsid w:val="0005639B"/>
    <w:pPr>
      <w:spacing w:line="480" w:lineRule="auto"/>
      <w:ind w:left="720"/>
      <w:contextualSpacing/>
    </w:pPr>
    <w:rPr>
      <w:sz w:val="24"/>
      <w:lang w:val="en-US"/>
    </w:rPr>
  </w:style>
  <w:style w:type="paragraph" w:styleId="NormalWeb">
    <w:name w:val="Normal (Web)"/>
    <w:basedOn w:val="Normal"/>
    <w:uiPriority w:val="99"/>
    <w:unhideWhenUsed/>
    <w:rsid w:val="0005639B"/>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styleId="PlaceholderText">
    <w:name w:val="Placeholder Text"/>
    <w:basedOn w:val="DefaultParagraphFont"/>
    <w:uiPriority w:val="99"/>
    <w:semiHidden/>
    <w:rsid w:val="0005639B"/>
    <w:rPr>
      <w:color w:val="808080"/>
    </w:rPr>
  </w:style>
  <w:style w:type="character" w:styleId="Hyperlink">
    <w:name w:val="Hyperlink"/>
    <w:basedOn w:val="DefaultParagraphFont"/>
    <w:uiPriority w:val="99"/>
    <w:semiHidden/>
    <w:unhideWhenUsed/>
    <w:rsid w:val="0005639B"/>
    <w:rPr>
      <w:color w:val="0000FF"/>
      <w:u w:val="single"/>
    </w:rPr>
  </w:style>
  <w:style w:type="table" w:styleId="TableGrid">
    <w:name w:val="Table Grid"/>
    <w:basedOn w:val="TableNormal"/>
    <w:uiPriority w:val="59"/>
    <w:rsid w:val="0005639B"/>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unhideWhenUsed/>
    <w:rsid w:val="0005639B"/>
    <w:pPr>
      <w:tabs>
        <w:tab w:val="right" w:leader="dot" w:pos="9016"/>
      </w:tabs>
      <w:spacing w:after="100" w:line="480" w:lineRule="auto"/>
      <w:ind w:left="1418"/>
    </w:pPr>
    <w:rPr>
      <w:rFonts w:eastAsiaTheme="minorEastAsia"/>
      <w:sz w:val="24"/>
      <w:lang w:val="en-US"/>
    </w:rPr>
  </w:style>
  <w:style w:type="table" w:customStyle="1" w:styleId="TableGrid1">
    <w:name w:val="Table Grid1"/>
    <w:basedOn w:val="TableNormal"/>
    <w:next w:val="TableGrid"/>
    <w:uiPriority w:val="59"/>
    <w:rsid w:val="0005639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E756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88562">
      <w:bodyDiv w:val="1"/>
      <w:marLeft w:val="0"/>
      <w:marRight w:val="0"/>
      <w:marTop w:val="0"/>
      <w:marBottom w:val="0"/>
      <w:divBdr>
        <w:top w:val="none" w:sz="0" w:space="0" w:color="auto"/>
        <w:left w:val="none" w:sz="0" w:space="0" w:color="auto"/>
        <w:bottom w:val="none" w:sz="0" w:space="0" w:color="auto"/>
        <w:right w:val="none" w:sz="0" w:space="0" w:color="auto"/>
      </w:divBdr>
    </w:div>
    <w:div w:id="90393543">
      <w:bodyDiv w:val="1"/>
      <w:marLeft w:val="0"/>
      <w:marRight w:val="0"/>
      <w:marTop w:val="0"/>
      <w:marBottom w:val="0"/>
      <w:divBdr>
        <w:top w:val="none" w:sz="0" w:space="0" w:color="auto"/>
        <w:left w:val="none" w:sz="0" w:space="0" w:color="auto"/>
        <w:bottom w:val="none" w:sz="0" w:space="0" w:color="auto"/>
        <w:right w:val="none" w:sz="0" w:space="0" w:color="auto"/>
      </w:divBdr>
    </w:div>
    <w:div w:id="110248992">
      <w:bodyDiv w:val="1"/>
      <w:marLeft w:val="0"/>
      <w:marRight w:val="0"/>
      <w:marTop w:val="0"/>
      <w:marBottom w:val="0"/>
      <w:divBdr>
        <w:top w:val="none" w:sz="0" w:space="0" w:color="auto"/>
        <w:left w:val="none" w:sz="0" w:space="0" w:color="auto"/>
        <w:bottom w:val="none" w:sz="0" w:space="0" w:color="auto"/>
        <w:right w:val="none" w:sz="0" w:space="0" w:color="auto"/>
      </w:divBdr>
    </w:div>
    <w:div w:id="167645625">
      <w:bodyDiv w:val="1"/>
      <w:marLeft w:val="0"/>
      <w:marRight w:val="0"/>
      <w:marTop w:val="0"/>
      <w:marBottom w:val="0"/>
      <w:divBdr>
        <w:top w:val="none" w:sz="0" w:space="0" w:color="auto"/>
        <w:left w:val="none" w:sz="0" w:space="0" w:color="auto"/>
        <w:bottom w:val="none" w:sz="0" w:space="0" w:color="auto"/>
        <w:right w:val="none" w:sz="0" w:space="0" w:color="auto"/>
      </w:divBdr>
    </w:div>
    <w:div w:id="176041883">
      <w:bodyDiv w:val="1"/>
      <w:marLeft w:val="0"/>
      <w:marRight w:val="0"/>
      <w:marTop w:val="0"/>
      <w:marBottom w:val="0"/>
      <w:divBdr>
        <w:top w:val="none" w:sz="0" w:space="0" w:color="auto"/>
        <w:left w:val="none" w:sz="0" w:space="0" w:color="auto"/>
        <w:bottom w:val="none" w:sz="0" w:space="0" w:color="auto"/>
        <w:right w:val="none" w:sz="0" w:space="0" w:color="auto"/>
      </w:divBdr>
    </w:div>
    <w:div w:id="305012497">
      <w:bodyDiv w:val="1"/>
      <w:marLeft w:val="0"/>
      <w:marRight w:val="0"/>
      <w:marTop w:val="0"/>
      <w:marBottom w:val="0"/>
      <w:divBdr>
        <w:top w:val="none" w:sz="0" w:space="0" w:color="auto"/>
        <w:left w:val="none" w:sz="0" w:space="0" w:color="auto"/>
        <w:bottom w:val="none" w:sz="0" w:space="0" w:color="auto"/>
        <w:right w:val="none" w:sz="0" w:space="0" w:color="auto"/>
      </w:divBdr>
      <w:divsChild>
        <w:div w:id="1481656769">
          <w:marLeft w:val="0"/>
          <w:marRight w:val="0"/>
          <w:marTop w:val="0"/>
          <w:marBottom w:val="0"/>
          <w:divBdr>
            <w:top w:val="none" w:sz="0" w:space="0" w:color="auto"/>
            <w:left w:val="none" w:sz="0" w:space="0" w:color="auto"/>
            <w:bottom w:val="none" w:sz="0" w:space="0" w:color="auto"/>
            <w:right w:val="none" w:sz="0" w:space="0" w:color="auto"/>
          </w:divBdr>
          <w:divsChild>
            <w:div w:id="1483963907">
              <w:marLeft w:val="0"/>
              <w:marRight w:val="150"/>
              <w:marTop w:val="0"/>
              <w:marBottom w:val="0"/>
              <w:divBdr>
                <w:top w:val="none" w:sz="0" w:space="0" w:color="auto"/>
                <w:left w:val="none" w:sz="0" w:space="0" w:color="auto"/>
                <w:bottom w:val="none" w:sz="0" w:space="0" w:color="auto"/>
                <w:right w:val="single" w:sz="6" w:space="8" w:color="DDDDDD"/>
              </w:divBdr>
              <w:divsChild>
                <w:div w:id="2047945084">
                  <w:marLeft w:val="0"/>
                  <w:marRight w:val="0"/>
                  <w:marTop w:val="0"/>
                  <w:marBottom w:val="0"/>
                  <w:divBdr>
                    <w:top w:val="none" w:sz="0" w:space="0" w:color="auto"/>
                    <w:left w:val="none" w:sz="0" w:space="0" w:color="auto"/>
                    <w:bottom w:val="none" w:sz="0" w:space="0" w:color="auto"/>
                    <w:right w:val="none" w:sz="0" w:space="0" w:color="auto"/>
                  </w:divBdr>
                  <w:divsChild>
                    <w:div w:id="1298877685">
                      <w:marLeft w:val="0"/>
                      <w:marRight w:val="0"/>
                      <w:marTop w:val="0"/>
                      <w:marBottom w:val="0"/>
                      <w:divBdr>
                        <w:top w:val="none" w:sz="0" w:space="0" w:color="auto"/>
                        <w:left w:val="none" w:sz="0" w:space="0" w:color="auto"/>
                        <w:bottom w:val="none" w:sz="0" w:space="0" w:color="auto"/>
                        <w:right w:val="none" w:sz="0" w:space="0" w:color="auto"/>
                      </w:divBdr>
                    </w:div>
                  </w:divsChild>
                </w:div>
                <w:div w:id="28990462">
                  <w:marLeft w:val="0"/>
                  <w:marRight w:val="0"/>
                  <w:marTop w:val="0"/>
                  <w:marBottom w:val="0"/>
                  <w:divBdr>
                    <w:top w:val="none" w:sz="0" w:space="0" w:color="auto"/>
                    <w:left w:val="none" w:sz="0" w:space="0" w:color="auto"/>
                    <w:bottom w:val="none" w:sz="0" w:space="0" w:color="auto"/>
                    <w:right w:val="none" w:sz="0" w:space="0" w:color="auto"/>
                  </w:divBdr>
                </w:div>
                <w:div w:id="1629358978">
                  <w:marLeft w:val="0"/>
                  <w:marRight w:val="0"/>
                  <w:marTop w:val="0"/>
                  <w:marBottom w:val="0"/>
                  <w:divBdr>
                    <w:top w:val="none" w:sz="0" w:space="0" w:color="auto"/>
                    <w:left w:val="none" w:sz="0" w:space="0" w:color="auto"/>
                    <w:bottom w:val="none" w:sz="0" w:space="0" w:color="auto"/>
                    <w:right w:val="none" w:sz="0" w:space="0" w:color="auto"/>
                  </w:divBdr>
                  <w:divsChild>
                    <w:div w:id="1257444727">
                      <w:marLeft w:val="0"/>
                      <w:marRight w:val="0"/>
                      <w:marTop w:val="0"/>
                      <w:marBottom w:val="0"/>
                      <w:divBdr>
                        <w:top w:val="none" w:sz="0" w:space="0" w:color="auto"/>
                        <w:left w:val="none" w:sz="0" w:space="0" w:color="auto"/>
                        <w:bottom w:val="none" w:sz="0" w:space="0" w:color="auto"/>
                        <w:right w:val="none" w:sz="0" w:space="0" w:color="auto"/>
                      </w:divBdr>
                    </w:div>
                    <w:div w:id="1544561832">
                      <w:marLeft w:val="0"/>
                      <w:marRight w:val="0"/>
                      <w:marTop w:val="0"/>
                      <w:marBottom w:val="0"/>
                      <w:divBdr>
                        <w:top w:val="none" w:sz="0" w:space="0" w:color="auto"/>
                        <w:left w:val="none" w:sz="0" w:space="0" w:color="auto"/>
                        <w:bottom w:val="none" w:sz="0" w:space="0" w:color="auto"/>
                        <w:right w:val="none" w:sz="0" w:space="0" w:color="auto"/>
                      </w:divBdr>
                      <w:divsChild>
                        <w:div w:id="357127650">
                          <w:marLeft w:val="0"/>
                          <w:marRight w:val="0"/>
                          <w:marTop w:val="0"/>
                          <w:marBottom w:val="0"/>
                          <w:divBdr>
                            <w:top w:val="none" w:sz="0" w:space="0" w:color="auto"/>
                            <w:left w:val="none" w:sz="0" w:space="0" w:color="auto"/>
                            <w:bottom w:val="none" w:sz="0" w:space="0" w:color="auto"/>
                            <w:right w:val="none" w:sz="0" w:space="0" w:color="auto"/>
                          </w:divBdr>
                        </w:div>
                        <w:div w:id="785854123">
                          <w:marLeft w:val="0"/>
                          <w:marRight w:val="0"/>
                          <w:marTop w:val="0"/>
                          <w:marBottom w:val="0"/>
                          <w:divBdr>
                            <w:top w:val="single" w:sz="6" w:space="8" w:color="CCCCCC"/>
                            <w:left w:val="none" w:sz="0" w:space="0" w:color="auto"/>
                            <w:bottom w:val="none" w:sz="0" w:space="0" w:color="auto"/>
                            <w:right w:val="none" w:sz="0" w:space="0" w:color="auto"/>
                          </w:divBdr>
                          <w:divsChild>
                            <w:div w:id="158256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036308">
                  <w:marLeft w:val="0"/>
                  <w:marRight w:val="0"/>
                  <w:marTop w:val="0"/>
                  <w:marBottom w:val="0"/>
                  <w:divBdr>
                    <w:top w:val="none" w:sz="0" w:space="0" w:color="auto"/>
                    <w:left w:val="none" w:sz="0" w:space="0" w:color="auto"/>
                    <w:bottom w:val="none" w:sz="0" w:space="0" w:color="auto"/>
                    <w:right w:val="none" w:sz="0" w:space="0" w:color="auto"/>
                  </w:divBdr>
                  <w:divsChild>
                    <w:div w:id="318537374">
                      <w:marLeft w:val="0"/>
                      <w:marRight w:val="0"/>
                      <w:marTop w:val="0"/>
                      <w:marBottom w:val="0"/>
                      <w:divBdr>
                        <w:top w:val="none" w:sz="0" w:space="0" w:color="auto"/>
                        <w:left w:val="none" w:sz="0" w:space="0" w:color="auto"/>
                        <w:bottom w:val="none" w:sz="0" w:space="0" w:color="auto"/>
                        <w:right w:val="none" w:sz="0" w:space="0" w:color="auto"/>
                      </w:divBdr>
                    </w:div>
                    <w:div w:id="262617857">
                      <w:marLeft w:val="0"/>
                      <w:marRight w:val="0"/>
                      <w:marTop w:val="0"/>
                      <w:marBottom w:val="0"/>
                      <w:divBdr>
                        <w:top w:val="none" w:sz="0" w:space="0" w:color="auto"/>
                        <w:left w:val="none" w:sz="0" w:space="0" w:color="auto"/>
                        <w:bottom w:val="none" w:sz="0" w:space="0" w:color="auto"/>
                        <w:right w:val="none" w:sz="0" w:space="0" w:color="auto"/>
                      </w:divBdr>
                    </w:div>
                  </w:divsChild>
                </w:div>
                <w:div w:id="595141678">
                  <w:marLeft w:val="0"/>
                  <w:marRight w:val="0"/>
                  <w:marTop w:val="0"/>
                  <w:marBottom w:val="0"/>
                  <w:divBdr>
                    <w:top w:val="none" w:sz="0" w:space="0" w:color="auto"/>
                    <w:left w:val="none" w:sz="0" w:space="0" w:color="auto"/>
                    <w:bottom w:val="none" w:sz="0" w:space="0" w:color="auto"/>
                    <w:right w:val="none" w:sz="0" w:space="0" w:color="auto"/>
                  </w:divBdr>
                </w:div>
                <w:div w:id="115292693">
                  <w:marLeft w:val="0"/>
                  <w:marRight w:val="0"/>
                  <w:marTop w:val="45"/>
                  <w:marBottom w:val="0"/>
                  <w:divBdr>
                    <w:top w:val="none" w:sz="0" w:space="0" w:color="auto"/>
                    <w:left w:val="single" w:sz="6" w:space="0" w:color="CCCCCC"/>
                    <w:bottom w:val="none" w:sz="0" w:space="0" w:color="auto"/>
                    <w:right w:val="none" w:sz="0" w:space="0" w:color="auto"/>
                  </w:divBdr>
                  <w:divsChild>
                    <w:div w:id="1142117742">
                      <w:marLeft w:val="0"/>
                      <w:marRight w:val="0"/>
                      <w:marTop w:val="0"/>
                      <w:marBottom w:val="0"/>
                      <w:divBdr>
                        <w:top w:val="none" w:sz="0" w:space="0" w:color="auto"/>
                        <w:left w:val="none" w:sz="0" w:space="0" w:color="auto"/>
                        <w:bottom w:val="none" w:sz="0" w:space="0" w:color="auto"/>
                        <w:right w:val="none" w:sz="0" w:space="0" w:color="auto"/>
                      </w:divBdr>
                      <w:divsChild>
                        <w:div w:id="1927106395">
                          <w:marLeft w:val="0"/>
                          <w:marRight w:val="0"/>
                          <w:marTop w:val="0"/>
                          <w:marBottom w:val="0"/>
                          <w:divBdr>
                            <w:top w:val="none" w:sz="0" w:space="0" w:color="auto"/>
                            <w:left w:val="none" w:sz="0" w:space="0" w:color="auto"/>
                            <w:bottom w:val="none" w:sz="0" w:space="0" w:color="auto"/>
                            <w:right w:val="single" w:sz="6" w:space="6" w:color="CCCCCC"/>
                          </w:divBdr>
                        </w:div>
                        <w:div w:id="1118373290">
                          <w:marLeft w:val="0"/>
                          <w:marRight w:val="0"/>
                          <w:marTop w:val="0"/>
                          <w:marBottom w:val="0"/>
                          <w:divBdr>
                            <w:top w:val="none" w:sz="0" w:space="0" w:color="auto"/>
                            <w:left w:val="none" w:sz="0" w:space="0" w:color="auto"/>
                            <w:bottom w:val="none" w:sz="0" w:space="0" w:color="auto"/>
                            <w:right w:val="none" w:sz="0" w:space="0" w:color="auto"/>
                          </w:divBdr>
                          <w:divsChild>
                            <w:div w:id="474104972">
                              <w:marLeft w:val="0"/>
                              <w:marRight w:val="0"/>
                              <w:marTop w:val="0"/>
                              <w:marBottom w:val="0"/>
                              <w:divBdr>
                                <w:top w:val="single" w:sz="6" w:space="15" w:color="AAAAAA"/>
                                <w:left w:val="single" w:sz="6" w:space="8" w:color="AAAAAA"/>
                                <w:bottom w:val="single" w:sz="6" w:space="15" w:color="AAAAAA"/>
                                <w:right w:val="single" w:sz="6" w:space="8" w:color="AAAAAA"/>
                              </w:divBdr>
                              <w:divsChild>
                                <w:div w:id="569079413">
                                  <w:marLeft w:val="0"/>
                                  <w:marRight w:val="0"/>
                                  <w:marTop w:val="0"/>
                                  <w:marBottom w:val="0"/>
                                  <w:divBdr>
                                    <w:top w:val="none" w:sz="0" w:space="0" w:color="auto"/>
                                    <w:left w:val="none" w:sz="0" w:space="0" w:color="auto"/>
                                    <w:bottom w:val="none" w:sz="0" w:space="0" w:color="auto"/>
                                    <w:right w:val="none" w:sz="0" w:space="0" w:color="auto"/>
                                  </w:divBdr>
                                  <w:divsChild>
                                    <w:div w:id="1656688300">
                                      <w:marLeft w:val="0"/>
                                      <w:marRight w:val="150"/>
                                      <w:marTop w:val="0"/>
                                      <w:marBottom w:val="0"/>
                                      <w:divBdr>
                                        <w:top w:val="none" w:sz="0" w:space="0" w:color="auto"/>
                                        <w:left w:val="none" w:sz="0" w:space="0" w:color="auto"/>
                                        <w:bottom w:val="none" w:sz="0" w:space="0" w:color="auto"/>
                                        <w:right w:val="single" w:sz="6" w:space="0" w:color="CCCCCC"/>
                                      </w:divBdr>
                                    </w:div>
                                    <w:div w:id="16692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664936">
                  <w:marLeft w:val="0"/>
                  <w:marRight w:val="0"/>
                  <w:marTop w:val="0"/>
                  <w:marBottom w:val="150"/>
                  <w:divBdr>
                    <w:top w:val="none" w:sz="0" w:space="0" w:color="auto"/>
                    <w:left w:val="none" w:sz="0" w:space="0" w:color="auto"/>
                    <w:bottom w:val="none" w:sz="0" w:space="0" w:color="auto"/>
                    <w:right w:val="none" w:sz="0" w:space="0" w:color="auto"/>
                  </w:divBdr>
                  <w:divsChild>
                    <w:div w:id="720634313">
                      <w:marLeft w:val="-300"/>
                      <w:marRight w:val="0"/>
                      <w:marTop w:val="0"/>
                      <w:marBottom w:val="0"/>
                      <w:divBdr>
                        <w:top w:val="none" w:sz="0" w:space="0" w:color="auto"/>
                        <w:left w:val="none" w:sz="0" w:space="0" w:color="auto"/>
                        <w:bottom w:val="none" w:sz="0" w:space="0" w:color="auto"/>
                        <w:right w:val="none" w:sz="0" w:space="0" w:color="auto"/>
                      </w:divBdr>
                      <w:divsChild>
                        <w:div w:id="506292172">
                          <w:marLeft w:val="0"/>
                          <w:marRight w:val="0"/>
                          <w:marTop w:val="0"/>
                          <w:marBottom w:val="0"/>
                          <w:divBdr>
                            <w:top w:val="none" w:sz="0" w:space="0" w:color="auto"/>
                            <w:left w:val="none" w:sz="0" w:space="0" w:color="auto"/>
                            <w:bottom w:val="none" w:sz="0" w:space="0" w:color="auto"/>
                            <w:right w:val="none" w:sz="0" w:space="0" w:color="auto"/>
                          </w:divBdr>
                        </w:div>
                      </w:divsChild>
                    </w:div>
                    <w:div w:id="110559315">
                      <w:marLeft w:val="0"/>
                      <w:marRight w:val="300"/>
                      <w:marTop w:val="0"/>
                      <w:marBottom w:val="300"/>
                      <w:divBdr>
                        <w:top w:val="none" w:sz="0" w:space="0" w:color="auto"/>
                        <w:left w:val="none" w:sz="0" w:space="0" w:color="auto"/>
                        <w:bottom w:val="dashed" w:sz="6" w:space="8" w:color="CCCCCC"/>
                        <w:right w:val="none" w:sz="0" w:space="0" w:color="auto"/>
                      </w:divBdr>
                    </w:div>
                    <w:div w:id="158009204">
                      <w:marLeft w:val="0"/>
                      <w:marRight w:val="300"/>
                      <w:marTop w:val="0"/>
                      <w:marBottom w:val="300"/>
                      <w:divBdr>
                        <w:top w:val="none" w:sz="0" w:space="0" w:color="auto"/>
                        <w:left w:val="none" w:sz="0" w:space="0" w:color="auto"/>
                        <w:bottom w:val="dashed" w:sz="6" w:space="8" w:color="CCCCCC"/>
                        <w:right w:val="none" w:sz="0" w:space="0" w:color="auto"/>
                      </w:divBdr>
                    </w:div>
                    <w:div w:id="573055650">
                      <w:marLeft w:val="0"/>
                      <w:marRight w:val="0"/>
                      <w:marTop w:val="0"/>
                      <w:marBottom w:val="0"/>
                      <w:divBdr>
                        <w:top w:val="none" w:sz="0" w:space="0" w:color="auto"/>
                        <w:left w:val="none" w:sz="0" w:space="0" w:color="auto"/>
                        <w:bottom w:val="none" w:sz="0" w:space="0" w:color="auto"/>
                        <w:right w:val="none" w:sz="0" w:space="0" w:color="auto"/>
                      </w:divBdr>
                      <w:divsChild>
                        <w:div w:id="1905021773">
                          <w:marLeft w:val="0"/>
                          <w:marRight w:val="0"/>
                          <w:marTop w:val="0"/>
                          <w:marBottom w:val="0"/>
                          <w:divBdr>
                            <w:top w:val="none" w:sz="0" w:space="0" w:color="auto"/>
                            <w:left w:val="none" w:sz="0" w:space="0" w:color="auto"/>
                            <w:bottom w:val="none" w:sz="0" w:space="0" w:color="auto"/>
                            <w:right w:val="none" w:sz="0" w:space="0" w:color="auto"/>
                          </w:divBdr>
                        </w:div>
                        <w:div w:id="12347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166443">
      <w:bodyDiv w:val="1"/>
      <w:marLeft w:val="0"/>
      <w:marRight w:val="0"/>
      <w:marTop w:val="0"/>
      <w:marBottom w:val="0"/>
      <w:divBdr>
        <w:top w:val="none" w:sz="0" w:space="0" w:color="auto"/>
        <w:left w:val="none" w:sz="0" w:space="0" w:color="auto"/>
        <w:bottom w:val="none" w:sz="0" w:space="0" w:color="auto"/>
        <w:right w:val="none" w:sz="0" w:space="0" w:color="auto"/>
      </w:divBdr>
    </w:div>
    <w:div w:id="571085190">
      <w:bodyDiv w:val="1"/>
      <w:marLeft w:val="0"/>
      <w:marRight w:val="0"/>
      <w:marTop w:val="0"/>
      <w:marBottom w:val="0"/>
      <w:divBdr>
        <w:top w:val="none" w:sz="0" w:space="0" w:color="auto"/>
        <w:left w:val="none" w:sz="0" w:space="0" w:color="auto"/>
        <w:bottom w:val="none" w:sz="0" w:space="0" w:color="auto"/>
        <w:right w:val="none" w:sz="0" w:space="0" w:color="auto"/>
      </w:divBdr>
    </w:div>
    <w:div w:id="731971813">
      <w:bodyDiv w:val="1"/>
      <w:marLeft w:val="0"/>
      <w:marRight w:val="0"/>
      <w:marTop w:val="0"/>
      <w:marBottom w:val="0"/>
      <w:divBdr>
        <w:top w:val="none" w:sz="0" w:space="0" w:color="auto"/>
        <w:left w:val="none" w:sz="0" w:space="0" w:color="auto"/>
        <w:bottom w:val="none" w:sz="0" w:space="0" w:color="auto"/>
        <w:right w:val="none" w:sz="0" w:space="0" w:color="auto"/>
      </w:divBdr>
    </w:div>
    <w:div w:id="772088328">
      <w:bodyDiv w:val="1"/>
      <w:marLeft w:val="0"/>
      <w:marRight w:val="0"/>
      <w:marTop w:val="0"/>
      <w:marBottom w:val="0"/>
      <w:divBdr>
        <w:top w:val="none" w:sz="0" w:space="0" w:color="auto"/>
        <w:left w:val="none" w:sz="0" w:space="0" w:color="auto"/>
        <w:bottom w:val="none" w:sz="0" w:space="0" w:color="auto"/>
        <w:right w:val="none" w:sz="0" w:space="0" w:color="auto"/>
      </w:divBdr>
    </w:div>
    <w:div w:id="858663195">
      <w:bodyDiv w:val="1"/>
      <w:marLeft w:val="0"/>
      <w:marRight w:val="0"/>
      <w:marTop w:val="0"/>
      <w:marBottom w:val="0"/>
      <w:divBdr>
        <w:top w:val="none" w:sz="0" w:space="0" w:color="auto"/>
        <w:left w:val="none" w:sz="0" w:space="0" w:color="auto"/>
        <w:bottom w:val="none" w:sz="0" w:space="0" w:color="auto"/>
        <w:right w:val="none" w:sz="0" w:space="0" w:color="auto"/>
      </w:divBdr>
    </w:div>
    <w:div w:id="904338776">
      <w:bodyDiv w:val="1"/>
      <w:marLeft w:val="0"/>
      <w:marRight w:val="0"/>
      <w:marTop w:val="0"/>
      <w:marBottom w:val="0"/>
      <w:divBdr>
        <w:top w:val="none" w:sz="0" w:space="0" w:color="auto"/>
        <w:left w:val="none" w:sz="0" w:space="0" w:color="auto"/>
        <w:bottom w:val="none" w:sz="0" w:space="0" w:color="auto"/>
        <w:right w:val="none" w:sz="0" w:space="0" w:color="auto"/>
      </w:divBdr>
    </w:div>
    <w:div w:id="954286630">
      <w:bodyDiv w:val="1"/>
      <w:marLeft w:val="0"/>
      <w:marRight w:val="0"/>
      <w:marTop w:val="0"/>
      <w:marBottom w:val="0"/>
      <w:divBdr>
        <w:top w:val="none" w:sz="0" w:space="0" w:color="auto"/>
        <w:left w:val="none" w:sz="0" w:space="0" w:color="auto"/>
        <w:bottom w:val="none" w:sz="0" w:space="0" w:color="auto"/>
        <w:right w:val="none" w:sz="0" w:space="0" w:color="auto"/>
      </w:divBdr>
    </w:div>
    <w:div w:id="1134980627">
      <w:bodyDiv w:val="1"/>
      <w:marLeft w:val="0"/>
      <w:marRight w:val="0"/>
      <w:marTop w:val="0"/>
      <w:marBottom w:val="0"/>
      <w:divBdr>
        <w:top w:val="none" w:sz="0" w:space="0" w:color="auto"/>
        <w:left w:val="none" w:sz="0" w:space="0" w:color="auto"/>
        <w:bottom w:val="none" w:sz="0" w:space="0" w:color="auto"/>
        <w:right w:val="none" w:sz="0" w:space="0" w:color="auto"/>
      </w:divBdr>
    </w:div>
    <w:div w:id="1137990419">
      <w:bodyDiv w:val="1"/>
      <w:marLeft w:val="0"/>
      <w:marRight w:val="0"/>
      <w:marTop w:val="0"/>
      <w:marBottom w:val="0"/>
      <w:divBdr>
        <w:top w:val="none" w:sz="0" w:space="0" w:color="auto"/>
        <w:left w:val="none" w:sz="0" w:space="0" w:color="auto"/>
        <w:bottom w:val="none" w:sz="0" w:space="0" w:color="auto"/>
        <w:right w:val="none" w:sz="0" w:space="0" w:color="auto"/>
      </w:divBdr>
    </w:div>
    <w:div w:id="1191144415">
      <w:bodyDiv w:val="1"/>
      <w:marLeft w:val="0"/>
      <w:marRight w:val="0"/>
      <w:marTop w:val="0"/>
      <w:marBottom w:val="0"/>
      <w:divBdr>
        <w:top w:val="none" w:sz="0" w:space="0" w:color="auto"/>
        <w:left w:val="none" w:sz="0" w:space="0" w:color="auto"/>
        <w:bottom w:val="none" w:sz="0" w:space="0" w:color="auto"/>
        <w:right w:val="none" w:sz="0" w:space="0" w:color="auto"/>
      </w:divBdr>
    </w:div>
    <w:div w:id="1197545112">
      <w:bodyDiv w:val="1"/>
      <w:marLeft w:val="0"/>
      <w:marRight w:val="0"/>
      <w:marTop w:val="0"/>
      <w:marBottom w:val="0"/>
      <w:divBdr>
        <w:top w:val="none" w:sz="0" w:space="0" w:color="auto"/>
        <w:left w:val="none" w:sz="0" w:space="0" w:color="auto"/>
        <w:bottom w:val="none" w:sz="0" w:space="0" w:color="auto"/>
        <w:right w:val="none" w:sz="0" w:space="0" w:color="auto"/>
      </w:divBdr>
    </w:div>
    <w:div w:id="1229265057">
      <w:bodyDiv w:val="1"/>
      <w:marLeft w:val="0"/>
      <w:marRight w:val="0"/>
      <w:marTop w:val="0"/>
      <w:marBottom w:val="0"/>
      <w:divBdr>
        <w:top w:val="none" w:sz="0" w:space="0" w:color="auto"/>
        <w:left w:val="none" w:sz="0" w:space="0" w:color="auto"/>
        <w:bottom w:val="none" w:sz="0" w:space="0" w:color="auto"/>
        <w:right w:val="none" w:sz="0" w:space="0" w:color="auto"/>
      </w:divBdr>
    </w:div>
    <w:div w:id="1413160650">
      <w:bodyDiv w:val="1"/>
      <w:marLeft w:val="0"/>
      <w:marRight w:val="0"/>
      <w:marTop w:val="0"/>
      <w:marBottom w:val="0"/>
      <w:divBdr>
        <w:top w:val="none" w:sz="0" w:space="0" w:color="auto"/>
        <w:left w:val="none" w:sz="0" w:space="0" w:color="auto"/>
        <w:bottom w:val="none" w:sz="0" w:space="0" w:color="auto"/>
        <w:right w:val="none" w:sz="0" w:space="0" w:color="auto"/>
      </w:divBdr>
    </w:div>
    <w:div w:id="1531607793">
      <w:bodyDiv w:val="1"/>
      <w:marLeft w:val="0"/>
      <w:marRight w:val="0"/>
      <w:marTop w:val="0"/>
      <w:marBottom w:val="0"/>
      <w:divBdr>
        <w:top w:val="none" w:sz="0" w:space="0" w:color="auto"/>
        <w:left w:val="none" w:sz="0" w:space="0" w:color="auto"/>
        <w:bottom w:val="none" w:sz="0" w:space="0" w:color="auto"/>
        <w:right w:val="none" w:sz="0" w:space="0" w:color="auto"/>
      </w:divBdr>
    </w:div>
    <w:div w:id="1548102639">
      <w:bodyDiv w:val="1"/>
      <w:marLeft w:val="0"/>
      <w:marRight w:val="0"/>
      <w:marTop w:val="0"/>
      <w:marBottom w:val="0"/>
      <w:divBdr>
        <w:top w:val="none" w:sz="0" w:space="0" w:color="auto"/>
        <w:left w:val="none" w:sz="0" w:space="0" w:color="auto"/>
        <w:bottom w:val="none" w:sz="0" w:space="0" w:color="auto"/>
        <w:right w:val="none" w:sz="0" w:space="0" w:color="auto"/>
      </w:divBdr>
    </w:div>
    <w:div w:id="1624846789">
      <w:bodyDiv w:val="1"/>
      <w:marLeft w:val="0"/>
      <w:marRight w:val="0"/>
      <w:marTop w:val="0"/>
      <w:marBottom w:val="0"/>
      <w:divBdr>
        <w:top w:val="none" w:sz="0" w:space="0" w:color="auto"/>
        <w:left w:val="none" w:sz="0" w:space="0" w:color="auto"/>
        <w:bottom w:val="none" w:sz="0" w:space="0" w:color="auto"/>
        <w:right w:val="none" w:sz="0" w:space="0" w:color="auto"/>
      </w:divBdr>
    </w:div>
    <w:div w:id="1633704979">
      <w:bodyDiv w:val="1"/>
      <w:marLeft w:val="0"/>
      <w:marRight w:val="0"/>
      <w:marTop w:val="0"/>
      <w:marBottom w:val="0"/>
      <w:divBdr>
        <w:top w:val="none" w:sz="0" w:space="0" w:color="auto"/>
        <w:left w:val="none" w:sz="0" w:space="0" w:color="auto"/>
        <w:bottom w:val="none" w:sz="0" w:space="0" w:color="auto"/>
        <w:right w:val="none" w:sz="0" w:space="0" w:color="auto"/>
      </w:divBdr>
    </w:div>
    <w:div w:id="1636641490">
      <w:bodyDiv w:val="1"/>
      <w:marLeft w:val="0"/>
      <w:marRight w:val="0"/>
      <w:marTop w:val="0"/>
      <w:marBottom w:val="0"/>
      <w:divBdr>
        <w:top w:val="none" w:sz="0" w:space="0" w:color="auto"/>
        <w:left w:val="none" w:sz="0" w:space="0" w:color="auto"/>
        <w:bottom w:val="none" w:sz="0" w:space="0" w:color="auto"/>
        <w:right w:val="none" w:sz="0" w:space="0" w:color="auto"/>
      </w:divBdr>
    </w:div>
    <w:div w:id="1652909359">
      <w:bodyDiv w:val="1"/>
      <w:marLeft w:val="0"/>
      <w:marRight w:val="0"/>
      <w:marTop w:val="0"/>
      <w:marBottom w:val="0"/>
      <w:divBdr>
        <w:top w:val="none" w:sz="0" w:space="0" w:color="auto"/>
        <w:left w:val="none" w:sz="0" w:space="0" w:color="auto"/>
        <w:bottom w:val="none" w:sz="0" w:space="0" w:color="auto"/>
        <w:right w:val="none" w:sz="0" w:space="0" w:color="auto"/>
      </w:divBdr>
    </w:div>
    <w:div w:id="1656645214">
      <w:bodyDiv w:val="1"/>
      <w:marLeft w:val="0"/>
      <w:marRight w:val="0"/>
      <w:marTop w:val="0"/>
      <w:marBottom w:val="0"/>
      <w:divBdr>
        <w:top w:val="none" w:sz="0" w:space="0" w:color="auto"/>
        <w:left w:val="none" w:sz="0" w:space="0" w:color="auto"/>
        <w:bottom w:val="none" w:sz="0" w:space="0" w:color="auto"/>
        <w:right w:val="none" w:sz="0" w:space="0" w:color="auto"/>
      </w:divBdr>
    </w:div>
    <w:div w:id="1656840415">
      <w:bodyDiv w:val="1"/>
      <w:marLeft w:val="0"/>
      <w:marRight w:val="0"/>
      <w:marTop w:val="0"/>
      <w:marBottom w:val="0"/>
      <w:divBdr>
        <w:top w:val="none" w:sz="0" w:space="0" w:color="auto"/>
        <w:left w:val="none" w:sz="0" w:space="0" w:color="auto"/>
        <w:bottom w:val="none" w:sz="0" w:space="0" w:color="auto"/>
        <w:right w:val="none" w:sz="0" w:space="0" w:color="auto"/>
      </w:divBdr>
    </w:div>
    <w:div w:id="1673995672">
      <w:bodyDiv w:val="1"/>
      <w:marLeft w:val="0"/>
      <w:marRight w:val="0"/>
      <w:marTop w:val="0"/>
      <w:marBottom w:val="0"/>
      <w:divBdr>
        <w:top w:val="none" w:sz="0" w:space="0" w:color="auto"/>
        <w:left w:val="none" w:sz="0" w:space="0" w:color="auto"/>
        <w:bottom w:val="none" w:sz="0" w:space="0" w:color="auto"/>
        <w:right w:val="none" w:sz="0" w:space="0" w:color="auto"/>
      </w:divBdr>
    </w:div>
    <w:div w:id="1685785560">
      <w:bodyDiv w:val="1"/>
      <w:marLeft w:val="0"/>
      <w:marRight w:val="0"/>
      <w:marTop w:val="0"/>
      <w:marBottom w:val="0"/>
      <w:divBdr>
        <w:top w:val="none" w:sz="0" w:space="0" w:color="auto"/>
        <w:left w:val="none" w:sz="0" w:space="0" w:color="auto"/>
        <w:bottom w:val="none" w:sz="0" w:space="0" w:color="auto"/>
        <w:right w:val="none" w:sz="0" w:space="0" w:color="auto"/>
      </w:divBdr>
    </w:div>
    <w:div w:id="1812555868">
      <w:bodyDiv w:val="1"/>
      <w:marLeft w:val="0"/>
      <w:marRight w:val="0"/>
      <w:marTop w:val="0"/>
      <w:marBottom w:val="0"/>
      <w:divBdr>
        <w:top w:val="none" w:sz="0" w:space="0" w:color="auto"/>
        <w:left w:val="none" w:sz="0" w:space="0" w:color="auto"/>
        <w:bottom w:val="none" w:sz="0" w:space="0" w:color="auto"/>
        <w:right w:val="none" w:sz="0" w:space="0" w:color="auto"/>
      </w:divBdr>
    </w:div>
    <w:div w:id="1862087965">
      <w:bodyDiv w:val="1"/>
      <w:marLeft w:val="0"/>
      <w:marRight w:val="0"/>
      <w:marTop w:val="0"/>
      <w:marBottom w:val="0"/>
      <w:divBdr>
        <w:top w:val="none" w:sz="0" w:space="0" w:color="auto"/>
        <w:left w:val="none" w:sz="0" w:space="0" w:color="auto"/>
        <w:bottom w:val="none" w:sz="0" w:space="0" w:color="auto"/>
        <w:right w:val="none" w:sz="0" w:space="0" w:color="auto"/>
      </w:divBdr>
    </w:div>
    <w:div w:id="2096777170">
      <w:bodyDiv w:val="1"/>
      <w:marLeft w:val="0"/>
      <w:marRight w:val="0"/>
      <w:marTop w:val="0"/>
      <w:marBottom w:val="0"/>
      <w:divBdr>
        <w:top w:val="none" w:sz="0" w:space="0" w:color="auto"/>
        <w:left w:val="none" w:sz="0" w:space="0" w:color="auto"/>
        <w:bottom w:val="none" w:sz="0" w:space="0" w:color="auto"/>
        <w:right w:val="none" w:sz="0" w:space="0" w:color="auto"/>
      </w:divBdr>
    </w:div>
    <w:div w:id="2119836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1C6C4-8D58-4AD8-9D4D-238D1BEA1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5840</Words>
  <Characters>33289</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_</vt:lpstr>
    </vt:vector>
  </TitlesOfParts>
  <Company>University of Aberdeen</Company>
  <LinksUpToDate>false</LinksUpToDate>
  <CharactersWithSpaces>39051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Schwarz</dc:creator>
  <cp:lastModifiedBy>Schwarz</cp:lastModifiedBy>
  <cp:revision>3</cp:revision>
  <dcterms:created xsi:type="dcterms:W3CDTF">2017-01-16T19:41:00Z</dcterms:created>
  <dcterms:modified xsi:type="dcterms:W3CDTF">2017-01-16T19:42:00Z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13043</vt:lpwstr>
  </property>
  <property fmtid="{D5CDD505-2E9C-101B-9397-08002B2CF9AE}" pid="3" name="WnCSubscriberId">
    <vt:lpwstr>1310</vt:lpwstr>
  </property>
  <property fmtid="{D5CDD505-2E9C-101B-9397-08002B2CF9AE}" pid="4" name="WnCOutputStyleId">
    <vt:lpwstr>2370</vt:lpwstr>
  </property>
  <property fmtid="{D5CDD505-2E9C-101B-9397-08002B2CF9AE}" pid="5" name="RWProductId">
    <vt:lpwstr>WnC</vt:lpwstr>
  </property>
  <property fmtid="{D5CDD505-2E9C-101B-9397-08002B2CF9AE}" pid="6" name="WnC4Folder">
    <vt:lpwstr/>
  </property>
</Properties>
</file>