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6B5" w:rsidRPr="005345A6" w:rsidRDefault="00AD0F42" w:rsidP="00F91BAD">
      <w:pPr>
        <w:spacing w:line="360" w:lineRule="auto"/>
        <w:rPr>
          <w:b/>
          <w:sz w:val="28"/>
          <w:szCs w:val="28"/>
        </w:rPr>
      </w:pPr>
      <w:bookmarkStart w:id="0" w:name="_GoBack"/>
      <w:r>
        <w:rPr>
          <w:b/>
          <w:sz w:val="28"/>
          <w:szCs w:val="28"/>
        </w:rPr>
        <w:t>S</w:t>
      </w:r>
      <w:r w:rsidR="00C96E70" w:rsidRPr="005345A6">
        <w:rPr>
          <w:b/>
          <w:sz w:val="28"/>
          <w:szCs w:val="28"/>
        </w:rPr>
        <w:t xml:space="preserve">afety </w:t>
      </w:r>
      <w:r>
        <w:rPr>
          <w:b/>
          <w:sz w:val="28"/>
          <w:szCs w:val="28"/>
        </w:rPr>
        <w:t xml:space="preserve">and efficacy </w:t>
      </w:r>
      <w:r w:rsidR="00C96E70" w:rsidRPr="005345A6">
        <w:rPr>
          <w:b/>
          <w:sz w:val="28"/>
          <w:szCs w:val="28"/>
        </w:rPr>
        <w:t>of</w:t>
      </w:r>
      <w:r w:rsidR="00EE6D05" w:rsidRPr="005345A6">
        <w:rPr>
          <w:b/>
          <w:sz w:val="28"/>
          <w:szCs w:val="28"/>
        </w:rPr>
        <w:t xml:space="preserve"> </w:t>
      </w:r>
      <w:r w:rsidR="00C96E70" w:rsidRPr="005345A6">
        <w:rPr>
          <w:b/>
          <w:sz w:val="28"/>
          <w:szCs w:val="28"/>
        </w:rPr>
        <w:t>o</w:t>
      </w:r>
      <w:r w:rsidR="00EE6D05" w:rsidRPr="005345A6">
        <w:rPr>
          <w:b/>
          <w:sz w:val="28"/>
          <w:szCs w:val="28"/>
        </w:rPr>
        <w:t xml:space="preserve">zanezumab in </w:t>
      </w:r>
      <w:r w:rsidR="007F34C5">
        <w:rPr>
          <w:b/>
          <w:sz w:val="28"/>
          <w:szCs w:val="28"/>
        </w:rPr>
        <w:t xml:space="preserve">patients with </w:t>
      </w:r>
      <w:r w:rsidR="00C96E70" w:rsidRPr="005345A6">
        <w:rPr>
          <w:b/>
          <w:sz w:val="28"/>
          <w:szCs w:val="28"/>
        </w:rPr>
        <w:t>a</w:t>
      </w:r>
      <w:r w:rsidR="00EE6D05" w:rsidRPr="005345A6">
        <w:rPr>
          <w:b/>
          <w:sz w:val="28"/>
          <w:szCs w:val="28"/>
        </w:rPr>
        <w:t xml:space="preserve">myotrophic </w:t>
      </w:r>
      <w:r w:rsidR="00C96E70" w:rsidRPr="005345A6">
        <w:rPr>
          <w:b/>
          <w:sz w:val="28"/>
          <w:szCs w:val="28"/>
        </w:rPr>
        <w:t>l</w:t>
      </w:r>
      <w:r w:rsidR="00EE6D05" w:rsidRPr="005345A6">
        <w:rPr>
          <w:b/>
          <w:sz w:val="28"/>
          <w:szCs w:val="28"/>
        </w:rPr>
        <w:t xml:space="preserve">ateral </w:t>
      </w:r>
      <w:r w:rsidR="00C96E70" w:rsidRPr="005345A6">
        <w:rPr>
          <w:b/>
          <w:sz w:val="28"/>
          <w:szCs w:val="28"/>
        </w:rPr>
        <w:t>s</w:t>
      </w:r>
      <w:r w:rsidR="00EE6D05" w:rsidRPr="005345A6">
        <w:rPr>
          <w:b/>
          <w:sz w:val="28"/>
          <w:szCs w:val="28"/>
        </w:rPr>
        <w:t>clerosis</w:t>
      </w:r>
      <w:r>
        <w:rPr>
          <w:b/>
          <w:sz w:val="28"/>
          <w:szCs w:val="28"/>
        </w:rPr>
        <w:t xml:space="preserve">: a </w:t>
      </w:r>
      <w:r w:rsidRPr="005345A6">
        <w:rPr>
          <w:b/>
          <w:sz w:val="28"/>
          <w:szCs w:val="28"/>
        </w:rPr>
        <w:t xml:space="preserve">randomised placebo-controlled </w:t>
      </w:r>
      <w:r>
        <w:rPr>
          <w:b/>
          <w:sz w:val="28"/>
          <w:szCs w:val="28"/>
        </w:rPr>
        <w:t>p</w:t>
      </w:r>
      <w:r w:rsidRPr="005345A6">
        <w:rPr>
          <w:b/>
          <w:sz w:val="28"/>
          <w:szCs w:val="28"/>
        </w:rPr>
        <w:t xml:space="preserve">hase </w:t>
      </w:r>
      <w:r>
        <w:rPr>
          <w:b/>
          <w:sz w:val="28"/>
          <w:szCs w:val="28"/>
        </w:rPr>
        <w:t>2</w:t>
      </w:r>
      <w:r w:rsidRPr="005345A6">
        <w:rPr>
          <w:b/>
          <w:sz w:val="28"/>
          <w:szCs w:val="28"/>
        </w:rPr>
        <w:t xml:space="preserve"> </w:t>
      </w:r>
      <w:r>
        <w:rPr>
          <w:b/>
          <w:sz w:val="28"/>
          <w:szCs w:val="28"/>
        </w:rPr>
        <w:t>trial</w:t>
      </w:r>
      <w:r w:rsidR="0030122A">
        <w:rPr>
          <w:b/>
          <w:sz w:val="28"/>
          <w:szCs w:val="28"/>
        </w:rPr>
        <w:t xml:space="preserve"> </w:t>
      </w:r>
    </w:p>
    <w:bookmarkEnd w:id="0"/>
    <w:p w:rsidR="00D316B5" w:rsidRPr="005345A6" w:rsidRDefault="00D316B5" w:rsidP="00F91BAD">
      <w:pPr>
        <w:spacing w:line="360" w:lineRule="auto"/>
        <w:jc w:val="both"/>
        <w:rPr>
          <w:szCs w:val="22"/>
        </w:rPr>
      </w:pPr>
    </w:p>
    <w:p w:rsidR="00D55D3B" w:rsidRPr="005345A6" w:rsidRDefault="00200182" w:rsidP="00F91BAD">
      <w:pPr>
        <w:spacing w:line="360" w:lineRule="auto"/>
        <w:jc w:val="both"/>
        <w:rPr>
          <w:rFonts w:cs="Calibri"/>
          <w:b/>
          <w:szCs w:val="22"/>
          <w:u w:val="single"/>
        </w:rPr>
      </w:pPr>
      <w:r w:rsidRPr="00026225">
        <w:rPr>
          <w:szCs w:val="22"/>
        </w:rPr>
        <w:t xml:space="preserve">Vincent </w:t>
      </w:r>
      <w:proofErr w:type="spellStart"/>
      <w:r w:rsidRPr="00026225">
        <w:rPr>
          <w:szCs w:val="22"/>
        </w:rPr>
        <w:t>Meininger</w:t>
      </w:r>
      <w:proofErr w:type="spellEnd"/>
      <w:r w:rsidRPr="00026225">
        <w:rPr>
          <w:szCs w:val="22"/>
        </w:rPr>
        <w:t>, MD</w:t>
      </w:r>
      <w:r w:rsidRPr="00026225">
        <w:rPr>
          <w:szCs w:val="22"/>
          <w:vertAlign w:val="superscript"/>
        </w:rPr>
        <w:t>1</w:t>
      </w:r>
      <w:r w:rsidR="00074582" w:rsidRPr="00026225">
        <w:rPr>
          <w:szCs w:val="22"/>
        </w:rPr>
        <w:t xml:space="preserve">, </w:t>
      </w:r>
      <w:r w:rsidRPr="00026225">
        <w:rPr>
          <w:szCs w:val="22"/>
        </w:rPr>
        <w:t xml:space="preserve">Angela </w:t>
      </w:r>
      <w:proofErr w:type="spellStart"/>
      <w:r w:rsidRPr="00026225">
        <w:rPr>
          <w:szCs w:val="22"/>
        </w:rPr>
        <w:t>Genge</w:t>
      </w:r>
      <w:proofErr w:type="spellEnd"/>
      <w:r w:rsidRPr="00026225">
        <w:rPr>
          <w:szCs w:val="22"/>
        </w:rPr>
        <w:t xml:space="preserve">, </w:t>
      </w:r>
      <w:r w:rsidRPr="00742261">
        <w:rPr>
          <w:szCs w:val="22"/>
        </w:rPr>
        <w:t>MD</w:t>
      </w:r>
      <w:r w:rsidRPr="00026225">
        <w:rPr>
          <w:szCs w:val="22"/>
          <w:vertAlign w:val="superscript"/>
        </w:rPr>
        <w:t>2</w:t>
      </w:r>
      <w:r w:rsidR="00074582" w:rsidRPr="00026225">
        <w:rPr>
          <w:szCs w:val="22"/>
        </w:rPr>
        <w:t xml:space="preserve">, </w:t>
      </w:r>
      <w:r w:rsidR="00BB761E">
        <w:rPr>
          <w:szCs w:val="22"/>
        </w:rPr>
        <w:t>Professor</w:t>
      </w:r>
      <w:r w:rsidR="00BB761E" w:rsidRPr="00026225">
        <w:rPr>
          <w:szCs w:val="22"/>
        </w:rPr>
        <w:t xml:space="preserve"> </w:t>
      </w:r>
      <w:r w:rsidRPr="00026225">
        <w:rPr>
          <w:szCs w:val="22"/>
        </w:rPr>
        <w:t>Leonard H</w:t>
      </w:r>
      <w:r w:rsidR="00686AB8">
        <w:rPr>
          <w:szCs w:val="22"/>
        </w:rPr>
        <w:t>.</w:t>
      </w:r>
      <w:r w:rsidRPr="00026225">
        <w:rPr>
          <w:szCs w:val="22"/>
        </w:rPr>
        <w:t xml:space="preserve"> </w:t>
      </w:r>
      <w:r w:rsidR="00981AE0" w:rsidRPr="00026225">
        <w:rPr>
          <w:szCs w:val="22"/>
        </w:rPr>
        <w:t xml:space="preserve">van </w:t>
      </w:r>
      <w:r w:rsidRPr="00026225">
        <w:rPr>
          <w:szCs w:val="22"/>
        </w:rPr>
        <w:t>den Berg, MD</w:t>
      </w:r>
      <w:r w:rsidRPr="00CE2BB6">
        <w:rPr>
          <w:szCs w:val="22"/>
          <w:vertAlign w:val="superscript"/>
        </w:rPr>
        <w:t>3</w:t>
      </w:r>
      <w:r w:rsidR="00074582" w:rsidRPr="000463F2">
        <w:rPr>
          <w:szCs w:val="22"/>
        </w:rPr>
        <w:t xml:space="preserve">, </w:t>
      </w:r>
      <w:proofErr w:type="spellStart"/>
      <w:r w:rsidRPr="00742261">
        <w:rPr>
          <w:szCs w:val="22"/>
        </w:rPr>
        <w:t>Wim</w:t>
      </w:r>
      <w:proofErr w:type="spellEnd"/>
      <w:r w:rsidRPr="00742261">
        <w:rPr>
          <w:szCs w:val="22"/>
        </w:rPr>
        <w:t xml:space="preserve"> </w:t>
      </w:r>
      <w:proofErr w:type="spellStart"/>
      <w:r w:rsidRPr="00742261">
        <w:rPr>
          <w:szCs w:val="22"/>
        </w:rPr>
        <w:t>Robberecht</w:t>
      </w:r>
      <w:proofErr w:type="spellEnd"/>
      <w:r w:rsidRPr="00742261">
        <w:rPr>
          <w:szCs w:val="22"/>
        </w:rPr>
        <w:t>, MD</w:t>
      </w:r>
      <w:r w:rsidRPr="00026225">
        <w:rPr>
          <w:szCs w:val="22"/>
          <w:vertAlign w:val="superscript"/>
        </w:rPr>
        <w:t>4</w:t>
      </w:r>
      <w:r w:rsidR="00074582" w:rsidRPr="00026225">
        <w:rPr>
          <w:szCs w:val="22"/>
        </w:rPr>
        <w:t xml:space="preserve">, </w:t>
      </w:r>
      <w:r w:rsidR="00BB761E">
        <w:rPr>
          <w:szCs w:val="22"/>
        </w:rPr>
        <w:t>Professor</w:t>
      </w:r>
      <w:r w:rsidR="00BB761E" w:rsidRPr="00026225">
        <w:rPr>
          <w:szCs w:val="22"/>
        </w:rPr>
        <w:t xml:space="preserve"> </w:t>
      </w:r>
      <w:r w:rsidRPr="00026225">
        <w:rPr>
          <w:szCs w:val="22"/>
        </w:rPr>
        <w:t xml:space="preserve">Albert </w:t>
      </w:r>
      <w:proofErr w:type="spellStart"/>
      <w:r w:rsidRPr="00026225">
        <w:rPr>
          <w:szCs w:val="22"/>
        </w:rPr>
        <w:t>Ludolph</w:t>
      </w:r>
      <w:proofErr w:type="spellEnd"/>
      <w:r w:rsidRPr="00026225">
        <w:rPr>
          <w:szCs w:val="22"/>
        </w:rPr>
        <w:t>, MD</w:t>
      </w:r>
      <w:r w:rsidRPr="00026225">
        <w:rPr>
          <w:szCs w:val="22"/>
          <w:vertAlign w:val="superscript"/>
        </w:rPr>
        <w:t>5</w:t>
      </w:r>
      <w:r w:rsidR="00074582" w:rsidRPr="00026225">
        <w:rPr>
          <w:szCs w:val="22"/>
        </w:rPr>
        <w:t xml:space="preserve">, </w:t>
      </w:r>
      <w:r w:rsidR="00BB761E">
        <w:rPr>
          <w:szCs w:val="22"/>
        </w:rPr>
        <w:t>Professor</w:t>
      </w:r>
      <w:r w:rsidR="00BB761E" w:rsidRPr="00026225">
        <w:rPr>
          <w:szCs w:val="22"/>
        </w:rPr>
        <w:t xml:space="preserve"> </w:t>
      </w:r>
      <w:r w:rsidRPr="00026225">
        <w:rPr>
          <w:szCs w:val="22"/>
        </w:rPr>
        <w:t>Adriano Chio</w:t>
      </w:r>
      <w:r w:rsidRPr="00CE2BB6">
        <w:rPr>
          <w:szCs w:val="22"/>
          <w:vertAlign w:val="superscript"/>
        </w:rPr>
        <w:t>6</w:t>
      </w:r>
      <w:r w:rsidRPr="000463F2">
        <w:rPr>
          <w:szCs w:val="22"/>
        </w:rPr>
        <w:t>, MD</w:t>
      </w:r>
      <w:r w:rsidR="00074582" w:rsidRPr="00742261">
        <w:rPr>
          <w:szCs w:val="22"/>
        </w:rPr>
        <w:t xml:space="preserve">, </w:t>
      </w:r>
      <w:proofErr w:type="spellStart"/>
      <w:r w:rsidR="009B7EE9" w:rsidRPr="00742261">
        <w:rPr>
          <w:szCs w:val="22"/>
        </w:rPr>
        <w:t>Seung</w:t>
      </w:r>
      <w:proofErr w:type="spellEnd"/>
      <w:r w:rsidR="009B7EE9" w:rsidRPr="00742261">
        <w:rPr>
          <w:szCs w:val="22"/>
        </w:rPr>
        <w:t xml:space="preserve"> H</w:t>
      </w:r>
      <w:r w:rsidR="00686AB8">
        <w:rPr>
          <w:szCs w:val="22"/>
        </w:rPr>
        <w:t>.</w:t>
      </w:r>
      <w:r w:rsidR="009B7EE9" w:rsidRPr="00742261">
        <w:rPr>
          <w:szCs w:val="22"/>
        </w:rPr>
        <w:t xml:space="preserve"> Kim, MD</w:t>
      </w:r>
      <w:r w:rsidRPr="00742261">
        <w:rPr>
          <w:szCs w:val="22"/>
          <w:vertAlign w:val="superscript"/>
        </w:rPr>
        <w:t>7</w:t>
      </w:r>
      <w:r w:rsidR="00074582" w:rsidRPr="00742261">
        <w:rPr>
          <w:szCs w:val="22"/>
        </w:rPr>
        <w:t xml:space="preserve">, </w:t>
      </w:r>
      <w:r w:rsidR="00BB761E">
        <w:rPr>
          <w:szCs w:val="22"/>
        </w:rPr>
        <w:t xml:space="preserve">Professor </w:t>
      </w:r>
      <w:r w:rsidR="003C71A7" w:rsidRPr="00742261">
        <w:rPr>
          <w:szCs w:val="22"/>
        </w:rPr>
        <w:t>P</w:t>
      </w:r>
      <w:r w:rsidR="00BB761E">
        <w:rPr>
          <w:szCs w:val="22"/>
        </w:rPr>
        <w:t>.</w:t>
      </w:r>
      <w:r w:rsidR="003C71A7" w:rsidRPr="00742261">
        <w:rPr>
          <w:szCs w:val="22"/>
        </w:rPr>
        <w:t xml:space="preserve"> </w:t>
      </w:r>
      <w:r w:rsidRPr="00742261">
        <w:rPr>
          <w:szCs w:val="22"/>
        </w:rPr>
        <w:t xml:space="preserve">Nigel Leigh, </w:t>
      </w:r>
      <w:r w:rsidR="00B87455" w:rsidRPr="00742261">
        <w:rPr>
          <w:szCs w:val="22"/>
        </w:rPr>
        <w:t>PhD</w:t>
      </w:r>
      <w:r w:rsidRPr="00742261">
        <w:rPr>
          <w:szCs w:val="22"/>
          <w:vertAlign w:val="superscript"/>
        </w:rPr>
        <w:t>8</w:t>
      </w:r>
      <w:r w:rsidR="00074582" w:rsidRPr="00742261">
        <w:rPr>
          <w:szCs w:val="22"/>
        </w:rPr>
        <w:t xml:space="preserve">, </w:t>
      </w:r>
      <w:r w:rsidR="00BB761E">
        <w:rPr>
          <w:szCs w:val="22"/>
        </w:rPr>
        <w:t xml:space="preserve">Professor </w:t>
      </w:r>
      <w:r w:rsidRPr="00742261">
        <w:rPr>
          <w:szCs w:val="22"/>
        </w:rPr>
        <w:t>Matthew C. Kiernan, DSc</w:t>
      </w:r>
      <w:r w:rsidRPr="00742261">
        <w:rPr>
          <w:szCs w:val="22"/>
          <w:vertAlign w:val="superscript"/>
        </w:rPr>
        <w:t>9</w:t>
      </w:r>
      <w:r w:rsidR="00074582" w:rsidRPr="00742261">
        <w:rPr>
          <w:szCs w:val="22"/>
        </w:rPr>
        <w:t xml:space="preserve">, </w:t>
      </w:r>
      <w:r w:rsidRPr="00742261">
        <w:rPr>
          <w:szCs w:val="22"/>
        </w:rPr>
        <w:t xml:space="preserve">Jeremy </w:t>
      </w:r>
      <w:r w:rsidR="003E29F7" w:rsidRPr="00742261">
        <w:rPr>
          <w:szCs w:val="22"/>
        </w:rPr>
        <w:t>M.</w:t>
      </w:r>
      <w:r w:rsidRPr="00742261">
        <w:rPr>
          <w:szCs w:val="22"/>
        </w:rPr>
        <w:t xml:space="preserve"> </w:t>
      </w:r>
      <w:proofErr w:type="spellStart"/>
      <w:r w:rsidRPr="00742261">
        <w:rPr>
          <w:szCs w:val="22"/>
        </w:rPr>
        <w:t>Shefner</w:t>
      </w:r>
      <w:proofErr w:type="spellEnd"/>
      <w:r w:rsidRPr="00742261">
        <w:rPr>
          <w:szCs w:val="22"/>
        </w:rPr>
        <w:t>, MD</w:t>
      </w:r>
      <w:r w:rsidRPr="00026225">
        <w:rPr>
          <w:szCs w:val="22"/>
          <w:vertAlign w:val="superscript"/>
        </w:rPr>
        <w:t>10</w:t>
      </w:r>
      <w:r w:rsidR="00074582" w:rsidRPr="00026225">
        <w:rPr>
          <w:szCs w:val="22"/>
        </w:rPr>
        <w:t xml:space="preserve">, </w:t>
      </w:r>
      <w:r w:rsidRPr="00026225">
        <w:rPr>
          <w:szCs w:val="22"/>
        </w:rPr>
        <w:t xml:space="preserve">Claude </w:t>
      </w:r>
      <w:proofErr w:type="spellStart"/>
      <w:r w:rsidRPr="00026225">
        <w:rPr>
          <w:szCs w:val="22"/>
        </w:rPr>
        <w:t>Desnuelle</w:t>
      </w:r>
      <w:proofErr w:type="spellEnd"/>
      <w:r w:rsidRPr="00026225">
        <w:rPr>
          <w:szCs w:val="22"/>
        </w:rPr>
        <w:t xml:space="preserve">, </w:t>
      </w:r>
      <w:r w:rsidRPr="00742261">
        <w:rPr>
          <w:szCs w:val="22"/>
        </w:rPr>
        <w:t>MD</w:t>
      </w:r>
      <w:r w:rsidRPr="00026225">
        <w:rPr>
          <w:szCs w:val="22"/>
          <w:vertAlign w:val="superscript"/>
        </w:rPr>
        <w:t>11</w:t>
      </w:r>
      <w:r w:rsidR="00074582" w:rsidRPr="00026225">
        <w:rPr>
          <w:szCs w:val="22"/>
        </w:rPr>
        <w:t xml:space="preserve">, </w:t>
      </w:r>
      <w:r w:rsidR="00BB761E">
        <w:rPr>
          <w:szCs w:val="22"/>
        </w:rPr>
        <w:t xml:space="preserve">Professor </w:t>
      </w:r>
      <w:r w:rsidRPr="00026225">
        <w:rPr>
          <w:szCs w:val="22"/>
        </w:rPr>
        <w:t>Karen E</w:t>
      </w:r>
      <w:r w:rsidR="00686AB8">
        <w:rPr>
          <w:szCs w:val="22"/>
        </w:rPr>
        <w:t>.</w:t>
      </w:r>
      <w:r w:rsidRPr="00026225">
        <w:rPr>
          <w:szCs w:val="22"/>
        </w:rPr>
        <w:t xml:space="preserve"> Morrison, D</w:t>
      </w:r>
      <w:r w:rsidR="002F0B3A" w:rsidRPr="00026225">
        <w:rPr>
          <w:szCs w:val="22"/>
        </w:rPr>
        <w:t>P</w:t>
      </w:r>
      <w:r w:rsidRPr="00026225">
        <w:rPr>
          <w:szCs w:val="22"/>
        </w:rPr>
        <w:t>hil</w:t>
      </w:r>
      <w:r w:rsidRPr="00026225">
        <w:rPr>
          <w:szCs w:val="22"/>
          <w:vertAlign w:val="superscript"/>
        </w:rPr>
        <w:t>12</w:t>
      </w:r>
      <w:r w:rsidR="000869F4" w:rsidRPr="00821AE2">
        <w:rPr>
          <w:szCs w:val="22"/>
        </w:rPr>
        <w:t>*</w:t>
      </w:r>
      <w:r w:rsidR="00074582" w:rsidRPr="00CE2BB6">
        <w:rPr>
          <w:szCs w:val="22"/>
        </w:rPr>
        <w:t xml:space="preserve">, </w:t>
      </w:r>
      <w:r w:rsidR="00BB761E">
        <w:rPr>
          <w:szCs w:val="22"/>
        </w:rPr>
        <w:t xml:space="preserve">Professor </w:t>
      </w:r>
      <w:r w:rsidRPr="000463F2">
        <w:rPr>
          <w:szCs w:val="22"/>
        </w:rPr>
        <w:t>Susanne Petri, MD</w:t>
      </w:r>
      <w:r w:rsidRPr="00742261">
        <w:rPr>
          <w:szCs w:val="22"/>
          <w:vertAlign w:val="superscript"/>
        </w:rPr>
        <w:t>13</w:t>
      </w:r>
      <w:r w:rsidR="00074582" w:rsidRPr="00742261">
        <w:rPr>
          <w:szCs w:val="22"/>
        </w:rPr>
        <w:t xml:space="preserve">, </w:t>
      </w:r>
      <w:r w:rsidRPr="00742261">
        <w:rPr>
          <w:szCs w:val="22"/>
        </w:rPr>
        <w:t>Diane Boswell, BSc (Hons)</w:t>
      </w:r>
      <w:r w:rsidRPr="00742261">
        <w:rPr>
          <w:szCs w:val="22"/>
          <w:vertAlign w:val="superscript"/>
        </w:rPr>
        <w:t>14</w:t>
      </w:r>
      <w:r w:rsidR="00074582" w:rsidRPr="00742261">
        <w:rPr>
          <w:szCs w:val="22"/>
        </w:rPr>
        <w:t xml:space="preserve">, </w:t>
      </w:r>
      <w:r w:rsidRPr="00742261">
        <w:rPr>
          <w:szCs w:val="22"/>
        </w:rPr>
        <w:t>Jane Temple, PhD</w:t>
      </w:r>
      <w:r w:rsidR="006A6561" w:rsidRPr="00742261">
        <w:rPr>
          <w:szCs w:val="22"/>
          <w:vertAlign w:val="superscript"/>
        </w:rPr>
        <w:t>15</w:t>
      </w:r>
      <w:r w:rsidR="00074582" w:rsidRPr="00742261">
        <w:rPr>
          <w:szCs w:val="22"/>
        </w:rPr>
        <w:t xml:space="preserve">, </w:t>
      </w:r>
      <w:r w:rsidR="00487597" w:rsidRPr="00742261">
        <w:rPr>
          <w:szCs w:val="22"/>
        </w:rPr>
        <w:t>Rajat Mohindra, MD</w:t>
      </w:r>
      <w:r w:rsidR="006A6561" w:rsidRPr="00742261">
        <w:rPr>
          <w:szCs w:val="22"/>
          <w:vertAlign w:val="superscript"/>
        </w:rPr>
        <w:t>16</w:t>
      </w:r>
      <w:r w:rsidR="006A6561" w:rsidRPr="00742261">
        <w:rPr>
          <w:szCs w:val="22"/>
        </w:rPr>
        <w:t>,</w:t>
      </w:r>
      <w:r w:rsidR="00031A55" w:rsidRPr="00742261">
        <w:rPr>
          <w:szCs w:val="22"/>
        </w:rPr>
        <w:t xml:space="preserve"> </w:t>
      </w:r>
      <w:r w:rsidR="006A6561" w:rsidRPr="00742261">
        <w:rPr>
          <w:szCs w:val="22"/>
        </w:rPr>
        <w:t>Matt Davies, MSc</w:t>
      </w:r>
      <w:r w:rsidR="006A6561" w:rsidRPr="00742261">
        <w:rPr>
          <w:szCs w:val="22"/>
          <w:vertAlign w:val="superscript"/>
        </w:rPr>
        <w:t>16</w:t>
      </w:r>
      <w:r w:rsidR="006A6561" w:rsidRPr="00742261">
        <w:rPr>
          <w:szCs w:val="22"/>
        </w:rPr>
        <w:t>,</w:t>
      </w:r>
      <w:r w:rsidR="00031A55" w:rsidRPr="00742261">
        <w:rPr>
          <w:szCs w:val="22"/>
        </w:rPr>
        <w:t xml:space="preserve"> </w:t>
      </w:r>
      <w:r w:rsidR="006A6561" w:rsidRPr="00742261">
        <w:rPr>
          <w:szCs w:val="22"/>
        </w:rPr>
        <w:t xml:space="preserve">Jonathan </w:t>
      </w:r>
      <w:proofErr w:type="spellStart"/>
      <w:r w:rsidR="006A6561" w:rsidRPr="00742261">
        <w:rPr>
          <w:szCs w:val="22"/>
        </w:rPr>
        <w:t>Bullman</w:t>
      </w:r>
      <w:proofErr w:type="spellEnd"/>
      <w:r w:rsidR="006A6561" w:rsidRPr="00742261">
        <w:rPr>
          <w:szCs w:val="22"/>
        </w:rPr>
        <w:t>, BSc (Hons)</w:t>
      </w:r>
      <w:r w:rsidR="006A6561" w:rsidRPr="00742261">
        <w:rPr>
          <w:szCs w:val="22"/>
          <w:vertAlign w:val="superscript"/>
        </w:rPr>
        <w:t>17</w:t>
      </w:r>
      <w:r w:rsidR="00031A55" w:rsidRPr="00742261">
        <w:rPr>
          <w:szCs w:val="22"/>
        </w:rPr>
        <w:t xml:space="preserve">, </w:t>
      </w:r>
      <w:r w:rsidR="006A6561" w:rsidRPr="00742261">
        <w:rPr>
          <w:szCs w:val="22"/>
        </w:rPr>
        <w:t>Paul Rees, PhD</w:t>
      </w:r>
      <w:r w:rsidR="006A6561" w:rsidRPr="00742261">
        <w:rPr>
          <w:szCs w:val="22"/>
          <w:vertAlign w:val="superscript"/>
        </w:rPr>
        <w:t>14</w:t>
      </w:r>
      <w:r w:rsidR="00031A55" w:rsidRPr="00742261">
        <w:rPr>
          <w:szCs w:val="22"/>
        </w:rPr>
        <w:t xml:space="preserve">, </w:t>
      </w:r>
      <w:r w:rsidR="006A6561" w:rsidRPr="00742261">
        <w:rPr>
          <w:szCs w:val="22"/>
        </w:rPr>
        <w:t>Arseniy Lavrov, MD</w:t>
      </w:r>
      <w:r w:rsidR="006A6561" w:rsidRPr="00026225">
        <w:rPr>
          <w:szCs w:val="22"/>
          <w:vertAlign w:val="superscript"/>
        </w:rPr>
        <w:t>14</w:t>
      </w:r>
      <w:r w:rsidR="00031A55" w:rsidRPr="00026225">
        <w:rPr>
          <w:szCs w:val="22"/>
        </w:rPr>
        <w:t xml:space="preserve">, </w:t>
      </w:r>
      <w:r w:rsidR="00420D07" w:rsidRPr="00026225">
        <w:rPr>
          <w:rFonts w:cs="Calibri"/>
          <w:szCs w:val="22"/>
        </w:rPr>
        <w:t>on behalf of the NOG112264 Study Group</w:t>
      </w:r>
      <w:r w:rsidR="007659BC" w:rsidRPr="00026225">
        <w:rPr>
          <w:rFonts w:cs="Calibri"/>
          <w:szCs w:val="22"/>
        </w:rPr>
        <w:t>.</w:t>
      </w:r>
    </w:p>
    <w:p w:rsidR="00200182" w:rsidRPr="005345A6" w:rsidRDefault="00200182" w:rsidP="00F91BAD">
      <w:pPr>
        <w:spacing w:line="360" w:lineRule="auto"/>
        <w:jc w:val="both"/>
        <w:rPr>
          <w:rFonts w:cs="Calibri"/>
          <w:b/>
          <w:szCs w:val="22"/>
          <w:u w:val="single"/>
        </w:rPr>
      </w:pPr>
    </w:p>
    <w:p w:rsidR="00200182" w:rsidRPr="009B7D5A" w:rsidRDefault="00200182" w:rsidP="00F91BAD">
      <w:pPr>
        <w:spacing w:line="360" w:lineRule="auto"/>
        <w:jc w:val="both"/>
        <w:rPr>
          <w:rFonts w:cs="Calibri"/>
          <w:i/>
          <w:szCs w:val="22"/>
          <w:lang w:val="fr-FR"/>
        </w:rPr>
      </w:pPr>
      <w:r w:rsidRPr="009B7D5A">
        <w:rPr>
          <w:rFonts w:cs="Calibri"/>
          <w:i/>
          <w:szCs w:val="22"/>
          <w:vertAlign w:val="superscript"/>
          <w:lang w:val="fr-FR"/>
        </w:rPr>
        <w:t>1</w:t>
      </w:r>
      <w:r w:rsidR="00A06A8B" w:rsidRPr="00A06A8B">
        <w:rPr>
          <w:rFonts w:cs="Calibri"/>
          <w:i/>
          <w:szCs w:val="22"/>
          <w:lang w:val="fr-FR"/>
        </w:rPr>
        <w:t xml:space="preserve">Ramsay </w:t>
      </w:r>
      <w:proofErr w:type="spellStart"/>
      <w:r w:rsidR="00A06A8B" w:rsidRPr="00A06A8B">
        <w:rPr>
          <w:rFonts w:cs="Calibri"/>
          <w:i/>
          <w:szCs w:val="22"/>
          <w:lang w:val="fr-FR"/>
        </w:rPr>
        <w:t>Generale</w:t>
      </w:r>
      <w:proofErr w:type="spellEnd"/>
      <w:r w:rsidR="00A06A8B" w:rsidRPr="00A06A8B">
        <w:rPr>
          <w:rFonts w:cs="Calibri"/>
          <w:i/>
          <w:szCs w:val="22"/>
          <w:lang w:val="fr-FR"/>
        </w:rPr>
        <w:t xml:space="preserve"> de Sante. </w:t>
      </w:r>
      <w:proofErr w:type="spellStart"/>
      <w:r w:rsidR="00A06A8B" w:rsidRPr="00A06A8B">
        <w:rPr>
          <w:rFonts w:cs="Calibri"/>
          <w:i/>
          <w:szCs w:val="22"/>
          <w:lang w:val="fr-FR"/>
        </w:rPr>
        <w:t>Hopital</w:t>
      </w:r>
      <w:proofErr w:type="spellEnd"/>
      <w:r w:rsidR="00A06A8B" w:rsidRPr="00A06A8B">
        <w:rPr>
          <w:rFonts w:cs="Calibri"/>
          <w:i/>
          <w:szCs w:val="22"/>
          <w:lang w:val="fr-FR"/>
        </w:rPr>
        <w:t xml:space="preserve"> Prive Peupliers, Paris, France</w:t>
      </w:r>
      <w:r w:rsidRPr="009B7D5A">
        <w:rPr>
          <w:rFonts w:cs="Calibri"/>
          <w:i/>
          <w:szCs w:val="22"/>
          <w:lang w:val="fr-FR"/>
        </w:rPr>
        <w:t xml:space="preserve">; </w:t>
      </w:r>
    </w:p>
    <w:p w:rsidR="00200182" w:rsidRPr="005345A6" w:rsidRDefault="00200182" w:rsidP="00F91BAD">
      <w:pPr>
        <w:spacing w:line="360" w:lineRule="auto"/>
        <w:jc w:val="both"/>
        <w:rPr>
          <w:rFonts w:cs="Calibri"/>
          <w:i/>
          <w:szCs w:val="22"/>
        </w:rPr>
      </w:pPr>
      <w:r w:rsidRPr="005345A6">
        <w:rPr>
          <w:rFonts w:cs="Calibri"/>
          <w:i/>
          <w:szCs w:val="22"/>
          <w:vertAlign w:val="superscript"/>
        </w:rPr>
        <w:t>2</w:t>
      </w:r>
      <w:r w:rsidRPr="005345A6">
        <w:rPr>
          <w:rFonts w:cs="Calibri"/>
          <w:i/>
          <w:szCs w:val="22"/>
        </w:rPr>
        <w:t xml:space="preserve">Department of Neurology and Neurosurgery, Montreal Neurological Institute and Hospital, Montreal, Quebec, Canada; </w:t>
      </w:r>
    </w:p>
    <w:p w:rsidR="00200182" w:rsidRPr="005345A6" w:rsidRDefault="00200182" w:rsidP="00F91BAD">
      <w:pPr>
        <w:spacing w:line="360" w:lineRule="auto"/>
        <w:jc w:val="both"/>
        <w:rPr>
          <w:rFonts w:cs="Calibri"/>
          <w:i/>
          <w:szCs w:val="22"/>
        </w:rPr>
      </w:pPr>
      <w:r w:rsidRPr="005345A6">
        <w:rPr>
          <w:rFonts w:cs="Calibri"/>
          <w:i/>
          <w:szCs w:val="22"/>
          <w:vertAlign w:val="superscript"/>
        </w:rPr>
        <w:t>3</w:t>
      </w:r>
      <w:r w:rsidRPr="005345A6">
        <w:rPr>
          <w:rFonts w:cs="Calibri"/>
          <w:i/>
          <w:szCs w:val="22"/>
        </w:rPr>
        <w:t xml:space="preserve">Department of Neurology, </w:t>
      </w:r>
      <w:r w:rsidR="007C0276">
        <w:rPr>
          <w:rFonts w:cs="Calibri"/>
          <w:i/>
          <w:szCs w:val="22"/>
        </w:rPr>
        <w:t xml:space="preserve">Brain Centre Rudolf Magnus, </w:t>
      </w:r>
      <w:r w:rsidRPr="005345A6">
        <w:rPr>
          <w:rFonts w:cs="Calibri"/>
          <w:i/>
          <w:szCs w:val="22"/>
        </w:rPr>
        <w:t xml:space="preserve">University Medical </w:t>
      </w:r>
      <w:proofErr w:type="spellStart"/>
      <w:r w:rsidRPr="005345A6">
        <w:rPr>
          <w:rFonts w:cs="Calibri"/>
          <w:i/>
          <w:szCs w:val="22"/>
        </w:rPr>
        <w:t>Center</w:t>
      </w:r>
      <w:proofErr w:type="spellEnd"/>
      <w:r w:rsidRPr="005345A6">
        <w:rPr>
          <w:rFonts w:cs="Calibri"/>
          <w:i/>
          <w:szCs w:val="22"/>
        </w:rPr>
        <w:t xml:space="preserve"> Utrecht, Utrecht, </w:t>
      </w:r>
      <w:r w:rsidR="00B9658C">
        <w:rPr>
          <w:rFonts w:cs="Calibri"/>
          <w:i/>
          <w:szCs w:val="22"/>
        </w:rPr>
        <w:t>t</w:t>
      </w:r>
      <w:r w:rsidR="00981AE0">
        <w:rPr>
          <w:rFonts w:cs="Calibri"/>
          <w:i/>
          <w:szCs w:val="22"/>
        </w:rPr>
        <w:t xml:space="preserve">he </w:t>
      </w:r>
      <w:r w:rsidRPr="005345A6">
        <w:rPr>
          <w:rFonts w:cs="Calibri"/>
          <w:i/>
          <w:szCs w:val="22"/>
        </w:rPr>
        <w:t xml:space="preserve">Netherlands; </w:t>
      </w:r>
    </w:p>
    <w:p w:rsidR="00200182" w:rsidRPr="002F0B3A" w:rsidRDefault="00200182" w:rsidP="00F91BAD">
      <w:pPr>
        <w:spacing w:line="360" w:lineRule="auto"/>
        <w:jc w:val="both"/>
        <w:rPr>
          <w:rFonts w:cs="Calibri"/>
          <w:i/>
          <w:szCs w:val="22"/>
        </w:rPr>
      </w:pPr>
      <w:r w:rsidRPr="002F0B3A">
        <w:rPr>
          <w:rFonts w:cs="Calibri"/>
          <w:i/>
          <w:szCs w:val="22"/>
          <w:vertAlign w:val="superscript"/>
        </w:rPr>
        <w:t>4</w:t>
      </w:r>
      <w:r w:rsidR="003B3B8A" w:rsidRPr="00786B53">
        <w:rPr>
          <w:rFonts w:asciiTheme="minorHAnsi" w:hAnsiTheme="minorHAnsi"/>
          <w:i/>
          <w:szCs w:val="22"/>
          <w:lang w:val="en-US"/>
        </w:rPr>
        <w:t>Department of Neurology</w:t>
      </w:r>
      <w:r w:rsidR="003B3B8A">
        <w:rPr>
          <w:rFonts w:asciiTheme="minorHAnsi" w:hAnsiTheme="minorHAnsi"/>
          <w:i/>
          <w:szCs w:val="22"/>
          <w:lang w:val="en-US"/>
        </w:rPr>
        <w:t>,</w:t>
      </w:r>
      <w:r w:rsidR="003B3B8A" w:rsidRPr="00786B53">
        <w:rPr>
          <w:rFonts w:asciiTheme="minorHAnsi" w:hAnsiTheme="minorHAnsi"/>
          <w:i/>
          <w:szCs w:val="22"/>
          <w:lang w:val="en-US"/>
        </w:rPr>
        <w:t xml:space="preserve"> University Hospitals Leuven, </w:t>
      </w:r>
      <w:r w:rsidR="002F0B3A" w:rsidRPr="00786B53">
        <w:rPr>
          <w:rFonts w:asciiTheme="minorHAnsi" w:hAnsiTheme="minorHAnsi"/>
          <w:i/>
          <w:szCs w:val="22"/>
          <w:lang w:val="en-US"/>
        </w:rPr>
        <w:t>KU Leuven - University of Leuven, Leuven</w:t>
      </w:r>
      <w:r w:rsidR="003B3B8A">
        <w:rPr>
          <w:rFonts w:asciiTheme="minorHAnsi" w:hAnsiTheme="minorHAnsi"/>
          <w:i/>
          <w:szCs w:val="22"/>
          <w:lang w:val="en-US"/>
        </w:rPr>
        <w:t>, Germany</w:t>
      </w:r>
      <w:r w:rsidRPr="002F0B3A">
        <w:rPr>
          <w:rFonts w:cs="Calibri"/>
          <w:i/>
          <w:szCs w:val="22"/>
        </w:rPr>
        <w:t xml:space="preserve">; </w:t>
      </w:r>
    </w:p>
    <w:p w:rsidR="00200182" w:rsidRPr="005345A6" w:rsidRDefault="00200182" w:rsidP="00F91BAD">
      <w:pPr>
        <w:spacing w:line="360" w:lineRule="auto"/>
        <w:jc w:val="both"/>
        <w:rPr>
          <w:rFonts w:cs="Calibri"/>
          <w:i/>
          <w:szCs w:val="22"/>
        </w:rPr>
      </w:pPr>
      <w:r w:rsidRPr="005345A6">
        <w:rPr>
          <w:rFonts w:cs="Calibri"/>
          <w:i/>
          <w:szCs w:val="22"/>
          <w:vertAlign w:val="superscript"/>
        </w:rPr>
        <w:t>5</w:t>
      </w:r>
      <w:r w:rsidRPr="005345A6">
        <w:rPr>
          <w:rFonts w:cs="Calibri"/>
          <w:i/>
          <w:szCs w:val="22"/>
        </w:rPr>
        <w:t xml:space="preserve">Department of Neurology, University of Ulm, Ulm, Germany; </w:t>
      </w:r>
    </w:p>
    <w:p w:rsidR="00200182" w:rsidRPr="005345A6" w:rsidRDefault="00200182" w:rsidP="00F91BAD">
      <w:pPr>
        <w:spacing w:line="360" w:lineRule="auto"/>
        <w:jc w:val="both"/>
        <w:rPr>
          <w:rFonts w:cs="Calibri"/>
          <w:i/>
          <w:szCs w:val="22"/>
        </w:rPr>
      </w:pPr>
      <w:r w:rsidRPr="00786B53">
        <w:rPr>
          <w:rFonts w:cs="Calibri"/>
          <w:i/>
          <w:szCs w:val="22"/>
          <w:vertAlign w:val="superscript"/>
        </w:rPr>
        <w:t>6</w:t>
      </w:r>
      <w:r w:rsidR="009E4C9A" w:rsidRPr="00786B53">
        <w:rPr>
          <w:rFonts w:cs="Calibri"/>
          <w:i/>
          <w:szCs w:val="22"/>
        </w:rPr>
        <w:t xml:space="preserve">’Rita Levi </w:t>
      </w:r>
      <w:proofErr w:type="spellStart"/>
      <w:r w:rsidR="009E4C9A" w:rsidRPr="00786B53">
        <w:rPr>
          <w:rFonts w:cs="Calibri"/>
          <w:i/>
          <w:szCs w:val="22"/>
        </w:rPr>
        <w:t>Montalcini</w:t>
      </w:r>
      <w:proofErr w:type="spellEnd"/>
      <w:r w:rsidR="009E4C9A" w:rsidRPr="00786B53">
        <w:rPr>
          <w:rFonts w:cs="Calibri"/>
          <w:i/>
          <w:szCs w:val="22"/>
        </w:rPr>
        <w:t>’</w:t>
      </w:r>
      <w:r w:rsidR="009E4C9A" w:rsidRPr="002F0B3A">
        <w:rPr>
          <w:rFonts w:cs="Calibri"/>
          <w:i/>
          <w:szCs w:val="22"/>
        </w:rPr>
        <w:t xml:space="preserve"> </w:t>
      </w:r>
      <w:r w:rsidRPr="002F0B3A">
        <w:rPr>
          <w:rFonts w:cs="Calibri"/>
          <w:i/>
          <w:szCs w:val="22"/>
        </w:rPr>
        <w:t>Department of Neuroscience, University of Turin, Turin, Italy;</w:t>
      </w:r>
      <w:r w:rsidRPr="005345A6">
        <w:rPr>
          <w:rFonts w:cs="Calibri"/>
          <w:i/>
          <w:szCs w:val="22"/>
        </w:rPr>
        <w:t xml:space="preserve"> </w:t>
      </w:r>
    </w:p>
    <w:p w:rsidR="00200182" w:rsidRPr="005345A6" w:rsidRDefault="00200182" w:rsidP="00F91BAD">
      <w:pPr>
        <w:spacing w:line="360" w:lineRule="auto"/>
        <w:jc w:val="both"/>
        <w:rPr>
          <w:rFonts w:cs="Calibri"/>
          <w:i/>
          <w:szCs w:val="22"/>
        </w:rPr>
      </w:pPr>
      <w:r w:rsidRPr="005345A6">
        <w:rPr>
          <w:rFonts w:cs="Calibri"/>
          <w:i/>
          <w:szCs w:val="22"/>
          <w:vertAlign w:val="superscript"/>
        </w:rPr>
        <w:t>7</w:t>
      </w:r>
      <w:r w:rsidRPr="005345A6">
        <w:rPr>
          <w:rFonts w:cs="Calibri"/>
          <w:i/>
          <w:szCs w:val="22"/>
        </w:rPr>
        <w:t xml:space="preserve">Department of Neurology, </w:t>
      </w:r>
      <w:proofErr w:type="spellStart"/>
      <w:r w:rsidRPr="005345A6">
        <w:rPr>
          <w:rFonts w:cs="Calibri"/>
          <w:i/>
          <w:szCs w:val="22"/>
        </w:rPr>
        <w:t>Hanyang</w:t>
      </w:r>
      <w:proofErr w:type="spellEnd"/>
      <w:r w:rsidRPr="005345A6">
        <w:rPr>
          <w:rFonts w:cs="Calibri"/>
          <w:i/>
          <w:szCs w:val="22"/>
        </w:rPr>
        <w:t xml:space="preserve"> University Medical </w:t>
      </w:r>
      <w:proofErr w:type="spellStart"/>
      <w:r w:rsidRPr="005345A6">
        <w:rPr>
          <w:rFonts w:cs="Calibri"/>
          <w:i/>
          <w:szCs w:val="22"/>
        </w:rPr>
        <w:t>Center</w:t>
      </w:r>
      <w:proofErr w:type="spellEnd"/>
      <w:r w:rsidRPr="005345A6">
        <w:rPr>
          <w:rFonts w:cs="Calibri"/>
          <w:i/>
          <w:szCs w:val="22"/>
        </w:rPr>
        <w:t>, Seoul, Korea;</w:t>
      </w:r>
    </w:p>
    <w:p w:rsidR="00200182" w:rsidRPr="005345A6" w:rsidRDefault="00200182" w:rsidP="00F91BAD">
      <w:pPr>
        <w:spacing w:line="360" w:lineRule="auto"/>
        <w:jc w:val="both"/>
        <w:rPr>
          <w:rFonts w:cs="Calibri"/>
          <w:i/>
          <w:szCs w:val="22"/>
        </w:rPr>
      </w:pPr>
      <w:r w:rsidRPr="005345A6">
        <w:rPr>
          <w:rFonts w:cs="Calibri"/>
          <w:i/>
          <w:szCs w:val="22"/>
          <w:vertAlign w:val="superscript"/>
        </w:rPr>
        <w:t>8</w:t>
      </w:r>
      <w:r w:rsidR="00B87455" w:rsidRPr="00B87455">
        <w:rPr>
          <w:rFonts w:cs="Calibri"/>
          <w:i/>
          <w:szCs w:val="22"/>
        </w:rPr>
        <w:t>Division of Medicine (Neurology), Trafford Centre for Biomedical Research, Brighton and Sussex Medical School, University of Sussex, East Sussex, United Kingdom</w:t>
      </w:r>
      <w:r w:rsidRPr="005345A6">
        <w:rPr>
          <w:rFonts w:cs="Calibri"/>
          <w:i/>
          <w:szCs w:val="22"/>
        </w:rPr>
        <w:t xml:space="preserve">; </w:t>
      </w:r>
    </w:p>
    <w:p w:rsidR="00200182" w:rsidRPr="005345A6" w:rsidRDefault="00200182" w:rsidP="00F91BAD">
      <w:pPr>
        <w:spacing w:line="360" w:lineRule="auto"/>
        <w:jc w:val="both"/>
        <w:rPr>
          <w:rFonts w:cs="Calibri"/>
          <w:i/>
          <w:szCs w:val="22"/>
        </w:rPr>
      </w:pPr>
      <w:r w:rsidRPr="005345A6">
        <w:rPr>
          <w:rFonts w:cs="Calibri"/>
          <w:i/>
          <w:szCs w:val="22"/>
          <w:vertAlign w:val="superscript"/>
        </w:rPr>
        <w:t>9</w:t>
      </w:r>
      <w:r w:rsidRPr="005345A6">
        <w:rPr>
          <w:rFonts w:cs="Calibri"/>
          <w:i/>
          <w:szCs w:val="22"/>
        </w:rPr>
        <w:t xml:space="preserve">Brain &amp; Mind </w:t>
      </w:r>
      <w:r w:rsidR="002536BA">
        <w:rPr>
          <w:rFonts w:cs="Calibri"/>
          <w:i/>
          <w:szCs w:val="22"/>
        </w:rPr>
        <w:t>Centre</w:t>
      </w:r>
      <w:r w:rsidRPr="005345A6">
        <w:rPr>
          <w:rFonts w:cs="Calibri"/>
          <w:i/>
          <w:szCs w:val="22"/>
        </w:rPr>
        <w:t xml:space="preserve">, </w:t>
      </w:r>
      <w:r w:rsidR="002536BA">
        <w:rPr>
          <w:rFonts w:cs="Calibri"/>
          <w:i/>
          <w:szCs w:val="22"/>
        </w:rPr>
        <w:t xml:space="preserve">Sydney Medical School, </w:t>
      </w:r>
      <w:r w:rsidR="0093138B">
        <w:rPr>
          <w:rFonts w:cs="Calibri"/>
          <w:i/>
          <w:szCs w:val="22"/>
        </w:rPr>
        <w:t>t</w:t>
      </w:r>
      <w:r w:rsidRPr="005345A6">
        <w:rPr>
          <w:rFonts w:cs="Calibri"/>
          <w:i/>
          <w:szCs w:val="22"/>
        </w:rPr>
        <w:t xml:space="preserve">he University of Sydney, Sydney, Australia; </w:t>
      </w:r>
    </w:p>
    <w:p w:rsidR="00200182" w:rsidRPr="005345A6" w:rsidRDefault="00200182" w:rsidP="00F91BAD">
      <w:pPr>
        <w:spacing w:line="360" w:lineRule="auto"/>
        <w:jc w:val="both"/>
        <w:rPr>
          <w:rFonts w:cs="Calibri"/>
          <w:i/>
          <w:szCs w:val="22"/>
        </w:rPr>
      </w:pPr>
      <w:r w:rsidRPr="005345A6">
        <w:rPr>
          <w:rFonts w:cs="Calibri"/>
          <w:i/>
          <w:szCs w:val="22"/>
          <w:vertAlign w:val="superscript"/>
        </w:rPr>
        <w:t>10</w:t>
      </w:r>
      <w:r w:rsidRPr="005345A6">
        <w:rPr>
          <w:rFonts w:cs="Calibri"/>
          <w:i/>
          <w:szCs w:val="22"/>
        </w:rPr>
        <w:t xml:space="preserve">Barrow Neurological Institute, Phoenix, AZ, United States; </w:t>
      </w:r>
    </w:p>
    <w:p w:rsidR="00200182" w:rsidRPr="005345A6" w:rsidRDefault="00200182" w:rsidP="00F91BAD">
      <w:pPr>
        <w:spacing w:line="360" w:lineRule="auto"/>
        <w:jc w:val="both"/>
        <w:rPr>
          <w:rFonts w:cs="Calibri"/>
          <w:i/>
          <w:szCs w:val="22"/>
        </w:rPr>
      </w:pPr>
      <w:r w:rsidRPr="005345A6">
        <w:rPr>
          <w:rFonts w:cs="Calibri"/>
          <w:i/>
          <w:szCs w:val="22"/>
          <w:vertAlign w:val="superscript"/>
        </w:rPr>
        <w:t>11</w:t>
      </w:r>
      <w:r w:rsidR="00B87455" w:rsidRPr="00B87455">
        <w:rPr>
          <w:rFonts w:cs="Calibri"/>
          <w:i/>
          <w:szCs w:val="22"/>
        </w:rPr>
        <w:t>Department of Neurology, University Hospital of Nice</w:t>
      </w:r>
      <w:r w:rsidRPr="005345A6">
        <w:rPr>
          <w:rFonts w:cs="Calibri"/>
          <w:i/>
          <w:szCs w:val="22"/>
        </w:rPr>
        <w:t xml:space="preserve">, Nice, France; </w:t>
      </w:r>
    </w:p>
    <w:p w:rsidR="00200182" w:rsidRPr="005345A6" w:rsidRDefault="00200182" w:rsidP="00F91BAD">
      <w:pPr>
        <w:spacing w:line="360" w:lineRule="auto"/>
        <w:jc w:val="both"/>
        <w:rPr>
          <w:rFonts w:cs="Calibri"/>
          <w:i/>
          <w:szCs w:val="22"/>
        </w:rPr>
      </w:pPr>
      <w:r w:rsidRPr="005345A6">
        <w:rPr>
          <w:rFonts w:cs="Calibri"/>
          <w:i/>
          <w:szCs w:val="22"/>
          <w:vertAlign w:val="superscript"/>
        </w:rPr>
        <w:t>12</w:t>
      </w:r>
      <w:r w:rsidR="002F0B3A" w:rsidRPr="002F0B3A">
        <w:rPr>
          <w:rFonts w:cs="Calibri"/>
          <w:i/>
          <w:szCs w:val="22"/>
        </w:rPr>
        <w:t>Institute of Clinical Sciences, University of Birmingham, Edgbaston</w:t>
      </w:r>
      <w:r w:rsidR="002F0B3A">
        <w:rPr>
          <w:rFonts w:cs="Calibri"/>
          <w:i/>
          <w:szCs w:val="22"/>
        </w:rPr>
        <w:t>,</w:t>
      </w:r>
      <w:r w:rsidR="002F0B3A" w:rsidRPr="002F0B3A" w:rsidDel="002F0B3A">
        <w:rPr>
          <w:rFonts w:cs="Calibri"/>
          <w:i/>
          <w:szCs w:val="22"/>
        </w:rPr>
        <w:t xml:space="preserve"> </w:t>
      </w:r>
      <w:r w:rsidRPr="005345A6">
        <w:rPr>
          <w:rFonts w:cs="Calibri"/>
          <w:i/>
          <w:szCs w:val="22"/>
        </w:rPr>
        <w:t xml:space="preserve">Birmingham, United Kingdom; </w:t>
      </w:r>
      <w:r w:rsidR="000869F4">
        <w:rPr>
          <w:rFonts w:cs="Calibri"/>
          <w:i/>
          <w:szCs w:val="22"/>
        </w:rPr>
        <w:t xml:space="preserve">*Current address: </w:t>
      </w:r>
      <w:r w:rsidR="000869F4" w:rsidRPr="000869F4">
        <w:rPr>
          <w:rFonts w:cs="Calibri"/>
          <w:i/>
          <w:szCs w:val="22"/>
        </w:rPr>
        <w:t>Faculty of Medicine, University of Southampton, University Hospital Southampton, Southampton</w:t>
      </w:r>
      <w:r w:rsidR="000869F4">
        <w:rPr>
          <w:rFonts w:cs="Calibri"/>
          <w:i/>
          <w:szCs w:val="22"/>
        </w:rPr>
        <w:t>, United Kingdom;</w:t>
      </w:r>
    </w:p>
    <w:p w:rsidR="00200182" w:rsidRPr="005345A6" w:rsidRDefault="00200182" w:rsidP="00F91BAD">
      <w:pPr>
        <w:spacing w:line="360" w:lineRule="auto"/>
        <w:jc w:val="both"/>
        <w:rPr>
          <w:rFonts w:cs="Calibri"/>
          <w:i/>
          <w:szCs w:val="22"/>
        </w:rPr>
      </w:pPr>
      <w:r w:rsidRPr="005345A6">
        <w:rPr>
          <w:rFonts w:cs="Calibri"/>
          <w:i/>
          <w:szCs w:val="22"/>
          <w:vertAlign w:val="superscript"/>
        </w:rPr>
        <w:t>13</w:t>
      </w:r>
      <w:r w:rsidRPr="005345A6">
        <w:rPr>
          <w:rFonts w:cs="Calibri"/>
          <w:i/>
          <w:szCs w:val="22"/>
        </w:rPr>
        <w:t xml:space="preserve">Department of Neurology, Hannover Medical School, Hannover, Germany; </w:t>
      </w:r>
    </w:p>
    <w:p w:rsidR="00200182" w:rsidRPr="005345A6" w:rsidRDefault="00200182" w:rsidP="00F91BAD">
      <w:pPr>
        <w:spacing w:line="360" w:lineRule="auto"/>
        <w:jc w:val="both"/>
        <w:rPr>
          <w:rFonts w:cs="Calibri"/>
          <w:i/>
          <w:szCs w:val="22"/>
        </w:rPr>
      </w:pPr>
      <w:r w:rsidRPr="005345A6">
        <w:rPr>
          <w:rFonts w:cs="Calibri"/>
          <w:i/>
          <w:szCs w:val="22"/>
          <w:vertAlign w:val="superscript"/>
        </w:rPr>
        <w:lastRenderedPageBreak/>
        <w:t>14</w:t>
      </w:r>
      <w:r w:rsidRPr="005345A6">
        <w:rPr>
          <w:rFonts w:cs="Calibri"/>
          <w:i/>
          <w:szCs w:val="22"/>
        </w:rPr>
        <w:t xml:space="preserve">Neurosciences Therapy Area Unit, GSK, Stockley Park, United Kingdom; </w:t>
      </w:r>
    </w:p>
    <w:p w:rsidR="006A6561" w:rsidRPr="005345A6" w:rsidRDefault="00200182" w:rsidP="00F91BAD">
      <w:pPr>
        <w:spacing w:line="360" w:lineRule="auto"/>
        <w:jc w:val="both"/>
        <w:rPr>
          <w:rFonts w:cs="Calibri"/>
          <w:i/>
          <w:szCs w:val="22"/>
        </w:rPr>
      </w:pPr>
      <w:r w:rsidRPr="005345A6">
        <w:rPr>
          <w:rFonts w:cs="Calibri"/>
          <w:i/>
          <w:szCs w:val="22"/>
          <w:vertAlign w:val="superscript"/>
        </w:rPr>
        <w:t>15</w:t>
      </w:r>
      <w:r w:rsidR="006A6561" w:rsidRPr="005345A6">
        <w:rPr>
          <w:rFonts w:cs="Calibri"/>
          <w:i/>
          <w:szCs w:val="22"/>
        </w:rPr>
        <w:t xml:space="preserve">RD PCPS </w:t>
      </w:r>
      <w:proofErr w:type="spellStart"/>
      <w:r w:rsidR="006A6561" w:rsidRPr="005345A6">
        <w:rPr>
          <w:rFonts w:cs="Calibri"/>
          <w:i/>
          <w:szCs w:val="22"/>
        </w:rPr>
        <w:t>QSci</w:t>
      </w:r>
      <w:proofErr w:type="spellEnd"/>
      <w:r w:rsidR="006A6561" w:rsidRPr="005345A6">
        <w:rPr>
          <w:rFonts w:cs="Calibri"/>
          <w:i/>
          <w:szCs w:val="22"/>
        </w:rPr>
        <w:t xml:space="preserve"> Clinical Statistics, GSK, Stockley Park, United Kingdom; </w:t>
      </w:r>
    </w:p>
    <w:p w:rsidR="006A6561" w:rsidRPr="005345A6" w:rsidRDefault="006A6561" w:rsidP="00F91BAD">
      <w:pPr>
        <w:spacing w:line="360" w:lineRule="auto"/>
        <w:jc w:val="both"/>
        <w:rPr>
          <w:rFonts w:cs="Calibri"/>
          <w:i/>
          <w:szCs w:val="22"/>
        </w:rPr>
      </w:pPr>
      <w:r w:rsidRPr="005345A6">
        <w:rPr>
          <w:rFonts w:cs="Calibri"/>
          <w:i/>
          <w:szCs w:val="22"/>
          <w:vertAlign w:val="superscript"/>
        </w:rPr>
        <w:t>16</w:t>
      </w:r>
      <w:r w:rsidRPr="005345A6">
        <w:rPr>
          <w:rFonts w:cs="Calibri"/>
          <w:i/>
          <w:szCs w:val="22"/>
        </w:rPr>
        <w:t xml:space="preserve">Global Clinical Safety and Pharmacovigilance, GSK, </w:t>
      </w:r>
      <w:proofErr w:type="spellStart"/>
      <w:r w:rsidRPr="005345A6">
        <w:rPr>
          <w:rFonts w:cs="Calibri"/>
          <w:i/>
          <w:szCs w:val="22"/>
        </w:rPr>
        <w:t>Stockley</w:t>
      </w:r>
      <w:proofErr w:type="spellEnd"/>
      <w:r w:rsidRPr="005345A6">
        <w:rPr>
          <w:rFonts w:cs="Calibri"/>
          <w:i/>
          <w:szCs w:val="22"/>
        </w:rPr>
        <w:t xml:space="preserve"> Park, United Kingdom;</w:t>
      </w:r>
    </w:p>
    <w:p w:rsidR="006A6561" w:rsidRPr="00B157F1" w:rsidRDefault="006A6561" w:rsidP="00F91BAD">
      <w:pPr>
        <w:spacing w:line="360" w:lineRule="auto"/>
        <w:jc w:val="both"/>
        <w:rPr>
          <w:i/>
        </w:rPr>
      </w:pPr>
      <w:r w:rsidRPr="00B157F1">
        <w:rPr>
          <w:i/>
          <w:vertAlign w:val="superscript"/>
        </w:rPr>
        <w:t>17</w:t>
      </w:r>
      <w:r w:rsidR="0081647D" w:rsidRPr="00786B53">
        <w:rPr>
          <w:rFonts w:cs="Calibri"/>
          <w:i/>
          <w:szCs w:val="22"/>
        </w:rPr>
        <w:t>Clinical Pharmacology Modell</w:t>
      </w:r>
      <w:r w:rsidR="00297A5C" w:rsidRPr="00786B53">
        <w:rPr>
          <w:rFonts w:cs="Calibri"/>
          <w:i/>
          <w:szCs w:val="22"/>
        </w:rPr>
        <w:t>ing and Simulation</w:t>
      </w:r>
      <w:r w:rsidRPr="00B157F1">
        <w:rPr>
          <w:i/>
        </w:rPr>
        <w:t xml:space="preserve">, GSK, Stevenage, United Kingdom </w:t>
      </w:r>
    </w:p>
    <w:p w:rsidR="002A6B74" w:rsidRDefault="002A6B74" w:rsidP="004F672E">
      <w:pPr>
        <w:spacing w:line="360" w:lineRule="auto"/>
        <w:jc w:val="both"/>
        <w:rPr>
          <w:rFonts w:cs="Calibri"/>
          <w:b/>
          <w:szCs w:val="22"/>
        </w:rPr>
      </w:pPr>
    </w:p>
    <w:p w:rsidR="004F672E" w:rsidRPr="00F345BB" w:rsidRDefault="004F672E" w:rsidP="004F672E">
      <w:pPr>
        <w:spacing w:line="360" w:lineRule="auto"/>
        <w:jc w:val="both"/>
        <w:rPr>
          <w:rFonts w:cs="Calibri"/>
          <w:szCs w:val="22"/>
        </w:rPr>
      </w:pPr>
      <w:r w:rsidRPr="00F345BB">
        <w:rPr>
          <w:rFonts w:cs="Calibri"/>
          <w:b/>
          <w:szCs w:val="22"/>
        </w:rPr>
        <w:t>Corresponding author:</w:t>
      </w:r>
      <w:r w:rsidRPr="00F345BB">
        <w:rPr>
          <w:rFonts w:cs="Calibri"/>
          <w:color w:val="FF0000"/>
          <w:szCs w:val="22"/>
        </w:rPr>
        <w:t xml:space="preserve"> </w:t>
      </w:r>
      <w:r w:rsidRPr="00F345BB">
        <w:rPr>
          <w:rFonts w:cs="Calibri"/>
          <w:szCs w:val="22"/>
        </w:rPr>
        <w:t>Arseniy Lavrov</w:t>
      </w:r>
    </w:p>
    <w:p w:rsidR="004F672E" w:rsidRPr="00F345BB" w:rsidRDefault="004F672E" w:rsidP="004F672E">
      <w:pPr>
        <w:spacing w:line="360" w:lineRule="auto"/>
        <w:jc w:val="both"/>
        <w:outlineLvl w:val="0"/>
        <w:rPr>
          <w:rFonts w:cs="Calibri"/>
          <w:szCs w:val="22"/>
        </w:rPr>
      </w:pPr>
      <w:r w:rsidRPr="00F345BB">
        <w:rPr>
          <w:rFonts w:cs="Calibri"/>
          <w:szCs w:val="22"/>
        </w:rPr>
        <w:t>Neurosciences Therapy Area Unit</w:t>
      </w:r>
    </w:p>
    <w:p w:rsidR="004F672E" w:rsidRPr="00F345BB" w:rsidRDefault="004F672E" w:rsidP="004F672E">
      <w:pPr>
        <w:spacing w:line="360" w:lineRule="auto"/>
        <w:jc w:val="both"/>
        <w:outlineLvl w:val="0"/>
        <w:rPr>
          <w:rFonts w:cs="Calibri"/>
          <w:szCs w:val="22"/>
        </w:rPr>
      </w:pPr>
      <w:r w:rsidRPr="00F345BB">
        <w:rPr>
          <w:rFonts w:cs="Calibri"/>
          <w:szCs w:val="22"/>
        </w:rPr>
        <w:t>GlaxoSmithKline R&amp;D</w:t>
      </w:r>
    </w:p>
    <w:p w:rsidR="004F672E" w:rsidRPr="00F345BB" w:rsidRDefault="004F672E" w:rsidP="004F672E">
      <w:pPr>
        <w:spacing w:line="360" w:lineRule="auto"/>
        <w:jc w:val="both"/>
        <w:outlineLvl w:val="0"/>
        <w:rPr>
          <w:rFonts w:cs="Calibri"/>
          <w:szCs w:val="22"/>
        </w:rPr>
      </w:pPr>
      <w:r w:rsidRPr="00F345BB">
        <w:rPr>
          <w:rFonts w:cs="Calibri"/>
          <w:szCs w:val="22"/>
        </w:rPr>
        <w:t>Stockley Park West</w:t>
      </w:r>
    </w:p>
    <w:p w:rsidR="004F672E" w:rsidRPr="00F345BB" w:rsidRDefault="004F672E" w:rsidP="004F672E">
      <w:pPr>
        <w:spacing w:line="360" w:lineRule="auto"/>
        <w:jc w:val="both"/>
        <w:outlineLvl w:val="0"/>
        <w:rPr>
          <w:rFonts w:cs="Calibri"/>
          <w:szCs w:val="22"/>
        </w:rPr>
      </w:pPr>
      <w:r w:rsidRPr="00F345BB">
        <w:rPr>
          <w:rFonts w:cs="Calibri"/>
          <w:szCs w:val="22"/>
        </w:rPr>
        <w:t>Uxbridge, Middlesex</w:t>
      </w:r>
    </w:p>
    <w:p w:rsidR="004F672E" w:rsidRPr="00F345BB" w:rsidRDefault="004F672E" w:rsidP="004F672E">
      <w:pPr>
        <w:spacing w:line="360" w:lineRule="auto"/>
        <w:jc w:val="both"/>
        <w:outlineLvl w:val="0"/>
        <w:rPr>
          <w:rFonts w:cs="Calibri"/>
          <w:szCs w:val="22"/>
        </w:rPr>
      </w:pPr>
      <w:r w:rsidRPr="00F345BB">
        <w:rPr>
          <w:rFonts w:cs="Calibri"/>
          <w:szCs w:val="22"/>
        </w:rPr>
        <w:t>UB11 1BT</w:t>
      </w:r>
    </w:p>
    <w:p w:rsidR="004F672E" w:rsidRPr="00F345BB" w:rsidRDefault="004F672E" w:rsidP="004F672E">
      <w:pPr>
        <w:spacing w:line="360" w:lineRule="auto"/>
        <w:jc w:val="both"/>
        <w:outlineLvl w:val="0"/>
        <w:rPr>
          <w:rFonts w:cs="Calibri"/>
          <w:szCs w:val="22"/>
        </w:rPr>
      </w:pPr>
      <w:r w:rsidRPr="00F345BB">
        <w:rPr>
          <w:rFonts w:cs="Calibri"/>
          <w:szCs w:val="22"/>
        </w:rPr>
        <w:t>UK</w:t>
      </w:r>
    </w:p>
    <w:p w:rsidR="004F672E" w:rsidRPr="008E5368" w:rsidRDefault="004F672E" w:rsidP="004F672E">
      <w:pPr>
        <w:spacing w:line="360" w:lineRule="auto"/>
        <w:jc w:val="both"/>
        <w:rPr>
          <w:rFonts w:cs="Calibri"/>
          <w:b/>
          <w:szCs w:val="22"/>
          <w:u w:val="single"/>
        </w:rPr>
      </w:pPr>
      <w:r w:rsidRPr="008E5368">
        <w:t>arseniy.j.lavrov@gsk.com</w:t>
      </w:r>
    </w:p>
    <w:p w:rsidR="00B00AA4" w:rsidRDefault="00A674DE" w:rsidP="00FD4D14">
      <w:pPr>
        <w:spacing w:line="360" w:lineRule="auto"/>
        <w:outlineLvl w:val="0"/>
        <w:rPr>
          <w:i/>
        </w:rPr>
      </w:pPr>
      <w:r>
        <w:rPr>
          <w:b/>
        </w:rPr>
        <w:t>T</w:t>
      </w:r>
      <w:r w:rsidR="00FD41DF" w:rsidRPr="007574A9">
        <w:rPr>
          <w:b/>
        </w:rPr>
        <w:t>arget j</w:t>
      </w:r>
      <w:r w:rsidR="00E06C99" w:rsidRPr="007574A9">
        <w:rPr>
          <w:b/>
        </w:rPr>
        <w:t>ournal</w:t>
      </w:r>
      <w:r w:rsidR="00E06C99" w:rsidRPr="005345A6">
        <w:t xml:space="preserve">: </w:t>
      </w:r>
      <w:r w:rsidR="00A055E1" w:rsidRPr="005345A6">
        <w:rPr>
          <w:b/>
          <w:i/>
        </w:rPr>
        <w:t>Lancet Neurology</w:t>
      </w:r>
    </w:p>
    <w:p w:rsidR="00B00AA4" w:rsidRDefault="005951D1" w:rsidP="00FD4D14">
      <w:pPr>
        <w:spacing w:line="360" w:lineRule="auto"/>
        <w:outlineLvl w:val="0"/>
        <w:rPr>
          <w:rFonts w:asciiTheme="minorHAnsi" w:eastAsia="Times New Roman" w:hAnsiTheme="minorHAnsi"/>
          <w:bCs/>
          <w:kern w:val="36"/>
          <w:szCs w:val="22"/>
        </w:rPr>
      </w:pPr>
      <w:r w:rsidRPr="005345A6">
        <w:rPr>
          <w:rFonts w:asciiTheme="minorHAnsi" w:eastAsia="Times New Roman" w:hAnsiTheme="minorHAnsi"/>
          <w:b/>
          <w:bCs/>
          <w:kern w:val="36"/>
          <w:szCs w:val="22"/>
        </w:rPr>
        <w:t xml:space="preserve">Word </w:t>
      </w:r>
      <w:r w:rsidR="00CF4112">
        <w:rPr>
          <w:rFonts w:asciiTheme="minorHAnsi" w:eastAsia="Times New Roman" w:hAnsiTheme="minorHAnsi"/>
          <w:b/>
          <w:bCs/>
          <w:kern w:val="36"/>
          <w:szCs w:val="22"/>
        </w:rPr>
        <w:t>count</w:t>
      </w:r>
      <w:r w:rsidRPr="005345A6">
        <w:rPr>
          <w:rFonts w:asciiTheme="minorHAnsi" w:eastAsia="Times New Roman" w:hAnsiTheme="minorHAnsi"/>
          <w:bCs/>
          <w:kern w:val="36"/>
          <w:szCs w:val="22"/>
        </w:rPr>
        <w:t xml:space="preserve">: </w:t>
      </w:r>
      <w:r w:rsidR="006158AC">
        <w:rPr>
          <w:rFonts w:asciiTheme="minorHAnsi" w:eastAsia="Times New Roman" w:hAnsiTheme="minorHAnsi"/>
          <w:bCs/>
          <w:kern w:val="36"/>
          <w:szCs w:val="22"/>
        </w:rPr>
        <w:t>4</w:t>
      </w:r>
      <w:r w:rsidR="00724006">
        <w:rPr>
          <w:rFonts w:asciiTheme="minorHAnsi" w:eastAsia="Times New Roman" w:hAnsiTheme="minorHAnsi"/>
          <w:bCs/>
          <w:kern w:val="36"/>
          <w:szCs w:val="22"/>
        </w:rPr>
        <w:t>587</w:t>
      </w:r>
      <w:r w:rsidR="006158AC">
        <w:rPr>
          <w:rFonts w:asciiTheme="minorHAnsi" w:eastAsia="Times New Roman" w:hAnsiTheme="minorHAnsi"/>
          <w:bCs/>
          <w:kern w:val="36"/>
          <w:szCs w:val="22"/>
        </w:rPr>
        <w:t xml:space="preserve"> </w:t>
      </w:r>
    </w:p>
    <w:p w:rsidR="00CF4112" w:rsidRDefault="00CF4112">
      <w:pPr>
        <w:spacing w:line="360" w:lineRule="auto"/>
        <w:rPr>
          <w:rFonts w:asciiTheme="minorHAnsi" w:eastAsia="Times New Roman" w:hAnsiTheme="minorHAnsi"/>
          <w:bCs/>
          <w:kern w:val="36"/>
          <w:szCs w:val="22"/>
        </w:rPr>
      </w:pPr>
      <w:r w:rsidRPr="00622FD7">
        <w:rPr>
          <w:rFonts w:asciiTheme="minorHAnsi" w:eastAsia="Times New Roman" w:hAnsiTheme="minorHAnsi"/>
          <w:b/>
          <w:bCs/>
          <w:kern w:val="36"/>
          <w:szCs w:val="22"/>
        </w:rPr>
        <w:t>Number of tables</w:t>
      </w:r>
      <w:r w:rsidR="006E32AE">
        <w:rPr>
          <w:rFonts w:asciiTheme="minorHAnsi" w:eastAsia="Times New Roman" w:hAnsiTheme="minorHAnsi"/>
          <w:bCs/>
          <w:kern w:val="36"/>
          <w:szCs w:val="22"/>
        </w:rPr>
        <w:t xml:space="preserve">: 3, plus </w:t>
      </w:r>
      <w:r w:rsidR="007A36FF">
        <w:rPr>
          <w:rFonts w:asciiTheme="minorHAnsi" w:eastAsia="Times New Roman" w:hAnsiTheme="minorHAnsi"/>
          <w:bCs/>
          <w:kern w:val="36"/>
          <w:szCs w:val="22"/>
        </w:rPr>
        <w:t xml:space="preserve">6 </w:t>
      </w:r>
      <w:r>
        <w:rPr>
          <w:rFonts w:asciiTheme="minorHAnsi" w:eastAsia="Times New Roman" w:hAnsiTheme="minorHAnsi"/>
          <w:bCs/>
          <w:kern w:val="36"/>
          <w:szCs w:val="22"/>
        </w:rPr>
        <w:t>supplementary tables</w:t>
      </w:r>
    </w:p>
    <w:p w:rsidR="00CF4112" w:rsidRDefault="00CF4112">
      <w:pPr>
        <w:spacing w:line="360" w:lineRule="auto"/>
        <w:rPr>
          <w:rFonts w:asciiTheme="minorHAnsi" w:eastAsia="Times New Roman" w:hAnsiTheme="minorHAnsi"/>
          <w:bCs/>
          <w:kern w:val="36"/>
          <w:szCs w:val="22"/>
        </w:rPr>
      </w:pPr>
      <w:r w:rsidRPr="00622FD7">
        <w:rPr>
          <w:rFonts w:asciiTheme="minorHAnsi" w:eastAsia="Times New Roman" w:hAnsiTheme="minorHAnsi"/>
          <w:b/>
          <w:bCs/>
          <w:kern w:val="36"/>
          <w:szCs w:val="22"/>
        </w:rPr>
        <w:t>Number of figures</w:t>
      </w:r>
      <w:r>
        <w:rPr>
          <w:rFonts w:asciiTheme="minorHAnsi" w:eastAsia="Times New Roman" w:hAnsiTheme="minorHAnsi"/>
          <w:bCs/>
          <w:kern w:val="36"/>
          <w:szCs w:val="22"/>
        </w:rPr>
        <w:t>: 3</w:t>
      </w:r>
      <w:r w:rsidR="006E32AE">
        <w:rPr>
          <w:rFonts w:asciiTheme="minorHAnsi" w:eastAsia="Times New Roman" w:hAnsiTheme="minorHAnsi"/>
          <w:bCs/>
          <w:kern w:val="36"/>
          <w:szCs w:val="22"/>
        </w:rPr>
        <w:t xml:space="preserve">, plus </w:t>
      </w:r>
      <w:r w:rsidR="008B6CF1">
        <w:rPr>
          <w:rFonts w:asciiTheme="minorHAnsi" w:eastAsia="Times New Roman" w:hAnsiTheme="minorHAnsi"/>
          <w:bCs/>
          <w:kern w:val="36"/>
          <w:szCs w:val="22"/>
        </w:rPr>
        <w:t>2</w:t>
      </w:r>
      <w:r w:rsidR="006E32AE">
        <w:rPr>
          <w:rFonts w:asciiTheme="minorHAnsi" w:eastAsia="Times New Roman" w:hAnsiTheme="minorHAnsi"/>
          <w:bCs/>
          <w:kern w:val="36"/>
          <w:szCs w:val="22"/>
        </w:rPr>
        <w:t xml:space="preserve"> supplementary figure</w:t>
      </w:r>
      <w:r w:rsidR="008B6CF1">
        <w:rPr>
          <w:rFonts w:asciiTheme="minorHAnsi" w:eastAsia="Times New Roman" w:hAnsiTheme="minorHAnsi"/>
          <w:bCs/>
          <w:kern w:val="36"/>
          <w:szCs w:val="22"/>
        </w:rPr>
        <w:t>s</w:t>
      </w:r>
    </w:p>
    <w:p w:rsidR="00A674DE" w:rsidRPr="005412BE" w:rsidRDefault="00A674DE">
      <w:pPr>
        <w:spacing w:line="360" w:lineRule="auto"/>
        <w:rPr>
          <w:rFonts w:asciiTheme="minorHAnsi" w:eastAsia="Times New Roman" w:hAnsiTheme="minorHAnsi"/>
          <w:b/>
          <w:bCs/>
          <w:kern w:val="36"/>
          <w:szCs w:val="22"/>
        </w:rPr>
      </w:pPr>
      <w:r w:rsidRPr="005412BE">
        <w:rPr>
          <w:rFonts w:asciiTheme="minorHAnsi" w:eastAsia="Times New Roman" w:hAnsiTheme="minorHAnsi"/>
          <w:b/>
          <w:bCs/>
          <w:kern w:val="36"/>
          <w:szCs w:val="22"/>
        </w:rPr>
        <w:t xml:space="preserve">Key words: </w:t>
      </w:r>
      <w:r w:rsidRPr="005412BE">
        <w:rPr>
          <w:rFonts w:asciiTheme="minorHAnsi" w:eastAsia="Times New Roman" w:hAnsiTheme="minorHAnsi"/>
          <w:bCs/>
          <w:kern w:val="36"/>
          <w:szCs w:val="22"/>
        </w:rPr>
        <w:t>Nogo-A; neurite outgrowth inhibitor; ozanezumab; amyotrophic lateral sclerosis; ALSFRS-R; survival</w:t>
      </w:r>
      <w:r>
        <w:rPr>
          <w:rFonts w:asciiTheme="minorHAnsi" w:eastAsia="Times New Roman" w:hAnsiTheme="minorHAnsi"/>
          <w:bCs/>
          <w:kern w:val="36"/>
          <w:szCs w:val="22"/>
        </w:rPr>
        <w:t xml:space="preserve">; </w:t>
      </w:r>
      <w:r w:rsidRPr="00A674DE">
        <w:rPr>
          <w:rFonts w:asciiTheme="minorHAnsi" w:eastAsia="Times New Roman" w:hAnsiTheme="minorHAnsi"/>
          <w:bCs/>
          <w:kern w:val="36"/>
          <w:szCs w:val="22"/>
        </w:rPr>
        <w:t>therapeutic trial</w:t>
      </w:r>
      <w:r>
        <w:rPr>
          <w:rFonts w:asciiTheme="minorHAnsi" w:eastAsia="Times New Roman" w:hAnsiTheme="minorHAnsi"/>
          <w:bCs/>
          <w:kern w:val="36"/>
          <w:szCs w:val="22"/>
        </w:rPr>
        <w:t xml:space="preserve">; </w:t>
      </w:r>
      <w:r w:rsidRPr="00A674DE">
        <w:rPr>
          <w:rFonts w:asciiTheme="minorHAnsi" w:eastAsia="Times New Roman" w:hAnsiTheme="minorHAnsi"/>
          <w:bCs/>
          <w:kern w:val="36"/>
          <w:szCs w:val="22"/>
        </w:rPr>
        <w:t>joint-rank analysis</w:t>
      </w:r>
      <w:r>
        <w:rPr>
          <w:rFonts w:asciiTheme="minorHAnsi" w:eastAsia="Times New Roman" w:hAnsiTheme="minorHAnsi"/>
          <w:bCs/>
          <w:kern w:val="36"/>
          <w:szCs w:val="22"/>
        </w:rPr>
        <w:t>.</w:t>
      </w:r>
    </w:p>
    <w:p w:rsidR="002B24D9" w:rsidRDefault="002B24D9" w:rsidP="00F91BAD">
      <w:pPr>
        <w:spacing w:line="360" w:lineRule="auto"/>
        <w:rPr>
          <w:b/>
        </w:rPr>
      </w:pPr>
      <w:r>
        <w:rPr>
          <w:b/>
        </w:rPr>
        <w:br w:type="page"/>
      </w:r>
    </w:p>
    <w:p w:rsidR="002B24D9" w:rsidRDefault="0067208E" w:rsidP="00FD4D14">
      <w:pPr>
        <w:spacing w:line="360" w:lineRule="auto"/>
        <w:outlineLvl w:val="0"/>
        <w:rPr>
          <w:b/>
        </w:rPr>
      </w:pPr>
      <w:r>
        <w:rPr>
          <w:b/>
        </w:rPr>
        <w:lastRenderedPageBreak/>
        <w:t xml:space="preserve">RESEARCH IN CONTEXT  </w:t>
      </w:r>
    </w:p>
    <w:p w:rsidR="002B24D9" w:rsidRPr="003B4658" w:rsidRDefault="002B24D9" w:rsidP="00FD4D14">
      <w:pPr>
        <w:spacing w:line="360" w:lineRule="auto"/>
        <w:outlineLvl w:val="0"/>
        <w:rPr>
          <w:b/>
        </w:rPr>
      </w:pPr>
      <w:r w:rsidRPr="003B4658">
        <w:rPr>
          <w:b/>
        </w:rPr>
        <w:t>Evidence before this study</w:t>
      </w:r>
    </w:p>
    <w:p w:rsidR="00935E0A" w:rsidRDefault="00316877" w:rsidP="00FC48CE">
      <w:pPr>
        <w:spacing w:line="360" w:lineRule="auto"/>
      </w:pPr>
      <w:r>
        <w:t>We searched PubMed on Feb</w:t>
      </w:r>
      <w:r w:rsidR="00C45C48">
        <w:t xml:space="preserve"> 3,</w:t>
      </w:r>
      <w:r>
        <w:t xml:space="preserve"> </w:t>
      </w:r>
      <w:r w:rsidR="0070192B">
        <w:t>2016</w:t>
      </w:r>
      <w:r w:rsidR="00C45C48">
        <w:t>,</w:t>
      </w:r>
      <w:r w:rsidR="0070192B">
        <w:t xml:space="preserve"> </w:t>
      </w:r>
      <w:r>
        <w:t xml:space="preserve">with the terms </w:t>
      </w:r>
      <w:r w:rsidRPr="00B15873">
        <w:t>“(</w:t>
      </w:r>
      <w:proofErr w:type="spellStart"/>
      <w:r w:rsidRPr="00B15873">
        <w:t>nogo</w:t>
      </w:r>
      <w:proofErr w:type="spellEnd"/>
      <w:r w:rsidRPr="00B15873">
        <w:t>‐a OR RTN4 OR "neurite outgrowth inhibitor") AND (ALS OR motor neurone disease)”</w:t>
      </w:r>
      <w:r>
        <w:t xml:space="preserve"> and no language</w:t>
      </w:r>
      <w:r w:rsidR="000E66C2">
        <w:t xml:space="preserve"> </w:t>
      </w:r>
      <w:r w:rsidR="005C3709">
        <w:t xml:space="preserve">or date </w:t>
      </w:r>
      <w:r>
        <w:t xml:space="preserve">restrictions. </w:t>
      </w:r>
      <w:r w:rsidR="00EF4221">
        <w:t>E</w:t>
      </w:r>
      <w:r w:rsidR="00935E0A">
        <w:t xml:space="preserve">vidence from mouse models of </w:t>
      </w:r>
      <w:r w:rsidR="00D64EC9" w:rsidRPr="00D64EC9">
        <w:t xml:space="preserve">amyotrophic lateral sclerosis </w:t>
      </w:r>
      <w:r w:rsidR="00D64EC9">
        <w:t>(</w:t>
      </w:r>
      <w:r w:rsidR="00935E0A">
        <w:t>ALS</w:t>
      </w:r>
      <w:r w:rsidR="00D64EC9">
        <w:t>)</w:t>
      </w:r>
      <w:r w:rsidR="00935E0A">
        <w:t xml:space="preserve">, together with molecular analysis of skeletal muscle from patients </w:t>
      </w:r>
      <w:r w:rsidR="00B256A1">
        <w:t xml:space="preserve">with ALS </w:t>
      </w:r>
      <w:r w:rsidR="00935E0A">
        <w:t xml:space="preserve">suggested a role for the </w:t>
      </w:r>
      <w:r w:rsidR="00935E0A" w:rsidRPr="00BA7ADE">
        <w:t>neurite outgrowth inhibitor protein, Nogo-A</w:t>
      </w:r>
      <w:r w:rsidR="00935E0A">
        <w:t>, in the pathophysiology of ALS. Results from a first</w:t>
      </w:r>
      <w:r w:rsidR="00B256A1">
        <w:t>-</w:t>
      </w:r>
      <w:r w:rsidR="00935E0A">
        <w:t>in</w:t>
      </w:r>
      <w:r w:rsidR="00B256A1">
        <w:t>-</w:t>
      </w:r>
      <w:r w:rsidR="00935E0A">
        <w:t xml:space="preserve">human clinical study </w:t>
      </w:r>
      <w:r w:rsidR="00102E28">
        <w:t>show</w:t>
      </w:r>
      <w:r w:rsidR="007F34C5">
        <w:t>ed</w:t>
      </w:r>
      <w:r w:rsidR="00935E0A">
        <w:t xml:space="preserve"> that ozanezumab, a humanised monoclonal antibody against Nogo-A, was well tolerated</w:t>
      </w:r>
      <w:r w:rsidR="00AC19A1">
        <w:t xml:space="preserve"> </w:t>
      </w:r>
      <w:r w:rsidR="005C3709">
        <w:t>in patients with ALS</w:t>
      </w:r>
      <w:r w:rsidR="00935E0A">
        <w:t xml:space="preserve">. </w:t>
      </w:r>
      <w:r w:rsidR="00EF4221">
        <w:t>W</w:t>
      </w:r>
      <w:r>
        <w:t>e did not identify any randomised, controlled trials of efficacy of ozanezumab or other drugs with this mechanism of action.</w:t>
      </w:r>
    </w:p>
    <w:p w:rsidR="001D6785" w:rsidRPr="008810AD" w:rsidRDefault="001D6785" w:rsidP="00FD4D14">
      <w:pPr>
        <w:spacing w:line="360" w:lineRule="auto"/>
        <w:outlineLvl w:val="0"/>
        <w:rPr>
          <w:b/>
        </w:rPr>
      </w:pPr>
      <w:r w:rsidRPr="008810AD">
        <w:rPr>
          <w:b/>
        </w:rPr>
        <w:t>Added value of this study</w:t>
      </w:r>
    </w:p>
    <w:p w:rsidR="001D6785" w:rsidRDefault="001D6785">
      <w:pPr>
        <w:spacing w:line="360" w:lineRule="auto"/>
      </w:pPr>
      <w:r>
        <w:t xml:space="preserve">This </w:t>
      </w:r>
      <w:r w:rsidR="00476C25">
        <w:t xml:space="preserve">study </w:t>
      </w:r>
      <w:r w:rsidR="00B15873">
        <w:t>was</w:t>
      </w:r>
      <w:r>
        <w:t xml:space="preserve"> </w:t>
      </w:r>
      <w:r w:rsidR="00176B11">
        <w:t>the first</w:t>
      </w:r>
      <w:r w:rsidR="00B059D8">
        <w:t xml:space="preserve"> </w:t>
      </w:r>
      <w:r>
        <w:t xml:space="preserve">randomised </w:t>
      </w:r>
      <w:r w:rsidR="00176B11">
        <w:t xml:space="preserve">placebo-controlled </w:t>
      </w:r>
      <w:r>
        <w:t xml:space="preserve">clinical trial designed to </w:t>
      </w:r>
      <w:r w:rsidR="00FC48CE">
        <w:t xml:space="preserve">assess </w:t>
      </w:r>
      <w:r>
        <w:t xml:space="preserve">the </w:t>
      </w:r>
      <w:r w:rsidR="00FC48CE">
        <w:t xml:space="preserve">safety and </w:t>
      </w:r>
      <w:r>
        <w:t>efficacy</w:t>
      </w:r>
      <w:r w:rsidR="002A00E2">
        <w:t xml:space="preserve"> </w:t>
      </w:r>
      <w:r>
        <w:t xml:space="preserve">of an </w:t>
      </w:r>
      <w:r w:rsidR="00E86A9F">
        <w:t xml:space="preserve">anti-Nogo-A </w:t>
      </w:r>
      <w:r w:rsidR="00176B11">
        <w:t>monoclonal</w:t>
      </w:r>
      <w:r w:rsidR="00E86A9F">
        <w:t xml:space="preserve"> </w:t>
      </w:r>
      <w:r>
        <w:t xml:space="preserve">antibody </w:t>
      </w:r>
      <w:r w:rsidR="00E86A9F">
        <w:t xml:space="preserve">for the treatment of </w:t>
      </w:r>
      <w:r w:rsidR="00EF4221">
        <w:t xml:space="preserve">patients with </w:t>
      </w:r>
      <w:r w:rsidR="00E86A9F">
        <w:t>ALS</w:t>
      </w:r>
      <w:r>
        <w:rPr>
          <w:rFonts w:asciiTheme="minorHAnsi" w:hAnsiTheme="minorHAnsi" w:cstheme="minorHAnsi"/>
          <w:szCs w:val="22"/>
        </w:rPr>
        <w:t xml:space="preserve">. This study </w:t>
      </w:r>
      <w:r w:rsidRPr="00D66152">
        <w:t xml:space="preserve">did not show any evidence of efficacy </w:t>
      </w:r>
      <w:r w:rsidR="00EB2C58">
        <w:t>of ozanezumab</w:t>
      </w:r>
      <w:r w:rsidR="00EB2C58" w:rsidRPr="00D66152">
        <w:t xml:space="preserve"> </w:t>
      </w:r>
      <w:r w:rsidRPr="00D66152">
        <w:t>over placebo</w:t>
      </w:r>
      <w:r>
        <w:t xml:space="preserve">. </w:t>
      </w:r>
      <w:r w:rsidR="00CE1F8F">
        <w:rPr>
          <w:rFonts w:asciiTheme="minorHAnsi" w:hAnsiTheme="minorHAnsi" w:cstheme="minorHAnsi"/>
          <w:szCs w:val="22"/>
        </w:rPr>
        <w:t>The desired</w:t>
      </w:r>
      <w:r w:rsidRPr="00D66152">
        <w:rPr>
          <w:rFonts w:asciiTheme="minorHAnsi" w:hAnsiTheme="minorHAnsi" w:cstheme="minorHAnsi"/>
          <w:szCs w:val="22"/>
        </w:rPr>
        <w:t xml:space="preserve"> level of exposure </w:t>
      </w:r>
      <w:r w:rsidR="00CE1F8F">
        <w:rPr>
          <w:rFonts w:asciiTheme="minorHAnsi" w:hAnsiTheme="minorHAnsi" w:cstheme="minorHAnsi"/>
          <w:szCs w:val="22"/>
        </w:rPr>
        <w:t>to ozanezumab</w:t>
      </w:r>
      <w:r w:rsidRPr="00D66152">
        <w:rPr>
          <w:rFonts w:asciiTheme="minorHAnsi" w:hAnsiTheme="minorHAnsi" w:cstheme="minorHAnsi"/>
          <w:szCs w:val="22"/>
        </w:rPr>
        <w:t xml:space="preserve"> was achieved</w:t>
      </w:r>
      <w:r w:rsidR="00FC48CE">
        <w:rPr>
          <w:rFonts w:asciiTheme="minorHAnsi" w:hAnsiTheme="minorHAnsi" w:cstheme="minorHAnsi"/>
          <w:szCs w:val="22"/>
        </w:rPr>
        <w:t>;</w:t>
      </w:r>
      <w:r w:rsidRPr="00D66152">
        <w:rPr>
          <w:rFonts w:asciiTheme="minorHAnsi" w:hAnsiTheme="minorHAnsi" w:cstheme="minorHAnsi"/>
          <w:szCs w:val="22"/>
        </w:rPr>
        <w:t xml:space="preserve"> </w:t>
      </w:r>
      <w:r w:rsidR="009F2625">
        <w:rPr>
          <w:rFonts w:asciiTheme="minorHAnsi" w:hAnsiTheme="minorHAnsi" w:cstheme="minorHAnsi"/>
          <w:szCs w:val="22"/>
        </w:rPr>
        <w:t>therefore</w:t>
      </w:r>
      <w:r w:rsidR="00FC48CE">
        <w:rPr>
          <w:rFonts w:asciiTheme="minorHAnsi" w:hAnsiTheme="minorHAnsi" w:cstheme="minorHAnsi"/>
          <w:szCs w:val="22"/>
        </w:rPr>
        <w:t>,</w:t>
      </w:r>
      <w:r w:rsidR="009F2625">
        <w:rPr>
          <w:rFonts w:asciiTheme="minorHAnsi" w:hAnsiTheme="minorHAnsi" w:cstheme="minorHAnsi"/>
          <w:szCs w:val="22"/>
        </w:rPr>
        <w:t xml:space="preserve"> the</w:t>
      </w:r>
      <w:r w:rsidRPr="00D66152">
        <w:rPr>
          <w:rFonts w:asciiTheme="minorHAnsi" w:hAnsiTheme="minorHAnsi" w:cstheme="minorHAnsi"/>
          <w:szCs w:val="22"/>
        </w:rPr>
        <w:t xml:space="preserve"> </w:t>
      </w:r>
      <w:r w:rsidR="00FC48CE">
        <w:rPr>
          <w:rFonts w:asciiTheme="minorHAnsi" w:hAnsiTheme="minorHAnsi" w:cstheme="minorHAnsi"/>
          <w:szCs w:val="22"/>
        </w:rPr>
        <w:t xml:space="preserve">absence </w:t>
      </w:r>
      <w:r w:rsidRPr="00D66152">
        <w:rPr>
          <w:rFonts w:asciiTheme="minorHAnsi" w:hAnsiTheme="minorHAnsi" w:cstheme="minorHAnsi"/>
          <w:szCs w:val="22"/>
        </w:rPr>
        <w:t xml:space="preserve">of efficacy </w:t>
      </w:r>
      <w:r w:rsidR="00EF4221">
        <w:rPr>
          <w:rFonts w:asciiTheme="minorHAnsi" w:hAnsiTheme="minorHAnsi" w:cstheme="minorHAnsi"/>
          <w:szCs w:val="22"/>
        </w:rPr>
        <w:t xml:space="preserve">was </w:t>
      </w:r>
      <w:r w:rsidRPr="00D66152">
        <w:rPr>
          <w:rFonts w:asciiTheme="minorHAnsi" w:hAnsiTheme="minorHAnsi" w:cstheme="minorHAnsi"/>
          <w:szCs w:val="22"/>
        </w:rPr>
        <w:t xml:space="preserve">not </w:t>
      </w:r>
      <w:r w:rsidR="00EF4221">
        <w:rPr>
          <w:rFonts w:asciiTheme="minorHAnsi" w:hAnsiTheme="minorHAnsi" w:cstheme="minorHAnsi"/>
          <w:szCs w:val="22"/>
        </w:rPr>
        <w:t xml:space="preserve">thought to be </w:t>
      </w:r>
      <w:r w:rsidRPr="00D66152">
        <w:rPr>
          <w:rFonts w:asciiTheme="minorHAnsi" w:hAnsiTheme="minorHAnsi" w:cstheme="minorHAnsi"/>
          <w:szCs w:val="22"/>
        </w:rPr>
        <w:t>related to suboptimal dosing.</w:t>
      </w:r>
      <w:r w:rsidRPr="00D66152">
        <w:t xml:space="preserve"> </w:t>
      </w:r>
      <w:r w:rsidR="00E86A9F">
        <w:rPr>
          <w:rFonts w:asciiTheme="minorHAnsi" w:hAnsiTheme="minorHAnsi" w:cstheme="minorHAnsi"/>
          <w:szCs w:val="22"/>
        </w:rPr>
        <w:t>T</w:t>
      </w:r>
      <w:r w:rsidR="00E86A9F" w:rsidRPr="00D66152">
        <w:rPr>
          <w:rFonts w:asciiTheme="minorHAnsi" w:hAnsiTheme="minorHAnsi" w:cstheme="minorHAnsi"/>
          <w:szCs w:val="22"/>
        </w:rPr>
        <w:t xml:space="preserve">he results </w:t>
      </w:r>
      <w:r w:rsidR="00E86A9F">
        <w:rPr>
          <w:rFonts w:asciiTheme="minorHAnsi" w:hAnsiTheme="minorHAnsi" w:cstheme="minorHAnsi"/>
          <w:szCs w:val="22"/>
        </w:rPr>
        <w:t xml:space="preserve">of this study </w:t>
      </w:r>
      <w:r w:rsidR="00F17160">
        <w:rPr>
          <w:rFonts w:asciiTheme="minorHAnsi" w:hAnsiTheme="minorHAnsi" w:cstheme="minorHAnsi"/>
          <w:szCs w:val="22"/>
        </w:rPr>
        <w:t>suggest</w:t>
      </w:r>
      <w:r w:rsidR="00E86A9F" w:rsidRPr="00D66152">
        <w:rPr>
          <w:rFonts w:asciiTheme="minorHAnsi" w:hAnsiTheme="minorHAnsi" w:cstheme="minorHAnsi"/>
          <w:szCs w:val="22"/>
        </w:rPr>
        <w:t xml:space="preserve"> the futility of further clinical testing</w:t>
      </w:r>
      <w:r w:rsidR="00E86A9F">
        <w:rPr>
          <w:rFonts w:asciiTheme="minorHAnsi" w:hAnsiTheme="minorHAnsi" w:cstheme="minorHAnsi"/>
          <w:szCs w:val="22"/>
        </w:rPr>
        <w:t xml:space="preserve"> of </w:t>
      </w:r>
      <w:r w:rsidR="00476C25">
        <w:t>an anti-Nogo-A monoclonal antibody</w:t>
      </w:r>
      <w:r w:rsidR="00476C25">
        <w:rPr>
          <w:rFonts w:asciiTheme="minorHAnsi" w:hAnsiTheme="minorHAnsi" w:cstheme="minorHAnsi"/>
          <w:szCs w:val="22"/>
        </w:rPr>
        <w:t xml:space="preserve"> </w:t>
      </w:r>
      <w:r w:rsidR="00E86A9F">
        <w:rPr>
          <w:rFonts w:asciiTheme="minorHAnsi" w:hAnsiTheme="minorHAnsi" w:cstheme="minorHAnsi"/>
          <w:szCs w:val="22"/>
        </w:rPr>
        <w:t>for the treatment of ALS</w:t>
      </w:r>
      <w:r w:rsidR="00E86A9F" w:rsidRPr="00D66152">
        <w:rPr>
          <w:rFonts w:asciiTheme="minorHAnsi" w:hAnsiTheme="minorHAnsi" w:cstheme="minorHAnsi"/>
          <w:szCs w:val="22"/>
        </w:rPr>
        <w:t>.</w:t>
      </w:r>
    </w:p>
    <w:p w:rsidR="001D6785" w:rsidRPr="008810AD" w:rsidRDefault="001D6785" w:rsidP="00FD4D14">
      <w:pPr>
        <w:spacing w:line="360" w:lineRule="auto"/>
        <w:outlineLvl w:val="0"/>
        <w:rPr>
          <w:b/>
        </w:rPr>
      </w:pPr>
      <w:r w:rsidRPr="008810AD">
        <w:rPr>
          <w:b/>
        </w:rPr>
        <w:t>Implications of all the available evidence</w:t>
      </w:r>
    </w:p>
    <w:p w:rsidR="001D6785" w:rsidRDefault="001D6785">
      <w:pPr>
        <w:spacing w:line="360" w:lineRule="auto"/>
      </w:pPr>
      <w:r>
        <w:rPr>
          <w:rFonts w:asciiTheme="minorHAnsi" w:hAnsiTheme="minorHAnsi" w:cstheme="minorHAnsi"/>
          <w:szCs w:val="22"/>
        </w:rPr>
        <w:t xml:space="preserve">Currently, only one </w:t>
      </w:r>
      <w:r>
        <w:rPr>
          <w:rFonts w:asciiTheme="minorHAnsi" w:hAnsiTheme="minorHAnsi"/>
          <w:szCs w:val="22"/>
        </w:rPr>
        <w:t xml:space="preserve">approved </w:t>
      </w:r>
      <w:r w:rsidRPr="00872905">
        <w:rPr>
          <w:rFonts w:asciiTheme="minorHAnsi" w:hAnsiTheme="minorHAnsi"/>
          <w:szCs w:val="22"/>
        </w:rPr>
        <w:t xml:space="preserve">medication, riluzole, </w:t>
      </w:r>
      <w:r>
        <w:rPr>
          <w:rFonts w:asciiTheme="minorHAnsi" w:hAnsiTheme="minorHAnsi"/>
          <w:szCs w:val="22"/>
        </w:rPr>
        <w:t xml:space="preserve">has been shown to </w:t>
      </w:r>
      <w:r w:rsidR="00316877">
        <w:rPr>
          <w:rFonts w:asciiTheme="minorHAnsi" w:hAnsiTheme="minorHAnsi"/>
          <w:szCs w:val="22"/>
        </w:rPr>
        <w:t xml:space="preserve">have a </w:t>
      </w:r>
      <w:r w:rsidR="007F34C5">
        <w:rPr>
          <w:rFonts w:asciiTheme="minorHAnsi" w:hAnsiTheme="minorHAnsi"/>
          <w:szCs w:val="22"/>
        </w:rPr>
        <w:t xml:space="preserve">slight </w:t>
      </w:r>
      <w:r w:rsidR="00316877">
        <w:rPr>
          <w:rFonts w:asciiTheme="minorHAnsi" w:hAnsiTheme="minorHAnsi"/>
          <w:szCs w:val="22"/>
        </w:rPr>
        <w:t xml:space="preserve">effect on </w:t>
      </w:r>
      <w:r>
        <w:rPr>
          <w:rFonts w:asciiTheme="minorHAnsi" w:hAnsiTheme="minorHAnsi"/>
          <w:szCs w:val="22"/>
        </w:rPr>
        <w:t>survival of patients with</w:t>
      </w:r>
      <w:r w:rsidRPr="00872905">
        <w:rPr>
          <w:rFonts w:asciiTheme="minorHAnsi" w:hAnsiTheme="minorHAnsi"/>
          <w:szCs w:val="22"/>
        </w:rPr>
        <w:t xml:space="preserve"> ALS.</w:t>
      </w:r>
      <w:r>
        <w:rPr>
          <w:rFonts w:asciiTheme="minorHAnsi" w:hAnsiTheme="minorHAnsi"/>
          <w:szCs w:val="22"/>
        </w:rPr>
        <w:t xml:space="preserve"> Thus, there remains </w:t>
      </w:r>
      <w:r w:rsidRPr="00D66152">
        <w:rPr>
          <w:rFonts w:asciiTheme="minorHAnsi" w:hAnsiTheme="minorHAnsi"/>
          <w:szCs w:val="22"/>
        </w:rPr>
        <w:t>a high unmet need</w:t>
      </w:r>
      <w:r>
        <w:rPr>
          <w:rFonts w:asciiTheme="minorHAnsi" w:hAnsiTheme="minorHAnsi"/>
          <w:szCs w:val="22"/>
        </w:rPr>
        <w:t xml:space="preserve"> to identify new options for </w:t>
      </w:r>
      <w:r w:rsidR="007F34C5">
        <w:rPr>
          <w:rFonts w:asciiTheme="minorHAnsi" w:hAnsiTheme="minorHAnsi"/>
          <w:szCs w:val="22"/>
        </w:rPr>
        <w:t xml:space="preserve">the treatment of </w:t>
      </w:r>
      <w:r>
        <w:rPr>
          <w:rFonts w:asciiTheme="minorHAnsi" w:hAnsiTheme="minorHAnsi"/>
          <w:szCs w:val="22"/>
        </w:rPr>
        <w:t>patients with ALS</w:t>
      </w:r>
      <w:r w:rsidRPr="00D66152">
        <w:rPr>
          <w:rFonts w:asciiTheme="minorHAnsi" w:hAnsiTheme="minorHAnsi"/>
          <w:szCs w:val="22"/>
        </w:rPr>
        <w:t>.</w:t>
      </w:r>
      <w:r>
        <w:br w:type="page"/>
      </w:r>
    </w:p>
    <w:p w:rsidR="00F81F80" w:rsidRDefault="00880FB3" w:rsidP="00FD4D14">
      <w:pPr>
        <w:spacing w:line="360" w:lineRule="auto"/>
        <w:outlineLvl w:val="0"/>
        <w:rPr>
          <w:b/>
        </w:rPr>
      </w:pPr>
      <w:r>
        <w:rPr>
          <w:b/>
        </w:rPr>
        <w:lastRenderedPageBreak/>
        <w:t>Summary</w:t>
      </w:r>
    </w:p>
    <w:p w:rsidR="00046AE4" w:rsidRDefault="008D3F30">
      <w:pPr>
        <w:autoSpaceDE w:val="0"/>
        <w:autoSpaceDN w:val="0"/>
        <w:adjustRightInd w:val="0"/>
        <w:spacing w:line="360" w:lineRule="auto"/>
      </w:pPr>
      <w:r w:rsidRPr="008D3F30">
        <w:rPr>
          <w:b/>
        </w:rPr>
        <w:t>Background</w:t>
      </w:r>
      <w:r>
        <w:t xml:space="preserve">: </w:t>
      </w:r>
      <w:r w:rsidR="00A72D4C" w:rsidRPr="00A672E6">
        <w:rPr>
          <w:rFonts w:asciiTheme="minorHAnsi" w:hAnsiTheme="minorHAnsi" w:cstheme="minorHAnsi"/>
          <w:szCs w:val="22"/>
        </w:rPr>
        <w:t xml:space="preserve">Nogo-A is a neurite outgrowth inhibitor protein </w:t>
      </w:r>
      <w:r w:rsidR="00880FB3">
        <w:rPr>
          <w:rFonts w:asciiTheme="minorHAnsi" w:hAnsiTheme="minorHAnsi" w:cstheme="minorHAnsi"/>
          <w:szCs w:val="22"/>
        </w:rPr>
        <w:t xml:space="preserve">that is thought to </w:t>
      </w:r>
      <w:r w:rsidR="00D5208E">
        <w:rPr>
          <w:rFonts w:asciiTheme="minorHAnsi" w:hAnsiTheme="minorHAnsi" w:cstheme="minorHAnsi"/>
          <w:szCs w:val="22"/>
        </w:rPr>
        <w:t xml:space="preserve">have a role </w:t>
      </w:r>
      <w:r w:rsidR="00A72D4C" w:rsidRPr="00A672E6">
        <w:rPr>
          <w:rFonts w:asciiTheme="minorHAnsi" w:hAnsiTheme="minorHAnsi" w:cstheme="minorHAnsi"/>
          <w:szCs w:val="22"/>
        </w:rPr>
        <w:t>in the</w:t>
      </w:r>
      <w:r w:rsidR="0005175E">
        <w:rPr>
          <w:rFonts w:asciiTheme="minorHAnsi" w:hAnsiTheme="minorHAnsi" w:cstheme="minorHAnsi"/>
          <w:szCs w:val="22"/>
        </w:rPr>
        <w:t xml:space="preserve"> </w:t>
      </w:r>
      <w:r w:rsidR="00A72D4C" w:rsidRPr="00A672E6">
        <w:rPr>
          <w:rFonts w:asciiTheme="minorHAnsi" w:hAnsiTheme="minorHAnsi" w:cstheme="minorHAnsi"/>
          <w:szCs w:val="22"/>
        </w:rPr>
        <w:t xml:space="preserve">pathophysiology of </w:t>
      </w:r>
      <w:r w:rsidR="0036207C">
        <w:rPr>
          <w:rFonts w:asciiTheme="minorHAnsi" w:hAnsiTheme="minorHAnsi" w:cstheme="minorHAnsi"/>
          <w:szCs w:val="22"/>
        </w:rPr>
        <w:t>a</w:t>
      </w:r>
      <w:r w:rsidR="00A72D4C" w:rsidRPr="00A672E6">
        <w:rPr>
          <w:rFonts w:asciiTheme="minorHAnsi" w:hAnsiTheme="minorHAnsi" w:cstheme="minorHAnsi"/>
          <w:szCs w:val="22"/>
        </w:rPr>
        <w:t xml:space="preserve">myotrophic </w:t>
      </w:r>
      <w:r w:rsidR="0036207C">
        <w:rPr>
          <w:rFonts w:asciiTheme="minorHAnsi" w:hAnsiTheme="minorHAnsi" w:cstheme="minorHAnsi"/>
          <w:szCs w:val="22"/>
        </w:rPr>
        <w:t>l</w:t>
      </w:r>
      <w:r w:rsidR="00A72D4C" w:rsidRPr="00A672E6">
        <w:rPr>
          <w:rFonts w:asciiTheme="minorHAnsi" w:hAnsiTheme="minorHAnsi" w:cstheme="minorHAnsi"/>
          <w:szCs w:val="22"/>
        </w:rPr>
        <w:t xml:space="preserve">ateral </w:t>
      </w:r>
      <w:r w:rsidR="0036207C">
        <w:rPr>
          <w:rFonts w:asciiTheme="minorHAnsi" w:hAnsiTheme="minorHAnsi" w:cstheme="minorHAnsi"/>
          <w:szCs w:val="22"/>
        </w:rPr>
        <w:t>s</w:t>
      </w:r>
      <w:r w:rsidR="00A72D4C" w:rsidRPr="00A672E6">
        <w:rPr>
          <w:rFonts w:asciiTheme="minorHAnsi" w:hAnsiTheme="minorHAnsi" w:cstheme="minorHAnsi"/>
          <w:szCs w:val="22"/>
        </w:rPr>
        <w:t>clerosis (ALS). A monoclonal</w:t>
      </w:r>
      <w:r w:rsidR="0005175E">
        <w:rPr>
          <w:rFonts w:asciiTheme="minorHAnsi" w:hAnsiTheme="minorHAnsi" w:cstheme="minorHAnsi"/>
          <w:szCs w:val="22"/>
        </w:rPr>
        <w:t xml:space="preserve"> </w:t>
      </w:r>
      <w:r w:rsidR="00A72D4C" w:rsidRPr="00A672E6">
        <w:rPr>
          <w:rFonts w:asciiTheme="minorHAnsi" w:hAnsiTheme="minorHAnsi" w:cstheme="minorHAnsi"/>
          <w:szCs w:val="22"/>
        </w:rPr>
        <w:t xml:space="preserve">antibody against Nogo-A </w:t>
      </w:r>
      <w:r w:rsidR="00D5208E">
        <w:rPr>
          <w:rFonts w:asciiTheme="minorHAnsi" w:hAnsiTheme="minorHAnsi" w:cstheme="minorHAnsi"/>
          <w:szCs w:val="22"/>
        </w:rPr>
        <w:t xml:space="preserve">showed </w:t>
      </w:r>
      <w:r w:rsidR="00A72D4C" w:rsidRPr="00A672E6">
        <w:rPr>
          <w:rFonts w:asciiTheme="minorHAnsi" w:hAnsiTheme="minorHAnsi" w:cstheme="minorHAnsi"/>
          <w:szCs w:val="22"/>
        </w:rPr>
        <w:t xml:space="preserve">a positive effect in the </w:t>
      </w:r>
      <w:r w:rsidR="00A72D4C" w:rsidRPr="00742261">
        <w:rPr>
          <w:rFonts w:asciiTheme="minorHAnsi" w:hAnsiTheme="minorHAnsi" w:cstheme="minorHAnsi"/>
          <w:i/>
          <w:szCs w:val="22"/>
        </w:rPr>
        <w:t>SOD1</w:t>
      </w:r>
      <w:r w:rsidR="00A72D4C" w:rsidRPr="00A672E6">
        <w:rPr>
          <w:rFonts w:asciiTheme="minorHAnsi" w:hAnsiTheme="minorHAnsi" w:cstheme="minorHAnsi"/>
          <w:szCs w:val="22"/>
          <w:vertAlign w:val="superscript"/>
        </w:rPr>
        <w:t>G93A</w:t>
      </w:r>
      <w:r w:rsidR="0005175E">
        <w:rPr>
          <w:rFonts w:asciiTheme="minorHAnsi" w:hAnsiTheme="minorHAnsi" w:cstheme="minorHAnsi"/>
          <w:szCs w:val="22"/>
        </w:rPr>
        <w:t xml:space="preserve"> </w:t>
      </w:r>
      <w:r w:rsidR="000F1EE4">
        <w:rPr>
          <w:rFonts w:asciiTheme="minorHAnsi" w:hAnsiTheme="minorHAnsi" w:cstheme="minorHAnsi"/>
          <w:szCs w:val="22"/>
        </w:rPr>
        <w:t>mouse model of ALS</w:t>
      </w:r>
      <w:r w:rsidR="00A672E6">
        <w:rPr>
          <w:rFonts w:asciiTheme="minorHAnsi" w:hAnsiTheme="minorHAnsi" w:cstheme="minorHAnsi"/>
          <w:szCs w:val="22"/>
        </w:rPr>
        <w:t>,</w:t>
      </w:r>
      <w:r w:rsidR="000F1EE4">
        <w:rPr>
          <w:rFonts w:asciiTheme="minorHAnsi" w:hAnsiTheme="minorHAnsi" w:cstheme="minorHAnsi"/>
          <w:szCs w:val="22"/>
        </w:rPr>
        <w:t xml:space="preserve"> </w:t>
      </w:r>
      <w:r w:rsidR="00A72D4C" w:rsidRPr="00A672E6">
        <w:rPr>
          <w:rFonts w:asciiTheme="minorHAnsi" w:hAnsiTheme="minorHAnsi" w:cstheme="minorHAnsi"/>
          <w:szCs w:val="22"/>
        </w:rPr>
        <w:t xml:space="preserve">and </w:t>
      </w:r>
      <w:r w:rsidR="00A672E6">
        <w:rPr>
          <w:rFonts w:asciiTheme="minorHAnsi" w:hAnsiTheme="minorHAnsi" w:cstheme="minorHAnsi"/>
          <w:szCs w:val="22"/>
        </w:rPr>
        <w:t xml:space="preserve">a humanised form of this antibody (ozanezumab) </w:t>
      </w:r>
      <w:r w:rsidR="00A72D4C" w:rsidRPr="00A672E6">
        <w:rPr>
          <w:rFonts w:asciiTheme="minorHAnsi" w:hAnsiTheme="minorHAnsi" w:cstheme="minorHAnsi"/>
          <w:szCs w:val="22"/>
        </w:rPr>
        <w:t xml:space="preserve">was </w:t>
      </w:r>
      <w:r w:rsidR="00F91BAD" w:rsidRPr="00A672E6">
        <w:rPr>
          <w:rFonts w:asciiTheme="minorHAnsi" w:hAnsiTheme="minorHAnsi" w:cstheme="minorHAnsi"/>
          <w:szCs w:val="22"/>
        </w:rPr>
        <w:t>well</w:t>
      </w:r>
      <w:r w:rsidR="0036207C">
        <w:rPr>
          <w:rFonts w:asciiTheme="minorHAnsi" w:hAnsiTheme="minorHAnsi" w:cstheme="minorHAnsi"/>
          <w:szCs w:val="22"/>
        </w:rPr>
        <w:t xml:space="preserve"> </w:t>
      </w:r>
      <w:r w:rsidR="00A72D4C" w:rsidRPr="00A672E6">
        <w:rPr>
          <w:rFonts w:asciiTheme="minorHAnsi" w:hAnsiTheme="minorHAnsi" w:cstheme="minorHAnsi"/>
          <w:szCs w:val="22"/>
        </w:rPr>
        <w:t>tolerated in a first-in-human trial</w:t>
      </w:r>
      <w:r w:rsidR="0064119C">
        <w:rPr>
          <w:rFonts w:asciiTheme="minorHAnsi" w:hAnsiTheme="minorHAnsi" w:cstheme="minorHAnsi"/>
          <w:szCs w:val="22"/>
        </w:rPr>
        <w:t xml:space="preserve">. </w:t>
      </w:r>
      <w:r w:rsidR="00D5208E">
        <w:rPr>
          <w:rFonts w:asciiTheme="minorHAnsi" w:hAnsiTheme="minorHAnsi" w:cstheme="minorHAnsi"/>
          <w:szCs w:val="22"/>
        </w:rPr>
        <w:t xml:space="preserve">We therefore assessed </w:t>
      </w:r>
      <w:r w:rsidR="00D5208E" w:rsidRPr="005345A6">
        <w:t xml:space="preserve">the </w:t>
      </w:r>
      <w:r w:rsidR="00D5208E">
        <w:t xml:space="preserve">safety and efficacy </w:t>
      </w:r>
      <w:r w:rsidR="00D5208E" w:rsidRPr="005345A6">
        <w:t xml:space="preserve">of ozanezumab </w:t>
      </w:r>
      <w:r w:rsidR="00D5208E">
        <w:t>in patients with</w:t>
      </w:r>
      <w:r w:rsidR="00D5208E" w:rsidRPr="005345A6">
        <w:t xml:space="preserve"> ALS</w:t>
      </w:r>
      <w:r w:rsidR="00D5208E">
        <w:t>.</w:t>
      </w:r>
    </w:p>
    <w:p w:rsidR="008D3F30" w:rsidRDefault="008D3F30">
      <w:pPr>
        <w:spacing w:line="360" w:lineRule="auto"/>
      </w:pPr>
      <w:r w:rsidRPr="008D3F30">
        <w:rPr>
          <w:b/>
        </w:rPr>
        <w:t>Methods</w:t>
      </w:r>
      <w:r>
        <w:t xml:space="preserve">: </w:t>
      </w:r>
      <w:r w:rsidR="00D5208E">
        <w:t xml:space="preserve">In a phase 2, </w:t>
      </w:r>
      <w:r>
        <w:t>double-bl</w:t>
      </w:r>
      <w:r w:rsidR="00B25BF6">
        <w:t>ind study</w:t>
      </w:r>
      <w:r w:rsidR="00D5208E">
        <w:t>,</w:t>
      </w:r>
      <w:r w:rsidR="00B25BF6">
        <w:t xml:space="preserve"> patient</w:t>
      </w:r>
      <w:r>
        <w:t xml:space="preserve">s with ALS </w:t>
      </w:r>
      <w:r w:rsidR="00CF4112">
        <w:t xml:space="preserve">were randomised </w:t>
      </w:r>
      <w:r w:rsidR="00D5208E">
        <w:t xml:space="preserve">in a </w:t>
      </w:r>
      <w:r w:rsidR="00CF4112">
        <w:t xml:space="preserve">1:1 </w:t>
      </w:r>
      <w:r w:rsidR="00D5208E">
        <w:t xml:space="preserve">ratio </w:t>
      </w:r>
      <w:r w:rsidR="00100DED">
        <w:t xml:space="preserve">with a computer-generated allocation schedule </w:t>
      </w:r>
      <w:r w:rsidR="00CF4112">
        <w:t xml:space="preserve">to receive </w:t>
      </w:r>
      <w:r w:rsidR="00CF4112" w:rsidRPr="005345A6">
        <w:t xml:space="preserve">ozanezumab </w:t>
      </w:r>
      <w:r w:rsidR="00CF4112">
        <w:t>(15 mg/kg)</w:t>
      </w:r>
      <w:r w:rsidR="00CF4112" w:rsidRPr="005345A6">
        <w:t xml:space="preserve"> or placebo </w:t>
      </w:r>
      <w:r w:rsidR="00CF4112">
        <w:t xml:space="preserve">as intravenous infusions every </w:t>
      </w:r>
      <w:r w:rsidR="00F13578">
        <w:t>2</w:t>
      </w:r>
      <w:r w:rsidR="00CF4112">
        <w:t xml:space="preserve"> weeks for 46 weeks</w:t>
      </w:r>
      <w:r w:rsidR="00CF4112" w:rsidRPr="005345A6">
        <w:t xml:space="preserve">, followed by a </w:t>
      </w:r>
      <w:r w:rsidR="00D5208E">
        <w:t>w</w:t>
      </w:r>
      <w:r w:rsidR="00F632C3">
        <w:t xml:space="preserve">eek 48 assessment and a </w:t>
      </w:r>
      <w:r w:rsidR="00CF4112" w:rsidRPr="005345A6">
        <w:t>12-week follow-up</w:t>
      </w:r>
      <w:r w:rsidR="00CF4112">
        <w:t>.</w:t>
      </w:r>
      <w:r w:rsidR="00CF4112" w:rsidRPr="00447350">
        <w:rPr>
          <w:color w:val="FF0000"/>
        </w:rPr>
        <w:t xml:space="preserve"> </w:t>
      </w:r>
      <w:r w:rsidR="00E86365" w:rsidRPr="00F873F3">
        <w:t>Patients and study personnel were blinded to treatment assignment.</w:t>
      </w:r>
      <w:r w:rsidR="00E86365">
        <w:rPr>
          <w:color w:val="FF0000"/>
        </w:rPr>
        <w:t xml:space="preserve"> </w:t>
      </w:r>
      <w:r w:rsidR="00B6546D">
        <w:t xml:space="preserve">The primary endpoint was a </w:t>
      </w:r>
      <w:r w:rsidR="00650323" w:rsidRPr="005345A6">
        <w:t>joint</w:t>
      </w:r>
      <w:r w:rsidR="00650323">
        <w:t>-</w:t>
      </w:r>
      <w:r w:rsidR="00650323" w:rsidRPr="005345A6">
        <w:t xml:space="preserve">rank </w:t>
      </w:r>
      <w:r w:rsidR="00B6546D">
        <w:t>analysis of function</w:t>
      </w:r>
      <w:r w:rsidR="00DD070A">
        <w:t xml:space="preserve"> (ALSFRS-R)</w:t>
      </w:r>
      <w:r w:rsidR="00B6546D">
        <w:t xml:space="preserve"> and survival. </w:t>
      </w:r>
      <w:r w:rsidR="00100DED">
        <w:t>Analysis was by modified intent to treat</w:t>
      </w:r>
      <w:r w:rsidR="00094873">
        <w:t>.</w:t>
      </w:r>
      <w:r w:rsidR="00880FB3">
        <w:t xml:space="preserve"> </w:t>
      </w:r>
      <w:r w:rsidR="00880FB3" w:rsidRPr="00046AE4">
        <w:rPr>
          <w:b/>
        </w:rPr>
        <w:t>Trial Registration</w:t>
      </w:r>
      <w:r w:rsidR="00880FB3" w:rsidRPr="00046AE4">
        <w:t>: ClinicalTrials.gov NCT01753076</w:t>
      </w:r>
      <w:r w:rsidR="00880FB3">
        <w:t xml:space="preserve"> </w:t>
      </w:r>
      <w:r w:rsidR="00880FB3" w:rsidRPr="00046AE4">
        <w:t>GSK-ClinicalStudyRegister.com GSK ID 1223249</w:t>
      </w:r>
    </w:p>
    <w:p w:rsidR="008D3F30" w:rsidRPr="00A841C3" w:rsidRDefault="008D3F30">
      <w:pPr>
        <w:autoSpaceDE w:val="0"/>
        <w:autoSpaceDN w:val="0"/>
        <w:adjustRightInd w:val="0"/>
        <w:spacing w:line="360" w:lineRule="auto"/>
        <w:rPr>
          <w:color w:val="FF0000"/>
        </w:rPr>
      </w:pPr>
      <w:r w:rsidRPr="008D3F30">
        <w:rPr>
          <w:b/>
        </w:rPr>
        <w:t>Findings</w:t>
      </w:r>
      <w:r>
        <w:t xml:space="preserve">: </w:t>
      </w:r>
      <w:r w:rsidR="00FF2F21">
        <w:t xml:space="preserve">The first patient was enrolled into the study on </w:t>
      </w:r>
      <w:r w:rsidR="00FF2F21" w:rsidRPr="005345A6">
        <w:t>Dec</w:t>
      </w:r>
      <w:r w:rsidR="00FF2F21">
        <w:t xml:space="preserve"> 20,</w:t>
      </w:r>
      <w:r w:rsidR="00FF2F21" w:rsidRPr="005345A6">
        <w:t xml:space="preserve"> 2012</w:t>
      </w:r>
      <w:r w:rsidR="00FF2F21">
        <w:t>,</w:t>
      </w:r>
      <w:r w:rsidR="00FF2F21" w:rsidRPr="005345A6">
        <w:t xml:space="preserve"> and </w:t>
      </w:r>
      <w:r w:rsidR="00FF2F21">
        <w:t xml:space="preserve">the last patient visit was on </w:t>
      </w:r>
      <w:r w:rsidR="00FF2F21" w:rsidRPr="005345A6">
        <w:t>Jan</w:t>
      </w:r>
      <w:r w:rsidR="00FF2F21">
        <w:t xml:space="preserve"> 22,</w:t>
      </w:r>
      <w:r w:rsidR="00FF2F21" w:rsidRPr="005345A6">
        <w:t xml:space="preserve"> 2015</w:t>
      </w:r>
      <w:r w:rsidR="00FF2F21">
        <w:t xml:space="preserve">. </w:t>
      </w:r>
      <w:r w:rsidR="00CF4112">
        <w:t xml:space="preserve">303 </w:t>
      </w:r>
      <w:r w:rsidR="00B25BF6">
        <w:t>patient</w:t>
      </w:r>
      <w:r w:rsidR="00CF4112">
        <w:t>s were random</w:t>
      </w:r>
      <w:r w:rsidR="00E638E6">
        <w:t>ly assigned to the placebo group (n=151) or o</w:t>
      </w:r>
      <w:r w:rsidR="00E638E6" w:rsidRPr="00E638E6">
        <w:t>zanezumab</w:t>
      </w:r>
      <w:r w:rsidR="00E638E6">
        <w:t xml:space="preserve"> (n=152)</w:t>
      </w:r>
      <w:r w:rsidR="00CF4112" w:rsidRPr="00C44B83">
        <w:t>.</w:t>
      </w:r>
      <w:r w:rsidR="00CF4112">
        <w:t xml:space="preserve"> </w:t>
      </w:r>
      <w:r w:rsidR="00D8492A">
        <w:t>T</w:t>
      </w:r>
      <w:r w:rsidR="00D8492A" w:rsidRPr="00D8492A">
        <w:t xml:space="preserve">he </w:t>
      </w:r>
      <w:r w:rsidR="00A323AD">
        <w:t xml:space="preserve">joint-rank score </w:t>
      </w:r>
      <w:r w:rsidR="00CF4112" w:rsidRPr="005345A6">
        <w:t>indicated a non-significant difference in favour of placebo</w:t>
      </w:r>
      <w:r w:rsidR="000E48F7">
        <w:t xml:space="preserve"> (adjusted</w:t>
      </w:r>
      <w:r w:rsidR="005B2893">
        <w:t xml:space="preserve"> placebo</w:t>
      </w:r>
      <w:r w:rsidR="000E48F7">
        <w:t xml:space="preserve"> mean 15·0[SE </w:t>
      </w:r>
      <w:r w:rsidR="000E48F7" w:rsidRPr="00A323AD">
        <w:t>13·58</w:t>
      </w:r>
      <w:r w:rsidR="000E48F7">
        <w:t xml:space="preserve">] </w:t>
      </w:r>
      <w:r w:rsidR="000E48F7" w:rsidRPr="00587002">
        <w:rPr>
          <w:i/>
        </w:rPr>
        <w:t>vs</w:t>
      </w:r>
      <w:r w:rsidR="000A05CE">
        <w:rPr>
          <w:i/>
        </w:rPr>
        <w:t xml:space="preserve"> </w:t>
      </w:r>
      <w:r w:rsidR="006477FF">
        <w:t xml:space="preserve">ozanezumab mean </w:t>
      </w:r>
      <w:r w:rsidR="000E48F7" w:rsidRPr="000E48F7">
        <w:t xml:space="preserve">–14·9 </w:t>
      </w:r>
      <w:r w:rsidR="000E48F7">
        <w:t>[</w:t>
      </w:r>
      <w:r w:rsidR="000A05CE">
        <w:t xml:space="preserve">SE </w:t>
      </w:r>
      <w:r w:rsidR="000E48F7" w:rsidRPr="000E48F7">
        <w:t>13·54</w:t>
      </w:r>
      <w:r w:rsidR="000E48F7">
        <w:t>]</w:t>
      </w:r>
      <w:r w:rsidR="00CF4112">
        <w:t>, with</w:t>
      </w:r>
      <w:r w:rsidR="00362BAF">
        <w:t xml:space="preserve"> </w:t>
      </w:r>
      <w:r w:rsidR="00CF716B">
        <w:t>least square</w:t>
      </w:r>
      <w:r w:rsidR="00082B0C">
        <w:t>s</w:t>
      </w:r>
      <w:r w:rsidR="00CF716B">
        <w:t xml:space="preserve"> mean</w:t>
      </w:r>
      <w:r w:rsidR="000E48F7">
        <w:t xml:space="preserve"> difference</w:t>
      </w:r>
      <w:r w:rsidR="003717B4">
        <w:t xml:space="preserve"> </w:t>
      </w:r>
      <w:r w:rsidR="00123D4B">
        <w:t>–</w:t>
      </w:r>
      <w:r w:rsidR="00CF4112">
        <w:t>30</w:t>
      </w:r>
      <w:r w:rsidR="00A702F5">
        <w:rPr>
          <w:rStyle w:val="st"/>
        </w:rPr>
        <w:t>·</w:t>
      </w:r>
      <w:r w:rsidR="00CF4112">
        <w:t xml:space="preserve">0 </w:t>
      </w:r>
      <w:r w:rsidR="003717B4">
        <w:t>[</w:t>
      </w:r>
      <w:r w:rsidR="00CF4112">
        <w:t xml:space="preserve">95% CI </w:t>
      </w:r>
      <w:r w:rsidR="000E48F7">
        <w:rPr>
          <w:rFonts w:cs="Calibri"/>
        </w:rPr>
        <w:t>–</w:t>
      </w:r>
      <w:r w:rsidR="00CF4112">
        <w:t>67</w:t>
      </w:r>
      <w:r w:rsidR="00A702F5">
        <w:rPr>
          <w:rStyle w:val="st"/>
        </w:rPr>
        <w:t>·</w:t>
      </w:r>
      <w:r w:rsidR="00CF4112">
        <w:t>9</w:t>
      </w:r>
      <w:r w:rsidR="000E48F7">
        <w:t xml:space="preserve"> to</w:t>
      </w:r>
      <w:r w:rsidR="00CF4112">
        <w:t xml:space="preserve"> 7</w:t>
      </w:r>
      <w:r w:rsidR="00A702F5">
        <w:rPr>
          <w:rStyle w:val="st"/>
        </w:rPr>
        <w:t>·</w:t>
      </w:r>
      <w:r w:rsidR="00CF4112">
        <w:t>9</w:t>
      </w:r>
      <w:r w:rsidR="003717B4">
        <w:t>]</w:t>
      </w:r>
      <w:r w:rsidR="000E48F7">
        <w:t>;</w:t>
      </w:r>
      <w:r w:rsidR="00CF4112">
        <w:t xml:space="preserve"> p=0</w:t>
      </w:r>
      <w:r w:rsidR="00A702F5">
        <w:rPr>
          <w:rStyle w:val="st"/>
        </w:rPr>
        <w:t>·</w:t>
      </w:r>
      <w:r w:rsidR="00CF4112">
        <w:t>120</w:t>
      </w:r>
      <w:r w:rsidR="0058116A" w:rsidRPr="00C016C2">
        <w:t>)</w:t>
      </w:r>
      <w:r w:rsidR="001D6740" w:rsidRPr="003A0162">
        <w:t>.</w:t>
      </w:r>
      <w:r w:rsidR="001D6740">
        <w:t xml:space="preserve"> </w:t>
      </w:r>
      <w:r w:rsidR="00472F3E">
        <w:t>The incidences of d</w:t>
      </w:r>
      <w:r w:rsidR="00472F3E" w:rsidRPr="00472F3E">
        <w:t xml:space="preserve">yspepsia (7% </w:t>
      </w:r>
      <w:r w:rsidR="00472F3E" w:rsidRPr="00EB3FCE">
        <w:rPr>
          <w:i/>
        </w:rPr>
        <w:t>vs</w:t>
      </w:r>
      <w:r w:rsidR="00472F3E" w:rsidRPr="00472F3E">
        <w:t xml:space="preserve"> 3%</w:t>
      </w:r>
      <w:r w:rsidR="00472F3E">
        <w:t>)</w:t>
      </w:r>
      <w:r w:rsidR="00472F3E" w:rsidRPr="00472F3E">
        <w:t xml:space="preserve">, depression (7% </w:t>
      </w:r>
      <w:r w:rsidR="00472F3E" w:rsidRPr="00EB3FCE">
        <w:rPr>
          <w:i/>
        </w:rPr>
        <w:t>vs</w:t>
      </w:r>
      <w:r w:rsidR="00472F3E" w:rsidRPr="00472F3E">
        <w:t xml:space="preserve"> 3%)</w:t>
      </w:r>
      <w:r w:rsidR="00472F3E">
        <w:t>,</w:t>
      </w:r>
      <w:r w:rsidR="00472F3E" w:rsidRPr="00472F3E">
        <w:t xml:space="preserve"> and diarrhoea (16% </w:t>
      </w:r>
      <w:r w:rsidR="00472F3E" w:rsidRPr="00EB3FCE">
        <w:rPr>
          <w:i/>
        </w:rPr>
        <w:t>vs</w:t>
      </w:r>
      <w:r w:rsidR="00472F3E" w:rsidRPr="00472F3E">
        <w:t xml:space="preserve"> 8%) in the ozanezumab </w:t>
      </w:r>
      <w:r w:rsidR="00472F3E">
        <w:t xml:space="preserve">group were almost </w:t>
      </w:r>
      <w:r w:rsidR="00472F3E" w:rsidRPr="00472F3E">
        <w:t xml:space="preserve">twice </w:t>
      </w:r>
      <w:r w:rsidR="00472F3E">
        <w:t xml:space="preserve">those </w:t>
      </w:r>
      <w:r w:rsidR="00472F3E" w:rsidRPr="00472F3E">
        <w:t xml:space="preserve">in the placebo </w:t>
      </w:r>
      <w:r w:rsidR="00472F3E">
        <w:t xml:space="preserve">group. </w:t>
      </w:r>
      <w:r w:rsidR="00A72D4C" w:rsidRPr="006454F7">
        <w:rPr>
          <w:rFonts w:asciiTheme="minorHAnsi" w:hAnsiTheme="minorHAnsi" w:cstheme="minorHAnsi"/>
          <w:szCs w:val="22"/>
        </w:rPr>
        <w:t>A</w:t>
      </w:r>
      <w:r w:rsidR="00446661">
        <w:rPr>
          <w:rFonts w:asciiTheme="minorHAnsi" w:hAnsiTheme="minorHAnsi" w:cstheme="minorHAnsi"/>
          <w:szCs w:val="22"/>
        </w:rPr>
        <w:t xml:space="preserve"> </w:t>
      </w:r>
      <w:r w:rsidR="00A72D4C" w:rsidRPr="006454F7">
        <w:rPr>
          <w:rFonts w:asciiTheme="minorHAnsi" w:hAnsiTheme="minorHAnsi" w:cstheme="minorHAnsi"/>
          <w:szCs w:val="22"/>
        </w:rPr>
        <w:t xml:space="preserve">numerically higher incidence of fatal SAEs </w:t>
      </w:r>
      <w:r w:rsidR="00E74EF7" w:rsidRPr="006454F7">
        <w:rPr>
          <w:rFonts w:asciiTheme="minorHAnsi" w:hAnsiTheme="minorHAnsi" w:cstheme="minorHAnsi"/>
          <w:szCs w:val="22"/>
        </w:rPr>
        <w:t xml:space="preserve">was observed </w:t>
      </w:r>
      <w:r w:rsidR="00E74EF7">
        <w:rPr>
          <w:rFonts w:asciiTheme="minorHAnsi" w:hAnsiTheme="minorHAnsi" w:cstheme="minorHAnsi"/>
          <w:szCs w:val="22"/>
        </w:rPr>
        <w:t>with</w:t>
      </w:r>
      <w:r w:rsidR="00E74EF7" w:rsidRPr="006454F7">
        <w:rPr>
          <w:rFonts w:asciiTheme="minorHAnsi" w:hAnsiTheme="minorHAnsi" w:cstheme="minorHAnsi"/>
          <w:szCs w:val="22"/>
        </w:rPr>
        <w:t xml:space="preserve"> ozanezumab </w:t>
      </w:r>
      <w:r w:rsidR="00F13578" w:rsidRPr="000E44AD">
        <w:rPr>
          <w:rFonts w:asciiTheme="minorHAnsi" w:hAnsiTheme="minorHAnsi" w:cstheme="minorHAnsi"/>
          <w:szCs w:val="22"/>
        </w:rPr>
        <w:t>versus</w:t>
      </w:r>
      <w:r w:rsidR="00E74EF7" w:rsidRPr="006454F7">
        <w:rPr>
          <w:rFonts w:asciiTheme="minorHAnsi" w:hAnsiTheme="minorHAnsi" w:cstheme="minorHAnsi"/>
          <w:szCs w:val="22"/>
        </w:rPr>
        <w:t xml:space="preserve"> placebo</w:t>
      </w:r>
      <w:r w:rsidR="004E4AA5">
        <w:rPr>
          <w:rFonts w:asciiTheme="minorHAnsi" w:hAnsiTheme="minorHAnsi" w:cstheme="minorHAnsi"/>
          <w:szCs w:val="22"/>
        </w:rPr>
        <w:t xml:space="preserve"> (18 [</w:t>
      </w:r>
      <w:r w:rsidR="004E4AA5" w:rsidRPr="004E3363">
        <w:rPr>
          <w:rFonts w:asciiTheme="minorHAnsi" w:hAnsiTheme="minorHAnsi" w:cstheme="minorHAnsi"/>
          <w:szCs w:val="22"/>
        </w:rPr>
        <w:t>12%</w:t>
      </w:r>
      <w:r w:rsidR="004E4AA5">
        <w:rPr>
          <w:rFonts w:asciiTheme="minorHAnsi" w:hAnsiTheme="minorHAnsi" w:cstheme="minorHAnsi"/>
          <w:szCs w:val="22"/>
        </w:rPr>
        <w:t xml:space="preserve">] </w:t>
      </w:r>
      <w:r w:rsidR="004E4AA5" w:rsidRPr="00674D67">
        <w:rPr>
          <w:rFonts w:asciiTheme="minorHAnsi" w:hAnsiTheme="minorHAnsi" w:cstheme="minorHAnsi"/>
          <w:i/>
          <w:szCs w:val="22"/>
        </w:rPr>
        <w:t>vs</w:t>
      </w:r>
      <w:r w:rsidR="004E4AA5">
        <w:rPr>
          <w:rFonts w:asciiTheme="minorHAnsi" w:hAnsiTheme="minorHAnsi" w:cstheme="minorHAnsi"/>
          <w:szCs w:val="22"/>
        </w:rPr>
        <w:t xml:space="preserve"> 13 [</w:t>
      </w:r>
      <w:r w:rsidR="004E4AA5" w:rsidRPr="004E3363">
        <w:rPr>
          <w:rFonts w:asciiTheme="minorHAnsi" w:hAnsiTheme="minorHAnsi" w:cstheme="minorHAnsi"/>
          <w:szCs w:val="22"/>
        </w:rPr>
        <w:t>9%</w:t>
      </w:r>
      <w:r w:rsidR="004E4AA5">
        <w:rPr>
          <w:rFonts w:asciiTheme="minorHAnsi" w:hAnsiTheme="minorHAnsi" w:cstheme="minorHAnsi"/>
          <w:szCs w:val="22"/>
        </w:rPr>
        <w:t>] deaths)</w:t>
      </w:r>
      <w:r w:rsidR="00E74EF7">
        <w:rPr>
          <w:rFonts w:asciiTheme="minorHAnsi" w:hAnsiTheme="minorHAnsi" w:cstheme="minorHAnsi"/>
          <w:szCs w:val="22"/>
        </w:rPr>
        <w:t>,</w:t>
      </w:r>
      <w:r w:rsidR="00E74EF7" w:rsidRPr="006454F7">
        <w:rPr>
          <w:rFonts w:asciiTheme="minorHAnsi" w:hAnsiTheme="minorHAnsi" w:cstheme="minorHAnsi"/>
          <w:szCs w:val="22"/>
        </w:rPr>
        <w:t xml:space="preserve"> </w:t>
      </w:r>
      <w:r w:rsidR="00A72D4C" w:rsidRPr="006454F7">
        <w:rPr>
          <w:rFonts w:asciiTheme="minorHAnsi" w:hAnsiTheme="minorHAnsi" w:cstheme="minorHAnsi"/>
          <w:szCs w:val="22"/>
        </w:rPr>
        <w:t>driven mainly by respiratory failure events</w:t>
      </w:r>
      <w:r w:rsidR="004E4AA5">
        <w:rPr>
          <w:rFonts w:asciiTheme="minorHAnsi" w:hAnsiTheme="minorHAnsi" w:cstheme="minorHAnsi"/>
          <w:szCs w:val="22"/>
        </w:rPr>
        <w:t xml:space="preserve"> </w:t>
      </w:r>
      <w:r w:rsidR="004E4AA5" w:rsidRPr="004E4AA5">
        <w:rPr>
          <w:rFonts w:asciiTheme="minorHAnsi" w:hAnsiTheme="minorHAnsi" w:cstheme="minorHAnsi"/>
          <w:szCs w:val="22"/>
        </w:rPr>
        <w:t>(</w:t>
      </w:r>
      <w:r w:rsidR="004E4AA5">
        <w:rPr>
          <w:rFonts w:asciiTheme="minorHAnsi" w:hAnsiTheme="minorHAnsi" w:cstheme="minorHAnsi"/>
          <w:szCs w:val="22"/>
        </w:rPr>
        <w:t>ten</w:t>
      </w:r>
      <w:r w:rsidR="004E4AA5" w:rsidRPr="004E4AA5">
        <w:rPr>
          <w:rFonts w:asciiTheme="minorHAnsi" w:hAnsiTheme="minorHAnsi" w:cstheme="minorHAnsi"/>
          <w:szCs w:val="22"/>
        </w:rPr>
        <w:t xml:space="preserve"> [7%] </w:t>
      </w:r>
      <w:r w:rsidR="004E4AA5" w:rsidRPr="00674D67">
        <w:rPr>
          <w:rFonts w:asciiTheme="minorHAnsi" w:hAnsiTheme="minorHAnsi" w:cstheme="minorHAnsi"/>
          <w:i/>
          <w:szCs w:val="22"/>
        </w:rPr>
        <w:t>vs</w:t>
      </w:r>
      <w:r w:rsidR="004E4AA5" w:rsidRPr="004E4AA5">
        <w:rPr>
          <w:rFonts w:asciiTheme="minorHAnsi" w:hAnsiTheme="minorHAnsi" w:cstheme="minorHAnsi"/>
          <w:szCs w:val="22"/>
        </w:rPr>
        <w:t xml:space="preserve"> </w:t>
      </w:r>
      <w:r w:rsidR="004E4AA5">
        <w:rPr>
          <w:rFonts w:asciiTheme="minorHAnsi" w:hAnsiTheme="minorHAnsi" w:cstheme="minorHAnsi"/>
          <w:szCs w:val="22"/>
        </w:rPr>
        <w:t xml:space="preserve">five </w:t>
      </w:r>
      <w:r w:rsidR="004E4AA5" w:rsidRPr="004E4AA5">
        <w:rPr>
          <w:rFonts w:asciiTheme="minorHAnsi" w:hAnsiTheme="minorHAnsi" w:cstheme="minorHAnsi"/>
          <w:szCs w:val="22"/>
        </w:rPr>
        <w:t>[3%]</w:t>
      </w:r>
      <w:r w:rsidR="004E4AA5">
        <w:rPr>
          <w:rFonts w:asciiTheme="minorHAnsi" w:hAnsiTheme="minorHAnsi" w:cstheme="minorHAnsi"/>
          <w:szCs w:val="22"/>
        </w:rPr>
        <w:t>)</w:t>
      </w:r>
      <w:r w:rsidR="00A72D4C" w:rsidRPr="006454F7">
        <w:rPr>
          <w:rFonts w:asciiTheme="minorHAnsi" w:hAnsiTheme="minorHAnsi" w:cstheme="minorHAnsi"/>
          <w:szCs w:val="22"/>
        </w:rPr>
        <w:t>.</w:t>
      </w:r>
      <w:r w:rsidR="00983E46">
        <w:rPr>
          <w:rFonts w:asciiTheme="minorHAnsi" w:hAnsiTheme="minorHAnsi" w:cstheme="minorHAnsi"/>
          <w:szCs w:val="22"/>
        </w:rPr>
        <w:t xml:space="preserve"> </w:t>
      </w:r>
      <w:r w:rsidR="00983E46" w:rsidRPr="00472F3E">
        <w:rPr>
          <w:rFonts w:asciiTheme="minorHAnsi" w:hAnsiTheme="minorHAnsi" w:cstheme="minorHAnsi"/>
          <w:szCs w:val="22"/>
        </w:rPr>
        <w:t>Respiratory failure was the most common SAE</w:t>
      </w:r>
      <w:r w:rsidR="00983E46">
        <w:rPr>
          <w:rFonts w:asciiTheme="minorHAnsi" w:hAnsiTheme="minorHAnsi" w:cstheme="minorHAnsi"/>
          <w:szCs w:val="22"/>
        </w:rPr>
        <w:t>,</w:t>
      </w:r>
      <w:r w:rsidR="00983E46" w:rsidRPr="00472F3E">
        <w:rPr>
          <w:rFonts w:asciiTheme="minorHAnsi" w:hAnsiTheme="minorHAnsi" w:cstheme="minorHAnsi"/>
          <w:szCs w:val="22"/>
        </w:rPr>
        <w:t xml:space="preserve"> reported in 12 (8%) and </w:t>
      </w:r>
      <w:r w:rsidR="00764E13">
        <w:rPr>
          <w:rFonts w:asciiTheme="minorHAnsi" w:hAnsiTheme="minorHAnsi" w:cstheme="minorHAnsi"/>
          <w:szCs w:val="22"/>
        </w:rPr>
        <w:t>seven</w:t>
      </w:r>
      <w:r w:rsidR="00983E46" w:rsidRPr="00472F3E">
        <w:rPr>
          <w:rFonts w:asciiTheme="minorHAnsi" w:hAnsiTheme="minorHAnsi" w:cstheme="minorHAnsi"/>
          <w:szCs w:val="22"/>
        </w:rPr>
        <w:t xml:space="preserve"> (5%) patients in the ozanezumab and placebo arms, respectively. </w:t>
      </w:r>
    </w:p>
    <w:p w:rsidR="008D3F30" w:rsidRDefault="008D3F30">
      <w:pPr>
        <w:spacing w:line="360" w:lineRule="auto"/>
      </w:pPr>
      <w:r w:rsidRPr="008D3F30">
        <w:rPr>
          <w:b/>
        </w:rPr>
        <w:t>Interpretation</w:t>
      </w:r>
      <w:r>
        <w:t xml:space="preserve">: </w:t>
      </w:r>
      <w:r w:rsidR="00983E46">
        <w:t>O</w:t>
      </w:r>
      <w:r w:rsidR="00BD2418" w:rsidRPr="00D8492A">
        <w:t xml:space="preserve">zanezumab did not </w:t>
      </w:r>
      <w:r w:rsidR="004C498B">
        <w:t>demonstrate</w:t>
      </w:r>
      <w:r w:rsidR="00BD2418" w:rsidRPr="00D8492A">
        <w:t xml:space="preserve"> efficacy </w:t>
      </w:r>
      <w:r w:rsidR="00EB2C58">
        <w:t xml:space="preserve">compared with placebo </w:t>
      </w:r>
      <w:r w:rsidR="00C132B0">
        <w:t xml:space="preserve">in patients with </w:t>
      </w:r>
      <w:r w:rsidR="00346319">
        <w:t>ALS</w:t>
      </w:r>
      <w:r w:rsidR="004C498B">
        <w:t xml:space="preserve">. </w:t>
      </w:r>
      <w:r w:rsidR="00983E46">
        <w:t>Therefore</w:t>
      </w:r>
      <w:r w:rsidR="00A672E6">
        <w:t xml:space="preserve">, </w:t>
      </w:r>
      <w:r w:rsidR="00A672E6" w:rsidRPr="001C7964">
        <w:rPr>
          <w:rFonts w:asciiTheme="minorHAnsi" w:hAnsiTheme="minorHAnsi" w:cstheme="minorHAnsi"/>
          <w:szCs w:val="22"/>
        </w:rPr>
        <w:t xml:space="preserve">Nogo-A </w:t>
      </w:r>
      <w:r w:rsidR="00983E46">
        <w:rPr>
          <w:rFonts w:asciiTheme="minorHAnsi" w:hAnsiTheme="minorHAnsi" w:cstheme="minorHAnsi"/>
          <w:szCs w:val="22"/>
        </w:rPr>
        <w:t xml:space="preserve">does </w:t>
      </w:r>
      <w:r w:rsidR="00A672E6" w:rsidRPr="001C7964">
        <w:rPr>
          <w:rFonts w:asciiTheme="minorHAnsi" w:hAnsiTheme="minorHAnsi" w:cstheme="minorHAnsi"/>
          <w:szCs w:val="22"/>
        </w:rPr>
        <w:t xml:space="preserve">not </w:t>
      </w:r>
      <w:r w:rsidR="00EB2C58">
        <w:rPr>
          <w:rFonts w:asciiTheme="minorHAnsi" w:hAnsiTheme="minorHAnsi" w:cstheme="minorHAnsi"/>
          <w:szCs w:val="22"/>
        </w:rPr>
        <w:t>seem to be</w:t>
      </w:r>
      <w:r w:rsidR="00A672E6" w:rsidRPr="001C7964">
        <w:rPr>
          <w:rFonts w:asciiTheme="minorHAnsi" w:hAnsiTheme="minorHAnsi" w:cstheme="minorHAnsi"/>
          <w:szCs w:val="22"/>
        </w:rPr>
        <w:t xml:space="preserve"> an effective therapeutic target in ALS.</w:t>
      </w:r>
    </w:p>
    <w:p w:rsidR="00171EBA" w:rsidRDefault="008D3F30" w:rsidP="00F91BAD">
      <w:pPr>
        <w:spacing w:line="360" w:lineRule="auto"/>
        <w:rPr>
          <w:b/>
        </w:rPr>
      </w:pPr>
      <w:r w:rsidRPr="008D3F30">
        <w:rPr>
          <w:b/>
        </w:rPr>
        <w:t>Funding</w:t>
      </w:r>
      <w:r>
        <w:t xml:space="preserve">: </w:t>
      </w:r>
      <w:r w:rsidR="00B6546D" w:rsidRPr="00B6546D">
        <w:t xml:space="preserve">GlaxoSmithKline. </w:t>
      </w:r>
      <w:r w:rsidR="00171EBA">
        <w:rPr>
          <w:b/>
        </w:rPr>
        <w:br w:type="page"/>
      </w:r>
    </w:p>
    <w:p w:rsidR="00316289" w:rsidRPr="005345A6" w:rsidRDefault="00316289" w:rsidP="00FD4D14">
      <w:pPr>
        <w:spacing w:line="360" w:lineRule="auto"/>
        <w:outlineLvl w:val="0"/>
        <w:rPr>
          <w:b/>
        </w:rPr>
      </w:pPr>
      <w:r w:rsidRPr="005345A6">
        <w:rPr>
          <w:b/>
        </w:rPr>
        <w:lastRenderedPageBreak/>
        <w:t>INTRODUCTION</w:t>
      </w:r>
    </w:p>
    <w:p w:rsidR="0040486B" w:rsidRPr="00872905" w:rsidRDefault="0040486B">
      <w:pPr>
        <w:spacing w:line="360" w:lineRule="auto"/>
        <w:rPr>
          <w:rFonts w:asciiTheme="minorHAnsi" w:hAnsiTheme="minorHAnsi"/>
          <w:szCs w:val="22"/>
        </w:rPr>
      </w:pPr>
      <w:r w:rsidRPr="00872905">
        <w:rPr>
          <w:rFonts w:asciiTheme="minorHAnsi" w:hAnsiTheme="minorHAnsi"/>
          <w:szCs w:val="22"/>
        </w:rPr>
        <w:t xml:space="preserve">Amyotrophic lateral sclerosis (ALS) is a </w:t>
      </w:r>
      <w:r w:rsidR="00220796" w:rsidRPr="00872905">
        <w:rPr>
          <w:rFonts w:asciiTheme="minorHAnsi" w:hAnsiTheme="minorHAnsi"/>
          <w:szCs w:val="22"/>
        </w:rPr>
        <w:t>neurodegenerative</w:t>
      </w:r>
      <w:r w:rsidRPr="00872905">
        <w:rPr>
          <w:rFonts w:asciiTheme="minorHAnsi" w:hAnsiTheme="minorHAnsi"/>
          <w:szCs w:val="22"/>
        </w:rPr>
        <w:t xml:space="preserve"> disorder characterised by progressive degeneration of motor neurons in the brain and spinal cord.</w:t>
      </w:r>
      <w:r w:rsidR="00177C8B">
        <w:rPr>
          <w:rFonts w:asciiTheme="minorHAnsi" w:hAnsiTheme="minorHAnsi"/>
          <w:noProof/>
          <w:szCs w:val="22"/>
          <w:vertAlign w:val="superscript"/>
        </w:rPr>
        <w:t>1</w:t>
      </w:r>
      <w:r w:rsidR="00177C8B" w:rsidRPr="00872905">
        <w:rPr>
          <w:rFonts w:asciiTheme="minorHAnsi" w:hAnsiTheme="minorHAnsi"/>
          <w:szCs w:val="22"/>
        </w:rPr>
        <w:t xml:space="preserve"> </w:t>
      </w:r>
      <w:r w:rsidR="00536AA1" w:rsidRPr="00872905">
        <w:rPr>
          <w:rFonts w:asciiTheme="minorHAnsi" w:hAnsiTheme="minorHAnsi"/>
          <w:szCs w:val="22"/>
        </w:rPr>
        <w:t xml:space="preserve">In most cases, </w:t>
      </w:r>
      <w:r w:rsidRPr="00872905">
        <w:rPr>
          <w:rFonts w:asciiTheme="minorHAnsi" w:hAnsiTheme="minorHAnsi"/>
          <w:szCs w:val="22"/>
        </w:rPr>
        <w:t xml:space="preserve">ALS </w:t>
      </w:r>
      <w:r w:rsidR="003A75D2">
        <w:rPr>
          <w:rFonts w:asciiTheme="minorHAnsi" w:hAnsiTheme="minorHAnsi"/>
          <w:szCs w:val="22"/>
        </w:rPr>
        <w:t>progressively involves muscles, leading to</w:t>
      </w:r>
      <w:r w:rsidRPr="00872905">
        <w:rPr>
          <w:rFonts w:asciiTheme="minorHAnsi" w:hAnsiTheme="minorHAnsi"/>
          <w:szCs w:val="22"/>
        </w:rPr>
        <w:t xml:space="preserve"> weakness </w:t>
      </w:r>
      <w:r w:rsidR="00554560" w:rsidRPr="00872905">
        <w:rPr>
          <w:rFonts w:asciiTheme="minorHAnsi" w:hAnsiTheme="minorHAnsi"/>
          <w:szCs w:val="22"/>
        </w:rPr>
        <w:t xml:space="preserve">and </w:t>
      </w:r>
      <w:r w:rsidRPr="00872905">
        <w:rPr>
          <w:rFonts w:asciiTheme="minorHAnsi" w:hAnsiTheme="minorHAnsi"/>
          <w:szCs w:val="22"/>
        </w:rPr>
        <w:t>ultimately death, typically due to respiratory failure.</w:t>
      </w:r>
      <w:r w:rsidR="00177C8B">
        <w:rPr>
          <w:rFonts w:asciiTheme="minorHAnsi" w:hAnsiTheme="minorHAnsi"/>
          <w:noProof/>
          <w:szCs w:val="22"/>
          <w:vertAlign w:val="superscript"/>
        </w:rPr>
        <w:t>2</w:t>
      </w:r>
      <w:r w:rsidR="00177C8B" w:rsidRPr="00872905">
        <w:rPr>
          <w:rFonts w:asciiTheme="minorHAnsi" w:hAnsiTheme="minorHAnsi"/>
          <w:szCs w:val="22"/>
        </w:rPr>
        <w:t xml:space="preserve"> </w:t>
      </w:r>
      <w:r w:rsidR="00D635D0">
        <w:rPr>
          <w:rFonts w:asciiTheme="minorHAnsi" w:hAnsiTheme="minorHAnsi" w:cs="Arial"/>
          <w:szCs w:val="22"/>
        </w:rPr>
        <w:t xml:space="preserve">Most </w:t>
      </w:r>
      <w:r w:rsidR="00220796" w:rsidRPr="00872905">
        <w:rPr>
          <w:rFonts w:asciiTheme="minorHAnsi" w:hAnsiTheme="minorHAnsi" w:cs="Arial"/>
          <w:szCs w:val="22"/>
        </w:rPr>
        <w:t xml:space="preserve">patients die </w:t>
      </w:r>
      <w:r w:rsidR="00684708">
        <w:rPr>
          <w:rFonts w:asciiTheme="minorHAnsi" w:hAnsiTheme="minorHAnsi" w:cs="Arial"/>
          <w:szCs w:val="22"/>
        </w:rPr>
        <w:t>within</w:t>
      </w:r>
      <w:r w:rsidR="00220796" w:rsidRPr="00872905">
        <w:rPr>
          <w:rFonts w:asciiTheme="minorHAnsi" w:hAnsiTheme="minorHAnsi" w:cs="Arial"/>
          <w:szCs w:val="22"/>
        </w:rPr>
        <w:t xml:space="preserve"> 5 years </w:t>
      </w:r>
      <w:r w:rsidR="003B75C3">
        <w:rPr>
          <w:rFonts w:asciiTheme="minorHAnsi" w:hAnsiTheme="minorHAnsi" w:cs="Arial"/>
          <w:szCs w:val="22"/>
        </w:rPr>
        <w:t xml:space="preserve">after </w:t>
      </w:r>
      <w:r w:rsidR="008244F1">
        <w:rPr>
          <w:rFonts w:asciiTheme="minorHAnsi" w:hAnsiTheme="minorHAnsi" w:cs="Arial"/>
          <w:szCs w:val="22"/>
        </w:rPr>
        <w:t xml:space="preserve">symptom </w:t>
      </w:r>
      <w:r w:rsidR="00220796" w:rsidRPr="00872905">
        <w:rPr>
          <w:rFonts w:asciiTheme="minorHAnsi" w:hAnsiTheme="minorHAnsi" w:cs="Arial"/>
          <w:szCs w:val="22"/>
        </w:rPr>
        <w:t>onset</w:t>
      </w:r>
      <w:r w:rsidR="00AC7DCE">
        <w:rPr>
          <w:rFonts w:asciiTheme="minorHAnsi" w:hAnsiTheme="minorHAnsi" w:cs="Arial"/>
          <w:szCs w:val="22"/>
        </w:rPr>
        <w:t>.</w:t>
      </w:r>
      <w:r w:rsidR="00177C8B">
        <w:rPr>
          <w:rFonts w:asciiTheme="minorHAnsi" w:hAnsiTheme="minorHAnsi" w:cs="Arial"/>
          <w:noProof/>
          <w:szCs w:val="22"/>
          <w:vertAlign w:val="superscript"/>
        </w:rPr>
        <w:t>3</w:t>
      </w:r>
      <w:r w:rsidR="00177C8B" w:rsidRPr="00872905">
        <w:rPr>
          <w:rFonts w:asciiTheme="minorHAnsi" w:hAnsiTheme="minorHAnsi" w:cs="Arial"/>
          <w:szCs w:val="22"/>
        </w:rPr>
        <w:t xml:space="preserve"> </w:t>
      </w:r>
      <w:r w:rsidRPr="00872905">
        <w:rPr>
          <w:rFonts w:asciiTheme="minorHAnsi" w:hAnsiTheme="minorHAnsi"/>
          <w:szCs w:val="22"/>
        </w:rPr>
        <w:t>The patho</w:t>
      </w:r>
      <w:r w:rsidR="002536BA">
        <w:rPr>
          <w:rFonts w:asciiTheme="minorHAnsi" w:hAnsiTheme="minorHAnsi"/>
          <w:szCs w:val="22"/>
        </w:rPr>
        <w:t>physio</w:t>
      </w:r>
      <w:r w:rsidRPr="00872905">
        <w:rPr>
          <w:rFonts w:asciiTheme="minorHAnsi" w:hAnsiTheme="minorHAnsi"/>
          <w:szCs w:val="22"/>
        </w:rPr>
        <w:t>logical mechanism</w:t>
      </w:r>
      <w:r w:rsidR="002536BA">
        <w:rPr>
          <w:rFonts w:asciiTheme="minorHAnsi" w:hAnsiTheme="minorHAnsi"/>
          <w:szCs w:val="22"/>
        </w:rPr>
        <w:t>s</w:t>
      </w:r>
      <w:r w:rsidRPr="00872905">
        <w:rPr>
          <w:rFonts w:asciiTheme="minorHAnsi" w:hAnsiTheme="minorHAnsi"/>
          <w:szCs w:val="22"/>
        </w:rPr>
        <w:t xml:space="preserve"> </w:t>
      </w:r>
      <w:r w:rsidR="002536BA">
        <w:rPr>
          <w:rFonts w:asciiTheme="minorHAnsi" w:hAnsiTheme="minorHAnsi"/>
          <w:szCs w:val="22"/>
        </w:rPr>
        <w:t>remain</w:t>
      </w:r>
      <w:r w:rsidR="002536BA" w:rsidRPr="00872905">
        <w:rPr>
          <w:rFonts w:asciiTheme="minorHAnsi" w:hAnsiTheme="minorHAnsi"/>
          <w:szCs w:val="22"/>
        </w:rPr>
        <w:t xml:space="preserve"> </w:t>
      </w:r>
      <w:r w:rsidR="00055184" w:rsidRPr="00872905">
        <w:rPr>
          <w:rFonts w:asciiTheme="minorHAnsi" w:hAnsiTheme="minorHAnsi"/>
          <w:szCs w:val="22"/>
        </w:rPr>
        <w:t>un</w:t>
      </w:r>
      <w:r w:rsidR="00055184">
        <w:rPr>
          <w:rFonts w:asciiTheme="minorHAnsi" w:hAnsiTheme="minorHAnsi"/>
          <w:szCs w:val="22"/>
        </w:rPr>
        <w:t>confirmed</w:t>
      </w:r>
      <w:r w:rsidRPr="00872905">
        <w:rPr>
          <w:rFonts w:asciiTheme="minorHAnsi" w:hAnsiTheme="minorHAnsi"/>
          <w:szCs w:val="22"/>
        </w:rPr>
        <w:t xml:space="preserve">, but </w:t>
      </w:r>
      <w:r w:rsidR="005E12E0">
        <w:rPr>
          <w:rFonts w:asciiTheme="minorHAnsi" w:hAnsiTheme="minorHAnsi"/>
          <w:szCs w:val="22"/>
        </w:rPr>
        <w:t>important</w:t>
      </w:r>
      <w:r w:rsidR="00A47A8E">
        <w:rPr>
          <w:rFonts w:asciiTheme="minorHAnsi" w:hAnsiTheme="minorHAnsi"/>
          <w:szCs w:val="22"/>
        </w:rPr>
        <w:t xml:space="preserve"> pathogenic changes are considered to involve interference with normal protein degradation</w:t>
      </w:r>
      <w:r w:rsidR="00845FEA" w:rsidRPr="00872905">
        <w:rPr>
          <w:rFonts w:asciiTheme="minorHAnsi" w:hAnsiTheme="minorHAnsi"/>
          <w:szCs w:val="22"/>
        </w:rPr>
        <w:t xml:space="preserve"> and</w:t>
      </w:r>
      <w:r w:rsidRPr="00872905">
        <w:rPr>
          <w:rFonts w:asciiTheme="minorHAnsi" w:hAnsiTheme="minorHAnsi"/>
          <w:szCs w:val="22"/>
        </w:rPr>
        <w:t xml:space="preserve"> defects in RNA processing</w:t>
      </w:r>
      <w:r w:rsidR="006039E8" w:rsidRPr="00872905">
        <w:rPr>
          <w:rFonts w:asciiTheme="minorHAnsi" w:hAnsiTheme="minorHAnsi"/>
          <w:szCs w:val="22"/>
        </w:rPr>
        <w:t>.</w:t>
      </w:r>
      <w:r w:rsidR="00177C8B">
        <w:rPr>
          <w:rFonts w:asciiTheme="minorHAnsi" w:hAnsiTheme="minorHAnsi"/>
          <w:noProof/>
          <w:szCs w:val="22"/>
          <w:vertAlign w:val="superscript"/>
        </w:rPr>
        <w:t>1</w:t>
      </w:r>
      <w:r w:rsidR="00177C8B" w:rsidRPr="00872905" w:rsidDel="00A47A8E">
        <w:rPr>
          <w:rFonts w:asciiTheme="minorHAnsi" w:hAnsiTheme="minorHAnsi"/>
          <w:szCs w:val="22"/>
        </w:rPr>
        <w:t xml:space="preserve"> </w:t>
      </w:r>
      <w:r w:rsidR="00A47A8E">
        <w:rPr>
          <w:rFonts w:asciiTheme="minorHAnsi" w:hAnsiTheme="minorHAnsi"/>
          <w:szCs w:val="22"/>
        </w:rPr>
        <w:t xml:space="preserve">These changes lead to progressive cellular failure, disruption of </w:t>
      </w:r>
      <w:r w:rsidR="00A47A8E" w:rsidRPr="00A47A8E">
        <w:rPr>
          <w:rFonts w:asciiTheme="minorHAnsi" w:hAnsiTheme="minorHAnsi"/>
          <w:szCs w:val="22"/>
        </w:rPr>
        <w:t>axonal architecture and function</w:t>
      </w:r>
      <w:r w:rsidR="00A47A8E">
        <w:rPr>
          <w:rFonts w:asciiTheme="minorHAnsi" w:hAnsiTheme="minorHAnsi"/>
          <w:szCs w:val="22"/>
        </w:rPr>
        <w:t xml:space="preserve"> and a</w:t>
      </w:r>
      <w:r w:rsidR="00A47A8E" w:rsidRPr="00A47A8E">
        <w:rPr>
          <w:rFonts w:asciiTheme="minorHAnsi" w:hAnsiTheme="minorHAnsi"/>
          <w:szCs w:val="22"/>
        </w:rPr>
        <w:t xml:space="preserve">xonal retraction, </w:t>
      </w:r>
      <w:r w:rsidR="00A47A8E">
        <w:rPr>
          <w:rFonts w:asciiTheme="minorHAnsi" w:hAnsiTheme="minorHAnsi"/>
          <w:szCs w:val="22"/>
        </w:rPr>
        <w:t>and ultimately to</w:t>
      </w:r>
      <w:r w:rsidR="00A47A8E" w:rsidRPr="00A47A8E">
        <w:rPr>
          <w:rFonts w:asciiTheme="minorHAnsi" w:hAnsiTheme="minorHAnsi"/>
          <w:szCs w:val="22"/>
        </w:rPr>
        <w:t xml:space="preserve"> denervation of neurons or muscle</w:t>
      </w:r>
      <w:r w:rsidR="00AE151D">
        <w:rPr>
          <w:rFonts w:asciiTheme="minorHAnsi" w:hAnsiTheme="minorHAnsi"/>
          <w:szCs w:val="22"/>
        </w:rPr>
        <w:t>s</w:t>
      </w:r>
      <w:r w:rsidR="00A47A8E">
        <w:rPr>
          <w:rFonts w:asciiTheme="minorHAnsi" w:hAnsiTheme="minorHAnsi"/>
          <w:szCs w:val="22"/>
        </w:rPr>
        <w:t>.</w:t>
      </w:r>
      <w:r w:rsidR="00177C8B">
        <w:rPr>
          <w:rFonts w:asciiTheme="minorHAnsi" w:hAnsiTheme="minorHAnsi"/>
          <w:noProof/>
          <w:szCs w:val="22"/>
          <w:vertAlign w:val="superscript"/>
        </w:rPr>
        <w:t>1</w:t>
      </w:r>
      <w:r w:rsidR="00177C8B">
        <w:rPr>
          <w:rFonts w:asciiTheme="minorHAnsi" w:hAnsiTheme="minorHAnsi"/>
          <w:szCs w:val="22"/>
        </w:rPr>
        <w:t xml:space="preserve"> </w:t>
      </w:r>
      <w:r w:rsidR="00A47A8E">
        <w:rPr>
          <w:rFonts w:asciiTheme="minorHAnsi" w:hAnsiTheme="minorHAnsi"/>
          <w:szCs w:val="22"/>
        </w:rPr>
        <w:t xml:space="preserve">The processes of </w:t>
      </w:r>
      <w:r w:rsidR="00A47A8E" w:rsidRPr="00A47A8E">
        <w:rPr>
          <w:rFonts w:asciiTheme="minorHAnsi" w:hAnsiTheme="minorHAnsi"/>
          <w:szCs w:val="22"/>
        </w:rPr>
        <w:t xml:space="preserve">axonal retraction and denervation </w:t>
      </w:r>
      <w:r w:rsidR="003B75C3">
        <w:rPr>
          <w:rFonts w:asciiTheme="minorHAnsi" w:hAnsiTheme="minorHAnsi"/>
          <w:szCs w:val="22"/>
        </w:rPr>
        <w:t xml:space="preserve">might </w:t>
      </w:r>
      <w:r w:rsidR="00A47A8E">
        <w:rPr>
          <w:rFonts w:asciiTheme="minorHAnsi" w:hAnsiTheme="minorHAnsi"/>
          <w:szCs w:val="22"/>
        </w:rPr>
        <w:t>be further modulated by a</w:t>
      </w:r>
      <w:r w:rsidR="00A47A8E" w:rsidRPr="00A47A8E">
        <w:rPr>
          <w:rFonts w:asciiTheme="minorHAnsi" w:hAnsiTheme="minorHAnsi"/>
          <w:szCs w:val="22"/>
        </w:rPr>
        <w:t>xonal attraction and repellent systems</w:t>
      </w:r>
      <w:r w:rsidR="00A5659B">
        <w:rPr>
          <w:rFonts w:asciiTheme="minorHAnsi" w:hAnsiTheme="minorHAnsi"/>
          <w:szCs w:val="22"/>
        </w:rPr>
        <w:t>, which are responsible for the development and stabilization of the neuronal network</w:t>
      </w:r>
      <w:r w:rsidR="00540E0D">
        <w:rPr>
          <w:rFonts w:asciiTheme="minorHAnsi" w:hAnsiTheme="minorHAnsi"/>
          <w:szCs w:val="22"/>
        </w:rPr>
        <w:t>.</w:t>
      </w:r>
      <w:r w:rsidR="00177C8B">
        <w:rPr>
          <w:rFonts w:asciiTheme="minorHAnsi" w:hAnsiTheme="minorHAnsi"/>
          <w:noProof/>
          <w:szCs w:val="22"/>
          <w:vertAlign w:val="superscript"/>
        </w:rPr>
        <w:t>1</w:t>
      </w:r>
      <w:r w:rsidR="00177C8B">
        <w:rPr>
          <w:rFonts w:asciiTheme="minorHAnsi" w:hAnsiTheme="minorHAnsi"/>
          <w:szCs w:val="22"/>
        </w:rPr>
        <w:t xml:space="preserve"> </w:t>
      </w:r>
      <w:r w:rsidR="00643780">
        <w:rPr>
          <w:rFonts w:asciiTheme="minorHAnsi" w:hAnsiTheme="minorHAnsi"/>
          <w:szCs w:val="22"/>
        </w:rPr>
        <w:t>O</w:t>
      </w:r>
      <w:r w:rsidR="00A7227B" w:rsidRPr="00A7227B">
        <w:rPr>
          <w:rFonts w:asciiTheme="minorHAnsi" w:hAnsiTheme="minorHAnsi"/>
          <w:szCs w:val="22"/>
        </w:rPr>
        <w:t>xidativ</w:t>
      </w:r>
      <w:r w:rsidR="00A7227B">
        <w:rPr>
          <w:rFonts w:asciiTheme="minorHAnsi" w:hAnsiTheme="minorHAnsi"/>
          <w:szCs w:val="22"/>
        </w:rPr>
        <w:t>e stress, glutamate toxicity, mi</w:t>
      </w:r>
      <w:r w:rsidR="00A7227B" w:rsidRPr="00A7227B">
        <w:rPr>
          <w:rFonts w:asciiTheme="minorHAnsi" w:hAnsiTheme="minorHAnsi"/>
          <w:szCs w:val="22"/>
        </w:rPr>
        <w:t>t</w:t>
      </w:r>
      <w:r w:rsidR="00616DE1">
        <w:rPr>
          <w:rFonts w:asciiTheme="minorHAnsi" w:hAnsiTheme="minorHAnsi"/>
          <w:szCs w:val="22"/>
        </w:rPr>
        <w:t>ochondri</w:t>
      </w:r>
      <w:r w:rsidR="00A7227B">
        <w:rPr>
          <w:rFonts w:asciiTheme="minorHAnsi" w:hAnsiTheme="minorHAnsi"/>
          <w:szCs w:val="22"/>
        </w:rPr>
        <w:t>al dysfuncti</w:t>
      </w:r>
      <w:r w:rsidR="00A7227B" w:rsidRPr="00A7227B">
        <w:rPr>
          <w:rFonts w:asciiTheme="minorHAnsi" w:hAnsiTheme="minorHAnsi"/>
          <w:szCs w:val="22"/>
        </w:rPr>
        <w:t>on, autophagic dysfu</w:t>
      </w:r>
      <w:r w:rsidR="00935E0A">
        <w:rPr>
          <w:rFonts w:asciiTheme="minorHAnsi" w:hAnsiTheme="minorHAnsi"/>
          <w:szCs w:val="22"/>
        </w:rPr>
        <w:t>n</w:t>
      </w:r>
      <w:r w:rsidR="00A7227B" w:rsidRPr="00A7227B">
        <w:rPr>
          <w:rFonts w:asciiTheme="minorHAnsi" w:hAnsiTheme="minorHAnsi"/>
          <w:szCs w:val="22"/>
        </w:rPr>
        <w:t>ction</w:t>
      </w:r>
      <w:r w:rsidR="001F7488">
        <w:rPr>
          <w:rFonts w:asciiTheme="minorHAnsi" w:hAnsiTheme="minorHAnsi"/>
          <w:szCs w:val="22"/>
        </w:rPr>
        <w:t>,</w:t>
      </w:r>
      <w:r w:rsidR="007B29B5">
        <w:rPr>
          <w:rFonts w:asciiTheme="minorHAnsi" w:hAnsiTheme="minorHAnsi"/>
          <w:szCs w:val="22"/>
        </w:rPr>
        <w:t xml:space="preserve"> and</w:t>
      </w:r>
      <w:r w:rsidR="00A7227B" w:rsidRPr="00A7227B">
        <w:rPr>
          <w:rFonts w:asciiTheme="minorHAnsi" w:hAnsiTheme="minorHAnsi"/>
          <w:szCs w:val="22"/>
        </w:rPr>
        <w:t xml:space="preserve"> immune-inflammatory </w:t>
      </w:r>
      <w:r w:rsidR="00A7227B">
        <w:rPr>
          <w:rFonts w:asciiTheme="minorHAnsi" w:hAnsiTheme="minorHAnsi"/>
          <w:szCs w:val="22"/>
        </w:rPr>
        <w:t>responses have al</w:t>
      </w:r>
      <w:r w:rsidR="00A41BC8">
        <w:rPr>
          <w:rFonts w:asciiTheme="minorHAnsi" w:hAnsiTheme="minorHAnsi"/>
          <w:szCs w:val="22"/>
        </w:rPr>
        <w:t>so</w:t>
      </w:r>
      <w:r w:rsidR="00A7227B">
        <w:rPr>
          <w:rFonts w:asciiTheme="minorHAnsi" w:hAnsiTheme="minorHAnsi"/>
          <w:szCs w:val="22"/>
        </w:rPr>
        <w:t xml:space="preserve"> been implicated in the pathogenesis of ALS.</w:t>
      </w:r>
      <w:r w:rsidR="00177C8B">
        <w:rPr>
          <w:rFonts w:asciiTheme="minorHAnsi" w:hAnsiTheme="minorHAnsi"/>
          <w:noProof/>
          <w:szCs w:val="22"/>
          <w:vertAlign w:val="superscript"/>
        </w:rPr>
        <w:t>2</w:t>
      </w:r>
      <w:r w:rsidR="00177C8B">
        <w:rPr>
          <w:rFonts w:asciiTheme="minorHAnsi" w:hAnsiTheme="minorHAnsi"/>
          <w:szCs w:val="22"/>
        </w:rPr>
        <w:t xml:space="preserve"> </w:t>
      </w:r>
    </w:p>
    <w:p w:rsidR="0040486B" w:rsidRPr="00872905" w:rsidRDefault="0040486B">
      <w:pPr>
        <w:spacing w:line="360" w:lineRule="auto"/>
        <w:rPr>
          <w:rFonts w:asciiTheme="minorHAnsi" w:hAnsiTheme="minorHAnsi"/>
          <w:szCs w:val="22"/>
        </w:rPr>
      </w:pPr>
      <w:r w:rsidRPr="00872905">
        <w:rPr>
          <w:rFonts w:asciiTheme="minorHAnsi" w:hAnsiTheme="minorHAnsi"/>
          <w:szCs w:val="22"/>
        </w:rPr>
        <w:t xml:space="preserve">Only one </w:t>
      </w:r>
      <w:r w:rsidR="000D0F9F">
        <w:rPr>
          <w:rFonts w:asciiTheme="minorHAnsi" w:hAnsiTheme="minorHAnsi"/>
          <w:szCs w:val="22"/>
        </w:rPr>
        <w:t xml:space="preserve">approved </w:t>
      </w:r>
      <w:r w:rsidRPr="00872905">
        <w:rPr>
          <w:rFonts w:asciiTheme="minorHAnsi" w:hAnsiTheme="minorHAnsi"/>
          <w:szCs w:val="22"/>
        </w:rPr>
        <w:t xml:space="preserve">medication, </w:t>
      </w:r>
      <w:r w:rsidR="00843B9A" w:rsidRPr="00872905">
        <w:rPr>
          <w:rFonts w:asciiTheme="minorHAnsi" w:hAnsiTheme="minorHAnsi"/>
          <w:szCs w:val="22"/>
        </w:rPr>
        <w:t>r</w:t>
      </w:r>
      <w:r w:rsidRPr="00872905">
        <w:rPr>
          <w:rFonts w:asciiTheme="minorHAnsi" w:hAnsiTheme="minorHAnsi"/>
          <w:szCs w:val="22"/>
        </w:rPr>
        <w:t xml:space="preserve">iluzole, </w:t>
      </w:r>
      <w:r w:rsidR="00316877">
        <w:rPr>
          <w:rFonts w:asciiTheme="minorHAnsi" w:hAnsiTheme="minorHAnsi"/>
          <w:szCs w:val="22"/>
        </w:rPr>
        <w:t xml:space="preserve">has </w:t>
      </w:r>
      <w:r w:rsidR="003A75D2">
        <w:rPr>
          <w:rFonts w:asciiTheme="minorHAnsi" w:hAnsiTheme="minorHAnsi"/>
          <w:szCs w:val="22"/>
        </w:rPr>
        <w:t>an</w:t>
      </w:r>
      <w:r w:rsidR="00316877">
        <w:rPr>
          <w:rFonts w:asciiTheme="minorHAnsi" w:hAnsiTheme="minorHAnsi"/>
          <w:szCs w:val="22"/>
        </w:rPr>
        <w:t xml:space="preserve"> effect on</w:t>
      </w:r>
      <w:r w:rsidR="00D2263D">
        <w:rPr>
          <w:rFonts w:asciiTheme="minorHAnsi" w:hAnsiTheme="minorHAnsi"/>
          <w:szCs w:val="22"/>
        </w:rPr>
        <w:t xml:space="preserve"> </w:t>
      </w:r>
      <w:r w:rsidR="000D0F9F">
        <w:rPr>
          <w:rFonts w:asciiTheme="minorHAnsi" w:hAnsiTheme="minorHAnsi"/>
          <w:szCs w:val="22"/>
        </w:rPr>
        <w:t xml:space="preserve">survival </w:t>
      </w:r>
      <w:r w:rsidR="00AF0ED9">
        <w:rPr>
          <w:rFonts w:asciiTheme="minorHAnsi" w:hAnsiTheme="minorHAnsi"/>
          <w:szCs w:val="22"/>
        </w:rPr>
        <w:t>of patients</w:t>
      </w:r>
      <w:r w:rsidR="000D0F9F">
        <w:rPr>
          <w:rFonts w:asciiTheme="minorHAnsi" w:hAnsiTheme="minorHAnsi"/>
          <w:szCs w:val="22"/>
        </w:rPr>
        <w:t xml:space="preserve"> with</w:t>
      </w:r>
      <w:r w:rsidRPr="00872905">
        <w:rPr>
          <w:rFonts w:asciiTheme="minorHAnsi" w:hAnsiTheme="minorHAnsi"/>
          <w:szCs w:val="22"/>
        </w:rPr>
        <w:t xml:space="preserve"> </w:t>
      </w:r>
      <w:r w:rsidR="00177C8B" w:rsidRPr="00872905">
        <w:rPr>
          <w:rFonts w:asciiTheme="minorHAnsi" w:hAnsiTheme="minorHAnsi"/>
          <w:szCs w:val="22"/>
        </w:rPr>
        <w:t>ALS</w:t>
      </w:r>
      <w:proofErr w:type="gramStart"/>
      <w:r w:rsidR="000B1D71">
        <w:rPr>
          <w:rFonts w:asciiTheme="minorHAnsi" w:hAnsiTheme="minorHAnsi"/>
          <w:szCs w:val="22"/>
        </w:rPr>
        <w:t>,</w:t>
      </w:r>
      <w:r w:rsidR="00177C8B">
        <w:rPr>
          <w:rFonts w:asciiTheme="minorHAnsi" w:hAnsiTheme="minorHAnsi"/>
          <w:noProof/>
          <w:szCs w:val="22"/>
          <w:vertAlign w:val="superscript"/>
        </w:rPr>
        <w:t>2</w:t>
      </w:r>
      <w:proofErr w:type="gramEnd"/>
      <w:r w:rsidR="00CC698D" w:rsidRPr="00E74EF7">
        <w:rPr>
          <w:rFonts w:asciiTheme="minorHAnsi" w:hAnsiTheme="minorHAnsi"/>
          <w:szCs w:val="22"/>
        </w:rPr>
        <w:t xml:space="preserve"> but this effect remains</w:t>
      </w:r>
      <w:r w:rsidR="001F7488">
        <w:rPr>
          <w:rFonts w:asciiTheme="minorHAnsi" w:hAnsiTheme="minorHAnsi"/>
          <w:szCs w:val="22"/>
        </w:rPr>
        <w:t xml:space="preserve"> small</w:t>
      </w:r>
      <w:r w:rsidR="00E74EF7" w:rsidRPr="00742261">
        <w:rPr>
          <w:rFonts w:asciiTheme="minorHAnsi" w:hAnsiTheme="minorHAnsi"/>
          <w:szCs w:val="22"/>
        </w:rPr>
        <w:t xml:space="preserve">. </w:t>
      </w:r>
      <w:r w:rsidR="006B3DF3">
        <w:rPr>
          <w:rFonts w:asciiTheme="minorHAnsi" w:hAnsiTheme="minorHAnsi"/>
          <w:szCs w:val="22"/>
        </w:rPr>
        <w:t>Data from</w:t>
      </w:r>
      <w:r w:rsidRPr="00872905">
        <w:rPr>
          <w:rFonts w:asciiTheme="minorHAnsi" w:hAnsiTheme="minorHAnsi"/>
          <w:szCs w:val="22"/>
        </w:rPr>
        <w:t xml:space="preserve"> </w:t>
      </w:r>
      <w:r w:rsidR="006B3DF3">
        <w:rPr>
          <w:rFonts w:asciiTheme="minorHAnsi" w:hAnsiTheme="minorHAnsi"/>
          <w:szCs w:val="22"/>
        </w:rPr>
        <w:t xml:space="preserve">randomised, controlled trials suggest that </w:t>
      </w:r>
      <w:r w:rsidR="005D3C49">
        <w:rPr>
          <w:rFonts w:asciiTheme="minorHAnsi" w:hAnsiTheme="minorHAnsi"/>
          <w:szCs w:val="22"/>
        </w:rPr>
        <w:t>r</w:t>
      </w:r>
      <w:r w:rsidRPr="00872905">
        <w:rPr>
          <w:rFonts w:asciiTheme="minorHAnsi" w:hAnsiTheme="minorHAnsi"/>
          <w:szCs w:val="22"/>
        </w:rPr>
        <w:t xml:space="preserve">iluzole </w:t>
      </w:r>
      <w:r w:rsidR="009966F1" w:rsidRPr="00872905">
        <w:rPr>
          <w:rFonts w:asciiTheme="minorHAnsi" w:hAnsiTheme="minorHAnsi"/>
          <w:szCs w:val="22"/>
        </w:rPr>
        <w:t>extends survival</w:t>
      </w:r>
      <w:r w:rsidR="006B3DF3">
        <w:rPr>
          <w:rFonts w:asciiTheme="minorHAnsi" w:hAnsiTheme="minorHAnsi"/>
          <w:szCs w:val="22"/>
        </w:rPr>
        <w:t xml:space="preserve"> </w:t>
      </w:r>
      <w:r w:rsidR="005D3C49">
        <w:rPr>
          <w:rFonts w:asciiTheme="minorHAnsi" w:hAnsiTheme="minorHAnsi"/>
          <w:szCs w:val="22"/>
        </w:rPr>
        <w:t xml:space="preserve">by </w:t>
      </w:r>
      <w:r w:rsidR="006B3DF3">
        <w:rPr>
          <w:rFonts w:asciiTheme="minorHAnsi" w:hAnsiTheme="minorHAnsi"/>
          <w:szCs w:val="22"/>
        </w:rPr>
        <w:t>2–3 months</w:t>
      </w:r>
      <w:r w:rsidR="004128F2">
        <w:rPr>
          <w:rFonts w:asciiTheme="minorHAnsi" w:hAnsiTheme="minorHAnsi"/>
          <w:szCs w:val="22"/>
        </w:rPr>
        <w:t xml:space="preserve"> (median)</w:t>
      </w:r>
      <w:r w:rsidR="006B3DF3">
        <w:rPr>
          <w:rFonts w:asciiTheme="minorHAnsi" w:hAnsiTheme="minorHAnsi"/>
          <w:szCs w:val="22"/>
        </w:rPr>
        <w:t xml:space="preserve">, </w:t>
      </w:r>
      <w:r w:rsidR="00B54588">
        <w:rPr>
          <w:rFonts w:asciiTheme="minorHAnsi" w:hAnsiTheme="minorHAnsi"/>
          <w:szCs w:val="22"/>
        </w:rPr>
        <w:t xml:space="preserve">whereas </w:t>
      </w:r>
      <w:r w:rsidR="006B3DF3">
        <w:rPr>
          <w:rFonts w:asciiTheme="minorHAnsi" w:hAnsiTheme="minorHAnsi"/>
          <w:szCs w:val="22"/>
        </w:rPr>
        <w:t>results from uncontrolled registry studies have suggested prolongation of survival by up to 21 months.</w:t>
      </w:r>
      <w:r w:rsidR="00177C8B">
        <w:rPr>
          <w:rFonts w:asciiTheme="minorHAnsi" w:hAnsiTheme="minorHAnsi"/>
          <w:noProof/>
          <w:szCs w:val="22"/>
          <w:vertAlign w:val="superscript"/>
        </w:rPr>
        <w:t>4</w:t>
      </w:r>
      <w:r w:rsidR="00177C8B">
        <w:rPr>
          <w:rFonts w:asciiTheme="minorHAnsi" w:hAnsiTheme="minorHAnsi"/>
          <w:szCs w:val="22"/>
        </w:rPr>
        <w:t xml:space="preserve"> </w:t>
      </w:r>
      <w:r w:rsidRPr="00872905">
        <w:rPr>
          <w:rFonts w:asciiTheme="minorHAnsi" w:hAnsiTheme="minorHAnsi"/>
          <w:szCs w:val="22"/>
        </w:rPr>
        <w:t xml:space="preserve">Despite </w:t>
      </w:r>
      <w:r w:rsidR="00684708">
        <w:rPr>
          <w:rFonts w:asciiTheme="minorHAnsi" w:hAnsiTheme="minorHAnsi"/>
          <w:szCs w:val="22"/>
        </w:rPr>
        <w:t>encouraging results from preclinical studies</w:t>
      </w:r>
      <w:r w:rsidR="00684708" w:rsidRPr="00872905">
        <w:rPr>
          <w:rFonts w:asciiTheme="minorHAnsi" w:hAnsiTheme="minorHAnsi"/>
          <w:szCs w:val="22"/>
        </w:rPr>
        <w:t xml:space="preserve"> </w:t>
      </w:r>
      <w:r w:rsidR="00684708">
        <w:rPr>
          <w:rFonts w:asciiTheme="minorHAnsi" w:hAnsiTheme="minorHAnsi"/>
          <w:szCs w:val="22"/>
        </w:rPr>
        <w:t xml:space="preserve">and </w:t>
      </w:r>
      <w:r w:rsidRPr="00872905">
        <w:rPr>
          <w:rFonts w:asciiTheme="minorHAnsi" w:hAnsiTheme="minorHAnsi"/>
          <w:szCs w:val="22"/>
        </w:rPr>
        <w:t xml:space="preserve">many clinical trials, no </w:t>
      </w:r>
      <w:r w:rsidR="001E6979">
        <w:rPr>
          <w:rFonts w:asciiTheme="minorHAnsi" w:hAnsiTheme="minorHAnsi"/>
          <w:szCs w:val="22"/>
        </w:rPr>
        <w:t>other</w:t>
      </w:r>
      <w:r w:rsidR="001E6979" w:rsidRPr="00872905">
        <w:rPr>
          <w:rFonts w:asciiTheme="minorHAnsi" w:hAnsiTheme="minorHAnsi"/>
          <w:szCs w:val="22"/>
        </w:rPr>
        <w:t xml:space="preserve"> </w:t>
      </w:r>
      <w:r w:rsidRPr="00872905">
        <w:rPr>
          <w:rFonts w:asciiTheme="minorHAnsi" w:hAnsiTheme="minorHAnsi"/>
          <w:szCs w:val="22"/>
        </w:rPr>
        <w:t xml:space="preserve">treatments </w:t>
      </w:r>
      <w:r w:rsidR="008A7C13" w:rsidRPr="00DA1C2F">
        <w:rPr>
          <w:rFonts w:asciiTheme="minorHAnsi" w:hAnsiTheme="minorHAnsi"/>
          <w:szCs w:val="22"/>
        </w:rPr>
        <w:t xml:space="preserve">have </w:t>
      </w:r>
      <w:r w:rsidR="000D0F9F">
        <w:rPr>
          <w:rFonts w:asciiTheme="minorHAnsi" w:hAnsiTheme="minorHAnsi"/>
          <w:szCs w:val="22"/>
        </w:rPr>
        <w:t xml:space="preserve">shown any </w:t>
      </w:r>
      <w:r w:rsidR="002C1E63">
        <w:rPr>
          <w:rFonts w:asciiTheme="minorHAnsi" w:hAnsiTheme="minorHAnsi"/>
          <w:szCs w:val="22"/>
        </w:rPr>
        <w:t>effect on the disease course</w:t>
      </w:r>
      <w:r w:rsidR="000D0F9F">
        <w:rPr>
          <w:rFonts w:asciiTheme="minorHAnsi" w:hAnsiTheme="minorHAnsi"/>
          <w:szCs w:val="22"/>
        </w:rPr>
        <w:t>.</w:t>
      </w:r>
      <w:r w:rsidR="00177C8B">
        <w:rPr>
          <w:rFonts w:asciiTheme="minorHAnsi" w:hAnsiTheme="minorHAnsi"/>
          <w:noProof/>
          <w:szCs w:val="22"/>
          <w:vertAlign w:val="superscript"/>
        </w:rPr>
        <w:t>5</w:t>
      </w:r>
      <w:r w:rsidR="001E6979">
        <w:rPr>
          <w:rFonts w:asciiTheme="minorHAnsi" w:hAnsiTheme="minorHAnsi"/>
          <w:szCs w:val="22"/>
        </w:rPr>
        <w:t xml:space="preserve"> </w:t>
      </w:r>
      <w:r w:rsidR="000D0F9F">
        <w:rPr>
          <w:rFonts w:asciiTheme="minorHAnsi" w:hAnsiTheme="minorHAnsi"/>
          <w:szCs w:val="22"/>
        </w:rPr>
        <w:t>A</w:t>
      </w:r>
      <w:r w:rsidR="008A7C13" w:rsidRPr="006E6DB6">
        <w:rPr>
          <w:rFonts w:asciiTheme="minorHAnsi" w:hAnsiTheme="minorHAnsi"/>
          <w:szCs w:val="22"/>
        </w:rPr>
        <w:t xml:space="preserve">part from riluzole, multidisciplinary palliative care remains the </w:t>
      </w:r>
      <w:r w:rsidR="00E14C73">
        <w:rPr>
          <w:rFonts w:asciiTheme="minorHAnsi" w:hAnsiTheme="minorHAnsi"/>
          <w:szCs w:val="22"/>
        </w:rPr>
        <w:t>main</w:t>
      </w:r>
      <w:r w:rsidR="00E14C73" w:rsidRPr="006E6DB6">
        <w:rPr>
          <w:rFonts w:asciiTheme="minorHAnsi" w:hAnsiTheme="minorHAnsi"/>
          <w:szCs w:val="22"/>
        </w:rPr>
        <w:t xml:space="preserve"> </w:t>
      </w:r>
      <w:r w:rsidR="008A7C13" w:rsidRPr="006E6DB6">
        <w:rPr>
          <w:rFonts w:asciiTheme="minorHAnsi" w:hAnsiTheme="minorHAnsi"/>
          <w:szCs w:val="22"/>
        </w:rPr>
        <w:t>management approach for ALS.</w:t>
      </w:r>
      <w:r w:rsidR="00177C8B">
        <w:rPr>
          <w:rFonts w:asciiTheme="minorHAnsi" w:hAnsiTheme="minorHAnsi"/>
          <w:noProof/>
          <w:szCs w:val="22"/>
          <w:vertAlign w:val="superscript"/>
        </w:rPr>
        <w:t>2</w:t>
      </w:r>
      <w:r w:rsidRPr="00872905">
        <w:rPr>
          <w:rFonts w:asciiTheme="minorHAnsi" w:hAnsiTheme="minorHAnsi"/>
          <w:szCs w:val="22"/>
        </w:rPr>
        <w:t xml:space="preserve"> </w:t>
      </w:r>
      <w:r w:rsidR="008A7C13">
        <w:rPr>
          <w:rFonts w:asciiTheme="minorHAnsi" w:hAnsiTheme="minorHAnsi"/>
          <w:szCs w:val="22"/>
        </w:rPr>
        <w:t>T</w:t>
      </w:r>
      <w:r w:rsidRPr="00872905">
        <w:rPr>
          <w:rFonts w:asciiTheme="minorHAnsi" w:hAnsiTheme="minorHAnsi"/>
          <w:szCs w:val="22"/>
        </w:rPr>
        <w:t>h</w:t>
      </w:r>
      <w:r w:rsidR="00641DD8">
        <w:rPr>
          <w:rFonts w:asciiTheme="minorHAnsi" w:hAnsiTheme="minorHAnsi"/>
          <w:szCs w:val="22"/>
        </w:rPr>
        <w:t>e</w:t>
      </w:r>
      <w:r w:rsidR="002C1E63">
        <w:rPr>
          <w:rFonts w:asciiTheme="minorHAnsi" w:hAnsiTheme="minorHAnsi"/>
          <w:szCs w:val="22"/>
        </w:rPr>
        <w:t xml:space="preserve"> progressive course, fatal</w:t>
      </w:r>
      <w:r w:rsidR="002C1E63" w:rsidRPr="00872905">
        <w:rPr>
          <w:rFonts w:asciiTheme="minorHAnsi" w:hAnsiTheme="minorHAnsi"/>
          <w:szCs w:val="22"/>
        </w:rPr>
        <w:t xml:space="preserve"> </w:t>
      </w:r>
      <w:r w:rsidR="002C1E63">
        <w:rPr>
          <w:rFonts w:asciiTheme="minorHAnsi" w:hAnsiTheme="minorHAnsi"/>
          <w:szCs w:val="22"/>
        </w:rPr>
        <w:t>outcome</w:t>
      </w:r>
      <w:r w:rsidR="000B1D71">
        <w:rPr>
          <w:rFonts w:asciiTheme="minorHAnsi" w:hAnsiTheme="minorHAnsi"/>
          <w:szCs w:val="22"/>
        </w:rPr>
        <w:t>,</w:t>
      </w:r>
      <w:r w:rsidR="002C1E63">
        <w:rPr>
          <w:rFonts w:asciiTheme="minorHAnsi" w:hAnsiTheme="minorHAnsi"/>
          <w:szCs w:val="22"/>
        </w:rPr>
        <w:t xml:space="preserve"> and </w:t>
      </w:r>
      <w:r w:rsidRPr="00872905">
        <w:rPr>
          <w:rFonts w:asciiTheme="minorHAnsi" w:hAnsiTheme="minorHAnsi"/>
          <w:szCs w:val="22"/>
        </w:rPr>
        <w:t xml:space="preserve">lack of effective treatments present a </w:t>
      </w:r>
      <w:r w:rsidR="00492DD9" w:rsidRPr="00872905">
        <w:rPr>
          <w:rFonts w:asciiTheme="minorHAnsi" w:hAnsiTheme="minorHAnsi"/>
          <w:szCs w:val="22"/>
        </w:rPr>
        <w:t xml:space="preserve">high </w:t>
      </w:r>
      <w:r w:rsidRPr="00872905">
        <w:rPr>
          <w:rFonts w:asciiTheme="minorHAnsi" w:hAnsiTheme="minorHAnsi"/>
          <w:szCs w:val="22"/>
        </w:rPr>
        <w:t>unmet medical need</w:t>
      </w:r>
      <w:r w:rsidR="002C1E63">
        <w:rPr>
          <w:rFonts w:asciiTheme="minorHAnsi" w:hAnsiTheme="minorHAnsi"/>
          <w:szCs w:val="22"/>
        </w:rPr>
        <w:t xml:space="preserve"> in </w:t>
      </w:r>
      <w:r w:rsidR="002C1E63" w:rsidRPr="00872905">
        <w:rPr>
          <w:rFonts w:asciiTheme="minorHAnsi" w:hAnsiTheme="minorHAnsi"/>
          <w:szCs w:val="22"/>
        </w:rPr>
        <w:t>ALS</w:t>
      </w:r>
      <w:r w:rsidRPr="00872905">
        <w:rPr>
          <w:rFonts w:asciiTheme="minorHAnsi" w:hAnsiTheme="minorHAnsi"/>
          <w:szCs w:val="22"/>
        </w:rPr>
        <w:t>.</w:t>
      </w:r>
    </w:p>
    <w:p w:rsidR="00F13D34" w:rsidRPr="000D0F9F" w:rsidRDefault="004D770F">
      <w:pPr>
        <w:spacing w:line="360" w:lineRule="auto"/>
        <w:rPr>
          <w:rFonts w:asciiTheme="minorHAnsi" w:hAnsiTheme="minorHAnsi"/>
          <w:szCs w:val="22"/>
        </w:rPr>
      </w:pPr>
      <w:r w:rsidRPr="00872905">
        <w:rPr>
          <w:rFonts w:asciiTheme="minorHAnsi" w:hAnsiTheme="minorHAnsi"/>
          <w:szCs w:val="22"/>
        </w:rPr>
        <w:t xml:space="preserve">Neurite </w:t>
      </w:r>
      <w:r w:rsidR="001F7488">
        <w:rPr>
          <w:rFonts w:asciiTheme="minorHAnsi" w:hAnsiTheme="minorHAnsi"/>
          <w:szCs w:val="22"/>
        </w:rPr>
        <w:t>o</w:t>
      </w:r>
      <w:r w:rsidRPr="00872905">
        <w:rPr>
          <w:rFonts w:asciiTheme="minorHAnsi" w:hAnsiTheme="minorHAnsi"/>
          <w:szCs w:val="22"/>
        </w:rPr>
        <w:t xml:space="preserve">utgrowth </w:t>
      </w:r>
      <w:r w:rsidR="001F7488">
        <w:rPr>
          <w:rFonts w:asciiTheme="minorHAnsi" w:hAnsiTheme="minorHAnsi"/>
          <w:szCs w:val="22"/>
        </w:rPr>
        <w:t>i</w:t>
      </w:r>
      <w:r w:rsidRPr="00872905">
        <w:rPr>
          <w:rFonts w:asciiTheme="minorHAnsi" w:hAnsiTheme="minorHAnsi"/>
          <w:szCs w:val="22"/>
        </w:rPr>
        <w:t>nhibitor A (</w:t>
      </w:r>
      <w:r w:rsidR="0040486B" w:rsidRPr="00872905">
        <w:rPr>
          <w:rFonts w:asciiTheme="minorHAnsi" w:hAnsiTheme="minorHAnsi"/>
          <w:szCs w:val="22"/>
        </w:rPr>
        <w:t>Nogo-A</w:t>
      </w:r>
      <w:r w:rsidRPr="00872905">
        <w:rPr>
          <w:rFonts w:asciiTheme="minorHAnsi" w:hAnsiTheme="minorHAnsi"/>
          <w:szCs w:val="22"/>
        </w:rPr>
        <w:t>) is</w:t>
      </w:r>
      <w:r w:rsidR="0040486B" w:rsidRPr="00872905">
        <w:rPr>
          <w:rFonts w:asciiTheme="minorHAnsi" w:hAnsiTheme="minorHAnsi"/>
          <w:szCs w:val="22"/>
        </w:rPr>
        <w:t xml:space="preserve"> </w:t>
      </w:r>
      <w:r w:rsidR="006039E8" w:rsidRPr="00872905">
        <w:rPr>
          <w:rFonts w:asciiTheme="minorHAnsi" w:hAnsiTheme="minorHAnsi"/>
          <w:szCs w:val="22"/>
        </w:rPr>
        <w:t xml:space="preserve">a </w:t>
      </w:r>
      <w:r w:rsidR="00C639EF" w:rsidRPr="006B6374">
        <w:rPr>
          <w:rFonts w:asciiTheme="minorHAnsi" w:hAnsiTheme="minorHAnsi" w:cs="Arial"/>
          <w:szCs w:val="22"/>
        </w:rPr>
        <w:t>high</w:t>
      </w:r>
      <w:r w:rsidR="00046CC9">
        <w:rPr>
          <w:rFonts w:asciiTheme="minorHAnsi" w:hAnsiTheme="minorHAnsi" w:cs="Arial"/>
          <w:szCs w:val="22"/>
        </w:rPr>
        <w:t>-</w:t>
      </w:r>
      <w:r w:rsidR="00C639EF" w:rsidRPr="006B6374">
        <w:rPr>
          <w:rFonts w:asciiTheme="minorHAnsi" w:hAnsiTheme="minorHAnsi" w:cs="Arial"/>
          <w:szCs w:val="22"/>
        </w:rPr>
        <w:t>molecular</w:t>
      </w:r>
      <w:r w:rsidR="00046CC9">
        <w:rPr>
          <w:rFonts w:asciiTheme="minorHAnsi" w:hAnsiTheme="minorHAnsi" w:cs="Arial"/>
          <w:szCs w:val="22"/>
        </w:rPr>
        <w:t>-</w:t>
      </w:r>
      <w:r w:rsidR="00C639EF" w:rsidRPr="006B6374">
        <w:rPr>
          <w:rFonts w:asciiTheme="minorHAnsi" w:hAnsiTheme="minorHAnsi" w:cs="Arial"/>
          <w:szCs w:val="22"/>
        </w:rPr>
        <w:t>weight transmembrane protein</w:t>
      </w:r>
      <w:r w:rsidR="00643780">
        <w:rPr>
          <w:rFonts w:asciiTheme="minorHAnsi" w:hAnsiTheme="minorHAnsi" w:cs="Arial"/>
          <w:szCs w:val="22"/>
        </w:rPr>
        <w:t>,</w:t>
      </w:r>
      <w:r w:rsidR="00C639EF" w:rsidRPr="00872905">
        <w:rPr>
          <w:rFonts w:asciiTheme="minorHAnsi" w:hAnsiTheme="minorHAnsi" w:cs="Arial"/>
          <w:szCs w:val="22"/>
        </w:rPr>
        <w:t xml:space="preserve"> initially identified as</w:t>
      </w:r>
      <w:r w:rsidR="000D0F9F">
        <w:rPr>
          <w:rFonts w:asciiTheme="minorHAnsi" w:hAnsiTheme="minorHAnsi" w:cs="Arial"/>
          <w:szCs w:val="22"/>
        </w:rPr>
        <w:t xml:space="preserve"> </w:t>
      </w:r>
      <w:r w:rsidR="00C639EF" w:rsidRPr="00872905">
        <w:rPr>
          <w:rFonts w:asciiTheme="minorHAnsi" w:hAnsiTheme="minorHAnsi" w:cs="Arial"/>
          <w:szCs w:val="22"/>
        </w:rPr>
        <w:t>a potent myelin-associated inhibitor of axonal growth expressed mostly by</w:t>
      </w:r>
      <w:r w:rsidR="005A3506">
        <w:rPr>
          <w:rFonts w:asciiTheme="minorHAnsi" w:hAnsiTheme="minorHAnsi" w:cs="Arial"/>
          <w:szCs w:val="22"/>
        </w:rPr>
        <w:t xml:space="preserve"> </w:t>
      </w:r>
      <w:r w:rsidR="00C639EF" w:rsidRPr="006B6374">
        <w:rPr>
          <w:rFonts w:asciiTheme="minorHAnsi" w:hAnsiTheme="minorHAnsi" w:cs="Arial"/>
          <w:szCs w:val="22"/>
        </w:rPr>
        <w:t>oligodendrocytes</w:t>
      </w:r>
      <w:r w:rsidR="00643780">
        <w:rPr>
          <w:rFonts w:asciiTheme="minorHAnsi" w:hAnsiTheme="minorHAnsi" w:cs="Arial"/>
          <w:szCs w:val="22"/>
        </w:rPr>
        <w:t>,</w:t>
      </w:r>
      <w:r w:rsidR="00C639EF" w:rsidRPr="000D0F9F">
        <w:rPr>
          <w:rFonts w:asciiTheme="minorHAnsi" w:hAnsiTheme="minorHAnsi"/>
          <w:szCs w:val="22"/>
        </w:rPr>
        <w:t xml:space="preserve"> </w:t>
      </w:r>
      <w:r w:rsidR="00643780">
        <w:rPr>
          <w:rFonts w:asciiTheme="minorHAnsi" w:hAnsiTheme="minorHAnsi"/>
          <w:szCs w:val="22"/>
        </w:rPr>
        <w:t>that</w:t>
      </w:r>
      <w:r w:rsidR="00643780" w:rsidRPr="000D0F9F">
        <w:rPr>
          <w:rFonts w:asciiTheme="minorHAnsi" w:hAnsiTheme="minorHAnsi"/>
          <w:szCs w:val="22"/>
        </w:rPr>
        <w:t xml:space="preserve"> </w:t>
      </w:r>
      <w:r w:rsidR="006039E8" w:rsidRPr="000D0F9F">
        <w:rPr>
          <w:rFonts w:asciiTheme="minorHAnsi" w:hAnsiTheme="minorHAnsi"/>
          <w:szCs w:val="22"/>
        </w:rPr>
        <w:t xml:space="preserve">has been </w:t>
      </w:r>
      <w:r w:rsidR="002865D5" w:rsidRPr="000D0F9F">
        <w:rPr>
          <w:rFonts w:asciiTheme="minorHAnsi" w:hAnsiTheme="minorHAnsi"/>
          <w:szCs w:val="22"/>
        </w:rPr>
        <w:t>suggested to have a role</w:t>
      </w:r>
      <w:r w:rsidR="006039E8" w:rsidRPr="000D0F9F">
        <w:rPr>
          <w:rFonts w:asciiTheme="minorHAnsi" w:hAnsiTheme="minorHAnsi"/>
          <w:szCs w:val="22"/>
        </w:rPr>
        <w:t xml:space="preserve"> in the </w:t>
      </w:r>
      <w:r w:rsidR="00AA358F">
        <w:rPr>
          <w:rFonts w:asciiTheme="minorHAnsi" w:hAnsiTheme="minorHAnsi"/>
          <w:szCs w:val="22"/>
        </w:rPr>
        <w:t>pathophysiology of</w:t>
      </w:r>
      <w:r w:rsidR="000D0F9F">
        <w:rPr>
          <w:rFonts w:asciiTheme="minorHAnsi" w:hAnsiTheme="minorHAnsi"/>
          <w:szCs w:val="22"/>
        </w:rPr>
        <w:t xml:space="preserve"> </w:t>
      </w:r>
      <w:r w:rsidR="006039E8" w:rsidRPr="00872905">
        <w:rPr>
          <w:rFonts w:asciiTheme="minorHAnsi" w:hAnsiTheme="minorHAnsi"/>
          <w:szCs w:val="22"/>
        </w:rPr>
        <w:t>ALS.</w:t>
      </w:r>
      <w:r w:rsidR="00B552B9">
        <w:rPr>
          <w:rFonts w:asciiTheme="minorHAnsi" w:hAnsiTheme="minorHAnsi"/>
          <w:noProof/>
          <w:szCs w:val="22"/>
          <w:vertAlign w:val="superscript"/>
        </w:rPr>
        <w:t>6,7</w:t>
      </w:r>
      <w:r w:rsidR="005816B6" w:rsidRPr="00872905">
        <w:rPr>
          <w:rFonts w:asciiTheme="minorHAnsi" w:hAnsiTheme="minorHAnsi"/>
          <w:szCs w:val="22"/>
        </w:rPr>
        <w:t xml:space="preserve"> </w:t>
      </w:r>
      <w:r w:rsidR="0040486B" w:rsidRPr="00872905">
        <w:rPr>
          <w:rFonts w:asciiTheme="minorHAnsi" w:hAnsiTheme="minorHAnsi"/>
          <w:szCs w:val="22"/>
        </w:rPr>
        <w:t xml:space="preserve">Nogo-A is expressed at very low levels in healthy skeletal muscle, but </w:t>
      </w:r>
      <w:r w:rsidR="006039E8" w:rsidRPr="00872905">
        <w:rPr>
          <w:rFonts w:asciiTheme="minorHAnsi" w:hAnsiTheme="minorHAnsi"/>
          <w:szCs w:val="22"/>
        </w:rPr>
        <w:t>is</w:t>
      </w:r>
      <w:r w:rsidR="0040486B" w:rsidRPr="00872905">
        <w:rPr>
          <w:rFonts w:asciiTheme="minorHAnsi" w:hAnsiTheme="minorHAnsi"/>
          <w:szCs w:val="22"/>
        </w:rPr>
        <w:t xml:space="preserve"> upregulated in the skeletal muscle of </w:t>
      </w:r>
      <w:r w:rsidR="006F4302" w:rsidRPr="00872905">
        <w:rPr>
          <w:rFonts w:asciiTheme="minorHAnsi" w:hAnsiTheme="minorHAnsi"/>
          <w:szCs w:val="22"/>
        </w:rPr>
        <w:t>patients</w:t>
      </w:r>
      <w:r w:rsidR="00082B0C">
        <w:rPr>
          <w:rFonts w:asciiTheme="minorHAnsi" w:hAnsiTheme="minorHAnsi"/>
          <w:szCs w:val="22"/>
        </w:rPr>
        <w:t xml:space="preserve"> with </w:t>
      </w:r>
      <w:r w:rsidR="00082B0C" w:rsidRPr="00872905">
        <w:rPr>
          <w:rFonts w:asciiTheme="minorHAnsi" w:hAnsiTheme="minorHAnsi"/>
          <w:szCs w:val="22"/>
        </w:rPr>
        <w:t>ALS</w:t>
      </w:r>
      <w:r w:rsidR="002D7D6F" w:rsidRPr="00872905">
        <w:rPr>
          <w:rFonts w:asciiTheme="minorHAnsi" w:hAnsiTheme="minorHAnsi"/>
          <w:szCs w:val="22"/>
        </w:rPr>
        <w:t>,</w:t>
      </w:r>
      <w:r w:rsidR="00B552B9">
        <w:rPr>
          <w:rFonts w:asciiTheme="minorHAnsi" w:hAnsiTheme="minorHAnsi"/>
          <w:noProof/>
          <w:szCs w:val="22"/>
          <w:vertAlign w:val="superscript"/>
        </w:rPr>
        <w:t>6</w:t>
      </w:r>
      <w:r w:rsidR="00541ABA" w:rsidRPr="00872905" w:rsidDel="002D7D6F">
        <w:rPr>
          <w:rFonts w:asciiTheme="minorHAnsi" w:hAnsiTheme="minorHAnsi"/>
          <w:szCs w:val="22"/>
        </w:rPr>
        <w:t xml:space="preserve"> </w:t>
      </w:r>
      <w:r w:rsidR="00684708">
        <w:rPr>
          <w:rFonts w:asciiTheme="minorHAnsi" w:hAnsiTheme="minorHAnsi"/>
          <w:szCs w:val="22"/>
        </w:rPr>
        <w:t>where</w:t>
      </w:r>
      <w:r w:rsidR="00684708" w:rsidRPr="00872905">
        <w:rPr>
          <w:rFonts w:asciiTheme="minorHAnsi" w:hAnsiTheme="minorHAnsi"/>
          <w:szCs w:val="22"/>
        </w:rPr>
        <w:t xml:space="preserve"> </w:t>
      </w:r>
      <w:r w:rsidR="0040486B" w:rsidRPr="00872905">
        <w:rPr>
          <w:rFonts w:asciiTheme="minorHAnsi" w:hAnsiTheme="minorHAnsi"/>
          <w:szCs w:val="22"/>
        </w:rPr>
        <w:t xml:space="preserve">its expression </w:t>
      </w:r>
      <w:r w:rsidR="00A02105">
        <w:rPr>
          <w:rFonts w:asciiTheme="minorHAnsi" w:hAnsiTheme="minorHAnsi"/>
          <w:szCs w:val="22"/>
        </w:rPr>
        <w:t xml:space="preserve">seems </w:t>
      </w:r>
      <w:r w:rsidR="0040486B" w:rsidRPr="00872905">
        <w:rPr>
          <w:rFonts w:asciiTheme="minorHAnsi" w:hAnsiTheme="minorHAnsi"/>
          <w:szCs w:val="22"/>
        </w:rPr>
        <w:t xml:space="preserve">to </w:t>
      </w:r>
      <w:r w:rsidR="00A02105">
        <w:rPr>
          <w:rFonts w:asciiTheme="minorHAnsi" w:hAnsiTheme="minorHAnsi"/>
          <w:szCs w:val="22"/>
        </w:rPr>
        <w:t xml:space="preserve">be associated </w:t>
      </w:r>
      <w:r w:rsidR="0040486B" w:rsidRPr="00872905">
        <w:rPr>
          <w:rFonts w:asciiTheme="minorHAnsi" w:hAnsiTheme="minorHAnsi"/>
          <w:szCs w:val="22"/>
        </w:rPr>
        <w:t xml:space="preserve">with </w:t>
      </w:r>
      <w:r w:rsidR="006039E8" w:rsidRPr="00872905">
        <w:rPr>
          <w:rFonts w:asciiTheme="minorHAnsi" w:hAnsiTheme="minorHAnsi"/>
          <w:szCs w:val="22"/>
        </w:rPr>
        <w:t>disease</w:t>
      </w:r>
      <w:r w:rsidR="0040486B" w:rsidRPr="00872905">
        <w:rPr>
          <w:rFonts w:asciiTheme="minorHAnsi" w:hAnsiTheme="minorHAnsi"/>
          <w:szCs w:val="22"/>
        </w:rPr>
        <w:t xml:space="preserve"> severity.</w:t>
      </w:r>
      <w:r w:rsidR="00F76A7C">
        <w:rPr>
          <w:rFonts w:asciiTheme="minorHAnsi" w:hAnsiTheme="minorHAnsi"/>
          <w:noProof/>
          <w:szCs w:val="22"/>
          <w:vertAlign w:val="superscript"/>
        </w:rPr>
        <w:t>8</w:t>
      </w:r>
      <w:r w:rsidR="00F76A7C" w:rsidRPr="00EA0310">
        <w:rPr>
          <w:rFonts w:asciiTheme="minorHAnsi" w:hAnsiTheme="minorHAnsi"/>
          <w:szCs w:val="22"/>
        </w:rPr>
        <w:t xml:space="preserve"> </w:t>
      </w:r>
      <w:r w:rsidR="005A3506">
        <w:rPr>
          <w:rFonts w:asciiTheme="minorHAnsi" w:hAnsiTheme="minorHAnsi" w:cs="Arial"/>
          <w:szCs w:val="22"/>
        </w:rPr>
        <w:t>The link between Nogo-A and ALS was</w:t>
      </w:r>
      <w:r w:rsidR="00C639EF" w:rsidRPr="00EA0310">
        <w:rPr>
          <w:rFonts w:asciiTheme="minorHAnsi" w:hAnsiTheme="minorHAnsi" w:cs="Arial"/>
          <w:szCs w:val="22"/>
        </w:rPr>
        <w:t xml:space="preserve"> </w:t>
      </w:r>
      <w:r w:rsidR="005A3506">
        <w:rPr>
          <w:rFonts w:asciiTheme="minorHAnsi" w:hAnsiTheme="minorHAnsi" w:cs="Arial"/>
          <w:szCs w:val="22"/>
        </w:rPr>
        <w:t>strengthened</w:t>
      </w:r>
      <w:r w:rsidR="005A3506" w:rsidRPr="00EA0310">
        <w:rPr>
          <w:rFonts w:asciiTheme="minorHAnsi" w:hAnsiTheme="minorHAnsi" w:cs="Arial"/>
          <w:szCs w:val="22"/>
        </w:rPr>
        <w:t xml:space="preserve"> </w:t>
      </w:r>
      <w:r w:rsidR="00C639EF" w:rsidRPr="00EA0310">
        <w:rPr>
          <w:rFonts w:asciiTheme="minorHAnsi" w:hAnsiTheme="minorHAnsi" w:cs="Arial"/>
          <w:szCs w:val="22"/>
        </w:rPr>
        <w:t xml:space="preserve">by </w:t>
      </w:r>
      <w:r w:rsidR="00643780">
        <w:rPr>
          <w:rFonts w:asciiTheme="minorHAnsi" w:hAnsiTheme="minorHAnsi" w:cs="Arial"/>
          <w:szCs w:val="22"/>
        </w:rPr>
        <w:t>the finding</w:t>
      </w:r>
      <w:r w:rsidR="00C639EF" w:rsidRPr="00EA0310">
        <w:rPr>
          <w:rFonts w:asciiTheme="minorHAnsi" w:hAnsiTheme="minorHAnsi" w:cs="Arial"/>
          <w:szCs w:val="22"/>
        </w:rPr>
        <w:t xml:space="preserve"> that Nogo-A was associated with neuromuscular junction denervation and </w:t>
      </w:r>
      <w:r w:rsidR="0066382A">
        <w:rPr>
          <w:rFonts w:asciiTheme="minorHAnsi" w:hAnsiTheme="minorHAnsi" w:cs="Arial"/>
          <w:szCs w:val="22"/>
        </w:rPr>
        <w:t>associated</w:t>
      </w:r>
      <w:r w:rsidR="00F53142">
        <w:rPr>
          <w:rFonts w:asciiTheme="minorHAnsi" w:hAnsiTheme="minorHAnsi" w:cs="Arial"/>
          <w:szCs w:val="22"/>
        </w:rPr>
        <w:t xml:space="preserve"> </w:t>
      </w:r>
      <w:r w:rsidR="00C639EF" w:rsidRPr="00EA0310">
        <w:rPr>
          <w:rFonts w:asciiTheme="minorHAnsi" w:hAnsiTheme="minorHAnsi" w:cs="Arial"/>
          <w:szCs w:val="22"/>
        </w:rPr>
        <w:t>with faster functional decline</w:t>
      </w:r>
      <w:r w:rsidR="00F51BA5">
        <w:rPr>
          <w:rFonts w:asciiTheme="minorHAnsi" w:hAnsiTheme="minorHAnsi" w:cs="Arial"/>
          <w:szCs w:val="22"/>
        </w:rPr>
        <w:t xml:space="preserve"> in patients with </w:t>
      </w:r>
      <w:r w:rsidR="00F51BA5">
        <w:rPr>
          <w:rFonts w:asciiTheme="minorHAnsi" w:hAnsiTheme="minorHAnsi" w:cs="Arial"/>
          <w:szCs w:val="22"/>
        </w:rPr>
        <w:lastRenderedPageBreak/>
        <w:t>ALS</w:t>
      </w:r>
      <w:r w:rsidR="00C639EF" w:rsidRPr="00EA0310">
        <w:rPr>
          <w:rFonts w:asciiTheme="minorHAnsi" w:hAnsiTheme="minorHAnsi" w:cs="Arial"/>
          <w:szCs w:val="22"/>
        </w:rPr>
        <w:t>.</w:t>
      </w:r>
      <w:r w:rsidR="00F76A7C">
        <w:rPr>
          <w:rFonts w:asciiTheme="minorHAnsi" w:hAnsiTheme="minorHAnsi" w:cs="Arial"/>
          <w:noProof/>
          <w:szCs w:val="22"/>
          <w:vertAlign w:val="superscript"/>
        </w:rPr>
        <w:t>9</w:t>
      </w:r>
      <w:r w:rsidR="00C639EF" w:rsidRPr="00EA0310">
        <w:rPr>
          <w:rFonts w:asciiTheme="minorHAnsi" w:hAnsiTheme="minorHAnsi" w:cs="Arial"/>
          <w:szCs w:val="22"/>
        </w:rPr>
        <w:t xml:space="preserve"> </w:t>
      </w:r>
      <w:r w:rsidRPr="00EA0310">
        <w:rPr>
          <w:rFonts w:asciiTheme="minorHAnsi" w:hAnsiTheme="minorHAnsi"/>
          <w:szCs w:val="22"/>
        </w:rPr>
        <w:t xml:space="preserve">Nogo-A expression is </w:t>
      </w:r>
      <w:r w:rsidR="006A1332" w:rsidRPr="00EA0310">
        <w:rPr>
          <w:rFonts w:asciiTheme="minorHAnsi" w:hAnsiTheme="minorHAnsi"/>
          <w:szCs w:val="22"/>
        </w:rPr>
        <w:t xml:space="preserve">also </w:t>
      </w:r>
      <w:r w:rsidRPr="00EA0310">
        <w:rPr>
          <w:rFonts w:asciiTheme="minorHAnsi" w:hAnsiTheme="minorHAnsi"/>
          <w:szCs w:val="22"/>
        </w:rPr>
        <w:t xml:space="preserve">upregulated in the skeletal muscle of </w:t>
      </w:r>
      <w:r w:rsidR="000D0F9F">
        <w:rPr>
          <w:rFonts w:asciiTheme="minorHAnsi" w:hAnsiTheme="minorHAnsi"/>
          <w:szCs w:val="22"/>
        </w:rPr>
        <w:t xml:space="preserve">the </w:t>
      </w:r>
      <w:r w:rsidRPr="000D0F9F">
        <w:rPr>
          <w:rFonts w:asciiTheme="minorHAnsi" w:hAnsiTheme="minorHAnsi"/>
          <w:szCs w:val="22"/>
        </w:rPr>
        <w:t>superoxide dismutase 1 (</w:t>
      </w:r>
      <w:r w:rsidRPr="000D0F9F">
        <w:rPr>
          <w:rFonts w:asciiTheme="minorHAnsi" w:hAnsiTheme="minorHAnsi"/>
          <w:i/>
          <w:szCs w:val="22"/>
        </w:rPr>
        <w:t>SOD1</w:t>
      </w:r>
      <w:r w:rsidRPr="000D0F9F">
        <w:rPr>
          <w:rFonts w:asciiTheme="minorHAnsi" w:hAnsiTheme="minorHAnsi"/>
          <w:szCs w:val="22"/>
        </w:rPr>
        <w:t xml:space="preserve">) transgenic mutant </w:t>
      </w:r>
      <w:r w:rsidR="00C639EF" w:rsidRPr="000D0F9F">
        <w:rPr>
          <w:rFonts w:asciiTheme="minorHAnsi" w:hAnsiTheme="minorHAnsi"/>
          <w:szCs w:val="22"/>
        </w:rPr>
        <w:t>mouse</w:t>
      </w:r>
      <w:r w:rsidRPr="000D0F9F">
        <w:rPr>
          <w:rFonts w:asciiTheme="minorHAnsi" w:hAnsiTheme="minorHAnsi"/>
          <w:szCs w:val="22"/>
        </w:rPr>
        <w:t xml:space="preserve">, </w:t>
      </w:r>
      <w:r w:rsidR="00C639EF" w:rsidRPr="000D0F9F">
        <w:rPr>
          <w:rFonts w:asciiTheme="minorHAnsi" w:hAnsiTheme="minorHAnsi"/>
          <w:szCs w:val="22"/>
        </w:rPr>
        <w:t xml:space="preserve">a </w:t>
      </w:r>
      <w:r w:rsidRPr="000D0F9F">
        <w:rPr>
          <w:rFonts w:asciiTheme="minorHAnsi" w:hAnsiTheme="minorHAnsi"/>
          <w:szCs w:val="22"/>
        </w:rPr>
        <w:t>widely used model for ALS.</w:t>
      </w:r>
      <w:r w:rsidR="004E479E" w:rsidRPr="0055295D">
        <w:rPr>
          <w:rFonts w:asciiTheme="minorHAnsi" w:hAnsiTheme="minorHAnsi"/>
          <w:noProof/>
          <w:szCs w:val="22"/>
          <w:vertAlign w:val="superscript"/>
        </w:rPr>
        <w:t>1</w:t>
      </w:r>
      <w:r w:rsidR="002049A0">
        <w:rPr>
          <w:rFonts w:asciiTheme="minorHAnsi" w:hAnsiTheme="minorHAnsi"/>
          <w:noProof/>
          <w:szCs w:val="22"/>
          <w:vertAlign w:val="superscript"/>
        </w:rPr>
        <w:t>0</w:t>
      </w:r>
      <w:r w:rsidRPr="000D0F9F">
        <w:rPr>
          <w:rFonts w:asciiTheme="minorHAnsi" w:hAnsiTheme="minorHAnsi"/>
          <w:szCs w:val="22"/>
        </w:rPr>
        <w:t xml:space="preserve"> Exogenous overexpression of Nogo</w:t>
      </w:r>
      <w:r w:rsidR="00EA1886">
        <w:rPr>
          <w:rFonts w:asciiTheme="minorHAnsi" w:hAnsiTheme="minorHAnsi"/>
          <w:szCs w:val="22"/>
        </w:rPr>
        <w:t>-</w:t>
      </w:r>
      <w:r w:rsidRPr="000D0F9F">
        <w:rPr>
          <w:rFonts w:asciiTheme="minorHAnsi" w:hAnsiTheme="minorHAnsi"/>
          <w:szCs w:val="22"/>
        </w:rPr>
        <w:t>A in the skeletal muscle of wild-type mice leads to denervation and instability of the neuromuscular junction</w:t>
      </w:r>
      <w:r w:rsidR="004A3857" w:rsidRPr="000D0F9F">
        <w:rPr>
          <w:rFonts w:asciiTheme="minorHAnsi" w:hAnsiTheme="minorHAnsi"/>
          <w:szCs w:val="22"/>
        </w:rPr>
        <w:t>,</w:t>
      </w:r>
      <w:r w:rsidR="00F76A7C">
        <w:rPr>
          <w:rFonts w:asciiTheme="minorHAnsi" w:hAnsiTheme="minorHAnsi"/>
          <w:noProof/>
          <w:szCs w:val="22"/>
          <w:vertAlign w:val="superscript"/>
        </w:rPr>
        <w:t>11</w:t>
      </w:r>
      <w:r w:rsidR="00F76A7C" w:rsidRPr="000D0F9F">
        <w:rPr>
          <w:rFonts w:asciiTheme="minorHAnsi" w:hAnsiTheme="minorHAnsi"/>
          <w:szCs w:val="22"/>
        </w:rPr>
        <w:t xml:space="preserve"> </w:t>
      </w:r>
      <w:r w:rsidRPr="000D0F9F">
        <w:rPr>
          <w:rFonts w:asciiTheme="minorHAnsi" w:hAnsiTheme="minorHAnsi"/>
          <w:szCs w:val="22"/>
        </w:rPr>
        <w:t xml:space="preserve">whereas </w:t>
      </w:r>
      <w:r w:rsidR="0040486B" w:rsidRPr="000D0F9F">
        <w:rPr>
          <w:rFonts w:asciiTheme="minorHAnsi" w:hAnsiTheme="minorHAnsi"/>
          <w:szCs w:val="22"/>
        </w:rPr>
        <w:t xml:space="preserve">deletion of the Nogo-A gene </w:t>
      </w:r>
      <w:r w:rsidRPr="000D0F9F">
        <w:rPr>
          <w:rFonts w:asciiTheme="minorHAnsi" w:hAnsiTheme="minorHAnsi"/>
          <w:szCs w:val="22"/>
        </w:rPr>
        <w:t xml:space="preserve">in </w:t>
      </w:r>
      <w:r w:rsidRPr="000D0F9F">
        <w:rPr>
          <w:rFonts w:asciiTheme="minorHAnsi" w:hAnsiTheme="minorHAnsi"/>
          <w:i/>
          <w:szCs w:val="22"/>
        </w:rPr>
        <w:t>SOD1</w:t>
      </w:r>
      <w:r w:rsidRPr="000D0F9F">
        <w:rPr>
          <w:rFonts w:asciiTheme="minorHAnsi" w:hAnsiTheme="minorHAnsi"/>
          <w:szCs w:val="22"/>
          <w:vertAlign w:val="superscript"/>
        </w:rPr>
        <w:t>G86R</w:t>
      </w:r>
      <w:r w:rsidRPr="000D0F9F">
        <w:rPr>
          <w:rFonts w:asciiTheme="minorHAnsi" w:hAnsiTheme="minorHAnsi"/>
          <w:szCs w:val="22"/>
        </w:rPr>
        <w:t xml:space="preserve"> mice </w:t>
      </w:r>
      <w:r w:rsidR="0040486B" w:rsidRPr="000D0F9F">
        <w:rPr>
          <w:rFonts w:asciiTheme="minorHAnsi" w:hAnsiTheme="minorHAnsi"/>
          <w:szCs w:val="22"/>
        </w:rPr>
        <w:t xml:space="preserve">resulted in a moderate but </w:t>
      </w:r>
      <w:r w:rsidR="003A75D2">
        <w:rPr>
          <w:rFonts w:asciiTheme="minorHAnsi" w:hAnsiTheme="minorHAnsi"/>
          <w:szCs w:val="22"/>
        </w:rPr>
        <w:t xml:space="preserve">statistically </w:t>
      </w:r>
      <w:r w:rsidR="0040486B" w:rsidRPr="000D0F9F">
        <w:rPr>
          <w:rFonts w:asciiTheme="minorHAnsi" w:hAnsiTheme="minorHAnsi"/>
          <w:szCs w:val="22"/>
        </w:rPr>
        <w:t>significant increase in lifespan and was associated with a neuroprotective effect.</w:t>
      </w:r>
      <w:r w:rsidR="00F76A7C">
        <w:rPr>
          <w:rFonts w:asciiTheme="minorHAnsi" w:hAnsiTheme="minorHAnsi"/>
          <w:noProof/>
          <w:szCs w:val="22"/>
          <w:vertAlign w:val="superscript"/>
        </w:rPr>
        <w:t>11</w:t>
      </w:r>
      <w:r w:rsidR="00F76A7C" w:rsidRPr="000D0F9F">
        <w:rPr>
          <w:rFonts w:asciiTheme="minorHAnsi" w:hAnsiTheme="minorHAnsi"/>
          <w:szCs w:val="22"/>
        </w:rPr>
        <w:t xml:space="preserve"> </w:t>
      </w:r>
      <w:r w:rsidR="00F13D34" w:rsidRPr="000D0F9F">
        <w:rPr>
          <w:rFonts w:asciiTheme="minorHAnsi" w:hAnsiTheme="minorHAnsi"/>
          <w:szCs w:val="22"/>
        </w:rPr>
        <w:t>These findings suggest</w:t>
      </w:r>
      <w:r w:rsidR="003A75D2">
        <w:rPr>
          <w:rFonts w:asciiTheme="minorHAnsi" w:hAnsiTheme="minorHAnsi"/>
          <w:szCs w:val="22"/>
        </w:rPr>
        <w:t>ed</w:t>
      </w:r>
      <w:r w:rsidR="00F13D34" w:rsidRPr="000D0F9F">
        <w:rPr>
          <w:rFonts w:asciiTheme="minorHAnsi" w:hAnsiTheme="minorHAnsi"/>
          <w:szCs w:val="22"/>
        </w:rPr>
        <w:t xml:space="preserve"> that Nogo-A expression in skeletal muscle could contribute to the pathology of ALS and </w:t>
      </w:r>
      <w:r w:rsidR="002D7D6F" w:rsidRPr="000D0F9F">
        <w:rPr>
          <w:rFonts w:asciiTheme="minorHAnsi" w:hAnsiTheme="minorHAnsi"/>
          <w:szCs w:val="22"/>
        </w:rPr>
        <w:t xml:space="preserve">that </w:t>
      </w:r>
      <w:r w:rsidR="004E443D" w:rsidRPr="000D0F9F">
        <w:rPr>
          <w:rFonts w:asciiTheme="minorHAnsi" w:hAnsiTheme="minorHAnsi"/>
          <w:szCs w:val="22"/>
        </w:rPr>
        <w:t xml:space="preserve">Nogo-A </w:t>
      </w:r>
      <w:r w:rsidR="002A234B" w:rsidRPr="000D0F9F">
        <w:rPr>
          <w:rFonts w:asciiTheme="minorHAnsi" w:hAnsiTheme="minorHAnsi"/>
          <w:szCs w:val="22"/>
        </w:rPr>
        <w:t>represent</w:t>
      </w:r>
      <w:r w:rsidR="002A234B">
        <w:rPr>
          <w:rFonts w:asciiTheme="minorHAnsi" w:hAnsiTheme="minorHAnsi"/>
          <w:szCs w:val="22"/>
        </w:rPr>
        <w:t>ed</w:t>
      </w:r>
      <w:r w:rsidR="002A234B" w:rsidRPr="000D0F9F">
        <w:rPr>
          <w:rFonts w:asciiTheme="minorHAnsi" w:hAnsiTheme="minorHAnsi"/>
          <w:szCs w:val="22"/>
        </w:rPr>
        <w:t xml:space="preserve"> </w:t>
      </w:r>
      <w:r w:rsidR="003E72FA" w:rsidRPr="000D0F9F">
        <w:rPr>
          <w:rFonts w:asciiTheme="minorHAnsi" w:hAnsiTheme="minorHAnsi"/>
          <w:szCs w:val="22"/>
        </w:rPr>
        <w:t>a potential novel therapeutic target for ALS</w:t>
      </w:r>
      <w:r w:rsidR="004E443D" w:rsidRPr="000D0F9F">
        <w:rPr>
          <w:rFonts w:asciiTheme="minorHAnsi" w:hAnsiTheme="minorHAnsi"/>
          <w:szCs w:val="22"/>
        </w:rPr>
        <w:t>.</w:t>
      </w:r>
      <w:r w:rsidR="003E72FA" w:rsidRPr="000D0F9F" w:rsidDel="003E72FA">
        <w:rPr>
          <w:rFonts w:asciiTheme="minorHAnsi" w:hAnsiTheme="minorHAnsi"/>
          <w:szCs w:val="22"/>
        </w:rPr>
        <w:t xml:space="preserve"> </w:t>
      </w:r>
    </w:p>
    <w:p w:rsidR="00CD7212" w:rsidRDefault="00362DAE">
      <w:pPr>
        <w:spacing w:line="360" w:lineRule="auto"/>
      </w:pPr>
      <w:r w:rsidRPr="000D0F9F">
        <w:rPr>
          <w:rFonts w:asciiTheme="minorHAnsi" w:hAnsiTheme="minorHAnsi"/>
          <w:szCs w:val="22"/>
        </w:rPr>
        <w:t xml:space="preserve">Ozanezumab </w:t>
      </w:r>
      <w:r w:rsidR="0075368D" w:rsidRPr="000D0F9F">
        <w:rPr>
          <w:rFonts w:asciiTheme="minorHAnsi" w:hAnsiTheme="minorHAnsi"/>
          <w:szCs w:val="22"/>
        </w:rPr>
        <w:t xml:space="preserve">(GSK1223249) </w:t>
      </w:r>
      <w:r w:rsidRPr="000D0F9F">
        <w:rPr>
          <w:rFonts w:asciiTheme="minorHAnsi" w:hAnsiTheme="minorHAnsi"/>
          <w:szCs w:val="22"/>
        </w:rPr>
        <w:t>is a humanised monoclonal antibody against Nogo-A.</w:t>
      </w:r>
      <w:r w:rsidR="00F76A7C">
        <w:rPr>
          <w:rFonts w:asciiTheme="minorHAnsi" w:hAnsiTheme="minorHAnsi"/>
          <w:noProof/>
          <w:szCs w:val="22"/>
          <w:vertAlign w:val="superscript"/>
        </w:rPr>
        <w:t>12</w:t>
      </w:r>
      <w:r w:rsidR="00F76A7C">
        <w:t xml:space="preserve"> </w:t>
      </w:r>
      <w:r w:rsidR="004D3A0D" w:rsidRPr="001E1840">
        <w:t xml:space="preserve">In </w:t>
      </w:r>
      <w:r w:rsidR="000E0E8C">
        <w:t>the</w:t>
      </w:r>
      <w:r w:rsidR="00DE2C26" w:rsidRPr="001E1840">
        <w:t xml:space="preserve"> </w:t>
      </w:r>
      <w:r w:rsidR="006A1332" w:rsidRPr="001E1840">
        <w:t>first-in-</w:t>
      </w:r>
      <w:r w:rsidR="00A02105">
        <w:t>man</w:t>
      </w:r>
      <w:r w:rsidR="002B2220">
        <w:t xml:space="preserve"> </w:t>
      </w:r>
      <w:r w:rsidR="004D3A0D" w:rsidRPr="00DE2C26">
        <w:t>study, ozanezumab was well</w:t>
      </w:r>
      <w:r w:rsidR="00082B0C">
        <w:t xml:space="preserve"> </w:t>
      </w:r>
      <w:r w:rsidR="004D3A0D" w:rsidRPr="00DE2C26">
        <w:t>tolerated</w:t>
      </w:r>
      <w:r w:rsidR="001D2F81" w:rsidRPr="00DE2C26">
        <w:t xml:space="preserve"> and</w:t>
      </w:r>
      <w:r w:rsidR="004D3A0D" w:rsidRPr="00DE2C26">
        <w:t xml:space="preserve"> although </w:t>
      </w:r>
      <w:r w:rsidR="006731B6" w:rsidRPr="00DE2C26">
        <w:t xml:space="preserve">the study was </w:t>
      </w:r>
      <w:r w:rsidR="00894DF6">
        <w:t>not designed</w:t>
      </w:r>
      <w:r w:rsidR="006731B6" w:rsidRPr="00DE2C26">
        <w:t xml:space="preserve"> to </w:t>
      </w:r>
      <w:r w:rsidR="00A02105">
        <w:t xml:space="preserve">assess </w:t>
      </w:r>
      <w:r w:rsidR="002F4AED" w:rsidRPr="00DE2C26">
        <w:t>efficacy</w:t>
      </w:r>
      <w:r w:rsidR="006731B6" w:rsidRPr="00DE2C26">
        <w:t xml:space="preserve">, </w:t>
      </w:r>
      <w:r w:rsidR="002F4AED" w:rsidRPr="00DE2C26">
        <w:t>results for functional endpoints were numerically in favour of ozanezumab</w:t>
      </w:r>
      <w:r w:rsidR="002235B5" w:rsidRPr="00DE2C26">
        <w:t xml:space="preserve"> </w:t>
      </w:r>
      <w:r w:rsidR="00D2263D">
        <w:t>at</w:t>
      </w:r>
      <w:r w:rsidR="00D2263D" w:rsidRPr="00DE2C26">
        <w:t xml:space="preserve"> </w:t>
      </w:r>
      <w:r w:rsidR="006731B6" w:rsidRPr="00DE2C26">
        <w:t>the highest dose (</w:t>
      </w:r>
      <w:r w:rsidR="00F34202">
        <w:t xml:space="preserve">two doses of </w:t>
      </w:r>
      <w:r w:rsidR="006731B6" w:rsidRPr="00DE2C26">
        <w:t>15</w:t>
      </w:r>
      <w:r w:rsidR="00082B0C">
        <w:t xml:space="preserve"> </w:t>
      </w:r>
      <w:r w:rsidR="006731B6" w:rsidRPr="00DE2C26">
        <w:t xml:space="preserve">mg/kg </w:t>
      </w:r>
      <w:r w:rsidR="00F34202">
        <w:t>given approximately 2 weeks apart</w:t>
      </w:r>
      <w:r w:rsidR="006731B6" w:rsidRPr="00DE2C26">
        <w:t>.</w:t>
      </w:r>
      <w:r w:rsidR="00F76A7C">
        <w:rPr>
          <w:noProof/>
          <w:vertAlign w:val="superscript"/>
        </w:rPr>
        <w:t>12</w:t>
      </w:r>
      <w:r w:rsidR="00F76A7C">
        <w:t xml:space="preserve"> </w:t>
      </w:r>
    </w:p>
    <w:p w:rsidR="00B638F1" w:rsidRDefault="00AB2B02">
      <w:pPr>
        <w:spacing w:line="360" w:lineRule="auto"/>
      </w:pPr>
      <w:r w:rsidRPr="005345A6">
        <w:t xml:space="preserve">The </w:t>
      </w:r>
      <w:r w:rsidR="00022809">
        <w:t xml:space="preserve">aim </w:t>
      </w:r>
      <w:r w:rsidR="00085900">
        <w:t xml:space="preserve">in </w:t>
      </w:r>
      <w:r w:rsidR="00D2263D">
        <w:t>this</w:t>
      </w:r>
      <w:r w:rsidR="005166F3">
        <w:t xml:space="preserve"> </w:t>
      </w:r>
      <w:r w:rsidR="00085900">
        <w:t>p</w:t>
      </w:r>
      <w:r w:rsidR="005166F3">
        <w:t xml:space="preserve">hase </w:t>
      </w:r>
      <w:r w:rsidR="00085900">
        <w:t xml:space="preserve">2 trial </w:t>
      </w:r>
      <w:r w:rsidRPr="005345A6">
        <w:t>was to assess the effect of ozanezumab on the function and survival of</w:t>
      </w:r>
      <w:r w:rsidR="008028FA">
        <w:t xml:space="preserve"> patient</w:t>
      </w:r>
      <w:r w:rsidR="004C02B3">
        <w:t>s</w:t>
      </w:r>
      <w:r w:rsidR="008028FA">
        <w:t xml:space="preserve"> with</w:t>
      </w:r>
      <w:r w:rsidRPr="005345A6">
        <w:t xml:space="preserve"> ALS</w:t>
      </w:r>
      <w:r w:rsidR="008E5A5D">
        <w:t xml:space="preserve">. </w:t>
      </w:r>
    </w:p>
    <w:p w:rsidR="00B70848" w:rsidRDefault="00B70848" w:rsidP="00FD4D14">
      <w:pPr>
        <w:spacing w:line="360" w:lineRule="auto"/>
        <w:outlineLvl w:val="0"/>
        <w:rPr>
          <w:b/>
        </w:rPr>
      </w:pPr>
    </w:p>
    <w:p w:rsidR="00316289" w:rsidRPr="005345A6" w:rsidRDefault="00316289" w:rsidP="00FD4D14">
      <w:pPr>
        <w:spacing w:line="360" w:lineRule="auto"/>
        <w:outlineLvl w:val="0"/>
        <w:rPr>
          <w:b/>
        </w:rPr>
      </w:pPr>
      <w:r w:rsidRPr="005345A6">
        <w:rPr>
          <w:b/>
        </w:rPr>
        <w:t>METHODS</w:t>
      </w:r>
    </w:p>
    <w:p w:rsidR="00046AE4" w:rsidRPr="00046AE4" w:rsidRDefault="00046AE4" w:rsidP="00FD4D14">
      <w:pPr>
        <w:spacing w:line="360" w:lineRule="auto"/>
        <w:outlineLvl w:val="0"/>
        <w:rPr>
          <w:b/>
        </w:rPr>
      </w:pPr>
      <w:r w:rsidRPr="00046AE4">
        <w:rPr>
          <w:b/>
        </w:rPr>
        <w:t>Study design</w:t>
      </w:r>
    </w:p>
    <w:p w:rsidR="00046AE4" w:rsidRDefault="00151025">
      <w:pPr>
        <w:spacing w:line="360" w:lineRule="auto"/>
      </w:pPr>
      <w:r>
        <w:t xml:space="preserve">This was a randomised, placebo-controlled, </w:t>
      </w:r>
      <w:r w:rsidR="00067F74">
        <w:t>parallel</w:t>
      </w:r>
      <w:r w:rsidR="0028374A">
        <w:t>-</w:t>
      </w:r>
      <w:r w:rsidR="00067F74">
        <w:t xml:space="preserve">group, </w:t>
      </w:r>
      <w:r>
        <w:t>double-blind repeat</w:t>
      </w:r>
      <w:r w:rsidR="0028374A">
        <w:t>-</w:t>
      </w:r>
      <w:r>
        <w:t xml:space="preserve">dose </w:t>
      </w:r>
      <w:r w:rsidR="00022809">
        <w:t>p</w:t>
      </w:r>
      <w:r w:rsidR="001C2F21">
        <w:t xml:space="preserve">hase </w:t>
      </w:r>
      <w:r w:rsidR="00022809">
        <w:t xml:space="preserve">2 </w:t>
      </w:r>
      <w:r>
        <w:t xml:space="preserve">study in </w:t>
      </w:r>
      <w:r w:rsidR="00A10993">
        <w:t xml:space="preserve">patients </w:t>
      </w:r>
      <w:r>
        <w:t xml:space="preserve">with ALS, </w:t>
      </w:r>
      <w:r w:rsidR="00022809">
        <w:t xml:space="preserve">done </w:t>
      </w:r>
      <w:r w:rsidR="007E7BE9">
        <w:t xml:space="preserve">in 34 centres </w:t>
      </w:r>
      <w:r w:rsidR="00046AE4" w:rsidRPr="005345A6">
        <w:t xml:space="preserve">across 11 countries </w:t>
      </w:r>
      <w:r w:rsidR="00067F74">
        <w:t xml:space="preserve">(Australia, Belgium, Canada, France, Germany, Italy, Japan, Korea, the Netherlands, </w:t>
      </w:r>
      <w:r w:rsidR="00022809">
        <w:t xml:space="preserve">the </w:t>
      </w:r>
      <w:r w:rsidR="00067F74">
        <w:t>UK</w:t>
      </w:r>
      <w:r w:rsidR="00022809">
        <w:t>,</w:t>
      </w:r>
      <w:r w:rsidR="00067F74">
        <w:t xml:space="preserve"> and </w:t>
      </w:r>
      <w:r w:rsidR="00022809">
        <w:t xml:space="preserve">the </w:t>
      </w:r>
      <w:r w:rsidR="00067F74">
        <w:t>USA)</w:t>
      </w:r>
      <w:r w:rsidR="00EB23BB">
        <w:t>.</w:t>
      </w:r>
      <w:r w:rsidR="00067F74">
        <w:t xml:space="preserve"> </w:t>
      </w:r>
      <w:r w:rsidR="00046AE4" w:rsidRPr="005345A6">
        <w:t>The protocol was amended</w:t>
      </w:r>
      <w:r w:rsidR="002B2220" w:rsidRPr="002B2220">
        <w:rPr>
          <w:b/>
          <w:color w:val="FF0000"/>
        </w:rPr>
        <w:t xml:space="preserve"> </w:t>
      </w:r>
      <w:r w:rsidR="00046AE4" w:rsidRPr="00CE5B0C">
        <w:t>once</w:t>
      </w:r>
      <w:r w:rsidR="002B2220">
        <w:t>, before data analysis,</w:t>
      </w:r>
      <w:r w:rsidR="00046AE4" w:rsidRPr="00CE5B0C">
        <w:t xml:space="preserve"> </w:t>
      </w:r>
      <w:r w:rsidR="00176B8E">
        <w:t>on</w:t>
      </w:r>
      <w:r w:rsidR="00176B8E" w:rsidRPr="00CE5B0C">
        <w:t xml:space="preserve"> </w:t>
      </w:r>
      <w:r w:rsidR="00046AE4" w:rsidRPr="00CE5B0C">
        <w:t xml:space="preserve">May </w:t>
      </w:r>
      <w:r w:rsidR="00F54832">
        <w:t xml:space="preserve">29, </w:t>
      </w:r>
      <w:r w:rsidR="00046AE4" w:rsidRPr="00CE5B0C">
        <w:t>2013</w:t>
      </w:r>
      <w:r w:rsidR="000A38F7">
        <w:t xml:space="preserve"> (documented and approved by the relevant ethics committees)</w:t>
      </w:r>
      <w:r w:rsidR="00046AE4">
        <w:t>, whe</w:t>
      </w:r>
      <w:r w:rsidR="00022809">
        <w:t>n</w:t>
      </w:r>
      <w:r w:rsidR="00046AE4">
        <w:t xml:space="preserve"> t</w:t>
      </w:r>
      <w:r w:rsidR="00046AE4" w:rsidRPr="005345A6">
        <w:t xml:space="preserve">wo </w:t>
      </w:r>
      <w:r w:rsidR="00022809">
        <w:t xml:space="preserve">substantial </w:t>
      </w:r>
      <w:r w:rsidR="00046AE4" w:rsidRPr="005345A6">
        <w:t>changes were made:</w:t>
      </w:r>
      <w:r w:rsidR="00046AE4" w:rsidRPr="00046AE4">
        <w:t xml:space="preserve"> </w:t>
      </w:r>
      <w:r w:rsidR="00046AE4">
        <w:t>the s</w:t>
      </w:r>
      <w:r w:rsidR="00046AE4" w:rsidRPr="005345A6">
        <w:t>tatistic</w:t>
      </w:r>
      <w:r w:rsidR="00046AE4">
        <w:t>s</w:t>
      </w:r>
      <w:r w:rsidR="00046AE4" w:rsidRPr="005345A6">
        <w:t xml:space="preserve"> section was changed to reflect refinements made to </w:t>
      </w:r>
      <w:r w:rsidR="00046AE4">
        <w:t xml:space="preserve">power calculations, and an </w:t>
      </w:r>
      <w:r w:rsidR="00046AE4" w:rsidRPr="005345A6">
        <w:t xml:space="preserve">additional secondary analysis </w:t>
      </w:r>
      <w:r w:rsidR="00046AE4">
        <w:t>of</w:t>
      </w:r>
      <w:r w:rsidR="00046AE4" w:rsidRPr="005345A6">
        <w:t xml:space="preserve"> </w:t>
      </w:r>
      <w:r w:rsidR="00E0284E" w:rsidRPr="00282C48">
        <w:t xml:space="preserve">ALS Functional Rating Scale-Revised </w:t>
      </w:r>
      <w:r w:rsidR="00E0284E">
        <w:t>(</w:t>
      </w:r>
      <w:r w:rsidR="00046AE4" w:rsidRPr="005345A6">
        <w:t>ALSFRS-R</w:t>
      </w:r>
      <w:r w:rsidR="00E0284E">
        <w:t>)</w:t>
      </w:r>
      <w:r w:rsidR="00046AE4" w:rsidRPr="005345A6">
        <w:t xml:space="preserve"> data </w:t>
      </w:r>
      <w:r w:rsidR="002C0857">
        <w:t>to aid clinical interpretation of the results</w:t>
      </w:r>
      <w:r w:rsidR="00C53EBC">
        <w:t>.</w:t>
      </w:r>
      <w:r w:rsidR="0027510F">
        <w:rPr>
          <w:noProof/>
          <w:vertAlign w:val="superscript"/>
        </w:rPr>
        <w:t>13</w:t>
      </w:r>
      <w:r w:rsidR="00286A59" w:rsidRPr="004B4446">
        <w:rPr>
          <w:noProof/>
        </w:rPr>
        <w:t xml:space="preserve"> </w:t>
      </w:r>
      <w:r w:rsidR="00C53EBC">
        <w:t xml:space="preserve">At the time of protocol amendment, safety data from </w:t>
      </w:r>
      <w:r w:rsidR="00444AB5">
        <w:t>p</w:t>
      </w:r>
      <w:r w:rsidR="00C53EBC">
        <w:t xml:space="preserve">art A of the study had been reviewed and </w:t>
      </w:r>
      <w:r w:rsidR="00B53015">
        <w:t xml:space="preserve">recruitment for </w:t>
      </w:r>
      <w:r w:rsidR="00444AB5">
        <w:t>p</w:t>
      </w:r>
      <w:r w:rsidR="00B53015">
        <w:t>art B was underway (see ‘Procedures’).</w:t>
      </w:r>
      <w:r w:rsidR="00C53EBC">
        <w:t xml:space="preserve"> </w:t>
      </w:r>
      <w:r w:rsidR="009507C8" w:rsidRPr="005B1763">
        <w:t>The protocol for this trial is available at http://www.gsk-clinicalstudyregister.com/study/112264#ps.</w:t>
      </w:r>
    </w:p>
    <w:p w:rsidR="00046AE4" w:rsidRDefault="00480088">
      <w:pPr>
        <w:spacing w:line="360" w:lineRule="auto"/>
      </w:pPr>
      <w:r>
        <w:t>The</w:t>
      </w:r>
      <w:r w:rsidR="00046AE4">
        <w:t xml:space="preserve"> study was </w:t>
      </w:r>
      <w:r w:rsidR="00022809">
        <w:t xml:space="preserve">done </w:t>
      </w:r>
      <w:r w:rsidR="00966E77">
        <w:t>and monitored</w:t>
      </w:r>
      <w:r w:rsidR="00046AE4">
        <w:t xml:space="preserve"> in accordance with Good Clinical Practice and the guiding principles</w:t>
      </w:r>
      <w:r w:rsidR="00966E77">
        <w:t xml:space="preserve"> of the Declaration of Helsinki</w:t>
      </w:r>
      <w:r w:rsidR="00915F19">
        <w:t xml:space="preserve"> 2008</w:t>
      </w:r>
      <w:r w:rsidR="00DB468E">
        <w:t>.</w:t>
      </w:r>
      <w:r w:rsidR="00046AE4">
        <w:t xml:space="preserve"> </w:t>
      </w:r>
    </w:p>
    <w:p w:rsidR="00A76788" w:rsidRDefault="00A76788">
      <w:pPr>
        <w:spacing w:line="360" w:lineRule="auto"/>
        <w:rPr>
          <w:b/>
        </w:rPr>
      </w:pPr>
    </w:p>
    <w:p w:rsidR="00FE7D87" w:rsidRPr="00067F74" w:rsidRDefault="00067F74" w:rsidP="00FD4D14">
      <w:pPr>
        <w:spacing w:line="360" w:lineRule="auto"/>
        <w:outlineLvl w:val="0"/>
        <w:rPr>
          <w:b/>
        </w:rPr>
      </w:pPr>
      <w:r>
        <w:rPr>
          <w:b/>
        </w:rPr>
        <w:t>Participants</w:t>
      </w:r>
    </w:p>
    <w:p w:rsidR="005536FB" w:rsidRDefault="005536FB">
      <w:pPr>
        <w:spacing w:line="360" w:lineRule="auto"/>
      </w:pPr>
      <w:r w:rsidRPr="005345A6">
        <w:t xml:space="preserve">Male and female </w:t>
      </w:r>
      <w:r w:rsidR="008E5A5D">
        <w:t>patients</w:t>
      </w:r>
      <w:r w:rsidRPr="005345A6">
        <w:t xml:space="preserve"> </w:t>
      </w:r>
      <w:r w:rsidRPr="003C5D1F">
        <w:t>aged 18</w:t>
      </w:r>
      <w:r w:rsidR="00A120BF" w:rsidRPr="003C5D1F">
        <w:t>–</w:t>
      </w:r>
      <w:r w:rsidRPr="003C5D1F">
        <w:t xml:space="preserve">80 years with a diagnosis of familial or sporadic ALS </w:t>
      </w:r>
      <w:r w:rsidR="00423E9A" w:rsidRPr="003C5D1F">
        <w:t>(</w:t>
      </w:r>
      <w:r w:rsidRPr="003C5D1F">
        <w:t>defined as meeting the possible, laboratory-supported probable, probable, or definite criteria for a diagnosis of ALS according to the revised World Federation of Neurology El Escorial criteria</w:t>
      </w:r>
      <w:r w:rsidR="004E479E" w:rsidRPr="003C5D1F">
        <w:rPr>
          <w:noProof/>
          <w:vertAlign w:val="superscript"/>
        </w:rPr>
        <w:t>1</w:t>
      </w:r>
      <w:r w:rsidR="0027510F">
        <w:rPr>
          <w:noProof/>
          <w:vertAlign w:val="superscript"/>
        </w:rPr>
        <w:t>4</w:t>
      </w:r>
      <w:r w:rsidR="00423E9A" w:rsidRPr="003C5D1F">
        <w:t>) with onset of muscle weakness ≤30 months before the screening visit, and with slow vital capacity</w:t>
      </w:r>
      <w:r w:rsidRPr="003C5D1F">
        <w:t xml:space="preserve"> </w:t>
      </w:r>
      <w:r w:rsidR="00854A48" w:rsidRPr="003C5D1F">
        <w:t xml:space="preserve">(SVC) </w:t>
      </w:r>
      <w:r w:rsidR="00423E9A" w:rsidRPr="003C5D1F">
        <w:t>of ≥65% at screening (predicted for gender, age, ethnicity</w:t>
      </w:r>
      <w:r w:rsidR="00DC5D01">
        <w:t>,</w:t>
      </w:r>
      <w:r w:rsidR="00423E9A" w:rsidRPr="003C5D1F">
        <w:t xml:space="preserve"> and height)</w:t>
      </w:r>
      <w:r w:rsidRPr="003C5D1F">
        <w:t xml:space="preserve"> </w:t>
      </w:r>
      <w:r w:rsidR="00423E9A" w:rsidRPr="003C5D1F">
        <w:t xml:space="preserve">were </w:t>
      </w:r>
      <w:r w:rsidRPr="003C5D1F">
        <w:t>eligib</w:t>
      </w:r>
      <w:r w:rsidR="00423E9A" w:rsidRPr="003C5D1F">
        <w:t>le</w:t>
      </w:r>
      <w:r w:rsidRPr="003C5D1F">
        <w:t xml:space="preserve"> for inclusion</w:t>
      </w:r>
      <w:r w:rsidR="00966E77" w:rsidRPr="003C5D1F">
        <w:t>. F</w:t>
      </w:r>
      <w:r w:rsidR="00A72337" w:rsidRPr="003C5D1F">
        <w:t xml:space="preserve">ull study inclusion and exclusion criteria </w:t>
      </w:r>
      <w:r w:rsidR="00966E77" w:rsidRPr="003C5D1F">
        <w:t>are</w:t>
      </w:r>
      <w:r w:rsidR="00A72337" w:rsidRPr="003C5D1F">
        <w:t xml:space="preserve"> </w:t>
      </w:r>
      <w:r w:rsidR="00966E77" w:rsidRPr="003C5D1F">
        <w:t>listed</w:t>
      </w:r>
      <w:r w:rsidR="00A72337" w:rsidRPr="003C5D1F">
        <w:t xml:space="preserve"> in </w:t>
      </w:r>
      <w:r w:rsidR="00966E77" w:rsidRPr="003C5D1F">
        <w:t xml:space="preserve">the </w:t>
      </w:r>
      <w:r w:rsidR="00A72337" w:rsidRPr="003C5D1F">
        <w:t xml:space="preserve">Supplementary </w:t>
      </w:r>
      <w:r w:rsidR="0028374A" w:rsidRPr="003C5D1F">
        <w:t>M</w:t>
      </w:r>
      <w:r w:rsidR="00A72337" w:rsidRPr="003C5D1F">
        <w:t>aterials</w:t>
      </w:r>
      <w:r w:rsidR="00966E77" w:rsidRPr="003C5D1F">
        <w:t>.</w:t>
      </w:r>
      <w:r w:rsidR="005B1763">
        <w:t xml:space="preserve"> </w:t>
      </w:r>
      <w:r w:rsidR="007228F0">
        <w:t>Eligible p</w:t>
      </w:r>
      <w:r w:rsidR="005B1763">
        <w:t>atients</w:t>
      </w:r>
      <w:r w:rsidR="007228F0">
        <w:t xml:space="preserve"> were</w:t>
      </w:r>
      <w:r w:rsidR="005B1763">
        <w:t xml:space="preserve"> identified in the clinic </w:t>
      </w:r>
      <w:r w:rsidR="003D0288">
        <w:t>at</w:t>
      </w:r>
      <w:r w:rsidR="005B1763">
        <w:t xml:space="preserve"> each of the study sites</w:t>
      </w:r>
      <w:r w:rsidR="003D0288">
        <w:t xml:space="preserve"> </w:t>
      </w:r>
      <w:r w:rsidR="007228F0">
        <w:t xml:space="preserve">and </w:t>
      </w:r>
      <w:r w:rsidR="003D0288">
        <w:t>were recruited into the study according to the protocol.</w:t>
      </w:r>
      <w:r w:rsidR="00966E77" w:rsidRPr="003C5D1F">
        <w:t xml:space="preserve"> All </w:t>
      </w:r>
      <w:r w:rsidR="00B25BF6" w:rsidRPr="003C5D1F">
        <w:t>patient</w:t>
      </w:r>
      <w:r w:rsidR="00966E77" w:rsidRPr="003C5D1F">
        <w:t>s provided written informed consent.</w:t>
      </w:r>
      <w:r w:rsidR="00966E77">
        <w:t xml:space="preserve"> </w:t>
      </w:r>
    </w:p>
    <w:p w:rsidR="0028395D" w:rsidRPr="005345A6" w:rsidRDefault="0028395D">
      <w:pPr>
        <w:spacing w:line="360" w:lineRule="auto"/>
      </w:pPr>
    </w:p>
    <w:p w:rsidR="00A72337" w:rsidRPr="00A72337" w:rsidRDefault="00A72337" w:rsidP="00FD4D14">
      <w:pPr>
        <w:spacing w:line="360" w:lineRule="auto"/>
        <w:outlineLvl w:val="0"/>
        <w:rPr>
          <w:b/>
        </w:rPr>
      </w:pPr>
      <w:r w:rsidRPr="00A72337">
        <w:rPr>
          <w:b/>
        </w:rPr>
        <w:t>Randomisation and masking</w:t>
      </w:r>
    </w:p>
    <w:p w:rsidR="00A72337" w:rsidRPr="008F46A6" w:rsidRDefault="00360A48">
      <w:pPr>
        <w:spacing w:line="360" w:lineRule="auto"/>
        <w:rPr>
          <w:color w:val="FF0000"/>
        </w:rPr>
      </w:pPr>
      <w:r>
        <w:t xml:space="preserve">After an initial screening period, </w:t>
      </w:r>
      <w:r w:rsidR="00B25BF6">
        <w:t>patient</w:t>
      </w:r>
      <w:r>
        <w:t>s</w:t>
      </w:r>
      <w:r w:rsidRPr="005345A6">
        <w:t xml:space="preserve"> </w:t>
      </w:r>
      <w:r>
        <w:t xml:space="preserve">were </w:t>
      </w:r>
      <w:r w:rsidR="00627053">
        <w:t xml:space="preserve">enrolled by study investigators and </w:t>
      </w:r>
      <w:r>
        <w:t xml:space="preserve">randomised 1:1 to receive </w:t>
      </w:r>
      <w:r w:rsidRPr="005345A6">
        <w:t>ozanezumab or placebo</w:t>
      </w:r>
      <w:r>
        <w:t xml:space="preserve"> at </w:t>
      </w:r>
      <w:r w:rsidR="003C5764">
        <w:t>the second study visit (</w:t>
      </w:r>
      <w:r w:rsidR="00383017">
        <w:t>w</w:t>
      </w:r>
      <w:r w:rsidR="003C5764">
        <w:t xml:space="preserve">eek 0). </w:t>
      </w:r>
      <w:r w:rsidR="00B25BF6">
        <w:t>Patient</w:t>
      </w:r>
      <w:r w:rsidR="00A72337">
        <w:t>s were</w:t>
      </w:r>
      <w:r>
        <w:t xml:space="preserve"> randomised centrally </w:t>
      </w:r>
      <w:r w:rsidR="00A72337">
        <w:t xml:space="preserve">across all sites </w:t>
      </w:r>
      <w:r>
        <w:t>in accordance with a computer-generated, GSK-validated randomisation schedule.</w:t>
      </w:r>
      <w:r w:rsidR="00A72337">
        <w:t xml:space="preserve"> </w:t>
      </w:r>
      <w:r>
        <w:t xml:space="preserve">Anonymised </w:t>
      </w:r>
      <w:r w:rsidR="00B25BF6">
        <w:t>patient</w:t>
      </w:r>
      <w:r>
        <w:t xml:space="preserve"> numbers were provided to investigators via </w:t>
      </w:r>
      <w:r w:rsidR="00A72337">
        <w:t>an Interactive Voice Response System.</w:t>
      </w:r>
      <w:r w:rsidR="00DB6DDB">
        <w:t xml:space="preserve"> All investigators were blinded to the treatment allocation</w:t>
      </w:r>
      <w:r w:rsidR="002D4C42">
        <w:t>; the investigators</w:t>
      </w:r>
      <w:r w:rsidR="00DB6DDB">
        <w:t xml:space="preserve"> </w:t>
      </w:r>
      <w:r w:rsidR="0058116A" w:rsidRPr="008F2BEE">
        <w:t>took part in the other study procedures</w:t>
      </w:r>
      <w:r w:rsidR="002D4C42" w:rsidRPr="008F2BEE">
        <w:rPr>
          <w:u w:val="single"/>
        </w:rPr>
        <w:t xml:space="preserve"> </w:t>
      </w:r>
      <w:r w:rsidR="002D4C42" w:rsidRPr="00C016C2">
        <w:t>with the</w:t>
      </w:r>
      <w:r w:rsidR="0058116A" w:rsidRPr="003A0162">
        <w:t xml:space="preserve"> except</w:t>
      </w:r>
      <w:r w:rsidR="002D4C42" w:rsidRPr="00C016C2">
        <w:t>ion of</w:t>
      </w:r>
      <w:r w:rsidR="0058116A" w:rsidRPr="008F2BEE">
        <w:t xml:space="preserve"> the study treatment preparation</w:t>
      </w:r>
      <w:r w:rsidR="008F2BEE" w:rsidRPr="008F2BEE">
        <w:rPr>
          <w:u w:val="single"/>
        </w:rPr>
        <w:t>.</w:t>
      </w:r>
      <w:r w:rsidR="008F2BEE">
        <w:t xml:space="preserve"> </w:t>
      </w:r>
      <w:r w:rsidR="00A72337">
        <w:t>Infusions were prepared by a non-blinded pharmacist at the study site</w:t>
      </w:r>
      <w:r w:rsidR="00A2043B">
        <w:t>,</w:t>
      </w:r>
      <w:r w:rsidR="00A72337">
        <w:t xml:space="preserve"> and infusion </w:t>
      </w:r>
      <w:r>
        <w:t>bags</w:t>
      </w:r>
      <w:r w:rsidR="00A72337">
        <w:t xml:space="preserve"> were masked</w:t>
      </w:r>
      <w:r w:rsidR="00877D00">
        <w:t xml:space="preserve"> using orange tape adhered to the infusion bag and drip chamber</w:t>
      </w:r>
      <w:r w:rsidR="00A2043B">
        <w:t>.</w:t>
      </w:r>
      <w:r w:rsidR="00464B2A" w:rsidDel="00464B2A">
        <w:rPr>
          <w:rStyle w:val="CommentReference"/>
        </w:rPr>
        <w:t xml:space="preserve"> </w:t>
      </w:r>
      <w:r w:rsidR="008F46A6" w:rsidRPr="00F345BB">
        <w:t xml:space="preserve">Patients and </w:t>
      </w:r>
      <w:r w:rsidR="000621C5" w:rsidRPr="00F345BB">
        <w:t xml:space="preserve">all </w:t>
      </w:r>
      <w:r w:rsidR="008F46A6" w:rsidRPr="00F345BB">
        <w:t>study personnel administering the interventions, assessing outcomes</w:t>
      </w:r>
      <w:r w:rsidR="00A2043B" w:rsidRPr="00F345BB">
        <w:t>,</w:t>
      </w:r>
      <w:r w:rsidR="008F46A6" w:rsidRPr="00F345BB">
        <w:t xml:space="preserve"> and analysing data were masked to treatment assignment.</w:t>
      </w:r>
    </w:p>
    <w:p w:rsidR="00B34A41" w:rsidRDefault="00B34A41">
      <w:pPr>
        <w:spacing w:line="360" w:lineRule="auto"/>
        <w:rPr>
          <w:b/>
        </w:rPr>
      </w:pPr>
    </w:p>
    <w:p w:rsidR="00A72337" w:rsidRPr="003C5764" w:rsidRDefault="003C5764" w:rsidP="00FD4D14">
      <w:pPr>
        <w:spacing w:line="360" w:lineRule="auto"/>
        <w:outlineLvl w:val="0"/>
        <w:rPr>
          <w:b/>
        </w:rPr>
      </w:pPr>
      <w:r w:rsidRPr="003C5764">
        <w:rPr>
          <w:b/>
        </w:rPr>
        <w:t>Procedures</w:t>
      </w:r>
    </w:p>
    <w:p w:rsidR="00B638F1" w:rsidRDefault="00085900">
      <w:pPr>
        <w:spacing w:line="360" w:lineRule="auto"/>
      </w:pPr>
      <w:r w:rsidRPr="008E2AA0">
        <w:t>A</w:t>
      </w:r>
      <w:r w:rsidR="00CB07B8" w:rsidRPr="008E2AA0">
        <w:t>n</w:t>
      </w:r>
      <w:r w:rsidRPr="008E2AA0">
        <w:t xml:space="preserve"> </w:t>
      </w:r>
      <w:r w:rsidR="00CB07B8" w:rsidRPr="008E2AA0">
        <w:t xml:space="preserve">ozanezumab </w:t>
      </w:r>
      <w:r w:rsidRPr="008E2AA0">
        <w:t xml:space="preserve">dose regimen of 15 mg/kg once every 2 weeks was selected for this study based on analysis of drug </w:t>
      </w:r>
      <w:proofErr w:type="spellStart"/>
      <w:r w:rsidRPr="008E2AA0">
        <w:t>biodistribution</w:t>
      </w:r>
      <w:proofErr w:type="spellEnd"/>
      <w:r w:rsidRPr="008E2AA0">
        <w:t xml:space="preserve"> into muscle, co-localisation of Nogo-A at the target site (muscle cell membrane), plasma pharmacokinetic data</w:t>
      </w:r>
      <w:r w:rsidR="003C70EF" w:rsidRPr="008E2AA0">
        <w:t>,</w:t>
      </w:r>
      <w:r w:rsidRPr="008E2AA0">
        <w:t xml:space="preserve"> and the safety profile from clinical and non-clinical studies.</w:t>
      </w:r>
      <w:r w:rsidRPr="008E2AA0">
        <w:rPr>
          <w:noProof/>
          <w:vertAlign w:val="superscript"/>
        </w:rPr>
        <w:t>12</w:t>
      </w:r>
      <w:r w:rsidR="00697119">
        <w:rPr>
          <w:noProof/>
          <w:vertAlign w:val="superscript"/>
        </w:rPr>
        <w:t>, 15–16</w:t>
      </w:r>
      <w:r w:rsidRPr="008E2AA0">
        <w:t xml:space="preserve"> </w:t>
      </w:r>
      <w:r w:rsidR="0087704A">
        <w:t xml:space="preserve">Patients </w:t>
      </w:r>
      <w:r w:rsidR="003C5764">
        <w:t xml:space="preserve">received </w:t>
      </w:r>
      <w:r w:rsidR="003C5764" w:rsidRPr="005345A6">
        <w:t>ozanezumab</w:t>
      </w:r>
      <w:r w:rsidR="003C5764">
        <w:t xml:space="preserve"> </w:t>
      </w:r>
      <w:r w:rsidR="003C5764" w:rsidRPr="005345A6">
        <w:t xml:space="preserve">or placebo </w:t>
      </w:r>
      <w:r w:rsidR="003C5764">
        <w:t xml:space="preserve">as intravenous infusions over 1 h. </w:t>
      </w:r>
      <w:r w:rsidR="00CD5201">
        <w:t xml:space="preserve">A total of 24 infusions were </w:t>
      </w:r>
      <w:r w:rsidR="00D14AAF">
        <w:lastRenderedPageBreak/>
        <w:t>planned</w:t>
      </w:r>
      <w:r w:rsidR="00CD5201">
        <w:t xml:space="preserve">, starting </w:t>
      </w:r>
      <w:r w:rsidR="003C5764" w:rsidRPr="005345A6">
        <w:t xml:space="preserve">at the </w:t>
      </w:r>
      <w:r w:rsidR="0027198C">
        <w:t>baseline</w:t>
      </w:r>
      <w:r w:rsidR="003C5764">
        <w:t xml:space="preserve"> (</w:t>
      </w:r>
      <w:r w:rsidR="00715C70">
        <w:t>w</w:t>
      </w:r>
      <w:r w:rsidR="003C5764">
        <w:t>eek 0</w:t>
      </w:r>
      <w:r w:rsidR="0027198C">
        <w:t>) visit</w:t>
      </w:r>
      <w:r w:rsidR="003C5764">
        <w:t xml:space="preserve"> and </w:t>
      </w:r>
      <w:r w:rsidR="00CD5201">
        <w:t xml:space="preserve">then </w:t>
      </w:r>
      <w:r w:rsidR="003C5764">
        <w:t xml:space="preserve">every 2 weeks up to the last dose at </w:t>
      </w:r>
      <w:r w:rsidR="00715C70">
        <w:t>w</w:t>
      </w:r>
      <w:r w:rsidR="003C5764">
        <w:t>eek 46</w:t>
      </w:r>
      <w:r w:rsidR="00360A48" w:rsidRPr="005345A6">
        <w:t xml:space="preserve">, followed by a </w:t>
      </w:r>
      <w:r w:rsidR="00325727">
        <w:t>week 48 assessment and</w:t>
      </w:r>
      <w:r w:rsidR="00360A48" w:rsidRPr="005345A6">
        <w:t xml:space="preserve"> 12-week follow-up</w:t>
      </w:r>
      <w:r w:rsidR="003C5764">
        <w:t xml:space="preserve">. </w:t>
      </w:r>
      <w:r w:rsidR="002A4418" w:rsidRPr="002A4418">
        <w:t xml:space="preserve">As the dosing regimen used in this study had not been tested in humans previously, a two-part study design </w:t>
      </w:r>
      <w:r w:rsidR="00C72DB1">
        <w:t>(</w:t>
      </w:r>
      <w:r w:rsidR="003C70EF">
        <w:t>p</w:t>
      </w:r>
      <w:r w:rsidR="008717D6">
        <w:t xml:space="preserve">arts </w:t>
      </w:r>
      <w:r w:rsidR="00C72DB1">
        <w:t xml:space="preserve">A and B) </w:t>
      </w:r>
      <w:r w:rsidR="002A4418" w:rsidRPr="002A4418">
        <w:t>was used</w:t>
      </w:r>
      <w:r w:rsidR="00EA4874">
        <w:t xml:space="preserve">. In </w:t>
      </w:r>
      <w:r w:rsidR="003C70EF">
        <w:t>p</w:t>
      </w:r>
      <w:r w:rsidR="00EA4874">
        <w:t>art A,</w:t>
      </w:r>
      <w:r w:rsidR="002A4418" w:rsidRPr="002A4418">
        <w:t xml:space="preserve"> an initial set of patients </w:t>
      </w:r>
      <w:r w:rsidR="00732819">
        <w:t xml:space="preserve">had </w:t>
      </w:r>
      <w:r w:rsidR="003B70AC">
        <w:t xml:space="preserve">more </w:t>
      </w:r>
      <w:r w:rsidR="003B70AC" w:rsidRPr="002A4418">
        <w:t xml:space="preserve">intensive safety monitoring </w:t>
      </w:r>
      <w:r w:rsidR="002A4418" w:rsidRPr="002A4418">
        <w:t>during the</w:t>
      </w:r>
      <w:r w:rsidR="003B70AC">
        <w:t>ir</w:t>
      </w:r>
      <w:r w:rsidR="002A4418" w:rsidRPr="002A4418">
        <w:t xml:space="preserve"> first four antibody infusions</w:t>
      </w:r>
      <w:r w:rsidR="002A4418">
        <w:t xml:space="preserve"> </w:t>
      </w:r>
      <w:r w:rsidR="003C70EF">
        <w:t xml:space="preserve">than did </w:t>
      </w:r>
      <w:r w:rsidR="003B70AC">
        <w:t xml:space="preserve">patients in </w:t>
      </w:r>
      <w:r w:rsidR="003C70EF">
        <w:t>p</w:t>
      </w:r>
      <w:r w:rsidR="003B70AC">
        <w:t xml:space="preserve">art B </w:t>
      </w:r>
      <w:r w:rsidR="002A4418">
        <w:t xml:space="preserve">(see Supplementary </w:t>
      </w:r>
      <w:r w:rsidR="0028374A">
        <w:t>M</w:t>
      </w:r>
      <w:r w:rsidR="002A4418">
        <w:t>aterials for more information)</w:t>
      </w:r>
      <w:r w:rsidR="002A4418" w:rsidRPr="002A4418">
        <w:t>.</w:t>
      </w:r>
    </w:p>
    <w:p w:rsidR="00B70848" w:rsidRPr="00B46AA7" w:rsidRDefault="00B70848">
      <w:pPr>
        <w:spacing w:line="360" w:lineRule="auto"/>
        <w:rPr>
          <w:color w:val="FF0000"/>
        </w:rPr>
      </w:pPr>
    </w:p>
    <w:p w:rsidR="00A72337" w:rsidRPr="00995212" w:rsidRDefault="00995212" w:rsidP="00FD4D14">
      <w:pPr>
        <w:spacing w:line="360" w:lineRule="auto"/>
        <w:outlineLvl w:val="0"/>
        <w:rPr>
          <w:b/>
        </w:rPr>
      </w:pPr>
      <w:r w:rsidRPr="00995212">
        <w:rPr>
          <w:b/>
        </w:rPr>
        <w:t>Outcomes</w:t>
      </w:r>
    </w:p>
    <w:p w:rsidR="00564E24" w:rsidRDefault="00995212">
      <w:pPr>
        <w:spacing w:line="360" w:lineRule="auto"/>
      </w:pPr>
      <w:r w:rsidRPr="005345A6">
        <w:t xml:space="preserve">The primary endpoint was a </w:t>
      </w:r>
      <w:r w:rsidR="00643780" w:rsidRPr="005345A6">
        <w:t>joint</w:t>
      </w:r>
      <w:r w:rsidR="00643780">
        <w:t>-</w:t>
      </w:r>
      <w:r w:rsidRPr="005345A6">
        <w:t>rank analysis of function (ALSFRS-R) and 48-week survival.</w:t>
      </w:r>
      <w:r>
        <w:t xml:space="preserve"> </w:t>
      </w:r>
      <w:r w:rsidR="007A70E9" w:rsidRPr="005345A6">
        <w:t xml:space="preserve">The </w:t>
      </w:r>
      <w:r w:rsidR="00927D3E" w:rsidRPr="005345A6">
        <w:t xml:space="preserve">ALSFRS-R </w:t>
      </w:r>
      <w:r w:rsidR="007A70E9" w:rsidRPr="005345A6">
        <w:t>questionnaire was administered at clinic visits but</w:t>
      </w:r>
      <w:r w:rsidR="009C78F8">
        <w:t>,</w:t>
      </w:r>
      <w:r w:rsidR="007A70E9" w:rsidRPr="005345A6">
        <w:t xml:space="preserve"> </w:t>
      </w:r>
      <w:r w:rsidR="005F3237">
        <w:t>for subjects not able to attend the clinic,</w:t>
      </w:r>
      <w:r w:rsidR="009C78F8">
        <w:t xml:space="preserve"> it </w:t>
      </w:r>
      <w:r w:rsidR="007A70E9" w:rsidRPr="005345A6">
        <w:t>could also be administered by telephone</w:t>
      </w:r>
      <w:r w:rsidR="00783EEE">
        <w:t>,</w:t>
      </w:r>
      <w:r w:rsidR="007A70E9" w:rsidRPr="005345A6">
        <w:t xml:space="preserve"> thus reducing risk of missing data and allowing collection </w:t>
      </w:r>
      <w:r w:rsidR="004661C0">
        <w:t xml:space="preserve">from </w:t>
      </w:r>
      <w:r w:rsidR="008E5A5D">
        <w:t>patients</w:t>
      </w:r>
      <w:r w:rsidR="007A70E9" w:rsidRPr="005345A6">
        <w:t xml:space="preserve"> withdrawn from study treatment but not withdrawing consent.</w:t>
      </w:r>
      <w:r w:rsidR="00564E24">
        <w:t xml:space="preserve"> </w:t>
      </w:r>
    </w:p>
    <w:p w:rsidR="00721E35" w:rsidRDefault="008A1593" w:rsidP="00957CCA">
      <w:pPr>
        <w:tabs>
          <w:tab w:val="left" w:pos="1134"/>
        </w:tabs>
        <w:spacing w:line="360" w:lineRule="auto"/>
      </w:pPr>
      <w:r>
        <w:t>Secondary endpoints included</w:t>
      </w:r>
      <w:r w:rsidR="007A0608">
        <w:t>:</w:t>
      </w:r>
      <w:r w:rsidR="0005484C">
        <w:t xml:space="preserve"> </w:t>
      </w:r>
      <w:r w:rsidR="00A57B30" w:rsidRPr="005345A6">
        <w:t>c</w:t>
      </w:r>
      <w:r w:rsidR="00A2702E" w:rsidRPr="005345A6">
        <w:t xml:space="preserve">hange from baseline in </w:t>
      </w:r>
      <w:r w:rsidR="00AB2B02" w:rsidRPr="005345A6">
        <w:t>ALSFRS-R</w:t>
      </w:r>
      <w:r w:rsidR="00A2702E" w:rsidRPr="005345A6">
        <w:t xml:space="preserve"> total</w:t>
      </w:r>
      <w:r w:rsidR="0061481E">
        <w:rPr>
          <w:color w:val="FF0000"/>
        </w:rPr>
        <w:t xml:space="preserve"> </w:t>
      </w:r>
      <w:r w:rsidR="00A2702E" w:rsidRPr="005345A6">
        <w:t>score</w:t>
      </w:r>
      <w:r w:rsidR="00AB2B02" w:rsidRPr="005345A6">
        <w:t xml:space="preserve"> </w:t>
      </w:r>
      <w:r w:rsidR="00A2702E" w:rsidRPr="005345A6">
        <w:t xml:space="preserve">at </w:t>
      </w:r>
      <w:r w:rsidR="00783EEE">
        <w:t>w</w:t>
      </w:r>
      <w:r w:rsidR="00A2702E" w:rsidRPr="005345A6">
        <w:t>eek 48</w:t>
      </w:r>
      <w:r w:rsidR="00AC5413">
        <w:t xml:space="preserve">, </w:t>
      </w:r>
      <w:r w:rsidR="00A57B30" w:rsidRPr="005345A6">
        <w:t>r</w:t>
      </w:r>
      <w:r w:rsidR="00A2702E" w:rsidRPr="005345A6">
        <w:t>ate of decline in ALSFRS-R</w:t>
      </w:r>
      <w:r w:rsidR="00A57B30" w:rsidRPr="005345A6">
        <w:t xml:space="preserve"> total score at </w:t>
      </w:r>
      <w:r w:rsidR="00783EEE">
        <w:t>w</w:t>
      </w:r>
      <w:r w:rsidR="00A57B30" w:rsidRPr="005345A6">
        <w:t>eek 48</w:t>
      </w:r>
      <w:r w:rsidR="00494EFE">
        <w:t xml:space="preserve">; </w:t>
      </w:r>
      <w:r w:rsidR="00AC5413" w:rsidRPr="005E1ED9">
        <w:t xml:space="preserve">progression-free survival </w:t>
      </w:r>
      <w:r w:rsidR="00957CCA" w:rsidRPr="00957CCA">
        <w:t xml:space="preserve">(where progression is defined as at least </w:t>
      </w:r>
      <w:r w:rsidR="00957CCA">
        <w:t>a six</w:t>
      </w:r>
      <w:r w:rsidR="002A6B74">
        <w:t>-</w:t>
      </w:r>
      <w:r w:rsidR="00957CCA">
        <w:t>unit decrease on ALSFRS-R</w:t>
      </w:r>
      <w:r w:rsidR="00957CCA" w:rsidRPr="00957CCA">
        <w:t xml:space="preserve">) </w:t>
      </w:r>
      <w:r w:rsidR="00AC5413" w:rsidRPr="005E1ED9">
        <w:t>at week 48</w:t>
      </w:r>
      <w:r w:rsidR="00AC5413">
        <w:t xml:space="preserve">, </w:t>
      </w:r>
      <w:r w:rsidR="00AC5413" w:rsidRPr="005E1ED9">
        <w:t xml:space="preserve">overall survival at week 60, </w:t>
      </w:r>
      <w:r w:rsidR="00E40AB6" w:rsidRPr="005E1ED9">
        <w:t>Clinical Global Impression-Improvement Scale responders at week 48</w:t>
      </w:r>
      <w:r w:rsidR="00E40AB6">
        <w:t xml:space="preserve">, </w:t>
      </w:r>
      <w:r w:rsidR="00AB2B02" w:rsidRPr="005345A6">
        <w:t>respiratory function</w:t>
      </w:r>
      <w:r w:rsidR="00A57B30" w:rsidRPr="005345A6">
        <w:t xml:space="preserve"> (</w:t>
      </w:r>
      <w:r w:rsidR="00854A48">
        <w:t>SVC</w:t>
      </w:r>
      <w:r w:rsidR="00A57B30" w:rsidRPr="005345A6">
        <w:t>)</w:t>
      </w:r>
      <w:r w:rsidR="001F3A9F">
        <w:t xml:space="preserve"> at week 48</w:t>
      </w:r>
      <w:r w:rsidR="00494EFE">
        <w:t xml:space="preserve">; </w:t>
      </w:r>
      <w:r w:rsidR="00AB2B02" w:rsidRPr="005345A6">
        <w:t xml:space="preserve">muscle power </w:t>
      </w:r>
      <w:r w:rsidR="00854A48">
        <w:t>(</w:t>
      </w:r>
      <w:r w:rsidR="002C2176" w:rsidRPr="005345A6">
        <w:t>measured by hand held dynamometry</w:t>
      </w:r>
      <w:r w:rsidR="00854A48">
        <w:t>,</w:t>
      </w:r>
      <w:r w:rsidR="002C2176" w:rsidRPr="005345A6">
        <w:t xml:space="preserve"> HHD)</w:t>
      </w:r>
      <w:r w:rsidR="001F3A9F">
        <w:t xml:space="preserve"> at week 48</w:t>
      </w:r>
      <w:r w:rsidR="00494EFE">
        <w:t xml:space="preserve">; </w:t>
      </w:r>
      <w:r w:rsidR="00783EEE">
        <w:t xml:space="preserve">and </w:t>
      </w:r>
      <w:r w:rsidR="00DA55B0" w:rsidRPr="005345A6">
        <w:t xml:space="preserve">overall </w:t>
      </w:r>
      <w:r w:rsidR="00AB2B02" w:rsidRPr="005345A6">
        <w:t>survival</w:t>
      </w:r>
      <w:r w:rsidR="002C2176" w:rsidRPr="005345A6">
        <w:t xml:space="preserve"> at </w:t>
      </w:r>
      <w:r w:rsidR="00783EEE">
        <w:t>w</w:t>
      </w:r>
      <w:r w:rsidR="002C2176" w:rsidRPr="005345A6">
        <w:t>eek 48</w:t>
      </w:r>
      <w:r w:rsidR="00DD4A0E">
        <w:t>.</w:t>
      </w:r>
      <w:r w:rsidR="006477FF">
        <w:t xml:space="preserve"> </w:t>
      </w:r>
    </w:p>
    <w:p w:rsidR="00AB2B02" w:rsidRDefault="00F32DE4">
      <w:pPr>
        <w:spacing w:line="360" w:lineRule="auto"/>
      </w:pPr>
      <w:r>
        <w:t>Further secondary outcomes included: h</w:t>
      </w:r>
      <w:r w:rsidR="00AB2B02" w:rsidRPr="005345A6">
        <w:t>ealth outcomes</w:t>
      </w:r>
      <w:r>
        <w:t xml:space="preserve"> </w:t>
      </w:r>
      <w:r w:rsidR="00372084" w:rsidRPr="00D27ECE">
        <w:t xml:space="preserve">measured </w:t>
      </w:r>
      <w:r w:rsidR="00A33492" w:rsidRPr="00D27ECE">
        <w:t>up to week 48 based on</w:t>
      </w:r>
      <w:r w:rsidR="00372084" w:rsidRPr="00D27ECE">
        <w:t xml:space="preserve"> </w:t>
      </w:r>
      <w:r w:rsidR="00111360" w:rsidRPr="00D27ECE">
        <w:t xml:space="preserve">the EuroQol-Short Form </w:t>
      </w:r>
      <w:r w:rsidR="00EB2ADB" w:rsidRPr="00D27ECE">
        <w:t xml:space="preserve">5-level version </w:t>
      </w:r>
      <w:r w:rsidR="0093404C" w:rsidRPr="00D27ECE">
        <w:t>[</w:t>
      </w:r>
      <w:r w:rsidR="00372084" w:rsidRPr="00D27ECE">
        <w:t>EQ-5D-</w:t>
      </w:r>
      <w:r w:rsidR="00111360" w:rsidRPr="00D27ECE">
        <w:t>5</w:t>
      </w:r>
      <w:r w:rsidR="00372084" w:rsidRPr="00D27ECE">
        <w:t>L</w:t>
      </w:r>
      <w:r w:rsidR="0093404C" w:rsidRPr="00D27ECE">
        <w:t>]</w:t>
      </w:r>
      <w:r w:rsidR="00567E59" w:rsidRPr="00D27ECE">
        <w:t>, the</w:t>
      </w:r>
      <w:r w:rsidR="00372084" w:rsidRPr="00D27ECE">
        <w:t xml:space="preserve"> </w:t>
      </w:r>
      <w:r w:rsidR="00EB2ADB" w:rsidRPr="00D27ECE">
        <w:t xml:space="preserve">Amyotrophic Lateral Sclerosis Assessment Questionnaire </w:t>
      </w:r>
      <w:r w:rsidR="0093404C" w:rsidRPr="00D27ECE">
        <w:t>[</w:t>
      </w:r>
      <w:r w:rsidR="00372084" w:rsidRPr="00D27ECE">
        <w:t>ALSAQ-40</w:t>
      </w:r>
      <w:r w:rsidR="0093404C" w:rsidRPr="00D27ECE">
        <w:t>]</w:t>
      </w:r>
      <w:r w:rsidR="00AB2B02" w:rsidRPr="002A0275">
        <w:t>,</w:t>
      </w:r>
      <w:r w:rsidR="00AB2B02" w:rsidRPr="005345A6">
        <w:t xml:space="preserve"> safety, immunogenicity</w:t>
      </w:r>
      <w:r w:rsidR="004661C0">
        <w:t>,</w:t>
      </w:r>
      <w:r w:rsidR="00AB2B02" w:rsidRPr="005345A6">
        <w:t xml:space="preserve"> and </w:t>
      </w:r>
      <w:r w:rsidR="00AB2B02" w:rsidRPr="00BC65B0">
        <w:t xml:space="preserve">pharmacokinetics </w:t>
      </w:r>
      <w:r w:rsidR="003B64C4" w:rsidRPr="00BC65B0">
        <w:t>(PK)</w:t>
      </w:r>
      <w:r w:rsidR="00385F92">
        <w:t xml:space="preserve"> of </w:t>
      </w:r>
      <w:r w:rsidR="007F53EB">
        <w:t>ozanezumab</w:t>
      </w:r>
      <w:r w:rsidR="006952A1">
        <w:t xml:space="preserve"> and riluzole (to </w:t>
      </w:r>
      <w:r w:rsidR="00FB7732">
        <w:t>assess any</w:t>
      </w:r>
      <w:r w:rsidR="006952A1">
        <w:t xml:space="preserve"> PK interaction with ozanezumab)</w:t>
      </w:r>
      <w:r w:rsidR="0052573C">
        <w:t>. H</w:t>
      </w:r>
      <w:r w:rsidR="0052573C" w:rsidRPr="00D27ECE">
        <w:t>ealth resource utilisation and treatment satisfaction</w:t>
      </w:r>
      <w:r w:rsidR="0052573C">
        <w:t xml:space="preserve"> were exploratory outcomes</w:t>
      </w:r>
      <w:r w:rsidR="00AB2B02" w:rsidRPr="005345A6">
        <w:t>.</w:t>
      </w:r>
      <w:r w:rsidR="00F02AF4" w:rsidRPr="00F02AF4">
        <w:t xml:space="preserve"> </w:t>
      </w:r>
      <w:r w:rsidR="00F02AF4">
        <w:t>The key safety assessments were the monitoring of serious adverse events (SAEs), AEs, disease-related events (DREs)</w:t>
      </w:r>
      <w:r w:rsidR="00C016C2">
        <w:t xml:space="preserve">, </w:t>
      </w:r>
      <w:r w:rsidR="00F02AF4">
        <w:t xml:space="preserve">clinical laboratory tests, vital signs, </w:t>
      </w:r>
      <w:r w:rsidR="00C24C88">
        <w:t xml:space="preserve">and </w:t>
      </w:r>
      <w:r w:rsidR="00F02AF4">
        <w:t>e</w:t>
      </w:r>
      <w:r w:rsidR="00F02AF4" w:rsidRPr="00554136">
        <w:t>lectrocardiogram</w:t>
      </w:r>
      <w:r w:rsidR="00F02AF4">
        <w:t>s</w:t>
      </w:r>
      <w:r w:rsidR="00F02AF4" w:rsidRPr="00554136">
        <w:t xml:space="preserve"> </w:t>
      </w:r>
      <w:r w:rsidR="00F02AF4">
        <w:t xml:space="preserve">(ECGs). </w:t>
      </w:r>
      <w:r w:rsidR="00F02AF4" w:rsidRPr="00554136">
        <w:t>AE</w:t>
      </w:r>
      <w:r w:rsidR="00F02AF4">
        <w:t>s</w:t>
      </w:r>
      <w:r w:rsidR="00F02AF4" w:rsidRPr="00554136">
        <w:t xml:space="preserve"> and DREs were coded using the Medical Dictionary for Regulatory Activities coding system</w:t>
      </w:r>
      <w:r w:rsidR="00F02AF4">
        <w:t>.</w:t>
      </w:r>
    </w:p>
    <w:p w:rsidR="00FF1082" w:rsidRDefault="00FF1082" w:rsidP="00FF1082">
      <w:pPr>
        <w:spacing w:line="360" w:lineRule="auto"/>
      </w:pPr>
      <w:r w:rsidRPr="00C50468">
        <w:t xml:space="preserve">Patients who were withdrawn or who withdrew voluntarily from the study medication, but who did not withdraw consent to continue in the study, were encouraged to continue to provide ALSFRS-R and safety data to </w:t>
      </w:r>
      <w:r w:rsidR="00C24C88">
        <w:t>w</w:t>
      </w:r>
      <w:r w:rsidRPr="00C50468">
        <w:t xml:space="preserve">eek 48 via telephone contact, and </w:t>
      </w:r>
      <w:r w:rsidRPr="00C50468">
        <w:lastRenderedPageBreak/>
        <w:t xml:space="preserve">mortality was checked up to </w:t>
      </w:r>
      <w:r w:rsidR="00C24C88">
        <w:t>w</w:t>
      </w:r>
      <w:r w:rsidRPr="00C50468">
        <w:t>eek 60. They were also requested to return for a follow-up immunogenicity visit approximately 14 weeks after the last infusion.</w:t>
      </w:r>
    </w:p>
    <w:p w:rsidR="00A36E76" w:rsidRDefault="00A36E76">
      <w:pPr>
        <w:spacing w:line="360" w:lineRule="auto"/>
        <w:rPr>
          <w:b/>
        </w:rPr>
      </w:pPr>
    </w:p>
    <w:p w:rsidR="00AB2B02" w:rsidRPr="00494EFE" w:rsidRDefault="00512E8F" w:rsidP="00FD4D14">
      <w:pPr>
        <w:spacing w:line="360" w:lineRule="auto"/>
        <w:outlineLvl w:val="0"/>
        <w:rPr>
          <w:b/>
        </w:rPr>
      </w:pPr>
      <w:r w:rsidRPr="00494EFE">
        <w:rPr>
          <w:b/>
        </w:rPr>
        <w:t>Statistical analysis</w:t>
      </w:r>
    </w:p>
    <w:p w:rsidR="0010062B" w:rsidRDefault="002353BE">
      <w:pPr>
        <w:spacing w:line="360" w:lineRule="auto"/>
        <w:rPr>
          <w:noProof/>
          <w:vertAlign w:val="superscript"/>
        </w:rPr>
      </w:pPr>
      <w:r w:rsidRPr="00DD53E5">
        <w:t xml:space="preserve">The joint-rank analysis of function (ALSFRS-R) and 48-week survival was determined as follows: Briefly, each patient was assigned a summary score based on pairwise comparisons against all other patients in the study </w:t>
      </w:r>
      <w:r w:rsidR="00DD53E5">
        <w:t xml:space="preserve">at week 48 </w:t>
      </w:r>
      <w:r w:rsidRPr="00DD53E5">
        <w:t xml:space="preserve">(across both treatment groups). For each comparison, the patient scored +1 if they had a better outcome (higher functional score at the last common visit, or longer survival), 0 if there was no difference in outcome, or </w:t>
      </w:r>
      <w:r w:rsidR="0098646D">
        <w:t>–</w:t>
      </w:r>
      <w:r w:rsidRPr="00DD53E5">
        <w:t>1 if they had a worse outcome (lower functional score at the last common visit or shorter survival). Each patient's summary score was calculated based on the sum of each individual score. The mean total score of patients receiving ozanezumab was compared with that for patients receiving placebo. This analysis differs from the combined analysis of function and survival (CAFS), as used in the recent EMPOWER study</w:t>
      </w:r>
      <w:r w:rsidR="00EA460F" w:rsidRPr="00EA460F">
        <w:rPr>
          <w:vertAlign w:val="superscript"/>
        </w:rPr>
        <w:t>1</w:t>
      </w:r>
      <w:r w:rsidR="00697119">
        <w:rPr>
          <w:vertAlign w:val="superscript"/>
        </w:rPr>
        <w:t>7</w:t>
      </w:r>
      <w:r w:rsidR="00EA460F">
        <w:rPr>
          <w:vertAlign w:val="superscript"/>
        </w:rPr>
        <w:t xml:space="preserve"> </w:t>
      </w:r>
      <w:r w:rsidRPr="00037547">
        <w:t>in ALS (published after the current study had commenced), in which the joint rank score was ranked and then the mean rank was compared between groups.</w:t>
      </w:r>
      <w:r w:rsidRPr="00037547">
        <w:rPr>
          <w:noProof/>
          <w:vertAlign w:val="superscript"/>
        </w:rPr>
        <w:t>1</w:t>
      </w:r>
      <w:r w:rsidR="00697119">
        <w:rPr>
          <w:noProof/>
          <w:vertAlign w:val="superscript"/>
        </w:rPr>
        <w:t>7</w:t>
      </w:r>
      <w:r w:rsidR="00641146">
        <w:rPr>
          <w:noProof/>
          <w:vertAlign w:val="superscript"/>
        </w:rPr>
        <w:t>,18</w:t>
      </w:r>
      <w:r w:rsidR="00326640">
        <w:rPr>
          <w:noProof/>
          <w:vertAlign w:val="superscript"/>
        </w:rPr>
        <w:t xml:space="preserve"> </w:t>
      </w:r>
    </w:p>
    <w:p w:rsidR="00E475EB" w:rsidRDefault="00362D9F">
      <w:pPr>
        <w:spacing w:line="360" w:lineRule="auto"/>
      </w:pPr>
      <w:r>
        <w:t xml:space="preserve">A sample size of 147 </w:t>
      </w:r>
      <w:r w:rsidR="00B25BF6">
        <w:t>patient</w:t>
      </w:r>
      <w:r>
        <w:t>s per arm was estimated to provide approximately 86% power to detect a significant statistical difference in the primary endpoint between treatment arms</w:t>
      </w:r>
      <w:r w:rsidR="00491400">
        <w:t xml:space="preserve"> using a two-sided alpha of 5%</w:t>
      </w:r>
      <w:r w:rsidR="0035616B" w:rsidRPr="00491400">
        <w:t>, with 80% power to detec</w:t>
      </w:r>
      <w:r w:rsidR="0035616B" w:rsidRPr="0035616B">
        <w:t>t a 30% improvement in the rate of decline in ALSFRS-R and 31% power to detect a 5% improvement in survival</w:t>
      </w:r>
      <w:r>
        <w:t xml:space="preserve">. </w:t>
      </w:r>
      <w:r w:rsidRPr="005A3506">
        <w:t xml:space="preserve">These estimates </w:t>
      </w:r>
      <w:r w:rsidR="009C629B" w:rsidRPr="00ED47AD">
        <w:t xml:space="preserve">are based on the following assumptions: the mean weekly rate of decline in ALSFRS-R </w:t>
      </w:r>
      <w:r w:rsidR="00302288">
        <w:t>with</w:t>
      </w:r>
      <w:r w:rsidR="009C629B" w:rsidRPr="00ED47AD">
        <w:t xml:space="preserve"> placebo is 0</w:t>
      </w:r>
      <w:r w:rsidR="00D055B0">
        <w:rPr>
          <w:rStyle w:val="st"/>
        </w:rPr>
        <w:t>·</w:t>
      </w:r>
      <w:r w:rsidR="009C629B" w:rsidRPr="00ED47AD">
        <w:t>235</w:t>
      </w:r>
      <w:r w:rsidR="00665F08">
        <w:t xml:space="preserve"> </w:t>
      </w:r>
      <w:r w:rsidR="002A797A">
        <w:t>and with ozanezumab is 0</w:t>
      </w:r>
      <w:r w:rsidR="002A797A">
        <w:rPr>
          <w:rStyle w:val="st"/>
        </w:rPr>
        <w:t>·</w:t>
      </w:r>
      <w:r w:rsidR="002A797A">
        <w:t>165</w:t>
      </w:r>
      <w:r w:rsidR="009C629B" w:rsidRPr="00ED47AD">
        <w:t>; the weekly rate of decline in ALSFRS-R has a variance of 0</w:t>
      </w:r>
      <w:r w:rsidR="00D055B0">
        <w:rPr>
          <w:rStyle w:val="st"/>
        </w:rPr>
        <w:t>·</w:t>
      </w:r>
      <w:r w:rsidR="009C629B" w:rsidRPr="00ED47AD">
        <w:t>044 in both the placebo and ozanezumab arms; the within</w:t>
      </w:r>
      <w:r w:rsidR="00A77636">
        <w:t>-</w:t>
      </w:r>
      <w:r w:rsidR="009C629B" w:rsidRPr="00ED47AD">
        <w:t>subject change from baseline variance is 4</w:t>
      </w:r>
      <w:r w:rsidR="004A5859">
        <w:t>; overall survival follows an exponential distribution in both arms, the 48</w:t>
      </w:r>
      <w:r w:rsidR="00BC5323">
        <w:t>-</w:t>
      </w:r>
      <w:r w:rsidR="004A5859">
        <w:t xml:space="preserve">week mortality </w:t>
      </w:r>
      <w:r w:rsidR="00302288">
        <w:t>with</w:t>
      </w:r>
      <w:r w:rsidR="004A5859">
        <w:t xml:space="preserve"> placebo is 10%</w:t>
      </w:r>
      <w:r w:rsidR="008C4329">
        <w:t>,</w:t>
      </w:r>
      <w:r w:rsidR="004A5859">
        <w:t xml:space="preserve"> and the </w:t>
      </w:r>
      <w:r w:rsidR="000869F4">
        <w:t xml:space="preserve">absolute </w:t>
      </w:r>
      <w:r w:rsidR="004A5859">
        <w:t xml:space="preserve">reduction in mortality </w:t>
      </w:r>
      <w:r w:rsidR="00302288">
        <w:t>with</w:t>
      </w:r>
      <w:r w:rsidR="004A5859">
        <w:t xml:space="preserve"> ozanezumab is 5%; the dropout rate (not due to death) of the ALSFRS-R is 20% in both arms; </w:t>
      </w:r>
      <w:r w:rsidR="008C4329">
        <w:t xml:space="preserve">and </w:t>
      </w:r>
      <w:r w:rsidR="004A5859">
        <w:t>the correlation between ALSFRS-R and overall survival for each subject is zero</w:t>
      </w:r>
      <w:r w:rsidR="009C629B" w:rsidRPr="00ED47AD">
        <w:t>.</w:t>
      </w:r>
      <w:r w:rsidR="00E475EB">
        <w:t xml:space="preserve"> </w:t>
      </w:r>
      <w:r w:rsidR="0079059F">
        <w:t>R</w:t>
      </w:r>
      <w:r w:rsidR="0079059F" w:rsidRPr="005345A6">
        <w:t xml:space="preserve">efinements made to </w:t>
      </w:r>
      <w:r w:rsidR="0079059F">
        <w:t xml:space="preserve">power calculations as part of </w:t>
      </w:r>
      <w:r w:rsidR="00E475EB">
        <w:t xml:space="preserve">the protocol amendment </w:t>
      </w:r>
      <w:r w:rsidR="0079059F">
        <w:t xml:space="preserve">indicated a slightly increased </w:t>
      </w:r>
      <w:r w:rsidR="0079059F">
        <w:lastRenderedPageBreak/>
        <w:t>power (</w:t>
      </w:r>
      <w:r w:rsidR="00AF27BB">
        <w:t>although the power was</w:t>
      </w:r>
      <w:r w:rsidR="0079059F">
        <w:t xml:space="preserve"> still </w:t>
      </w:r>
      <w:r w:rsidR="00D00566">
        <w:t>with</w:t>
      </w:r>
      <w:r w:rsidR="0079059F">
        <w:t xml:space="preserve">in the </w:t>
      </w:r>
      <w:r w:rsidR="00D00566">
        <w:t>range</w:t>
      </w:r>
      <w:r w:rsidR="0079059F">
        <w:t xml:space="preserve"> of 80</w:t>
      </w:r>
      <w:r w:rsidR="008C4329">
        <w:t>%</w:t>
      </w:r>
      <w:r w:rsidR="0079059F">
        <w:t>–90%)</w:t>
      </w:r>
      <w:r w:rsidR="00D00566">
        <w:t xml:space="preserve"> and no change in the sample size. </w:t>
      </w:r>
    </w:p>
    <w:p w:rsidR="00362D9F" w:rsidRDefault="002D7D9C">
      <w:pPr>
        <w:spacing w:line="360" w:lineRule="auto"/>
      </w:pPr>
      <w:r>
        <w:t xml:space="preserve">The </w:t>
      </w:r>
      <w:r w:rsidR="00A77636">
        <w:t>modified</w:t>
      </w:r>
      <w:r w:rsidR="007A1319">
        <w:t xml:space="preserve"> </w:t>
      </w:r>
      <w:r>
        <w:t xml:space="preserve">intent-to-treat (ITT) population, used for efficacy analyses, comprised all randomised </w:t>
      </w:r>
      <w:r w:rsidR="00B25BF6">
        <w:t>patient</w:t>
      </w:r>
      <w:r>
        <w:t>s who received at least one dose of study drug</w:t>
      </w:r>
      <w:r w:rsidR="00FC409A">
        <w:t xml:space="preserve">. </w:t>
      </w:r>
      <w:r w:rsidR="00DC7D64">
        <w:t xml:space="preserve">The safety population, used for the analysis of safety data, comprised all randomised patients who received at least one dose of study drug. </w:t>
      </w:r>
      <w:r>
        <w:t xml:space="preserve">The </w:t>
      </w:r>
      <w:r w:rsidRPr="002D7D9C">
        <w:t xml:space="preserve">PK </w:t>
      </w:r>
      <w:r>
        <w:t>o</w:t>
      </w:r>
      <w:r w:rsidRPr="002D7D9C">
        <w:t xml:space="preserve">zanezumab concentration population consisted of all patients in the </w:t>
      </w:r>
      <w:r w:rsidR="00A77636">
        <w:t>modified</w:t>
      </w:r>
      <w:r w:rsidR="00CB26E6">
        <w:rPr>
          <w:color w:val="FF0000"/>
        </w:rPr>
        <w:t xml:space="preserve"> </w:t>
      </w:r>
      <w:r w:rsidRPr="002D7D9C">
        <w:t>ITT population who received at least one dose of ozanezumab, and from whom at least one plasma sample was analysed for ozanezumab</w:t>
      </w:r>
      <w:r>
        <w:t xml:space="preserve">. The </w:t>
      </w:r>
      <w:r w:rsidRPr="002D7D9C">
        <w:t xml:space="preserve">PK </w:t>
      </w:r>
      <w:r>
        <w:t>r</w:t>
      </w:r>
      <w:r w:rsidRPr="002D7D9C">
        <w:t>iluzole</w:t>
      </w:r>
      <w:r w:rsidR="006952A1">
        <w:t xml:space="preserve"> </w:t>
      </w:r>
      <w:r w:rsidRPr="002D7D9C">
        <w:t>concentration population consisted of all patients in the ITT population who took at least one dose of riluzole during the study, and from whom at least one plasma sample was analysed for riluzole.</w:t>
      </w:r>
      <w:r>
        <w:t xml:space="preserve"> </w:t>
      </w:r>
    </w:p>
    <w:p w:rsidR="002D7D9C" w:rsidRDefault="00225E0F">
      <w:pPr>
        <w:spacing w:line="360" w:lineRule="auto"/>
      </w:pPr>
      <w:r>
        <w:t>A</w:t>
      </w:r>
      <w:r w:rsidR="002D7D9C">
        <w:t>nalysis</w:t>
      </w:r>
      <w:r w:rsidR="00EA2008">
        <w:t xml:space="preserve"> </w:t>
      </w:r>
      <w:r>
        <w:t xml:space="preserve">of the primary </w:t>
      </w:r>
      <w:r w:rsidR="00DC64D7">
        <w:t>endpoint</w:t>
      </w:r>
      <w:r w:rsidR="0005484C">
        <w:t xml:space="preserve"> </w:t>
      </w:r>
      <w:r w:rsidR="002D7D9C">
        <w:t xml:space="preserve">used on-treatment data (defined as data collected up to 21 days after the patient's last infusion) for the ITT population. Additional, separate </w:t>
      </w:r>
      <w:r w:rsidR="000E00F6">
        <w:t xml:space="preserve">pre-specified </w:t>
      </w:r>
      <w:r w:rsidR="002D7D9C">
        <w:t>analyses</w:t>
      </w:r>
      <w:r w:rsidR="00B57E68">
        <w:t xml:space="preserve"> </w:t>
      </w:r>
      <w:r w:rsidR="002D7D9C">
        <w:t>of joint-rank scores, ALSFRS-R data</w:t>
      </w:r>
      <w:r w:rsidR="00A77636">
        <w:t>,</w:t>
      </w:r>
      <w:r w:rsidR="002D7D9C">
        <w:t xml:space="preserve"> and survival data were conducted</w:t>
      </w:r>
      <w:r w:rsidR="002D4681">
        <w:t>,</w:t>
      </w:r>
      <w:r w:rsidR="002D7D9C">
        <w:t xml:space="preserve"> </w:t>
      </w:r>
      <w:r w:rsidR="00802FEF">
        <w:t xml:space="preserve">including </w:t>
      </w:r>
      <w:r w:rsidR="002D7D9C">
        <w:t>retrieved follow-up data (</w:t>
      </w:r>
      <w:r w:rsidR="00802FEF" w:rsidRPr="00802FEF">
        <w:t>where retrieved follow</w:t>
      </w:r>
      <w:r w:rsidR="00E2623E">
        <w:t>-</w:t>
      </w:r>
      <w:r w:rsidR="00802FEF" w:rsidRPr="00802FEF">
        <w:t xml:space="preserve">up data are defined as </w:t>
      </w:r>
      <w:r w:rsidR="002D7D9C">
        <w:t>data collected more than 21 days after the patient's last infusion</w:t>
      </w:r>
      <w:r w:rsidR="00802FEF">
        <w:t>, typically by telephone</w:t>
      </w:r>
      <w:r w:rsidR="002D7D9C">
        <w:t xml:space="preserve">). </w:t>
      </w:r>
      <w:r w:rsidR="008C5B37">
        <w:t>Data were adjusted for baseline ALSFRS-R total score, riluzole use, country group</w:t>
      </w:r>
      <w:r w:rsidR="00A77636">
        <w:t>,</w:t>
      </w:r>
      <w:r w:rsidR="008C5B37">
        <w:t xml:space="preserve"> and treatment. </w:t>
      </w:r>
      <w:r w:rsidR="0088000B">
        <w:t xml:space="preserve">AEs, SAEs, ECG, vital signs, and clinical laboratory evaluations (haematology and biochemistry) were monitored and assessed. </w:t>
      </w:r>
      <w:r w:rsidR="00BF137E">
        <w:t xml:space="preserve">Values for clinical laboratory evaluations were compared with both the appropriate normal ranges and ranges of potential clinical concern. </w:t>
      </w:r>
      <w:r w:rsidR="005D4153">
        <w:t xml:space="preserve">Any abnormal test result or other safety assessment judged by the investigator to be clinically significant was recorded as an AE or SAE. </w:t>
      </w:r>
      <w:r w:rsidR="00BF137E">
        <w:t>Other safety measures included: primary cause of death; use of respiratory support (invasive or non-invasive); occurrence of tracheostomies and gastrostomies; assessment of suicidal ideation and behaviour (measured by the Columbia-Suicide Severity Rating Scale) and possible suicidality-related AEs; neurological examination</w:t>
      </w:r>
      <w:r w:rsidR="00110332">
        <w:t>;</w:t>
      </w:r>
      <w:r w:rsidR="00BF137E">
        <w:t xml:space="preserve"> and immunogenicity.</w:t>
      </w:r>
    </w:p>
    <w:p w:rsidR="00D2636B" w:rsidRDefault="00681C8E">
      <w:pPr>
        <w:spacing w:line="360" w:lineRule="auto"/>
      </w:pPr>
      <w:r w:rsidRPr="00681C8E">
        <w:t xml:space="preserve">An </w:t>
      </w:r>
      <w:r>
        <w:t>ind</w:t>
      </w:r>
      <w:r w:rsidR="000274EF">
        <w:t>e</w:t>
      </w:r>
      <w:r>
        <w:t>pendent data</w:t>
      </w:r>
      <w:r w:rsidR="00110332">
        <w:t>-</w:t>
      </w:r>
      <w:r>
        <w:t>monitoring committee</w:t>
      </w:r>
      <w:r w:rsidR="002B5D4E">
        <w:t xml:space="preserve"> (IDMC)</w:t>
      </w:r>
      <w:r w:rsidRPr="00681C8E">
        <w:t xml:space="preserve"> review</w:t>
      </w:r>
      <w:r>
        <w:t>ed</w:t>
      </w:r>
      <w:r w:rsidRPr="00681C8E">
        <w:t xml:space="preserve"> </w:t>
      </w:r>
      <w:r w:rsidR="00F16ED9">
        <w:t>unblinded safety data</w:t>
      </w:r>
      <w:r w:rsidR="00110332">
        <w:t>,</w:t>
      </w:r>
      <w:r w:rsidR="00F16ED9">
        <w:t xml:space="preserve"> including </w:t>
      </w:r>
      <w:r w:rsidR="00265F94">
        <w:t xml:space="preserve">AEs, </w:t>
      </w:r>
      <w:r w:rsidR="00643780" w:rsidRPr="00681C8E">
        <w:t xml:space="preserve">laboratory </w:t>
      </w:r>
      <w:r w:rsidRPr="00681C8E">
        <w:t>results, ECGs</w:t>
      </w:r>
      <w:r w:rsidR="00110332">
        <w:t>,</w:t>
      </w:r>
      <w:r w:rsidRPr="00681C8E">
        <w:t xml:space="preserve"> and other safety assessments at regular intervals throughout the study</w:t>
      </w:r>
      <w:r>
        <w:t xml:space="preserve">. </w:t>
      </w:r>
    </w:p>
    <w:p w:rsidR="009507C8" w:rsidRDefault="009507C8">
      <w:pPr>
        <w:spacing w:line="360" w:lineRule="auto"/>
      </w:pPr>
      <w:r w:rsidRPr="00F345BB">
        <w:lastRenderedPageBreak/>
        <w:t>This study is registered at clinicaltrials.gov/ (NCT01753076) and at http://www.gsk-clinicalstudyregister.com (GSK ID 112264).</w:t>
      </w:r>
    </w:p>
    <w:p w:rsidR="00D127D2" w:rsidRDefault="00D127D2">
      <w:pPr>
        <w:spacing w:line="360" w:lineRule="auto"/>
        <w:rPr>
          <w:b/>
        </w:rPr>
      </w:pPr>
    </w:p>
    <w:p w:rsidR="00B70848" w:rsidRDefault="00B70848" w:rsidP="00FD4D14">
      <w:pPr>
        <w:spacing w:line="360" w:lineRule="auto"/>
        <w:outlineLvl w:val="0"/>
        <w:rPr>
          <w:b/>
        </w:rPr>
      </w:pPr>
    </w:p>
    <w:p w:rsidR="00D2636B" w:rsidRPr="00D2636B" w:rsidRDefault="00D2636B" w:rsidP="00FD4D14">
      <w:pPr>
        <w:spacing w:line="360" w:lineRule="auto"/>
        <w:outlineLvl w:val="0"/>
        <w:rPr>
          <w:b/>
        </w:rPr>
      </w:pPr>
      <w:r w:rsidRPr="00D2636B">
        <w:rPr>
          <w:b/>
        </w:rPr>
        <w:t>Role of the funding source</w:t>
      </w:r>
    </w:p>
    <w:p w:rsidR="00316289" w:rsidRPr="00681C8E" w:rsidRDefault="00CB57F7">
      <w:pPr>
        <w:spacing w:line="360" w:lineRule="auto"/>
      </w:pPr>
      <w:r>
        <w:t xml:space="preserve">The </w:t>
      </w:r>
      <w:r w:rsidR="00E033F7">
        <w:t>funder</w:t>
      </w:r>
      <w:r w:rsidR="004E0A66">
        <w:t>’</w:t>
      </w:r>
      <w:r w:rsidR="00E033F7">
        <w:t xml:space="preserve">s </w:t>
      </w:r>
      <w:r w:rsidR="001F7826">
        <w:t>role included</w:t>
      </w:r>
      <w:r w:rsidR="0005484C">
        <w:t xml:space="preserve"> </w:t>
      </w:r>
      <w:r w:rsidR="001F7826">
        <w:t xml:space="preserve">study concept and design, funding of participating </w:t>
      </w:r>
      <w:r w:rsidR="0010003F">
        <w:t>centres</w:t>
      </w:r>
      <w:r w:rsidR="001F7826">
        <w:t xml:space="preserve">, analysis of data, </w:t>
      </w:r>
      <w:r w:rsidR="0085603A">
        <w:t xml:space="preserve">and </w:t>
      </w:r>
      <w:r w:rsidR="001F7826">
        <w:t xml:space="preserve">development of the final report and manuscript. The corresponding author had full access to all the data in the study and had final responsibility for the decision to submit for publication. </w:t>
      </w:r>
    </w:p>
    <w:p w:rsidR="00B70848" w:rsidRDefault="00B70848" w:rsidP="00F91BAD">
      <w:pPr>
        <w:spacing w:line="360" w:lineRule="auto"/>
        <w:rPr>
          <w:b/>
        </w:rPr>
      </w:pPr>
    </w:p>
    <w:p w:rsidR="00F02294" w:rsidRPr="005345A6" w:rsidRDefault="002B0398" w:rsidP="00FD4D14">
      <w:pPr>
        <w:spacing w:line="360" w:lineRule="auto"/>
        <w:outlineLvl w:val="0"/>
        <w:rPr>
          <w:b/>
        </w:rPr>
      </w:pPr>
      <w:r w:rsidRPr="005345A6">
        <w:rPr>
          <w:b/>
        </w:rPr>
        <w:t xml:space="preserve">RESULTS </w:t>
      </w:r>
    </w:p>
    <w:p w:rsidR="00C11381" w:rsidRDefault="00EB23BB">
      <w:pPr>
        <w:spacing w:line="360" w:lineRule="auto"/>
        <w:rPr>
          <w:szCs w:val="22"/>
        </w:rPr>
      </w:pPr>
      <w:r>
        <w:t xml:space="preserve">The first </w:t>
      </w:r>
      <w:r w:rsidR="00B25BF6">
        <w:t>patient</w:t>
      </w:r>
      <w:r>
        <w:t xml:space="preserve"> was enrolled into the study on </w:t>
      </w:r>
      <w:r w:rsidRPr="005345A6">
        <w:t>Dec</w:t>
      </w:r>
      <w:r w:rsidR="00CA64E0">
        <w:t xml:space="preserve"> 20</w:t>
      </w:r>
      <w:r w:rsidR="001343BD">
        <w:t>,</w:t>
      </w:r>
      <w:r w:rsidRPr="005345A6">
        <w:t xml:space="preserve"> 2012</w:t>
      </w:r>
      <w:r w:rsidR="001343BD">
        <w:t>,</w:t>
      </w:r>
      <w:r w:rsidRPr="005345A6">
        <w:t xml:space="preserve"> and </w:t>
      </w:r>
      <w:r>
        <w:t xml:space="preserve">the last </w:t>
      </w:r>
      <w:r w:rsidR="00B25BF6">
        <w:t>patient</w:t>
      </w:r>
      <w:r>
        <w:t xml:space="preserve"> visit was on </w:t>
      </w:r>
      <w:r w:rsidRPr="005345A6">
        <w:t>Jan</w:t>
      </w:r>
      <w:r w:rsidR="00CA64E0">
        <w:t xml:space="preserve"> 22</w:t>
      </w:r>
      <w:r w:rsidR="001343BD">
        <w:t>,</w:t>
      </w:r>
      <w:r w:rsidRPr="005345A6">
        <w:t xml:space="preserve"> 2015</w:t>
      </w:r>
      <w:r>
        <w:t xml:space="preserve">. A total of </w:t>
      </w:r>
      <w:r w:rsidR="00C11381">
        <w:t xml:space="preserve">303 </w:t>
      </w:r>
      <w:r w:rsidR="00B25BF6">
        <w:t>patient</w:t>
      </w:r>
      <w:r w:rsidR="00C11381">
        <w:t>s were rand</w:t>
      </w:r>
      <w:r w:rsidR="00BA2AF6">
        <w:t>omised and received study drug</w:t>
      </w:r>
      <w:r w:rsidR="00E130BD">
        <w:t>—</w:t>
      </w:r>
      <w:r w:rsidR="00BA2AF6">
        <w:t>the</w:t>
      </w:r>
      <w:r>
        <w:t>se</w:t>
      </w:r>
      <w:r w:rsidR="00BA2AF6">
        <w:t xml:space="preserve"> </w:t>
      </w:r>
      <w:r w:rsidR="00B25BF6">
        <w:t>patient</w:t>
      </w:r>
      <w:r w:rsidR="00BA2AF6">
        <w:t xml:space="preserve">s constituted </w:t>
      </w:r>
      <w:r w:rsidR="00196273">
        <w:t xml:space="preserve">both </w:t>
      </w:r>
      <w:r w:rsidR="00BA2AF6">
        <w:t xml:space="preserve">the ITT </w:t>
      </w:r>
      <w:r w:rsidR="00196273">
        <w:t xml:space="preserve">and safety </w:t>
      </w:r>
      <w:r w:rsidR="00BA2AF6">
        <w:t>population</w:t>
      </w:r>
      <w:r w:rsidR="00196273">
        <w:t>s</w:t>
      </w:r>
      <w:r w:rsidR="00BA2AF6">
        <w:t xml:space="preserve">. </w:t>
      </w:r>
      <w:r w:rsidR="00B25BF6">
        <w:t xml:space="preserve">Overall, </w:t>
      </w:r>
      <w:r w:rsidR="005D4153">
        <w:t xml:space="preserve">216 </w:t>
      </w:r>
      <w:r w:rsidR="00B25BF6">
        <w:t>patient</w:t>
      </w:r>
      <w:r w:rsidR="00BA2AF6">
        <w:t xml:space="preserve">s </w:t>
      </w:r>
      <w:r w:rsidR="00C11381">
        <w:t xml:space="preserve">completed the </w:t>
      </w:r>
      <w:r w:rsidR="00CD5201">
        <w:t>study (defined as completion of</w:t>
      </w:r>
      <w:r w:rsidR="00C11381">
        <w:t xml:space="preserve"> the follow-up visit 14 weeks after the last dose, and </w:t>
      </w:r>
      <w:r w:rsidR="00CD5201">
        <w:t>provision of</w:t>
      </w:r>
      <w:r w:rsidR="00C11381">
        <w:t xml:space="preserve"> data </w:t>
      </w:r>
      <w:r w:rsidR="00CA64E0">
        <w:t xml:space="preserve">for </w:t>
      </w:r>
      <w:r w:rsidR="00C11381">
        <w:t>≥60 weeks after baseline</w:t>
      </w:r>
      <w:r w:rsidR="00CD5201">
        <w:t>)</w:t>
      </w:r>
      <w:r w:rsidR="00C11381">
        <w:t xml:space="preserve">. A summary of </w:t>
      </w:r>
      <w:r w:rsidR="00B25BF6">
        <w:t>patient</w:t>
      </w:r>
      <w:r w:rsidR="00C11381">
        <w:t xml:space="preserve"> disposition is presented in </w:t>
      </w:r>
      <w:r w:rsidR="00C11381" w:rsidRPr="00CD5201">
        <w:rPr>
          <w:b/>
        </w:rPr>
        <w:t>Figure</w:t>
      </w:r>
      <w:r w:rsidR="00CA64E0">
        <w:rPr>
          <w:b/>
        </w:rPr>
        <w:t xml:space="preserve"> </w:t>
      </w:r>
      <w:r w:rsidR="00C11381" w:rsidRPr="00CD5201">
        <w:rPr>
          <w:b/>
        </w:rPr>
        <w:t>1</w:t>
      </w:r>
      <w:r w:rsidR="00C11381">
        <w:t xml:space="preserve">. </w:t>
      </w:r>
      <w:r w:rsidR="004B2A8E">
        <w:t>Patient demographics and baseline characteristics were well</w:t>
      </w:r>
      <w:r w:rsidR="001343BD">
        <w:t xml:space="preserve"> </w:t>
      </w:r>
      <w:r w:rsidR="004B2A8E">
        <w:t>balanced between the two treatment arms</w:t>
      </w:r>
      <w:r w:rsidR="00E05954">
        <w:t xml:space="preserve"> (</w:t>
      </w:r>
      <w:r w:rsidR="00E05954" w:rsidRPr="00742261">
        <w:rPr>
          <w:b/>
        </w:rPr>
        <w:t>Table 1</w:t>
      </w:r>
      <w:r w:rsidR="00E05954">
        <w:t>)</w:t>
      </w:r>
      <w:r w:rsidR="004B2A8E">
        <w:t xml:space="preserve">. </w:t>
      </w:r>
    </w:p>
    <w:p w:rsidR="00B14BEF" w:rsidRDefault="00AE0019">
      <w:pPr>
        <w:spacing w:line="360" w:lineRule="auto"/>
      </w:pPr>
      <w:r>
        <w:t xml:space="preserve">Analysis of the </w:t>
      </w:r>
      <w:r w:rsidRPr="005345A6">
        <w:t xml:space="preserve">primary </w:t>
      </w:r>
      <w:r>
        <w:t>endpoint</w:t>
      </w:r>
      <w:r w:rsidRPr="005345A6">
        <w:t xml:space="preserve"> indicated a non-significant difference in </w:t>
      </w:r>
      <w:r w:rsidR="002B5D4E" w:rsidRPr="005345A6">
        <w:t>joint</w:t>
      </w:r>
      <w:r w:rsidR="002B5D4E">
        <w:t>-</w:t>
      </w:r>
      <w:r w:rsidRPr="005345A6">
        <w:t>rank score in favour of placebo</w:t>
      </w:r>
      <w:r w:rsidR="00585514">
        <w:t>, with a difference in least square</w:t>
      </w:r>
      <w:r w:rsidR="001343BD">
        <w:t>s</w:t>
      </w:r>
      <w:r w:rsidR="00585514">
        <w:t xml:space="preserve"> means (ozanezumab minus placebo) of </w:t>
      </w:r>
      <w:r w:rsidR="0085603A">
        <w:t>–</w:t>
      </w:r>
      <w:r w:rsidR="00585514">
        <w:t>30</w:t>
      </w:r>
      <w:r w:rsidR="00DF3A03" w:rsidRPr="00D055B0">
        <w:t>·</w:t>
      </w:r>
      <w:r w:rsidR="00585514">
        <w:t xml:space="preserve">0 (95% CI </w:t>
      </w:r>
      <w:r w:rsidR="0085603A">
        <w:t>–</w:t>
      </w:r>
      <w:r w:rsidR="00585514">
        <w:t>67</w:t>
      </w:r>
      <w:r w:rsidR="00DF3A03" w:rsidRPr="00D055B0">
        <w:t>·</w:t>
      </w:r>
      <w:r w:rsidR="00585514">
        <w:t>9</w:t>
      </w:r>
      <w:r w:rsidR="0073479E">
        <w:t xml:space="preserve"> to</w:t>
      </w:r>
      <w:r w:rsidR="00585514">
        <w:t xml:space="preserve"> 7</w:t>
      </w:r>
      <w:r w:rsidR="00DF3A03" w:rsidRPr="00D055B0">
        <w:t>·</w:t>
      </w:r>
      <w:r w:rsidR="00585514">
        <w:t>9; p=0</w:t>
      </w:r>
      <w:r w:rsidR="00DF3A03" w:rsidRPr="00D055B0">
        <w:t>·</w:t>
      </w:r>
      <w:r w:rsidR="00585514">
        <w:t xml:space="preserve">120) </w:t>
      </w:r>
      <w:r w:rsidRPr="005345A6">
        <w:t>(</w:t>
      </w:r>
      <w:r w:rsidRPr="005345A6">
        <w:rPr>
          <w:b/>
        </w:rPr>
        <w:t>Table 2</w:t>
      </w:r>
      <w:r w:rsidRPr="005345A6">
        <w:t>).</w:t>
      </w:r>
      <w:r>
        <w:t xml:space="preserve"> </w:t>
      </w:r>
    </w:p>
    <w:p w:rsidR="00804815" w:rsidRDefault="00AE0019">
      <w:pPr>
        <w:spacing w:line="360" w:lineRule="auto"/>
      </w:pPr>
      <w:r w:rsidRPr="007323AC">
        <w:t xml:space="preserve">All secondary efficacy endpoints supported </w:t>
      </w:r>
      <w:r w:rsidR="003A09BF">
        <w:t>the primary endpoint</w:t>
      </w:r>
      <w:r w:rsidR="001D6AD8">
        <w:t>,</w:t>
      </w:r>
      <w:r w:rsidRPr="007323AC">
        <w:t xml:space="preserve"> showing a </w:t>
      </w:r>
      <w:r w:rsidR="00A064E0">
        <w:t xml:space="preserve">small, </w:t>
      </w:r>
      <w:r w:rsidRPr="007323AC">
        <w:t>non-significant difference in favour of placebo (</w:t>
      </w:r>
      <w:r w:rsidRPr="007323AC">
        <w:rPr>
          <w:b/>
        </w:rPr>
        <w:t>Table 2</w:t>
      </w:r>
      <w:r w:rsidR="00281D2E">
        <w:rPr>
          <w:b/>
        </w:rPr>
        <w:t>, Table S1</w:t>
      </w:r>
      <w:r w:rsidRPr="007323AC">
        <w:t>)</w:t>
      </w:r>
      <w:r>
        <w:t>.</w:t>
      </w:r>
      <w:r w:rsidRPr="005345A6">
        <w:t xml:space="preserve">The </w:t>
      </w:r>
      <w:r w:rsidR="00743EB9">
        <w:t xml:space="preserve">adjusted mean </w:t>
      </w:r>
      <w:r w:rsidRPr="005345A6">
        <w:t>difference</w:t>
      </w:r>
      <w:r w:rsidRPr="004C3E6E">
        <w:rPr>
          <w:color w:val="FF0000"/>
        </w:rPr>
        <w:t xml:space="preserve"> </w:t>
      </w:r>
      <w:r w:rsidRPr="005345A6">
        <w:t xml:space="preserve">between ozanezumab and placebo in change from baseline in ALSFRS-R total score at </w:t>
      </w:r>
      <w:r w:rsidR="00CA64E0">
        <w:t>w</w:t>
      </w:r>
      <w:r w:rsidRPr="005345A6">
        <w:t xml:space="preserve">eek 48 was </w:t>
      </w:r>
      <w:r w:rsidR="0064070A">
        <w:t>–</w:t>
      </w:r>
      <w:r w:rsidRPr="005345A6">
        <w:t>1</w:t>
      </w:r>
      <w:r w:rsidR="00DF3A03" w:rsidRPr="00D055B0">
        <w:t>·</w:t>
      </w:r>
      <w:r w:rsidRPr="005345A6">
        <w:t xml:space="preserve">3 (95% CI: </w:t>
      </w:r>
      <w:r w:rsidR="0064070A">
        <w:t>–</w:t>
      </w:r>
      <w:r w:rsidRPr="005345A6">
        <w:t>3</w:t>
      </w:r>
      <w:r w:rsidR="00DF3A03" w:rsidRPr="00D055B0">
        <w:t>·</w:t>
      </w:r>
      <w:r w:rsidRPr="005345A6">
        <w:t>1</w:t>
      </w:r>
      <w:r w:rsidR="00AE386C">
        <w:t xml:space="preserve"> to</w:t>
      </w:r>
      <w:r w:rsidRPr="005345A6">
        <w:t xml:space="preserve"> 0</w:t>
      </w:r>
      <w:r w:rsidR="00DF3A03" w:rsidRPr="00D055B0">
        <w:t>·</w:t>
      </w:r>
      <w:r w:rsidRPr="005345A6">
        <w:t>4;</w:t>
      </w:r>
      <w:r w:rsidR="00691324">
        <w:t xml:space="preserve"> p=0</w:t>
      </w:r>
      <w:r w:rsidR="00DF3A03" w:rsidRPr="00D055B0">
        <w:t>·</w:t>
      </w:r>
      <w:r w:rsidR="00691324">
        <w:t>139;</w:t>
      </w:r>
      <w:r w:rsidRPr="005345A6">
        <w:t xml:space="preserve"> </w:t>
      </w:r>
      <w:r w:rsidR="00D314AB" w:rsidRPr="005345A6">
        <w:rPr>
          <w:b/>
        </w:rPr>
        <w:t>Figure</w:t>
      </w:r>
      <w:r w:rsidR="00CA64E0">
        <w:rPr>
          <w:b/>
        </w:rPr>
        <w:t xml:space="preserve"> </w:t>
      </w:r>
      <w:r w:rsidRPr="005345A6">
        <w:rPr>
          <w:b/>
        </w:rPr>
        <w:t>2</w:t>
      </w:r>
      <w:r w:rsidR="0064070A">
        <w:rPr>
          <w:b/>
        </w:rPr>
        <w:t>,</w:t>
      </w:r>
      <w:r w:rsidR="0045026E">
        <w:rPr>
          <w:b/>
        </w:rPr>
        <w:t xml:space="preserve"> </w:t>
      </w:r>
      <w:r w:rsidR="00743EB9">
        <w:rPr>
          <w:b/>
        </w:rPr>
        <w:t>T</w:t>
      </w:r>
      <w:r w:rsidR="00EA5E04">
        <w:rPr>
          <w:b/>
        </w:rPr>
        <w:t>able 2</w:t>
      </w:r>
      <w:r w:rsidRPr="005345A6">
        <w:t>).</w:t>
      </w:r>
      <w:r w:rsidRPr="00AE0019">
        <w:t xml:space="preserve"> </w:t>
      </w:r>
    </w:p>
    <w:p w:rsidR="00F94610" w:rsidRDefault="00AE0019">
      <w:pPr>
        <w:spacing w:line="360" w:lineRule="auto"/>
      </w:pPr>
      <w:r w:rsidRPr="005345A6">
        <w:t xml:space="preserve">Survival endpoints </w:t>
      </w:r>
      <w:r w:rsidR="00EA5E04">
        <w:t xml:space="preserve">were not </w:t>
      </w:r>
      <w:r w:rsidRPr="005345A6">
        <w:t>significant</w:t>
      </w:r>
      <w:r w:rsidR="00EA5E04">
        <w:t>ly</w:t>
      </w:r>
      <w:r w:rsidRPr="005345A6">
        <w:t xml:space="preserve"> differen</w:t>
      </w:r>
      <w:r w:rsidR="00EA5E04">
        <w:t>t</w:t>
      </w:r>
      <w:r w:rsidRPr="005345A6">
        <w:t xml:space="preserve"> between treatment arms. Week 48 survival </w:t>
      </w:r>
      <w:r w:rsidR="005B462C">
        <w:t>(</w:t>
      </w:r>
      <w:r w:rsidRPr="005345A6">
        <w:t>on-treatment data</w:t>
      </w:r>
      <w:r w:rsidR="005B462C">
        <w:t>)</w:t>
      </w:r>
      <w:r w:rsidRPr="005345A6">
        <w:t xml:space="preserve"> is shown in </w:t>
      </w:r>
      <w:r w:rsidRPr="005345A6">
        <w:rPr>
          <w:b/>
        </w:rPr>
        <w:t>Figure 3</w:t>
      </w:r>
      <w:r w:rsidR="00BE6F4D" w:rsidRPr="004B2E0B">
        <w:t>.</w:t>
      </w:r>
      <w:r w:rsidR="00BE6F4D">
        <w:rPr>
          <w:b/>
          <w:color w:val="FF0000"/>
        </w:rPr>
        <w:t xml:space="preserve"> </w:t>
      </w:r>
      <w:r w:rsidRPr="004E5B68">
        <w:t xml:space="preserve">At </w:t>
      </w:r>
      <w:r w:rsidR="0064070A">
        <w:t>w</w:t>
      </w:r>
      <w:r w:rsidRPr="004E5B68">
        <w:t xml:space="preserve">eek 48, </w:t>
      </w:r>
      <w:r w:rsidR="00EB4F3E">
        <w:t>six</w:t>
      </w:r>
      <w:r w:rsidR="00BC5206" w:rsidRPr="005345A6">
        <w:t xml:space="preserve"> deaths (4%) had occurred in the placebo group and </w:t>
      </w:r>
      <w:r w:rsidR="00EB4F3E">
        <w:t>eight</w:t>
      </w:r>
      <w:r w:rsidR="00BC5206" w:rsidRPr="005345A6">
        <w:t xml:space="preserve"> deaths (5%) had occurred in </w:t>
      </w:r>
      <w:r w:rsidR="0021281A">
        <w:t xml:space="preserve">the </w:t>
      </w:r>
      <w:r w:rsidR="00BC5206" w:rsidRPr="005345A6">
        <w:t xml:space="preserve">ozanezumab group (on-treatment </w:t>
      </w:r>
      <w:r w:rsidR="00BC5206">
        <w:t>period</w:t>
      </w:r>
      <w:r w:rsidR="00BC5206" w:rsidRPr="005345A6">
        <w:t>)</w:t>
      </w:r>
      <w:r w:rsidR="00A14CEF">
        <w:t>.</w:t>
      </w:r>
      <w:r w:rsidRPr="00AE0019">
        <w:t xml:space="preserve"> </w:t>
      </w:r>
      <w:r w:rsidRPr="005345A6">
        <w:t xml:space="preserve">Inclusion of retrieved follow-up data into </w:t>
      </w:r>
      <w:r w:rsidR="0064070A">
        <w:t>w</w:t>
      </w:r>
      <w:r w:rsidRPr="005345A6">
        <w:t xml:space="preserve">eek 48 survival analysis showed </w:t>
      </w:r>
      <w:r w:rsidR="00EB4F3E">
        <w:t>nine</w:t>
      </w:r>
      <w:r w:rsidRPr="005345A6">
        <w:t xml:space="preserve"> deaths (6%) on placebo and 15 deaths (10%) on ozanezumab with a hazard ratio (HR, 95% CI) of 1</w:t>
      </w:r>
      <w:r w:rsidR="00794569" w:rsidRPr="00D055B0">
        <w:t>·</w:t>
      </w:r>
      <w:r w:rsidRPr="005345A6">
        <w:t>30 (0</w:t>
      </w:r>
      <w:r w:rsidR="00794569" w:rsidRPr="00D055B0">
        <w:t>·</w:t>
      </w:r>
      <w:r w:rsidRPr="005345A6">
        <w:t>56</w:t>
      </w:r>
      <w:r w:rsidR="00AE386C">
        <w:t xml:space="preserve"> to</w:t>
      </w:r>
      <w:r w:rsidRPr="005345A6">
        <w:t xml:space="preserve"> 3</w:t>
      </w:r>
      <w:r w:rsidR="00794569" w:rsidRPr="00D055B0">
        <w:t>·</w:t>
      </w:r>
      <w:r w:rsidRPr="005345A6">
        <w:t>01</w:t>
      </w:r>
      <w:r w:rsidR="00691324">
        <w:t>;</w:t>
      </w:r>
      <w:r w:rsidR="00691324" w:rsidRPr="005345A6">
        <w:t xml:space="preserve"> </w:t>
      </w:r>
      <w:r w:rsidRPr="005345A6">
        <w:t>p=0</w:t>
      </w:r>
      <w:r w:rsidR="00794569" w:rsidRPr="00D055B0">
        <w:t>·</w:t>
      </w:r>
      <w:r w:rsidRPr="005345A6">
        <w:t>541</w:t>
      </w:r>
      <w:r w:rsidR="00691324">
        <w:t>)</w:t>
      </w:r>
      <w:r w:rsidR="008B4E67">
        <w:t>.</w:t>
      </w:r>
      <w:r w:rsidR="00691324">
        <w:t xml:space="preserve"> </w:t>
      </w:r>
      <w:r w:rsidR="00E73909">
        <w:t>The progression-</w:t>
      </w:r>
      <w:r w:rsidR="00E73909">
        <w:lastRenderedPageBreak/>
        <w:t xml:space="preserve">free survival at </w:t>
      </w:r>
      <w:r w:rsidR="005E4E9B">
        <w:t>w</w:t>
      </w:r>
      <w:r w:rsidR="00E73909">
        <w:t xml:space="preserve">eek 48 was </w:t>
      </w:r>
      <w:r w:rsidR="0081248F">
        <w:t>30</w:t>
      </w:r>
      <w:r w:rsidR="00112DA0" w:rsidRPr="00D055B0">
        <w:t>·</w:t>
      </w:r>
      <w:r w:rsidR="0081248F">
        <w:t>8% (95% CI: 23</w:t>
      </w:r>
      <w:r w:rsidR="0081248F" w:rsidRPr="00D055B0">
        <w:t>·</w:t>
      </w:r>
      <w:r w:rsidR="0081248F">
        <w:t>0 to 38</w:t>
      </w:r>
      <w:r w:rsidR="0081248F" w:rsidRPr="00D055B0">
        <w:t>·</w:t>
      </w:r>
      <w:r w:rsidR="0081248F">
        <w:t xml:space="preserve">6) in the placebo group </w:t>
      </w:r>
      <w:r w:rsidR="0079720E">
        <w:t>and 28</w:t>
      </w:r>
      <w:r w:rsidR="0079720E" w:rsidRPr="00D055B0">
        <w:t>·</w:t>
      </w:r>
      <w:r w:rsidR="0079720E">
        <w:t>5% (95% CI: 2</w:t>
      </w:r>
      <w:r w:rsidR="00FF63B1">
        <w:t>1</w:t>
      </w:r>
      <w:r w:rsidR="0079720E" w:rsidRPr="00D055B0">
        <w:t>·</w:t>
      </w:r>
      <w:r w:rsidR="0079720E">
        <w:t>1 to 35</w:t>
      </w:r>
      <w:r w:rsidR="0079720E" w:rsidRPr="00D055B0">
        <w:t>·</w:t>
      </w:r>
      <w:r w:rsidR="0079720E">
        <w:t>9) in the ozanezumab group</w:t>
      </w:r>
      <w:r w:rsidR="007E486E">
        <w:t xml:space="preserve"> with a HR (95% CI) of 1</w:t>
      </w:r>
      <w:r w:rsidR="007E486E" w:rsidRPr="00D055B0">
        <w:t>·</w:t>
      </w:r>
      <w:r w:rsidR="007E486E">
        <w:t>07 (0</w:t>
      </w:r>
      <w:r w:rsidR="007E486E" w:rsidRPr="00D055B0">
        <w:t>·</w:t>
      </w:r>
      <w:r w:rsidR="007E486E">
        <w:t>81 to 1</w:t>
      </w:r>
      <w:r w:rsidR="007E486E" w:rsidRPr="00D055B0">
        <w:t>·</w:t>
      </w:r>
      <w:r w:rsidR="007E486E">
        <w:t>42</w:t>
      </w:r>
      <w:r w:rsidR="00112DA0">
        <w:t>; p=0</w:t>
      </w:r>
      <w:r w:rsidR="00112DA0" w:rsidRPr="00D055B0">
        <w:t>·</w:t>
      </w:r>
      <w:r w:rsidR="00112DA0">
        <w:t>642</w:t>
      </w:r>
      <w:r w:rsidR="007E486E">
        <w:t xml:space="preserve">). </w:t>
      </w:r>
      <w:r w:rsidR="00691324">
        <w:t xml:space="preserve">Analysis of survival at Week 60 showed 16 deaths (11%) </w:t>
      </w:r>
      <w:r w:rsidR="0021281A">
        <w:t>i</w:t>
      </w:r>
      <w:r w:rsidR="00691324">
        <w:t xml:space="preserve">n </w:t>
      </w:r>
      <w:r w:rsidR="0021281A">
        <w:t xml:space="preserve">the </w:t>
      </w:r>
      <w:r w:rsidR="00691324">
        <w:t>placebo</w:t>
      </w:r>
      <w:r w:rsidR="0021281A">
        <w:t xml:space="preserve"> group</w:t>
      </w:r>
      <w:r w:rsidR="00691324">
        <w:t xml:space="preserve"> and 20 deaths (13%) </w:t>
      </w:r>
      <w:r w:rsidR="0021281A">
        <w:t>in</w:t>
      </w:r>
      <w:r w:rsidR="00691324">
        <w:t xml:space="preserve"> </w:t>
      </w:r>
      <w:r w:rsidR="0021281A">
        <w:t xml:space="preserve">the </w:t>
      </w:r>
      <w:r w:rsidR="00691324">
        <w:t>ozanezumab</w:t>
      </w:r>
      <w:r w:rsidR="0021281A">
        <w:t xml:space="preserve"> group</w:t>
      </w:r>
      <w:r w:rsidR="00691324">
        <w:t xml:space="preserve"> with a HR (95% CI) of 1</w:t>
      </w:r>
      <w:r w:rsidR="00794569" w:rsidRPr="00D055B0">
        <w:t>·</w:t>
      </w:r>
      <w:r w:rsidR="00691324">
        <w:t>03 (0</w:t>
      </w:r>
      <w:r w:rsidR="00794569" w:rsidRPr="00D055B0">
        <w:t>·</w:t>
      </w:r>
      <w:r w:rsidR="00691324">
        <w:t>53</w:t>
      </w:r>
      <w:r w:rsidR="00AE386C">
        <w:t xml:space="preserve"> to</w:t>
      </w:r>
      <w:r w:rsidR="00691324">
        <w:t xml:space="preserve"> 2</w:t>
      </w:r>
      <w:r w:rsidR="00794569" w:rsidRPr="00D055B0">
        <w:t>·</w:t>
      </w:r>
      <w:r w:rsidR="00691324">
        <w:t>01; p=0</w:t>
      </w:r>
      <w:r w:rsidR="00794569" w:rsidRPr="00D055B0">
        <w:t>·</w:t>
      </w:r>
      <w:r w:rsidR="00691324">
        <w:t>923</w:t>
      </w:r>
      <w:r w:rsidR="00281D2E">
        <w:t xml:space="preserve">; </w:t>
      </w:r>
      <w:r w:rsidR="00EE3435" w:rsidRPr="00201153">
        <w:rPr>
          <w:b/>
        </w:rPr>
        <w:t>Table S2).</w:t>
      </w:r>
      <w:r w:rsidRPr="00AE0019">
        <w:t xml:space="preserve"> </w:t>
      </w:r>
      <w:r w:rsidR="00802FEF" w:rsidRPr="00802FEF">
        <w:t xml:space="preserve">As the proportionality assumptions are questionable for the Cox proportional hazard model, an </w:t>
      </w:r>
      <w:r w:rsidR="00802FEF" w:rsidRPr="00131306">
        <w:t>ad</w:t>
      </w:r>
      <w:r w:rsidR="00131306">
        <w:t xml:space="preserve"> </w:t>
      </w:r>
      <w:r w:rsidR="00802FEF" w:rsidRPr="00131306">
        <w:t>hoc</w:t>
      </w:r>
      <w:r w:rsidR="00802FEF" w:rsidRPr="00802FEF">
        <w:t xml:space="preserve"> analysis using the Kolmogorov-Smirnov test was carried out, p-values are presented in </w:t>
      </w:r>
      <w:r w:rsidR="00ED1F09">
        <w:rPr>
          <w:b/>
        </w:rPr>
        <w:t>Table S</w:t>
      </w:r>
      <w:r w:rsidR="00281D2E">
        <w:rPr>
          <w:b/>
        </w:rPr>
        <w:t>3</w:t>
      </w:r>
      <w:r w:rsidR="000C34FF" w:rsidRPr="00802FEF">
        <w:t xml:space="preserve"> </w:t>
      </w:r>
      <w:r w:rsidR="00802FEF" w:rsidRPr="00802FEF">
        <w:t>and do not alter the interpretation of the results.</w:t>
      </w:r>
      <w:r w:rsidR="00802FEF">
        <w:t xml:space="preserve"> </w:t>
      </w:r>
      <w:r w:rsidRPr="005345A6">
        <w:t>There was no difference between placebo and ozanezumab for any of the health outcomes assessed (</w:t>
      </w:r>
      <w:r w:rsidR="00ED1F09">
        <w:rPr>
          <w:b/>
        </w:rPr>
        <w:t>Table S4</w:t>
      </w:r>
      <w:r w:rsidRPr="005345A6">
        <w:t>).</w:t>
      </w:r>
      <w:r w:rsidRPr="00AE0019">
        <w:t xml:space="preserve"> </w:t>
      </w:r>
    </w:p>
    <w:p w:rsidR="00AE0019" w:rsidRDefault="00AE0019">
      <w:pPr>
        <w:spacing w:line="360" w:lineRule="auto"/>
      </w:pPr>
      <w:r w:rsidRPr="005345A6">
        <w:t>Plasma ozanezumab concentrations</w:t>
      </w:r>
      <w:r>
        <w:t xml:space="preserve"> </w:t>
      </w:r>
      <w:r w:rsidR="005E3EDE">
        <w:t xml:space="preserve">were consistent with pre-study predictions, </w:t>
      </w:r>
      <w:r w:rsidR="0044795C">
        <w:t>in</w:t>
      </w:r>
      <w:r w:rsidR="005E3EDE">
        <w:t xml:space="preserve"> that concentrations </w:t>
      </w:r>
      <w:r w:rsidR="00D25BC3">
        <w:t xml:space="preserve">increased steadily </w:t>
      </w:r>
      <w:r w:rsidR="008A3E55">
        <w:t>with each dose</w:t>
      </w:r>
      <w:r w:rsidR="00D25BC3">
        <w:t xml:space="preserve"> and</w:t>
      </w:r>
      <w:r w:rsidRPr="005345A6">
        <w:t xml:space="preserve"> steady-state </w:t>
      </w:r>
      <w:r>
        <w:t>was</w:t>
      </w:r>
      <w:r w:rsidRPr="005345A6">
        <w:t xml:space="preserve"> reached by Week 12 (dose 7)</w:t>
      </w:r>
      <w:r>
        <w:t>. There was</w:t>
      </w:r>
      <w:r w:rsidRPr="005345A6">
        <w:t xml:space="preserve"> no </w:t>
      </w:r>
      <w:r>
        <w:t>evidence</w:t>
      </w:r>
      <w:r w:rsidRPr="005345A6">
        <w:t xml:space="preserve"> of a change in elimination or clearance</w:t>
      </w:r>
      <w:r w:rsidR="00B87908">
        <w:t xml:space="preserve"> (</w:t>
      </w:r>
      <w:r w:rsidR="0067463E">
        <w:rPr>
          <w:b/>
        </w:rPr>
        <w:t>Figure S1</w:t>
      </w:r>
      <w:r w:rsidR="00B87908" w:rsidRPr="00B87908">
        <w:t>)</w:t>
      </w:r>
      <w:r>
        <w:t>.</w:t>
      </w:r>
      <w:r w:rsidRPr="00AE0019">
        <w:t xml:space="preserve"> </w:t>
      </w:r>
      <w:r w:rsidRPr="005345A6">
        <w:t>Plasma riluzole concentrations generally remained consistent with baseline values</w:t>
      </w:r>
      <w:r>
        <w:t xml:space="preserve"> over the course of the study</w:t>
      </w:r>
      <w:r w:rsidRPr="005345A6">
        <w:t xml:space="preserve">, with no </w:t>
      </w:r>
      <w:r>
        <w:t>evidence</w:t>
      </w:r>
      <w:r w:rsidRPr="005345A6">
        <w:t xml:space="preserve"> of a change in elimination or clearance (</w:t>
      </w:r>
      <w:r w:rsidR="00ED1F09">
        <w:rPr>
          <w:b/>
        </w:rPr>
        <w:t>Table S5</w:t>
      </w:r>
      <w:r w:rsidRPr="005345A6">
        <w:t>).</w:t>
      </w:r>
      <w:r>
        <w:t xml:space="preserve"> </w:t>
      </w:r>
    </w:p>
    <w:p w:rsidR="00250D70" w:rsidRDefault="00EB32D1">
      <w:pPr>
        <w:spacing w:line="360" w:lineRule="auto"/>
      </w:pPr>
      <w:r>
        <w:t>24</w:t>
      </w:r>
      <w:r w:rsidR="005B462C">
        <w:t xml:space="preserve"> </w:t>
      </w:r>
      <w:r w:rsidR="00C72DB1">
        <w:t>patients</w:t>
      </w:r>
      <w:r w:rsidR="00221347">
        <w:t xml:space="preserve"> out of the total 303 </w:t>
      </w:r>
      <w:r w:rsidR="00C72DB1">
        <w:t xml:space="preserve">were included in </w:t>
      </w:r>
      <w:r>
        <w:t>p</w:t>
      </w:r>
      <w:r w:rsidR="00C72DB1">
        <w:t>art A, of whom 12 received ozanezumab</w:t>
      </w:r>
      <w:r w:rsidR="007145A3">
        <w:t xml:space="preserve"> and 12 received placebo</w:t>
      </w:r>
      <w:r w:rsidR="00C72DB1">
        <w:t xml:space="preserve">. </w:t>
      </w:r>
      <w:r w:rsidR="00F5099E">
        <w:t xml:space="preserve">After </w:t>
      </w:r>
      <w:r w:rsidR="005A6E7B">
        <w:t xml:space="preserve">review of safety data from </w:t>
      </w:r>
      <w:r w:rsidR="00F5099E">
        <w:t>p</w:t>
      </w:r>
      <w:r w:rsidR="005A6E7B">
        <w:t xml:space="preserve">art A by </w:t>
      </w:r>
      <w:r w:rsidR="002B5D4E">
        <w:t xml:space="preserve">the </w:t>
      </w:r>
      <w:r w:rsidR="005A6E7B">
        <w:t>IDMC, n</w:t>
      </w:r>
      <w:r w:rsidR="00C72DB1" w:rsidRPr="00C72DB1">
        <w:t>o significant</w:t>
      </w:r>
      <w:r w:rsidR="005A6E7B">
        <w:t xml:space="preserve"> safety concerns were identified, and recruitment into </w:t>
      </w:r>
      <w:r w:rsidR="00F962AD">
        <w:t>p</w:t>
      </w:r>
      <w:r w:rsidR="005A6E7B">
        <w:t xml:space="preserve">art B (remaining study population) </w:t>
      </w:r>
      <w:r w:rsidR="005B37A4">
        <w:t>continued as planned</w:t>
      </w:r>
      <w:r w:rsidR="00C72DB1" w:rsidRPr="00C72DB1">
        <w:t>.</w:t>
      </w:r>
      <w:r w:rsidR="00C72DB1">
        <w:t xml:space="preserve"> </w:t>
      </w:r>
    </w:p>
    <w:p w:rsidR="0044795C" w:rsidRDefault="005A6E7B">
      <w:pPr>
        <w:spacing w:line="360" w:lineRule="auto"/>
        <w:rPr>
          <w:b/>
        </w:rPr>
      </w:pPr>
      <w:r>
        <w:t xml:space="preserve">Overall, </w:t>
      </w:r>
      <w:r w:rsidR="00AE0019" w:rsidRPr="005345A6">
        <w:t>reported AEs, SAEs</w:t>
      </w:r>
      <w:r w:rsidR="005A5613">
        <w:t>,</w:t>
      </w:r>
      <w:r w:rsidR="00AE0019" w:rsidRPr="005345A6">
        <w:t xml:space="preserve"> and AEs leading to permanent discontinuation of study drug or withdrawal from study were </w:t>
      </w:r>
      <w:r w:rsidR="002B5D4E">
        <w:t>similar</w:t>
      </w:r>
      <w:r w:rsidR="002B5D4E" w:rsidRPr="005345A6">
        <w:t xml:space="preserve"> </w:t>
      </w:r>
      <w:r w:rsidR="00AE0019" w:rsidRPr="005345A6">
        <w:t>between the treatment groups (</w:t>
      </w:r>
      <w:r w:rsidR="00AE0019" w:rsidRPr="005345A6">
        <w:rPr>
          <w:b/>
        </w:rPr>
        <w:t>Table 3</w:t>
      </w:r>
      <w:r w:rsidR="00884CE3" w:rsidRPr="00877CF4">
        <w:t>)</w:t>
      </w:r>
      <w:r w:rsidR="00884CE3" w:rsidRPr="004B2E0B">
        <w:t>.</w:t>
      </w:r>
      <w:r w:rsidR="00884CE3">
        <w:rPr>
          <w:b/>
        </w:rPr>
        <w:t xml:space="preserve"> </w:t>
      </w:r>
      <w:r w:rsidR="0044795C">
        <w:t xml:space="preserve">A total of 36 deaths were reported. Five deaths (two in the ozanezumab group and three in the placebo group) occurred outside the timeframe specified for SAE collection. No associated SAEs were reported for these cases, and all </w:t>
      </w:r>
      <w:r w:rsidR="00BD4CBD">
        <w:t xml:space="preserve">five </w:t>
      </w:r>
      <w:r w:rsidR="0044795C">
        <w:t xml:space="preserve">were judged by investigators to be due to ALS. </w:t>
      </w:r>
      <w:r w:rsidR="00F152D1">
        <w:t>31</w:t>
      </w:r>
      <w:r w:rsidR="0044795C">
        <w:t xml:space="preserve"> deaths occurred during the treatment or follow-up (18 [12%] in the ozanezumab group and 13 [9%] in the placebo group</w:t>
      </w:r>
      <w:r w:rsidR="0044795C" w:rsidRPr="005345A6">
        <w:t>)</w:t>
      </w:r>
      <w:r w:rsidR="0044795C">
        <w:t xml:space="preserve">. </w:t>
      </w:r>
      <w:r w:rsidR="00BD4CBD">
        <w:t xml:space="preserve">Two deaths were considered related to the study medication (one each </w:t>
      </w:r>
      <w:r w:rsidR="00B36668">
        <w:t>in</w:t>
      </w:r>
      <w:r w:rsidR="00BD4CBD">
        <w:t xml:space="preserve"> the ozanezumab</w:t>
      </w:r>
      <w:r w:rsidR="0091385D">
        <w:t xml:space="preserve"> </w:t>
      </w:r>
      <w:r w:rsidR="00DD6801">
        <w:rPr>
          <w:rFonts w:asciiTheme="minorHAnsi" w:hAnsiTheme="minorHAnsi" w:cstheme="minorHAnsi"/>
          <w:szCs w:val="22"/>
        </w:rPr>
        <w:t>[</w:t>
      </w:r>
      <w:r w:rsidR="0091385D" w:rsidRPr="00877BEA">
        <w:rPr>
          <w:rFonts w:asciiTheme="minorHAnsi" w:hAnsiTheme="minorHAnsi" w:cstheme="minorHAnsi"/>
          <w:szCs w:val="22"/>
        </w:rPr>
        <w:t>bladder transitional cell carcinoma</w:t>
      </w:r>
      <w:r w:rsidR="00DD6801">
        <w:rPr>
          <w:rFonts w:asciiTheme="minorHAnsi" w:hAnsiTheme="minorHAnsi" w:cstheme="minorHAnsi"/>
          <w:szCs w:val="22"/>
        </w:rPr>
        <w:t>]</w:t>
      </w:r>
      <w:r w:rsidR="0091385D" w:rsidRPr="00877BEA">
        <w:rPr>
          <w:rFonts w:asciiTheme="minorHAnsi" w:hAnsiTheme="minorHAnsi" w:cstheme="minorHAnsi"/>
          <w:szCs w:val="22"/>
        </w:rPr>
        <w:t xml:space="preserve"> </w:t>
      </w:r>
      <w:r w:rsidR="00BD4CBD" w:rsidRPr="00877BEA">
        <w:rPr>
          <w:rFonts w:asciiTheme="minorHAnsi" w:hAnsiTheme="minorHAnsi" w:cstheme="minorHAnsi"/>
          <w:szCs w:val="22"/>
        </w:rPr>
        <w:t>and placebo</w:t>
      </w:r>
      <w:r w:rsidR="0091385D" w:rsidRPr="00877BEA">
        <w:rPr>
          <w:rFonts w:asciiTheme="minorHAnsi" w:hAnsiTheme="minorHAnsi" w:cstheme="minorHAnsi"/>
          <w:szCs w:val="22"/>
        </w:rPr>
        <w:t xml:space="preserve"> </w:t>
      </w:r>
      <w:r w:rsidR="00BD4CBD" w:rsidRPr="00877BEA">
        <w:rPr>
          <w:rFonts w:asciiTheme="minorHAnsi" w:hAnsiTheme="minorHAnsi" w:cstheme="minorHAnsi"/>
          <w:szCs w:val="22"/>
        </w:rPr>
        <w:t>arms</w:t>
      </w:r>
      <w:r w:rsidR="00877BEA">
        <w:rPr>
          <w:rFonts w:asciiTheme="minorHAnsi" w:hAnsiTheme="minorHAnsi" w:cstheme="minorHAnsi"/>
          <w:szCs w:val="22"/>
        </w:rPr>
        <w:t xml:space="preserve"> </w:t>
      </w:r>
      <w:r w:rsidR="00DD6801">
        <w:rPr>
          <w:rFonts w:asciiTheme="minorHAnsi" w:hAnsiTheme="minorHAnsi" w:cstheme="minorHAnsi"/>
          <w:szCs w:val="22"/>
        </w:rPr>
        <w:t>[</w:t>
      </w:r>
      <w:r w:rsidR="0091385D" w:rsidRPr="00877BEA">
        <w:rPr>
          <w:rFonts w:asciiTheme="minorHAnsi" w:hAnsiTheme="minorHAnsi" w:cstheme="minorHAnsi"/>
          <w:szCs w:val="22"/>
        </w:rPr>
        <w:t>cerebrovascular accident</w:t>
      </w:r>
      <w:r w:rsidR="00DD6801">
        <w:rPr>
          <w:rFonts w:asciiTheme="minorHAnsi" w:hAnsiTheme="minorHAnsi" w:cstheme="minorHAnsi"/>
          <w:szCs w:val="22"/>
        </w:rPr>
        <w:t>]</w:t>
      </w:r>
      <w:r w:rsidR="00BD4CBD" w:rsidRPr="00877BEA">
        <w:rPr>
          <w:rFonts w:asciiTheme="minorHAnsi" w:hAnsiTheme="minorHAnsi" w:cstheme="minorHAnsi"/>
          <w:szCs w:val="22"/>
        </w:rPr>
        <w:t xml:space="preserve">). </w:t>
      </w:r>
      <w:r w:rsidR="0044795C" w:rsidRPr="00877BEA">
        <w:rPr>
          <w:rFonts w:asciiTheme="minorHAnsi" w:hAnsiTheme="minorHAnsi" w:cstheme="minorHAnsi"/>
          <w:szCs w:val="22"/>
        </w:rPr>
        <w:t>The higher</w:t>
      </w:r>
      <w:r w:rsidR="0044795C" w:rsidRPr="005345A6">
        <w:t xml:space="preserve"> </w:t>
      </w:r>
      <w:r w:rsidR="00F152D1">
        <w:t xml:space="preserve">number </w:t>
      </w:r>
      <w:r w:rsidR="0044795C" w:rsidRPr="005345A6">
        <w:t xml:space="preserve">of </w:t>
      </w:r>
      <w:r w:rsidR="0044795C">
        <w:t>deaths</w:t>
      </w:r>
      <w:r w:rsidR="0044795C" w:rsidRPr="005345A6">
        <w:t xml:space="preserve"> in the ozanezumab group </w:t>
      </w:r>
      <w:r w:rsidR="00F152D1">
        <w:t xml:space="preserve">than in </w:t>
      </w:r>
      <w:r w:rsidR="0044795C" w:rsidRPr="005345A6">
        <w:t>the placebo group was attributable to a higher incidence of respiratory failure events in the ozanezumab group</w:t>
      </w:r>
      <w:r w:rsidR="0044795C">
        <w:t xml:space="preserve"> (</w:t>
      </w:r>
      <w:r w:rsidR="00F152D1">
        <w:t>ten</w:t>
      </w:r>
      <w:r w:rsidR="001352AC">
        <w:t xml:space="preserve"> [7%] in the ozanezumab group </w:t>
      </w:r>
      <w:r w:rsidR="00173568" w:rsidRPr="00BD70B3">
        <w:t>vs</w:t>
      </w:r>
      <w:r w:rsidR="001352AC">
        <w:t xml:space="preserve"> </w:t>
      </w:r>
      <w:r w:rsidR="00F152D1">
        <w:t>five</w:t>
      </w:r>
      <w:r w:rsidR="001352AC">
        <w:t xml:space="preserve"> [3%] in the placebo group, </w:t>
      </w:r>
      <w:r w:rsidR="00ED1F09">
        <w:rPr>
          <w:b/>
        </w:rPr>
        <w:t>Table S6</w:t>
      </w:r>
      <w:r w:rsidR="0044795C">
        <w:t>)</w:t>
      </w:r>
      <w:r w:rsidR="0044795C" w:rsidRPr="005345A6">
        <w:t>.</w:t>
      </w:r>
      <w:r w:rsidR="0044795C" w:rsidRPr="0044795C">
        <w:t xml:space="preserve"> </w:t>
      </w:r>
      <w:r w:rsidR="00F152D1">
        <w:t>46</w:t>
      </w:r>
      <w:r w:rsidR="0044795C">
        <w:t xml:space="preserve"> </w:t>
      </w:r>
      <w:r w:rsidR="0044795C">
        <w:lastRenderedPageBreak/>
        <w:t xml:space="preserve">(30%) </w:t>
      </w:r>
      <w:r w:rsidR="00E011BD">
        <w:t>patients</w:t>
      </w:r>
      <w:r w:rsidR="0044795C">
        <w:t xml:space="preserve"> in the placebo arm experienced a</w:t>
      </w:r>
      <w:r w:rsidR="00DD6801">
        <w:t>n</w:t>
      </w:r>
      <w:r w:rsidR="0044795C">
        <w:t xml:space="preserve"> SAE compared with 47 (31%) in </w:t>
      </w:r>
      <w:r w:rsidR="00E011BD">
        <w:t xml:space="preserve">the </w:t>
      </w:r>
      <w:r w:rsidR="0044795C">
        <w:t xml:space="preserve">ozanezumab </w:t>
      </w:r>
      <w:r w:rsidR="0044795C" w:rsidRPr="00F345BB">
        <w:t>arm</w:t>
      </w:r>
      <w:r w:rsidR="00221347" w:rsidRPr="00F345BB" w:rsidDel="00221347">
        <w:rPr>
          <w:b/>
        </w:rPr>
        <w:t xml:space="preserve"> </w:t>
      </w:r>
      <w:r w:rsidR="00221347" w:rsidRPr="00F345BB">
        <w:t>(</w:t>
      </w:r>
      <w:r w:rsidR="00221347" w:rsidRPr="00F345BB">
        <w:rPr>
          <w:b/>
        </w:rPr>
        <w:t>Table 3</w:t>
      </w:r>
      <w:r w:rsidR="00221347" w:rsidRPr="00F345BB">
        <w:t>)</w:t>
      </w:r>
      <w:r w:rsidR="0044795C" w:rsidRPr="00F345BB">
        <w:t>. Respiratory</w:t>
      </w:r>
      <w:r w:rsidR="0044795C">
        <w:t xml:space="preserve"> failure was the most common SAE reported</w:t>
      </w:r>
      <w:r w:rsidR="002B5D4E">
        <w:t>,</w:t>
      </w:r>
      <w:r w:rsidR="0044795C">
        <w:t xml:space="preserve"> in </w:t>
      </w:r>
      <w:r w:rsidR="001352AC">
        <w:t xml:space="preserve">12 (8%) and </w:t>
      </w:r>
      <w:r w:rsidR="008F2159">
        <w:t>seven</w:t>
      </w:r>
      <w:r w:rsidR="00E011BD">
        <w:t xml:space="preserve"> </w:t>
      </w:r>
      <w:r w:rsidR="0044795C">
        <w:t xml:space="preserve">(5%) </w:t>
      </w:r>
      <w:r w:rsidR="001352AC">
        <w:t xml:space="preserve">patients </w:t>
      </w:r>
      <w:r w:rsidR="0044795C">
        <w:t xml:space="preserve">in </w:t>
      </w:r>
      <w:r w:rsidR="001352AC">
        <w:t xml:space="preserve">the ozanezumab and </w:t>
      </w:r>
      <w:r w:rsidR="0044795C">
        <w:t>placebo arms</w:t>
      </w:r>
      <w:r w:rsidR="001352AC">
        <w:t>,</w:t>
      </w:r>
      <w:r w:rsidR="0044795C">
        <w:t xml:space="preserve"> respectively. </w:t>
      </w:r>
      <w:r w:rsidR="0044795C" w:rsidRPr="001B46C2">
        <w:t xml:space="preserve">There were </w:t>
      </w:r>
      <w:r w:rsidR="00BD4CBD" w:rsidRPr="001B46C2">
        <w:t>three cases of drug-related non-fatal SAEs reported in the ozanezumab group</w:t>
      </w:r>
      <w:r w:rsidR="00BD4CBD">
        <w:t xml:space="preserve"> </w:t>
      </w:r>
      <w:r w:rsidR="00BD4CBD" w:rsidRPr="001B46C2">
        <w:t>(anaemia, appendicitis</w:t>
      </w:r>
      <w:r w:rsidR="002D4F27">
        <w:t>,</w:t>
      </w:r>
      <w:r w:rsidR="00BD4CBD" w:rsidRPr="001B46C2">
        <w:t xml:space="preserve"> and pulmonary embolism) and </w:t>
      </w:r>
      <w:r w:rsidR="0044795C" w:rsidRPr="001B46C2">
        <w:t>two cases</w:t>
      </w:r>
      <w:r w:rsidR="00C016C2">
        <w:t xml:space="preserve"> </w:t>
      </w:r>
      <w:r w:rsidR="00BD4CBD" w:rsidRPr="001B46C2">
        <w:t>(unilateral blindness and thrombosis)</w:t>
      </w:r>
      <w:r w:rsidR="00BD4CBD">
        <w:t xml:space="preserve"> </w:t>
      </w:r>
      <w:r w:rsidR="0044795C" w:rsidRPr="001B46C2">
        <w:t>in the placebo group.</w:t>
      </w:r>
      <w:r w:rsidR="0044795C" w:rsidRPr="0044795C">
        <w:t xml:space="preserve"> </w:t>
      </w:r>
      <w:r w:rsidR="0044795C" w:rsidRPr="00B940BD">
        <w:t xml:space="preserve">The most common AEs </w:t>
      </w:r>
      <w:r w:rsidR="00D425C7">
        <w:t>(</w:t>
      </w:r>
      <w:r w:rsidR="0044795C" w:rsidRPr="00B940BD">
        <w:t>reported</w:t>
      </w:r>
      <w:r w:rsidR="00D425C7">
        <w:t xml:space="preserve"> by &gt;10% </w:t>
      </w:r>
      <w:r w:rsidR="002A3DB8">
        <w:t xml:space="preserve">of the </w:t>
      </w:r>
      <w:r w:rsidR="00D425C7">
        <w:t>overall</w:t>
      </w:r>
      <w:r w:rsidR="002A3DB8">
        <w:t xml:space="preserve"> population</w:t>
      </w:r>
      <w:r w:rsidR="00D425C7">
        <w:t>)</w:t>
      </w:r>
      <w:r w:rsidR="0044795C" w:rsidRPr="00B940BD">
        <w:t xml:space="preserve"> were</w:t>
      </w:r>
      <w:r w:rsidR="0044795C">
        <w:t xml:space="preserve"> falls</w:t>
      </w:r>
      <w:r w:rsidR="00D425C7">
        <w:t xml:space="preserve"> (</w:t>
      </w:r>
      <w:r w:rsidR="00111FEC">
        <w:t>125 [</w:t>
      </w:r>
      <w:r w:rsidR="00D425C7">
        <w:t>41%</w:t>
      </w:r>
      <w:r w:rsidR="00111FEC">
        <w:t>]</w:t>
      </w:r>
      <w:r w:rsidR="006673E3">
        <w:t xml:space="preserve"> overall</w:t>
      </w:r>
      <w:r w:rsidR="00D425C7">
        <w:t>)</w:t>
      </w:r>
      <w:r w:rsidR="0044795C">
        <w:t xml:space="preserve">, </w:t>
      </w:r>
      <w:r w:rsidR="00D425C7">
        <w:t>nasopharyngitis (</w:t>
      </w:r>
      <w:r w:rsidR="00111FEC">
        <w:t>67 [</w:t>
      </w:r>
      <w:r w:rsidR="00D425C7">
        <w:t>22%</w:t>
      </w:r>
      <w:r w:rsidR="00111FEC">
        <w:t>]</w:t>
      </w:r>
      <w:r w:rsidR="006673E3">
        <w:t xml:space="preserve"> overall</w:t>
      </w:r>
      <w:r w:rsidR="00D425C7">
        <w:t>), headache (</w:t>
      </w:r>
      <w:r w:rsidR="00111FEC">
        <w:t>55 [</w:t>
      </w:r>
      <w:r w:rsidR="00D425C7">
        <w:t>18%</w:t>
      </w:r>
      <w:r w:rsidR="00111FEC">
        <w:t>]</w:t>
      </w:r>
      <w:r w:rsidR="006673E3">
        <w:t xml:space="preserve"> overall</w:t>
      </w:r>
      <w:r w:rsidR="00D425C7">
        <w:t>), cough (</w:t>
      </w:r>
      <w:r w:rsidR="00111FEC">
        <w:t>37 [</w:t>
      </w:r>
      <w:r w:rsidR="00D425C7">
        <w:t>12%</w:t>
      </w:r>
      <w:r w:rsidR="00111FEC">
        <w:t>]</w:t>
      </w:r>
      <w:r w:rsidR="006673E3">
        <w:t xml:space="preserve"> overall</w:t>
      </w:r>
      <w:r w:rsidR="00D425C7">
        <w:t xml:space="preserve">), </w:t>
      </w:r>
      <w:r w:rsidR="0044795C">
        <w:t>diarrhoea</w:t>
      </w:r>
      <w:r w:rsidR="00D425C7">
        <w:t xml:space="preserve"> (</w:t>
      </w:r>
      <w:r w:rsidR="00F8057A">
        <w:t>37 [</w:t>
      </w:r>
      <w:r w:rsidR="00D425C7">
        <w:t>12%</w:t>
      </w:r>
      <w:r w:rsidR="00F8057A">
        <w:t>]</w:t>
      </w:r>
      <w:r w:rsidR="006673E3">
        <w:t xml:space="preserve"> overall</w:t>
      </w:r>
      <w:r w:rsidR="00D425C7">
        <w:t>)</w:t>
      </w:r>
      <w:r w:rsidR="00A21F1C">
        <w:t>,</w:t>
      </w:r>
      <w:r w:rsidR="00D425C7">
        <w:t xml:space="preserve"> and</w:t>
      </w:r>
      <w:r w:rsidR="0044795C">
        <w:t xml:space="preserve"> constipation</w:t>
      </w:r>
      <w:r w:rsidR="00D425C7">
        <w:t xml:space="preserve"> (</w:t>
      </w:r>
      <w:r w:rsidR="00F8057A">
        <w:t>36 [</w:t>
      </w:r>
      <w:r w:rsidR="00D425C7">
        <w:t>12%</w:t>
      </w:r>
      <w:r w:rsidR="00F8057A">
        <w:t>]</w:t>
      </w:r>
      <w:r w:rsidR="006673E3">
        <w:t xml:space="preserve"> overall</w:t>
      </w:r>
      <w:r w:rsidR="00D425C7">
        <w:t>) (</w:t>
      </w:r>
      <w:r w:rsidR="00D425C7" w:rsidRPr="0009021F">
        <w:rPr>
          <w:b/>
        </w:rPr>
        <w:t>Figure S2</w:t>
      </w:r>
      <w:r w:rsidR="00D425C7">
        <w:t>)</w:t>
      </w:r>
      <w:r w:rsidR="0044795C" w:rsidRPr="00B940BD">
        <w:t xml:space="preserve">. </w:t>
      </w:r>
      <w:r w:rsidR="00650308">
        <w:t xml:space="preserve">The incidence </w:t>
      </w:r>
      <w:r w:rsidR="0044795C" w:rsidRPr="00B940BD">
        <w:t xml:space="preserve">of </w:t>
      </w:r>
      <w:r w:rsidR="00650308">
        <w:t xml:space="preserve">some </w:t>
      </w:r>
      <w:r w:rsidR="0044795C" w:rsidRPr="00B940BD">
        <w:t xml:space="preserve">AEs </w:t>
      </w:r>
      <w:r w:rsidR="00650308">
        <w:t xml:space="preserve">was roughly double </w:t>
      </w:r>
      <w:r w:rsidR="0044795C" w:rsidRPr="00B940BD">
        <w:t xml:space="preserve">in the ozanezumab arm </w:t>
      </w:r>
      <w:r w:rsidR="00650308">
        <w:t xml:space="preserve">that in </w:t>
      </w:r>
      <w:r w:rsidR="0044795C" w:rsidRPr="00B940BD">
        <w:t>the placebo arm,</w:t>
      </w:r>
      <w:r w:rsidR="000869F4">
        <w:t xml:space="preserve"> </w:t>
      </w:r>
      <w:r w:rsidR="000869F4" w:rsidRPr="000869F4">
        <w:t xml:space="preserve">including dyspepsia </w:t>
      </w:r>
      <w:r w:rsidR="000869F4" w:rsidRPr="00F345BB">
        <w:t>(</w:t>
      </w:r>
      <w:r w:rsidR="00AE26E0" w:rsidRPr="00F345BB">
        <w:t>10 [</w:t>
      </w:r>
      <w:r w:rsidR="000869F4" w:rsidRPr="00F345BB">
        <w:t>7</w:t>
      </w:r>
      <w:r w:rsidR="000869F4" w:rsidRPr="000869F4">
        <w:t>%</w:t>
      </w:r>
      <w:r w:rsidR="00AE26E0">
        <w:t>]</w:t>
      </w:r>
      <w:r w:rsidR="000869F4" w:rsidRPr="000869F4">
        <w:t xml:space="preserve"> in ozanezumab arm vs </w:t>
      </w:r>
      <w:r w:rsidR="00941364">
        <w:t>four</w:t>
      </w:r>
      <w:r w:rsidR="00AE26E0">
        <w:t xml:space="preserve"> [</w:t>
      </w:r>
      <w:r w:rsidR="000869F4" w:rsidRPr="000869F4">
        <w:t>3%</w:t>
      </w:r>
      <w:r w:rsidR="00AE26E0">
        <w:t>]</w:t>
      </w:r>
      <w:r w:rsidR="000869F4" w:rsidRPr="000869F4">
        <w:t xml:space="preserve"> in placebo arm), depression (</w:t>
      </w:r>
      <w:r w:rsidR="0071037A">
        <w:t>11 [</w:t>
      </w:r>
      <w:r w:rsidR="000869F4" w:rsidRPr="000869F4">
        <w:t>7%</w:t>
      </w:r>
      <w:r w:rsidR="0071037A">
        <w:t>]</w:t>
      </w:r>
      <w:r w:rsidR="000869F4" w:rsidRPr="000869F4">
        <w:t xml:space="preserve"> vs</w:t>
      </w:r>
      <w:r w:rsidR="0071037A">
        <w:t xml:space="preserve"> </w:t>
      </w:r>
      <w:r w:rsidR="00941364">
        <w:t>five</w:t>
      </w:r>
      <w:r w:rsidR="000869F4" w:rsidRPr="000869F4">
        <w:t xml:space="preserve"> </w:t>
      </w:r>
      <w:r w:rsidR="0071037A">
        <w:t>[</w:t>
      </w:r>
      <w:r w:rsidR="000869F4" w:rsidRPr="000869F4">
        <w:t>3%</w:t>
      </w:r>
      <w:r w:rsidR="0071037A">
        <w:t>]</w:t>
      </w:r>
      <w:r w:rsidR="000869F4" w:rsidRPr="000869F4">
        <w:t>)</w:t>
      </w:r>
      <w:r w:rsidR="002D4F27">
        <w:t>,</w:t>
      </w:r>
      <w:r w:rsidR="000869F4" w:rsidRPr="000869F4">
        <w:t xml:space="preserve"> and diarrhoea (</w:t>
      </w:r>
      <w:r w:rsidR="00D62519">
        <w:t>25 [</w:t>
      </w:r>
      <w:r w:rsidR="000869F4" w:rsidRPr="000869F4">
        <w:t>16%</w:t>
      </w:r>
      <w:r w:rsidR="00D62519">
        <w:t>]</w:t>
      </w:r>
      <w:r w:rsidR="000869F4" w:rsidRPr="000869F4">
        <w:t xml:space="preserve"> vs</w:t>
      </w:r>
      <w:r w:rsidR="00D62519">
        <w:t xml:space="preserve"> 12</w:t>
      </w:r>
      <w:r w:rsidR="000869F4" w:rsidRPr="000869F4">
        <w:t xml:space="preserve"> </w:t>
      </w:r>
      <w:r w:rsidR="00D62519">
        <w:t>[</w:t>
      </w:r>
      <w:r w:rsidR="000869F4" w:rsidRPr="000869F4">
        <w:t>8%</w:t>
      </w:r>
      <w:r w:rsidR="00D62519">
        <w:t>]</w:t>
      </w:r>
      <w:r w:rsidR="000869F4" w:rsidRPr="000869F4">
        <w:t>)</w:t>
      </w:r>
      <w:r w:rsidR="000E44AD">
        <w:t>.</w:t>
      </w:r>
      <w:r w:rsidR="00406F6D">
        <w:t xml:space="preserve"> </w:t>
      </w:r>
      <w:r w:rsidR="0044795C" w:rsidRPr="005345A6">
        <w:t xml:space="preserve">No SAEs </w:t>
      </w:r>
      <w:r w:rsidR="0044795C">
        <w:t>related to</w:t>
      </w:r>
      <w:r w:rsidR="0044795C" w:rsidRPr="005345A6">
        <w:t xml:space="preserve"> depression were reported in either </w:t>
      </w:r>
      <w:r w:rsidR="0044795C">
        <w:t>group</w:t>
      </w:r>
      <w:r w:rsidR="0044795C" w:rsidRPr="005345A6">
        <w:t>.</w:t>
      </w:r>
    </w:p>
    <w:p w:rsidR="00884CE3" w:rsidRDefault="0044795C">
      <w:pPr>
        <w:spacing w:line="360" w:lineRule="auto"/>
      </w:pPr>
      <w:r w:rsidRPr="006E22E1">
        <w:t xml:space="preserve">No clinically significant </w:t>
      </w:r>
      <w:r w:rsidR="00D425C7">
        <w:t>safety findings</w:t>
      </w:r>
      <w:r w:rsidRPr="006E22E1">
        <w:t xml:space="preserve"> for clinical</w:t>
      </w:r>
      <w:r>
        <w:t xml:space="preserve"> </w:t>
      </w:r>
      <w:r w:rsidRPr="006E22E1">
        <w:t>laboratory parameters, vital signs</w:t>
      </w:r>
      <w:r w:rsidR="00252299">
        <w:t>,</w:t>
      </w:r>
      <w:r w:rsidRPr="006E22E1">
        <w:t xml:space="preserve"> or ECG </w:t>
      </w:r>
      <w:r w:rsidR="003A5241">
        <w:t>results</w:t>
      </w:r>
      <w:r w:rsidR="003A5241" w:rsidRPr="006E22E1">
        <w:t xml:space="preserve"> </w:t>
      </w:r>
      <w:r w:rsidRPr="006E22E1">
        <w:t>(including</w:t>
      </w:r>
      <w:r w:rsidR="0035432D">
        <w:t xml:space="preserve"> corrected QT interval</w:t>
      </w:r>
      <w:r w:rsidRPr="006E22E1">
        <w:t>)</w:t>
      </w:r>
      <w:r w:rsidR="00EA6D6C">
        <w:t xml:space="preserve"> </w:t>
      </w:r>
      <w:r w:rsidR="00250D70" w:rsidRPr="006E22E1">
        <w:t xml:space="preserve">were observed </w:t>
      </w:r>
      <w:r w:rsidR="00250D70">
        <w:t>following</w:t>
      </w:r>
      <w:r w:rsidR="00250D70" w:rsidRPr="006E22E1">
        <w:t xml:space="preserve"> dosing with ozanezumab</w:t>
      </w:r>
      <w:r w:rsidR="00250D70">
        <w:t>.</w:t>
      </w:r>
      <w:r w:rsidR="00250D70" w:rsidRPr="006E22E1">
        <w:t xml:space="preserve"> </w:t>
      </w:r>
      <w:r w:rsidR="00A21F1C">
        <w:t>111</w:t>
      </w:r>
      <w:r w:rsidR="00E011BD" w:rsidRPr="00E011BD">
        <w:t xml:space="preserve"> (74%) </w:t>
      </w:r>
      <w:r w:rsidR="00E011BD">
        <w:t>patients</w:t>
      </w:r>
      <w:r w:rsidR="00E011BD" w:rsidRPr="00E011BD">
        <w:t xml:space="preserve"> in the placebo arm</w:t>
      </w:r>
      <w:r w:rsidR="00E011BD">
        <w:t xml:space="preserve"> and 123 (81%) patients in the ozanezumab arm reported </w:t>
      </w:r>
      <w:r w:rsidR="00F26E3F">
        <w:t>DREs</w:t>
      </w:r>
      <w:r w:rsidR="00250D70">
        <w:t>. The</w:t>
      </w:r>
      <w:r w:rsidR="00E011BD">
        <w:t xml:space="preserve"> difference </w:t>
      </w:r>
      <w:r w:rsidR="00250D70">
        <w:t xml:space="preserve">in the incidence of DREs between arms was </w:t>
      </w:r>
      <w:r w:rsidR="00E011BD">
        <w:t xml:space="preserve">largely due to differences in </w:t>
      </w:r>
      <w:r w:rsidR="00250D70">
        <w:t xml:space="preserve">the incidence of </w:t>
      </w:r>
      <w:r w:rsidR="00E011BD">
        <w:t>respiratory, thoracic</w:t>
      </w:r>
      <w:r w:rsidR="00252299">
        <w:t>,</w:t>
      </w:r>
      <w:r w:rsidR="00E011BD">
        <w:t xml:space="preserve"> and mediastinal disorders </w:t>
      </w:r>
      <w:r w:rsidR="00E011BD" w:rsidRPr="003A0162">
        <w:t>(</w:t>
      </w:r>
      <w:r w:rsidR="008A7752" w:rsidRPr="00C016C2">
        <w:t xml:space="preserve">60 </w:t>
      </w:r>
      <w:r w:rsidR="00ED6E7D" w:rsidRPr="00C016C2">
        <w:t>[</w:t>
      </w:r>
      <w:r w:rsidR="00E011BD" w:rsidRPr="003A0162">
        <w:t>39%</w:t>
      </w:r>
      <w:r w:rsidR="00ED6E7D" w:rsidRPr="003A0162">
        <w:t>]</w:t>
      </w:r>
      <w:r w:rsidR="00E011BD">
        <w:t xml:space="preserve"> patients in the ozanezumab arm </w:t>
      </w:r>
      <w:r w:rsidR="00E011BD" w:rsidRPr="000E44AD">
        <w:t>vs</w:t>
      </w:r>
      <w:r w:rsidR="00E011BD">
        <w:t xml:space="preserve"> </w:t>
      </w:r>
      <w:r w:rsidR="008A7752">
        <w:t xml:space="preserve">44 </w:t>
      </w:r>
      <w:r w:rsidR="00ED6E7D">
        <w:t>[</w:t>
      </w:r>
      <w:r w:rsidR="00E011BD" w:rsidRPr="00ED6E7D">
        <w:t>29%</w:t>
      </w:r>
      <w:r w:rsidR="00ED6E7D">
        <w:t>]</w:t>
      </w:r>
      <w:r w:rsidR="00E011BD">
        <w:t xml:space="preserve"> in the placebo arm). There was a slightly higher incidence of psychiatric disorders reported in the ozanezumab arm (</w:t>
      </w:r>
      <w:r w:rsidR="00ED6E7D">
        <w:t>23 [</w:t>
      </w:r>
      <w:r w:rsidR="00E011BD" w:rsidRPr="00ED6E7D">
        <w:t>15%</w:t>
      </w:r>
      <w:r w:rsidR="00ED6E7D" w:rsidRPr="00ED6E7D">
        <w:t>]</w:t>
      </w:r>
      <w:r w:rsidR="00E011BD" w:rsidRPr="00ED6E7D">
        <w:t xml:space="preserve"> of patients vs</w:t>
      </w:r>
      <w:r w:rsidR="008A7752" w:rsidRPr="00ED6E7D">
        <w:t xml:space="preserve"> 17</w:t>
      </w:r>
      <w:r w:rsidR="00E011BD" w:rsidRPr="00ED6E7D">
        <w:t xml:space="preserve"> </w:t>
      </w:r>
      <w:r w:rsidR="00ED6E7D" w:rsidRPr="00ED6E7D">
        <w:t>[</w:t>
      </w:r>
      <w:r w:rsidR="00E011BD" w:rsidRPr="00ED6E7D">
        <w:t>11%</w:t>
      </w:r>
      <w:r w:rsidR="00ED6E7D" w:rsidRPr="00ED6E7D">
        <w:t>]</w:t>
      </w:r>
      <w:r w:rsidR="00E011BD" w:rsidRPr="00ED6E7D">
        <w:t xml:space="preserve"> in the placebo arm), mainly due to differences in the frequency of insomnia (</w:t>
      </w:r>
      <w:r w:rsidR="00941364">
        <w:t>six</w:t>
      </w:r>
      <w:r w:rsidR="00ED6E7D" w:rsidRPr="00ED6E7D">
        <w:t xml:space="preserve"> [</w:t>
      </w:r>
      <w:r w:rsidR="00E011BD" w:rsidRPr="00ED6E7D">
        <w:t>4%</w:t>
      </w:r>
      <w:r w:rsidR="00ED6E7D" w:rsidRPr="00ED6E7D">
        <w:t>]</w:t>
      </w:r>
      <w:r w:rsidR="00E011BD" w:rsidRPr="00ED6E7D">
        <w:t xml:space="preserve"> in the ozanezumab arm vs</w:t>
      </w:r>
      <w:r w:rsidR="00ED6E7D" w:rsidRPr="00ED6E7D">
        <w:t xml:space="preserve"> </w:t>
      </w:r>
      <w:r w:rsidR="00941364">
        <w:t>one</w:t>
      </w:r>
      <w:r w:rsidR="00E011BD" w:rsidRPr="00ED6E7D">
        <w:t xml:space="preserve"> </w:t>
      </w:r>
      <w:r w:rsidR="00ED6E7D" w:rsidRPr="00ED6E7D">
        <w:t>[</w:t>
      </w:r>
      <w:r w:rsidR="00E011BD" w:rsidRPr="00ED6E7D">
        <w:t>&lt;1%</w:t>
      </w:r>
      <w:r w:rsidR="00ED6E7D" w:rsidRPr="00ED6E7D">
        <w:t>]</w:t>
      </w:r>
      <w:r w:rsidR="00E011BD" w:rsidRPr="00ED6E7D">
        <w:t xml:space="preserve"> in the placebo arm). </w:t>
      </w:r>
      <w:r w:rsidR="00A21F1C" w:rsidRPr="00ED6E7D">
        <w:t>12</w:t>
      </w:r>
      <w:r w:rsidR="00CC36A3" w:rsidRPr="00ED6E7D">
        <w:t xml:space="preserve"> (8%) patients </w:t>
      </w:r>
      <w:r w:rsidR="005503E6">
        <w:t>in</w:t>
      </w:r>
      <w:r w:rsidR="00CC36A3">
        <w:t xml:space="preserve"> the placebo arm and 20 (13%) patients in the ozanezumab arm reported </w:t>
      </w:r>
      <w:r w:rsidR="00E011BD">
        <w:t>DREs of weight loss.</w:t>
      </w:r>
      <w:r w:rsidR="00BD615B">
        <w:t xml:space="preserve"> </w:t>
      </w:r>
      <w:r w:rsidR="00CC36A3">
        <w:t xml:space="preserve">A higher incidence of </w:t>
      </w:r>
      <w:r w:rsidR="00252299">
        <w:t>p</w:t>
      </w:r>
      <w:r w:rsidR="00252299" w:rsidRPr="00252299">
        <w:t xml:space="preserve">ossible </w:t>
      </w:r>
      <w:r w:rsidR="00252299">
        <w:t>s</w:t>
      </w:r>
      <w:r w:rsidR="00252299" w:rsidRPr="00252299">
        <w:t>uicidality</w:t>
      </w:r>
      <w:r w:rsidR="002D4F27">
        <w:t>-</w:t>
      </w:r>
      <w:r w:rsidR="00252299">
        <w:t>r</w:t>
      </w:r>
      <w:r w:rsidR="00252299" w:rsidRPr="00252299">
        <w:t xml:space="preserve">elated </w:t>
      </w:r>
      <w:r w:rsidR="002D4F27">
        <w:t>AEs</w:t>
      </w:r>
      <w:r w:rsidR="00252299" w:rsidRPr="00252299">
        <w:t xml:space="preserve"> </w:t>
      </w:r>
      <w:r w:rsidR="00CC36A3">
        <w:t>was observed in the ozanezumab arm (</w:t>
      </w:r>
      <w:r w:rsidR="00941364">
        <w:t>four</w:t>
      </w:r>
      <w:r w:rsidR="00CC36A3">
        <w:t xml:space="preserve"> patients, 3%) compared with the placebo arm (</w:t>
      </w:r>
      <w:r w:rsidR="00941364">
        <w:t>one</w:t>
      </w:r>
      <w:r w:rsidR="00CC36A3">
        <w:t xml:space="preserve"> patient, &lt;1%). </w:t>
      </w:r>
    </w:p>
    <w:p w:rsidR="00771E35" w:rsidRDefault="006C4A5A">
      <w:pPr>
        <w:spacing w:line="360" w:lineRule="auto"/>
      </w:pPr>
      <w:r>
        <w:t>15</w:t>
      </w:r>
      <w:r w:rsidR="00537466">
        <w:t xml:space="preserve"> (10%) patients i</w:t>
      </w:r>
      <w:r w:rsidR="00771E35" w:rsidRPr="005345A6">
        <w:t>n the ozanezumab</w:t>
      </w:r>
      <w:r w:rsidR="00537466">
        <w:t xml:space="preserve"> group</w:t>
      </w:r>
      <w:r w:rsidR="00771E35" w:rsidRPr="005345A6">
        <w:t xml:space="preserve"> tested positive for </w:t>
      </w:r>
      <w:r w:rsidR="00B940BD">
        <w:t>anti-drug antibodies (</w:t>
      </w:r>
      <w:r w:rsidR="00771E35" w:rsidRPr="005345A6">
        <w:t>ADA</w:t>
      </w:r>
      <w:r w:rsidR="00B940BD">
        <w:t>)</w:t>
      </w:r>
      <w:r w:rsidR="00537466">
        <w:t xml:space="preserve"> post-baseline. One of these patients tested</w:t>
      </w:r>
      <w:r w:rsidR="00771E35" w:rsidRPr="005345A6">
        <w:t xml:space="preserve"> positive for neutrali</w:t>
      </w:r>
      <w:r w:rsidR="00537466">
        <w:t>s</w:t>
      </w:r>
      <w:r w:rsidR="00771E35" w:rsidRPr="005345A6">
        <w:t>ing ADA</w:t>
      </w:r>
      <w:r w:rsidR="00537466">
        <w:t xml:space="preserve">, but there was no evidence of AEs related to immunogenicity </w:t>
      </w:r>
      <w:r w:rsidR="00537466" w:rsidRPr="005345A6">
        <w:t>(</w:t>
      </w:r>
      <w:proofErr w:type="spellStart"/>
      <w:r w:rsidR="00537466" w:rsidRPr="005345A6">
        <w:t>eg</w:t>
      </w:r>
      <w:proofErr w:type="spellEnd"/>
      <w:r w:rsidR="001E12D1">
        <w:t>,</w:t>
      </w:r>
      <w:r w:rsidR="00537466" w:rsidRPr="005345A6">
        <w:t xml:space="preserve"> hypersensitivity, rash) </w:t>
      </w:r>
      <w:r w:rsidR="00537466">
        <w:t xml:space="preserve">or any </w:t>
      </w:r>
      <w:r w:rsidR="00771E35" w:rsidRPr="005345A6">
        <w:t xml:space="preserve">impact on efficacy or </w:t>
      </w:r>
      <w:r w:rsidR="00FF012D">
        <w:t>PK</w:t>
      </w:r>
      <w:r w:rsidR="00D425C7">
        <w:t xml:space="preserve"> in this </w:t>
      </w:r>
      <w:r w:rsidR="00002FDE">
        <w:t>patien</w:t>
      </w:r>
      <w:r w:rsidR="00D425C7">
        <w:t>t</w:t>
      </w:r>
      <w:r w:rsidR="00771E35" w:rsidRPr="005345A6">
        <w:t xml:space="preserve">. </w:t>
      </w:r>
    </w:p>
    <w:p w:rsidR="001528D8" w:rsidRDefault="001528D8">
      <w:pPr>
        <w:spacing w:line="360" w:lineRule="auto"/>
        <w:rPr>
          <w:b/>
        </w:rPr>
      </w:pPr>
    </w:p>
    <w:p w:rsidR="002C3394" w:rsidRDefault="003B6AAD" w:rsidP="00FD4D14">
      <w:pPr>
        <w:spacing w:line="360" w:lineRule="auto"/>
        <w:outlineLvl w:val="0"/>
        <w:rPr>
          <w:b/>
        </w:rPr>
      </w:pPr>
      <w:r w:rsidRPr="005345A6">
        <w:rPr>
          <w:b/>
        </w:rPr>
        <w:lastRenderedPageBreak/>
        <w:t>DISCUSSION</w:t>
      </w:r>
      <w:r w:rsidR="0067601F" w:rsidRPr="005345A6">
        <w:rPr>
          <w:b/>
        </w:rPr>
        <w:t xml:space="preserve"> </w:t>
      </w:r>
    </w:p>
    <w:p w:rsidR="00E85BD7" w:rsidRDefault="000645CF">
      <w:pPr>
        <w:spacing w:line="360" w:lineRule="auto"/>
      </w:pPr>
      <w:r>
        <w:t>I</w:t>
      </w:r>
      <w:r w:rsidR="009D4ADA">
        <w:t>n</w:t>
      </w:r>
      <w:r>
        <w:t xml:space="preserve"> this phase 2 study</w:t>
      </w:r>
      <w:r w:rsidR="00E85BD7">
        <w:t>, o</w:t>
      </w:r>
      <w:r w:rsidR="001F7826">
        <w:t>zanezumab did not show any evidence of efficacy</w:t>
      </w:r>
      <w:r w:rsidR="00E130BD">
        <w:rPr>
          <w:rFonts w:cs="Calibri"/>
          <w:szCs w:val="22"/>
        </w:rPr>
        <w:t>—</w:t>
      </w:r>
      <w:r w:rsidR="001F7826">
        <w:t xml:space="preserve">instead, the primary and all secondary efficacy endpoints showed small, non-significant differences in favour of placebo. </w:t>
      </w:r>
      <w:r>
        <w:t xml:space="preserve">However, ozanezumab was generally well tolerated; rates of AEs, SAEs, and </w:t>
      </w:r>
      <w:r w:rsidRPr="00DE65F4">
        <w:t xml:space="preserve">AEs leading to permanent discontinuation of study drug or withdrawal from the study </w:t>
      </w:r>
      <w:r>
        <w:t xml:space="preserve">were similar in the ozanezumab and placebo arms. </w:t>
      </w:r>
      <w:r w:rsidR="001C3B80">
        <w:t xml:space="preserve"> </w:t>
      </w:r>
    </w:p>
    <w:p w:rsidR="00F75B01" w:rsidRDefault="004E479E">
      <w:pPr>
        <w:spacing w:line="360" w:lineRule="auto"/>
      </w:pPr>
      <w:r>
        <w:t>These findings are</w:t>
      </w:r>
      <w:r w:rsidR="00B70E4C">
        <w:t xml:space="preserve"> somewhat surprising </w:t>
      </w:r>
      <w:r w:rsidR="002719DB">
        <w:t xml:space="preserve">because the results of </w:t>
      </w:r>
      <w:r w:rsidR="000E6FA1">
        <w:t>p</w:t>
      </w:r>
      <w:r w:rsidR="000E6FA1" w:rsidRPr="00B70E4C">
        <w:t xml:space="preserve">revious </w:t>
      </w:r>
      <w:r w:rsidR="005067E3" w:rsidRPr="00B70E4C">
        <w:t xml:space="preserve">studies </w:t>
      </w:r>
      <w:r w:rsidR="00CE37ED">
        <w:t>had</w:t>
      </w:r>
      <w:r w:rsidR="005067E3" w:rsidRPr="00B70E4C">
        <w:t xml:space="preserve"> </w:t>
      </w:r>
      <w:r w:rsidR="002719DB">
        <w:t xml:space="preserve">suggested </w:t>
      </w:r>
      <w:r w:rsidR="005067E3" w:rsidRPr="00B70E4C">
        <w:t xml:space="preserve">a link between Nogo-A and ALS, </w:t>
      </w:r>
      <w:r w:rsidR="005067E3">
        <w:t>illustrated</w:t>
      </w:r>
      <w:r w:rsidR="005067E3" w:rsidRPr="00CF7331">
        <w:t xml:space="preserve"> by the upregulation of Nogo-A in </w:t>
      </w:r>
      <w:r w:rsidR="005067E3">
        <w:t xml:space="preserve">the </w:t>
      </w:r>
      <w:r w:rsidR="005067E3" w:rsidRPr="00CF7331">
        <w:t xml:space="preserve">skeletal muscle </w:t>
      </w:r>
      <w:r w:rsidR="005067E3">
        <w:t xml:space="preserve">of patients with ALS </w:t>
      </w:r>
      <w:r w:rsidR="005067E3" w:rsidRPr="00CF7331">
        <w:t xml:space="preserve">and </w:t>
      </w:r>
      <w:r w:rsidR="00CE37ED">
        <w:t>its</w:t>
      </w:r>
      <w:r w:rsidR="005067E3" w:rsidRPr="00CF7331">
        <w:t xml:space="preserve"> relation</w:t>
      </w:r>
      <w:r w:rsidR="000D400D">
        <w:t xml:space="preserve"> </w:t>
      </w:r>
      <w:r w:rsidR="00CE37ED">
        <w:t>with</w:t>
      </w:r>
      <w:r w:rsidR="005067E3">
        <w:t xml:space="preserve"> </w:t>
      </w:r>
      <w:r w:rsidR="005067E3" w:rsidRPr="00CF7331">
        <w:t>disease severity.</w:t>
      </w:r>
      <w:r w:rsidR="008E478E">
        <w:rPr>
          <w:noProof/>
          <w:vertAlign w:val="superscript"/>
        </w:rPr>
        <w:t>8</w:t>
      </w:r>
      <w:r w:rsidR="000463F2" w:rsidRPr="000463F2">
        <w:rPr>
          <w:noProof/>
          <w:vertAlign w:val="superscript"/>
        </w:rPr>
        <w:t>,</w:t>
      </w:r>
      <w:r w:rsidR="002B6D4E">
        <w:rPr>
          <w:noProof/>
          <w:vertAlign w:val="superscript"/>
        </w:rPr>
        <w:t>9,</w:t>
      </w:r>
      <w:r w:rsidR="00156ABC">
        <w:rPr>
          <w:noProof/>
          <w:vertAlign w:val="superscript"/>
        </w:rPr>
        <w:t>19</w:t>
      </w:r>
      <w:r w:rsidR="005067E3">
        <w:t xml:space="preserve"> </w:t>
      </w:r>
      <w:r w:rsidR="002719DB">
        <w:t xml:space="preserve">Although </w:t>
      </w:r>
      <w:r w:rsidR="007422E4" w:rsidRPr="007422E4">
        <w:t xml:space="preserve">Nogo-A overexpression was also observed in skeletal muscle in other neuromuscular diseases, leading to suggestions that this </w:t>
      </w:r>
      <w:r w:rsidR="000645CF">
        <w:t xml:space="preserve">might be </w:t>
      </w:r>
      <w:r w:rsidR="007422E4" w:rsidRPr="007422E4">
        <w:t>a non-specific marker of denervation,</w:t>
      </w:r>
      <w:r w:rsidR="00156ABC">
        <w:rPr>
          <w:vertAlign w:val="superscript"/>
        </w:rPr>
        <w:t>20, 21</w:t>
      </w:r>
      <w:r w:rsidR="007422E4" w:rsidRPr="007422E4">
        <w:t xml:space="preserve"> in patients with pure lower motor neuron syndrome, Nogo-A expression in skeletal muscle tissue predicted conversion to ALS with 91% accuracy, 94% sensitivity</w:t>
      </w:r>
      <w:r w:rsidR="002719DB">
        <w:t>,</w:t>
      </w:r>
      <w:r w:rsidR="007422E4" w:rsidRPr="007422E4">
        <w:t xml:space="preserve"> and 88% specificity.</w:t>
      </w:r>
      <w:r w:rsidR="00156ABC">
        <w:rPr>
          <w:vertAlign w:val="superscript"/>
        </w:rPr>
        <w:t>19</w:t>
      </w:r>
      <w:r w:rsidR="007422E4" w:rsidRPr="007422E4">
        <w:t xml:space="preserve"> In ALS, it has been suggested that neuromuscular junction destabilisation and neurite retraction might precede degeneration of spinal motor neurons (the “dying-back phenomenon”).</w:t>
      </w:r>
      <w:r w:rsidR="00D242AE">
        <w:rPr>
          <w:vertAlign w:val="superscript"/>
        </w:rPr>
        <w:t>22</w:t>
      </w:r>
      <w:r w:rsidR="007422E4" w:rsidRPr="007422E4">
        <w:t xml:space="preserve"> Studies in mice supported a potential role for Nogo-A in this process. In the </w:t>
      </w:r>
      <w:r w:rsidR="007422E4" w:rsidRPr="000E44AD">
        <w:rPr>
          <w:i/>
        </w:rPr>
        <w:t>SOD1</w:t>
      </w:r>
      <w:r w:rsidR="007422E4" w:rsidRPr="000E44AD">
        <w:rPr>
          <w:vertAlign w:val="superscript"/>
        </w:rPr>
        <w:t>G86R</w:t>
      </w:r>
      <w:r w:rsidR="007422E4" w:rsidRPr="007422E4">
        <w:t xml:space="preserve"> mouse model of ALS, Nogo-A expression was upregulated in skeletal muscle </w:t>
      </w:r>
      <w:r w:rsidR="002719DB">
        <w:t>before</w:t>
      </w:r>
      <w:r w:rsidR="007422E4" w:rsidRPr="007422E4">
        <w:t xml:space="preserve"> the onset of the phenotypic manifestations and was associated with an increase in markers of denervation, </w:t>
      </w:r>
      <w:r w:rsidR="002719DB">
        <w:t xml:space="preserve">whereas </w:t>
      </w:r>
      <w:r w:rsidR="007422E4" w:rsidRPr="007422E4">
        <w:t xml:space="preserve">genetic ablation of Nogo-A attenuated this denervation and extended </w:t>
      </w:r>
      <w:r w:rsidR="002719DB">
        <w:t xml:space="preserve">the </w:t>
      </w:r>
      <w:r w:rsidR="007422E4" w:rsidRPr="007422E4">
        <w:t>survival of the m</w:t>
      </w:r>
      <w:r w:rsidR="002719DB">
        <w:t>ic</w:t>
      </w:r>
      <w:r w:rsidR="007422E4" w:rsidRPr="007422E4">
        <w:t>e.</w:t>
      </w:r>
      <w:r w:rsidR="002B6D4E">
        <w:rPr>
          <w:vertAlign w:val="superscript"/>
        </w:rPr>
        <w:t>11</w:t>
      </w:r>
      <w:r w:rsidR="007422E4" w:rsidRPr="007422E4">
        <w:t xml:space="preserve"> In wild</w:t>
      </w:r>
      <w:r w:rsidR="00FF012D">
        <w:t>-</w:t>
      </w:r>
      <w:r w:rsidR="007422E4" w:rsidRPr="007422E4">
        <w:t>type mice, ectopic overexpression of Nogo-A in the skeletal muscle was associated with degeneration of the neuromuscular junction and retraction of the nerve terminal.</w:t>
      </w:r>
      <w:r w:rsidR="00E367AA">
        <w:rPr>
          <w:vertAlign w:val="superscript"/>
        </w:rPr>
        <w:t>11</w:t>
      </w:r>
      <w:r w:rsidR="007422E4" w:rsidRPr="007422E4">
        <w:t xml:space="preserve"> These findings led to the therapeutic hypothesis that blockade of Nogo-A signalling could prevent motor neuron loss in ALS.</w:t>
      </w:r>
      <w:r w:rsidR="002B6D4E">
        <w:rPr>
          <w:vertAlign w:val="superscript"/>
        </w:rPr>
        <w:t>9</w:t>
      </w:r>
      <w:r w:rsidR="007422E4" w:rsidRPr="000E44AD">
        <w:rPr>
          <w:vertAlign w:val="superscript"/>
        </w:rPr>
        <w:t>,</w:t>
      </w:r>
      <w:r w:rsidR="002B6D4E">
        <w:rPr>
          <w:vertAlign w:val="superscript"/>
        </w:rPr>
        <w:t>11</w:t>
      </w:r>
      <w:r w:rsidR="007422E4" w:rsidRPr="007422E4">
        <w:t xml:space="preserve"> In the preclinical development programme, ozanezumab </w:t>
      </w:r>
      <w:r w:rsidR="004540CF">
        <w:t xml:space="preserve">resulted in </w:t>
      </w:r>
      <w:r w:rsidR="007422E4" w:rsidRPr="007422E4">
        <w:t>a dose-dependent decrease or reversal of neurite outgrowth inhibition in a rat post-natal cerebellar granular neuron culture.</w:t>
      </w:r>
      <w:r w:rsidR="00697119">
        <w:rPr>
          <w:vertAlign w:val="superscript"/>
        </w:rPr>
        <w:t>16</w:t>
      </w:r>
      <w:r w:rsidR="007422E4">
        <w:t xml:space="preserve"> </w:t>
      </w:r>
      <w:r w:rsidR="00CE37ED" w:rsidRPr="007422E4">
        <w:t>Furthermore</w:t>
      </w:r>
      <w:r w:rsidR="00CE37ED">
        <w:t>, t</w:t>
      </w:r>
      <w:r w:rsidR="00CE37ED" w:rsidRPr="00CE37ED">
        <w:t>he murine parent antibody of ozanezumab</w:t>
      </w:r>
      <w:r w:rsidR="00CE37ED">
        <w:t xml:space="preserve"> </w:t>
      </w:r>
      <w:r w:rsidR="004540CF">
        <w:t xml:space="preserve">had </w:t>
      </w:r>
      <w:r w:rsidR="00DA0414">
        <w:t>a</w:t>
      </w:r>
      <w:r w:rsidR="009159E5">
        <w:t xml:space="preserve"> positive</w:t>
      </w:r>
      <w:r w:rsidR="00DA0414">
        <w:t xml:space="preserve"> effect </w:t>
      </w:r>
      <w:r w:rsidR="00CE37ED">
        <w:t xml:space="preserve">in </w:t>
      </w:r>
      <w:r w:rsidR="005067E3">
        <w:t xml:space="preserve">the </w:t>
      </w:r>
      <w:r w:rsidR="005067E3" w:rsidRPr="004D770F">
        <w:rPr>
          <w:i/>
        </w:rPr>
        <w:t>SOD1</w:t>
      </w:r>
      <w:r w:rsidR="005067E3" w:rsidRPr="00950E13">
        <w:rPr>
          <w:vertAlign w:val="superscript"/>
        </w:rPr>
        <w:t>G93A</w:t>
      </w:r>
      <w:r w:rsidR="005067E3">
        <w:t xml:space="preserve"> mutant transgenic mouse model of ALS, </w:t>
      </w:r>
      <w:r w:rsidR="00CE37ED">
        <w:t>where it</w:t>
      </w:r>
      <w:r w:rsidR="005067E3" w:rsidRPr="00365D13">
        <w:t xml:space="preserve"> </w:t>
      </w:r>
      <w:r w:rsidR="007422E4" w:rsidRPr="007422E4">
        <w:t>improved spinal motor neuron and motor unit survival and increased skeletal muscle force</w:t>
      </w:r>
      <w:r w:rsidR="007422E4" w:rsidRPr="000E44AD">
        <w:rPr>
          <w:vertAlign w:val="superscript"/>
        </w:rPr>
        <w:t>1</w:t>
      </w:r>
      <w:r w:rsidR="00E367AA">
        <w:rPr>
          <w:vertAlign w:val="superscript"/>
        </w:rPr>
        <w:t>0</w:t>
      </w:r>
      <w:r w:rsidR="007422E4" w:rsidRPr="007422E4">
        <w:t xml:space="preserve"> and statistically </w:t>
      </w:r>
      <w:r w:rsidR="005067E3" w:rsidRPr="00365D13">
        <w:t xml:space="preserve">significantly delayed the time to </w:t>
      </w:r>
      <w:r w:rsidR="007F0BC8">
        <w:t>symptom</w:t>
      </w:r>
      <w:r w:rsidR="007F0BC8" w:rsidRPr="00365D13">
        <w:t xml:space="preserve"> </w:t>
      </w:r>
      <w:r w:rsidR="005067E3" w:rsidRPr="00365D13">
        <w:t>onset</w:t>
      </w:r>
      <w:r w:rsidR="007422E4">
        <w:t xml:space="preserve"> </w:t>
      </w:r>
      <w:r w:rsidR="007422E4" w:rsidRPr="007422E4">
        <w:t xml:space="preserve">(assessed as magnitude of motor deficit compared </w:t>
      </w:r>
      <w:r w:rsidR="001D5BC2">
        <w:t>with</w:t>
      </w:r>
      <w:r w:rsidR="001D5BC2" w:rsidRPr="007422E4">
        <w:t xml:space="preserve"> </w:t>
      </w:r>
      <w:r w:rsidR="007422E4" w:rsidRPr="007422E4">
        <w:t>vehicle controls)</w:t>
      </w:r>
      <w:r w:rsidR="007422E4">
        <w:t xml:space="preserve"> and time to death (unpublished)</w:t>
      </w:r>
      <w:r w:rsidR="005067E3">
        <w:t xml:space="preserve">. </w:t>
      </w:r>
      <w:r w:rsidR="007422E4" w:rsidRPr="007422E4">
        <w:t xml:space="preserve">In these studies, </w:t>
      </w:r>
      <w:r w:rsidR="007422E4" w:rsidRPr="007422E4">
        <w:lastRenderedPageBreak/>
        <w:t xml:space="preserve">antibody treatment at </w:t>
      </w:r>
      <w:r w:rsidR="004A4C9E">
        <w:t xml:space="preserve">an </w:t>
      </w:r>
      <w:r w:rsidR="007422E4" w:rsidRPr="007422E4">
        <w:t xml:space="preserve">early symptomatic stage (70 days after birth) led to statistically significant functional benefits and a </w:t>
      </w:r>
      <w:r w:rsidR="004540CF">
        <w:t xml:space="preserve">slight </w:t>
      </w:r>
      <w:r w:rsidR="007422E4" w:rsidRPr="007422E4">
        <w:t>reduction in markers of muscle denervation at the late symptomatic stage of 90 days, although many</w:t>
      </w:r>
      <w:r w:rsidR="00BB3119">
        <w:t xml:space="preserve"> </w:t>
      </w:r>
      <w:r w:rsidR="007422E4" w:rsidRPr="007422E4">
        <w:t xml:space="preserve">of these differences were not maintained by </w:t>
      </w:r>
      <w:r w:rsidR="004540CF">
        <w:t>d</w:t>
      </w:r>
      <w:r w:rsidR="001D5BC2" w:rsidRPr="007422E4">
        <w:t xml:space="preserve">ay </w:t>
      </w:r>
      <w:r w:rsidR="007422E4" w:rsidRPr="007422E4">
        <w:t>120.</w:t>
      </w:r>
      <w:r w:rsidR="007422E4" w:rsidRPr="000E44AD">
        <w:rPr>
          <w:vertAlign w:val="superscript"/>
        </w:rPr>
        <w:t>1</w:t>
      </w:r>
      <w:r w:rsidR="00E367AA">
        <w:rPr>
          <w:vertAlign w:val="superscript"/>
        </w:rPr>
        <w:t>0</w:t>
      </w:r>
      <w:r w:rsidR="007422E4" w:rsidRPr="007422E4">
        <w:t xml:space="preserve"> </w:t>
      </w:r>
      <w:r w:rsidR="005067E3">
        <w:t>In a subsequent first-in-human study, ozanezumab was well</w:t>
      </w:r>
      <w:r w:rsidR="007E67C5">
        <w:t xml:space="preserve"> </w:t>
      </w:r>
      <w:r w:rsidR="005067E3">
        <w:t xml:space="preserve">tolerated and although the study was </w:t>
      </w:r>
      <w:r w:rsidR="00CE23CE">
        <w:t xml:space="preserve">not </w:t>
      </w:r>
      <w:r w:rsidR="00DA0414">
        <w:t>designed</w:t>
      </w:r>
      <w:r w:rsidR="005067E3">
        <w:t xml:space="preserve"> to </w:t>
      </w:r>
      <w:r w:rsidR="004540CF">
        <w:t xml:space="preserve">assess </w:t>
      </w:r>
      <w:r w:rsidR="005067E3">
        <w:t xml:space="preserve">efficacy, results for functional endpoints </w:t>
      </w:r>
      <w:r w:rsidR="007422E4" w:rsidRPr="007422E4">
        <w:t xml:space="preserve">(such as ALSFRS-R </w:t>
      </w:r>
      <w:r w:rsidR="004540CF">
        <w:t xml:space="preserve">and </w:t>
      </w:r>
      <w:r w:rsidR="007422E4" w:rsidRPr="007422E4">
        <w:t xml:space="preserve">SVC) and manual muscle testing </w:t>
      </w:r>
      <w:r w:rsidR="005067E3">
        <w:t xml:space="preserve">were numerically in favour of ozanezumab </w:t>
      </w:r>
      <w:r w:rsidR="00D2263D">
        <w:t xml:space="preserve">at </w:t>
      </w:r>
      <w:r w:rsidR="005067E3">
        <w:t>the highest dose</w:t>
      </w:r>
      <w:r w:rsidR="007422E4">
        <w:t xml:space="preserve"> </w:t>
      </w:r>
      <w:r w:rsidR="007422E4" w:rsidRPr="007422E4">
        <w:t>of 15 mg/kg</w:t>
      </w:r>
      <w:r w:rsidR="005067E3">
        <w:t>.</w:t>
      </w:r>
      <w:r w:rsidRPr="0055295D">
        <w:rPr>
          <w:noProof/>
          <w:vertAlign w:val="superscript"/>
        </w:rPr>
        <w:t>5</w:t>
      </w:r>
      <w:r w:rsidR="00CE37ED">
        <w:t xml:space="preserve"> </w:t>
      </w:r>
      <w:r w:rsidR="007422E4" w:rsidRPr="007422E4">
        <w:t xml:space="preserve">Taken collectively, the results of these studies were deemed sufficient to move to a </w:t>
      </w:r>
      <w:r w:rsidR="004540CF">
        <w:t>p</w:t>
      </w:r>
      <w:r w:rsidR="001D5BC2" w:rsidRPr="007422E4">
        <w:t xml:space="preserve">hase </w:t>
      </w:r>
      <w:r w:rsidR="004540CF">
        <w:t>2</w:t>
      </w:r>
      <w:r w:rsidR="007422E4" w:rsidRPr="007422E4">
        <w:t xml:space="preserve"> efficacy study.</w:t>
      </w:r>
      <w:r w:rsidR="007422E4">
        <w:t xml:space="preserve"> </w:t>
      </w:r>
    </w:p>
    <w:p w:rsidR="00131A35" w:rsidRDefault="00E0189B">
      <w:pPr>
        <w:spacing w:line="360" w:lineRule="auto"/>
      </w:pPr>
      <w:r>
        <w:t>T</w:t>
      </w:r>
      <w:r w:rsidR="00CE37ED">
        <w:t xml:space="preserve">he results </w:t>
      </w:r>
      <w:r>
        <w:t xml:space="preserve">of the current study, although negative, </w:t>
      </w:r>
      <w:r w:rsidR="00CE37ED">
        <w:t xml:space="preserve">are robust and important. The study population was representative of patients with mild to moderate ALS, with concomitant medical </w:t>
      </w:r>
      <w:r w:rsidR="004540CF">
        <w:t xml:space="preserve">disorders </w:t>
      </w:r>
      <w:r w:rsidR="00CE37ED">
        <w:t>that were as expected for this population. Demographic and baseline disease characteristics were similar between the two treatment groups, and the functional decline observed with placebo was similar to that reported in other clinical studies of ALS.</w:t>
      </w:r>
      <w:r w:rsidR="0027510F">
        <w:rPr>
          <w:noProof/>
          <w:vertAlign w:val="superscript"/>
        </w:rPr>
        <w:t>13</w:t>
      </w:r>
      <w:r w:rsidR="00CE37ED">
        <w:t xml:space="preserve"> </w:t>
      </w:r>
      <w:r w:rsidR="000B1379">
        <w:t>A further strength is that t</w:t>
      </w:r>
      <w:r w:rsidR="00D07B86">
        <w:t xml:space="preserve">he study had an IDMC in place for the periodic review of safety and efficacy data, and was </w:t>
      </w:r>
      <w:r w:rsidR="004540CF">
        <w:t xml:space="preserve">done in </w:t>
      </w:r>
      <w:r w:rsidR="00D07B86">
        <w:t>accord</w:t>
      </w:r>
      <w:r w:rsidR="004540CF">
        <w:t>a</w:t>
      </w:r>
      <w:r w:rsidR="00D07B86">
        <w:t>n</w:t>
      </w:r>
      <w:r w:rsidR="004540CF">
        <w:t>ce</w:t>
      </w:r>
      <w:r w:rsidR="00D07B86">
        <w:t xml:space="preserve"> </w:t>
      </w:r>
      <w:r w:rsidR="004540CF">
        <w:t xml:space="preserve">with </w:t>
      </w:r>
      <w:r w:rsidR="00D07B86">
        <w:t xml:space="preserve">a </w:t>
      </w:r>
      <w:r w:rsidR="004540CF">
        <w:t>two</w:t>
      </w:r>
      <w:r w:rsidR="00D07B86">
        <w:t>-part design to protect patient safety</w:t>
      </w:r>
      <w:r w:rsidR="00461EB8">
        <w:t xml:space="preserve"> because </w:t>
      </w:r>
      <w:r w:rsidR="00461EB8" w:rsidRPr="002A4418">
        <w:t>the dosing regimen used had not been tested in humans previously</w:t>
      </w:r>
      <w:r w:rsidR="00D07B86">
        <w:t xml:space="preserve">. </w:t>
      </w:r>
    </w:p>
    <w:p w:rsidR="00F75B01" w:rsidRDefault="00E85BD7">
      <w:pPr>
        <w:spacing w:line="360" w:lineRule="auto"/>
      </w:pPr>
      <w:r>
        <w:t xml:space="preserve">Based on </w:t>
      </w:r>
      <w:r w:rsidRPr="00126D17">
        <w:t>modelling</w:t>
      </w:r>
      <w:r>
        <w:t xml:space="preserve"> </w:t>
      </w:r>
      <w:r w:rsidR="004540CF">
        <w:t xml:space="preserve">done with </w:t>
      </w:r>
      <w:r>
        <w:t xml:space="preserve">preclinical and clinical data from previous studies, the dose </w:t>
      </w:r>
      <w:r w:rsidR="00331B22">
        <w:t>regimen</w:t>
      </w:r>
      <w:r>
        <w:t xml:space="preserve"> </w:t>
      </w:r>
      <w:r w:rsidR="00F75B01">
        <w:t xml:space="preserve">used in this study </w:t>
      </w:r>
      <w:r>
        <w:t xml:space="preserve">was predicted to </w:t>
      </w:r>
      <w:r w:rsidRPr="00083D89">
        <w:t>achieve &gt;90% co-localisation of</w:t>
      </w:r>
      <w:r>
        <w:t xml:space="preserve"> </w:t>
      </w:r>
      <w:r w:rsidRPr="00083D89">
        <w:t xml:space="preserve">ozanezumab </w:t>
      </w:r>
      <w:r>
        <w:t xml:space="preserve">with </w:t>
      </w:r>
      <w:r w:rsidRPr="00083D89">
        <w:t>Nogo</w:t>
      </w:r>
      <w:r>
        <w:t>-</w:t>
      </w:r>
      <w:r w:rsidRPr="00083D89">
        <w:t>A</w:t>
      </w:r>
      <w:r w:rsidR="00D2263D">
        <w:t>,</w:t>
      </w:r>
      <w:r w:rsidR="00EE18A1">
        <w:t xml:space="preserve"> which</w:t>
      </w:r>
      <w:r w:rsidR="00503DBC">
        <w:t xml:space="preserve"> </w:t>
      </w:r>
      <w:r w:rsidR="00EE18A1">
        <w:t xml:space="preserve">was anticipated to achieve a relevant </w:t>
      </w:r>
      <w:r w:rsidR="0085430D">
        <w:t>p</w:t>
      </w:r>
      <w:r w:rsidR="00D242AE">
        <w:t>harmacodynamics</w:t>
      </w:r>
      <w:r w:rsidR="00EE18A1">
        <w:t xml:space="preserve"> effect</w:t>
      </w:r>
      <w:r w:rsidR="00F75B01">
        <w:t>.</w:t>
      </w:r>
      <w:r w:rsidR="00697119">
        <w:rPr>
          <w:noProof/>
          <w:vertAlign w:val="superscript"/>
        </w:rPr>
        <w:t>15</w:t>
      </w:r>
      <w:r>
        <w:t xml:space="preserve"> </w:t>
      </w:r>
      <w:r w:rsidR="00F75B01">
        <w:t>P</w:t>
      </w:r>
      <w:r>
        <w:t xml:space="preserve">lasma concentrations of ozanezumab observed during the study </w:t>
      </w:r>
      <w:r w:rsidR="00F75B01">
        <w:t xml:space="preserve">confirm </w:t>
      </w:r>
      <w:r w:rsidR="00F75B01" w:rsidRPr="005345A6">
        <w:t xml:space="preserve">that </w:t>
      </w:r>
      <w:r w:rsidR="00F75B01">
        <w:t xml:space="preserve">the </w:t>
      </w:r>
      <w:r w:rsidR="00F75B01" w:rsidRPr="00C84399">
        <w:t>targeted level of exposure to ozanezumab was achieved</w:t>
      </w:r>
      <w:r w:rsidR="00F75B01">
        <w:t xml:space="preserve"> and maintained over the duration of dosing, suggesting that dosing was optim</w:t>
      </w:r>
      <w:r w:rsidR="004540CF">
        <w:t>um</w:t>
      </w:r>
      <w:r w:rsidR="00F75B01">
        <w:t>.</w:t>
      </w:r>
      <w:r>
        <w:t xml:space="preserve"> Furthermore, r</w:t>
      </w:r>
      <w:r w:rsidRPr="005345A6">
        <w:t xml:space="preserve">iluzole </w:t>
      </w:r>
      <w:r w:rsidR="004540CF">
        <w:t xml:space="preserve">concentrations </w:t>
      </w:r>
      <w:r w:rsidRPr="005345A6">
        <w:t xml:space="preserve">were consistent with </w:t>
      </w:r>
      <w:r w:rsidR="004540CF">
        <w:t>those reported</w:t>
      </w:r>
      <w:r w:rsidR="00FB538D">
        <w:t xml:space="preserve"> previously</w:t>
      </w:r>
      <w:proofErr w:type="gramStart"/>
      <w:r w:rsidRPr="005345A6">
        <w:t>,</w:t>
      </w:r>
      <w:r w:rsidR="00D242AE">
        <w:rPr>
          <w:noProof/>
          <w:vertAlign w:val="superscript"/>
        </w:rPr>
        <w:t>,23,24</w:t>
      </w:r>
      <w:proofErr w:type="gramEnd"/>
      <w:r w:rsidRPr="005345A6">
        <w:t xml:space="preserve"> remained consistent over th</w:t>
      </w:r>
      <w:r>
        <w:t xml:space="preserve">e duration of ozanezumab dosing, and </w:t>
      </w:r>
      <w:r w:rsidRPr="005345A6">
        <w:t xml:space="preserve">were generally similar for both </w:t>
      </w:r>
      <w:r w:rsidR="00A11B4F">
        <w:t>treatment</w:t>
      </w:r>
      <w:r w:rsidRPr="005345A6">
        <w:t xml:space="preserve"> groups,</w:t>
      </w:r>
      <w:r>
        <w:t xml:space="preserve"> </w:t>
      </w:r>
      <w:r w:rsidRPr="005345A6">
        <w:t>suggest</w:t>
      </w:r>
      <w:r w:rsidR="00331B22">
        <w:t>ing</w:t>
      </w:r>
      <w:r w:rsidRPr="005345A6">
        <w:t xml:space="preserve"> that there was no PK interaction between ozanezumab and riluzole.</w:t>
      </w:r>
      <w:r>
        <w:t xml:space="preserve"> </w:t>
      </w:r>
    </w:p>
    <w:p w:rsidR="004661C0" w:rsidRPr="00FB538D" w:rsidRDefault="004661C0">
      <w:pPr>
        <w:spacing w:line="360" w:lineRule="auto"/>
      </w:pPr>
      <w:r w:rsidRPr="00282C48">
        <w:t xml:space="preserve">The primary endpoint was a combined analysis of </w:t>
      </w:r>
      <w:r w:rsidR="005E476D" w:rsidRPr="00282C48">
        <w:t xml:space="preserve">the two key aspects of ALS progression—namely, </w:t>
      </w:r>
      <w:r w:rsidRPr="00282C48">
        <w:t>function</w:t>
      </w:r>
      <w:r w:rsidR="005E476D" w:rsidRPr="00282C48">
        <w:t>al decline</w:t>
      </w:r>
      <w:r w:rsidRPr="00282C48">
        <w:t xml:space="preserve"> and survival, which is intended to address the limitations of these endpoints when used individually. Survival as an endpoint is robust and </w:t>
      </w:r>
      <w:r w:rsidRPr="00282C48">
        <w:lastRenderedPageBreak/>
        <w:t>reliably determined, but potentially less sensitive than functional endpoints and so would require studies with longer duration or larger sample sizes.</w:t>
      </w:r>
      <w:r w:rsidR="00904269">
        <w:rPr>
          <w:noProof/>
          <w:vertAlign w:val="superscript"/>
        </w:rPr>
        <w:t>25</w:t>
      </w:r>
      <w:r w:rsidRPr="00282C48">
        <w:t xml:space="preserve"> However, analysis of functional endpoints can be confounded by missing data due to deaths during the treatment period. The analysis of the combined survival and functional endpoint used in this study is based on methodology described by Finkelstein and Schoenfeld</w:t>
      </w:r>
      <w:proofErr w:type="gramStart"/>
      <w:r w:rsidR="009D68D8">
        <w:t>,</w:t>
      </w:r>
      <w:r w:rsidR="00904269">
        <w:rPr>
          <w:noProof/>
          <w:vertAlign w:val="superscript"/>
        </w:rPr>
        <w:t>25</w:t>
      </w:r>
      <w:proofErr w:type="gramEnd"/>
      <w:r w:rsidRPr="00282C48">
        <w:t xml:space="preserve"> and can be considered as an analysis of the ALSFRS-R with an adjustment for missing data due to mortality.</w:t>
      </w:r>
      <w:r w:rsidR="00697119">
        <w:rPr>
          <w:noProof/>
          <w:vertAlign w:val="superscript"/>
        </w:rPr>
        <w:t>18</w:t>
      </w:r>
      <w:r w:rsidR="00FB538D">
        <w:rPr>
          <w:noProof/>
        </w:rPr>
        <w:t xml:space="preserve"> </w:t>
      </w:r>
      <w:r w:rsidR="00FB538D">
        <w:t>Combined analysis overcomes</w:t>
      </w:r>
      <w:r w:rsidR="00FB538D" w:rsidRPr="005345A6">
        <w:t xml:space="preserve"> problems with missing functional data owing to death or study dropouts that are not adequately addressed using standard techniques for the analysis of function.</w:t>
      </w:r>
      <w:r w:rsidR="00697119">
        <w:rPr>
          <w:noProof/>
          <w:vertAlign w:val="superscript"/>
        </w:rPr>
        <w:t>18</w:t>
      </w:r>
    </w:p>
    <w:p w:rsidR="00E85BD7" w:rsidRDefault="00F75B01">
      <w:pPr>
        <w:spacing w:line="360" w:lineRule="auto"/>
      </w:pPr>
      <w:r>
        <w:t xml:space="preserve">One limitation of this </w:t>
      </w:r>
      <w:r w:rsidR="00A11B4F">
        <w:t>combined endpoint is that it</w:t>
      </w:r>
      <w:r>
        <w:t xml:space="preserve"> </w:t>
      </w:r>
      <w:r w:rsidR="00E85BD7" w:rsidRPr="005345A6">
        <w:t xml:space="preserve">is difficult to interpret clinically, and analyses of the </w:t>
      </w:r>
      <w:r w:rsidR="0055103F" w:rsidRPr="005345A6">
        <w:t xml:space="preserve">data </w:t>
      </w:r>
      <w:r w:rsidR="00E85BD7" w:rsidRPr="005345A6">
        <w:t xml:space="preserve">for function and survival </w:t>
      </w:r>
      <w:r w:rsidR="0055103F" w:rsidRPr="005345A6">
        <w:t>component</w:t>
      </w:r>
      <w:r w:rsidR="0055103F">
        <w:t xml:space="preserve">s </w:t>
      </w:r>
      <w:r w:rsidR="00E85BD7" w:rsidRPr="005345A6">
        <w:t>are required to understand the specific clinical effects of the study drug.</w:t>
      </w:r>
      <w:r w:rsidR="006D5D1C">
        <w:t xml:space="preserve"> </w:t>
      </w:r>
      <w:r w:rsidR="007A71FB">
        <w:t>Consequently,</w:t>
      </w:r>
      <w:r w:rsidR="006D5D1C">
        <w:t xml:space="preserve"> </w:t>
      </w:r>
      <w:r w:rsidR="00EB5E15">
        <w:t xml:space="preserve">the component data were analysed individually as secondary endpoints. </w:t>
      </w:r>
      <w:r w:rsidR="004B529A">
        <w:t xml:space="preserve">Another limitation </w:t>
      </w:r>
      <w:r w:rsidR="00EB5E15">
        <w:t xml:space="preserve">of the current study </w:t>
      </w:r>
      <w:r w:rsidR="004B529A">
        <w:t xml:space="preserve">is the </w:t>
      </w:r>
      <w:r w:rsidR="00122E11">
        <w:t xml:space="preserve">absence </w:t>
      </w:r>
      <w:r w:rsidR="004B529A">
        <w:t>of a pharmacodynamic marker to confirm engagement of ozanezumab at the target</w:t>
      </w:r>
      <w:r w:rsidR="00F9286C">
        <w:t>.</w:t>
      </w:r>
      <w:r w:rsidR="00D2263D" w:rsidDel="00D2263D">
        <w:t xml:space="preserve"> </w:t>
      </w:r>
    </w:p>
    <w:p w:rsidR="005067E3" w:rsidRDefault="00287A5D">
      <w:pPr>
        <w:spacing w:line="360" w:lineRule="auto"/>
      </w:pPr>
      <w:r>
        <w:t xml:space="preserve">The lack of efficacy in this study contrasts with </w:t>
      </w:r>
      <w:r w:rsidR="00A27B53">
        <w:t>effects</w:t>
      </w:r>
      <w:r>
        <w:t xml:space="preserve"> observed with </w:t>
      </w:r>
      <w:r w:rsidR="005067E3" w:rsidRPr="004E5B68">
        <w:t>the murine parent antibody of ozanezumab</w:t>
      </w:r>
      <w:r w:rsidR="005067E3" w:rsidRPr="004E5B68" w:rsidDel="00BB66D1">
        <w:t xml:space="preserve"> </w:t>
      </w:r>
      <w:r w:rsidR="005067E3" w:rsidRPr="004E5B68">
        <w:t xml:space="preserve">in the </w:t>
      </w:r>
      <w:r w:rsidR="005067E3" w:rsidRPr="004E5B68">
        <w:rPr>
          <w:i/>
        </w:rPr>
        <w:t>SOD1</w:t>
      </w:r>
      <w:r w:rsidR="005067E3" w:rsidRPr="004E5B68">
        <w:t xml:space="preserve"> mutant mouse model of ALS</w:t>
      </w:r>
      <w:r>
        <w:t>.</w:t>
      </w:r>
      <w:r w:rsidR="004E479E" w:rsidRPr="0055295D">
        <w:rPr>
          <w:noProof/>
          <w:vertAlign w:val="superscript"/>
        </w:rPr>
        <w:t>1</w:t>
      </w:r>
      <w:r w:rsidR="001C1517">
        <w:rPr>
          <w:noProof/>
          <w:vertAlign w:val="superscript"/>
        </w:rPr>
        <w:t>0</w:t>
      </w:r>
      <w:r w:rsidR="005067E3">
        <w:t xml:space="preserve"> </w:t>
      </w:r>
      <w:r w:rsidR="00560B18" w:rsidRPr="00560B18">
        <w:t>Although this is a commonly used animal model of ALS, no clinical translation has yet been demonstrated.</w:t>
      </w:r>
      <w:r w:rsidR="00560B18" w:rsidRPr="000E44AD">
        <w:rPr>
          <w:vertAlign w:val="superscript"/>
        </w:rPr>
        <w:t>2</w:t>
      </w:r>
      <w:r w:rsidR="001C1517">
        <w:rPr>
          <w:vertAlign w:val="superscript"/>
        </w:rPr>
        <w:t>6</w:t>
      </w:r>
      <w:r w:rsidR="00560B18" w:rsidRPr="000E44AD">
        <w:rPr>
          <w:vertAlign w:val="superscript"/>
        </w:rPr>
        <w:t>,2</w:t>
      </w:r>
      <w:r w:rsidR="001C1517">
        <w:rPr>
          <w:vertAlign w:val="superscript"/>
        </w:rPr>
        <w:t>7</w:t>
      </w:r>
      <w:r w:rsidR="00560B18" w:rsidRPr="00560B18">
        <w:t xml:space="preserve"> Riluzole showed mixed results in this model, although this was subsequent to demonstration of efficacy in clinical studies.</w:t>
      </w:r>
      <w:r w:rsidR="00560B18" w:rsidRPr="000E44AD">
        <w:rPr>
          <w:vertAlign w:val="superscript"/>
        </w:rPr>
        <w:t>2</w:t>
      </w:r>
      <w:r w:rsidR="00696BAA">
        <w:rPr>
          <w:vertAlign w:val="superscript"/>
        </w:rPr>
        <w:t>6</w:t>
      </w:r>
      <w:r w:rsidR="00560B18" w:rsidRPr="000E44AD">
        <w:rPr>
          <w:vertAlign w:val="superscript"/>
        </w:rPr>
        <w:t>,</w:t>
      </w:r>
      <w:r w:rsidR="00696BAA">
        <w:rPr>
          <w:vertAlign w:val="superscript"/>
        </w:rPr>
        <w:t>28</w:t>
      </w:r>
      <w:r w:rsidR="00560B18" w:rsidRPr="00560B18">
        <w:t xml:space="preserve"> The main advantages of the </w:t>
      </w:r>
      <w:r w:rsidR="00560B18" w:rsidRPr="000E44AD">
        <w:rPr>
          <w:i/>
        </w:rPr>
        <w:t>SOD1</w:t>
      </w:r>
      <w:r w:rsidR="00560B18" w:rsidRPr="00560B18">
        <w:t xml:space="preserve"> mouse model are its pathological and phenotypic similarities with human ALS, </w:t>
      </w:r>
      <w:r w:rsidR="001E12D1">
        <w:t xml:space="preserve">its </w:t>
      </w:r>
      <w:r w:rsidR="00560B18" w:rsidRPr="00560B18">
        <w:t>well-established endpoints, and the existing guidelines on experimental design and method</w:t>
      </w:r>
      <w:r w:rsidR="000D1619">
        <w:t>s</w:t>
      </w:r>
      <w:r w:rsidR="00560B18" w:rsidRPr="00560B18">
        <w:t>.</w:t>
      </w:r>
      <w:r w:rsidR="00560B18" w:rsidRPr="000E44AD">
        <w:rPr>
          <w:vertAlign w:val="superscript"/>
        </w:rPr>
        <w:t>2</w:t>
      </w:r>
      <w:r w:rsidR="00696BAA">
        <w:rPr>
          <w:vertAlign w:val="superscript"/>
        </w:rPr>
        <w:t>9</w:t>
      </w:r>
      <w:r w:rsidR="00560B18" w:rsidRPr="000E44AD">
        <w:rPr>
          <w:vertAlign w:val="superscript"/>
        </w:rPr>
        <w:t>,</w:t>
      </w:r>
      <w:r w:rsidR="00696BAA">
        <w:rPr>
          <w:vertAlign w:val="superscript"/>
        </w:rPr>
        <w:t>30</w:t>
      </w:r>
      <w:r w:rsidR="00560B18" w:rsidRPr="00560B18">
        <w:t xml:space="preserve"> The major limitation of the model relates to the </w:t>
      </w:r>
      <w:r w:rsidR="005067E3">
        <w:t>inherent differences between the mouse model and human disease.</w:t>
      </w:r>
      <w:r w:rsidR="00D02846" w:rsidRPr="00D02846">
        <w:rPr>
          <w:vertAlign w:val="superscript"/>
        </w:rPr>
        <w:t>1,</w:t>
      </w:r>
      <w:r w:rsidR="004E479E" w:rsidRPr="000463F2">
        <w:rPr>
          <w:noProof/>
          <w:vertAlign w:val="superscript"/>
        </w:rPr>
        <w:t>2</w:t>
      </w:r>
      <w:r w:rsidR="00B8308E">
        <w:rPr>
          <w:noProof/>
          <w:vertAlign w:val="superscript"/>
        </w:rPr>
        <w:t>9</w:t>
      </w:r>
      <w:r w:rsidR="005067E3">
        <w:t xml:space="preserve"> For example, disease onset and progression </w:t>
      </w:r>
      <w:r w:rsidR="00CE67E0">
        <w:t>are</w:t>
      </w:r>
      <w:r w:rsidR="00BD746C">
        <w:t xml:space="preserve"> </w:t>
      </w:r>
      <w:r w:rsidR="00560B18">
        <w:t xml:space="preserve">typically </w:t>
      </w:r>
      <w:r w:rsidR="00BD746C">
        <w:t>more</w:t>
      </w:r>
      <w:r w:rsidR="005067E3">
        <w:t xml:space="preserve"> heterogene</w:t>
      </w:r>
      <w:r w:rsidR="00BD746C">
        <w:t>ous and less aggressive</w:t>
      </w:r>
      <w:r w:rsidR="005067E3">
        <w:t xml:space="preserve"> in human ALS </w:t>
      </w:r>
      <w:r w:rsidR="000D1619">
        <w:t xml:space="preserve">than in </w:t>
      </w:r>
      <w:r w:rsidR="005067E3">
        <w:t xml:space="preserve">the </w:t>
      </w:r>
      <w:r w:rsidR="005067E3" w:rsidRPr="00130392">
        <w:rPr>
          <w:i/>
        </w:rPr>
        <w:t>SOD1</w:t>
      </w:r>
      <w:r w:rsidR="005067E3">
        <w:t xml:space="preserve"> mouse model.</w:t>
      </w:r>
      <w:r w:rsidR="00B8308E">
        <w:rPr>
          <w:noProof/>
          <w:vertAlign w:val="superscript"/>
        </w:rPr>
        <w:t>1</w:t>
      </w:r>
      <w:r w:rsidR="000463F2" w:rsidRPr="000463F2">
        <w:rPr>
          <w:noProof/>
          <w:vertAlign w:val="superscript"/>
        </w:rPr>
        <w:t>,</w:t>
      </w:r>
      <w:r w:rsidR="001D580F">
        <w:rPr>
          <w:noProof/>
          <w:vertAlign w:val="superscript"/>
        </w:rPr>
        <w:t>2</w:t>
      </w:r>
      <w:r w:rsidR="00B8308E">
        <w:rPr>
          <w:noProof/>
          <w:vertAlign w:val="superscript"/>
        </w:rPr>
        <w:t>9</w:t>
      </w:r>
      <w:r w:rsidR="00AC4D1E">
        <w:t xml:space="preserve"> </w:t>
      </w:r>
      <w:r w:rsidR="005067E3">
        <w:t xml:space="preserve">Furthermore, mutations in the </w:t>
      </w:r>
      <w:r w:rsidR="005067E3" w:rsidRPr="004F152F">
        <w:rPr>
          <w:i/>
        </w:rPr>
        <w:t>SOD1</w:t>
      </w:r>
      <w:r w:rsidR="005067E3">
        <w:t xml:space="preserve"> gene account for a </w:t>
      </w:r>
      <w:r w:rsidR="000D1619">
        <w:t xml:space="preserve">few </w:t>
      </w:r>
      <w:r w:rsidR="005067E3">
        <w:t>cases</w:t>
      </w:r>
      <w:r w:rsidR="00560B18">
        <w:t xml:space="preserve"> </w:t>
      </w:r>
      <w:r w:rsidR="00560B18" w:rsidRPr="00560B18">
        <w:t xml:space="preserve">and </w:t>
      </w:r>
      <w:r w:rsidR="000D1619">
        <w:t xml:space="preserve">do not have </w:t>
      </w:r>
      <w:r w:rsidR="00560B18" w:rsidRPr="00560B18">
        <w:t>the TDP-43 pathology associated with most forms of ALS</w:t>
      </w:r>
      <w:r w:rsidR="00303CE3">
        <w:t>.</w:t>
      </w:r>
      <w:r w:rsidR="00560B18" w:rsidRPr="000E44AD">
        <w:rPr>
          <w:vertAlign w:val="superscript"/>
        </w:rPr>
        <w:t>2</w:t>
      </w:r>
      <w:r w:rsidR="00B8308E">
        <w:rPr>
          <w:vertAlign w:val="superscript"/>
        </w:rPr>
        <w:t>9</w:t>
      </w:r>
      <w:r w:rsidR="00560B18" w:rsidRPr="000E44AD">
        <w:rPr>
          <w:vertAlign w:val="superscript"/>
        </w:rPr>
        <w:t>,</w:t>
      </w:r>
      <w:r w:rsidR="00B8308E">
        <w:rPr>
          <w:vertAlign w:val="superscript"/>
        </w:rPr>
        <w:t>30</w:t>
      </w:r>
      <w:r w:rsidR="000779CC">
        <w:t xml:space="preserve"> </w:t>
      </w:r>
      <w:r w:rsidR="00560B18" w:rsidRPr="00560B18">
        <w:t xml:space="preserve">Highly penetrant human </w:t>
      </w:r>
      <w:r w:rsidR="00560B18" w:rsidRPr="000E44AD">
        <w:rPr>
          <w:i/>
        </w:rPr>
        <w:t>SOD1</w:t>
      </w:r>
      <w:r w:rsidR="00560B18" w:rsidRPr="00560B18">
        <w:t xml:space="preserve"> mutations (</w:t>
      </w:r>
      <w:proofErr w:type="spellStart"/>
      <w:r w:rsidR="00560B18" w:rsidRPr="00560B18">
        <w:t>eg</w:t>
      </w:r>
      <w:proofErr w:type="spellEnd"/>
      <w:r w:rsidR="001E12D1">
        <w:t>,</w:t>
      </w:r>
      <w:r w:rsidR="00560B18" w:rsidRPr="00560B18">
        <w:t xml:space="preserve"> A4V) do not induce the disease phenotype in the mouse model.</w:t>
      </w:r>
      <w:r w:rsidR="00560B18" w:rsidRPr="000E44AD">
        <w:rPr>
          <w:vertAlign w:val="superscript"/>
        </w:rPr>
        <w:t>2</w:t>
      </w:r>
      <w:r w:rsidR="007248E6">
        <w:rPr>
          <w:vertAlign w:val="superscript"/>
        </w:rPr>
        <w:t>9</w:t>
      </w:r>
      <w:r w:rsidR="00560B18" w:rsidRPr="00560B18">
        <w:t xml:space="preserve"> Finally, unlike ALS clinical trials, treatment in many </w:t>
      </w:r>
      <w:r w:rsidR="00560B18" w:rsidRPr="000E44AD">
        <w:rPr>
          <w:i/>
        </w:rPr>
        <w:t>SOD1</w:t>
      </w:r>
      <w:r w:rsidR="00560B18" w:rsidRPr="00560B18">
        <w:t xml:space="preserve"> mouse experiments is often administered before symptom onset.</w:t>
      </w:r>
      <w:r w:rsidR="007248E6">
        <w:rPr>
          <w:vertAlign w:val="superscript"/>
        </w:rPr>
        <w:t>1</w:t>
      </w:r>
      <w:r w:rsidR="00560B18" w:rsidRPr="000E44AD">
        <w:rPr>
          <w:vertAlign w:val="superscript"/>
        </w:rPr>
        <w:t>,</w:t>
      </w:r>
      <w:r w:rsidR="007248E6">
        <w:rPr>
          <w:vertAlign w:val="superscript"/>
        </w:rPr>
        <w:t>29</w:t>
      </w:r>
      <w:r w:rsidR="00560B18" w:rsidRPr="00560B18">
        <w:t xml:space="preserve"> </w:t>
      </w:r>
      <w:r w:rsidR="00866380">
        <w:t xml:space="preserve">Although preclinical models such as the </w:t>
      </w:r>
      <w:r w:rsidR="00866380" w:rsidRPr="00762375">
        <w:rPr>
          <w:i/>
        </w:rPr>
        <w:t>SOD1</w:t>
      </w:r>
      <w:r w:rsidR="00866380">
        <w:t xml:space="preserve"> mouse model </w:t>
      </w:r>
      <w:r w:rsidR="00560B18">
        <w:t xml:space="preserve">can </w:t>
      </w:r>
      <w:r w:rsidR="00866380">
        <w:t>provide valuable information</w:t>
      </w:r>
      <w:r w:rsidR="00560B18">
        <w:t xml:space="preserve"> </w:t>
      </w:r>
      <w:r w:rsidR="00560B18" w:rsidRPr="00560B18">
        <w:t xml:space="preserve">on </w:t>
      </w:r>
      <w:r w:rsidR="00560B18" w:rsidRPr="00560B18">
        <w:lastRenderedPageBreak/>
        <w:t xml:space="preserve">the pharmacology of a novel investigational drug, findings </w:t>
      </w:r>
      <w:r w:rsidR="00CB4248">
        <w:t>have</w:t>
      </w:r>
      <w:r w:rsidR="00560B18" w:rsidRPr="00560B18">
        <w:t xml:space="preserve"> </w:t>
      </w:r>
      <w:r w:rsidR="000D1619">
        <w:t xml:space="preserve">not </w:t>
      </w:r>
      <w:r w:rsidR="00560B18" w:rsidRPr="00560B18">
        <w:t>translate</w:t>
      </w:r>
      <w:r w:rsidR="000D1619">
        <w:t>d</w:t>
      </w:r>
      <w:r w:rsidR="00560B18" w:rsidRPr="00560B18">
        <w:t xml:space="preserve"> to the clinical setting</w:t>
      </w:r>
      <w:r w:rsidR="00CB4248">
        <w:t xml:space="preserve"> so far</w:t>
      </w:r>
      <w:r w:rsidR="00560B18" w:rsidRPr="00560B18">
        <w:t>.</w:t>
      </w:r>
      <w:r w:rsidR="00DF0AC3" w:rsidRPr="000E44AD">
        <w:rPr>
          <w:vertAlign w:val="superscript"/>
        </w:rPr>
        <w:t>2</w:t>
      </w:r>
      <w:r w:rsidR="00DF0AC3">
        <w:rPr>
          <w:vertAlign w:val="superscript"/>
        </w:rPr>
        <w:t>6</w:t>
      </w:r>
      <w:r w:rsidR="00DF0AC3" w:rsidRPr="000E44AD">
        <w:rPr>
          <w:vertAlign w:val="superscript"/>
        </w:rPr>
        <w:t>,2</w:t>
      </w:r>
      <w:r w:rsidR="00DF0AC3">
        <w:rPr>
          <w:vertAlign w:val="superscript"/>
        </w:rPr>
        <w:t>7</w:t>
      </w:r>
      <w:r w:rsidR="00560B18" w:rsidRPr="00560B18">
        <w:t xml:space="preserve"> One possible approach to address this could be, with appropriate justification by preclinical pharmacology and safety data, to conduct early small experimental</w:t>
      </w:r>
      <w:r w:rsidR="000D1619">
        <w:t xml:space="preserve"> </w:t>
      </w:r>
      <w:r w:rsidR="00560B18" w:rsidRPr="00560B18">
        <w:t>medicine clinical studies in a well-defined patient subset (</w:t>
      </w:r>
      <w:proofErr w:type="spellStart"/>
      <w:r w:rsidR="00560B18" w:rsidRPr="00560B18">
        <w:t>eg</w:t>
      </w:r>
      <w:proofErr w:type="spellEnd"/>
      <w:r w:rsidR="000D1619">
        <w:t>,</w:t>
      </w:r>
      <w:r w:rsidR="00560B18" w:rsidRPr="00560B18">
        <w:t xml:space="preserve"> in patients with predictors of fast disease progression), using robust endpoints with clear success criteria. It would also be crucial to demonstrate evidence of the therapeutic target engagement (</w:t>
      </w:r>
      <w:proofErr w:type="spellStart"/>
      <w:r w:rsidR="00560B18" w:rsidRPr="00560B18">
        <w:t>preclinically</w:t>
      </w:r>
      <w:proofErr w:type="spellEnd"/>
      <w:r w:rsidR="00560B18" w:rsidRPr="00560B18">
        <w:t xml:space="preserve"> and then in the early clinical programme) before progressing to a clinical efficacy study. Clearly, advancing our understanding of ALS pathophysiology and natural history including disease modelling, development</w:t>
      </w:r>
      <w:r w:rsidR="000D1619">
        <w:t>,</w:t>
      </w:r>
      <w:r w:rsidR="00560B18" w:rsidRPr="00560B18">
        <w:t xml:space="preserve"> and validation of reliable biomarkers and more sensitive clinical endpoints would increase likelihood of a successful translation into the clinic</w:t>
      </w:r>
      <w:r w:rsidR="00866380">
        <w:t xml:space="preserve">.    </w:t>
      </w:r>
      <w:r>
        <w:t xml:space="preserve"> </w:t>
      </w:r>
    </w:p>
    <w:p w:rsidR="00E4084F" w:rsidRDefault="00866380">
      <w:pPr>
        <w:spacing w:line="360" w:lineRule="auto"/>
      </w:pPr>
      <w:r>
        <w:t xml:space="preserve">In this study, </w:t>
      </w:r>
      <w:r w:rsidR="006F12BC">
        <w:t xml:space="preserve">there were more deaths in the ozanezumab arm </w:t>
      </w:r>
      <w:r w:rsidR="000D1619">
        <w:t xml:space="preserve">than in </w:t>
      </w:r>
      <w:r w:rsidR="006F12BC">
        <w:t xml:space="preserve">the placebo arm (13% </w:t>
      </w:r>
      <w:r w:rsidR="001954B6" w:rsidRPr="000E44AD">
        <w:t>vs</w:t>
      </w:r>
      <w:r w:rsidR="006F12BC">
        <w:t xml:space="preserve"> 11%</w:t>
      </w:r>
      <w:r w:rsidR="00201153" w:rsidRPr="00201153">
        <w:t>at Week 60</w:t>
      </w:r>
      <w:r w:rsidR="006F12BC">
        <w:t xml:space="preserve">, respectively), and </w:t>
      </w:r>
      <w:r w:rsidR="00C55552">
        <w:t xml:space="preserve">all </w:t>
      </w:r>
      <w:r w:rsidR="006F12BC">
        <w:t xml:space="preserve">other </w:t>
      </w:r>
      <w:r w:rsidR="00C55552">
        <w:t xml:space="preserve">efficacy endpoints showed </w:t>
      </w:r>
      <w:r w:rsidR="00303CE3">
        <w:t>small</w:t>
      </w:r>
      <w:r w:rsidR="00D2263D">
        <w:t>,</w:t>
      </w:r>
      <w:r w:rsidR="00303CE3">
        <w:t xml:space="preserve"> non-significant numerical differences </w:t>
      </w:r>
      <w:r w:rsidR="00C55552">
        <w:t>in favour of placebo</w:t>
      </w:r>
      <w:r>
        <w:t xml:space="preserve">. </w:t>
      </w:r>
      <w:r w:rsidR="00E4084F">
        <w:t xml:space="preserve">These findings could reflect a </w:t>
      </w:r>
      <w:r w:rsidR="002402EC" w:rsidRPr="00CB5072">
        <w:t>possible</w:t>
      </w:r>
      <w:r w:rsidR="002402EC">
        <w:t xml:space="preserve"> </w:t>
      </w:r>
      <w:r w:rsidR="00303CE3">
        <w:t xml:space="preserve">negative </w:t>
      </w:r>
      <w:r w:rsidR="00E4084F">
        <w:t xml:space="preserve">effect of ozanezumab. </w:t>
      </w:r>
      <w:r w:rsidR="00E4084F" w:rsidRPr="00C55552">
        <w:t xml:space="preserve">The pathogenesis of ALS is still poorly understood, </w:t>
      </w:r>
      <w:r w:rsidR="00E4084F">
        <w:t xml:space="preserve">and </w:t>
      </w:r>
      <w:r w:rsidR="000D1619">
        <w:t xml:space="preserve">although </w:t>
      </w:r>
      <w:r w:rsidR="00E4084F">
        <w:t xml:space="preserve">upregulation of Nogo-A has been associated with ALS, this </w:t>
      </w:r>
      <w:r w:rsidR="004E479E">
        <w:t xml:space="preserve">finding </w:t>
      </w:r>
      <w:r w:rsidR="00E4084F">
        <w:t xml:space="preserve">may reflect </w:t>
      </w:r>
      <w:r w:rsidR="00E4084F" w:rsidRPr="005345A6">
        <w:t xml:space="preserve">a compensatory </w:t>
      </w:r>
      <w:r w:rsidR="00E4084F">
        <w:t xml:space="preserve">(rather than disease-causing) </w:t>
      </w:r>
      <w:r w:rsidR="00E4084F" w:rsidRPr="005345A6">
        <w:t>role for Nogo-</w:t>
      </w:r>
      <w:proofErr w:type="gramStart"/>
      <w:r w:rsidR="00E4084F" w:rsidRPr="005345A6">
        <w:t>A</w:t>
      </w:r>
      <w:proofErr w:type="gramEnd"/>
      <w:r w:rsidR="00E4084F" w:rsidRPr="005345A6">
        <w:t xml:space="preserve"> in human disease</w:t>
      </w:r>
      <w:r w:rsidR="00E4084F">
        <w:t>.</w:t>
      </w:r>
      <w:r w:rsidR="00E4084F" w:rsidRPr="00937D6D">
        <w:t xml:space="preserve"> </w:t>
      </w:r>
      <w:r w:rsidR="00E4084F">
        <w:t xml:space="preserve">If this is the case, it could explain the potential worsening effect observed with ozanezumab in this study. </w:t>
      </w:r>
      <w:r w:rsidR="009C0711">
        <w:t xml:space="preserve">Alternatively, </w:t>
      </w:r>
      <w:r w:rsidR="009E0770">
        <w:t xml:space="preserve">blockade of </w:t>
      </w:r>
      <w:r w:rsidR="000F7F7C">
        <w:t>Nogo</w:t>
      </w:r>
      <w:r w:rsidR="009041EF">
        <w:t>-</w:t>
      </w:r>
      <w:r w:rsidR="000F7F7C">
        <w:t>A at</w:t>
      </w:r>
      <w:r w:rsidR="009E0770">
        <w:t xml:space="preserve"> the neuromuscular junction by ozanezumab could lead to enhanced sprouting by increasing the metabolic demand on the motor neuron. </w:t>
      </w:r>
      <w:r w:rsidR="009C0711">
        <w:t xml:space="preserve"> </w:t>
      </w:r>
    </w:p>
    <w:p w:rsidR="00C55552" w:rsidRDefault="009C0711">
      <w:pPr>
        <w:spacing w:line="360" w:lineRule="auto"/>
      </w:pPr>
      <w:r>
        <w:t>However</w:t>
      </w:r>
      <w:r w:rsidR="00C55552">
        <w:t xml:space="preserve">, as the effect in favour of placebo was not significant, it could be argued that targeting Nogo-A simply had no effect. </w:t>
      </w:r>
      <w:r w:rsidR="00765206">
        <w:t>The differences in survival observed between groups could</w:t>
      </w:r>
      <w:r w:rsidR="00765206" w:rsidRPr="00765206">
        <w:t xml:space="preserve"> </w:t>
      </w:r>
      <w:r w:rsidR="00765206">
        <w:t xml:space="preserve">reflect natural variability in the rate of disease progression among patients with </w:t>
      </w:r>
      <w:r w:rsidR="00765206" w:rsidRPr="00E5665D">
        <w:t>ALS</w:t>
      </w:r>
      <w:r w:rsidR="002402EC" w:rsidRPr="00E5665D">
        <w:t xml:space="preserve"> </w:t>
      </w:r>
      <w:r w:rsidR="00331B22">
        <w:t>(although</w:t>
      </w:r>
      <w:r w:rsidR="002402EC" w:rsidRPr="00E5665D">
        <w:t xml:space="preserve"> </w:t>
      </w:r>
      <w:r w:rsidR="00671F74" w:rsidRPr="00742261">
        <w:t>ALS onset</w:t>
      </w:r>
      <w:r w:rsidR="00E5665D">
        <w:t>,</w:t>
      </w:r>
      <w:r w:rsidR="00E5665D" w:rsidRPr="00742261">
        <w:t xml:space="preserve"> diagnosis characteristics and phenotype </w:t>
      </w:r>
      <w:r w:rsidR="002402EC" w:rsidRPr="00E5665D">
        <w:t xml:space="preserve">at entry were similar </w:t>
      </w:r>
      <w:r w:rsidR="00331B22">
        <w:t>between</w:t>
      </w:r>
      <w:r w:rsidR="002402EC" w:rsidRPr="00E5665D">
        <w:t xml:space="preserve"> groups</w:t>
      </w:r>
      <w:r w:rsidR="00331B22">
        <w:t>)</w:t>
      </w:r>
      <w:r w:rsidR="00765206" w:rsidRPr="00E5665D">
        <w:t xml:space="preserve">. </w:t>
      </w:r>
      <w:r w:rsidR="00765206">
        <w:t>Mortality in both groups was predominantly driven by respiratory failure, which is a common complication associated with progression of ALS, and is the main cause of death among people with ALS.</w:t>
      </w:r>
      <w:r w:rsidR="00D00CEE">
        <w:rPr>
          <w:noProof/>
          <w:vertAlign w:val="superscript"/>
        </w:rPr>
        <w:t>30</w:t>
      </w:r>
      <w:r w:rsidR="00765206">
        <w:t xml:space="preserve"> Furthermore, Nogo-</w:t>
      </w:r>
      <w:proofErr w:type="gramStart"/>
      <w:r w:rsidR="00765206">
        <w:t>A</w:t>
      </w:r>
      <w:proofErr w:type="gramEnd"/>
      <w:r w:rsidR="00765206">
        <w:t xml:space="preserve"> overexpression </w:t>
      </w:r>
      <w:r w:rsidR="009E0770">
        <w:t xml:space="preserve">previously </w:t>
      </w:r>
      <w:r w:rsidR="00765206">
        <w:t xml:space="preserve">observed in patients </w:t>
      </w:r>
      <w:r w:rsidR="00326D1F">
        <w:t xml:space="preserve">with ALS </w:t>
      </w:r>
      <w:r w:rsidR="00C55552">
        <w:t xml:space="preserve">could be a downstream </w:t>
      </w:r>
      <w:r w:rsidR="00765206">
        <w:t>event</w:t>
      </w:r>
      <w:r w:rsidR="00C55552">
        <w:t xml:space="preserve"> in the disease process</w:t>
      </w:r>
      <w:r w:rsidR="009E0770">
        <w:t>.</w:t>
      </w:r>
      <w:r w:rsidR="00765206">
        <w:t xml:space="preserve"> This is</w:t>
      </w:r>
      <w:r w:rsidR="00C55552">
        <w:t xml:space="preserve"> supported by reports suggesting that Nogo-</w:t>
      </w:r>
      <w:proofErr w:type="gramStart"/>
      <w:r w:rsidR="00C55552">
        <w:t>A</w:t>
      </w:r>
      <w:proofErr w:type="gramEnd"/>
      <w:r w:rsidR="00C55552">
        <w:t xml:space="preserve"> </w:t>
      </w:r>
      <w:r w:rsidR="00C55552">
        <w:lastRenderedPageBreak/>
        <w:t xml:space="preserve">overexpression in skeletal muscle </w:t>
      </w:r>
      <w:r w:rsidR="00F354C2">
        <w:t>might be</w:t>
      </w:r>
      <w:r w:rsidR="00C55552">
        <w:t xml:space="preserve"> a non-specific marker of denervation present in a range of </w:t>
      </w:r>
      <w:r w:rsidR="001D7148">
        <w:t>neuromuscular</w:t>
      </w:r>
      <w:r w:rsidR="00C55552">
        <w:t xml:space="preserve"> disorders.</w:t>
      </w:r>
      <w:r w:rsidR="00156ABC">
        <w:rPr>
          <w:noProof/>
          <w:vertAlign w:val="superscript"/>
        </w:rPr>
        <w:t>20, 21</w:t>
      </w:r>
      <w:r w:rsidR="00C55552">
        <w:t xml:space="preserve"> </w:t>
      </w:r>
      <w:r w:rsidR="009E0770">
        <w:t>In this scenario, blockade of Nogo-A would not be expected to translate into clinical benefit, which is consistent with the results observed in the current study.</w:t>
      </w:r>
    </w:p>
    <w:p w:rsidR="00663889" w:rsidRDefault="00B7267F">
      <w:pPr>
        <w:spacing w:line="360" w:lineRule="auto"/>
      </w:pPr>
      <w:r>
        <w:t xml:space="preserve">Therefore </w:t>
      </w:r>
      <w:r w:rsidR="00E4654A">
        <w:t xml:space="preserve">this mechanism has been </w:t>
      </w:r>
      <w:r w:rsidR="002831FC">
        <w:t xml:space="preserve">comprehensively </w:t>
      </w:r>
      <w:r w:rsidR="00E4654A">
        <w:t xml:space="preserve">tested for </w:t>
      </w:r>
      <w:r w:rsidR="00BD3CD7">
        <w:t>ALS</w:t>
      </w:r>
      <w:r w:rsidR="00331B22">
        <w:t xml:space="preserve">. </w:t>
      </w:r>
      <w:r w:rsidR="00BD3CD7">
        <w:t>In our study, o</w:t>
      </w:r>
      <w:r w:rsidR="00CC596A" w:rsidRPr="005345A6">
        <w:t xml:space="preserve">zanezumab </w:t>
      </w:r>
      <w:r w:rsidR="00CC596A">
        <w:t xml:space="preserve">did not show any evidence of efficacy over placebo for </w:t>
      </w:r>
      <w:r w:rsidR="00CC596A" w:rsidRPr="005345A6">
        <w:t xml:space="preserve">the </w:t>
      </w:r>
      <w:r w:rsidR="00CC596A">
        <w:t xml:space="preserve">treatment of </w:t>
      </w:r>
      <w:r w:rsidR="00CC596A" w:rsidRPr="005345A6">
        <w:t>ALS</w:t>
      </w:r>
      <w:r w:rsidR="00CC596A">
        <w:t xml:space="preserve">, </w:t>
      </w:r>
      <w:r w:rsidR="00E4654A">
        <w:t xml:space="preserve">and the results </w:t>
      </w:r>
      <w:r w:rsidR="008E337C">
        <w:t xml:space="preserve">suggest </w:t>
      </w:r>
      <w:r w:rsidR="00E4654A">
        <w:t>the futility of further clinical testing</w:t>
      </w:r>
      <w:r w:rsidR="009B5A2F">
        <w:t xml:space="preserve"> of</w:t>
      </w:r>
      <w:r>
        <w:t xml:space="preserve"> </w:t>
      </w:r>
      <w:r w:rsidR="00476C25">
        <w:t>an anti-Nogo-A monoclonal antibody</w:t>
      </w:r>
      <w:r w:rsidR="00476C25">
        <w:rPr>
          <w:rFonts w:asciiTheme="minorHAnsi" w:hAnsiTheme="minorHAnsi" w:cstheme="minorHAnsi"/>
          <w:szCs w:val="22"/>
        </w:rPr>
        <w:t xml:space="preserve"> for the treatment of ALS</w:t>
      </w:r>
      <w:r w:rsidR="008F512B">
        <w:rPr>
          <w:rFonts w:asciiTheme="minorHAnsi" w:hAnsiTheme="minorHAnsi" w:cstheme="minorHAnsi"/>
          <w:szCs w:val="22"/>
        </w:rPr>
        <w:t>.</w:t>
      </w:r>
    </w:p>
    <w:p w:rsidR="00432DEF" w:rsidRDefault="00432DEF" w:rsidP="00F91BAD">
      <w:pPr>
        <w:spacing w:line="360" w:lineRule="auto"/>
        <w:rPr>
          <w:b/>
          <w:sz w:val="24"/>
        </w:rPr>
      </w:pPr>
    </w:p>
    <w:p w:rsidR="00B55B27" w:rsidRPr="00F91BAD" w:rsidRDefault="00896509" w:rsidP="00FD4D14">
      <w:pPr>
        <w:spacing w:line="360" w:lineRule="auto"/>
        <w:outlineLvl w:val="0"/>
        <w:rPr>
          <w:b/>
        </w:rPr>
      </w:pPr>
      <w:r w:rsidRPr="00F91BAD">
        <w:rPr>
          <w:b/>
        </w:rPr>
        <w:t>ACKNOWLEDGEMENTS</w:t>
      </w:r>
    </w:p>
    <w:p w:rsidR="0047432D" w:rsidRPr="00896509" w:rsidRDefault="00BD25F8">
      <w:pPr>
        <w:keepNext/>
        <w:spacing w:line="360" w:lineRule="auto"/>
      </w:pPr>
      <w:r>
        <w:t xml:space="preserve">This study was funded by GSK. Their role included study concept and design, funding of participating </w:t>
      </w:r>
      <w:r w:rsidR="00663889">
        <w:t>centres</w:t>
      </w:r>
      <w:r>
        <w:t xml:space="preserve">, analysis of data, development and funding of the final report and manuscript. </w:t>
      </w:r>
      <w:r w:rsidR="00896509">
        <w:t>Medical writing and editorial assistance were provided by Paul O'Regan</w:t>
      </w:r>
      <w:r w:rsidR="00663889">
        <w:t>, PhD,</w:t>
      </w:r>
      <w:r w:rsidR="00896509">
        <w:t xml:space="preserve"> of Fishawack Indicia</w:t>
      </w:r>
      <w:r w:rsidR="00AB5874">
        <w:t>, Knutsford, UK</w:t>
      </w:r>
      <w:r w:rsidR="00CA1904">
        <w:t>, also funded by GSK</w:t>
      </w:r>
      <w:r w:rsidR="00896509">
        <w:t xml:space="preserve">. </w:t>
      </w:r>
    </w:p>
    <w:p w:rsidR="00896509" w:rsidRDefault="00896509">
      <w:pPr>
        <w:keepNext/>
        <w:spacing w:line="360" w:lineRule="auto"/>
      </w:pPr>
    </w:p>
    <w:p w:rsidR="00BD25F8" w:rsidRPr="00BD25F8" w:rsidRDefault="00BD25F8" w:rsidP="00FD4D14">
      <w:pPr>
        <w:keepNext/>
        <w:spacing w:line="360" w:lineRule="auto"/>
        <w:outlineLvl w:val="0"/>
        <w:rPr>
          <w:b/>
        </w:rPr>
      </w:pPr>
      <w:r w:rsidRPr="00BD25F8">
        <w:rPr>
          <w:b/>
        </w:rPr>
        <w:t>AUTHOR CONTRIBUTIONS</w:t>
      </w:r>
    </w:p>
    <w:p w:rsidR="00BD25F8" w:rsidRDefault="00A877A3">
      <w:pPr>
        <w:keepNext/>
        <w:spacing w:line="360" w:lineRule="auto"/>
      </w:pPr>
      <w:r w:rsidRPr="006819C5">
        <w:t>VM, J</w:t>
      </w:r>
      <w:r w:rsidR="005E32B4">
        <w:t>M</w:t>
      </w:r>
      <w:r w:rsidRPr="006819C5">
        <w:t>S, PNL, K</w:t>
      </w:r>
      <w:r w:rsidR="005E32B4">
        <w:t>E</w:t>
      </w:r>
      <w:r w:rsidRPr="006819C5">
        <w:t>M, WR, PR, DB, JB, MD, RM</w:t>
      </w:r>
      <w:r w:rsidR="00212573">
        <w:t>,</w:t>
      </w:r>
      <w:r w:rsidRPr="006819C5">
        <w:t xml:space="preserve"> and A Lavrov were involved in the study conception and design; VM, J</w:t>
      </w:r>
      <w:r w:rsidR="00DF2ED8">
        <w:t>M</w:t>
      </w:r>
      <w:r w:rsidRPr="006819C5">
        <w:t>S, PNL, K</w:t>
      </w:r>
      <w:r w:rsidR="00DF2ED8">
        <w:t>E</w:t>
      </w:r>
      <w:r w:rsidRPr="006819C5">
        <w:t>M, M</w:t>
      </w:r>
      <w:r w:rsidR="00DF2ED8">
        <w:t>C</w:t>
      </w:r>
      <w:r w:rsidRPr="006819C5">
        <w:t xml:space="preserve">K, WR, AG, CD, SP, A </w:t>
      </w:r>
      <w:proofErr w:type="spellStart"/>
      <w:r w:rsidRPr="006819C5">
        <w:t>Ludolph</w:t>
      </w:r>
      <w:proofErr w:type="spellEnd"/>
      <w:r w:rsidRPr="006819C5">
        <w:t>, AC, SHK</w:t>
      </w:r>
      <w:r w:rsidR="00212573">
        <w:t>,</w:t>
      </w:r>
      <w:r w:rsidRPr="006819C5">
        <w:t xml:space="preserve"> and </w:t>
      </w:r>
      <w:proofErr w:type="spellStart"/>
      <w:r w:rsidRPr="006819C5">
        <w:t>L</w:t>
      </w:r>
      <w:r w:rsidR="00212573">
        <w:t>H</w:t>
      </w:r>
      <w:r w:rsidRPr="006819C5">
        <w:t>vB</w:t>
      </w:r>
      <w:proofErr w:type="spellEnd"/>
      <w:r w:rsidRPr="006819C5">
        <w:t xml:space="preserve"> were study investigators; VM, J</w:t>
      </w:r>
      <w:r w:rsidR="00DF2ED8">
        <w:t>M</w:t>
      </w:r>
      <w:r w:rsidRPr="006819C5">
        <w:t>S, K</w:t>
      </w:r>
      <w:r w:rsidR="00DF2ED8">
        <w:t>E</w:t>
      </w:r>
      <w:r w:rsidRPr="006819C5">
        <w:t>M, M</w:t>
      </w:r>
      <w:r w:rsidR="00DF2ED8">
        <w:t>C</w:t>
      </w:r>
      <w:r w:rsidRPr="006819C5">
        <w:t xml:space="preserve">K, SP, AC, </w:t>
      </w:r>
      <w:proofErr w:type="spellStart"/>
      <w:r w:rsidRPr="006819C5">
        <w:t>L</w:t>
      </w:r>
      <w:r w:rsidR="00212573">
        <w:t>H</w:t>
      </w:r>
      <w:r w:rsidRPr="006819C5">
        <w:t>vB</w:t>
      </w:r>
      <w:proofErr w:type="spellEnd"/>
      <w:r w:rsidRPr="006819C5">
        <w:t>, PR, DB, JB, MD, RM, JT</w:t>
      </w:r>
      <w:r w:rsidR="00212573">
        <w:t>,</w:t>
      </w:r>
      <w:r w:rsidRPr="006819C5">
        <w:t xml:space="preserve"> and A Lavrov contributed to the analysis and interpretation of data; all authors critically revised the manuscript. </w:t>
      </w:r>
    </w:p>
    <w:p w:rsidR="006819C5" w:rsidRDefault="006819C5">
      <w:pPr>
        <w:keepNext/>
        <w:spacing w:line="360" w:lineRule="auto"/>
      </w:pPr>
    </w:p>
    <w:p w:rsidR="00FD07AC" w:rsidRDefault="006819C5" w:rsidP="007C067F">
      <w:pPr>
        <w:keepNext/>
        <w:spacing w:line="360" w:lineRule="auto"/>
        <w:rPr>
          <w:color w:val="FF0000"/>
        </w:rPr>
      </w:pPr>
      <w:r w:rsidRPr="00AB5874">
        <w:rPr>
          <w:rFonts w:cs="Calibri"/>
          <w:b/>
          <w:szCs w:val="22"/>
        </w:rPr>
        <w:t>NOG112264 Study Group</w:t>
      </w:r>
      <w:r>
        <w:rPr>
          <w:rFonts w:cs="Calibri"/>
          <w:szCs w:val="22"/>
        </w:rPr>
        <w:t xml:space="preserve"> </w:t>
      </w:r>
    </w:p>
    <w:p w:rsidR="00C420B9" w:rsidRDefault="005E32B4">
      <w:pPr>
        <w:keepNext/>
        <w:spacing w:line="360" w:lineRule="auto"/>
      </w:pPr>
      <w:r>
        <w:t xml:space="preserve">Susanne Abdulla, Cathy Alsop, Francesca Barbieri, Stewart Bates, James D Berry, Stephan A </w:t>
      </w:r>
      <w:proofErr w:type="spellStart"/>
      <w:r>
        <w:t>Botez</w:t>
      </w:r>
      <w:proofErr w:type="spellEnd"/>
      <w:r>
        <w:t xml:space="preserve">, </w:t>
      </w:r>
      <w:proofErr w:type="spellStart"/>
      <w:r>
        <w:t>Gaelle</w:t>
      </w:r>
      <w:proofErr w:type="spellEnd"/>
      <w:r>
        <w:t xml:space="preserve"> </w:t>
      </w:r>
      <w:proofErr w:type="spellStart"/>
      <w:r>
        <w:t>Bruneteau</w:t>
      </w:r>
      <w:proofErr w:type="spellEnd"/>
      <w:r>
        <w:t xml:space="preserve">, Andrea </w:t>
      </w:r>
      <w:proofErr w:type="spellStart"/>
      <w:r>
        <w:t>Calvo</w:t>
      </w:r>
      <w:proofErr w:type="spellEnd"/>
      <w:r>
        <w:t xml:space="preserve">, Rodrigo </w:t>
      </w:r>
      <w:proofErr w:type="spellStart"/>
      <w:r>
        <w:t>Refoios</w:t>
      </w:r>
      <w:proofErr w:type="spellEnd"/>
      <w:r>
        <w:t xml:space="preserve"> </w:t>
      </w:r>
      <w:proofErr w:type="spellStart"/>
      <w:r>
        <w:t>Camejo</w:t>
      </w:r>
      <w:proofErr w:type="spellEnd"/>
      <w:r>
        <w:t xml:space="preserve">, William </w:t>
      </w:r>
      <w:proofErr w:type="spellStart"/>
      <w:r>
        <w:t>Camu</w:t>
      </w:r>
      <w:proofErr w:type="spellEnd"/>
      <w:r>
        <w:t xml:space="preserve">, </w:t>
      </w:r>
      <w:proofErr w:type="spellStart"/>
      <w:r>
        <w:t>Deven</w:t>
      </w:r>
      <w:proofErr w:type="spellEnd"/>
      <w:r>
        <w:t xml:space="preserve"> Chauhan, Veronique </w:t>
      </w:r>
      <w:proofErr w:type="spellStart"/>
      <w:r>
        <w:t>Danel-Brunaud</w:t>
      </w:r>
      <w:proofErr w:type="spellEnd"/>
      <w:r>
        <w:t xml:space="preserve">, Jerzy </w:t>
      </w:r>
      <w:proofErr w:type="spellStart"/>
      <w:r>
        <w:t>Daniluk</w:t>
      </w:r>
      <w:proofErr w:type="spellEnd"/>
      <w:r>
        <w:t xml:space="preserve">, </w:t>
      </w:r>
      <w:proofErr w:type="spellStart"/>
      <w:r>
        <w:t>Annelot</w:t>
      </w:r>
      <w:proofErr w:type="spellEnd"/>
      <w:r>
        <w:t xml:space="preserve"> Dekker, Alain </w:t>
      </w:r>
      <w:proofErr w:type="spellStart"/>
      <w:r>
        <w:t>Destee</w:t>
      </w:r>
      <w:proofErr w:type="spellEnd"/>
      <w:r>
        <w:t xml:space="preserve">, Matthew Devine, Stephen </w:t>
      </w:r>
      <w:proofErr w:type="spellStart"/>
      <w:r>
        <w:t>DeWall</w:t>
      </w:r>
      <w:proofErr w:type="spellEnd"/>
      <w:r>
        <w:t xml:space="preserve">, Johannes </w:t>
      </w:r>
      <w:proofErr w:type="spellStart"/>
      <w:r>
        <w:t>Dorst</w:t>
      </w:r>
      <w:proofErr w:type="spellEnd"/>
      <w:r>
        <w:t xml:space="preserve">, Giuseppe </w:t>
      </w:r>
      <w:proofErr w:type="spellStart"/>
      <w:r>
        <w:t>Fuda</w:t>
      </w:r>
      <w:proofErr w:type="spellEnd"/>
      <w:r>
        <w:t xml:space="preserve">, </w:t>
      </w:r>
      <w:proofErr w:type="spellStart"/>
      <w:r>
        <w:t>Harutoshi</w:t>
      </w:r>
      <w:proofErr w:type="spellEnd"/>
      <w:r>
        <w:t xml:space="preserve"> Fujimura, Andreas </w:t>
      </w:r>
      <w:proofErr w:type="spellStart"/>
      <w:r>
        <w:t>Funke</w:t>
      </w:r>
      <w:proofErr w:type="spellEnd"/>
      <w:r>
        <w:t xml:space="preserve">, </w:t>
      </w:r>
      <w:proofErr w:type="spellStart"/>
      <w:r>
        <w:t>Torsten</w:t>
      </w:r>
      <w:proofErr w:type="spellEnd"/>
      <w:r>
        <w:t xml:space="preserve"> </w:t>
      </w:r>
      <w:proofErr w:type="spellStart"/>
      <w:r>
        <w:t>Grehl</w:t>
      </w:r>
      <w:proofErr w:type="spellEnd"/>
      <w:r>
        <w:t>, Julian </w:t>
      </w:r>
      <w:proofErr w:type="spellStart"/>
      <w:r>
        <w:t>Grosskreutz</w:t>
      </w:r>
      <w:proofErr w:type="spellEnd"/>
      <w:r>
        <w:t xml:space="preserve">, Usha Gungabissoon, Robert Henderson, Peggy </w:t>
      </w:r>
      <w:proofErr w:type="spellStart"/>
      <w:r>
        <w:t>Ho</w:t>
      </w:r>
      <w:proofErr w:type="spellEnd"/>
      <w:r>
        <w:t xml:space="preserve">, William Huynh, </w:t>
      </w:r>
      <w:proofErr w:type="spellStart"/>
      <w:r>
        <w:t>Saiju</w:t>
      </w:r>
      <w:proofErr w:type="spellEnd"/>
      <w:r>
        <w:t xml:space="preserve"> Jacob, Raul Juntas-Morales, </w:t>
      </w:r>
      <w:proofErr w:type="spellStart"/>
      <w:r>
        <w:t>Byung</w:t>
      </w:r>
      <w:proofErr w:type="spellEnd"/>
      <w:r>
        <w:t xml:space="preserve">-Jo Kim, Xenia </w:t>
      </w:r>
      <w:proofErr w:type="spellStart"/>
      <w:r>
        <w:t>Kobeleva</w:t>
      </w:r>
      <w:proofErr w:type="spellEnd"/>
      <w:r>
        <w:t xml:space="preserve">, Sonja </w:t>
      </w:r>
      <w:proofErr w:type="spellStart"/>
      <w:r>
        <w:t>Koerner</w:t>
      </w:r>
      <w:proofErr w:type="spellEnd"/>
      <w:r>
        <w:t xml:space="preserve">, Stephen Kolb, </w:t>
      </w:r>
      <w:proofErr w:type="spellStart"/>
      <w:r>
        <w:t>Katja</w:t>
      </w:r>
      <w:proofErr w:type="spellEnd"/>
      <w:r>
        <w:t xml:space="preserve"> </w:t>
      </w:r>
      <w:proofErr w:type="spellStart"/>
      <w:r>
        <w:t>Kollewe</w:t>
      </w:r>
      <w:proofErr w:type="spellEnd"/>
      <w:r>
        <w:t xml:space="preserve">, Lawrence </w:t>
      </w:r>
      <w:proofErr w:type="spellStart"/>
      <w:r>
        <w:t>Korngut</w:t>
      </w:r>
      <w:proofErr w:type="spellEnd"/>
      <w:r>
        <w:t xml:space="preserve">, Geraldine </w:t>
      </w:r>
      <w:proofErr w:type="spellStart"/>
      <w:r>
        <w:t>Lautrette</w:t>
      </w:r>
      <w:proofErr w:type="spellEnd"/>
      <w:r>
        <w:t xml:space="preserve">, Amy Lee, Anthony Lynch, Rami Massie, Genevieve </w:t>
      </w:r>
      <w:r>
        <w:lastRenderedPageBreak/>
        <w:t xml:space="preserve">Matte, Darryl Menezes, Stefano </w:t>
      </w:r>
      <w:proofErr w:type="spellStart"/>
      <w:r>
        <w:t>Milleri</w:t>
      </w:r>
      <w:proofErr w:type="spellEnd"/>
      <w:r>
        <w:t xml:space="preserve">, Linda Nichols, </w:t>
      </w:r>
      <w:proofErr w:type="spellStart"/>
      <w:r>
        <w:t>Kazutoshi</w:t>
      </w:r>
      <w:proofErr w:type="spellEnd"/>
      <w:r>
        <w:t xml:space="preserve"> </w:t>
      </w:r>
      <w:proofErr w:type="spellStart"/>
      <w:r>
        <w:t>Nishiyama</w:t>
      </w:r>
      <w:proofErr w:type="spellEnd"/>
      <w:r>
        <w:t xml:space="preserve">, Mieko </w:t>
      </w:r>
      <w:proofErr w:type="spellStart"/>
      <w:r>
        <w:t>Ogino</w:t>
      </w:r>
      <w:proofErr w:type="spellEnd"/>
      <w:r>
        <w:t xml:space="preserve">, Chris Parkinson, Pierre-François </w:t>
      </w:r>
      <w:proofErr w:type="spellStart"/>
      <w:r>
        <w:t>Pradat</w:t>
      </w:r>
      <w:proofErr w:type="spellEnd"/>
      <w:r>
        <w:t xml:space="preserve">, </w:t>
      </w:r>
      <w:proofErr w:type="spellStart"/>
      <w:r>
        <w:t>Tino</w:t>
      </w:r>
      <w:proofErr w:type="spellEnd"/>
      <w:r>
        <w:t xml:space="preserve"> </w:t>
      </w:r>
      <w:proofErr w:type="spellStart"/>
      <w:r>
        <w:t>Prell</w:t>
      </w:r>
      <w:proofErr w:type="spellEnd"/>
      <w:r>
        <w:t xml:space="preserve">, Jeffrey Price, Eleanor Ramsey, Thomas M Ringer, </w:t>
      </w:r>
      <w:proofErr w:type="spellStart"/>
      <w:r>
        <w:t>Kristiana</w:t>
      </w:r>
      <w:proofErr w:type="spellEnd"/>
      <w:r>
        <w:t xml:space="preserve"> Salmon, Christen </w:t>
      </w:r>
      <w:proofErr w:type="spellStart"/>
      <w:r>
        <w:t>Shoesmith</w:t>
      </w:r>
      <w:proofErr w:type="spellEnd"/>
      <w:r>
        <w:t xml:space="preserve">, Marie Helene </w:t>
      </w:r>
      <w:proofErr w:type="spellStart"/>
      <w:r>
        <w:t>Soriani</w:t>
      </w:r>
      <w:proofErr w:type="spellEnd"/>
      <w:r>
        <w:t xml:space="preserve">, </w:t>
      </w:r>
      <w:proofErr w:type="spellStart"/>
      <w:r>
        <w:t>Marloes</w:t>
      </w:r>
      <w:proofErr w:type="spellEnd"/>
      <w:r>
        <w:t xml:space="preserve"> </w:t>
      </w:r>
      <w:proofErr w:type="spellStart"/>
      <w:r>
        <w:t>Stam</w:t>
      </w:r>
      <w:proofErr w:type="spellEnd"/>
      <w:r>
        <w:t xml:space="preserve">, Erik Steinberg, Rob Stubbs, Herman Sullivan, Philip Van </w:t>
      </w:r>
      <w:proofErr w:type="spellStart"/>
      <w:r>
        <w:t>Damme</w:t>
      </w:r>
      <w:proofErr w:type="spellEnd"/>
      <w:r>
        <w:t xml:space="preserve">, Michael van </w:t>
      </w:r>
      <w:proofErr w:type="spellStart"/>
      <w:r>
        <w:t>Es</w:t>
      </w:r>
      <w:proofErr w:type="spellEnd"/>
      <w:r>
        <w:t xml:space="preserve">, Anne </w:t>
      </w:r>
      <w:proofErr w:type="spellStart"/>
      <w:r>
        <w:t>Visser</w:t>
      </w:r>
      <w:proofErr w:type="spellEnd"/>
      <w:r>
        <w:t xml:space="preserve">, Mary Lou Watson, Andrea Sylvia Winkler, Lorne </w:t>
      </w:r>
      <w:proofErr w:type="spellStart"/>
      <w:r>
        <w:t>Zinman</w:t>
      </w:r>
      <w:proofErr w:type="spellEnd"/>
      <w:r>
        <w:t xml:space="preserve">, Margie </w:t>
      </w:r>
      <w:proofErr w:type="spellStart"/>
      <w:r>
        <w:t>Zoing</w:t>
      </w:r>
      <w:proofErr w:type="spellEnd"/>
      <w:r>
        <w:t xml:space="preserve">. </w:t>
      </w:r>
    </w:p>
    <w:p w:rsidR="00A00DDE" w:rsidRDefault="00A00DDE" w:rsidP="000E44AD"/>
    <w:p w:rsidR="00BD25F8" w:rsidRPr="00BD25F8" w:rsidRDefault="00BD25F8" w:rsidP="00FD4D14">
      <w:pPr>
        <w:keepNext/>
        <w:spacing w:line="360" w:lineRule="auto"/>
        <w:outlineLvl w:val="0"/>
        <w:rPr>
          <w:b/>
        </w:rPr>
      </w:pPr>
      <w:r w:rsidRPr="00BD25F8">
        <w:rPr>
          <w:b/>
        </w:rPr>
        <w:t>DECLARATION OF INTERESTS</w:t>
      </w:r>
    </w:p>
    <w:p w:rsidR="00BD25F8" w:rsidRDefault="008B4746" w:rsidP="000E44AD">
      <w:pPr>
        <w:spacing w:line="360" w:lineRule="auto"/>
      </w:pPr>
      <w:r>
        <w:t xml:space="preserve">VM reports </w:t>
      </w:r>
      <w:r w:rsidR="00446EA2" w:rsidRPr="00446EA2">
        <w:t xml:space="preserve">non-financial </w:t>
      </w:r>
      <w:r w:rsidR="00446EA2">
        <w:t>support from Fishawack Indicia</w:t>
      </w:r>
      <w:r w:rsidR="00446EA2" w:rsidRPr="00446EA2">
        <w:t xml:space="preserve"> during the conduct of the stud</w:t>
      </w:r>
      <w:r w:rsidR="00446EA2">
        <w:t>y.</w:t>
      </w:r>
      <w:r>
        <w:t xml:space="preserve"> </w:t>
      </w:r>
    </w:p>
    <w:p w:rsidR="00446EA2" w:rsidRDefault="00446EA2" w:rsidP="003B5195">
      <w:pPr>
        <w:spacing w:line="360" w:lineRule="auto"/>
      </w:pPr>
      <w:r>
        <w:t xml:space="preserve">AG reports </w:t>
      </w:r>
      <w:r w:rsidRPr="00446EA2">
        <w:t xml:space="preserve">non-financial </w:t>
      </w:r>
      <w:r>
        <w:t>support from Fishawack Indicia</w:t>
      </w:r>
      <w:r w:rsidRPr="00446EA2">
        <w:t xml:space="preserve"> during the conduct of the stud</w:t>
      </w:r>
      <w:r>
        <w:t xml:space="preserve">y. </w:t>
      </w:r>
    </w:p>
    <w:p w:rsidR="00446EA2" w:rsidRDefault="00446EA2" w:rsidP="000E44AD">
      <w:pPr>
        <w:spacing w:line="360" w:lineRule="auto"/>
      </w:pPr>
      <w:proofErr w:type="spellStart"/>
      <w:r>
        <w:t>L</w:t>
      </w:r>
      <w:r w:rsidR="00841394">
        <w:t>H</w:t>
      </w:r>
      <w:r>
        <w:t>vB</w:t>
      </w:r>
      <w:proofErr w:type="spellEnd"/>
      <w:r>
        <w:t xml:space="preserve"> reports </w:t>
      </w:r>
      <w:r w:rsidRPr="00446EA2">
        <w:t>non-financial support from Fishawack Indicia during the conduct of the study; personal fees from Biogen</w:t>
      </w:r>
      <w:r>
        <w:t xml:space="preserve"> and</w:t>
      </w:r>
      <w:r w:rsidRPr="00446EA2">
        <w:t xml:space="preserve"> Cytokinetics, grants and personal fees from </w:t>
      </w:r>
      <w:proofErr w:type="spellStart"/>
      <w:r w:rsidRPr="00446EA2">
        <w:t>Baxalta</w:t>
      </w:r>
      <w:proofErr w:type="spellEnd"/>
      <w:r w:rsidRPr="00446EA2">
        <w:t xml:space="preserve"> outside the submitted work</w:t>
      </w:r>
      <w:r>
        <w:t xml:space="preserve">.  </w:t>
      </w:r>
    </w:p>
    <w:p w:rsidR="00446EA2" w:rsidRDefault="00446EA2" w:rsidP="000E44AD">
      <w:pPr>
        <w:spacing w:line="360" w:lineRule="auto"/>
      </w:pPr>
      <w:r>
        <w:t xml:space="preserve">WR reports </w:t>
      </w:r>
      <w:r w:rsidRPr="00446EA2">
        <w:t xml:space="preserve">non-financial </w:t>
      </w:r>
      <w:r>
        <w:t>support from Fishawack Indicia</w:t>
      </w:r>
      <w:r w:rsidRPr="00446EA2">
        <w:t xml:space="preserve"> during the conduct of the stud</w:t>
      </w:r>
      <w:r>
        <w:t>y.</w:t>
      </w:r>
    </w:p>
    <w:p w:rsidR="00446EA2" w:rsidRDefault="00446EA2" w:rsidP="000E44AD">
      <w:pPr>
        <w:spacing w:line="360" w:lineRule="auto"/>
      </w:pPr>
      <w:r>
        <w:t xml:space="preserve">A </w:t>
      </w:r>
      <w:proofErr w:type="spellStart"/>
      <w:r>
        <w:t>Ludolph</w:t>
      </w:r>
      <w:proofErr w:type="spellEnd"/>
      <w:r>
        <w:t xml:space="preserve"> reports </w:t>
      </w:r>
      <w:r w:rsidRPr="00446EA2">
        <w:t xml:space="preserve">non-financial </w:t>
      </w:r>
      <w:r>
        <w:t>support from Fishawack Indicia</w:t>
      </w:r>
      <w:r w:rsidRPr="00446EA2">
        <w:t xml:space="preserve"> during the conduct of the stud</w:t>
      </w:r>
      <w:r>
        <w:t xml:space="preserve">y. </w:t>
      </w:r>
    </w:p>
    <w:p w:rsidR="00446EA2" w:rsidRDefault="00446EA2" w:rsidP="000E44AD">
      <w:pPr>
        <w:spacing w:line="360" w:lineRule="auto"/>
      </w:pPr>
      <w:r>
        <w:t xml:space="preserve">AC reports </w:t>
      </w:r>
      <w:r w:rsidRPr="00446EA2">
        <w:t xml:space="preserve">non-financial </w:t>
      </w:r>
      <w:r>
        <w:t>support from Fishawack Indicia</w:t>
      </w:r>
      <w:r w:rsidRPr="00446EA2">
        <w:t xml:space="preserve"> during the conduct of the stud</w:t>
      </w:r>
      <w:r>
        <w:t xml:space="preserve">y; </w:t>
      </w:r>
      <w:r w:rsidRPr="00446EA2">
        <w:t>grants from European Commission</w:t>
      </w:r>
      <w:r>
        <w:t xml:space="preserve"> </w:t>
      </w:r>
      <w:r w:rsidRPr="00446EA2">
        <w:t xml:space="preserve">outside the submitted work; and compensation for scientific advisory boards by Biogen Idec, Cytokinetics, </w:t>
      </w:r>
      <w:proofErr w:type="spellStart"/>
      <w:r w:rsidRPr="00446EA2">
        <w:t>Italfarmaco</w:t>
      </w:r>
      <w:proofErr w:type="spellEnd"/>
      <w:r w:rsidRPr="00446EA2">
        <w:t xml:space="preserve">, </w:t>
      </w:r>
      <w:proofErr w:type="spellStart"/>
      <w:r w:rsidRPr="00446EA2">
        <w:t>Neuraltus</w:t>
      </w:r>
      <w:proofErr w:type="spellEnd"/>
      <w:r w:rsidRPr="00446EA2">
        <w:t xml:space="preserve"> and Mitsubishi.</w:t>
      </w:r>
      <w:r>
        <w:t xml:space="preserve"> </w:t>
      </w:r>
    </w:p>
    <w:p w:rsidR="00446EA2" w:rsidRDefault="00446EA2" w:rsidP="000E44AD">
      <w:pPr>
        <w:spacing w:line="360" w:lineRule="auto"/>
      </w:pPr>
      <w:r w:rsidRPr="00A46E09">
        <w:t>SHK</w:t>
      </w:r>
      <w:r>
        <w:t xml:space="preserve"> reports </w:t>
      </w:r>
      <w:r w:rsidRPr="00446EA2">
        <w:t xml:space="preserve">non-financial </w:t>
      </w:r>
      <w:r>
        <w:t>support from Fishawack Indicia</w:t>
      </w:r>
      <w:r w:rsidRPr="00446EA2">
        <w:t xml:space="preserve"> during the conduct of the stud</w:t>
      </w:r>
      <w:r>
        <w:t>y.</w:t>
      </w:r>
    </w:p>
    <w:p w:rsidR="00446EA2" w:rsidRDefault="00446EA2" w:rsidP="000E44AD">
      <w:pPr>
        <w:spacing w:line="360" w:lineRule="auto"/>
      </w:pPr>
      <w:r>
        <w:t xml:space="preserve">PNL reports </w:t>
      </w:r>
      <w:r w:rsidR="00D42572" w:rsidRPr="00D42572">
        <w:t>non-financial support from Fishawack Indicia</w:t>
      </w:r>
      <w:r w:rsidR="00D42572">
        <w:t xml:space="preserve"> and</w:t>
      </w:r>
      <w:r w:rsidR="00D42572" w:rsidRPr="00D42572">
        <w:t xml:space="preserve"> personal fees from </w:t>
      </w:r>
      <w:r w:rsidR="005412BE" w:rsidRPr="00D42572">
        <w:t>GSK during</w:t>
      </w:r>
      <w:r w:rsidR="00D42572" w:rsidRPr="00D42572">
        <w:t xml:space="preserve"> the conduct of the study; grants from </w:t>
      </w:r>
      <w:r w:rsidR="000A414F">
        <w:t xml:space="preserve">the </w:t>
      </w:r>
      <w:r w:rsidR="00D42572" w:rsidRPr="00D42572">
        <w:t xml:space="preserve">MND Association, </w:t>
      </w:r>
      <w:r w:rsidR="000A414F">
        <w:t>the</w:t>
      </w:r>
      <w:r w:rsidR="00D42572" w:rsidRPr="00D42572">
        <w:t xml:space="preserve"> European Union H2020</w:t>
      </w:r>
      <w:r w:rsidR="00A877A3">
        <w:t xml:space="preserve"> </w:t>
      </w:r>
      <w:r w:rsidR="00D42572" w:rsidRPr="00D42572">
        <w:t>award 2015</w:t>
      </w:r>
      <w:r w:rsidR="000A414F">
        <w:t>–</w:t>
      </w:r>
      <w:r w:rsidR="00D42572" w:rsidRPr="00D42572">
        <w:t xml:space="preserve">19, </w:t>
      </w:r>
      <w:r w:rsidR="000A414F">
        <w:t>the</w:t>
      </w:r>
      <w:r w:rsidR="00D42572" w:rsidRPr="00D42572">
        <w:t xml:space="preserve"> </w:t>
      </w:r>
      <w:proofErr w:type="spellStart"/>
      <w:r w:rsidR="00D42572" w:rsidRPr="00D42572">
        <w:t>Wellcome</w:t>
      </w:r>
      <w:proofErr w:type="spellEnd"/>
      <w:r w:rsidR="00D42572" w:rsidRPr="00D42572">
        <w:t xml:space="preserve"> Trust, Orion Pharma, </w:t>
      </w:r>
      <w:r w:rsidR="000A414F">
        <w:t xml:space="preserve">and the PSP Association </w:t>
      </w:r>
      <w:r w:rsidR="00D42572" w:rsidRPr="00D42572">
        <w:t>outside the submitted work</w:t>
      </w:r>
      <w:r>
        <w:t xml:space="preserve">. </w:t>
      </w:r>
    </w:p>
    <w:p w:rsidR="00446EA2" w:rsidRDefault="00446EA2" w:rsidP="000E44AD">
      <w:pPr>
        <w:spacing w:line="360" w:lineRule="auto"/>
      </w:pPr>
      <w:r>
        <w:t xml:space="preserve">MCK reports </w:t>
      </w:r>
      <w:r w:rsidRPr="00446EA2">
        <w:t xml:space="preserve">non-financial </w:t>
      </w:r>
      <w:r>
        <w:t>support from Fishawack Indicia</w:t>
      </w:r>
      <w:r w:rsidRPr="00446EA2">
        <w:t xml:space="preserve"> during the conduct of the stud</w:t>
      </w:r>
      <w:r>
        <w:t xml:space="preserve">y. </w:t>
      </w:r>
    </w:p>
    <w:p w:rsidR="00446EA2" w:rsidRDefault="00446EA2" w:rsidP="003B5195">
      <w:pPr>
        <w:spacing w:line="360" w:lineRule="auto"/>
      </w:pPr>
      <w:r>
        <w:lastRenderedPageBreak/>
        <w:t xml:space="preserve">JMS reports </w:t>
      </w:r>
      <w:r w:rsidRPr="00446EA2">
        <w:t>grants and personal fees from GSK</w:t>
      </w:r>
      <w:r>
        <w:t xml:space="preserve"> and</w:t>
      </w:r>
      <w:r w:rsidRPr="00446EA2">
        <w:t xml:space="preserve"> non-financial support from Fishawack indicia during the conduct of the study; grants and </w:t>
      </w:r>
      <w:r>
        <w:t>personal fees from Cytokinetics</w:t>
      </w:r>
      <w:r w:rsidRPr="00446EA2">
        <w:t xml:space="preserve"> </w:t>
      </w:r>
      <w:r>
        <w:t>and</w:t>
      </w:r>
      <w:r w:rsidRPr="00446EA2">
        <w:t xml:space="preserve"> Biogen Idec outside the submitted work</w:t>
      </w:r>
      <w:r>
        <w:t>.</w:t>
      </w:r>
    </w:p>
    <w:p w:rsidR="00446EA2" w:rsidRDefault="00446EA2" w:rsidP="000E44AD">
      <w:pPr>
        <w:spacing w:line="360" w:lineRule="auto"/>
      </w:pPr>
      <w:r>
        <w:t xml:space="preserve">CD reports </w:t>
      </w:r>
      <w:r w:rsidRPr="00446EA2">
        <w:t>non-financial support from Fishawack Indicia during the conduct of the study; personal fees from Genzyme Sanofi Co</w:t>
      </w:r>
      <w:r>
        <w:t xml:space="preserve"> and </w:t>
      </w:r>
      <w:proofErr w:type="spellStart"/>
      <w:r>
        <w:t>BioMarin</w:t>
      </w:r>
      <w:proofErr w:type="spellEnd"/>
      <w:r>
        <w:t xml:space="preserve"> Co</w:t>
      </w:r>
      <w:r w:rsidRPr="00446EA2">
        <w:t xml:space="preserve"> outside the submitted work</w:t>
      </w:r>
      <w:r>
        <w:t>.</w:t>
      </w:r>
    </w:p>
    <w:p w:rsidR="00446EA2" w:rsidRDefault="00446EA2" w:rsidP="000E44AD">
      <w:pPr>
        <w:spacing w:line="360" w:lineRule="auto"/>
      </w:pPr>
      <w:r>
        <w:t xml:space="preserve">KEM reports </w:t>
      </w:r>
      <w:r w:rsidR="00254B11" w:rsidRPr="00446EA2">
        <w:t xml:space="preserve">non-financial </w:t>
      </w:r>
      <w:r w:rsidR="00254B11">
        <w:t>support from Fishawack Indicia</w:t>
      </w:r>
      <w:r w:rsidR="00254B11" w:rsidRPr="00446EA2">
        <w:t xml:space="preserve"> during the conduct of the stud</w:t>
      </w:r>
      <w:r w:rsidR="00254B11">
        <w:t>y.</w:t>
      </w:r>
    </w:p>
    <w:p w:rsidR="00C16F21" w:rsidRPr="00C16F21" w:rsidRDefault="00C16F21" w:rsidP="00C16F21">
      <w:pPr>
        <w:spacing w:line="360" w:lineRule="auto"/>
      </w:pPr>
      <w:r w:rsidRPr="00C16F21">
        <w:t>SP reports non-financial support from Fishawack Indicia and clinical trial conduct payment/services from GSK during the conduct of the study; clinical trial conduct, travel, investigator meeting and accommodation payments from BIOGEN, Cytokinetics, Inc. and Orion Pharma outside the submitted work.</w:t>
      </w:r>
    </w:p>
    <w:p w:rsidR="00C16F21" w:rsidRPr="00F345BB" w:rsidRDefault="00C16F21" w:rsidP="00C16F21">
      <w:pPr>
        <w:spacing w:line="360" w:lineRule="auto"/>
      </w:pPr>
      <w:r w:rsidRPr="00F345BB">
        <w:t xml:space="preserve">DB reports non-financial support from Fishawack Indicia during the conduct of the study; </w:t>
      </w:r>
      <w:r w:rsidRPr="00F345BB">
        <w:rPr>
          <w:iCs/>
        </w:rPr>
        <w:t>GSK employment</w:t>
      </w:r>
      <w:r w:rsidR="00A52217">
        <w:rPr>
          <w:iCs/>
        </w:rPr>
        <w:t xml:space="preserve"> and</w:t>
      </w:r>
      <w:r w:rsidRPr="00F345BB">
        <w:rPr>
          <w:iCs/>
        </w:rPr>
        <w:t xml:space="preserve"> stock ownership outside the submitted work</w:t>
      </w:r>
      <w:r w:rsidRPr="00F345BB">
        <w:t xml:space="preserve">. </w:t>
      </w:r>
    </w:p>
    <w:p w:rsidR="00C16F21" w:rsidRPr="00F345BB" w:rsidRDefault="00C16F21" w:rsidP="00C16F21">
      <w:pPr>
        <w:spacing w:line="360" w:lineRule="auto"/>
      </w:pPr>
      <w:r w:rsidRPr="00F345BB">
        <w:t xml:space="preserve">JT reports non-financial support from Fishawack Indicia during the conduct of the study; </w:t>
      </w:r>
      <w:r w:rsidRPr="00F345BB">
        <w:rPr>
          <w:iCs/>
        </w:rPr>
        <w:t>GSK employment</w:t>
      </w:r>
      <w:r w:rsidR="00A52217">
        <w:rPr>
          <w:iCs/>
        </w:rPr>
        <w:t xml:space="preserve"> and</w:t>
      </w:r>
      <w:r w:rsidRPr="00F345BB">
        <w:rPr>
          <w:iCs/>
        </w:rPr>
        <w:t xml:space="preserve"> stock ownership outside the submitted work</w:t>
      </w:r>
      <w:r w:rsidRPr="00F345BB">
        <w:t xml:space="preserve">. </w:t>
      </w:r>
    </w:p>
    <w:p w:rsidR="00C16F21" w:rsidRPr="00F345BB" w:rsidRDefault="00C16F21" w:rsidP="00C16F21">
      <w:pPr>
        <w:spacing w:line="360" w:lineRule="auto"/>
      </w:pPr>
      <w:r w:rsidRPr="00F345BB">
        <w:t xml:space="preserve">RM reports non-financial support from Fishawack Indicia during the conduct of the study; </w:t>
      </w:r>
      <w:r w:rsidRPr="00F345BB">
        <w:rPr>
          <w:iCs/>
        </w:rPr>
        <w:t>GSK employment</w:t>
      </w:r>
      <w:r w:rsidR="00A52217">
        <w:rPr>
          <w:iCs/>
        </w:rPr>
        <w:t xml:space="preserve"> and </w:t>
      </w:r>
      <w:r w:rsidRPr="00F345BB">
        <w:rPr>
          <w:iCs/>
        </w:rPr>
        <w:t>stock ownership outside the submitted work</w:t>
      </w:r>
      <w:r w:rsidRPr="00F345BB">
        <w:t>.</w:t>
      </w:r>
    </w:p>
    <w:p w:rsidR="00C16F21" w:rsidRPr="00F345BB" w:rsidRDefault="00C16F21" w:rsidP="00C16F21">
      <w:pPr>
        <w:spacing w:line="360" w:lineRule="auto"/>
      </w:pPr>
      <w:r w:rsidRPr="00F345BB">
        <w:t>MD reports non-financial support from Fishawack Indicia during the conduct of the study</w:t>
      </w:r>
      <w:r w:rsidRPr="00F345BB">
        <w:rPr>
          <w:iCs/>
        </w:rPr>
        <w:t xml:space="preserve"> GSK employment</w:t>
      </w:r>
      <w:r w:rsidR="00A52217">
        <w:rPr>
          <w:iCs/>
        </w:rPr>
        <w:t xml:space="preserve"> and</w:t>
      </w:r>
      <w:r w:rsidRPr="00F345BB">
        <w:rPr>
          <w:iCs/>
        </w:rPr>
        <w:t xml:space="preserve"> stock ownership outside the submitted work</w:t>
      </w:r>
      <w:r w:rsidRPr="00F345BB">
        <w:t>.</w:t>
      </w:r>
    </w:p>
    <w:p w:rsidR="00C16F21" w:rsidRPr="00F345BB" w:rsidRDefault="00C16F21" w:rsidP="00C16F21">
      <w:pPr>
        <w:spacing w:line="360" w:lineRule="auto"/>
      </w:pPr>
      <w:r w:rsidRPr="00F345BB">
        <w:t xml:space="preserve">JB reports non-financial support from Fishawack Indicia during the conduct of the study; </w:t>
      </w:r>
      <w:r w:rsidR="00FA1E76" w:rsidRPr="00F345BB">
        <w:rPr>
          <w:iCs/>
        </w:rPr>
        <w:t>GSK employment</w:t>
      </w:r>
      <w:r w:rsidR="00FA1E76">
        <w:rPr>
          <w:iCs/>
        </w:rPr>
        <w:t xml:space="preserve"> and</w:t>
      </w:r>
      <w:r w:rsidR="00FA1E76" w:rsidRPr="00F345BB">
        <w:rPr>
          <w:iCs/>
        </w:rPr>
        <w:t xml:space="preserve"> stock ownership outside the submitted work</w:t>
      </w:r>
      <w:r w:rsidRPr="00F345BB">
        <w:t xml:space="preserve">. </w:t>
      </w:r>
    </w:p>
    <w:p w:rsidR="00C16F21" w:rsidRPr="00F345BB" w:rsidRDefault="00C16F21" w:rsidP="00C16F21">
      <w:pPr>
        <w:spacing w:line="360" w:lineRule="auto"/>
      </w:pPr>
      <w:r w:rsidRPr="00F345BB">
        <w:t>PR reports non-financial support from Fishawack Indicia during the conduct of the study</w:t>
      </w:r>
      <w:r w:rsidRPr="00F345BB">
        <w:rPr>
          <w:iCs/>
        </w:rPr>
        <w:t xml:space="preserve"> GSK employment</w:t>
      </w:r>
      <w:r w:rsidR="00A52217">
        <w:rPr>
          <w:iCs/>
        </w:rPr>
        <w:t xml:space="preserve"> and</w:t>
      </w:r>
      <w:r w:rsidRPr="00F345BB">
        <w:rPr>
          <w:iCs/>
        </w:rPr>
        <w:t xml:space="preserve"> stock ownership outside the submitted work</w:t>
      </w:r>
      <w:r w:rsidRPr="00F345BB">
        <w:t xml:space="preserve">. </w:t>
      </w:r>
    </w:p>
    <w:p w:rsidR="00C16F21" w:rsidRPr="00F345BB" w:rsidRDefault="00C16F21" w:rsidP="00C16F21">
      <w:pPr>
        <w:spacing w:line="360" w:lineRule="auto"/>
      </w:pPr>
      <w:r w:rsidRPr="00F345BB">
        <w:t xml:space="preserve">A Lavrov reports non-financial support from Fishawack Indicia during the conduct of the study; </w:t>
      </w:r>
      <w:r w:rsidRPr="00F345BB">
        <w:rPr>
          <w:iCs/>
        </w:rPr>
        <w:t>GSK employment</w:t>
      </w:r>
      <w:r w:rsidR="00A52217">
        <w:rPr>
          <w:iCs/>
        </w:rPr>
        <w:t xml:space="preserve"> and</w:t>
      </w:r>
      <w:r w:rsidRPr="00F345BB">
        <w:rPr>
          <w:iCs/>
        </w:rPr>
        <w:t xml:space="preserve"> stock ownership outside the submitted work</w:t>
      </w:r>
      <w:r w:rsidRPr="00F345BB">
        <w:t xml:space="preserve">. </w:t>
      </w:r>
    </w:p>
    <w:p w:rsidR="00BD25F8" w:rsidRDefault="00BD25F8" w:rsidP="000E44AD">
      <w:pPr>
        <w:spacing w:line="360" w:lineRule="auto"/>
      </w:pPr>
    </w:p>
    <w:p w:rsidR="00BD25F8" w:rsidRPr="00896509" w:rsidRDefault="00BD25F8">
      <w:pPr>
        <w:keepNext/>
        <w:spacing w:line="360" w:lineRule="auto"/>
        <w:sectPr w:rsidR="00BD25F8" w:rsidRPr="00896509" w:rsidSect="00F2790C">
          <w:headerReference w:type="default" r:id="rId8"/>
          <w:pgSz w:w="11906" w:h="16838"/>
          <w:pgMar w:top="1440" w:right="1440" w:bottom="1440" w:left="1440" w:header="708" w:footer="708" w:gutter="0"/>
          <w:cols w:space="708"/>
          <w:docGrid w:linePitch="360"/>
        </w:sectPr>
      </w:pPr>
    </w:p>
    <w:p w:rsidR="00CF7C45" w:rsidRPr="005345A6" w:rsidRDefault="00CF7C45" w:rsidP="00FD4D14">
      <w:pPr>
        <w:keepNext/>
        <w:spacing w:line="360" w:lineRule="auto"/>
        <w:outlineLvl w:val="0"/>
        <w:rPr>
          <w:b/>
        </w:rPr>
      </w:pPr>
      <w:r w:rsidRPr="005345A6">
        <w:rPr>
          <w:b/>
        </w:rPr>
        <w:lastRenderedPageBreak/>
        <w:t>FIGURE</w:t>
      </w:r>
      <w:r w:rsidR="00D21C49">
        <w:rPr>
          <w:b/>
        </w:rPr>
        <w:t xml:space="preserve"> LEGENDS</w:t>
      </w:r>
      <w:r w:rsidR="00053296">
        <w:rPr>
          <w:b/>
        </w:rPr>
        <w:t xml:space="preserve"> </w:t>
      </w:r>
    </w:p>
    <w:p w:rsidR="00432DEF" w:rsidRPr="005345A6" w:rsidRDefault="00432DEF" w:rsidP="00FD4D14">
      <w:pPr>
        <w:keepNext/>
        <w:spacing w:line="360" w:lineRule="auto"/>
        <w:outlineLvl w:val="0"/>
        <w:rPr>
          <w:i/>
        </w:rPr>
      </w:pPr>
      <w:r w:rsidRPr="005345A6">
        <w:rPr>
          <w:b/>
        </w:rPr>
        <w:t>Figure 1</w:t>
      </w:r>
      <w:r w:rsidR="007748C5">
        <w:rPr>
          <w:b/>
        </w:rPr>
        <w:t>:</w:t>
      </w:r>
      <w:r w:rsidR="007748C5" w:rsidRPr="005345A6">
        <w:rPr>
          <w:b/>
        </w:rPr>
        <w:t xml:space="preserve"> </w:t>
      </w:r>
      <w:r w:rsidR="001117A7">
        <w:rPr>
          <w:b/>
        </w:rPr>
        <w:t>Trial profile</w:t>
      </w:r>
    </w:p>
    <w:p w:rsidR="00D21C49" w:rsidRDefault="00EE669F" w:rsidP="00F91BAD">
      <w:pPr>
        <w:spacing w:line="360" w:lineRule="auto"/>
        <w:rPr>
          <w:noProof/>
        </w:rPr>
      </w:pPr>
      <w:r w:rsidRPr="00F345BB">
        <w:rPr>
          <w:noProof/>
          <w:vertAlign w:val="superscript"/>
        </w:rPr>
        <w:t>a</w:t>
      </w:r>
      <w:r w:rsidRPr="00F345BB">
        <w:rPr>
          <w:noProof/>
        </w:rPr>
        <w:t>The</w:t>
      </w:r>
      <w:r w:rsidRPr="00F345BB">
        <w:t xml:space="preserve"> patient did not receive the study drug </w:t>
      </w:r>
      <w:r w:rsidRPr="00F345BB">
        <w:rPr>
          <w:noProof/>
          <w:vertAlign w:val="superscript"/>
        </w:rPr>
        <w:t>b</w:t>
      </w:r>
      <w:r w:rsidRPr="00F345BB">
        <w:rPr>
          <w:noProof/>
        </w:rPr>
        <w:t>Patients</w:t>
      </w:r>
      <w:r>
        <w:rPr>
          <w:noProof/>
        </w:rPr>
        <w:t xml:space="preserve"> </w:t>
      </w:r>
      <w:r w:rsidR="001967DC">
        <w:rPr>
          <w:noProof/>
        </w:rPr>
        <w:t xml:space="preserve">were considered to have completed placebo/ozanezumab if they completed all doses up to </w:t>
      </w:r>
      <w:r w:rsidR="007748C5">
        <w:rPr>
          <w:noProof/>
        </w:rPr>
        <w:t>w</w:t>
      </w:r>
      <w:r w:rsidR="001967DC">
        <w:rPr>
          <w:noProof/>
        </w:rPr>
        <w:t xml:space="preserve">eek 46. </w:t>
      </w:r>
      <w:r>
        <w:rPr>
          <w:noProof/>
          <w:vertAlign w:val="superscript"/>
        </w:rPr>
        <w:t>c</w:t>
      </w:r>
      <w:r w:rsidR="00B25BF6" w:rsidRPr="005A3506">
        <w:rPr>
          <w:noProof/>
        </w:rPr>
        <w:t>Patient</w:t>
      </w:r>
      <w:r w:rsidR="00053296" w:rsidRPr="005A3506">
        <w:rPr>
          <w:noProof/>
        </w:rPr>
        <w:t>s</w:t>
      </w:r>
      <w:r w:rsidR="00053296">
        <w:rPr>
          <w:noProof/>
        </w:rPr>
        <w:t xml:space="preserve"> who withdrew from study medication, but continued to provide ALSFRS-R data and any relevant safety information by telephone up to </w:t>
      </w:r>
      <w:r w:rsidR="007748C5">
        <w:rPr>
          <w:noProof/>
        </w:rPr>
        <w:t>w</w:t>
      </w:r>
      <w:r w:rsidR="00053296">
        <w:rPr>
          <w:noProof/>
        </w:rPr>
        <w:t>eek 48</w:t>
      </w:r>
      <w:r w:rsidR="00436933">
        <w:rPr>
          <w:noProof/>
        </w:rPr>
        <w:t xml:space="preserve"> and completed their follow-up visit</w:t>
      </w:r>
      <w:r w:rsidR="00053296">
        <w:rPr>
          <w:noProof/>
        </w:rPr>
        <w:t>.</w:t>
      </w:r>
    </w:p>
    <w:p w:rsidR="00D21C49" w:rsidRDefault="00D21C49">
      <w:pPr>
        <w:keepNext/>
        <w:spacing w:line="360" w:lineRule="auto"/>
        <w:rPr>
          <w:noProof/>
        </w:rPr>
      </w:pPr>
    </w:p>
    <w:p w:rsidR="001117A7" w:rsidRPr="005345A6" w:rsidRDefault="00D21C49">
      <w:pPr>
        <w:spacing w:line="360" w:lineRule="auto"/>
      </w:pPr>
      <w:r w:rsidRPr="005345A6">
        <w:rPr>
          <w:b/>
        </w:rPr>
        <w:t>Figure 2</w:t>
      </w:r>
      <w:r w:rsidR="007748C5">
        <w:rPr>
          <w:b/>
        </w:rPr>
        <w:t>:</w:t>
      </w:r>
      <w:r w:rsidRPr="005345A6">
        <w:rPr>
          <w:b/>
        </w:rPr>
        <w:t xml:space="preserve"> Adjusted mean change (95% </w:t>
      </w:r>
      <w:r w:rsidR="001117A7">
        <w:rPr>
          <w:b/>
        </w:rPr>
        <w:t>CI</w:t>
      </w:r>
      <w:r w:rsidRPr="005345A6">
        <w:rPr>
          <w:b/>
        </w:rPr>
        <w:t xml:space="preserve">) from baseline in ALSFRS-R total score </w:t>
      </w:r>
      <w:r w:rsidR="001117A7">
        <w:rPr>
          <w:b/>
        </w:rPr>
        <w:t>over 48 weeks</w:t>
      </w:r>
      <w:r w:rsidR="001117A7" w:rsidRPr="001117A7">
        <w:rPr>
          <w:b/>
        </w:rPr>
        <w:t xml:space="preserve"> </w:t>
      </w:r>
      <w:r w:rsidR="001117A7">
        <w:rPr>
          <w:b/>
        </w:rPr>
        <w:t>in the intent-to-treat</w:t>
      </w:r>
      <w:r w:rsidRPr="005345A6">
        <w:rPr>
          <w:b/>
        </w:rPr>
        <w:t xml:space="preserve"> population </w:t>
      </w:r>
    </w:p>
    <w:p w:rsidR="007748C5" w:rsidRDefault="007748C5">
      <w:pPr>
        <w:spacing w:line="360" w:lineRule="auto"/>
        <w:rPr>
          <w:b/>
        </w:rPr>
      </w:pPr>
    </w:p>
    <w:p w:rsidR="00D21C49" w:rsidRDefault="00D21C49">
      <w:pPr>
        <w:spacing w:line="360" w:lineRule="auto"/>
      </w:pPr>
      <w:r w:rsidRPr="005345A6">
        <w:rPr>
          <w:b/>
        </w:rPr>
        <w:t xml:space="preserve">Figure 3: Survival </w:t>
      </w:r>
      <w:r w:rsidR="001117A7">
        <w:rPr>
          <w:b/>
        </w:rPr>
        <w:t>over 48 w</w:t>
      </w:r>
      <w:r w:rsidRPr="005345A6">
        <w:rPr>
          <w:b/>
        </w:rPr>
        <w:t>eek</w:t>
      </w:r>
      <w:r w:rsidR="001117A7">
        <w:rPr>
          <w:b/>
        </w:rPr>
        <w:t>s</w:t>
      </w:r>
      <w:r w:rsidRPr="005345A6">
        <w:rPr>
          <w:b/>
        </w:rPr>
        <w:t xml:space="preserve"> </w:t>
      </w:r>
      <w:r w:rsidR="001117A7">
        <w:rPr>
          <w:b/>
        </w:rPr>
        <w:t xml:space="preserve">in the intent-to-treat </w:t>
      </w:r>
      <w:r w:rsidRPr="005345A6">
        <w:rPr>
          <w:b/>
        </w:rPr>
        <w:t>population</w:t>
      </w:r>
      <w:r w:rsidRPr="005345A6">
        <w:t xml:space="preserve"> </w:t>
      </w:r>
    </w:p>
    <w:p w:rsidR="0091082D" w:rsidRDefault="0091082D">
      <w:pPr>
        <w:spacing w:line="360" w:lineRule="auto"/>
      </w:pPr>
    </w:p>
    <w:p w:rsidR="0091082D" w:rsidRDefault="0091082D" w:rsidP="0091082D">
      <w:pPr>
        <w:spacing w:line="360" w:lineRule="auto"/>
        <w:rPr>
          <w:b/>
          <w:bCs/>
          <w:szCs w:val="22"/>
        </w:rPr>
      </w:pPr>
      <w:r>
        <w:rPr>
          <w:b/>
          <w:bCs/>
          <w:szCs w:val="22"/>
        </w:rPr>
        <w:t xml:space="preserve">Figure S1: Observed </w:t>
      </w:r>
      <w:r w:rsidRPr="000E44AD">
        <w:rPr>
          <w:b/>
          <w:bCs/>
          <w:szCs w:val="22"/>
        </w:rPr>
        <w:t>vs</w:t>
      </w:r>
      <w:r>
        <w:rPr>
          <w:b/>
          <w:bCs/>
          <w:szCs w:val="22"/>
        </w:rPr>
        <w:t xml:space="preserve"> predicted p</w:t>
      </w:r>
      <w:r w:rsidRPr="00770D58">
        <w:rPr>
          <w:b/>
          <w:bCs/>
          <w:szCs w:val="22"/>
        </w:rPr>
        <w:t>las</w:t>
      </w:r>
      <w:r>
        <w:rPr>
          <w:b/>
          <w:bCs/>
          <w:szCs w:val="22"/>
        </w:rPr>
        <w:t>ma ozanezumab concentrations (PK ozanezumab population*)</w:t>
      </w:r>
    </w:p>
    <w:p w:rsidR="0091082D" w:rsidRPr="006552BF" w:rsidRDefault="0091082D" w:rsidP="0091082D">
      <w:pPr>
        <w:spacing w:line="360" w:lineRule="auto"/>
        <w:rPr>
          <w:bCs/>
          <w:szCs w:val="22"/>
          <w:vertAlign w:val="superscript"/>
        </w:rPr>
      </w:pPr>
    </w:p>
    <w:p w:rsidR="0091082D" w:rsidRDefault="0091082D" w:rsidP="0091082D">
      <w:pPr>
        <w:spacing w:line="360" w:lineRule="auto"/>
        <w:rPr>
          <w:b/>
          <w:bCs/>
          <w:szCs w:val="22"/>
        </w:rPr>
      </w:pPr>
      <w:r w:rsidRPr="006552BF">
        <w:rPr>
          <w:bCs/>
          <w:szCs w:val="22"/>
          <w:vertAlign w:val="superscript"/>
        </w:rPr>
        <w:t>*</w:t>
      </w:r>
      <w:r w:rsidRPr="00697615">
        <w:t xml:space="preserve">PK ozanezumab </w:t>
      </w:r>
      <w:r>
        <w:t xml:space="preserve">population comprised patients in the </w:t>
      </w:r>
      <w:r w:rsidRPr="00523CAA">
        <w:t>ITT population who received at least one dose of ozanezumab and from whom at least one plasma sample was analysed for ozanezumab</w:t>
      </w:r>
    </w:p>
    <w:p w:rsidR="0091082D" w:rsidRDefault="0091082D" w:rsidP="0091082D">
      <w:pPr>
        <w:spacing w:line="360" w:lineRule="auto"/>
        <w:rPr>
          <w:b/>
          <w:bCs/>
          <w:szCs w:val="22"/>
        </w:rPr>
      </w:pPr>
    </w:p>
    <w:p w:rsidR="0091082D" w:rsidRDefault="0091082D" w:rsidP="0091082D">
      <w:pPr>
        <w:spacing w:line="360" w:lineRule="auto"/>
        <w:rPr>
          <w:b/>
          <w:bCs/>
          <w:szCs w:val="22"/>
        </w:rPr>
      </w:pPr>
      <w:r>
        <w:rPr>
          <w:b/>
          <w:bCs/>
          <w:szCs w:val="22"/>
        </w:rPr>
        <w:t>Figure S2: Summary of common (≥5% of patients in either treatment arm) AEs any time during on-treatment or follow</w:t>
      </w:r>
      <w:r w:rsidR="00236042">
        <w:rPr>
          <w:b/>
          <w:bCs/>
          <w:szCs w:val="22"/>
        </w:rPr>
        <w:t>-</w:t>
      </w:r>
      <w:r>
        <w:rPr>
          <w:b/>
          <w:bCs/>
          <w:szCs w:val="22"/>
        </w:rPr>
        <w:t>up phase</w:t>
      </w:r>
    </w:p>
    <w:p w:rsidR="00D21C49" w:rsidRPr="005345A6" w:rsidRDefault="00D21C49">
      <w:pPr>
        <w:spacing w:line="360" w:lineRule="auto"/>
      </w:pPr>
    </w:p>
    <w:p w:rsidR="0047432D" w:rsidRPr="005345A6" w:rsidRDefault="0047432D" w:rsidP="00F91BAD">
      <w:pPr>
        <w:spacing w:line="360" w:lineRule="auto"/>
        <w:rPr>
          <w:b/>
        </w:rPr>
        <w:sectPr w:rsidR="0047432D" w:rsidRPr="005345A6" w:rsidSect="00F2790C">
          <w:pgSz w:w="11906" w:h="16838"/>
          <w:pgMar w:top="1440" w:right="1440" w:bottom="1440" w:left="1440" w:header="708" w:footer="708" w:gutter="0"/>
          <w:cols w:space="708"/>
          <w:docGrid w:linePitch="360"/>
        </w:sectPr>
      </w:pPr>
    </w:p>
    <w:p w:rsidR="00D21C49" w:rsidRPr="00F91BAD" w:rsidRDefault="00D21C49" w:rsidP="00FD4D14">
      <w:pPr>
        <w:keepNext/>
        <w:spacing w:line="360" w:lineRule="auto"/>
        <w:outlineLvl w:val="0"/>
        <w:rPr>
          <w:b/>
        </w:rPr>
      </w:pPr>
      <w:r w:rsidRPr="00F91BAD">
        <w:rPr>
          <w:b/>
        </w:rPr>
        <w:lastRenderedPageBreak/>
        <w:t>TABLES</w:t>
      </w:r>
    </w:p>
    <w:p w:rsidR="006D4AE9" w:rsidRPr="008A4F6B" w:rsidRDefault="006D4AE9" w:rsidP="00FD4D14">
      <w:pPr>
        <w:keepNext/>
        <w:spacing w:line="360" w:lineRule="auto"/>
        <w:outlineLvl w:val="0"/>
        <w:rPr>
          <w:b/>
          <w:szCs w:val="22"/>
        </w:rPr>
      </w:pPr>
      <w:r w:rsidRPr="005345A6">
        <w:rPr>
          <w:b/>
          <w:szCs w:val="22"/>
        </w:rPr>
        <w:t>Table 1</w:t>
      </w:r>
      <w:r w:rsidR="00F96027">
        <w:rPr>
          <w:b/>
          <w:szCs w:val="22"/>
        </w:rPr>
        <w:t>:</w:t>
      </w:r>
      <w:r w:rsidRPr="005345A6">
        <w:rPr>
          <w:b/>
          <w:szCs w:val="22"/>
        </w:rPr>
        <w:t xml:space="preserve"> Demographics and baseline characteristics</w:t>
      </w:r>
      <w:r w:rsidRPr="00F91BAD">
        <w:rPr>
          <w:b/>
          <w:i/>
          <w:szCs w:val="22"/>
        </w:rPr>
        <w:t xml:space="preserve"> </w:t>
      </w:r>
      <w:r w:rsidRPr="00F91BAD">
        <w:rPr>
          <w:b/>
          <w:szCs w:val="22"/>
        </w:rPr>
        <w:t>(ITT population)</w:t>
      </w:r>
    </w:p>
    <w:tbl>
      <w:tblPr>
        <w:tblStyle w:val="TableGrid"/>
        <w:tblW w:w="0" w:type="auto"/>
        <w:tblLook w:val="04A0" w:firstRow="1" w:lastRow="0" w:firstColumn="1" w:lastColumn="0" w:noHBand="0" w:noVBand="1"/>
      </w:tblPr>
      <w:tblGrid>
        <w:gridCol w:w="2927"/>
        <w:gridCol w:w="2738"/>
        <w:gridCol w:w="2835"/>
      </w:tblGrid>
      <w:tr w:rsidR="006D4AE9" w:rsidRPr="005345A6" w:rsidTr="006D4AE9">
        <w:tc>
          <w:tcPr>
            <w:tcW w:w="2927" w:type="dxa"/>
          </w:tcPr>
          <w:p w:rsidR="006D4AE9" w:rsidRPr="005345A6" w:rsidRDefault="006D4AE9" w:rsidP="006D4AE9">
            <w:pPr>
              <w:spacing w:line="360" w:lineRule="auto"/>
            </w:pPr>
          </w:p>
        </w:tc>
        <w:tc>
          <w:tcPr>
            <w:tcW w:w="2738" w:type="dxa"/>
            <w:vAlign w:val="center"/>
          </w:tcPr>
          <w:p w:rsidR="006D4AE9" w:rsidRPr="005345A6" w:rsidRDefault="006D4AE9" w:rsidP="006D4AE9">
            <w:pPr>
              <w:spacing w:line="360" w:lineRule="auto"/>
              <w:jc w:val="center"/>
              <w:rPr>
                <w:b/>
              </w:rPr>
            </w:pPr>
            <w:r w:rsidRPr="005345A6">
              <w:rPr>
                <w:b/>
              </w:rPr>
              <w:t>Placebo</w:t>
            </w:r>
          </w:p>
          <w:p w:rsidR="006D4AE9" w:rsidRPr="005345A6" w:rsidRDefault="006D4AE9" w:rsidP="006D4AE9">
            <w:pPr>
              <w:spacing w:line="360" w:lineRule="auto"/>
              <w:jc w:val="center"/>
              <w:rPr>
                <w:b/>
              </w:rPr>
            </w:pPr>
            <w:r w:rsidRPr="005345A6">
              <w:rPr>
                <w:b/>
              </w:rPr>
              <w:t>(n=151)</w:t>
            </w:r>
          </w:p>
        </w:tc>
        <w:tc>
          <w:tcPr>
            <w:tcW w:w="2835" w:type="dxa"/>
            <w:vAlign w:val="center"/>
          </w:tcPr>
          <w:p w:rsidR="006D4AE9" w:rsidRPr="005345A6" w:rsidRDefault="006D4AE9" w:rsidP="006D4AE9">
            <w:pPr>
              <w:spacing w:line="360" w:lineRule="auto"/>
              <w:jc w:val="center"/>
              <w:rPr>
                <w:b/>
              </w:rPr>
            </w:pPr>
            <w:r w:rsidRPr="005345A6">
              <w:rPr>
                <w:b/>
              </w:rPr>
              <w:t>Ozanezumab</w:t>
            </w:r>
          </w:p>
          <w:p w:rsidR="006D4AE9" w:rsidRPr="005345A6" w:rsidRDefault="006D4AE9" w:rsidP="006D4AE9">
            <w:pPr>
              <w:spacing w:line="360" w:lineRule="auto"/>
              <w:jc w:val="center"/>
              <w:rPr>
                <w:b/>
              </w:rPr>
            </w:pPr>
            <w:r w:rsidRPr="005345A6">
              <w:rPr>
                <w:b/>
              </w:rPr>
              <w:t>(n=152)</w:t>
            </w:r>
          </w:p>
        </w:tc>
      </w:tr>
      <w:tr w:rsidR="006D4AE9" w:rsidRPr="005345A6" w:rsidTr="006D4AE9">
        <w:tc>
          <w:tcPr>
            <w:tcW w:w="2927" w:type="dxa"/>
            <w:tcBorders>
              <w:bottom w:val="single" w:sz="4" w:space="0" w:color="auto"/>
            </w:tcBorders>
          </w:tcPr>
          <w:p w:rsidR="006D4AE9" w:rsidRPr="005345A6" w:rsidRDefault="006D4AE9" w:rsidP="006D4AE9">
            <w:pPr>
              <w:spacing w:line="360" w:lineRule="auto"/>
            </w:pPr>
            <w:r w:rsidRPr="005345A6">
              <w:t>Age, years</w:t>
            </w:r>
            <w:r>
              <w:t xml:space="preserve"> </w:t>
            </w:r>
          </w:p>
        </w:tc>
        <w:tc>
          <w:tcPr>
            <w:tcW w:w="2738" w:type="dxa"/>
            <w:tcBorders>
              <w:bottom w:val="single" w:sz="4" w:space="0" w:color="auto"/>
            </w:tcBorders>
            <w:vAlign w:val="center"/>
          </w:tcPr>
          <w:p w:rsidR="006D4AE9" w:rsidRPr="005345A6" w:rsidRDefault="006D4AE9" w:rsidP="006D4AE9">
            <w:pPr>
              <w:spacing w:line="360" w:lineRule="auto"/>
              <w:jc w:val="center"/>
            </w:pPr>
            <w:r w:rsidRPr="005345A6">
              <w:t>55</w:t>
            </w:r>
            <w:r w:rsidRPr="00D055B0">
              <w:t>·</w:t>
            </w:r>
            <w:r w:rsidRPr="005345A6">
              <w:t>5 (11</w:t>
            </w:r>
            <w:r w:rsidRPr="00D055B0">
              <w:t>·</w:t>
            </w:r>
            <w:r w:rsidRPr="005345A6">
              <w:t>04)</w:t>
            </w:r>
          </w:p>
        </w:tc>
        <w:tc>
          <w:tcPr>
            <w:tcW w:w="2835" w:type="dxa"/>
            <w:tcBorders>
              <w:bottom w:val="single" w:sz="4" w:space="0" w:color="auto"/>
            </w:tcBorders>
            <w:vAlign w:val="center"/>
          </w:tcPr>
          <w:p w:rsidR="006D4AE9" w:rsidRPr="005345A6" w:rsidRDefault="006D4AE9" w:rsidP="006D4AE9">
            <w:pPr>
              <w:spacing w:line="360" w:lineRule="auto"/>
              <w:jc w:val="center"/>
            </w:pPr>
            <w:r w:rsidRPr="005345A6">
              <w:t>55</w:t>
            </w:r>
            <w:r w:rsidRPr="00D055B0">
              <w:t>·</w:t>
            </w:r>
            <w:r w:rsidRPr="005345A6">
              <w:t>7 (10</w:t>
            </w:r>
            <w:r w:rsidRPr="00D055B0">
              <w:t>·</w:t>
            </w:r>
            <w:r w:rsidRPr="005345A6">
              <w:t>40)</w:t>
            </w:r>
          </w:p>
        </w:tc>
      </w:tr>
      <w:tr w:rsidR="006D4AE9" w:rsidRPr="005345A6" w:rsidTr="006D4AE9">
        <w:tc>
          <w:tcPr>
            <w:tcW w:w="2927" w:type="dxa"/>
            <w:tcBorders>
              <w:bottom w:val="single" w:sz="4" w:space="0" w:color="auto"/>
            </w:tcBorders>
          </w:tcPr>
          <w:p w:rsidR="006D4AE9" w:rsidRPr="005345A6" w:rsidRDefault="006D4AE9" w:rsidP="006D4AE9">
            <w:pPr>
              <w:spacing w:line="360" w:lineRule="auto"/>
            </w:pPr>
            <w:r w:rsidRPr="00A73A83">
              <w:rPr>
                <w:rFonts w:asciiTheme="minorHAnsi" w:hAnsiTheme="minorHAnsi"/>
              </w:rPr>
              <w:t>Age group, n (%)</w:t>
            </w:r>
          </w:p>
        </w:tc>
        <w:tc>
          <w:tcPr>
            <w:tcW w:w="2738" w:type="dxa"/>
            <w:tcBorders>
              <w:bottom w:val="single" w:sz="4" w:space="0" w:color="auto"/>
            </w:tcBorders>
            <w:vAlign w:val="center"/>
          </w:tcPr>
          <w:p w:rsidR="006D4AE9" w:rsidRPr="005345A6" w:rsidRDefault="006D4AE9" w:rsidP="006D4AE9">
            <w:pPr>
              <w:spacing w:line="360" w:lineRule="auto"/>
              <w:jc w:val="center"/>
            </w:pPr>
          </w:p>
        </w:tc>
        <w:tc>
          <w:tcPr>
            <w:tcW w:w="2835" w:type="dxa"/>
            <w:tcBorders>
              <w:bottom w:val="single" w:sz="4" w:space="0" w:color="auto"/>
            </w:tcBorders>
            <w:vAlign w:val="center"/>
          </w:tcPr>
          <w:p w:rsidR="006D4AE9" w:rsidRPr="005345A6" w:rsidRDefault="006D4AE9" w:rsidP="006D4AE9">
            <w:pPr>
              <w:spacing w:line="360" w:lineRule="auto"/>
              <w:jc w:val="center"/>
            </w:pPr>
          </w:p>
        </w:tc>
      </w:tr>
      <w:tr w:rsidR="006D4AE9" w:rsidRPr="005345A6" w:rsidTr="006D4AE9">
        <w:tc>
          <w:tcPr>
            <w:tcW w:w="2927" w:type="dxa"/>
            <w:tcBorders>
              <w:bottom w:val="single" w:sz="4" w:space="0" w:color="auto"/>
            </w:tcBorders>
          </w:tcPr>
          <w:p w:rsidR="006D4AE9" w:rsidRPr="005345A6" w:rsidRDefault="006D4AE9" w:rsidP="006D4AE9">
            <w:pPr>
              <w:spacing w:line="360" w:lineRule="auto"/>
            </w:pPr>
            <w:r w:rsidRPr="00A73A83">
              <w:rPr>
                <w:rFonts w:asciiTheme="minorHAnsi" w:hAnsiTheme="minorHAnsi"/>
              </w:rPr>
              <w:t>18–64 years</w:t>
            </w:r>
          </w:p>
        </w:tc>
        <w:tc>
          <w:tcPr>
            <w:tcW w:w="2738" w:type="dxa"/>
            <w:tcBorders>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115 (76)</w:t>
            </w:r>
          </w:p>
        </w:tc>
        <w:tc>
          <w:tcPr>
            <w:tcW w:w="2835" w:type="dxa"/>
            <w:tcBorders>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120 (79)</w:t>
            </w:r>
          </w:p>
        </w:tc>
      </w:tr>
      <w:tr w:rsidR="006D4AE9" w:rsidRPr="005345A6" w:rsidTr="006D4AE9">
        <w:tc>
          <w:tcPr>
            <w:tcW w:w="2927" w:type="dxa"/>
            <w:tcBorders>
              <w:bottom w:val="single" w:sz="4" w:space="0" w:color="auto"/>
            </w:tcBorders>
          </w:tcPr>
          <w:p w:rsidR="006D4AE9" w:rsidRPr="005345A6" w:rsidRDefault="006D4AE9" w:rsidP="006D4AE9">
            <w:pPr>
              <w:spacing w:line="360" w:lineRule="auto"/>
            </w:pPr>
            <w:r w:rsidRPr="00A73A83">
              <w:rPr>
                <w:rFonts w:asciiTheme="minorHAnsi" w:hAnsiTheme="minorHAnsi"/>
              </w:rPr>
              <w:t>65–74 years</w:t>
            </w:r>
          </w:p>
        </w:tc>
        <w:tc>
          <w:tcPr>
            <w:tcW w:w="2738" w:type="dxa"/>
            <w:tcBorders>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34 (23)</w:t>
            </w:r>
          </w:p>
        </w:tc>
        <w:tc>
          <w:tcPr>
            <w:tcW w:w="2835" w:type="dxa"/>
            <w:tcBorders>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28 (18)</w:t>
            </w:r>
          </w:p>
        </w:tc>
      </w:tr>
      <w:tr w:rsidR="006D4AE9" w:rsidRPr="005345A6" w:rsidTr="006D4AE9">
        <w:tc>
          <w:tcPr>
            <w:tcW w:w="2927" w:type="dxa"/>
            <w:tcBorders>
              <w:bottom w:val="single" w:sz="4" w:space="0" w:color="auto"/>
            </w:tcBorders>
          </w:tcPr>
          <w:p w:rsidR="006D4AE9" w:rsidRPr="005345A6" w:rsidRDefault="006D4AE9" w:rsidP="006D4AE9">
            <w:pPr>
              <w:spacing w:line="360" w:lineRule="auto"/>
            </w:pPr>
            <w:r w:rsidRPr="00A73A83">
              <w:rPr>
                <w:rFonts w:asciiTheme="minorHAnsi" w:hAnsiTheme="minorHAnsi"/>
              </w:rPr>
              <w:t>≥75 years</w:t>
            </w:r>
          </w:p>
        </w:tc>
        <w:tc>
          <w:tcPr>
            <w:tcW w:w="2738" w:type="dxa"/>
            <w:tcBorders>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2 (1)</w:t>
            </w:r>
          </w:p>
        </w:tc>
        <w:tc>
          <w:tcPr>
            <w:tcW w:w="2835" w:type="dxa"/>
            <w:tcBorders>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4 (3)</w:t>
            </w:r>
          </w:p>
        </w:tc>
      </w:tr>
      <w:tr w:rsidR="006D4AE9" w:rsidRPr="005345A6" w:rsidTr="006D4AE9">
        <w:tc>
          <w:tcPr>
            <w:tcW w:w="2927" w:type="dxa"/>
            <w:tcBorders>
              <w:bottom w:val="nil"/>
            </w:tcBorders>
          </w:tcPr>
          <w:p w:rsidR="006D4AE9" w:rsidRPr="005345A6" w:rsidRDefault="006D4AE9" w:rsidP="006D4AE9">
            <w:pPr>
              <w:spacing w:line="360" w:lineRule="auto"/>
            </w:pPr>
            <w:r w:rsidRPr="005345A6">
              <w:t>Sex, n (%)</w:t>
            </w:r>
          </w:p>
        </w:tc>
        <w:tc>
          <w:tcPr>
            <w:tcW w:w="2738" w:type="dxa"/>
            <w:tcBorders>
              <w:bottom w:val="nil"/>
            </w:tcBorders>
            <w:vAlign w:val="center"/>
          </w:tcPr>
          <w:p w:rsidR="006D4AE9" w:rsidRPr="005345A6" w:rsidRDefault="006D4AE9" w:rsidP="006D4AE9">
            <w:pPr>
              <w:spacing w:line="360" w:lineRule="auto"/>
              <w:jc w:val="center"/>
            </w:pPr>
          </w:p>
        </w:tc>
        <w:tc>
          <w:tcPr>
            <w:tcW w:w="2835" w:type="dxa"/>
            <w:tcBorders>
              <w:bottom w:val="nil"/>
            </w:tcBorders>
            <w:vAlign w:val="center"/>
          </w:tcPr>
          <w:p w:rsidR="006D4AE9" w:rsidRPr="005345A6" w:rsidRDefault="006D4AE9" w:rsidP="006D4AE9">
            <w:pPr>
              <w:spacing w:line="360" w:lineRule="auto"/>
              <w:jc w:val="center"/>
            </w:pPr>
          </w:p>
        </w:tc>
      </w:tr>
      <w:tr w:rsidR="006D4AE9" w:rsidRPr="005345A6" w:rsidTr="00331638">
        <w:tc>
          <w:tcPr>
            <w:tcW w:w="2927" w:type="dxa"/>
            <w:tcBorders>
              <w:top w:val="nil"/>
              <w:bottom w:val="single" w:sz="4" w:space="0" w:color="auto"/>
            </w:tcBorders>
          </w:tcPr>
          <w:p w:rsidR="006D4AE9" w:rsidRPr="005345A6" w:rsidRDefault="006D4AE9" w:rsidP="006D4AE9">
            <w:pPr>
              <w:tabs>
                <w:tab w:val="left" w:pos="150"/>
              </w:tabs>
              <w:spacing w:line="360" w:lineRule="auto"/>
              <w:ind w:left="113"/>
            </w:pPr>
            <w:r w:rsidRPr="005345A6">
              <w:t>Female</w:t>
            </w:r>
          </w:p>
        </w:tc>
        <w:tc>
          <w:tcPr>
            <w:tcW w:w="2738" w:type="dxa"/>
            <w:tcBorders>
              <w:top w:val="nil"/>
              <w:bottom w:val="single" w:sz="4" w:space="0" w:color="auto"/>
            </w:tcBorders>
            <w:vAlign w:val="center"/>
          </w:tcPr>
          <w:p w:rsidR="006D4AE9" w:rsidRPr="005345A6" w:rsidRDefault="006D4AE9" w:rsidP="006D4AE9">
            <w:pPr>
              <w:spacing w:line="360" w:lineRule="auto"/>
              <w:jc w:val="center"/>
            </w:pPr>
            <w:r w:rsidRPr="005345A6">
              <w:t>54 (36)</w:t>
            </w:r>
          </w:p>
        </w:tc>
        <w:tc>
          <w:tcPr>
            <w:tcW w:w="2835" w:type="dxa"/>
            <w:tcBorders>
              <w:top w:val="nil"/>
              <w:bottom w:val="single" w:sz="4" w:space="0" w:color="auto"/>
            </w:tcBorders>
            <w:vAlign w:val="center"/>
          </w:tcPr>
          <w:p w:rsidR="006D4AE9" w:rsidRPr="005345A6" w:rsidRDefault="006D4AE9" w:rsidP="006D4AE9">
            <w:pPr>
              <w:spacing w:line="360" w:lineRule="auto"/>
              <w:jc w:val="center"/>
            </w:pPr>
            <w:r w:rsidRPr="005345A6">
              <w:t>49 (32)</w:t>
            </w:r>
          </w:p>
        </w:tc>
      </w:tr>
      <w:tr w:rsidR="006D4AE9" w:rsidRPr="005345A6" w:rsidTr="00331638">
        <w:tc>
          <w:tcPr>
            <w:tcW w:w="2927" w:type="dxa"/>
            <w:tcBorders>
              <w:bottom w:val="nil"/>
            </w:tcBorders>
          </w:tcPr>
          <w:p w:rsidR="006D4AE9" w:rsidRDefault="006D4AE9" w:rsidP="006D4AE9">
            <w:pPr>
              <w:spacing w:line="360" w:lineRule="auto"/>
            </w:pPr>
            <w:r w:rsidRPr="00A73A83">
              <w:rPr>
                <w:rFonts w:asciiTheme="minorHAnsi" w:hAnsiTheme="minorHAnsi"/>
              </w:rPr>
              <w:t>Ethnicity</w:t>
            </w:r>
          </w:p>
        </w:tc>
        <w:tc>
          <w:tcPr>
            <w:tcW w:w="2738" w:type="dxa"/>
            <w:tcBorders>
              <w:bottom w:val="nil"/>
            </w:tcBorders>
            <w:vAlign w:val="center"/>
          </w:tcPr>
          <w:p w:rsidR="006D4AE9" w:rsidRDefault="006D4AE9" w:rsidP="006D4AE9">
            <w:pPr>
              <w:spacing w:line="360" w:lineRule="auto"/>
              <w:jc w:val="center"/>
            </w:pPr>
          </w:p>
        </w:tc>
        <w:tc>
          <w:tcPr>
            <w:tcW w:w="2835" w:type="dxa"/>
            <w:tcBorders>
              <w:bottom w:val="nil"/>
            </w:tcBorders>
            <w:vAlign w:val="center"/>
          </w:tcPr>
          <w:p w:rsidR="006D4AE9" w:rsidRDefault="006D4AE9" w:rsidP="006D4AE9">
            <w:pPr>
              <w:spacing w:line="360" w:lineRule="auto"/>
              <w:jc w:val="center"/>
            </w:pPr>
          </w:p>
        </w:tc>
      </w:tr>
      <w:tr w:rsidR="006D4AE9" w:rsidRPr="005345A6" w:rsidTr="00331638">
        <w:tc>
          <w:tcPr>
            <w:tcW w:w="2927" w:type="dxa"/>
            <w:tcBorders>
              <w:top w:val="nil"/>
              <w:bottom w:val="nil"/>
            </w:tcBorders>
          </w:tcPr>
          <w:p w:rsidR="006D4AE9" w:rsidRDefault="006D4AE9" w:rsidP="006D4AE9">
            <w:pPr>
              <w:spacing w:line="360" w:lineRule="auto"/>
              <w:ind w:left="113"/>
            </w:pPr>
            <w:r w:rsidRPr="00A73A83">
              <w:rPr>
                <w:rFonts w:asciiTheme="minorHAnsi" w:hAnsiTheme="minorHAnsi"/>
              </w:rPr>
              <w:t>Not Hispanic or Latino</w:t>
            </w:r>
          </w:p>
        </w:tc>
        <w:tc>
          <w:tcPr>
            <w:tcW w:w="2738" w:type="dxa"/>
            <w:tcBorders>
              <w:top w:val="nil"/>
              <w:bottom w:val="nil"/>
            </w:tcBorders>
            <w:vAlign w:val="center"/>
          </w:tcPr>
          <w:p w:rsidR="006D4AE9" w:rsidRDefault="006D4AE9" w:rsidP="006D4AE9">
            <w:pPr>
              <w:spacing w:line="360" w:lineRule="auto"/>
              <w:jc w:val="center"/>
            </w:pPr>
            <w:r w:rsidRPr="00A73A83">
              <w:rPr>
                <w:rFonts w:asciiTheme="minorHAnsi" w:hAnsiTheme="minorHAnsi"/>
              </w:rPr>
              <w:t>150 (&gt;99)</w:t>
            </w:r>
          </w:p>
        </w:tc>
        <w:tc>
          <w:tcPr>
            <w:tcW w:w="2835" w:type="dxa"/>
            <w:tcBorders>
              <w:top w:val="nil"/>
              <w:bottom w:val="nil"/>
            </w:tcBorders>
            <w:vAlign w:val="center"/>
          </w:tcPr>
          <w:p w:rsidR="006D4AE9" w:rsidRDefault="006D4AE9" w:rsidP="006D4AE9">
            <w:pPr>
              <w:spacing w:line="360" w:lineRule="auto"/>
              <w:jc w:val="center"/>
            </w:pPr>
            <w:r w:rsidRPr="00A73A83">
              <w:rPr>
                <w:rFonts w:asciiTheme="minorHAnsi" w:hAnsiTheme="minorHAnsi"/>
              </w:rPr>
              <w:t>149 (98)</w:t>
            </w:r>
          </w:p>
        </w:tc>
      </w:tr>
      <w:tr w:rsidR="006D4AE9" w:rsidRPr="005345A6" w:rsidTr="0074444C">
        <w:tc>
          <w:tcPr>
            <w:tcW w:w="2927" w:type="dxa"/>
            <w:tcBorders>
              <w:top w:val="nil"/>
              <w:bottom w:val="single" w:sz="4" w:space="0" w:color="auto"/>
            </w:tcBorders>
          </w:tcPr>
          <w:p w:rsidR="006D4AE9" w:rsidRDefault="006D4AE9" w:rsidP="006D4AE9">
            <w:pPr>
              <w:spacing w:line="360" w:lineRule="auto"/>
              <w:ind w:left="113"/>
            </w:pPr>
            <w:r w:rsidRPr="00A73A83">
              <w:rPr>
                <w:rFonts w:asciiTheme="minorHAnsi" w:hAnsiTheme="minorHAnsi"/>
              </w:rPr>
              <w:t>Hispanic or Latino</w:t>
            </w:r>
          </w:p>
        </w:tc>
        <w:tc>
          <w:tcPr>
            <w:tcW w:w="2738" w:type="dxa"/>
            <w:tcBorders>
              <w:top w:val="nil"/>
              <w:bottom w:val="single" w:sz="4" w:space="0" w:color="auto"/>
            </w:tcBorders>
            <w:vAlign w:val="center"/>
          </w:tcPr>
          <w:p w:rsidR="006D4AE9" w:rsidRDefault="006D4AE9" w:rsidP="006D4AE9">
            <w:pPr>
              <w:spacing w:line="360" w:lineRule="auto"/>
              <w:jc w:val="center"/>
            </w:pPr>
            <w:r w:rsidRPr="00A73A83">
              <w:rPr>
                <w:rFonts w:asciiTheme="minorHAnsi" w:hAnsiTheme="minorHAnsi"/>
              </w:rPr>
              <w:t>1 (&lt;1)</w:t>
            </w:r>
          </w:p>
        </w:tc>
        <w:tc>
          <w:tcPr>
            <w:tcW w:w="2835" w:type="dxa"/>
            <w:tcBorders>
              <w:top w:val="nil"/>
              <w:bottom w:val="single" w:sz="4" w:space="0" w:color="auto"/>
            </w:tcBorders>
            <w:vAlign w:val="center"/>
          </w:tcPr>
          <w:p w:rsidR="006D4AE9" w:rsidRDefault="006D4AE9" w:rsidP="006D4AE9">
            <w:pPr>
              <w:spacing w:line="360" w:lineRule="auto"/>
              <w:jc w:val="center"/>
            </w:pPr>
            <w:r w:rsidRPr="00A73A83">
              <w:rPr>
                <w:rFonts w:asciiTheme="minorHAnsi" w:hAnsiTheme="minorHAnsi"/>
              </w:rPr>
              <w:t>3 (2)</w:t>
            </w:r>
          </w:p>
        </w:tc>
      </w:tr>
      <w:tr w:rsidR="006D4AE9" w:rsidRPr="005345A6" w:rsidTr="0074444C">
        <w:tc>
          <w:tcPr>
            <w:tcW w:w="2927" w:type="dxa"/>
            <w:tcBorders>
              <w:top w:val="single" w:sz="4" w:space="0" w:color="auto"/>
              <w:bottom w:val="single" w:sz="4" w:space="0" w:color="auto"/>
            </w:tcBorders>
          </w:tcPr>
          <w:p w:rsidR="006D4AE9" w:rsidRDefault="006D4AE9" w:rsidP="0074444C">
            <w:pPr>
              <w:spacing w:line="360" w:lineRule="auto"/>
            </w:pPr>
            <w:r w:rsidRPr="00A73A83">
              <w:rPr>
                <w:rFonts w:asciiTheme="minorHAnsi" w:hAnsiTheme="minorHAnsi"/>
              </w:rPr>
              <w:t>Height, cm</w:t>
            </w:r>
          </w:p>
        </w:tc>
        <w:tc>
          <w:tcPr>
            <w:tcW w:w="2738" w:type="dxa"/>
            <w:tcBorders>
              <w:top w:val="single" w:sz="4" w:space="0" w:color="auto"/>
              <w:bottom w:val="single" w:sz="4" w:space="0" w:color="auto"/>
            </w:tcBorders>
            <w:vAlign w:val="center"/>
          </w:tcPr>
          <w:p w:rsidR="006D4AE9" w:rsidRDefault="006D4AE9" w:rsidP="006D4AE9">
            <w:pPr>
              <w:spacing w:line="360" w:lineRule="auto"/>
              <w:jc w:val="center"/>
            </w:pPr>
            <w:r w:rsidRPr="00A73A83">
              <w:rPr>
                <w:rFonts w:asciiTheme="minorHAnsi" w:hAnsiTheme="minorHAnsi"/>
              </w:rPr>
              <w:t>170·6 (9·21)</w:t>
            </w:r>
          </w:p>
        </w:tc>
        <w:tc>
          <w:tcPr>
            <w:tcW w:w="2835" w:type="dxa"/>
            <w:tcBorders>
              <w:top w:val="single" w:sz="4" w:space="0" w:color="auto"/>
              <w:bottom w:val="single" w:sz="4" w:space="0" w:color="auto"/>
            </w:tcBorders>
            <w:vAlign w:val="center"/>
          </w:tcPr>
          <w:p w:rsidR="006D4AE9" w:rsidRDefault="006D4AE9" w:rsidP="006D4AE9">
            <w:pPr>
              <w:spacing w:line="360" w:lineRule="auto"/>
              <w:jc w:val="center"/>
            </w:pPr>
            <w:r w:rsidRPr="00A73A83">
              <w:rPr>
                <w:rFonts w:asciiTheme="minorHAnsi" w:hAnsiTheme="minorHAnsi"/>
              </w:rPr>
              <w:t>171·2 (10·25)</w:t>
            </w:r>
          </w:p>
        </w:tc>
      </w:tr>
      <w:tr w:rsidR="006D4AE9" w:rsidRPr="005345A6" w:rsidTr="00331638">
        <w:tc>
          <w:tcPr>
            <w:tcW w:w="2927" w:type="dxa"/>
            <w:tcBorders>
              <w:top w:val="single" w:sz="4" w:space="0" w:color="auto"/>
              <w:bottom w:val="nil"/>
            </w:tcBorders>
          </w:tcPr>
          <w:p w:rsidR="006D4AE9" w:rsidRPr="005345A6" w:rsidRDefault="006D4AE9" w:rsidP="006D4AE9">
            <w:pPr>
              <w:spacing w:line="360" w:lineRule="auto"/>
            </w:pPr>
            <w:r>
              <w:t>Weight at baseline, kg</w:t>
            </w:r>
          </w:p>
        </w:tc>
        <w:tc>
          <w:tcPr>
            <w:tcW w:w="2738" w:type="dxa"/>
            <w:tcBorders>
              <w:top w:val="single" w:sz="4" w:space="0" w:color="auto"/>
              <w:bottom w:val="nil"/>
            </w:tcBorders>
            <w:vAlign w:val="center"/>
          </w:tcPr>
          <w:p w:rsidR="006D4AE9" w:rsidRPr="005345A6" w:rsidRDefault="006D4AE9" w:rsidP="006D4AE9">
            <w:pPr>
              <w:spacing w:line="360" w:lineRule="auto"/>
              <w:jc w:val="center"/>
            </w:pPr>
            <w:r>
              <w:t>72</w:t>
            </w:r>
            <w:r w:rsidRPr="00D055B0">
              <w:t>·</w:t>
            </w:r>
            <w:r>
              <w:t>8 (14</w:t>
            </w:r>
            <w:r w:rsidRPr="00D055B0">
              <w:t>·</w:t>
            </w:r>
            <w:r>
              <w:t>1)</w:t>
            </w:r>
          </w:p>
        </w:tc>
        <w:tc>
          <w:tcPr>
            <w:tcW w:w="2835" w:type="dxa"/>
            <w:tcBorders>
              <w:top w:val="single" w:sz="4" w:space="0" w:color="auto"/>
              <w:bottom w:val="nil"/>
            </w:tcBorders>
            <w:vAlign w:val="center"/>
          </w:tcPr>
          <w:p w:rsidR="006D4AE9" w:rsidRPr="005345A6" w:rsidRDefault="006D4AE9" w:rsidP="006D4AE9">
            <w:pPr>
              <w:spacing w:line="360" w:lineRule="auto"/>
              <w:jc w:val="center"/>
            </w:pPr>
            <w:r>
              <w:t>75</w:t>
            </w:r>
            <w:r w:rsidRPr="00D055B0">
              <w:t>·</w:t>
            </w:r>
            <w:r>
              <w:t>1 (16</w:t>
            </w:r>
            <w:r w:rsidRPr="00D055B0">
              <w:t>·</w:t>
            </w:r>
            <w:r>
              <w:t>4)</w:t>
            </w:r>
          </w:p>
        </w:tc>
      </w:tr>
      <w:tr w:rsidR="006D4AE9" w:rsidRPr="005345A6" w:rsidTr="006D4AE9">
        <w:tc>
          <w:tcPr>
            <w:tcW w:w="2927" w:type="dxa"/>
            <w:tcBorders>
              <w:bottom w:val="nil"/>
            </w:tcBorders>
          </w:tcPr>
          <w:p w:rsidR="006D4AE9" w:rsidRDefault="006D4AE9" w:rsidP="006D4AE9">
            <w:pPr>
              <w:spacing w:line="360" w:lineRule="auto"/>
            </w:pPr>
            <w:r w:rsidRPr="00A73A83">
              <w:rPr>
                <w:rFonts w:asciiTheme="minorHAnsi" w:hAnsiTheme="minorHAnsi"/>
              </w:rPr>
              <w:t>Age at muscle weakness onset, years</w:t>
            </w:r>
          </w:p>
        </w:tc>
        <w:tc>
          <w:tcPr>
            <w:tcW w:w="2738" w:type="dxa"/>
            <w:tcBorders>
              <w:bottom w:val="nil"/>
            </w:tcBorders>
            <w:vAlign w:val="center"/>
          </w:tcPr>
          <w:p w:rsidR="006D4AE9" w:rsidRDefault="006D4AE9" w:rsidP="006D4AE9">
            <w:pPr>
              <w:spacing w:line="360" w:lineRule="auto"/>
              <w:jc w:val="center"/>
            </w:pPr>
            <w:r w:rsidRPr="00A73A83">
              <w:rPr>
                <w:rFonts w:asciiTheme="minorHAnsi" w:hAnsiTheme="minorHAnsi"/>
              </w:rPr>
              <w:t>54·4 (10·95)</w:t>
            </w:r>
          </w:p>
        </w:tc>
        <w:tc>
          <w:tcPr>
            <w:tcW w:w="2835" w:type="dxa"/>
            <w:tcBorders>
              <w:bottom w:val="nil"/>
            </w:tcBorders>
            <w:vAlign w:val="center"/>
          </w:tcPr>
          <w:p w:rsidR="006D4AE9" w:rsidRDefault="006D4AE9" w:rsidP="006D4AE9">
            <w:pPr>
              <w:spacing w:line="360" w:lineRule="auto"/>
              <w:jc w:val="center"/>
            </w:pPr>
            <w:r w:rsidRPr="00A73A83">
              <w:rPr>
                <w:rFonts w:asciiTheme="minorHAnsi" w:hAnsiTheme="minorHAnsi"/>
              </w:rPr>
              <w:t>54·6 (10·28)</w:t>
            </w:r>
          </w:p>
        </w:tc>
      </w:tr>
      <w:tr w:rsidR="006D4AE9" w:rsidRPr="005345A6" w:rsidTr="006D4AE9">
        <w:tc>
          <w:tcPr>
            <w:tcW w:w="2927" w:type="dxa"/>
            <w:tcBorders>
              <w:bottom w:val="nil"/>
            </w:tcBorders>
          </w:tcPr>
          <w:p w:rsidR="006D4AE9" w:rsidRPr="005345A6" w:rsidRDefault="006D4AE9" w:rsidP="006D4AE9">
            <w:pPr>
              <w:spacing w:line="360" w:lineRule="auto"/>
            </w:pPr>
            <w:r w:rsidRPr="005345A6">
              <w:t>Site of disease onset, n (%)</w:t>
            </w:r>
          </w:p>
        </w:tc>
        <w:tc>
          <w:tcPr>
            <w:tcW w:w="2738" w:type="dxa"/>
            <w:tcBorders>
              <w:bottom w:val="nil"/>
            </w:tcBorders>
            <w:vAlign w:val="center"/>
          </w:tcPr>
          <w:p w:rsidR="006D4AE9" w:rsidRPr="005345A6" w:rsidRDefault="006D4AE9" w:rsidP="006D4AE9">
            <w:pPr>
              <w:spacing w:line="360" w:lineRule="auto"/>
              <w:jc w:val="center"/>
            </w:pPr>
          </w:p>
        </w:tc>
        <w:tc>
          <w:tcPr>
            <w:tcW w:w="2835" w:type="dxa"/>
            <w:tcBorders>
              <w:bottom w:val="nil"/>
            </w:tcBorders>
            <w:vAlign w:val="center"/>
          </w:tcPr>
          <w:p w:rsidR="006D4AE9" w:rsidRPr="005345A6" w:rsidRDefault="006D4AE9" w:rsidP="006D4AE9">
            <w:pPr>
              <w:spacing w:line="360" w:lineRule="auto"/>
              <w:jc w:val="center"/>
            </w:pPr>
          </w:p>
        </w:tc>
      </w:tr>
      <w:tr w:rsidR="006D4AE9" w:rsidRPr="005345A6" w:rsidTr="006D4AE9">
        <w:tc>
          <w:tcPr>
            <w:tcW w:w="2927" w:type="dxa"/>
            <w:tcBorders>
              <w:top w:val="nil"/>
              <w:bottom w:val="nil"/>
            </w:tcBorders>
          </w:tcPr>
          <w:p w:rsidR="006D4AE9" w:rsidRPr="005345A6" w:rsidRDefault="006D4AE9" w:rsidP="006D4AE9">
            <w:pPr>
              <w:spacing w:line="360" w:lineRule="auto"/>
              <w:ind w:left="113"/>
            </w:pPr>
            <w:r w:rsidRPr="005345A6">
              <w:t>Upper limb(s)</w:t>
            </w:r>
          </w:p>
        </w:tc>
        <w:tc>
          <w:tcPr>
            <w:tcW w:w="2738" w:type="dxa"/>
            <w:tcBorders>
              <w:top w:val="nil"/>
              <w:bottom w:val="nil"/>
            </w:tcBorders>
            <w:vAlign w:val="center"/>
          </w:tcPr>
          <w:p w:rsidR="006D4AE9" w:rsidRPr="005345A6" w:rsidRDefault="006D4AE9" w:rsidP="006D4AE9">
            <w:pPr>
              <w:spacing w:line="360" w:lineRule="auto"/>
              <w:jc w:val="center"/>
            </w:pPr>
            <w:r w:rsidRPr="005345A6">
              <w:t>69 (46)</w:t>
            </w:r>
          </w:p>
        </w:tc>
        <w:tc>
          <w:tcPr>
            <w:tcW w:w="2835" w:type="dxa"/>
            <w:tcBorders>
              <w:top w:val="nil"/>
              <w:bottom w:val="nil"/>
            </w:tcBorders>
            <w:vAlign w:val="center"/>
          </w:tcPr>
          <w:p w:rsidR="006D4AE9" w:rsidRPr="005345A6" w:rsidRDefault="006D4AE9" w:rsidP="006D4AE9">
            <w:pPr>
              <w:spacing w:line="360" w:lineRule="auto"/>
              <w:jc w:val="center"/>
            </w:pPr>
            <w:r w:rsidRPr="005345A6">
              <w:t>63 (41)</w:t>
            </w:r>
          </w:p>
        </w:tc>
      </w:tr>
      <w:tr w:rsidR="006D4AE9" w:rsidRPr="005345A6" w:rsidTr="006D4AE9">
        <w:tc>
          <w:tcPr>
            <w:tcW w:w="2927" w:type="dxa"/>
            <w:tcBorders>
              <w:top w:val="nil"/>
              <w:bottom w:val="nil"/>
            </w:tcBorders>
          </w:tcPr>
          <w:p w:rsidR="006D4AE9" w:rsidRPr="005345A6" w:rsidRDefault="006D4AE9" w:rsidP="006D4AE9">
            <w:pPr>
              <w:spacing w:line="360" w:lineRule="auto"/>
              <w:ind w:left="113"/>
            </w:pPr>
            <w:r w:rsidRPr="005345A6">
              <w:t>Lower limb(s)</w:t>
            </w:r>
          </w:p>
        </w:tc>
        <w:tc>
          <w:tcPr>
            <w:tcW w:w="2738" w:type="dxa"/>
            <w:tcBorders>
              <w:top w:val="nil"/>
              <w:bottom w:val="nil"/>
            </w:tcBorders>
            <w:vAlign w:val="center"/>
          </w:tcPr>
          <w:p w:rsidR="006D4AE9" w:rsidRPr="005345A6" w:rsidRDefault="006D4AE9" w:rsidP="006D4AE9">
            <w:pPr>
              <w:spacing w:line="360" w:lineRule="auto"/>
              <w:jc w:val="center"/>
            </w:pPr>
            <w:r w:rsidRPr="005345A6">
              <w:t>44 (29)</w:t>
            </w:r>
          </w:p>
        </w:tc>
        <w:tc>
          <w:tcPr>
            <w:tcW w:w="2835" w:type="dxa"/>
            <w:tcBorders>
              <w:top w:val="nil"/>
              <w:bottom w:val="nil"/>
            </w:tcBorders>
            <w:vAlign w:val="center"/>
          </w:tcPr>
          <w:p w:rsidR="006D4AE9" w:rsidRPr="005345A6" w:rsidRDefault="006D4AE9" w:rsidP="006D4AE9">
            <w:pPr>
              <w:spacing w:line="360" w:lineRule="auto"/>
              <w:jc w:val="center"/>
            </w:pPr>
            <w:r w:rsidRPr="005345A6">
              <w:t>46 (30)</w:t>
            </w:r>
          </w:p>
        </w:tc>
      </w:tr>
      <w:tr w:rsidR="006D4AE9" w:rsidRPr="005345A6" w:rsidTr="006D4AE9">
        <w:tc>
          <w:tcPr>
            <w:tcW w:w="2927" w:type="dxa"/>
            <w:tcBorders>
              <w:top w:val="nil"/>
              <w:bottom w:val="nil"/>
            </w:tcBorders>
          </w:tcPr>
          <w:p w:rsidR="006D4AE9" w:rsidRPr="005345A6" w:rsidRDefault="006D4AE9" w:rsidP="006D4AE9">
            <w:pPr>
              <w:spacing w:line="360" w:lineRule="auto"/>
              <w:ind w:left="113"/>
            </w:pPr>
            <w:r w:rsidRPr="005345A6">
              <w:t>Both upper and lower limb(s)</w:t>
            </w:r>
          </w:p>
        </w:tc>
        <w:tc>
          <w:tcPr>
            <w:tcW w:w="2738" w:type="dxa"/>
            <w:tcBorders>
              <w:top w:val="nil"/>
              <w:bottom w:val="nil"/>
            </w:tcBorders>
            <w:vAlign w:val="center"/>
          </w:tcPr>
          <w:p w:rsidR="006D4AE9" w:rsidRPr="005345A6" w:rsidRDefault="006D4AE9" w:rsidP="006D4AE9">
            <w:pPr>
              <w:spacing w:line="360" w:lineRule="auto"/>
              <w:jc w:val="center"/>
            </w:pPr>
            <w:r w:rsidRPr="005345A6">
              <w:t>5 (3)</w:t>
            </w:r>
          </w:p>
        </w:tc>
        <w:tc>
          <w:tcPr>
            <w:tcW w:w="2835" w:type="dxa"/>
            <w:tcBorders>
              <w:top w:val="nil"/>
              <w:bottom w:val="nil"/>
            </w:tcBorders>
            <w:vAlign w:val="center"/>
          </w:tcPr>
          <w:p w:rsidR="006D4AE9" w:rsidRPr="005345A6" w:rsidRDefault="006D4AE9" w:rsidP="006D4AE9">
            <w:pPr>
              <w:spacing w:line="360" w:lineRule="auto"/>
              <w:jc w:val="center"/>
            </w:pPr>
            <w:r w:rsidRPr="005345A6">
              <w:t>6 (4)</w:t>
            </w:r>
          </w:p>
        </w:tc>
      </w:tr>
      <w:tr w:rsidR="006D4AE9" w:rsidRPr="005345A6" w:rsidTr="006D4AE9">
        <w:tc>
          <w:tcPr>
            <w:tcW w:w="2927" w:type="dxa"/>
            <w:tcBorders>
              <w:top w:val="nil"/>
              <w:bottom w:val="nil"/>
            </w:tcBorders>
          </w:tcPr>
          <w:p w:rsidR="006D4AE9" w:rsidRPr="005345A6" w:rsidRDefault="006D4AE9" w:rsidP="006D4AE9">
            <w:pPr>
              <w:spacing w:line="360" w:lineRule="auto"/>
              <w:ind w:left="113"/>
            </w:pPr>
            <w:r w:rsidRPr="005345A6">
              <w:t>Bulbar</w:t>
            </w:r>
          </w:p>
        </w:tc>
        <w:tc>
          <w:tcPr>
            <w:tcW w:w="2738" w:type="dxa"/>
            <w:tcBorders>
              <w:top w:val="nil"/>
              <w:bottom w:val="nil"/>
            </w:tcBorders>
            <w:vAlign w:val="center"/>
          </w:tcPr>
          <w:p w:rsidR="006D4AE9" w:rsidRPr="005345A6" w:rsidRDefault="006D4AE9" w:rsidP="006D4AE9">
            <w:pPr>
              <w:spacing w:line="360" w:lineRule="auto"/>
              <w:jc w:val="center"/>
            </w:pPr>
            <w:r w:rsidRPr="005345A6">
              <w:t>32 (21)</w:t>
            </w:r>
          </w:p>
        </w:tc>
        <w:tc>
          <w:tcPr>
            <w:tcW w:w="2835" w:type="dxa"/>
            <w:tcBorders>
              <w:top w:val="nil"/>
              <w:bottom w:val="nil"/>
            </w:tcBorders>
            <w:vAlign w:val="center"/>
          </w:tcPr>
          <w:p w:rsidR="006D4AE9" w:rsidRPr="005345A6" w:rsidRDefault="006D4AE9" w:rsidP="006D4AE9">
            <w:pPr>
              <w:spacing w:line="360" w:lineRule="auto"/>
              <w:jc w:val="center"/>
            </w:pPr>
            <w:r w:rsidRPr="005345A6">
              <w:t>33 (22)</w:t>
            </w:r>
          </w:p>
        </w:tc>
      </w:tr>
      <w:tr w:rsidR="006D4AE9" w:rsidRPr="005345A6" w:rsidTr="006D4AE9">
        <w:tc>
          <w:tcPr>
            <w:tcW w:w="2927" w:type="dxa"/>
            <w:tcBorders>
              <w:top w:val="nil"/>
            </w:tcBorders>
          </w:tcPr>
          <w:p w:rsidR="006D4AE9" w:rsidRPr="005345A6" w:rsidRDefault="006D4AE9" w:rsidP="006D4AE9">
            <w:pPr>
              <w:tabs>
                <w:tab w:val="left" w:pos="150"/>
              </w:tabs>
              <w:spacing w:line="360" w:lineRule="auto"/>
              <w:ind w:left="113"/>
            </w:pPr>
            <w:r w:rsidRPr="005345A6">
              <w:t>Other</w:t>
            </w:r>
          </w:p>
        </w:tc>
        <w:tc>
          <w:tcPr>
            <w:tcW w:w="2738" w:type="dxa"/>
            <w:tcBorders>
              <w:top w:val="nil"/>
            </w:tcBorders>
            <w:vAlign w:val="center"/>
          </w:tcPr>
          <w:p w:rsidR="006D4AE9" w:rsidRPr="005345A6" w:rsidRDefault="006D4AE9" w:rsidP="006D4AE9">
            <w:pPr>
              <w:spacing w:line="360" w:lineRule="auto"/>
              <w:jc w:val="center"/>
            </w:pPr>
            <w:r w:rsidRPr="005345A6">
              <w:t>1 (&lt;1)</w:t>
            </w:r>
          </w:p>
        </w:tc>
        <w:tc>
          <w:tcPr>
            <w:tcW w:w="2835" w:type="dxa"/>
            <w:tcBorders>
              <w:top w:val="nil"/>
            </w:tcBorders>
            <w:vAlign w:val="center"/>
          </w:tcPr>
          <w:p w:rsidR="006D4AE9" w:rsidRPr="005345A6" w:rsidRDefault="006D4AE9" w:rsidP="006D4AE9">
            <w:pPr>
              <w:spacing w:line="360" w:lineRule="auto"/>
              <w:jc w:val="center"/>
            </w:pPr>
            <w:r w:rsidRPr="005345A6">
              <w:t>4 (3)</w:t>
            </w:r>
          </w:p>
        </w:tc>
      </w:tr>
      <w:tr w:rsidR="006D4AE9" w:rsidRPr="005345A6" w:rsidTr="006D4AE9">
        <w:tc>
          <w:tcPr>
            <w:tcW w:w="2927" w:type="dxa"/>
          </w:tcPr>
          <w:p w:rsidR="006D4AE9" w:rsidRPr="005345A6" w:rsidRDefault="006D4AE9" w:rsidP="006D4AE9">
            <w:pPr>
              <w:spacing w:line="360" w:lineRule="auto"/>
            </w:pPr>
            <w:r w:rsidRPr="00A73A83">
              <w:rPr>
                <w:rFonts w:asciiTheme="minorHAnsi" w:hAnsiTheme="minorHAnsi"/>
              </w:rPr>
              <w:t xml:space="preserve">Time to diagnosis from onset of muscle weakness, months </w:t>
            </w:r>
          </w:p>
        </w:tc>
        <w:tc>
          <w:tcPr>
            <w:tcW w:w="2738" w:type="dxa"/>
            <w:vAlign w:val="center"/>
          </w:tcPr>
          <w:p w:rsidR="006D4AE9" w:rsidRPr="005345A6" w:rsidRDefault="006D4AE9" w:rsidP="006D4AE9">
            <w:pPr>
              <w:spacing w:line="360" w:lineRule="auto"/>
              <w:jc w:val="center"/>
            </w:pPr>
            <w:r w:rsidRPr="00A73A83">
              <w:rPr>
                <w:rFonts w:asciiTheme="minorHAnsi" w:hAnsiTheme="minorHAnsi"/>
              </w:rPr>
              <w:t>8·0 (5·77)</w:t>
            </w:r>
          </w:p>
        </w:tc>
        <w:tc>
          <w:tcPr>
            <w:tcW w:w="2835" w:type="dxa"/>
            <w:vAlign w:val="center"/>
          </w:tcPr>
          <w:p w:rsidR="006D4AE9" w:rsidRPr="005345A6" w:rsidRDefault="006D4AE9" w:rsidP="006D4AE9">
            <w:pPr>
              <w:spacing w:line="360" w:lineRule="auto"/>
              <w:jc w:val="center"/>
            </w:pPr>
            <w:r w:rsidRPr="00A73A83">
              <w:rPr>
                <w:rFonts w:asciiTheme="minorHAnsi" w:hAnsiTheme="minorHAnsi"/>
              </w:rPr>
              <w:t>8·8 (5·55)</w:t>
            </w:r>
          </w:p>
        </w:tc>
      </w:tr>
      <w:tr w:rsidR="006D4AE9" w:rsidRPr="005345A6" w:rsidTr="006D4AE9">
        <w:tc>
          <w:tcPr>
            <w:tcW w:w="2927" w:type="dxa"/>
          </w:tcPr>
          <w:p w:rsidR="006D4AE9" w:rsidRPr="005345A6" w:rsidRDefault="006D4AE9" w:rsidP="006D4AE9">
            <w:pPr>
              <w:spacing w:line="360" w:lineRule="auto"/>
            </w:pPr>
            <w:r w:rsidRPr="00A73A83">
              <w:rPr>
                <w:rFonts w:asciiTheme="minorHAnsi" w:hAnsiTheme="minorHAnsi"/>
              </w:rPr>
              <w:t>Time since muscle weakness onset, months</w:t>
            </w:r>
          </w:p>
        </w:tc>
        <w:tc>
          <w:tcPr>
            <w:tcW w:w="2738" w:type="dxa"/>
            <w:vAlign w:val="center"/>
          </w:tcPr>
          <w:p w:rsidR="006D4AE9" w:rsidRPr="005345A6" w:rsidRDefault="006D4AE9" w:rsidP="006D4AE9">
            <w:pPr>
              <w:spacing w:line="360" w:lineRule="auto"/>
              <w:jc w:val="center"/>
            </w:pPr>
            <w:r w:rsidRPr="00A73A83">
              <w:rPr>
                <w:rFonts w:asciiTheme="minorHAnsi" w:hAnsiTheme="minorHAnsi"/>
              </w:rPr>
              <w:t>17·9 (6·57)</w:t>
            </w:r>
          </w:p>
        </w:tc>
        <w:tc>
          <w:tcPr>
            <w:tcW w:w="2835" w:type="dxa"/>
            <w:vAlign w:val="center"/>
          </w:tcPr>
          <w:p w:rsidR="006D4AE9" w:rsidRPr="005345A6" w:rsidRDefault="006D4AE9" w:rsidP="006D4AE9">
            <w:pPr>
              <w:spacing w:line="360" w:lineRule="auto"/>
              <w:jc w:val="center"/>
            </w:pPr>
            <w:r w:rsidRPr="00A73A83">
              <w:rPr>
                <w:rFonts w:asciiTheme="minorHAnsi" w:hAnsiTheme="minorHAnsi"/>
              </w:rPr>
              <w:t>18·5 (6·34)</w:t>
            </w:r>
          </w:p>
        </w:tc>
      </w:tr>
      <w:tr w:rsidR="006D4AE9" w:rsidRPr="005345A6" w:rsidTr="006D4AE9">
        <w:tc>
          <w:tcPr>
            <w:tcW w:w="2927" w:type="dxa"/>
          </w:tcPr>
          <w:p w:rsidR="006D4AE9" w:rsidRPr="005345A6" w:rsidRDefault="006D4AE9" w:rsidP="006D4AE9">
            <w:pPr>
              <w:spacing w:line="360" w:lineRule="auto"/>
            </w:pPr>
            <w:r w:rsidRPr="005345A6">
              <w:t>Time since initial diagnosis, months</w:t>
            </w:r>
          </w:p>
        </w:tc>
        <w:tc>
          <w:tcPr>
            <w:tcW w:w="2738" w:type="dxa"/>
            <w:vAlign w:val="center"/>
          </w:tcPr>
          <w:p w:rsidR="006D4AE9" w:rsidRPr="005345A6" w:rsidRDefault="006D4AE9" w:rsidP="006D4AE9">
            <w:pPr>
              <w:spacing w:line="360" w:lineRule="auto"/>
              <w:jc w:val="center"/>
            </w:pPr>
            <w:r w:rsidRPr="005345A6">
              <w:t>9</w:t>
            </w:r>
            <w:r w:rsidRPr="00D055B0">
              <w:t>·</w:t>
            </w:r>
            <w:r w:rsidRPr="005345A6">
              <w:t>8 (7</w:t>
            </w:r>
            <w:r w:rsidRPr="00D055B0">
              <w:t>·</w:t>
            </w:r>
            <w:r w:rsidRPr="005345A6">
              <w:t>19)</w:t>
            </w:r>
          </w:p>
        </w:tc>
        <w:tc>
          <w:tcPr>
            <w:tcW w:w="2835" w:type="dxa"/>
            <w:vAlign w:val="center"/>
          </w:tcPr>
          <w:p w:rsidR="006D4AE9" w:rsidRPr="005345A6" w:rsidRDefault="006D4AE9" w:rsidP="006D4AE9">
            <w:pPr>
              <w:spacing w:line="360" w:lineRule="auto"/>
              <w:jc w:val="center"/>
            </w:pPr>
            <w:r w:rsidRPr="005345A6">
              <w:t>9</w:t>
            </w:r>
            <w:r w:rsidRPr="00D055B0">
              <w:t>·</w:t>
            </w:r>
            <w:r w:rsidRPr="005345A6">
              <w:t>6 (6</w:t>
            </w:r>
            <w:r w:rsidRPr="00D055B0">
              <w:t>·</w:t>
            </w:r>
            <w:r w:rsidRPr="005345A6">
              <w:t>72)</w:t>
            </w:r>
          </w:p>
        </w:tc>
      </w:tr>
      <w:tr w:rsidR="006D4AE9" w:rsidRPr="005345A6" w:rsidTr="0074444C">
        <w:tc>
          <w:tcPr>
            <w:tcW w:w="2927" w:type="dxa"/>
            <w:tcBorders>
              <w:bottom w:val="single" w:sz="4" w:space="0" w:color="auto"/>
            </w:tcBorders>
          </w:tcPr>
          <w:p w:rsidR="006D4AE9" w:rsidRPr="005345A6" w:rsidRDefault="006D4AE9" w:rsidP="006D4AE9">
            <w:pPr>
              <w:spacing w:line="360" w:lineRule="auto"/>
            </w:pPr>
            <w:r w:rsidRPr="00A73A83">
              <w:rPr>
                <w:rFonts w:asciiTheme="minorHAnsi" w:hAnsiTheme="minorHAnsi"/>
              </w:rPr>
              <w:t>Age at initial diagnosis, years</w:t>
            </w:r>
          </w:p>
        </w:tc>
        <w:tc>
          <w:tcPr>
            <w:tcW w:w="2738" w:type="dxa"/>
            <w:tcBorders>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55·1 (11·10)</w:t>
            </w:r>
          </w:p>
        </w:tc>
        <w:tc>
          <w:tcPr>
            <w:tcW w:w="2835" w:type="dxa"/>
            <w:tcBorders>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55·3 (10·37)</w:t>
            </w:r>
          </w:p>
        </w:tc>
      </w:tr>
      <w:tr w:rsidR="006D4AE9" w:rsidRPr="005345A6" w:rsidTr="0074444C">
        <w:tc>
          <w:tcPr>
            <w:tcW w:w="2927" w:type="dxa"/>
            <w:tcBorders>
              <w:bottom w:val="nil"/>
            </w:tcBorders>
          </w:tcPr>
          <w:p w:rsidR="006D4AE9" w:rsidRPr="005345A6" w:rsidRDefault="006D4AE9" w:rsidP="006D4AE9">
            <w:pPr>
              <w:spacing w:line="360" w:lineRule="auto"/>
            </w:pPr>
            <w:r w:rsidRPr="00A73A83">
              <w:rPr>
                <w:rFonts w:asciiTheme="minorHAnsi" w:hAnsiTheme="minorHAnsi"/>
              </w:rPr>
              <w:lastRenderedPageBreak/>
              <w:t>Type of disease, n (%)</w:t>
            </w:r>
          </w:p>
        </w:tc>
        <w:tc>
          <w:tcPr>
            <w:tcW w:w="2738" w:type="dxa"/>
            <w:tcBorders>
              <w:bottom w:val="nil"/>
            </w:tcBorders>
            <w:vAlign w:val="center"/>
          </w:tcPr>
          <w:p w:rsidR="006D4AE9" w:rsidRPr="005345A6" w:rsidRDefault="006D4AE9" w:rsidP="006D4AE9">
            <w:pPr>
              <w:spacing w:line="360" w:lineRule="auto"/>
              <w:jc w:val="center"/>
            </w:pPr>
          </w:p>
        </w:tc>
        <w:tc>
          <w:tcPr>
            <w:tcW w:w="2835" w:type="dxa"/>
            <w:tcBorders>
              <w:bottom w:val="nil"/>
            </w:tcBorders>
            <w:vAlign w:val="center"/>
          </w:tcPr>
          <w:p w:rsidR="006D4AE9" w:rsidRPr="005345A6" w:rsidRDefault="006D4AE9" w:rsidP="006D4AE9">
            <w:pPr>
              <w:spacing w:line="360" w:lineRule="auto"/>
              <w:jc w:val="center"/>
            </w:pPr>
          </w:p>
        </w:tc>
      </w:tr>
      <w:tr w:rsidR="006D4AE9" w:rsidRPr="005345A6" w:rsidTr="0074444C">
        <w:tc>
          <w:tcPr>
            <w:tcW w:w="2927" w:type="dxa"/>
            <w:tcBorders>
              <w:top w:val="nil"/>
              <w:bottom w:val="nil"/>
            </w:tcBorders>
          </w:tcPr>
          <w:p w:rsidR="006D4AE9" w:rsidRPr="005345A6" w:rsidRDefault="006D4AE9" w:rsidP="006D4AE9">
            <w:pPr>
              <w:spacing w:line="360" w:lineRule="auto"/>
              <w:ind w:left="113"/>
            </w:pPr>
            <w:r w:rsidRPr="00A73A83">
              <w:rPr>
                <w:rFonts w:asciiTheme="minorHAnsi" w:hAnsiTheme="minorHAnsi"/>
              </w:rPr>
              <w:t>Sporadic</w:t>
            </w:r>
          </w:p>
        </w:tc>
        <w:tc>
          <w:tcPr>
            <w:tcW w:w="2738"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139 (92)</w:t>
            </w:r>
          </w:p>
        </w:tc>
        <w:tc>
          <w:tcPr>
            <w:tcW w:w="2835"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143 (94)</w:t>
            </w:r>
          </w:p>
        </w:tc>
      </w:tr>
      <w:tr w:rsidR="006D4AE9" w:rsidRPr="005345A6" w:rsidTr="005E7F2E">
        <w:tc>
          <w:tcPr>
            <w:tcW w:w="2927" w:type="dxa"/>
            <w:tcBorders>
              <w:top w:val="nil"/>
              <w:bottom w:val="single" w:sz="4" w:space="0" w:color="auto"/>
            </w:tcBorders>
          </w:tcPr>
          <w:p w:rsidR="006D4AE9" w:rsidRPr="005345A6" w:rsidRDefault="006D4AE9" w:rsidP="006D4AE9">
            <w:pPr>
              <w:spacing w:line="360" w:lineRule="auto"/>
              <w:ind w:left="113"/>
            </w:pPr>
            <w:r w:rsidRPr="00A73A83">
              <w:rPr>
                <w:rFonts w:asciiTheme="minorHAnsi" w:hAnsiTheme="minorHAnsi"/>
              </w:rPr>
              <w:t>Familial</w:t>
            </w:r>
          </w:p>
        </w:tc>
        <w:tc>
          <w:tcPr>
            <w:tcW w:w="2738" w:type="dxa"/>
            <w:tcBorders>
              <w:top w:val="nil"/>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12 (8)</w:t>
            </w:r>
          </w:p>
        </w:tc>
        <w:tc>
          <w:tcPr>
            <w:tcW w:w="2835" w:type="dxa"/>
            <w:tcBorders>
              <w:top w:val="nil"/>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9 (6)</w:t>
            </w:r>
          </w:p>
        </w:tc>
      </w:tr>
      <w:tr w:rsidR="006D4AE9" w:rsidRPr="005345A6" w:rsidTr="005E7F2E">
        <w:tc>
          <w:tcPr>
            <w:tcW w:w="2927" w:type="dxa"/>
            <w:tcBorders>
              <w:bottom w:val="nil"/>
            </w:tcBorders>
          </w:tcPr>
          <w:p w:rsidR="006D4AE9" w:rsidRPr="005345A6" w:rsidRDefault="006D4AE9" w:rsidP="006D4AE9">
            <w:pPr>
              <w:spacing w:line="360" w:lineRule="auto"/>
            </w:pPr>
            <w:r w:rsidRPr="00A73A83">
              <w:rPr>
                <w:rFonts w:asciiTheme="minorHAnsi" w:hAnsiTheme="minorHAnsi"/>
              </w:rPr>
              <w:t>Level of certainty of diagnosis, n (%)</w:t>
            </w:r>
          </w:p>
        </w:tc>
        <w:tc>
          <w:tcPr>
            <w:tcW w:w="2738" w:type="dxa"/>
            <w:tcBorders>
              <w:bottom w:val="nil"/>
            </w:tcBorders>
            <w:vAlign w:val="center"/>
          </w:tcPr>
          <w:p w:rsidR="006D4AE9" w:rsidRPr="005345A6" w:rsidRDefault="006D4AE9" w:rsidP="006D4AE9">
            <w:pPr>
              <w:spacing w:line="360" w:lineRule="auto"/>
              <w:jc w:val="center"/>
            </w:pPr>
          </w:p>
        </w:tc>
        <w:tc>
          <w:tcPr>
            <w:tcW w:w="2835" w:type="dxa"/>
            <w:tcBorders>
              <w:bottom w:val="nil"/>
            </w:tcBorders>
            <w:vAlign w:val="center"/>
          </w:tcPr>
          <w:p w:rsidR="006D4AE9" w:rsidRPr="005345A6" w:rsidRDefault="006D4AE9" w:rsidP="006D4AE9">
            <w:pPr>
              <w:spacing w:line="360" w:lineRule="auto"/>
              <w:jc w:val="center"/>
            </w:pPr>
          </w:p>
        </w:tc>
      </w:tr>
      <w:tr w:rsidR="006D4AE9" w:rsidRPr="005345A6" w:rsidTr="005E7F2E">
        <w:tc>
          <w:tcPr>
            <w:tcW w:w="2927" w:type="dxa"/>
            <w:tcBorders>
              <w:top w:val="nil"/>
              <w:bottom w:val="nil"/>
            </w:tcBorders>
          </w:tcPr>
          <w:p w:rsidR="006D4AE9" w:rsidRPr="005345A6" w:rsidRDefault="006D4AE9" w:rsidP="006D4AE9">
            <w:pPr>
              <w:spacing w:line="360" w:lineRule="auto"/>
              <w:ind w:left="113"/>
            </w:pPr>
            <w:r w:rsidRPr="00A73A83">
              <w:rPr>
                <w:rFonts w:asciiTheme="minorHAnsi" w:hAnsiTheme="minorHAnsi"/>
              </w:rPr>
              <w:t>Possible</w:t>
            </w:r>
          </w:p>
        </w:tc>
        <w:tc>
          <w:tcPr>
            <w:tcW w:w="2738"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11 (7)</w:t>
            </w:r>
          </w:p>
        </w:tc>
        <w:tc>
          <w:tcPr>
            <w:tcW w:w="2835"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14 (9)</w:t>
            </w:r>
          </w:p>
        </w:tc>
      </w:tr>
      <w:tr w:rsidR="006D4AE9" w:rsidRPr="005345A6" w:rsidTr="005E7F2E">
        <w:tc>
          <w:tcPr>
            <w:tcW w:w="2927" w:type="dxa"/>
            <w:tcBorders>
              <w:top w:val="nil"/>
              <w:bottom w:val="nil"/>
            </w:tcBorders>
          </w:tcPr>
          <w:p w:rsidR="006D4AE9" w:rsidRPr="005345A6" w:rsidRDefault="006D4AE9" w:rsidP="006D4AE9">
            <w:pPr>
              <w:spacing w:line="360" w:lineRule="auto"/>
              <w:ind w:left="113"/>
            </w:pPr>
            <w:r w:rsidRPr="00A73A83">
              <w:rPr>
                <w:rFonts w:asciiTheme="minorHAnsi" w:hAnsiTheme="minorHAnsi"/>
              </w:rPr>
              <w:t>Laboratory-supported probable</w:t>
            </w:r>
          </w:p>
        </w:tc>
        <w:tc>
          <w:tcPr>
            <w:tcW w:w="2738"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25 (17)</w:t>
            </w:r>
          </w:p>
        </w:tc>
        <w:tc>
          <w:tcPr>
            <w:tcW w:w="2835"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22 (14)</w:t>
            </w:r>
          </w:p>
        </w:tc>
      </w:tr>
      <w:tr w:rsidR="006D4AE9" w:rsidRPr="005345A6" w:rsidTr="005E7F2E">
        <w:tc>
          <w:tcPr>
            <w:tcW w:w="2927" w:type="dxa"/>
            <w:tcBorders>
              <w:top w:val="nil"/>
              <w:bottom w:val="nil"/>
            </w:tcBorders>
          </w:tcPr>
          <w:p w:rsidR="006D4AE9" w:rsidRPr="005345A6" w:rsidRDefault="006D4AE9" w:rsidP="006D4AE9">
            <w:pPr>
              <w:spacing w:line="360" w:lineRule="auto"/>
              <w:ind w:left="113"/>
            </w:pPr>
            <w:r w:rsidRPr="00A73A83">
              <w:rPr>
                <w:rFonts w:asciiTheme="minorHAnsi" w:hAnsiTheme="minorHAnsi"/>
              </w:rPr>
              <w:t>Probable</w:t>
            </w:r>
          </w:p>
        </w:tc>
        <w:tc>
          <w:tcPr>
            <w:tcW w:w="2738"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67 (44)</w:t>
            </w:r>
          </w:p>
        </w:tc>
        <w:tc>
          <w:tcPr>
            <w:tcW w:w="2835"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72 (47)</w:t>
            </w:r>
          </w:p>
        </w:tc>
      </w:tr>
      <w:tr w:rsidR="006D4AE9" w:rsidRPr="005345A6" w:rsidTr="005E7F2E">
        <w:tc>
          <w:tcPr>
            <w:tcW w:w="2927" w:type="dxa"/>
            <w:tcBorders>
              <w:top w:val="nil"/>
              <w:bottom w:val="single" w:sz="4" w:space="0" w:color="auto"/>
            </w:tcBorders>
          </w:tcPr>
          <w:p w:rsidR="006D4AE9" w:rsidRPr="005345A6" w:rsidRDefault="006D4AE9" w:rsidP="006D4AE9">
            <w:pPr>
              <w:spacing w:line="360" w:lineRule="auto"/>
              <w:ind w:left="113"/>
            </w:pPr>
            <w:r w:rsidRPr="00A73A83">
              <w:rPr>
                <w:rFonts w:asciiTheme="minorHAnsi" w:hAnsiTheme="minorHAnsi"/>
              </w:rPr>
              <w:t>Definite</w:t>
            </w:r>
          </w:p>
        </w:tc>
        <w:tc>
          <w:tcPr>
            <w:tcW w:w="2738" w:type="dxa"/>
            <w:tcBorders>
              <w:top w:val="nil"/>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48 (32)</w:t>
            </w:r>
          </w:p>
        </w:tc>
        <w:tc>
          <w:tcPr>
            <w:tcW w:w="2835" w:type="dxa"/>
            <w:tcBorders>
              <w:top w:val="nil"/>
              <w:bottom w:val="single" w:sz="4" w:space="0" w:color="auto"/>
            </w:tcBorders>
            <w:vAlign w:val="center"/>
          </w:tcPr>
          <w:p w:rsidR="006D4AE9" w:rsidRPr="005345A6" w:rsidRDefault="006D4AE9" w:rsidP="006D4AE9">
            <w:pPr>
              <w:spacing w:line="360" w:lineRule="auto"/>
              <w:jc w:val="center"/>
            </w:pPr>
            <w:r w:rsidRPr="00A73A83">
              <w:rPr>
                <w:rFonts w:asciiTheme="minorHAnsi" w:hAnsiTheme="minorHAnsi"/>
              </w:rPr>
              <w:t>44 (29)</w:t>
            </w:r>
          </w:p>
        </w:tc>
      </w:tr>
      <w:tr w:rsidR="006D4AE9" w:rsidRPr="005345A6" w:rsidTr="005E7F2E">
        <w:tc>
          <w:tcPr>
            <w:tcW w:w="2927" w:type="dxa"/>
            <w:tcBorders>
              <w:bottom w:val="nil"/>
            </w:tcBorders>
          </w:tcPr>
          <w:p w:rsidR="006D4AE9" w:rsidRPr="005345A6" w:rsidRDefault="006D4AE9" w:rsidP="006D4AE9">
            <w:pPr>
              <w:spacing w:line="360" w:lineRule="auto"/>
            </w:pPr>
            <w:r w:rsidRPr="00A73A83">
              <w:rPr>
                <w:rFonts w:asciiTheme="minorHAnsi" w:hAnsiTheme="minorHAnsi"/>
              </w:rPr>
              <w:t xml:space="preserve">Number of regions involved, </w:t>
            </w:r>
            <w:r w:rsidRPr="00A73A83">
              <w:rPr>
                <w:rFonts w:asciiTheme="minorHAnsi" w:hAnsiTheme="minorHAnsi"/>
              </w:rPr>
              <w:br/>
              <w:t>n (%)</w:t>
            </w:r>
          </w:p>
        </w:tc>
        <w:tc>
          <w:tcPr>
            <w:tcW w:w="2738" w:type="dxa"/>
            <w:tcBorders>
              <w:bottom w:val="nil"/>
            </w:tcBorders>
            <w:vAlign w:val="center"/>
          </w:tcPr>
          <w:p w:rsidR="006D4AE9" w:rsidRPr="005345A6" w:rsidRDefault="006D4AE9" w:rsidP="006D4AE9">
            <w:pPr>
              <w:spacing w:line="360" w:lineRule="auto"/>
              <w:jc w:val="center"/>
            </w:pPr>
          </w:p>
        </w:tc>
        <w:tc>
          <w:tcPr>
            <w:tcW w:w="2835" w:type="dxa"/>
            <w:tcBorders>
              <w:bottom w:val="nil"/>
            </w:tcBorders>
            <w:vAlign w:val="center"/>
          </w:tcPr>
          <w:p w:rsidR="006D4AE9" w:rsidRPr="005345A6" w:rsidRDefault="006D4AE9" w:rsidP="006D4AE9">
            <w:pPr>
              <w:spacing w:line="360" w:lineRule="auto"/>
              <w:jc w:val="center"/>
            </w:pPr>
          </w:p>
        </w:tc>
      </w:tr>
      <w:tr w:rsidR="006D4AE9" w:rsidRPr="005345A6" w:rsidTr="005E7F2E">
        <w:tc>
          <w:tcPr>
            <w:tcW w:w="2927" w:type="dxa"/>
            <w:tcBorders>
              <w:top w:val="nil"/>
              <w:bottom w:val="nil"/>
            </w:tcBorders>
          </w:tcPr>
          <w:p w:rsidR="006D4AE9" w:rsidRPr="005345A6" w:rsidRDefault="006D4AE9" w:rsidP="006D4AE9">
            <w:pPr>
              <w:spacing w:line="360" w:lineRule="auto"/>
              <w:ind w:left="113"/>
            </w:pPr>
            <w:r w:rsidRPr="00A73A83">
              <w:rPr>
                <w:rFonts w:asciiTheme="minorHAnsi" w:hAnsiTheme="minorHAnsi"/>
              </w:rPr>
              <w:t>One</w:t>
            </w:r>
          </w:p>
        </w:tc>
        <w:tc>
          <w:tcPr>
            <w:tcW w:w="2738"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26 (17)</w:t>
            </w:r>
          </w:p>
        </w:tc>
        <w:tc>
          <w:tcPr>
            <w:tcW w:w="2835"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22 (14)</w:t>
            </w:r>
          </w:p>
        </w:tc>
      </w:tr>
      <w:tr w:rsidR="006D4AE9" w:rsidRPr="005345A6" w:rsidTr="005E7F2E">
        <w:tc>
          <w:tcPr>
            <w:tcW w:w="2927" w:type="dxa"/>
            <w:tcBorders>
              <w:top w:val="nil"/>
              <w:bottom w:val="nil"/>
            </w:tcBorders>
          </w:tcPr>
          <w:p w:rsidR="006D4AE9" w:rsidRPr="005345A6" w:rsidRDefault="006D4AE9" w:rsidP="006D4AE9">
            <w:pPr>
              <w:spacing w:line="360" w:lineRule="auto"/>
              <w:ind w:left="113"/>
            </w:pPr>
            <w:r w:rsidRPr="00A73A83">
              <w:rPr>
                <w:rFonts w:asciiTheme="minorHAnsi" w:hAnsiTheme="minorHAnsi"/>
              </w:rPr>
              <w:t>Two</w:t>
            </w:r>
          </w:p>
        </w:tc>
        <w:tc>
          <w:tcPr>
            <w:tcW w:w="2738"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68 (45)</w:t>
            </w:r>
          </w:p>
        </w:tc>
        <w:tc>
          <w:tcPr>
            <w:tcW w:w="2835"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62 (41)</w:t>
            </w:r>
          </w:p>
        </w:tc>
      </w:tr>
      <w:tr w:rsidR="006D4AE9" w:rsidRPr="005345A6" w:rsidTr="005E7F2E">
        <w:tc>
          <w:tcPr>
            <w:tcW w:w="2927" w:type="dxa"/>
            <w:tcBorders>
              <w:top w:val="nil"/>
              <w:bottom w:val="nil"/>
            </w:tcBorders>
          </w:tcPr>
          <w:p w:rsidR="006D4AE9" w:rsidRPr="005345A6" w:rsidRDefault="006D4AE9" w:rsidP="006D4AE9">
            <w:pPr>
              <w:spacing w:line="360" w:lineRule="auto"/>
              <w:ind w:left="113"/>
            </w:pPr>
            <w:r w:rsidRPr="00A73A83">
              <w:rPr>
                <w:rFonts w:asciiTheme="minorHAnsi" w:hAnsiTheme="minorHAnsi"/>
              </w:rPr>
              <w:t>Three</w:t>
            </w:r>
          </w:p>
        </w:tc>
        <w:tc>
          <w:tcPr>
            <w:tcW w:w="2738"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38 (25)</w:t>
            </w:r>
          </w:p>
        </w:tc>
        <w:tc>
          <w:tcPr>
            <w:tcW w:w="2835" w:type="dxa"/>
            <w:tcBorders>
              <w:top w:val="nil"/>
              <w:bottom w:val="nil"/>
            </w:tcBorders>
            <w:vAlign w:val="center"/>
          </w:tcPr>
          <w:p w:rsidR="006D4AE9" w:rsidRPr="005345A6" w:rsidRDefault="006D4AE9" w:rsidP="006D4AE9">
            <w:pPr>
              <w:spacing w:line="360" w:lineRule="auto"/>
              <w:jc w:val="center"/>
            </w:pPr>
            <w:r w:rsidRPr="00A73A83">
              <w:rPr>
                <w:rFonts w:asciiTheme="minorHAnsi" w:hAnsiTheme="minorHAnsi"/>
              </w:rPr>
              <w:t>51 (34)</w:t>
            </w:r>
          </w:p>
        </w:tc>
      </w:tr>
      <w:tr w:rsidR="006D4AE9" w:rsidRPr="005345A6" w:rsidTr="005E7F2E">
        <w:tc>
          <w:tcPr>
            <w:tcW w:w="2927" w:type="dxa"/>
            <w:tcBorders>
              <w:top w:val="nil"/>
            </w:tcBorders>
          </w:tcPr>
          <w:p w:rsidR="006D4AE9" w:rsidRPr="005345A6" w:rsidRDefault="006D4AE9" w:rsidP="006D4AE9">
            <w:pPr>
              <w:spacing w:line="360" w:lineRule="auto"/>
              <w:ind w:left="113"/>
            </w:pPr>
            <w:r w:rsidRPr="00A73A83">
              <w:rPr>
                <w:rFonts w:asciiTheme="minorHAnsi" w:hAnsiTheme="minorHAnsi"/>
              </w:rPr>
              <w:t>Four</w:t>
            </w:r>
          </w:p>
        </w:tc>
        <w:tc>
          <w:tcPr>
            <w:tcW w:w="2738" w:type="dxa"/>
            <w:tcBorders>
              <w:top w:val="nil"/>
            </w:tcBorders>
            <w:vAlign w:val="center"/>
          </w:tcPr>
          <w:p w:rsidR="006D4AE9" w:rsidRPr="005345A6" w:rsidRDefault="006D4AE9" w:rsidP="006D4AE9">
            <w:pPr>
              <w:spacing w:line="360" w:lineRule="auto"/>
              <w:jc w:val="center"/>
            </w:pPr>
            <w:r w:rsidRPr="00A73A83">
              <w:rPr>
                <w:rFonts w:asciiTheme="minorHAnsi" w:hAnsiTheme="minorHAnsi"/>
              </w:rPr>
              <w:t>19 (13)</w:t>
            </w:r>
          </w:p>
        </w:tc>
        <w:tc>
          <w:tcPr>
            <w:tcW w:w="2835" w:type="dxa"/>
            <w:tcBorders>
              <w:top w:val="nil"/>
            </w:tcBorders>
            <w:vAlign w:val="center"/>
          </w:tcPr>
          <w:p w:rsidR="006D4AE9" w:rsidRPr="005345A6" w:rsidRDefault="006D4AE9" w:rsidP="006D4AE9">
            <w:pPr>
              <w:spacing w:line="360" w:lineRule="auto"/>
              <w:jc w:val="center"/>
            </w:pPr>
            <w:r w:rsidRPr="00A73A83">
              <w:rPr>
                <w:rFonts w:asciiTheme="minorHAnsi" w:hAnsiTheme="minorHAnsi"/>
              </w:rPr>
              <w:t>17 (11)</w:t>
            </w:r>
          </w:p>
        </w:tc>
      </w:tr>
      <w:tr w:rsidR="004E07CB" w:rsidRPr="005345A6" w:rsidTr="006D4AE9">
        <w:tc>
          <w:tcPr>
            <w:tcW w:w="2927" w:type="dxa"/>
          </w:tcPr>
          <w:p w:rsidR="004E07CB" w:rsidRPr="005345A6" w:rsidRDefault="004E07CB" w:rsidP="004E07CB">
            <w:pPr>
              <w:spacing w:line="360" w:lineRule="auto"/>
            </w:pPr>
            <w:r w:rsidRPr="005345A6">
              <w:t xml:space="preserve">Percent predicted SVC, L </w:t>
            </w:r>
          </w:p>
        </w:tc>
        <w:tc>
          <w:tcPr>
            <w:tcW w:w="2738" w:type="dxa"/>
            <w:vAlign w:val="center"/>
          </w:tcPr>
          <w:p w:rsidR="004E07CB" w:rsidRPr="005345A6" w:rsidRDefault="004E07CB" w:rsidP="004E07CB">
            <w:pPr>
              <w:spacing w:line="360" w:lineRule="auto"/>
              <w:jc w:val="center"/>
            </w:pPr>
            <w:r w:rsidRPr="005345A6">
              <w:t>95</w:t>
            </w:r>
            <w:r w:rsidRPr="00D055B0">
              <w:t>·</w:t>
            </w:r>
            <w:r w:rsidRPr="005345A6">
              <w:t>7 (17</w:t>
            </w:r>
            <w:r w:rsidRPr="00D055B0">
              <w:t>·</w:t>
            </w:r>
            <w:r w:rsidRPr="005345A6">
              <w:t>96)</w:t>
            </w:r>
          </w:p>
        </w:tc>
        <w:tc>
          <w:tcPr>
            <w:tcW w:w="2835" w:type="dxa"/>
            <w:vAlign w:val="center"/>
          </w:tcPr>
          <w:p w:rsidR="004E07CB" w:rsidRPr="005345A6" w:rsidRDefault="004E07CB" w:rsidP="004E07CB">
            <w:pPr>
              <w:spacing w:line="360" w:lineRule="auto"/>
              <w:jc w:val="center"/>
            </w:pPr>
            <w:r w:rsidRPr="005345A6">
              <w:t>93</w:t>
            </w:r>
            <w:r w:rsidRPr="00D055B0">
              <w:t>·</w:t>
            </w:r>
            <w:r w:rsidRPr="005345A6">
              <w:t>3 (17</w:t>
            </w:r>
            <w:r w:rsidRPr="00D055B0">
              <w:t>·</w:t>
            </w:r>
            <w:r w:rsidRPr="005345A6">
              <w:t>53)</w:t>
            </w:r>
          </w:p>
        </w:tc>
      </w:tr>
      <w:tr w:rsidR="004E07CB" w:rsidRPr="005345A6" w:rsidTr="006D4AE9">
        <w:tc>
          <w:tcPr>
            <w:tcW w:w="2927" w:type="dxa"/>
          </w:tcPr>
          <w:p w:rsidR="004E07CB" w:rsidRPr="005345A6" w:rsidRDefault="004E07CB" w:rsidP="004E07CB">
            <w:pPr>
              <w:spacing w:line="360" w:lineRule="auto"/>
            </w:pPr>
            <w:r w:rsidRPr="005345A6">
              <w:t>Riluzole use, n (%)</w:t>
            </w:r>
          </w:p>
        </w:tc>
        <w:tc>
          <w:tcPr>
            <w:tcW w:w="2738" w:type="dxa"/>
            <w:vAlign w:val="center"/>
          </w:tcPr>
          <w:p w:rsidR="004E07CB" w:rsidRPr="005345A6" w:rsidRDefault="004E07CB" w:rsidP="004E07CB">
            <w:pPr>
              <w:spacing w:line="360" w:lineRule="auto"/>
              <w:jc w:val="center"/>
            </w:pPr>
            <w:r w:rsidRPr="005345A6">
              <w:t>132 (87)</w:t>
            </w:r>
          </w:p>
        </w:tc>
        <w:tc>
          <w:tcPr>
            <w:tcW w:w="2835" w:type="dxa"/>
            <w:vAlign w:val="center"/>
          </w:tcPr>
          <w:p w:rsidR="004E07CB" w:rsidRPr="005345A6" w:rsidRDefault="004E07CB" w:rsidP="004E07CB">
            <w:pPr>
              <w:spacing w:line="360" w:lineRule="auto"/>
              <w:jc w:val="center"/>
            </w:pPr>
            <w:r w:rsidRPr="005345A6">
              <w:t>131 (86)</w:t>
            </w:r>
          </w:p>
        </w:tc>
      </w:tr>
      <w:tr w:rsidR="004E07CB" w:rsidRPr="005345A6" w:rsidTr="006D4AE9">
        <w:tc>
          <w:tcPr>
            <w:tcW w:w="2927" w:type="dxa"/>
          </w:tcPr>
          <w:p w:rsidR="004E07CB" w:rsidRPr="008F49C3" w:rsidRDefault="004E07CB" w:rsidP="004E07CB">
            <w:pPr>
              <w:spacing w:line="360" w:lineRule="auto"/>
            </w:pPr>
            <w:r w:rsidRPr="008F49C3">
              <w:t>Riluzole plasma concentration, ng/mL</w:t>
            </w:r>
          </w:p>
        </w:tc>
        <w:tc>
          <w:tcPr>
            <w:tcW w:w="2738" w:type="dxa"/>
            <w:vAlign w:val="center"/>
          </w:tcPr>
          <w:p w:rsidR="004E07CB" w:rsidRPr="005345A6" w:rsidRDefault="004E07CB" w:rsidP="004E07CB">
            <w:pPr>
              <w:spacing w:line="360" w:lineRule="auto"/>
              <w:jc w:val="center"/>
            </w:pPr>
            <w:r w:rsidRPr="005345A6">
              <w:t>122</w:t>
            </w:r>
            <w:r w:rsidRPr="00D055B0">
              <w:t>·</w:t>
            </w:r>
            <w:r w:rsidRPr="005345A6">
              <w:t>4 (100</w:t>
            </w:r>
            <w:r w:rsidRPr="00D055B0">
              <w:t>·</w:t>
            </w:r>
            <w:r w:rsidRPr="005345A6">
              <w:t>87)</w:t>
            </w:r>
          </w:p>
        </w:tc>
        <w:tc>
          <w:tcPr>
            <w:tcW w:w="2835" w:type="dxa"/>
            <w:vAlign w:val="center"/>
          </w:tcPr>
          <w:p w:rsidR="004E07CB" w:rsidRPr="005345A6" w:rsidRDefault="004E07CB" w:rsidP="004E07CB">
            <w:pPr>
              <w:spacing w:line="360" w:lineRule="auto"/>
              <w:jc w:val="center"/>
            </w:pPr>
            <w:r w:rsidRPr="005345A6">
              <w:t>103</w:t>
            </w:r>
            <w:r w:rsidRPr="00D055B0">
              <w:t>·</w:t>
            </w:r>
            <w:r w:rsidRPr="005345A6">
              <w:t>3 (99</w:t>
            </w:r>
            <w:r w:rsidRPr="00D055B0">
              <w:t>·</w:t>
            </w:r>
            <w:r w:rsidRPr="005345A6">
              <w:t>49)</w:t>
            </w:r>
          </w:p>
        </w:tc>
      </w:tr>
      <w:tr w:rsidR="004E07CB" w:rsidRPr="005345A6" w:rsidTr="006D4AE9">
        <w:tc>
          <w:tcPr>
            <w:tcW w:w="2927" w:type="dxa"/>
          </w:tcPr>
          <w:p w:rsidR="004E07CB" w:rsidRPr="005345A6" w:rsidRDefault="004E07CB" w:rsidP="004E07CB">
            <w:pPr>
              <w:spacing w:line="360" w:lineRule="auto"/>
            </w:pPr>
            <w:r w:rsidRPr="005345A6">
              <w:t>ALSFRS-R total score</w:t>
            </w:r>
          </w:p>
        </w:tc>
        <w:tc>
          <w:tcPr>
            <w:tcW w:w="2738" w:type="dxa"/>
            <w:vAlign w:val="center"/>
          </w:tcPr>
          <w:p w:rsidR="004E07CB" w:rsidRPr="005345A6" w:rsidRDefault="004E07CB" w:rsidP="004E07CB">
            <w:pPr>
              <w:spacing w:line="360" w:lineRule="auto"/>
              <w:jc w:val="center"/>
            </w:pPr>
            <w:r w:rsidRPr="005345A6">
              <w:t>38</w:t>
            </w:r>
            <w:r w:rsidRPr="00D055B0">
              <w:t>·</w:t>
            </w:r>
            <w:r w:rsidRPr="005345A6">
              <w:t>4 (5</w:t>
            </w:r>
            <w:r w:rsidRPr="00D055B0">
              <w:t>·</w:t>
            </w:r>
            <w:r w:rsidRPr="005345A6">
              <w:t>12)</w:t>
            </w:r>
          </w:p>
        </w:tc>
        <w:tc>
          <w:tcPr>
            <w:tcW w:w="2835" w:type="dxa"/>
            <w:vAlign w:val="center"/>
          </w:tcPr>
          <w:p w:rsidR="004E07CB" w:rsidRPr="005345A6" w:rsidRDefault="004E07CB" w:rsidP="004E07CB">
            <w:pPr>
              <w:spacing w:line="360" w:lineRule="auto"/>
              <w:jc w:val="center"/>
            </w:pPr>
            <w:r w:rsidRPr="005345A6">
              <w:t>37</w:t>
            </w:r>
            <w:r w:rsidRPr="00D055B0">
              <w:t>·</w:t>
            </w:r>
            <w:r w:rsidRPr="005345A6">
              <w:t>7 (5</w:t>
            </w:r>
            <w:r w:rsidRPr="00D055B0">
              <w:t>·</w:t>
            </w:r>
            <w:r w:rsidRPr="005345A6">
              <w:t>49)</w:t>
            </w:r>
          </w:p>
        </w:tc>
      </w:tr>
    </w:tbl>
    <w:p w:rsidR="006D4AE9" w:rsidRPr="005345A6" w:rsidRDefault="006D4AE9" w:rsidP="006D4AE9">
      <w:pPr>
        <w:spacing w:line="360" w:lineRule="auto"/>
      </w:pPr>
      <w:r w:rsidRPr="005345A6">
        <w:t>Data are mean (SD) unless otherwise specified. ALSFRS-R, Amyotrophic Lateral Sclerosis Functional Rating Scale-Revised</w:t>
      </w:r>
      <w:r>
        <w:t xml:space="preserve">; ITT, intent-to-treat; SD, standard deviation; </w:t>
      </w:r>
      <w:r w:rsidRPr="005345A6">
        <w:t>SVC, slow vital capacity</w:t>
      </w:r>
      <w:r>
        <w:t>.</w:t>
      </w:r>
      <w:r w:rsidRPr="005345A6">
        <w:t xml:space="preserve"> </w:t>
      </w:r>
    </w:p>
    <w:p w:rsidR="00432DEF" w:rsidRPr="005345A6" w:rsidRDefault="00432DEF" w:rsidP="00F91BAD">
      <w:pPr>
        <w:spacing w:line="360" w:lineRule="auto"/>
        <w:rPr>
          <w:rFonts w:eastAsia="Times New Roman" w:cs="Calibri"/>
          <w:b/>
          <w:bCs/>
          <w:szCs w:val="22"/>
        </w:rPr>
      </w:pPr>
      <w:r w:rsidRPr="005345A6">
        <w:rPr>
          <w:b/>
          <w:sz w:val="24"/>
        </w:rPr>
        <w:br w:type="page"/>
      </w:r>
    </w:p>
    <w:p w:rsidR="009240B6" w:rsidRPr="00A73A83" w:rsidRDefault="00432DEF" w:rsidP="009240B6">
      <w:pPr>
        <w:rPr>
          <w:rFonts w:asciiTheme="minorHAnsi" w:hAnsiTheme="minorHAnsi"/>
        </w:rPr>
      </w:pPr>
      <w:r w:rsidRPr="005345A6">
        <w:rPr>
          <w:b/>
          <w:szCs w:val="22"/>
        </w:rPr>
        <w:lastRenderedPageBreak/>
        <w:t>Table 2</w:t>
      </w:r>
      <w:r w:rsidR="00F96027">
        <w:rPr>
          <w:b/>
          <w:szCs w:val="22"/>
        </w:rPr>
        <w:t>:</w:t>
      </w:r>
      <w:r w:rsidRPr="005345A6">
        <w:rPr>
          <w:b/>
          <w:szCs w:val="22"/>
        </w:rPr>
        <w:t xml:space="preserve"> </w:t>
      </w:r>
      <w:r w:rsidR="009240B6">
        <w:rPr>
          <w:b/>
          <w:szCs w:val="22"/>
        </w:rPr>
        <w:t xml:space="preserve">Primary and secondary/exploratory </w:t>
      </w:r>
      <w:r w:rsidR="009240B6" w:rsidRPr="00A73A83">
        <w:rPr>
          <w:rFonts w:asciiTheme="minorHAnsi" w:hAnsiTheme="minorHAnsi"/>
          <w:b/>
          <w:bCs/>
        </w:rPr>
        <w:t xml:space="preserve">efficacy endpoints, </w:t>
      </w:r>
      <w:r w:rsidR="00F96027">
        <w:rPr>
          <w:rFonts w:asciiTheme="minorHAnsi" w:hAnsiTheme="minorHAnsi"/>
          <w:b/>
          <w:bCs/>
        </w:rPr>
        <w:t>w</w:t>
      </w:r>
      <w:r w:rsidR="009240B6" w:rsidRPr="00A73A83">
        <w:rPr>
          <w:rFonts w:asciiTheme="minorHAnsi" w:hAnsiTheme="minorHAnsi"/>
          <w:b/>
          <w:bCs/>
        </w:rPr>
        <w:t>eek 48 vs baseline (ITT population)</w:t>
      </w:r>
    </w:p>
    <w:p w:rsidR="009240B6" w:rsidRPr="00A73A83" w:rsidRDefault="009240B6" w:rsidP="009240B6">
      <w:pPr>
        <w:rPr>
          <w:rFonts w:asciiTheme="minorHAnsi" w:hAnsiTheme="minorHAns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1271"/>
        <w:gridCol w:w="1401"/>
        <w:gridCol w:w="1273"/>
        <w:gridCol w:w="1401"/>
        <w:gridCol w:w="1289"/>
        <w:gridCol w:w="1288"/>
      </w:tblGrid>
      <w:tr w:rsidR="009240B6" w:rsidRPr="00A73A83" w:rsidTr="00582E7A">
        <w:tc>
          <w:tcPr>
            <w:tcW w:w="2420" w:type="dxa"/>
            <w:shd w:val="clear" w:color="auto" w:fill="auto"/>
          </w:tcPr>
          <w:p w:rsidR="009240B6" w:rsidRPr="00A73A83" w:rsidRDefault="009240B6" w:rsidP="0086159F">
            <w:pPr>
              <w:spacing w:line="360" w:lineRule="auto"/>
              <w:rPr>
                <w:rFonts w:asciiTheme="minorHAnsi" w:hAnsiTheme="minorHAnsi"/>
              </w:rPr>
            </w:pPr>
          </w:p>
        </w:tc>
        <w:tc>
          <w:tcPr>
            <w:tcW w:w="2672" w:type="dxa"/>
            <w:gridSpan w:val="2"/>
            <w:shd w:val="clear" w:color="auto" w:fill="auto"/>
            <w:vAlign w:val="center"/>
          </w:tcPr>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n</w:t>
            </w:r>
          </w:p>
        </w:tc>
        <w:tc>
          <w:tcPr>
            <w:tcW w:w="2674" w:type="dxa"/>
            <w:gridSpan w:val="2"/>
            <w:shd w:val="clear" w:color="auto" w:fill="auto"/>
            <w:vAlign w:val="center"/>
          </w:tcPr>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Adjusted mean (SE)</w:t>
            </w:r>
          </w:p>
        </w:tc>
        <w:tc>
          <w:tcPr>
            <w:tcW w:w="1289" w:type="dxa"/>
            <w:shd w:val="clear" w:color="auto" w:fill="auto"/>
            <w:vAlign w:val="center"/>
          </w:tcPr>
          <w:p w:rsidR="009240B6" w:rsidRPr="00A73A83" w:rsidRDefault="009240B6" w:rsidP="0086159F">
            <w:pPr>
              <w:spacing w:line="360" w:lineRule="auto"/>
              <w:jc w:val="center"/>
              <w:rPr>
                <w:rFonts w:asciiTheme="minorHAnsi" w:hAnsiTheme="minorHAnsi"/>
                <w:b/>
              </w:rPr>
            </w:pPr>
          </w:p>
        </w:tc>
        <w:tc>
          <w:tcPr>
            <w:tcW w:w="1288" w:type="dxa"/>
            <w:shd w:val="clear" w:color="auto" w:fill="auto"/>
          </w:tcPr>
          <w:p w:rsidR="009240B6" w:rsidRPr="00A73A83" w:rsidRDefault="009240B6" w:rsidP="0086159F">
            <w:pPr>
              <w:spacing w:line="360" w:lineRule="auto"/>
              <w:jc w:val="center"/>
              <w:rPr>
                <w:rFonts w:asciiTheme="minorHAnsi" w:hAnsiTheme="minorHAnsi"/>
                <w:b/>
              </w:rPr>
            </w:pPr>
          </w:p>
        </w:tc>
      </w:tr>
      <w:tr w:rsidR="009240B6" w:rsidRPr="00A73A83" w:rsidTr="00582E7A">
        <w:tc>
          <w:tcPr>
            <w:tcW w:w="2420" w:type="dxa"/>
            <w:shd w:val="clear" w:color="auto" w:fill="auto"/>
          </w:tcPr>
          <w:p w:rsidR="009240B6" w:rsidRPr="00A73A83" w:rsidRDefault="009240B6" w:rsidP="0086159F">
            <w:pPr>
              <w:spacing w:line="360" w:lineRule="auto"/>
              <w:rPr>
                <w:rFonts w:asciiTheme="minorHAnsi" w:hAnsiTheme="minorHAnsi"/>
              </w:rPr>
            </w:pPr>
          </w:p>
        </w:tc>
        <w:tc>
          <w:tcPr>
            <w:tcW w:w="1271" w:type="dxa"/>
            <w:shd w:val="clear" w:color="auto" w:fill="auto"/>
            <w:vAlign w:val="center"/>
          </w:tcPr>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Placebo</w:t>
            </w:r>
          </w:p>
          <w:p w:rsidR="009240B6" w:rsidRPr="00A73A83" w:rsidRDefault="009240B6" w:rsidP="0086159F">
            <w:pPr>
              <w:spacing w:line="360" w:lineRule="auto"/>
              <w:jc w:val="center"/>
              <w:rPr>
                <w:rFonts w:asciiTheme="minorHAnsi" w:hAnsiTheme="minorHAnsi"/>
              </w:rPr>
            </w:pPr>
            <w:r w:rsidRPr="00A73A83">
              <w:rPr>
                <w:rFonts w:asciiTheme="minorHAnsi" w:hAnsiTheme="minorHAnsi"/>
                <w:b/>
              </w:rPr>
              <w:t>(N=151)</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Ozanezumab</w:t>
            </w:r>
          </w:p>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(N=152)</w:t>
            </w:r>
          </w:p>
        </w:tc>
        <w:tc>
          <w:tcPr>
            <w:tcW w:w="1273" w:type="dxa"/>
            <w:shd w:val="clear" w:color="auto" w:fill="auto"/>
            <w:vAlign w:val="center"/>
          </w:tcPr>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Placebo</w:t>
            </w:r>
          </w:p>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(N=151)</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Ozanezumab</w:t>
            </w:r>
          </w:p>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(N=152)</w:t>
            </w:r>
          </w:p>
        </w:tc>
        <w:tc>
          <w:tcPr>
            <w:tcW w:w="1289" w:type="dxa"/>
            <w:shd w:val="clear" w:color="auto" w:fill="auto"/>
            <w:vAlign w:val="center"/>
          </w:tcPr>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Difference vs placebo (95% CI)</w:t>
            </w:r>
          </w:p>
        </w:tc>
        <w:tc>
          <w:tcPr>
            <w:tcW w:w="1288" w:type="dxa"/>
            <w:shd w:val="clear" w:color="auto" w:fill="auto"/>
          </w:tcPr>
          <w:p w:rsidR="009240B6" w:rsidRPr="00A73A83" w:rsidRDefault="009240B6" w:rsidP="0086159F">
            <w:pPr>
              <w:spacing w:line="360" w:lineRule="auto"/>
              <w:jc w:val="center"/>
              <w:rPr>
                <w:rFonts w:asciiTheme="minorHAnsi" w:hAnsiTheme="minorHAnsi"/>
                <w:b/>
              </w:rPr>
            </w:pPr>
            <w:r w:rsidRPr="00A73A83">
              <w:rPr>
                <w:rFonts w:asciiTheme="minorHAnsi" w:hAnsiTheme="minorHAnsi"/>
                <w:b/>
              </w:rPr>
              <w:t>p-value for difference</w:t>
            </w:r>
          </w:p>
        </w:tc>
      </w:tr>
      <w:tr w:rsidR="009240B6" w:rsidRPr="00A73A83" w:rsidTr="00582E7A">
        <w:tc>
          <w:tcPr>
            <w:tcW w:w="2420" w:type="dxa"/>
            <w:shd w:val="clear" w:color="auto" w:fill="auto"/>
          </w:tcPr>
          <w:p w:rsidR="009240B6" w:rsidRPr="00A73A83" w:rsidRDefault="009240B6" w:rsidP="0086159F">
            <w:pPr>
              <w:spacing w:line="360" w:lineRule="auto"/>
              <w:rPr>
                <w:rFonts w:asciiTheme="minorHAnsi" w:hAnsiTheme="minorHAnsi"/>
              </w:rPr>
            </w:pPr>
            <w:r w:rsidRPr="005345A6">
              <w:t xml:space="preserve">Joint rank </w:t>
            </w:r>
            <w:proofErr w:type="spellStart"/>
            <w:r w:rsidRPr="005345A6">
              <w:t>score</w:t>
            </w:r>
            <w:r w:rsidRPr="005345A6">
              <w:rPr>
                <w:vertAlign w:val="superscript"/>
              </w:rPr>
              <w:t>a</w:t>
            </w:r>
            <w:proofErr w:type="spellEnd"/>
          </w:p>
        </w:tc>
        <w:tc>
          <w:tcPr>
            <w:tcW w:w="1271" w:type="dxa"/>
            <w:shd w:val="clear" w:color="auto" w:fill="auto"/>
            <w:vAlign w:val="center"/>
          </w:tcPr>
          <w:p w:rsidR="009240B6" w:rsidRPr="00A73A83" w:rsidRDefault="00B96E8A" w:rsidP="0086159F">
            <w:pPr>
              <w:spacing w:line="360" w:lineRule="auto"/>
              <w:jc w:val="center"/>
              <w:rPr>
                <w:rFonts w:asciiTheme="minorHAnsi" w:hAnsiTheme="minorHAnsi"/>
              </w:rPr>
            </w:pPr>
            <w:r>
              <w:rPr>
                <w:rFonts w:asciiTheme="minorHAnsi" w:hAnsiTheme="minorHAnsi"/>
              </w:rPr>
              <w:t>151</w:t>
            </w:r>
          </w:p>
        </w:tc>
        <w:tc>
          <w:tcPr>
            <w:tcW w:w="1401" w:type="dxa"/>
            <w:shd w:val="clear" w:color="auto" w:fill="auto"/>
            <w:vAlign w:val="center"/>
          </w:tcPr>
          <w:p w:rsidR="009240B6" w:rsidRPr="00A73A83" w:rsidRDefault="00B96E8A" w:rsidP="0086159F">
            <w:pPr>
              <w:spacing w:line="360" w:lineRule="auto"/>
              <w:jc w:val="center"/>
              <w:rPr>
                <w:rFonts w:asciiTheme="minorHAnsi" w:hAnsiTheme="minorHAnsi"/>
              </w:rPr>
            </w:pPr>
            <w:r>
              <w:rPr>
                <w:rFonts w:asciiTheme="minorHAnsi" w:hAnsiTheme="minorHAnsi"/>
              </w:rPr>
              <w:t>152</w:t>
            </w:r>
          </w:p>
        </w:tc>
        <w:tc>
          <w:tcPr>
            <w:tcW w:w="1273" w:type="dxa"/>
            <w:shd w:val="clear" w:color="auto" w:fill="auto"/>
            <w:vAlign w:val="center"/>
          </w:tcPr>
          <w:p w:rsidR="009240B6" w:rsidRPr="00A73A83" w:rsidRDefault="009240B6" w:rsidP="0086159F">
            <w:pPr>
              <w:spacing w:line="360" w:lineRule="auto"/>
              <w:jc w:val="center"/>
              <w:rPr>
                <w:rFonts w:asciiTheme="minorHAnsi" w:hAnsiTheme="minorHAnsi"/>
              </w:rPr>
            </w:pPr>
            <w:r w:rsidRPr="005345A6">
              <w:t>15</w:t>
            </w:r>
            <w:r w:rsidRPr="00D055B0">
              <w:t>·</w:t>
            </w:r>
            <w:r w:rsidRPr="005345A6">
              <w:t>0 (13</w:t>
            </w:r>
            <w:r w:rsidRPr="00D055B0">
              <w:t>·</w:t>
            </w:r>
            <w:r w:rsidRPr="005345A6">
              <w:t>58)</w:t>
            </w:r>
          </w:p>
        </w:tc>
        <w:tc>
          <w:tcPr>
            <w:tcW w:w="1401" w:type="dxa"/>
            <w:shd w:val="clear" w:color="auto" w:fill="auto"/>
            <w:vAlign w:val="center"/>
          </w:tcPr>
          <w:p w:rsidR="009240B6" w:rsidRPr="00A73A83" w:rsidRDefault="00F96027" w:rsidP="0086159F">
            <w:pPr>
              <w:spacing w:line="360" w:lineRule="auto"/>
              <w:jc w:val="center"/>
              <w:rPr>
                <w:rFonts w:asciiTheme="minorHAnsi" w:hAnsiTheme="minorHAnsi"/>
              </w:rPr>
            </w:pPr>
            <w:r>
              <w:t>–</w:t>
            </w:r>
            <w:r w:rsidR="009240B6" w:rsidRPr="005345A6">
              <w:t>14</w:t>
            </w:r>
            <w:r w:rsidR="009240B6" w:rsidRPr="00D055B0">
              <w:t>·</w:t>
            </w:r>
            <w:r w:rsidR="009240B6" w:rsidRPr="005345A6">
              <w:t xml:space="preserve">9 </w:t>
            </w:r>
            <w:r w:rsidR="0021452D">
              <w:br/>
            </w:r>
            <w:r w:rsidR="009240B6" w:rsidRPr="005345A6">
              <w:t>(13</w:t>
            </w:r>
            <w:r w:rsidR="009240B6" w:rsidRPr="00D055B0">
              <w:t>·</w:t>
            </w:r>
            <w:r w:rsidR="009240B6" w:rsidRPr="005345A6">
              <w:t>54)</w:t>
            </w:r>
          </w:p>
        </w:tc>
        <w:tc>
          <w:tcPr>
            <w:tcW w:w="1289" w:type="dxa"/>
            <w:shd w:val="clear" w:color="auto" w:fill="auto"/>
            <w:vAlign w:val="center"/>
          </w:tcPr>
          <w:p w:rsidR="009240B6" w:rsidRPr="00A73A83" w:rsidRDefault="00F96027" w:rsidP="00F96027">
            <w:pPr>
              <w:spacing w:line="360" w:lineRule="auto"/>
              <w:jc w:val="center"/>
              <w:rPr>
                <w:rFonts w:asciiTheme="minorHAnsi" w:hAnsiTheme="minorHAnsi"/>
              </w:rPr>
            </w:pPr>
            <w:r>
              <w:t>–</w:t>
            </w:r>
            <w:r w:rsidR="009240B6" w:rsidRPr="005345A6">
              <w:t>30</w:t>
            </w:r>
            <w:r w:rsidR="009240B6" w:rsidRPr="00D055B0">
              <w:t>·</w:t>
            </w:r>
            <w:r w:rsidR="009240B6" w:rsidRPr="005345A6">
              <w:t>0</w:t>
            </w:r>
            <w:r w:rsidR="009240B6" w:rsidRPr="005345A6">
              <w:br/>
              <w:t>(</w:t>
            </w:r>
            <w:r>
              <w:t>–</w:t>
            </w:r>
            <w:r w:rsidR="009240B6" w:rsidRPr="005345A6">
              <w:t>67</w:t>
            </w:r>
            <w:r w:rsidR="009240B6" w:rsidRPr="00D055B0">
              <w:t>·</w:t>
            </w:r>
            <w:r w:rsidR="009240B6" w:rsidRPr="005345A6">
              <w:t>9</w:t>
            </w:r>
            <w:r>
              <w:t xml:space="preserve"> to</w:t>
            </w:r>
            <w:r w:rsidR="009240B6" w:rsidRPr="005345A6">
              <w:t xml:space="preserve"> 7</w:t>
            </w:r>
            <w:r w:rsidR="009240B6" w:rsidRPr="00D055B0">
              <w:t>·</w:t>
            </w:r>
            <w:r w:rsidR="009240B6" w:rsidRPr="005345A6">
              <w:t>9)</w:t>
            </w:r>
          </w:p>
        </w:tc>
        <w:tc>
          <w:tcPr>
            <w:tcW w:w="1288" w:type="dxa"/>
            <w:shd w:val="clear" w:color="auto" w:fill="auto"/>
            <w:vAlign w:val="center"/>
          </w:tcPr>
          <w:p w:rsidR="009240B6" w:rsidRPr="00A73A83" w:rsidRDefault="009240B6" w:rsidP="0086159F">
            <w:pPr>
              <w:spacing w:line="360" w:lineRule="auto"/>
              <w:jc w:val="center"/>
              <w:rPr>
                <w:rFonts w:asciiTheme="minorHAnsi" w:hAnsiTheme="minorHAnsi"/>
              </w:rPr>
            </w:pPr>
            <w:r w:rsidRPr="005345A6">
              <w:t>0</w:t>
            </w:r>
            <w:r w:rsidRPr="00D055B0">
              <w:t>·</w:t>
            </w:r>
            <w:r w:rsidRPr="005345A6">
              <w:t>120</w:t>
            </w:r>
          </w:p>
        </w:tc>
      </w:tr>
      <w:tr w:rsidR="009240B6" w:rsidRPr="00A73A83" w:rsidTr="00582E7A">
        <w:tc>
          <w:tcPr>
            <w:tcW w:w="2420" w:type="dxa"/>
            <w:shd w:val="clear" w:color="auto" w:fill="auto"/>
          </w:tcPr>
          <w:p w:rsidR="009240B6" w:rsidRPr="00A73A83" w:rsidRDefault="009240B6" w:rsidP="0086159F">
            <w:pPr>
              <w:spacing w:line="360" w:lineRule="auto"/>
              <w:rPr>
                <w:rFonts w:asciiTheme="minorHAnsi" w:hAnsiTheme="minorHAnsi"/>
              </w:rPr>
            </w:pPr>
            <w:r w:rsidRPr="00A73A83">
              <w:rPr>
                <w:rFonts w:asciiTheme="minorHAnsi" w:hAnsiTheme="minorHAnsi"/>
              </w:rPr>
              <w:t xml:space="preserve">Change in ALSFRS-R </w:t>
            </w:r>
            <w:r>
              <w:rPr>
                <w:rFonts w:asciiTheme="minorHAnsi" w:hAnsiTheme="minorHAnsi"/>
              </w:rPr>
              <w:t xml:space="preserve">total </w:t>
            </w:r>
            <w:proofErr w:type="spellStart"/>
            <w:r w:rsidRPr="00A73A83">
              <w:rPr>
                <w:rFonts w:asciiTheme="minorHAnsi" w:hAnsiTheme="minorHAnsi"/>
              </w:rPr>
              <w:t>score</w:t>
            </w:r>
            <w:r>
              <w:rPr>
                <w:rFonts w:asciiTheme="minorHAnsi" w:hAnsiTheme="minorHAnsi"/>
                <w:vertAlign w:val="superscript"/>
              </w:rPr>
              <w:t>b</w:t>
            </w:r>
            <w:proofErr w:type="spellEnd"/>
          </w:p>
        </w:tc>
        <w:tc>
          <w:tcPr>
            <w:tcW w:w="127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104</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101</w:t>
            </w:r>
          </w:p>
        </w:tc>
        <w:tc>
          <w:tcPr>
            <w:tcW w:w="1273"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 xml:space="preserve">−9·1 </w:t>
            </w:r>
            <w:r w:rsidR="0021452D">
              <w:rPr>
                <w:rFonts w:asciiTheme="minorHAnsi" w:hAnsiTheme="minorHAnsi"/>
              </w:rPr>
              <w:br/>
            </w:r>
            <w:r w:rsidRPr="00A73A83">
              <w:rPr>
                <w:rFonts w:asciiTheme="minorHAnsi" w:hAnsiTheme="minorHAnsi"/>
              </w:rPr>
              <w:t>(0·64)</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 xml:space="preserve">−10·4 </w:t>
            </w:r>
            <w:r w:rsidR="0021452D">
              <w:rPr>
                <w:rFonts w:asciiTheme="minorHAnsi" w:hAnsiTheme="minorHAnsi"/>
              </w:rPr>
              <w:br/>
            </w:r>
            <w:r w:rsidRPr="00A73A83">
              <w:rPr>
                <w:rFonts w:asciiTheme="minorHAnsi" w:hAnsiTheme="minorHAnsi"/>
              </w:rPr>
              <w:t>(0·64)</w:t>
            </w:r>
          </w:p>
        </w:tc>
        <w:tc>
          <w:tcPr>
            <w:tcW w:w="1289"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−1·3</w:t>
            </w:r>
            <w:r w:rsidRPr="00A73A83">
              <w:rPr>
                <w:rFonts w:asciiTheme="minorHAnsi" w:hAnsiTheme="minorHAnsi"/>
              </w:rPr>
              <w:br/>
              <w:t>(−3·1</w:t>
            </w:r>
            <w:r w:rsidR="00F96027">
              <w:rPr>
                <w:rFonts w:asciiTheme="minorHAnsi" w:hAnsiTheme="minorHAnsi"/>
              </w:rPr>
              <w:t xml:space="preserve"> to</w:t>
            </w:r>
            <w:r w:rsidRPr="00A73A83">
              <w:rPr>
                <w:rFonts w:asciiTheme="minorHAnsi" w:hAnsiTheme="minorHAnsi"/>
              </w:rPr>
              <w:t xml:space="preserve"> 0·4)</w:t>
            </w:r>
          </w:p>
        </w:tc>
        <w:tc>
          <w:tcPr>
            <w:tcW w:w="1288"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0·139</w:t>
            </w:r>
          </w:p>
        </w:tc>
      </w:tr>
      <w:tr w:rsidR="009240B6" w:rsidRPr="00A73A83" w:rsidTr="00582E7A">
        <w:tc>
          <w:tcPr>
            <w:tcW w:w="2420" w:type="dxa"/>
            <w:shd w:val="clear" w:color="auto" w:fill="auto"/>
          </w:tcPr>
          <w:p w:rsidR="009240B6" w:rsidRPr="00A73A83" w:rsidRDefault="009240B6" w:rsidP="0086159F">
            <w:pPr>
              <w:spacing w:line="360" w:lineRule="auto"/>
              <w:rPr>
                <w:rFonts w:asciiTheme="minorHAnsi" w:hAnsiTheme="minorHAnsi"/>
              </w:rPr>
            </w:pPr>
            <w:r w:rsidRPr="00A73A83">
              <w:rPr>
                <w:rFonts w:asciiTheme="minorHAnsi" w:hAnsiTheme="minorHAnsi"/>
              </w:rPr>
              <w:t xml:space="preserve">Change in ALSFRS-R </w:t>
            </w:r>
            <w:r>
              <w:rPr>
                <w:rFonts w:asciiTheme="minorHAnsi" w:hAnsiTheme="minorHAnsi"/>
              </w:rPr>
              <w:t xml:space="preserve">total </w:t>
            </w:r>
            <w:proofErr w:type="spellStart"/>
            <w:r w:rsidRPr="00A73A83">
              <w:rPr>
                <w:rFonts w:asciiTheme="minorHAnsi" w:hAnsiTheme="minorHAnsi"/>
              </w:rPr>
              <w:t>score</w:t>
            </w:r>
            <w:r>
              <w:rPr>
                <w:rFonts w:asciiTheme="minorHAnsi" w:hAnsiTheme="minorHAnsi"/>
                <w:vertAlign w:val="superscript"/>
              </w:rPr>
              <w:t>c</w:t>
            </w:r>
            <w:proofErr w:type="spellEnd"/>
          </w:p>
        </w:tc>
        <w:tc>
          <w:tcPr>
            <w:tcW w:w="127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120</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111</w:t>
            </w:r>
          </w:p>
        </w:tc>
        <w:tc>
          <w:tcPr>
            <w:tcW w:w="1273"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 xml:space="preserve">−9·5 </w:t>
            </w:r>
            <w:r w:rsidR="0021452D">
              <w:rPr>
                <w:rFonts w:asciiTheme="minorHAnsi" w:hAnsiTheme="minorHAnsi"/>
              </w:rPr>
              <w:br/>
            </w:r>
            <w:r w:rsidRPr="00A73A83">
              <w:rPr>
                <w:rFonts w:asciiTheme="minorHAnsi" w:hAnsiTheme="minorHAnsi"/>
              </w:rPr>
              <w:t>(0·68)</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 xml:space="preserve">−10·8 </w:t>
            </w:r>
            <w:r w:rsidR="0021452D">
              <w:rPr>
                <w:rFonts w:asciiTheme="minorHAnsi" w:hAnsiTheme="minorHAnsi"/>
              </w:rPr>
              <w:br/>
            </w:r>
            <w:r w:rsidRPr="00A73A83">
              <w:rPr>
                <w:rFonts w:asciiTheme="minorHAnsi" w:hAnsiTheme="minorHAnsi"/>
              </w:rPr>
              <w:t>(0·68)</w:t>
            </w:r>
          </w:p>
        </w:tc>
        <w:tc>
          <w:tcPr>
            <w:tcW w:w="1289" w:type="dxa"/>
            <w:shd w:val="clear" w:color="auto" w:fill="auto"/>
            <w:vAlign w:val="center"/>
          </w:tcPr>
          <w:p w:rsidR="009240B6" w:rsidRPr="00A73A83" w:rsidRDefault="009240B6" w:rsidP="00F96027">
            <w:pPr>
              <w:spacing w:line="360" w:lineRule="auto"/>
              <w:jc w:val="center"/>
              <w:rPr>
                <w:rFonts w:asciiTheme="minorHAnsi" w:hAnsiTheme="minorHAnsi"/>
              </w:rPr>
            </w:pPr>
            <w:r w:rsidRPr="00A73A83">
              <w:rPr>
                <w:rFonts w:asciiTheme="minorHAnsi" w:hAnsiTheme="minorHAnsi"/>
              </w:rPr>
              <w:t xml:space="preserve">−1·3 </w:t>
            </w:r>
            <w:r w:rsidR="0021452D">
              <w:rPr>
                <w:rFonts w:asciiTheme="minorHAnsi" w:hAnsiTheme="minorHAnsi"/>
              </w:rPr>
              <w:br/>
            </w:r>
            <w:r w:rsidRPr="00A73A83">
              <w:rPr>
                <w:rFonts w:asciiTheme="minorHAnsi" w:hAnsiTheme="minorHAnsi"/>
              </w:rPr>
              <w:t>(−3·2</w:t>
            </w:r>
            <w:r w:rsidR="00F96027">
              <w:rPr>
                <w:rFonts w:asciiTheme="minorHAnsi" w:hAnsiTheme="minorHAnsi"/>
              </w:rPr>
              <w:t xml:space="preserve"> to</w:t>
            </w:r>
            <w:r w:rsidRPr="00A73A83">
              <w:rPr>
                <w:rFonts w:asciiTheme="minorHAnsi" w:hAnsiTheme="minorHAnsi"/>
              </w:rPr>
              <w:t xml:space="preserve"> 0·6)</w:t>
            </w:r>
          </w:p>
        </w:tc>
        <w:tc>
          <w:tcPr>
            <w:tcW w:w="1288"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0·172</w:t>
            </w:r>
          </w:p>
        </w:tc>
      </w:tr>
      <w:tr w:rsidR="004D4886" w:rsidRPr="00A73A83" w:rsidTr="00582E7A">
        <w:tc>
          <w:tcPr>
            <w:tcW w:w="2420" w:type="dxa"/>
            <w:shd w:val="clear" w:color="auto" w:fill="auto"/>
          </w:tcPr>
          <w:p w:rsidR="004D4886" w:rsidRPr="00A73A83" w:rsidRDefault="0081067E" w:rsidP="0081067E">
            <w:pPr>
              <w:spacing w:line="360" w:lineRule="auto"/>
              <w:rPr>
                <w:rFonts w:asciiTheme="minorHAnsi" w:hAnsiTheme="minorHAnsi"/>
              </w:rPr>
            </w:pPr>
            <w:r>
              <w:rPr>
                <w:rFonts w:asciiTheme="minorHAnsi" w:hAnsiTheme="minorHAnsi"/>
              </w:rPr>
              <w:t>Monthly r</w:t>
            </w:r>
            <w:r w:rsidR="004D4886">
              <w:rPr>
                <w:rFonts w:asciiTheme="minorHAnsi" w:hAnsiTheme="minorHAnsi"/>
              </w:rPr>
              <w:t xml:space="preserve">ate of decline in ALSFRS-R total </w:t>
            </w:r>
            <w:proofErr w:type="spellStart"/>
            <w:r w:rsidR="004D4886">
              <w:rPr>
                <w:rFonts w:asciiTheme="minorHAnsi" w:hAnsiTheme="minorHAnsi"/>
              </w:rPr>
              <w:t>score</w:t>
            </w:r>
            <w:r w:rsidR="004D4886" w:rsidRPr="00027DCB">
              <w:rPr>
                <w:rFonts w:asciiTheme="minorHAnsi" w:hAnsiTheme="minorHAnsi"/>
                <w:vertAlign w:val="superscript"/>
              </w:rPr>
              <w:t>b</w:t>
            </w:r>
            <w:proofErr w:type="spellEnd"/>
          </w:p>
        </w:tc>
        <w:tc>
          <w:tcPr>
            <w:tcW w:w="1271" w:type="dxa"/>
            <w:shd w:val="clear" w:color="auto" w:fill="auto"/>
            <w:vAlign w:val="center"/>
          </w:tcPr>
          <w:p w:rsidR="004D4886" w:rsidRPr="00A73A83" w:rsidRDefault="004D4886" w:rsidP="00A24C65">
            <w:pPr>
              <w:spacing w:line="360" w:lineRule="auto"/>
              <w:jc w:val="center"/>
              <w:rPr>
                <w:rFonts w:asciiTheme="minorHAnsi" w:hAnsiTheme="minorHAnsi"/>
              </w:rPr>
            </w:pPr>
            <w:r>
              <w:rPr>
                <w:rFonts w:asciiTheme="minorHAnsi" w:hAnsiTheme="minorHAnsi"/>
              </w:rPr>
              <w:t>149</w:t>
            </w:r>
          </w:p>
        </w:tc>
        <w:tc>
          <w:tcPr>
            <w:tcW w:w="1401" w:type="dxa"/>
            <w:shd w:val="clear" w:color="auto" w:fill="auto"/>
            <w:vAlign w:val="center"/>
          </w:tcPr>
          <w:p w:rsidR="004D4886" w:rsidRPr="00A73A83" w:rsidRDefault="004D4886" w:rsidP="00A24C65">
            <w:pPr>
              <w:spacing w:line="360" w:lineRule="auto"/>
              <w:jc w:val="center"/>
              <w:rPr>
                <w:rFonts w:asciiTheme="minorHAnsi" w:hAnsiTheme="minorHAnsi"/>
              </w:rPr>
            </w:pPr>
            <w:r>
              <w:rPr>
                <w:rFonts w:asciiTheme="minorHAnsi" w:hAnsiTheme="minorHAnsi"/>
              </w:rPr>
              <w:t>150</w:t>
            </w:r>
          </w:p>
        </w:tc>
        <w:tc>
          <w:tcPr>
            <w:tcW w:w="1273" w:type="dxa"/>
            <w:shd w:val="clear" w:color="auto" w:fill="auto"/>
            <w:vAlign w:val="center"/>
          </w:tcPr>
          <w:p w:rsidR="004D4886" w:rsidRPr="00A73A83" w:rsidRDefault="004D4886" w:rsidP="00A24C65">
            <w:pPr>
              <w:spacing w:line="360" w:lineRule="auto"/>
              <w:jc w:val="center"/>
              <w:rPr>
                <w:rFonts w:asciiTheme="minorHAnsi" w:hAnsiTheme="minorHAnsi"/>
              </w:rPr>
            </w:pPr>
            <w:r w:rsidRPr="00A73A83">
              <w:rPr>
                <w:rFonts w:asciiTheme="minorHAnsi" w:hAnsiTheme="minorHAnsi"/>
              </w:rPr>
              <w:t>−</w:t>
            </w:r>
            <w:r>
              <w:rPr>
                <w:rFonts w:asciiTheme="minorHAnsi" w:hAnsiTheme="minorHAnsi"/>
              </w:rPr>
              <w:t>0</w:t>
            </w:r>
            <w:r w:rsidRPr="00A73A83">
              <w:rPr>
                <w:rFonts w:asciiTheme="minorHAnsi" w:hAnsiTheme="minorHAnsi"/>
              </w:rPr>
              <w:t>·</w:t>
            </w:r>
            <w:r>
              <w:rPr>
                <w:rFonts w:asciiTheme="minorHAnsi" w:hAnsiTheme="minorHAnsi"/>
              </w:rPr>
              <w:t xml:space="preserve">84 </w:t>
            </w:r>
            <w:r w:rsidRPr="00A73A83">
              <w:rPr>
                <w:rFonts w:asciiTheme="minorHAnsi" w:hAnsiTheme="minorHAnsi"/>
              </w:rPr>
              <w:t>(0·</w:t>
            </w:r>
            <w:r>
              <w:rPr>
                <w:rFonts w:asciiTheme="minorHAnsi" w:hAnsiTheme="minorHAnsi"/>
              </w:rPr>
              <w:t>0</w:t>
            </w:r>
            <w:r w:rsidRPr="00A73A83">
              <w:rPr>
                <w:rFonts w:asciiTheme="minorHAnsi" w:hAnsiTheme="minorHAnsi"/>
              </w:rPr>
              <w:t>6</w:t>
            </w:r>
            <w:r>
              <w:rPr>
                <w:rFonts w:asciiTheme="minorHAnsi" w:hAnsiTheme="minorHAnsi"/>
              </w:rPr>
              <w:t>3</w:t>
            </w:r>
            <w:r w:rsidRPr="00A73A83">
              <w:rPr>
                <w:rFonts w:asciiTheme="minorHAnsi" w:hAnsiTheme="minorHAnsi"/>
              </w:rPr>
              <w:t>)</w:t>
            </w:r>
          </w:p>
        </w:tc>
        <w:tc>
          <w:tcPr>
            <w:tcW w:w="1401" w:type="dxa"/>
            <w:shd w:val="clear" w:color="auto" w:fill="auto"/>
            <w:vAlign w:val="center"/>
          </w:tcPr>
          <w:p w:rsidR="004D4886" w:rsidRPr="00A73A83" w:rsidRDefault="004D4886" w:rsidP="00A24C65">
            <w:pPr>
              <w:spacing w:line="360" w:lineRule="auto"/>
              <w:jc w:val="center"/>
              <w:rPr>
                <w:rFonts w:asciiTheme="minorHAnsi" w:hAnsiTheme="minorHAnsi"/>
              </w:rPr>
            </w:pPr>
            <w:r w:rsidRPr="00A73A83">
              <w:rPr>
                <w:rFonts w:asciiTheme="minorHAnsi" w:hAnsiTheme="minorHAnsi"/>
              </w:rPr>
              <w:t>−0·</w:t>
            </w:r>
            <w:r>
              <w:rPr>
                <w:rFonts w:asciiTheme="minorHAnsi" w:hAnsiTheme="minorHAnsi"/>
              </w:rPr>
              <w:t>96</w:t>
            </w:r>
            <w:r w:rsidRPr="00A73A83">
              <w:rPr>
                <w:rFonts w:asciiTheme="minorHAnsi" w:hAnsiTheme="minorHAnsi"/>
              </w:rPr>
              <w:t xml:space="preserve"> </w:t>
            </w:r>
            <w:r w:rsidR="0021452D">
              <w:rPr>
                <w:rFonts w:asciiTheme="minorHAnsi" w:hAnsiTheme="minorHAnsi"/>
              </w:rPr>
              <w:br/>
            </w:r>
            <w:r w:rsidRPr="00A73A83">
              <w:rPr>
                <w:rFonts w:asciiTheme="minorHAnsi" w:hAnsiTheme="minorHAnsi"/>
              </w:rPr>
              <w:t>(0·</w:t>
            </w:r>
            <w:r>
              <w:rPr>
                <w:rFonts w:asciiTheme="minorHAnsi" w:hAnsiTheme="minorHAnsi"/>
              </w:rPr>
              <w:t>062</w:t>
            </w:r>
            <w:r w:rsidRPr="00A73A83">
              <w:rPr>
                <w:rFonts w:asciiTheme="minorHAnsi" w:hAnsiTheme="minorHAnsi"/>
              </w:rPr>
              <w:t>)</w:t>
            </w:r>
          </w:p>
        </w:tc>
        <w:tc>
          <w:tcPr>
            <w:tcW w:w="1289" w:type="dxa"/>
            <w:shd w:val="clear" w:color="auto" w:fill="auto"/>
            <w:vAlign w:val="center"/>
          </w:tcPr>
          <w:p w:rsidR="004D4886" w:rsidRPr="00A73A83" w:rsidRDefault="004D4886" w:rsidP="00F96027">
            <w:pPr>
              <w:spacing w:line="360" w:lineRule="auto"/>
              <w:jc w:val="center"/>
              <w:rPr>
                <w:rFonts w:asciiTheme="minorHAnsi" w:hAnsiTheme="minorHAnsi"/>
              </w:rPr>
            </w:pPr>
            <w:r w:rsidRPr="00A73A83">
              <w:rPr>
                <w:rFonts w:asciiTheme="minorHAnsi" w:hAnsiTheme="minorHAnsi"/>
              </w:rPr>
              <w:t>−</w:t>
            </w:r>
            <w:r>
              <w:rPr>
                <w:rFonts w:asciiTheme="minorHAnsi" w:hAnsiTheme="minorHAnsi"/>
              </w:rPr>
              <w:t>0</w:t>
            </w:r>
            <w:r w:rsidRPr="00A73A83">
              <w:rPr>
                <w:rFonts w:asciiTheme="minorHAnsi" w:hAnsiTheme="minorHAnsi"/>
              </w:rPr>
              <w:t>·</w:t>
            </w:r>
            <w:r>
              <w:rPr>
                <w:rFonts w:asciiTheme="minorHAnsi" w:hAnsiTheme="minorHAnsi"/>
              </w:rPr>
              <w:t>12</w:t>
            </w:r>
            <w:r>
              <w:rPr>
                <w:rFonts w:asciiTheme="minorHAnsi" w:hAnsiTheme="minorHAnsi"/>
              </w:rPr>
              <w:br/>
              <w:t>(−0</w:t>
            </w:r>
            <w:r w:rsidRPr="00A73A83">
              <w:rPr>
                <w:rFonts w:asciiTheme="minorHAnsi" w:hAnsiTheme="minorHAnsi"/>
              </w:rPr>
              <w:t>·</w:t>
            </w:r>
            <w:r>
              <w:rPr>
                <w:rFonts w:asciiTheme="minorHAnsi" w:hAnsiTheme="minorHAnsi"/>
              </w:rPr>
              <w:t>30</w:t>
            </w:r>
            <w:r w:rsidR="00F96027">
              <w:rPr>
                <w:rFonts w:asciiTheme="minorHAnsi" w:hAnsiTheme="minorHAnsi"/>
              </w:rPr>
              <w:t xml:space="preserve"> to</w:t>
            </w:r>
            <w:r w:rsidRPr="00A73A83">
              <w:rPr>
                <w:rFonts w:asciiTheme="minorHAnsi" w:hAnsiTheme="minorHAnsi"/>
              </w:rPr>
              <w:t xml:space="preserve"> 0·</w:t>
            </w:r>
            <w:r>
              <w:rPr>
                <w:rFonts w:asciiTheme="minorHAnsi" w:hAnsiTheme="minorHAnsi"/>
              </w:rPr>
              <w:t>05</w:t>
            </w:r>
            <w:r w:rsidRPr="00A73A83">
              <w:rPr>
                <w:rFonts w:asciiTheme="minorHAnsi" w:hAnsiTheme="minorHAnsi"/>
              </w:rPr>
              <w:t>)</w:t>
            </w:r>
          </w:p>
        </w:tc>
        <w:tc>
          <w:tcPr>
            <w:tcW w:w="1288" w:type="dxa"/>
            <w:shd w:val="clear" w:color="auto" w:fill="auto"/>
            <w:vAlign w:val="center"/>
          </w:tcPr>
          <w:p w:rsidR="004D4886" w:rsidRPr="00A73A83" w:rsidRDefault="004D4886" w:rsidP="00A24C65">
            <w:pPr>
              <w:spacing w:line="360" w:lineRule="auto"/>
              <w:jc w:val="center"/>
              <w:rPr>
                <w:rFonts w:asciiTheme="minorHAnsi" w:hAnsiTheme="minorHAnsi"/>
              </w:rPr>
            </w:pPr>
            <w:r w:rsidRPr="00A73A83">
              <w:rPr>
                <w:rFonts w:asciiTheme="minorHAnsi" w:hAnsiTheme="minorHAnsi"/>
              </w:rPr>
              <w:t>0·1</w:t>
            </w:r>
            <w:r>
              <w:rPr>
                <w:rFonts w:asciiTheme="minorHAnsi" w:hAnsiTheme="minorHAnsi"/>
              </w:rPr>
              <w:t>73</w:t>
            </w:r>
          </w:p>
        </w:tc>
      </w:tr>
      <w:tr w:rsidR="009240B6" w:rsidRPr="00A73A83" w:rsidTr="00582E7A">
        <w:tc>
          <w:tcPr>
            <w:tcW w:w="2420" w:type="dxa"/>
            <w:shd w:val="clear" w:color="auto" w:fill="auto"/>
          </w:tcPr>
          <w:p w:rsidR="009240B6" w:rsidRPr="00A73A83" w:rsidRDefault="009240B6" w:rsidP="0086159F">
            <w:pPr>
              <w:spacing w:line="360" w:lineRule="auto"/>
              <w:rPr>
                <w:rFonts w:asciiTheme="minorHAnsi" w:hAnsiTheme="minorHAnsi"/>
              </w:rPr>
            </w:pPr>
            <w:r w:rsidRPr="00A73A83">
              <w:rPr>
                <w:rFonts w:asciiTheme="minorHAnsi" w:hAnsiTheme="minorHAnsi"/>
              </w:rPr>
              <w:t>Change in SVC (L)</w:t>
            </w:r>
          </w:p>
        </w:tc>
        <w:tc>
          <w:tcPr>
            <w:tcW w:w="127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96</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98</w:t>
            </w:r>
          </w:p>
        </w:tc>
        <w:tc>
          <w:tcPr>
            <w:tcW w:w="1273"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−0·899 (0·0804)</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−1·026 (0·0804)</w:t>
            </w:r>
          </w:p>
        </w:tc>
        <w:tc>
          <w:tcPr>
            <w:tcW w:w="1289" w:type="dxa"/>
            <w:shd w:val="clear" w:color="auto" w:fill="auto"/>
            <w:vAlign w:val="center"/>
          </w:tcPr>
          <w:p w:rsidR="009240B6" w:rsidRPr="00A73A83" w:rsidRDefault="009240B6" w:rsidP="00F96027">
            <w:pPr>
              <w:spacing w:line="360" w:lineRule="auto"/>
              <w:jc w:val="center"/>
              <w:rPr>
                <w:rFonts w:asciiTheme="minorHAnsi" w:hAnsiTheme="minorHAnsi"/>
              </w:rPr>
            </w:pPr>
            <w:r w:rsidRPr="00A73A83">
              <w:rPr>
                <w:rFonts w:asciiTheme="minorHAnsi" w:hAnsiTheme="minorHAnsi"/>
              </w:rPr>
              <w:t>−0·127</w:t>
            </w:r>
            <w:r w:rsidRPr="00A73A83">
              <w:rPr>
                <w:rFonts w:asciiTheme="minorHAnsi" w:hAnsiTheme="minorHAnsi"/>
              </w:rPr>
              <w:br/>
              <w:t>(−0·351</w:t>
            </w:r>
            <w:r w:rsidR="00F96027">
              <w:rPr>
                <w:rFonts w:asciiTheme="minorHAnsi" w:hAnsiTheme="minorHAnsi"/>
              </w:rPr>
              <w:t xml:space="preserve"> to</w:t>
            </w:r>
            <w:r w:rsidRPr="00A73A83">
              <w:rPr>
                <w:rFonts w:asciiTheme="minorHAnsi" w:hAnsiTheme="minorHAnsi"/>
              </w:rPr>
              <w:t xml:space="preserve"> 0·097)</w:t>
            </w:r>
          </w:p>
        </w:tc>
        <w:tc>
          <w:tcPr>
            <w:tcW w:w="1288"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0·265</w:t>
            </w:r>
          </w:p>
        </w:tc>
      </w:tr>
      <w:tr w:rsidR="009240B6" w:rsidRPr="00A73A83" w:rsidTr="00582E7A">
        <w:tc>
          <w:tcPr>
            <w:tcW w:w="2420" w:type="dxa"/>
            <w:shd w:val="clear" w:color="auto" w:fill="auto"/>
          </w:tcPr>
          <w:p w:rsidR="009240B6" w:rsidRPr="00A73A83" w:rsidRDefault="009240B6" w:rsidP="0086159F">
            <w:pPr>
              <w:spacing w:line="360" w:lineRule="auto"/>
              <w:rPr>
                <w:rFonts w:asciiTheme="minorHAnsi" w:hAnsiTheme="minorHAnsi"/>
              </w:rPr>
            </w:pPr>
            <w:r w:rsidRPr="00A73A83">
              <w:rPr>
                <w:rFonts w:asciiTheme="minorHAnsi" w:hAnsiTheme="minorHAnsi"/>
              </w:rPr>
              <w:t xml:space="preserve">Average percent change in </w:t>
            </w:r>
            <w:proofErr w:type="spellStart"/>
            <w:r w:rsidRPr="00A73A83">
              <w:rPr>
                <w:rFonts w:asciiTheme="minorHAnsi" w:hAnsiTheme="minorHAnsi"/>
              </w:rPr>
              <w:t>HHD</w:t>
            </w:r>
            <w:r>
              <w:rPr>
                <w:rFonts w:asciiTheme="minorHAnsi" w:hAnsiTheme="minorHAnsi"/>
                <w:vertAlign w:val="superscript"/>
              </w:rPr>
              <w:t>d</w:t>
            </w:r>
            <w:proofErr w:type="spellEnd"/>
          </w:p>
        </w:tc>
        <w:tc>
          <w:tcPr>
            <w:tcW w:w="127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99</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95</w:t>
            </w:r>
          </w:p>
        </w:tc>
        <w:tc>
          <w:tcPr>
            <w:tcW w:w="1273"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−34·7 (3·77)</w:t>
            </w:r>
          </w:p>
        </w:tc>
        <w:tc>
          <w:tcPr>
            <w:tcW w:w="1401"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 xml:space="preserve">−42·9 </w:t>
            </w:r>
            <w:r w:rsidR="0021452D">
              <w:rPr>
                <w:rFonts w:asciiTheme="minorHAnsi" w:hAnsiTheme="minorHAnsi"/>
              </w:rPr>
              <w:br/>
            </w:r>
            <w:r w:rsidRPr="00A73A83">
              <w:rPr>
                <w:rFonts w:asciiTheme="minorHAnsi" w:hAnsiTheme="minorHAnsi"/>
              </w:rPr>
              <w:t>(3·75)</w:t>
            </w:r>
          </w:p>
        </w:tc>
        <w:tc>
          <w:tcPr>
            <w:tcW w:w="1289" w:type="dxa"/>
            <w:shd w:val="clear" w:color="auto" w:fill="auto"/>
            <w:vAlign w:val="center"/>
          </w:tcPr>
          <w:p w:rsidR="009240B6" w:rsidRPr="00A73A83" w:rsidRDefault="009240B6" w:rsidP="00F96027">
            <w:pPr>
              <w:spacing w:line="360" w:lineRule="auto"/>
              <w:jc w:val="center"/>
              <w:rPr>
                <w:rFonts w:asciiTheme="minorHAnsi" w:hAnsiTheme="minorHAnsi"/>
              </w:rPr>
            </w:pPr>
            <w:r w:rsidRPr="00A73A83">
              <w:rPr>
                <w:rFonts w:asciiTheme="minorHAnsi" w:hAnsiTheme="minorHAnsi"/>
              </w:rPr>
              <w:t xml:space="preserve">−8·2 </w:t>
            </w:r>
            <w:r w:rsidR="0021452D">
              <w:rPr>
                <w:rFonts w:asciiTheme="minorHAnsi" w:hAnsiTheme="minorHAnsi"/>
              </w:rPr>
              <w:br/>
            </w:r>
            <w:r w:rsidRPr="00A73A83">
              <w:rPr>
                <w:rFonts w:asciiTheme="minorHAnsi" w:hAnsiTheme="minorHAnsi"/>
              </w:rPr>
              <w:t>(−18·7</w:t>
            </w:r>
            <w:r w:rsidR="00F96027">
              <w:rPr>
                <w:rFonts w:asciiTheme="minorHAnsi" w:hAnsiTheme="minorHAnsi"/>
              </w:rPr>
              <w:t xml:space="preserve"> to</w:t>
            </w:r>
            <w:r w:rsidRPr="00A73A83">
              <w:rPr>
                <w:rFonts w:asciiTheme="minorHAnsi" w:hAnsiTheme="minorHAnsi"/>
              </w:rPr>
              <w:t xml:space="preserve"> 2·3)</w:t>
            </w:r>
          </w:p>
        </w:tc>
        <w:tc>
          <w:tcPr>
            <w:tcW w:w="1288" w:type="dxa"/>
            <w:shd w:val="clear" w:color="auto" w:fill="auto"/>
            <w:vAlign w:val="center"/>
          </w:tcPr>
          <w:p w:rsidR="009240B6" w:rsidRPr="00A73A83" w:rsidRDefault="009240B6" w:rsidP="0086159F">
            <w:pPr>
              <w:spacing w:line="360" w:lineRule="auto"/>
              <w:jc w:val="center"/>
              <w:rPr>
                <w:rFonts w:asciiTheme="minorHAnsi" w:hAnsiTheme="minorHAnsi"/>
              </w:rPr>
            </w:pPr>
            <w:r w:rsidRPr="00A73A83">
              <w:rPr>
                <w:rFonts w:asciiTheme="minorHAnsi" w:hAnsiTheme="minorHAnsi"/>
              </w:rPr>
              <w:t>0·125</w:t>
            </w:r>
          </w:p>
        </w:tc>
      </w:tr>
    </w:tbl>
    <w:p w:rsidR="009240B6" w:rsidRPr="00A73A83" w:rsidRDefault="009240B6" w:rsidP="009240B6">
      <w:pPr>
        <w:spacing w:line="360" w:lineRule="auto"/>
        <w:rPr>
          <w:rFonts w:asciiTheme="minorHAnsi" w:hAnsiTheme="minorHAnsi"/>
        </w:rPr>
      </w:pPr>
      <w:proofErr w:type="spellStart"/>
      <w:proofErr w:type="gramStart"/>
      <w:r>
        <w:rPr>
          <w:vertAlign w:val="superscript"/>
        </w:rPr>
        <w:t>a</w:t>
      </w:r>
      <w:r>
        <w:t>Data</w:t>
      </w:r>
      <w:proofErr w:type="spellEnd"/>
      <w:proofErr w:type="gramEnd"/>
      <w:r>
        <w:t xml:space="preserve"> collected within 21 days of the patient's last infusion</w:t>
      </w:r>
      <w:r w:rsidRPr="005345A6">
        <w:t>.</w:t>
      </w:r>
      <w:r>
        <w:t xml:space="preserve"> </w:t>
      </w:r>
      <w:proofErr w:type="spellStart"/>
      <w:proofErr w:type="gramStart"/>
      <w:r>
        <w:rPr>
          <w:rFonts w:asciiTheme="minorHAnsi" w:hAnsiTheme="minorHAnsi"/>
          <w:vertAlign w:val="superscript"/>
        </w:rPr>
        <w:t>b</w:t>
      </w:r>
      <w:r w:rsidRPr="00A73A83">
        <w:rPr>
          <w:rFonts w:asciiTheme="minorHAnsi" w:hAnsiTheme="minorHAnsi"/>
        </w:rPr>
        <w:t>On</w:t>
      </w:r>
      <w:proofErr w:type="spellEnd"/>
      <w:r w:rsidRPr="00A73A83">
        <w:rPr>
          <w:rFonts w:asciiTheme="minorHAnsi" w:hAnsiTheme="minorHAnsi"/>
        </w:rPr>
        <w:t>-treatment</w:t>
      </w:r>
      <w:proofErr w:type="gramEnd"/>
      <w:r w:rsidRPr="00A73A83">
        <w:rPr>
          <w:rFonts w:asciiTheme="minorHAnsi" w:hAnsiTheme="minorHAnsi"/>
        </w:rPr>
        <w:t xml:space="preserve"> data. </w:t>
      </w:r>
      <w:proofErr w:type="spellStart"/>
      <w:proofErr w:type="gramStart"/>
      <w:r>
        <w:rPr>
          <w:rFonts w:asciiTheme="minorHAnsi" w:hAnsiTheme="minorHAnsi"/>
          <w:vertAlign w:val="superscript"/>
        </w:rPr>
        <w:t>c</w:t>
      </w:r>
      <w:r w:rsidRPr="00A73A83">
        <w:rPr>
          <w:rFonts w:asciiTheme="minorHAnsi" w:hAnsiTheme="minorHAnsi"/>
        </w:rPr>
        <w:t>Includes</w:t>
      </w:r>
      <w:proofErr w:type="spellEnd"/>
      <w:proofErr w:type="gramEnd"/>
      <w:r w:rsidRPr="00A73A83">
        <w:rPr>
          <w:rFonts w:asciiTheme="minorHAnsi" w:hAnsiTheme="minorHAnsi"/>
        </w:rPr>
        <w:t xml:space="preserve"> retrieved follow-up data. </w:t>
      </w:r>
      <w:proofErr w:type="spellStart"/>
      <w:proofErr w:type="gramStart"/>
      <w:r>
        <w:rPr>
          <w:rFonts w:asciiTheme="minorHAnsi" w:hAnsiTheme="minorHAnsi"/>
          <w:vertAlign w:val="superscript"/>
        </w:rPr>
        <w:t>d</w:t>
      </w:r>
      <w:r w:rsidRPr="00A73A83">
        <w:rPr>
          <w:rFonts w:asciiTheme="minorHAnsi" w:hAnsiTheme="minorHAnsi"/>
        </w:rPr>
        <w:t>Across</w:t>
      </w:r>
      <w:proofErr w:type="spellEnd"/>
      <w:proofErr w:type="gramEnd"/>
      <w:r w:rsidRPr="00A73A83">
        <w:rPr>
          <w:rFonts w:asciiTheme="minorHAnsi" w:hAnsiTheme="minorHAnsi"/>
        </w:rPr>
        <w:t xml:space="preserve"> the muscle groups that were non-missing/non-zero at baseline. </w:t>
      </w:r>
      <w:r>
        <w:t>SE, standard error;</w:t>
      </w:r>
      <w:r w:rsidRPr="00A73A83">
        <w:rPr>
          <w:rFonts w:asciiTheme="minorHAnsi" w:hAnsiTheme="minorHAnsi"/>
        </w:rPr>
        <w:t xml:space="preserve"> ALSFRS-R, Amyotrophic Lateral Sclerosis Functional Rating Scale-Revised</w:t>
      </w:r>
      <w:r>
        <w:rPr>
          <w:rFonts w:asciiTheme="minorHAnsi" w:hAnsiTheme="minorHAnsi"/>
        </w:rPr>
        <w:t>;</w:t>
      </w:r>
      <w:r w:rsidRPr="00A73A83">
        <w:rPr>
          <w:rFonts w:asciiTheme="minorHAnsi" w:hAnsiTheme="minorHAnsi"/>
        </w:rPr>
        <w:t xml:space="preserve"> CI, confidence interval; HHD, Hand Held Dynamometry; ITT, intent-to-treat; SVC, slow vital capacity.</w:t>
      </w:r>
    </w:p>
    <w:p w:rsidR="00432DEF" w:rsidRPr="005345A6" w:rsidRDefault="00432DEF" w:rsidP="00F91BAD">
      <w:pPr>
        <w:spacing w:line="360" w:lineRule="auto"/>
      </w:pPr>
    </w:p>
    <w:p w:rsidR="00432DEF" w:rsidRPr="005345A6" w:rsidRDefault="00432DEF" w:rsidP="00F91BAD">
      <w:pPr>
        <w:spacing w:line="360" w:lineRule="auto"/>
        <w:rPr>
          <w:b/>
          <w:sz w:val="24"/>
        </w:rPr>
      </w:pPr>
      <w:r w:rsidRPr="005345A6">
        <w:rPr>
          <w:b/>
          <w:sz w:val="24"/>
        </w:rPr>
        <w:br w:type="page"/>
      </w:r>
    </w:p>
    <w:p w:rsidR="00432DEF" w:rsidRPr="005345A6" w:rsidRDefault="00432DEF" w:rsidP="00FD4D14">
      <w:pPr>
        <w:spacing w:line="360" w:lineRule="auto"/>
        <w:outlineLvl w:val="0"/>
        <w:rPr>
          <w:b/>
        </w:rPr>
      </w:pPr>
      <w:r w:rsidRPr="005345A6">
        <w:rPr>
          <w:b/>
        </w:rPr>
        <w:lastRenderedPageBreak/>
        <w:t>Table 3</w:t>
      </w:r>
      <w:r w:rsidR="00F96027">
        <w:rPr>
          <w:b/>
        </w:rPr>
        <w:t>:</w:t>
      </w:r>
      <w:r w:rsidRPr="005345A6">
        <w:rPr>
          <w:b/>
        </w:rPr>
        <w:t xml:space="preserve"> Summary of </w:t>
      </w:r>
      <w:r w:rsidR="00064B7F">
        <w:rPr>
          <w:b/>
        </w:rPr>
        <w:t>AE</w:t>
      </w:r>
      <w:r w:rsidRPr="005345A6">
        <w:rPr>
          <w:b/>
        </w:rPr>
        <w:t>s (any time during on-treatment or follow</w:t>
      </w:r>
      <w:r w:rsidR="00236042">
        <w:rPr>
          <w:b/>
        </w:rPr>
        <w:t>-</w:t>
      </w:r>
      <w:r w:rsidRPr="005345A6">
        <w:rPr>
          <w:b/>
        </w:rPr>
        <w:t xml:space="preserve">up phase, safety population) </w:t>
      </w:r>
    </w:p>
    <w:tbl>
      <w:tblPr>
        <w:tblStyle w:val="TableGrid"/>
        <w:tblW w:w="0" w:type="auto"/>
        <w:tblLook w:val="04A0" w:firstRow="1" w:lastRow="0" w:firstColumn="1" w:lastColumn="0" w:noHBand="0" w:noVBand="1"/>
      </w:tblPr>
      <w:tblGrid>
        <w:gridCol w:w="3005"/>
        <w:gridCol w:w="3005"/>
        <w:gridCol w:w="3006"/>
      </w:tblGrid>
      <w:tr w:rsidR="002206ED" w:rsidRPr="005345A6" w:rsidTr="00786B53">
        <w:tc>
          <w:tcPr>
            <w:tcW w:w="3005" w:type="dxa"/>
          </w:tcPr>
          <w:p w:rsidR="002206ED" w:rsidRPr="005345A6" w:rsidRDefault="002206ED" w:rsidP="00F91BAD">
            <w:pPr>
              <w:spacing w:line="360" w:lineRule="auto"/>
              <w:rPr>
                <w:b/>
              </w:rPr>
            </w:pPr>
          </w:p>
        </w:tc>
        <w:tc>
          <w:tcPr>
            <w:tcW w:w="3005" w:type="dxa"/>
            <w:vAlign w:val="center"/>
          </w:tcPr>
          <w:p w:rsidR="002206ED" w:rsidRPr="005345A6" w:rsidRDefault="002206ED" w:rsidP="00F91BAD">
            <w:pPr>
              <w:spacing w:line="360" w:lineRule="auto"/>
              <w:jc w:val="center"/>
              <w:rPr>
                <w:b/>
              </w:rPr>
            </w:pPr>
            <w:r w:rsidRPr="005345A6">
              <w:rPr>
                <w:b/>
              </w:rPr>
              <w:t>Placebo (N=151)</w:t>
            </w:r>
          </w:p>
        </w:tc>
        <w:tc>
          <w:tcPr>
            <w:tcW w:w="3006" w:type="dxa"/>
            <w:vAlign w:val="center"/>
          </w:tcPr>
          <w:p w:rsidR="002206ED" w:rsidRPr="005345A6" w:rsidRDefault="002206ED" w:rsidP="00F91BAD">
            <w:pPr>
              <w:spacing w:line="360" w:lineRule="auto"/>
              <w:jc w:val="center"/>
              <w:rPr>
                <w:b/>
              </w:rPr>
            </w:pPr>
            <w:r w:rsidRPr="005345A6">
              <w:rPr>
                <w:b/>
              </w:rPr>
              <w:t>Ozanezumab</w:t>
            </w:r>
            <w:r w:rsidR="001A1FAD" w:rsidRPr="005345A6">
              <w:rPr>
                <w:b/>
              </w:rPr>
              <w:t xml:space="preserve"> (N=152)</w:t>
            </w:r>
          </w:p>
        </w:tc>
      </w:tr>
      <w:tr w:rsidR="002206ED" w:rsidRPr="005345A6" w:rsidTr="00786B53">
        <w:tc>
          <w:tcPr>
            <w:tcW w:w="3005" w:type="dxa"/>
          </w:tcPr>
          <w:p w:rsidR="002206ED" w:rsidRPr="005345A6" w:rsidRDefault="001A1FAD">
            <w:pPr>
              <w:spacing w:line="360" w:lineRule="auto"/>
            </w:pPr>
            <w:r w:rsidRPr="005345A6">
              <w:t xml:space="preserve">All </w:t>
            </w:r>
            <w:r w:rsidR="00064B7F">
              <w:t>AE</w:t>
            </w:r>
            <w:r w:rsidRPr="005345A6">
              <w:t>s</w:t>
            </w:r>
          </w:p>
        </w:tc>
        <w:tc>
          <w:tcPr>
            <w:tcW w:w="3005" w:type="dxa"/>
            <w:vAlign w:val="center"/>
          </w:tcPr>
          <w:p w:rsidR="002206ED" w:rsidRPr="005345A6" w:rsidRDefault="00E9241B" w:rsidP="00F91BAD">
            <w:pPr>
              <w:spacing w:line="360" w:lineRule="auto"/>
              <w:jc w:val="center"/>
            </w:pPr>
            <w:r w:rsidRPr="005345A6">
              <w:t>139 (92)</w:t>
            </w:r>
          </w:p>
        </w:tc>
        <w:tc>
          <w:tcPr>
            <w:tcW w:w="3006" w:type="dxa"/>
            <w:vAlign w:val="center"/>
          </w:tcPr>
          <w:p w:rsidR="002206ED" w:rsidRPr="005345A6" w:rsidRDefault="00A25707" w:rsidP="00F91BAD">
            <w:pPr>
              <w:spacing w:line="360" w:lineRule="auto"/>
              <w:jc w:val="center"/>
            </w:pPr>
            <w:r w:rsidRPr="005345A6">
              <w:t>140 (92)</w:t>
            </w:r>
          </w:p>
        </w:tc>
      </w:tr>
      <w:tr w:rsidR="002206ED" w:rsidRPr="005345A6" w:rsidTr="00786B53">
        <w:tc>
          <w:tcPr>
            <w:tcW w:w="3005" w:type="dxa"/>
          </w:tcPr>
          <w:p w:rsidR="002206ED" w:rsidRPr="005345A6" w:rsidRDefault="004823BB">
            <w:pPr>
              <w:spacing w:line="360" w:lineRule="auto"/>
            </w:pPr>
            <w:r w:rsidRPr="005345A6">
              <w:t>S</w:t>
            </w:r>
            <w:r w:rsidR="00064B7F">
              <w:t>AE</w:t>
            </w:r>
            <w:r w:rsidRPr="005345A6">
              <w:t>s</w:t>
            </w:r>
          </w:p>
        </w:tc>
        <w:tc>
          <w:tcPr>
            <w:tcW w:w="3005" w:type="dxa"/>
            <w:vAlign w:val="center"/>
          </w:tcPr>
          <w:p w:rsidR="002206ED" w:rsidRPr="005345A6" w:rsidRDefault="009D3BAA" w:rsidP="00F91BAD">
            <w:pPr>
              <w:spacing w:line="360" w:lineRule="auto"/>
              <w:jc w:val="center"/>
            </w:pPr>
            <w:r w:rsidRPr="005345A6">
              <w:t>46 (30)</w:t>
            </w:r>
          </w:p>
        </w:tc>
        <w:tc>
          <w:tcPr>
            <w:tcW w:w="3006" w:type="dxa"/>
            <w:vAlign w:val="center"/>
          </w:tcPr>
          <w:p w:rsidR="002206ED" w:rsidRPr="005345A6" w:rsidRDefault="009D3BAA" w:rsidP="00F91BAD">
            <w:pPr>
              <w:spacing w:line="360" w:lineRule="auto"/>
              <w:jc w:val="center"/>
            </w:pPr>
            <w:r w:rsidRPr="005345A6">
              <w:t>47 (31)</w:t>
            </w:r>
          </w:p>
        </w:tc>
      </w:tr>
      <w:tr w:rsidR="002206ED" w:rsidRPr="005345A6" w:rsidTr="00786B53">
        <w:tc>
          <w:tcPr>
            <w:tcW w:w="3005" w:type="dxa"/>
          </w:tcPr>
          <w:p w:rsidR="002206ED" w:rsidRPr="00AA366F" w:rsidRDefault="00AA366F" w:rsidP="00F91BAD">
            <w:pPr>
              <w:spacing w:line="360" w:lineRule="auto"/>
            </w:pPr>
            <w:r>
              <w:t>Fatalities</w:t>
            </w:r>
          </w:p>
          <w:p w:rsidR="00744C83" w:rsidRDefault="00AA366F" w:rsidP="00F91BAD">
            <w:pPr>
              <w:spacing w:line="360" w:lineRule="auto"/>
              <w:jc w:val="right"/>
            </w:pPr>
            <w:r>
              <w:t xml:space="preserve">Any time after </w:t>
            </w:r>
            <w:proofErr w:type="spellStart"/>
            <w:r>
              <w:t>randomisation</w:t>
            </w:r>
            <w:r w:rsidRPr="00182622">
              <w:rPr>
                <w:vertAlign w:val="superscript"/>
              </w:rPr>
              <w:t>a</w:t>
            </w:r>
            <w:proofErr w:type="spellEnd"/>
          </w:p>
          <w:p w:rsidR="00744C83" w:rsidRPr="00744C83" w:rsidRDefault="00AA366F" w:rsidP="00F91BAD">
            <w:pPr>
              <w:spacing w:line="360" w:lineRule="auto"/>
              <w:jc w:val="right"/>
            </w:pPr>
            <w:r>
              <w:t>During study period</w:t>
            </w:r>
          </w:p>
        </w:tc>
        <w:tc>
          <w:tcPr>
            <w:tcW w:w="3005" w:type="dxa"/>
            <w:vAlign w:val="center"/>
          </w:tcPr>
          <w:p w:rsidR="00AA366F" w:rsidRDefault="00AA366F" w:rsidP="00F91BAD">
            <w:pPr>
              <w:spacing w:line="360" w:lineRule="auto"/>
              <w:jc w:val="center"/>
            </w:pPr>
          </w:p>
          <w:p w:rsidR="00AA366F" w:rsidRDefault="00AA366F" w:rsidP="00F91BAD">
            <w:pPr>
              <w:spacing w:line="360" w:lineRule="auto"/>
              <w:jc w:val="center"/>
            </w:pPr>
            <w:r>
              <w:t>16 (11)</w:t>
            </w:r>
          </w:p>
          <w:p w:rsidR="002206ED" w:rsidRPr="005345A6" w:rsidRDefault="009D3BAA" w:rsidP="00F91BAD">
            <w:pPr>
              <w:spacing w:line="360" w:lineRule="auto"/>
              <w:jc w:val="center"/>
            </w:pPr>
            <w:r w:rsidRPr="005345A6">
              <w:t>13 (9)</w:t>
            </w:r>
          </w:p>
        </w:tc>
        <w:tc>
          <w:tcPr>
            <w:tcW w:w="3006" w:type="dxa"/>
            <w:vAlign w:val="center"/>
          </w:tcPr>
          <w:p w:rsidR="00AA366F" w:rsidRDefault="00AA366F" w:rsidP="00F91BAD">
            <w:pPr>
              <w:spacing w:line="360" w:lineRule="auto"/>
              <w:jc w:val="center"/>
            </w:pPr>
          </w:p>
          <w:p w:rsidR="00AA366F" w:rsidRDefault="00AA366F" w:rsidP="00F91BAD">
            <w:pPr>
              <w:spacing w:line="360" w:lineRule="auto"/>
              <w:jc w:val="center"/>
            </w:pPr>
            <w:r>
              <w:t>20 (13)</w:t>
            </w:r>
          </w:p>
          <w:p w:rsidR="002206ED" w:rsidRPr="005345A6" w:rsidRDefault="009D3BAA" w:rsidP="00F91BAD">
            <w:pPr>
              <w:spacing w:line="360" w:lineRule="auto"/>
              <w:jc w:val="center"/>
            </w:pPr>
            <w:r w:rsidRPr="005345A6">
              <w:t>18 (12)</w:t>
            </w:r>
          </w:p>
        </w:tc>
      </w:tr>
      <w:tr w:rsidR="009D3BAA" w:rsidRPr="005345A6" w:rsidTr="00786B53">
        <w:tc>
          <w:tcPr>
            <w:tcW w:w="3005" w:type="dxa"/>
          </w:tcPr>
          <w:p w:rsidR="009D3BAA" w:rsidRPr="005345A6" w:rsidRDefault="009D3BAA">
            <w:pPr>
              <w:spacing w:line="360" w:lineRule="auto"/>
            </w:pPr>
            <w:r w:rsidRPr="005345A6">
              <w:t xml:space="preserve">Drug-related </w:t>
            </w:r>
            <w:r w:rsidR="00064B7F">
              <w:t>SAE</w:t>
            </w:r>
            <w:r w:rsidRPr="005345A6">
              <w:t>s</w:t>
            </w:r>
          </w:p>
        </w:tc>
        <w:tc>
          <w:tcPr>
            <w:tcW w:w="3005" w:type="dxa"/>
            <w:vAlign w:val="center"/>
          </w:tcPr>
          <w:p w:rsidR="009D3BAA" w:rsidRPr="005345A6" w:rsidRDefault="009D3BAA" w:rsidP="00F91BAD">
            <w:pPr>
              <w:spacing w:line="360" w:lineRule="auto"/>
              <w:jc w:val="center"/>
            </w:pPr>
            <w:r w:rsidRPr="005345A6">
              <w:t>3 (2)</w:t>
            </w:r>
          </w:p>
        </w:tc>
        <w:tc>
          <w:tcPr>
            <w:tcW w:w="3006" w:type="dxa"/>
            <w:vAlign w:val="center"/>
          </w:tcPr>
          <w:p w:rsidR="009D3BAA" w:rsidRPr="005345A6" w:rsidRDefault="009D3BAA" w:rsidP="00F91BAD">
            <w:pPr>
              <w:spacing w:line="360" w:lineRule="auto"/>
              <w:jc w:val="center"/>
            </w:pPr>
            <w:r w:rsidRPr="005345A6">
              <w:t>3 (2)</w:t>
            </w:r>
          </w:p>
        </w:tc>
      </w:tr>
      <w:tr w:rsidR="002206ED" w:rsidRPr="005345A6" w:rsidTr="00786B53">
        <w:tc>
          <w:tcPr>
            <w:tcW w:w="3005" w:type="dxa"/>
          </w:tcPr>
          <w:p w:rsidR="002206ED" w:rsidRPr="005345A6" w:rsidRDefault="004823BB" w:rsidP="00F91BAD">
            <w:pPr>
              <w:spacing w:line="360" w:lineRule="auto"/>
            </w:pPr>
            <w:r w:rsidRPr="005345A6">
              <w:t>Adverse events leading to permanent discontinuation of study drug or withdrawal from study</w:t>
            </w:r>
          </w:p>
        </w:tc>
        <w:tc>
          <w:tcPr>
            <w:tcW w:w="3005" w:type="dxa"/>
            <w:vAlign w:val="center"/>
          </w:tcPr>
          <w:p w:rsidR="002206ED" w:rsidRPr="005345A6" w:rsidRDefault="009D3BAA" w:rsidP="00F91BAD">
            <w:pPr>
              <w:spacing w:line="360" w:lineRule="auto"/>
              <w:jc w:val="center"/>
            </w:pPr>
            <w:r w:rsidRPr="005345A6">
              <w:t>18 (12)</w:t>
            </w:r>
          </w:p>
        </w:tc>
        <w:tc>
          <w:tcPr>
            <w:tcW w:w="3006" w:type="dxa"/>
            <w:vAlign w:val="center"/>
          </w:tcPr>
          <w:p w:rsidR="002206ED" w:rsidRPr="005345A6" w:rsidRDefault="009D3BAA" w:rsidP="00F91BAD">
            <w:pPr>
              <w:spacing w:line="360" w:lineRule="auto"/>
              <w:jc w:val="center"/>
            </w:pPr>
            <w:r w:rsidRPr="005345A6">
              <w:t>19 (13)</w:t>
            </w:r>
          </w:p>
        </w:tc>
      </w:tr>
    </w:tbl>
    <w:p w:rsidR="0035161D" w:rsidRDefault="002A6ADC" w:rsidP="00F91BAD">
      <w:pPr>
        <w:autoSpaceDE w:val="0"/>
        <w:autoSpaceDN w:val="0"/>
        <w:adjustRightInd w:val="0"/>
        <w:spacing w:line="360" w:lineRule="auto"/>
        <w:rPr>
          <w:rFonts w:asciiTheme="minorHAnsi" w:hAnsiTheme="minorHAnsi" w:cs="ArialNarrow"/>
        </w:rPr>
      </w:pPr>
      <w:r w:rsidRPr="00182622">
        <w:rPr>
          <w:rFonts w:asciiTheme="minorHAnsi" w:hAnsiTheme="minorHAnsi" w:cs="ArialNarrow"/>
        </w:rPr>
        <w:t xml:space="preserve">Data are n (%). </w:t>
      </w:r>
      <w:proofErr w:type="spellStart"/>
      <w:r w:rsidRPr="00182622">
        <w:rPr>
          <w:rFonts w:asciiTheme="minorHAnsi" w:hAnsiTheme="minorHAnsi" w:cs="ArialNarrow"/>
          <w:vertAlign w:val="superscript"/>
        </w:rPr>
        <w:t>a</w:t>
      </w:r>
      <w:r w:rsidRPr="00182622">
        <w:rPr>
          <w:rFonts w:asciiTheme="minorHAnsi" w:hAnsiTheme="minorHAnsi" w:cs="ArialNarrow"/>
        </w:rPr>
        <w:t>The</w:t>
      </w:r>
      <w:proofErr w:type="spellEnd"/>
      <w:r w:rsidRPr="00182622">
        <w:rPr>
          <w:rFonts w:asciiTheme="minorHAnsi" w:hAnsiTheme="minorHAnsi" w:cs="ArialNarrow"/>
        </w:rPr>
        <w:t xml:space="preserve"> investigators notified the study team of five additional deaths outside the protocol specified SAE collecting timeframe. </w:t>
      </w:r>
      <w:r w:rsidRPr="00F345BB">
        <w:rPr>
          <w:rFonts w:asciiTheme="minorHAnsi" w:hAnsiTheme="minorHAnsi" w:cs="ArialNarrow"/>
        </w:rPr>
        <w:t xml:space="preserve">No </w:t>
      </w:r>
      <w:r w:rsidR="00050FB5" w:rsidRPr="00F345BB">
        <w:rPr>
          <w:rFonts w:asciiTheme="minorHAnsi" w:hAnsiTheme="minorHAnsi" w:cs="ArialNarrow"/>
        </w:rPr>
        <w:t>SAEs</w:t>
      </w:r>
      <w:r w:rsidRPr="00F345BB">
        <w:rPr>
          <w:rFonts w:asciiTheme="minorHAnsi" w:hAnsiTheme="minorHAnsi" w:cs="ArialNarrow"/>
        </w:rPr>
        <w:t xml:space="preserve"> were reported in any of these five fatal cases.</w:t>
      </w:r>
    </w:p>
    <w:p w:rsidR="00064B7F" w:rsidRDefault="00064B7F" w:rsidP="00F91BAD">
      <w:pPr>
        <w:autoSpaceDE w:val="0"/>
        <w:autoSpaceDN w:val="0"/>
        <w:adjustRightInd w:val="0"/>
        <w:spacing w:line="360" w:lineRule="auto"/>
        <w:rPr>
          <w:rFonts w:asciiTheme="minorHAnsi" w:hAnsiTheme="minorHAnsi" w:cs="ArialNarrow"/>
        </w:rPr>
      </w:pPr>
      <w:r>
        <w:rPr>
          <w:rFonts w:asciiTheme="minorHAnsi" w:hAnsiTheme="minorHAnsi" w:cs="ArialNarrow"/>
        </w:rPr>
        <w:t>AE, adverse events; SAE, serious AEs.</w:t>
      </w: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Default="0035161D" w:rsidP="00F91BAD">
      <w:pPr>
        <w:autoSpaceDE w:val="0"/>
        <w:autoSpaceDN w:val="0"/>
        <w:adjustRightInd w:val="0"/>
        <w:spacing w:line="360" w:lineRule="auto"/>
        <w:rPr>
          <w:rFonts w:asciiTheme="minorHAnsi" w:hAnsiTheme="minorHAnsi" w:cs="ArialNarrow"/>
        </w:rPr>
      </w:pPr>
    </w:p>
    <w:p w:rsidR="0035161D" w:rsidRPr="00182622" w:rsidRDefault="0035161D" w:rsidP="00F91BAD">
      <w:pPr>
        <w:autoSpaceDE w:val="0"/>
        <w:autoSpaceDN w:val="0"/>
        <w:adjustRightInd w:val="0"/>
        <w:spacing w:line="360" w:lineRule="auto"/>
        <w:rPr>
          <w:rFonts w:asciiTheme="minorHAnsi" w:hAnsiTheme="minorHAnsi"/>
          <w:b/>
        </w:rPr>
      </w:pPr>
    </w:p>
    <w:p w:rsidR="0030715B" w:rsidRPr="00541560" w:rsidRDefault="0030715B" w:rsidP="00F91BAD">
      <w:pPr>
        <w:autoSpaceDE w:val="0"/>
        <w:autoSpaceDN w:val="0"/>
        <w:adjustRightInd w:val="0"/>
        <w:spacing w:line="360" w:lineRule="auto"/>
        <w:rPr>
          <w:bCs/>
        </w:rPr>
      </w:pPr>
    </w:p>
    <w:p w:rsidR="00F74262" w:rsidRDefault="00F74262">
      <w:pPr>
        <w:rPr>
          <w:b/>
          <w:noProof/>
          <w:szCs w:val="22"/>
        </w:rPr>
      </w:pPr>
      <w:r>
        <w:rPr>
          <w:b/>
          <w:noProof/>
          <w:szCs w:val="22"/>
        </w:rPr>
        <w:br w:type="page"/>
      </w:r>
    </w:p>
    <w:p w:rsidR="0055412E" w:rsidRDefault="00ED0D40" w:rsidP="00FD4D14">
      <w:pPr>
        <w:spacing w:line="360" w:lineRule="auto"/>
        <w:outlineLvl w:val="0"/>
        <w:rPr>
          <w:b/>
          <w:noProof/>
          <w:szCs w:val="22"/>
        </w:rPr>
      </w:pPr>
      <w:r w:rsidRPr="005345A6">
        <w:rPr>
          <w:b/>
          <w:noProof/>
          <w:szCs w:val="22"/>
        </w:rPr>
        <w:lastRenderedPageBreak/>
        <w:t>REFERENCES</w:t>
      </w:r>
    </w:p>
    <w:p w:rsidR="00D04861" w:rsidRPr="00506D26" w:rsidRDefault="00D04861" w:rsidP="00D04861">
      <w:pPr>
        <w:pStyle w:val="ListParagraph"/>
        <w:numPr>
          <w:ilvl w:val="0"/>
          <w:numId w:val="42"/>
        </w:numPr>
        <w:spacing w:line="360" w:lineRule="auto"/>
        <w:ind w:left="567" w:hanging="567"/>
        <w:rPr>
          <w:noProof/>
          <w:sz w:val="20"/>
        </w:rPr>
      </w:pPr>
      <w:bookmarkStart w:id="1" w:name="_ENREF_3"/>
      <w:r w:rsidRPr="00506D26">
        <w:rPr>
          <w:noProof/>
          <w:sz w:val="20"/>
        </w:rPr>
        <w:t xml:space="preserve">Robberecht W, Philips T. The changing scene of amyotrophic lateral sclerosis. </w:t>
      </w:r>
      <w:r w:rsidRPr="00506D26">
        <w:rPr>
          <w:i/>
          <w:noProof/>
          <w:sz w:val="20"/>
        </w:rPr>
        <w:t>Nat Rev Neurosci</w:t>
      </w:r>
      <w:r w:rsidRPr="00506D26">
        <w:rPr>
          <w:noProof/>
          <w:sz w:val="20"/>
        </w:rPr>
        <w:t xml:space="preserve"> 2013; </w:t>
      </w:r>
      <w:r w:rsidRPr="00506D26">
        <w:rPr>
          <w:b/>
          <w:noProof/>
          <w:sz w:val="20"/>
        </w:rPr>
        <w:t>14</w:t>
      </w:r>
      <w:r w:rsidRPr="00506D26">
        <w:rPr>
          <w:noProof/>
          <w:sz w:val="20"/>
        </w:rPr>
        <w:t>(4): 248-64.</w:t>
      </w:r>
    </w:p>
    <w:p w:rsidR="00D04861" w:rsidRPr="00506D26" w:rsidRDefault="00D04861" w:rsidP="00D04861">
      <w:pPr>
        <w:pStyle w:val="ListParagraph"/>
        <w:numPr>
          <w:ilvl w:val="0"/>
          <w:numId w:val="42"/>
        </w:numPr>
        <w:spacing w:line="360" w:lineRule="auto"/>
        <w:ind w:left="567" w:hanging="567"/>
        <w:rPr>
          <w:noProof/>
          <w:sz w:val="20"/>
        </w:rPr>
      </w:pPr>
      <w:r w:rsidRPr="00506D26">
        <w:rPr>
          <w:noProof/>
          <w:sz w:val="20"/>
        </w:rPr>
        <w:t xml:space="preserve">Kiernan MC, Vucic S, Cheah BC, Turner MR, Eisen A, Hardiman O, et al. Amyotrophic lateral sclerosis. </w:t>
      </w:r>
      <w:r w:rsidRPr="00506D26">
        <w:rPr>
          <w:i/>
          <w:noProof/>
          <w:sz w:val="20"/>
        </w:rPr>
        <w:t xml:space="preserve">Lancet </w:t>
      </w:r>
      <w:r w:rsidRPr="00506D26">
        <w:rPr>
          <w:noProof/>
          <w:sz w:val="20"/>
        </w:rPr>
        <w:t xml:space="preserve">2011; </w:t>
      </w:r>
      <w:r w:rsidRPr="00506D26">
        <w:rPr>
          <w:b/>
          <w:noProof/>
          <w:sz w:val="20"/>
        </w:rPr>
        <w:t>377</w:t>
      </w:r>
      <w:r w:rsidRPr="00506D26">
        <w:rPr>
          <w:noProof/>
          <w:sz w:val="20"/>
        </w:rPr>
        <w:t>(9769): 942-55.</w:t>
      </w:r>
    </w:p>
    <w:p w:rsidR="00D04861" w:rsidRPr="00506D26" w:rsidRDefault="00D04861" w:rsidP="00D04861">
      <w:pPr>
        <w:pStyle w:val="ListParagraph"/>
        <w:numPr>
          <w:ilvl w:val="0"/>
          <w:numId w:val="42"/>
        </w:numPr>
        <w:spacing w:line="360" w:lineRule="auto"/>
        <w:ind w:left="567" w:hanging="567"/>
        <w:rPr>
          <w:noProof/>
          <w:sz w:val="20"/>
        </w:rPr>
      </w:pPr>
      <w:r w:rsidRPr="00506D26">
        <w:rPr>
          <w:noProof/>
          <w:sz w:val="20"/>
        </w:rPr>
        <w:t>Talbot K. Motor neuron disease: the bare essentials.</w:t>
      </w:r>
      <w:r w:rsidRPr="00506D26">
        <w:rPr>
          <w:i/>
          <w:noProof/>
          <w:sz w:val="20"/>
        </w:rPr>
        <w:t xml:space="preserve"> Pract Neurol </w:t>
      </w:r>
      <w:r w:rsidRPr="00506D26">
        <w:rPr>
          <w:noProof/>
          <w:sz w:val="20"/>
        </w:rPr>
        <w:t xml:space="preserve">2009; </w:t>
      </w:r>
      <w:r w:rsidRPr="00506D26">
        <w:rPr>
          <w:b/>
          <w:noProof/>
          <w:sz w:val="20"/>
        </w:rPr>
        <w:t>9</w:t>
      </w:r>
      <w:r w:rsidRPr="00506D26">
        <w:rPr>
          <w:noProof/>
          <w:sz w:val="20"/>
        </w:rPr>
        <w:t>(5): 303-9.</w:t>
      </w:r>
    </w:p>
    <w:p w:rsidR="00446DB6" w:rsidRPr="00506D26" w:rsidRDefault="00446DB6" w:rsidP="00446DB6">
      <w:pPr>
        <w:pStyle w:val="ListParagraph"/>
        <w:numPr>
          <w:ilvl w:val="0"/>
          <w:numId w:val="42"/>
        </w:numPr>
        <w:spacing w:line="360" w:lineRule="auto"/>
        <w:ind w:left="567" w:hanging="567"/>
        <w:rPr>
          <w:noProof/>
          <w:sz w:val="20"/>
        </w:rPr>
      </w:pPr>
      <w:r w:rsidRPr="00506D26">
        <w:rPr>
          <w:noProof/>
          <w:sz w:val="20"/>
        </w:rPr>
        <w:t xml:space="preserve">Miller RG, Mitchell JD, Moore DH. Riluzole for amyotrophic lateral sclerosis (ALS)/motor neuron disease (MND). </w:t>
      </w:r>
      <w:r w:rsidRPr="00506D26">
        <w:rPr>
          <w:i/>
          <w:noProof/>
          <w:sz w:val="20"/>
        </w:rPr>
        <w:t>Cochrane Database Syst Rev</w:t>
      </w:r>
      <w:r w:rsidRPr="00506D26">
        <w:rPr>
          <w:noProof/>
          <w:sz w:val="20"/>
        </w:rPr>
        <w:t xml:space="preserve"> 2012; </w:t>
      </w:r>
      <w:r w:rsidRPr="00506D26">
        <w:rPr>
          <w:b/>
          <w:noProof/>
          <w:sz w:val="20"/>
        </w:rPr>
        <w:t>3</w:t>
      </w:r>
      <w:r w:rsidRPr="00506D26">
        <w:rPr>
          <w:noProof/>
          <w:sz w:val="20"/>
        </w:rPr>
        <w:t>: CD001447.</w:t>
      </w:r>
    </w:p>
    <w:p w:rsidR="00446DB6" w:rsidRPr="00506D26" w:rsidRDefault="00446DB6" w:rsidP="00446DB6">
      <w:pPr>
        <w:pStyle w:val="ListParagraph"/>
        <w:numPr>
          <w:ilvl w:val="0"/>
          <w:numId w:val="42"/>
        </w:numPr>
        <w:spacing w:line="360" w:lineRule="auto"/>
        <w:ind w:left="567" w:hanging="567"/>
        <w:rPr>
          <w:noProof/>
          <w:sz w:val="20"/>
        </w:rPr>
      </w:pPr>
      <w:r w:rsidRPr="00506D26">
        <w:rPr>
          <w:noProof/>
          <w:sz w:val="20"/>
        </w:rPr>
        <w:t xml:space="preserve">Mitsumoto H, Brooks BR, Silani V. Clinical trials in amyotrophic lateral sclerosis: why so many negative trials and how can trials be improved? </w:t>
      </w:r>
      <w:r w:rsidRPr="00506D26">
        <w:rPr>
          <w:i/>
          <w:noProof/>
          <w:sz w:val="20"/>
        </w:rPr>
        <w:t>Lancet Neurol</w:t>
      </w:r>
      <w:r w:rsidRPr="00506D26">
        <w:rPr>
          <w:noProof/>
          <w:sz w:val="20"/>
        </w:rPr>
        <w:t xml:space="preserve"> 2014; </w:t>
      </w:r>
      <w:r w:rsidRPr="00506D26">
        <w:rPr>
          <w:b/>
          <w:noProof/>
          <w:sz w:val="20"/>
        </w:rPr>
        <w:t>13</w:t>
      </w:r>
      <w:r w:rsidRPr="00506D26">
        <w:rPr>
          <w:noProof/>
          <w:sz w:val="20"/>
        </w:rPr>
        <w:t>(11): 1127-38.</w:t>
      </w:r>
    </w:p>
    <w:p w:rsidR="00D04861" w:rsidRDefault="00446DB6" w:rsidP="000E44AD">
      <w:pPr>
        <w:pStyle w:val="ListParagraph"/>
        <w:numPr>
          <w:ilvl w:val="0"/>
          <w:numId w:val="42"/>
        </w:numPr>
        <w:spacing w:line="360" w:lineRule="auto"/>
        <w:ind w:left="567" w:hanging="567"/>
        <w:rPr>
          <w:noProof/>
          <w:sz w:val="20"/>
        </w:rPr>
      </w:pPr>
      <w:r w:rsidRPr="001C56FE">
        <w:rPr>
          <w:noProof/>
          <w:sz w:val="20"/>
        </w:rPr>
        <w:t xml:space="preserve">Dupuis L, Gonzalez de Aguilar JL, di Scala F, Rene F, de Tapia M, Pradat PF, et al. </w:t>
      </w:r>
      <w:r w:rsidRPr="00506D26">
        <w:rPr>
          <w:noProof/>
          <w:sz w:val="20"/>
        </w:rPr>
        <w:t xml:space="preserve">Nogo provides a molecular marker for diagnosis of amyotrophic lateral sclerosis. </w:t>
      </w:r>
      <w:r w:rsidRPr="00506D26">
        <w:rPr>
          <w:i/>
          <w:noProof/>
          <w:sz w:val="20"/>
        </w:rPr>
        <w:t>Neurobiol Dis</w:t>
      </w:r>
      <w:r w:rsidRPr="00506D26" w:rsidDel="002A51C1">
        <w:rPr>
          <w:i/>
          <w:noProof/>
          <w:sz w:val="20"/>
        </w:rPr>
        <w:t xml:space="preserve"> </w:t>
      </w:r>
      <w:r w:rsidRPr="00506D26">
        <w:rPr>
          <w:noProof/>
          <w:sz w:val="20"/>
        </w:rPr>
        <w:t xml:space="preserve">2002; </w:t>
      </w:r>
      <w:r w:rsidRPr="00506D26">
        <w:rPr>
          <w:b/>
          <w:noProof/>
          <w:sz w:val="20"/>
        </w:rPr>
        <w:t>10</w:t>
      </w:r>
      <w:r w:rsidRPr="00506D26">
        <w:rPr>
          <w:noProof/>
          <w:sz w:val="20"/>
        </w:rPr>
        <w:t>(3): 358-65.</w:t>
      </w:r>
    </w:p>
    <w:p w:rsidR="00446DB6" w:rsidRPr="00506D26" w:rsidRDefault="00446DB6" w:rsidP="00446DB6">
      <w:pPr>
        <w:pStyle w:val="ListParagraph"/>
        <w:numPr>
          <w:ilvl w:val="0"/>
          <w:numId w:val="42"/>
        </w:numPr>
        <w:spacing w:line="360" w:lineRule="auto"/>
        <w:ind w:left="567" w:hanging="567"/>
        <w:rPr>
          <w:noProof/>
          <w:sz w:val="20"/>
        </w:rPr>
      </w:pPr>
      <w:r w:rsidRPr="00506D26">
        <w:rPr>
          <w:noProof/>
          <w:sz w:val="20"/>
        </w:rPr>
        <w:t xml:space="preserve">Schwab ME. Functions of Nogo proteins and their receptors in the nervous system. </w:t>
      </w:r>
      <w:r w:rsidRPr="00506D26">
        <w:rPr>
          <w:i/>
          <w:noProof/>
          <w:sz w:val="20"/>
        </w:rPr>
        <w:t>Nat Rev Neurosci</w:t>
      </w:r>
      <w:r w:rsidRPr="00506D26">
        <w:rPr>
          <w:noProof/>
          <w:sz w:val="20"/>
        </w:rPr>
        <w:t xml:space="preserve"> 2010; </w:t>
      </w:r>
      <w:r w:rsidRPr="00506D26">
        <w:rPr>
          <w:b/>
          <w:noProof/>
          <w:sz w:val="20"/>
        </w:rPr>
        <w:t>11</w:t>
      </w:r>
      <w:r w:rsidRPr="00506D26">
        <w:rPr>
          <w:noProof/>
          <w:sz w:val="20"/>
        </w:rPr>
        <w:t>(12): 799-811.</w:t>
      </w:r>
    </w:p>
    <w:p w:rsidR="004E479E" w:rsidRDefault="004E479E" w:rsidP="000E44AD">
      <w:pPr>
        <w:pStyle w:val="ListParagraph"/>
        <w:numPr>
          <w:ilvl w:val="0"/>
          <w:numId w:val="42"/>
        </w:numPr>
        <w:spacing w:line="360" w:lineRule="auto"/>
        <w:ind w:left="567" w:hanging="567"/>
        <w:rPr>
          <w:noProof/>
          <w:sz w:val="20"/>
        </w:rPr>
      </w:pPr>
      <w:r w:rsidRPr="001C56FE">
        <w:rPr>
          <w:noProof/>
          <w:sz w:val="20"/>
        </w:rPr>
        <w:t xml:space="preserve">Jokic N, Gonzalez de Aguilar JL, Pradat PF, Dupuis L, Echaniz-Laguna A, Muller A, et al. </w:t>
      </w:r>
      <w:r w:rsidRPr="000E44AD">
        <w:rPr>
          <w:noProof/>
          <w:sz w:val="20"/>
        </w:rPr>
        <w:t xml:space="preserve">Nogo expression in muscle correlates with amyotrophic lateral sclerosis severity. </w:t>
      </w:r>
      <w:r w:rsidR="00A37DBF" w:rsidRPr="000E44AD">
        <w:rPr>
          <w:i/>
          <w:noProof/>
          <w:sz w:val="20"/>
        </w:rPr>
        <w:t>Ann Neurol</w:t>
      </w:r>
      <w:r w:rsidR="00A37DBF" w:rsidRPr="000E44AD">
        <w:rPr>
          <w:noProof/>
          <w:sz w:val="20"/>
        </w:rPr>
        <w:t xml:space="preserve"> </w:t>
      </w:r>
      <w:r w:rsidRPr="000E44AD">
        <w:rPr>
          <w:noProof/>
          <w:sz w:val="20"/>
        </w:rPr>
        <w:t xml:space="preserve">2005; </w:t>
      </w:r>
      <w:r w:rsidRPr="000E44AD">
        <w:rPr>
          <w:b/>
          <w:noProof/>
          <w:sz w:val="20"/>
        </w:rPr>
        <w:t>57</w:t>
      </w:r>
      <w:r w:rsidRPr="000E44AD">
        <w:rPr>
          <w:noProof/>
          <w:sz w:val="20"/>
        </w:rPr>
        <w:t>(4): 553-6.</w:t>
      </w:r>
      <w:bookmarkEnd w:id="1"/>
    </w:p>
    <w:p w:rsidR="0033046A" w:rsidRPr="00506D26" w:rsidRDefault="0033046A" w:rsidP="0033046A">
      <w:pPr>
        <w:pStyle w:val="ListParagraph"/>
        <w:numPr>
          <w:ilvl w:val="0"/>
          <w:numId w:val="42"/>
        </w:numPr>
        <w:spacing w:line="360" w:lineRule="auto"/>
        <w:ind w:left="567" w:hanging="567"/>
        <w:rPr>
          <w:noProof/>
          <w:sz w:val="20"/>
        </w:rPr>
      </w:pPr>
      <w:r w:rsidRPr="001C56FE">
        <w:rPr>
          <w:noProof/>
          <w:sz w:val="20"/>
        </w:rPr>
        <w:t xml:space="preserve">Bruneteau G, Bauche S, Gonzalez de Aguilar JL, Brochier G, Mandjee N, Tanguy ML, et al. </w:t>
      </w:r>
      <w:r w:rsidRPr="00506D26">
        <w:rPr>
          <w:noProof/>
          <w:sz w:val="20"/>
        </w:rPr>
        <w:t xml:space="preserve">Endplate denervation correlates with Nogo-A muscle expression in amyotrophic lateral sclerosis patients. </w:t>
      </w:r>
      <w:r w:rsidRPr="00506D26">
        <w:rPr>
          <w:i/>
          <w:noProof/>
          <w:sz w:val="20"/>
        </w:rPr>
        <w:t xml:space="preserve">Ann Clin Transl Neurol </w:t>
      </w:r>
      <w:r w:rsidRPr="00506D26">
        <w:rPr>
          <w:noProof/>
          <w:sz w:val="20"/>
        </w:rPr>
        <w:t xml:space="preserve">2015; </w:t>
      </w:r>
      <w:r w:rsidRPr="00506D26">
        <w:rPr>
          <w:b/>
          <w:noProof/>
          <w:sz w:val="20"/>
        </w:rPr>
        <w:t>2</w:t>
      </w:r>
      <w:r w:rsidRPr="00506D26">
        <w:rPr>
          <w:noProof/>
          <w:sz w:val="20"/>
        </w:rPr>
        <w:t>(4): 362-72.</w:t>
      </w:r>
    </w:p>
    <w:p w:rsidR="0033046A" w:rsidRPr="00506D26" w:rsidRDefault="0033046A" w:rsidP="0033046A">
      <w:pPr>
        <w:pStyle w:val="ListParagraph"/>
        <w:numPr>
          <w:ilvl w:val="0"/>
          <w:numId w:val="42"/>
        </w:numPr>
        <w:spacing w:line="360" w:lineRule="auto"/>
        <w:ind w:left="567" w:hanging="567"/>
        <w:rPr>
          <w:noProof/>
          <w:sz w:val="20"/>
        </w:rPr>
      </w:pPr>
      <w:r w:rsidRPr="00506D26">
        <w:rPr>
          <w:noProof/>
          <w:sz w:val="20"/>
        </w:rPr>
        <w:t xml:space="preserve">Bros-Facer V, Krull D, Taylor A, Dick JR, Bates SA, Cleveland MS, et al. Treatment with an antibody directed against Nogo-A delays disease progression in the SOD1G93A mouse model of Amyotrophic lateral sclerosis. </w:t>
      </w:r>
      <w:r w:rsidRPr="00506D26">
        <w:rPr>
          <w:i/>
          <w:noProof/>
          <w:sz w:val="20"/>
        </w:rPr>
        <w:t xml:space="preserve">Hum Mol Genet </w:t>
      </w:r>
      <w:r w:rsidRPr="00506D26">
        <w:rPr>
          <w:noProof/>
          <w:sz w:val="20"/>
        </w:rPr>
        <w:t xml:space="preserve">2014; </w:t>
      </w:r>
      <w:r w:rsidRPr="00506D26">
        <w:rPr>
          <w:b/>
          <w:noProof/>
          <w:sz w:val="20"/>
        </w:rPr>
        <w:t>23</w:t>
      </w:r>
      <w:r w:rsidRPr="00506D26">
        <w:rPr>
          <w:noProof/>
          <w:sz w:val="20"/>
        </w:rPr>
        <w:t>(16): 4187-200.</w:t>
      </w:r>
    </w:p>
    <w:p w:rsidR="0033046A" w:rsidRPr="00506D26" w:rsidRDefault="0033046A" w:rsidP="0033046A">
      <w:pPr>
        <w:pStyle w:val="ListParagraph"/>
        <w:numPr>
          <w:ilvl w:val="0"/>
          <w:numId w:val="42"/>
        </w:numPr>
        <w:spacing w:line="360" w:lineRule="auto"/>
        <w:ind w:left="567" w:hanging="567"/>
        <w:rPr>
          <w:noProof/>
          <w:sz w:val="20"/>
        </w:rPr>
      </w:pPr>
      <w:r w:rsidRPr="001C56FE">
        <w:rPr>
          <w:noProof/>
          <w:sz w:val="20"/>
        </w:rPr>
        <w:t xml:space="preserve">Jokic N, Gonzalez de Aguilar JL, Dimou L, Lin S, Fergani A, Ruegg MA, et al. </w:t>
      </w:r>
      <w:r w:rsidRPr="00506D26">
        <w:rPr>
          <w:noProof/>
          <w:sz w:val="20"/>
        </w:rPr>
        <w:t xml:space="preserve">The neurite outgrowth inhibitor Nogo-A promotes denervation in an amyotrophic lateral sclerosis model. </w:t>
      </w:r>
      <w:r w:rsidRPr="00506D26">
        <w:rPr>
          <w:i/>
          <w:noProof/>
          <w:sz w:val="20"/>
        </w:rPr>
        <w:t>EMBO Rep</w:t>
      </w:r>
      <w:r w:rsidRPr="00506D26">
        <w:rPr>
          <w:noProof/>
          <w:sz w:val="20"/>
        </w:rPr>
        <w:t xml:space="preserve"> 2006; </w:t>
      </w:r>
      <w:r w:rsidRPr="00506D26">
        <w:rPr>
          <w:b/>
          <w:noProof/>
          <w:sz w:val="20"/>
        </w:rPr>
        <w:t>7</w:t>
      </w:r>
      <w:r w:rsidRPr="00506D26">
        <w:rPr>
          <w:noProof/>
          <w:sz w:val="20"/>
        </w:rPr>
        <w:t>(11): 1162-7.</w:t>
      </w:r>
    </w:p>
    <w:p w:rsidR="009719B0" w:rsidRPr="00506D26" w:rsidRDefault="009719B0" w:rsidP="009719B0">
      <w:pPr>
        <w:pStyle w:val="ListParagraph"/>
        <w:numPr>
          <w:ilvl w:val="0"/>
          <w:numId w:val="42"/>
        </w:numPr>
        <w:spacing w:line="360" w:lineRule="auto"/>
        <w:ind w:left="567" w:hanging="567"/>
        <w:rPr>
          <w:noProof/>
          <w:sz w:val="20"/>
        </w:rPr>
      </w:pPr>
      <w:r w:rsidRPr="00506D26">
        <w:rPr>
          <w:noProof/>
          <w:sz w:val="20"/>
        </w:rPr>
        <w:t xml:space="preserve">Meininger V, Pradat PF, Corse A, Al-Sarraj S, Rix Brooks B, Caress JB, et al. Safety, pharmacokinetic, and functional effects of the nogo-a monoclonal antibody in amyotrophic lateral sclerosis: a randomized, first-in-human clinical trial. </w:t>
      </w:r>
      <w:r w:rsidRPr="00506D26">
        <w:rPr>
          <w:i/>
          <w:noProof/>
          <w:sz w:val="20"/>
        </w:rPr>
        <w:t>PLoS One</w:t>
      </w:r>
      <w:r w:rsidRPr="00506D26">
        <w:rPr>
          <w:noProof/>
          <w:sz w:val="20"/>
        </w:rPr>
        <w:t xml:space="preserve"> 2014; </w:t>
      </w:r>
      <w:r w:rsidRPr="00506D26">
        <w:rPr>
          <w:b/>
          <w:noProof/>
          <w:sz w:val="20"/>
        </w:rPr>
        <w:t>9</w:t>
      </w:r>
      <w:r w:rsidRPr="00506D26">
        <w:rPr>
          <w:noProof/>
          <w:sz w:val="20"/>
        </w:rPr>
        <w:t>(5): e97803.</w:t>
      </w:r>
    </w:p>
    <w:p w:rsidR="00335187" w:rsidRDefault="00335187" w:rsidP="00335187">
      <w:pPr>
        <w:pStyle w:val="ListParagraph"/>
        <w:numPr>
          <w:ilvl w:val="0"/>
          <w:numId w:val="42"/>
        </w:numPr>
        <w:spacing w:line="360" w:lineRule="auto"/>
        <w:ind w:left="567" w:hanging="567"/>
        <w:rPr>
          <w:noProof/>
          <w:sz w:val="20"/>
        </w:rPr>
      </w:pPr>
      <w:r w:rsidRPr="00506D26">
        <w:rPr>
          <w:noProof/>
          <w:sz w:val="20"/>
        </w:rPr>
        <w:t xml:space="preserve">Castrillo-Viguera C, Grasso DL, Simpson E, Shefner J, Cudkowicz ME. Clinical significance in the change of decline in ALSFRS-R. </w:t>
      </w:r>
      <w:r w:rsidRPr="00506D26">
        <w:rPr>
          <w:i/>
          <w:noProof/>
          <w:sz w:val="20"/>
        </w:rPr>
        <w:t>Amyotroph Lateral Scler</w:t>
      </w:r>
      <w:r w:rsidRPr="00506D26">
        <w:rPr>
          <w:noProof/>
          <w:sz w:val="20"/>
        </w:rPr>
        <w:t xml:space="preserve"> 2010; </w:t>
      </w:r>
      <w:r w:rsidRPr="00506D26">
        <w:rPr>
          <w:b/>
          <w:noProof/>
          <w:sz w:val="20"/>
        </w:rPr>
        <w:t>11</w:t>
      </w:r>
      <w:r w:rsidRPr="00506D26">
        <w:rPr>
          <w:noProof/>
          <w:sz w:val="20"/>
        </w:rPr>
        <w:t>(1-2): 178-80.</w:t>
      </w:r>
    </w:p>
    <w:p w:rsidR="00335187" w:rsidRPr="00CB2280" w:rsidRDefault="00335187" w:rsidP="00335187">
      <w:pPr>
        <w:pStyle w:val="ListParagraph"/>
        <w:numPr>
          <w:ilvl w:val="0"/>
          <w:numId w:val="42"/>
        </w:numPr>
        <w:spacing w:line="360" w:lineRule="auto"/>
        <w:ind w:left="567" w:hanging="567"/>
        <w:rPr>
          <w:noProof/>
          <w:sz w:val="20"/>
        </w:rPr>
      </w:pPr>
      <w:r w:rsidRPr="00506D26">
        <w:rPr>
          <w:noProof/>
          <w:sz w:val="20"/>
        </w:rPr>
        <w:t xml:space="preserve">Brooks BR, Miller RG, Swash M, Munsat TL. El Escorial revisited: revised criteria for the diagnosis of amyotrophic lateral sclerosis. </w:t>
      </w:r>
      <w:r w:rsidRPr="00506D26">
        <w:rPr>
          <w:i/>
          <w:noProof/>
          <w:sz w:val="20"/>
        </w:rPr>
        <w:t>Amyotroph Lateral Scler Other Motor Neuron</w:t>
      </w:r>
      <w:r w:rsidRPr="00506D26">
        <w:rPr>
          <w:noProof/>
          <w:sz w:val="20"/>
        </w:rPr>
        <w:t xml:space="preserve"> Disord</w:t>
      </w:r>
      <w:r w:rsidRPr="00506D26" w:rsidDel="007A7591">
        <w:rPr>
          <w:noProof/>
          <w:sz w:val="20"/>
        </w:rPr>
        <w:t xml:space="preserve"> </w:t>
      </w:r>
      <w:r w:rsidRPr="00506D26">
        <w:rPr>
          <w:noProof/>
          <w:sz w:val="20"/>
        </w:rPr>
        <w:t xml:space="preserve">2000; </w:t>
      </w:r>
      <w:r w:rsidRPr="00506D26">
        <w:rPr>
          <w:b/>
          <w:noProof/>
          <w:sz w:val="20"/>
        </w:rPr>
        <w:t>1</w:t>
      </w:r>
      <w:r w:rsidRPr="00506D26">
        <w:rPr>
          <w:noProof/>
          <w:sz w:val="20"/>
        </w:rPr>
        <w:t>(5): 293-9.</w:t>
      </w:r>
    </w:p>
    <w:p w:rsidR="009719B0" w:rsidRPr="00506D26" w:rsidRDefault="009719B0" w:rsidP="009719B0">
      <w:pPr>
        <w:pStyle w:val="ListParagraph"/>
        <w:numPr>
          <w:ilvl w:val="0"/>
          <w:numId w:val="42"/>
        </w:numPr>
        <w:spacing w:line="360" w:lineRule="auto"/>
        <w:ind w:left="567" w:hanging="567"/>
        <w:rPr>
          <w:noProof/>
          <w:sz w:val="20"/>
        </w:rPr>
      </w:pPr>
      <w:r w:rsidRPr="00506D26">
        <w:rPr>
          <w:noProof/>
          <w:sz w:val="20"/>
        </w:rPr>
        <w:t xml:space="preserve">Berges A, Bullman J, Bates S, Krull D, Williams N, Chen C. Ozanezumab dose selection for amyotrophic lateral sclerosis by pharmacokinetic-pharmacodynamic modelling of </w:t>
      </w:r>
      <w:r w:rsidRPr="00506D26">
        <w:rPr>
          <w:noProof/>
          <w:sz w:val="20"/>
        </w:rPr>
        <w:lastRenderedPageBreak/>
        <w:t xml:space="preserve">immunohistochemistry data from patient muscle biopsies. </w:t>
      </w:r>
      <w:r w:rsidRPr="00506D26">
        <w:rPr>
          <w:i/>
          <w:noProof/>
          <w:sz w:val="20"/>
        </w:rPr>
        <w:t>PLoS One</w:t>
      </w:r>
      <w:r w:rsidRPr="00506D26">
        <w:rPr>
          <w:noProof/>
          <w:sz w:val="20"/>
        </w:rPr>
        <w:t xml:space="preserve"> 2015; </w:t>
      </w:r>
      <w:r w:rsidRPr="00506D26">
        <w:rPr>
          <w:b/>
          <w:noProof/>
          <w:sz w:val="20"/>
        </w:rPr>
        <w:t>10</w:t>
      </w:r>
      <w:r w:rsidRPr="00506D26">
        <w:rPr>
          <w:noProof/>
          <w:sz w:val="20"/>
        </w:rPr>
        <w:t>(2): e0117355.</w:t>
      </w:r>
    </w:p>
    <w:p w:rsidR="009719B0" w:rsidRDefault="009719B0" w:rsidP="009719B0">
      <w:pPr>
        <w:pStyle w:val="ListParagraph"/>
        <w:numPr>
          <w:ilvl w:val="0"/>
          <w:numId w:val="42"/>
        </w:numPr>
        <w:spacing w:line="360" w:lineRule="auto"/>
        <w:ind w:left="567" w:hanging="567"/>
        <w:rPr>
          <w:noProof/>
          <w:sz w:val="20"/>
        </w:rPr>
      </w:pPr>
      <w:r w:rsidRPr="00506D26">
        <w:rPr>
          <w:noProof/>
          <w:sz w:val="20"/>
        </w:rPr>
        <w:t xml:space="preserve">Lynch AM, Cleveland M, Prinjha R, Kumar U, Wuerthner J. Non-clinical development of ozanezumab: a humanised antibody targeting the amino terminus of neurite outgrowth inhibitor A (Nogo-A). </w:t>
      </w:r>
      <w:r w:rsidRPr="00506D26">
        <w:rPr>
          <w:i/>
          <w:noProof/>
          <w:sz w:val="20"/>
        </w:rPr>
        <w:t>Toxicol Res</w:t>
      </w:r>
      <w:r w:rsidRPr="00506D26">
        <w:rPr>
          <w:noProof/>
          <w:sz w:val="20"/>
        </w:rPr>
        <w:t xml:space="preserve"> 2015; </w:t>
      </w:r>
      <w:r w:rsidRPr="00506D26">
        <w:rPr>
          <w:b/>
          <w:noProof/>
          <w:sz w:val="20"/>
        </w:rPr>
        <w:t>4</w:t>
      </w:r>
      <w:r w:rsidRPr="00506D26">
        <w:rPr>
          <w:noProof/>
          <w:sz w:val="20"/>
        </w:rPr>
        <w:t>: 1333–43.</w:t>
      </w:r>
    </w:p>
    <w:p w:rsidR="00335187" w:rsidRPr="00506D26" w:rsidRDefault="00335187" w:rsidP="00335187">
      <w:pPr>
        <w:pStyle w:val="ListParagraph"/>
        <w:numPr>
          <w:ilvl w:val="0"/>
          <w:numId w:val="42"/>
        </w:numPr>
        <w:spacing w:line="360" w:lineRule="auto"/>
        <w:ind w:left="567" w:hanging="567"/>
        <w:rPr>
          <w:noProof/>
          <w:sz w:val="20"/>
        </w:rPr>
      </w:pPr>
      <w:r w:rsidRPr="00506D26">
        <w:rPr>
          <w:noProof/>
          <w:sz w:val="20"/>
        </w:rPr>
        <w:t xml:space="preserve">Cudkowicz ME, van den Berg LH, Shefner JM, Mitsumoto H, Mora JS, Ludolph A, et al. Dexpramipexole versus placebo for patients with amyotrophic lateral sclerosis (EMPOWER): a randomised, double-blind, phase 3 trial. </w:t>
      </w:r>
      <w:r w:rsidRPr="00506D26">
        <w:rPr>
          <w:i/>
          <w:noProof/>
          <w:sz w:val="20"/>
        </w:rPr>
        <w:t>Lancet Neurol</w:t>
      </w:r>
      <w:r w:rsidRPr="00506D26">
        <w:rPr>
          <w:noProof/>
          <w:sz w:val="20"/>
        </w:rPr>
        <w:t xml:space="preserve"> 2013; </w:t>
      </w:r>
      <w:r w:rsidRPr="00506D26">
        <w:rPr>
          <w:b/>
          <w:noProof/>
          <w:sz w:val="20"/>
        </w:rPr>
        <w:t>12</w:t>
      </w:r>
      <w:r w:rsidRPr="00506D26">
        <w:rPr>
          <w:noProof/>
          <w:sz w:val="20"/>
        </w:rPr>
        <w:t>(11): 1059-67.</w:t>
      </w:r>
    </w:p>
    <w:p w:rsidR="00335187" w:rsidRPr="00506D26" w:rsidRDefault="00335187" w:rsidP="00335187">
      <w:pPr>
        <w:pStyle w:val="ListParagraph"/>
        <w:numPr>
          <w:ilvl w:val="0"/>
          <w:numId w:val="42"/>
        </w:numPr>
        <w:spacing w:line="360" w:lineRule="auto"/>
        <w:ind w:left="567" w:hanging="567"/>
        <w:rPr>
          <w:noProof/>
          <w:sz w:val="20"/>
        </w:rPr>
      </w:pPr>
      <w:r w:rsidRPr="00506D26">
        <w:rPr>
          <w:noProof/>
          <w:sz w:val="20"/>
        </w:rPr>
        <w:t xml:space="preserve">Berry JD, Miller R, Moore DH, Cudkowicz ME, van den Berg LH, Kerr DA, et al. The Combined Assessment of Function and Survival (CAFS): a new endpoint for ALS clinical trials. </w:t>
      </w:r>
      <w:r w:rsidRPr="00506D26">
        <w:rPr>
          <w:i/>
          <w:noProof/>
          <w:sz w:val="20"/>
        </w:rPr>
        <w:t>Amyotroph Lateral Scler Frontotemporal Degener</w:t>
      </w:r>
      <w:r w:rsidRPr="00506D26">
        <w:rPr>
          <w:noProof/>
          <w:sz w:val="20"/>
        </w:rPr>
        <w:t xml:space="preserve"> 2013; </w:t>
      </w:r>
      <w:r w:rsidRPr="00506D26">
        <w:rPr>
          <w:b/>
          <w:noProof/>
          <w:sz w:val="20"/>
        </w:rPr>
        <w:t>14</w:t>
      </w:r>
      <w:r w:rsidRPr="00506D26">
        <w:rPr>
          <w:noProof/>
          <w:sz w:val="20"/>
        </w:rPr>
        <w:t>(3): 162-8.</w:t>
      </w:r>
    </w:p>
    <w:p w:rsidR="000E44AD" w:rsidRPr="00506D26" w:rsidRDefault="00970EC7" w:rsidP="000E44AD">
      <w:pPr>
        <w:pStyle w:val="ListParagraph"/>
        <w:numPr>
          <w:ilvl w:val="0"/>
          <w:numId w:val="42"/>
        </w:numPr>
        <w:spacing w:line="360" w:lineRule="auto"/>
        <w:ind w:left="567" w:hanging="567"/>
        <w:rPr>
          <w:noProof/>
          <w:sz w:val="20"/>
        </w:rPr>
      </w:pPr>
      <w:r w:rsidRPr="001C56FE">
        <w:rPr>
          <w:noProof/>
          <w:sz w:val="20"/>
        </w:rPr>
        <w:t xml:space="preserve">Pradat PF, Bruneteau G, Gonzalez de Aguilar JL, Dupuis L, Jokic N, Salachas F, et al. </w:t>
      </w:r>
      <w:r w:rsidRPr="000E44AD">
        <w:rPr>
          <w:noProof/>
          <w:sz w:val="20"/>
        </w:rPr>
        <w:t xml:space="preserve">Muscle Nogo-A expression is a prognostic marker in lower motor neuron syndromes. </w:t>
      </w:r>
      <w:r w:rsidRPr="000E44AD">
        <w:rPr>
          <w:i/>
          <w:noProof/>
          <w:sz w:val="20"/>
        </w:rPr>
        <w:t>Ann Neurol</w:t>
      </w:r>
      <w:r w:rsidRPr="000E44AD">
        <w:rPr>
          <w:noProof/>
          <w:sz w:val="20"/>
        </w:rPr>
        <w:t xml:space="preserve"> 2007; </w:t>
      </w:r>
      <w:r w:rsidRPr="000E44AD">
        <w:rPr>
          <w:b/>
          <w:noProof/>
          <w:sz w:val="20"/>
        </w:rPr>
        <w:t>62</w:t>
      </w:r>
      <w:r w:rsidRPr="000E44AD">
        <w:rPr>
          <w:noProof/>
          <w:sz w:val="20"/>
        </w:rPr>
        <w:t>(1): 15-20.</w:t>
      </w:r>
      <w:r w:rsidR="000E44AD" w:rsidRPr="00506D26">
        <w:rPr>
          <w:noProof/>
          <w:sz w:val="20"/>
        </w:rPr>
        <w:t>Wojcik S, Engel WK, Askanas V</w:t>
      </w:r>
      <w:r w:rsidR="007B2CAC">
        <w:rPr>
          <w:noProof/>
          <w:sz w:val="20"/>
        </w:rPr>
        <w:t>.</w:t>
      </w:r>
      <w:r w:rsidR="000E44AD" w:rsidRPr="00506D26">
        <w:rPr>
          <w:noProof/>
          <w:sz w:val="20"/>
        </w:rPr>
        <w:t xml:space="preserve"> Increased expression of Nogo-A in ALS muscle biopsies is not unique for this disease. </w:t>
      </w:r>
      <w:r w:rsidR="000E44AD" w:rsidRPr="00506D26">
        <w:rPr>
          <w:i/>
          <w:noProof/>
          <w:sz w:val="20"/>
        </w:rPr>
        <w:t>Acta Myol</w:t>
      </w:r>
      <w:r w:rsidR="000E44AD" w:rsidRPr="00506D26">
        <w:rPr>
          <w:noProof/>
          <w:sz w:val="20"/>
        </w:rPr>
        <w:t xml:space="preserve"> </w:t>
      </w:r>
      <w:r w:rsidR="002663B6">
        <w:rPr>
          <w:noProof/>
          <w:sz w:val="20"/>
        </w:rPr>
        <w:t xml:space="preserve">2006; </w:t>
      </w:r>
      <w:r w:rsidR="000E44AD" w:rsidRPr="001D07FA">
        <w:rPr>
          <w:b/>
          <w:noProof/>
          <w:sz w:val="20"/>
        </w:rPr>
        <w:t>25</w:t>
      </w:r>
      <w:r w:rsidR="000E44AD" w:rsidRPr="00506D26">
        <w:rPr>
          <w:noProof/>
          <w:sz w:val="20"/>
        </w:rPr>
        <w:t>: 116</w:t>
      </w:r>
      <w:r w:rsidR="007B2CAC">
        <w:rPr>
          <w:noProof/>
          <w:sz w:val="20"/>
        </w:rPr>
        <w:t>-</w:t>
      </w:r>
      <w:r w:rsidR="000E44AD" w:rsidRPr="00506D26">
        <w:rPr>
          <w:noProof/>
          <w:sz w:val="20"/>
        </w:rPr>
        <w:t>8</w:t>
      </w:r>
      <w:r w:rsidR="000E44AD" w:rsidRPr="00506D26" w:rsidDel="000E44AD">
        <w:rPr>
          <w:noProof/>
          <w:sz w:val="20"/>
        </w:rPr>
        <w:t>.</w:t>
      </w:r>
    </w:p>
    <w:p w:rsidR="008412FF" w:rsidRPr="00506D26" w:rsidRDefault="008412FF" w:rsidP="008412FF">
      <w:pPr>
        <w:pStyle w:val="ListParagraph"/>
        <w:numPr>
          <w:ilvl w:val="0"/>
          <w:numId w:val="42"/>
        </w:numPr>
        <w:spacing w:line="360" w:lineRule="auto"/>
        <w:ind w:left="567" w:hanging="567"/>
        <w:rPr>
          <w:noProof/>
          <w:sz w:val="20"/>
        </w:rPr>
      </w:pPr>
      <w:r w:rsidRPr="00506D26">
        <w:rPr>
          <w:noProof/>
          <w:sz w:val="20"/>
        </w:rPr>
        <w:t xml:space="preserve">Askanas V, Wojcik S, Engel WK. Expression of Nogo-A in human muscle fibers is not specific for amyotrophic lateral sclerosis. </w:t>
      </w:r>
      <w:r w:rsidRPr="00506D26">
        <w:rPr>
          <w:i/>
          <w:noProof/>
          <w:sz w:val="20"/>
        </w:rPr>
        <w:t>Ann Neurol</w:t>
      </w:r>
      <w:r w:rsidRPr="00506D26">
        <w:rPr>
          <w:noProof/>
          <w:sz w:val="20"/>
        </w:rPr>
        <w:t xml:space="preserve"> 2007; </w:t>
      </w:r>
      <w:r w:rsidRPr="00506D26">
        <w:rPr>
          <w:b/>
          <w:noProof/>
          <w:sz w:val="20"/>
        </w:rPr>
        <w:t>62</w:t>
      </w:r>
      <w:r w:rsidRPr="00506D26">
        <w:rPr>
          <w:noProof/>
          <w:sz w:val="20"/>
        </w:rPr>
        <w:t>(6): 676-7; author reply 667.</w:t>
      </w:r>
    </w:p>
    <w:p w:rsidR="004E479E" w:rsidRDefault="008412FF" w:rsidP="000E44AD">
      <w:pPr>
        <w:pStyle w:val="ListParagraph"/>
        <w:numPr>
          <w:ilvl w:val="0"/>
          <w:numId w:val="42"/>
        </w:numPr>
        <w:spacing w:line="360" w:lineRule="auto"/>
        <w:ind w:left="567" w:hanging="567"/>
        <w:rPr>
          <w:noProof/>
          <w:sz w:val="20"/>
        </w:rPr>
      </w:pPr>
      <w:r w:rsidRPr="00506D26">
        <w:rPr>
          <w:noProof/>
          <w:sz w:val="20"/>
        </w:rPr>
        <w:t xml:space="preserve">Dadon-Nachum M, Melamed E, Offen D. The "dying-back" phenomenon of motor neurons in ALS. </w:t>
      </w:r>
      <w:r w:rsidRPr="00506D26">
        <w:rPr>
          <w:i/>
          <w:noProof/>
          <w:sz w:val="20"/>
        </w:rPr>
        <w:t>J Mol Neurosci</w:t>
      </w:r>
      <w:r w:rsidRPr="00506D26">
        <w:rPr>
          <w:noProof/>
          <w:sz w:val="20"/>
        </w:rPr>
        <w:t xml:space="preserve"> 2011;</w:t>
      </w:r>
      <w:r w:rsidR="00DE7D7B">
        <w:rPr>
          <w:noProof/>
          <w:sz w:val="20"/>
        </w:rPr>
        <w:t xml:space="preserve"> </w:t>
      </w:r>
      <w:r w:rsidRPr="001D07FA">
        <w:rPr>
          <w:b/>
          <w:noProof/>
          <w:sz w:val="20"/>
        </w:rPr>
        <w:t>43</w:t>
      </w:r>
      <w:r w:rsidRPr="00506D26">
        <w:rPr>
          <w:noProof/>
          <w:sz w:val="20"/>
        </w:rPr>
        <w:t>(3):</w:t>
      </w:r>
      <w:r w:rsidR="00DE7D7B">
        <w:rPr>
          <w:noProof/>
          <w:sz w:val="20"/>
        </w:rPr>
        <w:t xml:space="preserve"> </w:t>
      </w:r>
      <w:r w:rsidRPr="00506D26">
        <w:rPr>
          <w:noProof/>
          <w:sz w:val="20"/>
        </w:rPr>
        <w:t>470</w:t>
      </w:r>
      <w:r w:rsidR="007B2CAC">
        <w:rPr>
          <w:noProof/>
          <w:sz w:val="20"/>
        </w:rPr>
        <w:t>-</w:t>
      </w:r>
      <w:r w:rsidRPr="00506D26">
        <w:rPr>
          <w:noProof/>
          <w:sz w:val="20"/>
        </w:rPr>
        <w:t>7.</w:t>
      </w:r>
    </w:p>
    <w:p w:rsidR="00A04028" w:rsidRPr="000E44AD" w:rsidRDefault="004E479E" w:rsidP="000E44AD">
      <w:pPr>
        <w:pStyle w:val="ListParagraph"/>
        <w:numPr>
          <w:ilvl w:val="0"/>
          <w:numId w:val="42"/>
        </w:numPr>
        <w:spacing w:line="360" w:lineRule="auto"/>
        <w:ind w:left="567" w:hanging="567"/>
        <w:rPr>
          <w:noProof/>
          <w:sz w:val="20"/>
        </w:rPr>
      </w:pPr>
      <w:bookmarkStart w:id="2" w:name="_ENREF_21"/>
      <w:r w:rsidRPr="000E44AD">
        <w:rPr>
          <w:noProof/>
          <w:sz w:val="20"/>
        </w:rPr>
        <w:t xml:space="preserve">Groeneveld GJ, Van Kan HJ, Kalmijn S, Veldink JH, Guchelaar HJ, Wokke JH, et al. Riluzole serum concentrations in patients with ALS: associations with side effects and symptoms. </w:t>
      </w:r>
      <w:r w:rsidRPr="000E44AD">
        <w:rPr>
          <w:i/>
          <w:noProof/>
          <w:sz w:val="20"/>
        </w:rPr>
        <w:t>Neurology</w:t>
      </w:r>
      <w:r w:rsidRPr="000E44AD">
        <w:rPr>
          <w:noProof/>
          <w:sz w:val="20"/>
        </w:rPr>
        <w:t xml:space="preserve"> 2003; </w:t>
      </w:r>
      <w:r w:rsidRPr="000E44AD">
        <w:rPr>
          <w:b/>
          <w:noProof/>
          <w:sz w:val="20"/>
        </w:rPr>
        <w:t>61</w:t>
      </w:r>
      <w:r w:rsidRPr="000E44AD">
        <w:rPr>
          <w:noProof/>
          <w:sz w:val="20"/>
        </w:rPr>
        <w:t>(8): 1141-3.</w:t>
      </w:r>
      <w:bookmarkEnd w:id="2"/>
    </w:p>
    <w:p w:rsidR="004E479E" w:rsidRDefault="004E479E" w:rsidP="000E44AD">
      <w:pPr>
        <w:pStyle w:val="ListParagraph"/>
        <w:numPr>
          <w:ilvl w:val="0"/>
          <w:numId w:val="42"/>
        </w:numPr>
        <w:spacing w:line="360" w:lineRule="auto"/>
        <w:ind w:left="567" w:hanging="567"/>
        <w:rPr>
          <w:noProof/>
          <w:sz w:val="20"/>
        </w:rPr>
      </w:pPr>
      <w:bookmarkStart w:id="3" w:name="_ENREF_22"/>
      <w:r w:rsidRPr="000E44AD">
        <w:rPr>
          <w:noProof/>
          <w:sz w:val="20"/>
        </w:rPr>
        <w:t xml:space="preserve">Groeneveld GJ, van Kan HJ, Torano JS, Veldink JH, Guchelaar HJ, Wokke JH, et al. Inter- and intraindividual variability of riluzole serum concentrations in patients with ALS. </w:t>
      </w:r>
      <w:r w:rsidR="004009B6" w:rsidRPr="000E44AD">
        <w:rPr>
          <w:i/>
          <w:noProof/>
          <w:sz w:val="20"/>
        </w:rPr>
        <w:t>J Neurol Sci</w:t>
      </w:r>
      <w:r w:rsidR="004009B6" w:rsidRPr="000E44AD">
        <w:rPr>
          <w:noProof/>
          <w:sz w:val="20"/>
        </w:rPr>
        <w:t xml:space="preserve"> </w:t>
      </w:r>
      <w:r w:rsidRPr="000E44AD">
        <w:rPr>
          <w:noProof/>
          <w:sz w:val="20"/>
        </w:rPr>
        <w:t xml:space="preserve">2001; </w:t>
      </w:r>
      <w:r w:rsidR="002663B6">
        <w:rPr>
          <w:noProof/>
          <w:sz w:val="20"/>
        </w:rPr>
        <w:br/>
      </w:r>
      <w:r w:rsidRPr="000E44AD">
        <w:rPr>
          <w:b/>
          <w:noProof/>
          <w:sz w:val="20"/>
        </w:rPr>
        <w:t>191</w:t>
      </w:r>
      <w:r w:rsidRPr="000E44AD">
        <w:rPr>
          <w:noProof/>
          <w:sz w:val="20"/>
        </w:rPr>
        <w:t>(1-2): 121-5.</w:t>
      </w:r>
      <w:bookmarkEnd w:id="3"/>
    </w:p>
    <w:p w:rsidR="00970EC7" w:rsidRPr="00506D26" w:rsidRDefault="00970EC7" w:rsidP="00970EC7">
      <w:pPr>
        <w:pStyle w:val="ListParagraph"/>
        <w:numPr>
          <w:ilvl w:val="0"/>
          <w:numId w:val="42"/>
        </w:numPr>
        <w:spacing w:line="360" w:lineRule="auto"/>
        <w:ind w:left="567" w:hanging="567"/>
        <w:rPr>
          <w:noProof/>
          <w:sz w:val="20"/>
        </w:rPr>
      </w:pPr>
      <w:r w:rsidRPr="00506D26">
        <w:rPr>
          <w:noProof/>
          <w:sz w:val="20"/>
        </w:rPr>
        <w:t xml:space="preserve">Finkelstein DM, Schoenfeld DA. Combining mortality and longitudinal measures in clinical trials. </w:t>
      </w:r>
      <w:r w:rsidRPr="00506D26">
        <w:rPr>
          <w:i/>
          <w:noProof/>
          <w:sz w:val="20"/>
        </w:rPr>
        <w:t>Stat Med</w:t>
      </w:r>
      <w:r w:rsidRPr="00506D26">
        <w:rPr>
          <w:noProof/>
          <w:sz w:val="20"/>
        </w:rPr>
        <w:t xml:space="preserve"> 1999; </w:t>
      </w:r>
      <w:r w:rsidRPr="00506D26">
        <w:rPr>
          <w:b/>
          <w:noProof/>
          <w:sz w:val="20"/>
        </w:rPr>
        <w:t>18</w:t>
      </w:r>
      <w:r w:rsidRPr="00506D26">
        <w:rPr>
          <w:noProof/>
          <w:sz w:val="20"/>
        </w:rPr>
        <w:t>(11): 1341-54.</w:t>
      </w:r>
    </w:p>
    <w:p w:rsidR="004E479E" w:rsidRPr="000E44AD" w:rsidRDefault="004E479E" w:rsidP="000E44AD">
      <w:pPr>
        <w:pStyle w:val="ListParagraph"/>
        <w:numPr>
          <w:ilvl w:val="0"/>
          <w:numId w:val="42"/>
        </w:numPr>
        <w:spacing w:line="360" w:lineRule="auto"/>
        <w:ind w:left="567" w:hanging="567"/>
        <w:rPr>
          <w:noProof/>
          <w:sz w:val="20"/>
        </w:rPr>
      </w:pPr>
      <w:bookmarkStart w:id="4" w:name="_ENREF_23"/>
      <w:r w:rsidRPr="000E44AD">
        <w:rPr>
          <w:noProof/>
          <w:sz w:val="20"/>
        </w:rPr>
        <w:t xml:space="preserve">DiBernardo AB, Cudkowicz ME. Translating preclinical insights into effective human trials in ALS. </w:t>
      </w:r>
      <w:r w:rsidR="004009B6" w:rsidRPr="000E44AD">
        <w:rPr>
          <w:i/>
          <w:noProof/>
          <w:sz w:val="20"/>
        </w:rPr>
        <w:t>Biochim Biophys Acta</w:t>
      </w:r>
      <w:r w:rsidR="004009B6" w:rsidRPr="000E44AD">
        <w:rPr>
          <w:noProof/>
          <w:sz w:val="20"/>
        </w:rPr>
        <w:t xml:space="preserve"> </w:t>
      </w:r>
      <w:r w:rsidRPr="000E44AD">
        <w:rPr>
          <w:noProof/>
          <w:sz w:val="20"/>
        </w:rPr>
        <w:t xml:space="preserve">2006; </w:t>
      </w:r>
      <w:r w:rsidRPr="000E44AD">
        <w:rPr>
          <w:b/>
          <w:noProof/>
          <w:sz w:val="20"/>
        </w:rPr>
        <w:t>1762</w:t>
      </w:r>
      <w:r w:rsidRPr="000E44AD">
        <w:rPr>
          <w:noProof/>
          <w:sz w:val="20"/>
        </w:rPr>
        <w:t>(11-12): 1139-49.</w:t>
      </w:r>
      <w:bookmarkEnd w:id="4"/>
    </w:p>
    <w:p w:rsidR="004E479E" w:rsidRDefault="004E479E" w:rsidP="000E44AD">
      <w:pPr>
        <w:pStyle w:val="ListParagraph"/>
        <w:numPr>
          <w:ilvl w:val="0"/>
          <w:numId w:val="42"/>
        </w:numPr>
        <w:spacing w:line="360" w:lineRule="auto"/>
        <w:ind w:left="567" w:hanging="567"/>
        <w:rPr>
          <w:noProof/>
          <w:sz w:val="20"/>
        </w:rPr>
      </w:pPr>
      <w:bookmarkStart w:id="5" w:name="_ENREF_24"/>
      <w:r w:rsidRPr="001C56FE">
        <w:rPr>
          <w:noProof/>
          <w:sz w:val="20"/>
        </w:rPr>
        <w:t xml:space="preserve">Beghi E, Chio A, Couratier P, Esteban J, Hardiman O, Logroscino G, et al. </w:t>
      </w:r>
      <w:r w:rsidRPr="000E44AD">
        <w:rPr>
          <w:noProof/>
          <w:sz w:val="20"/>
        </w:rPr>
        <w:t xml:space="preserve">The epidemiology and treatment of ALS: focus on the heterogeneity of the disease and critical appraisal of therapeutic trials. </w:t>
      </w:r>
      <w:r w:rsidR="004009B6" w:rsidRPr="000E44AD">
        <w:rPr>
          <w:i/>
          <w:noProof/>
          <w:sz w:val="20"/>
        </w:rPr>
        <w:t xml:space="preserve">Amyotroph Lateral Scler </w:t>
      </w:r>
      <w:r w:rsidRPr="000E44AD">
        <w:rPr>
          <w:i/>
          <w:noProof/>
          <w:sz w:val="20"/>
        </w:rPr>
        <w:t>2011</w:t>
      </w:r>
      <w:r w:rsidRPr="000E44AD">
        <w:rPr>
          <w:noProof/>
          <w:sz w:val="20"/>
        </w:rPr>
        <w:t xml:space="preserve">; </w:t>
      </w:r>
      <w:r w:rsidRPr="000E44AD">
        <w:rPr>
          <w:b/>
          <w:noProof/>
          <w:sz w:val="20"/>
        </w:rPr>
        <w:t>12</w:t>
      </w:r>
      <w:r w:rsidRPr="000E44AD">
        <w:rPr>
          <w:noProof/>
          <w:sz w:val="20"/>
        </w:rPr>
        <w:t>(1): 1-10.</w:t>
      </w:r>
      <w:bookmarkEnd w:id="5"/>
    </w:p>
    <w:p w:rsidR="00984326" w:rsidRPr="00506D26" w:rsidRDefault="00984326" w:rsidP="00984326">
      <w:pPr>
        <w:pStyle w:val="ListParagraph"/>
        <w:numPr>
          <w:ilvl w:val="0"/>
          <w:numId w:val="42"/>
        </w:numPr>
        <w:spacing w:line="360" w:lineRule="auto"/>
        <w:ind w:left="567" w:hanging="567"/>
        <w:rPr>
          <w:noProof/>
          <w:sz w:val="20"/>
        </w:rPr>
      </w:pPr>
      <w:r w:rsidRPr="00506D26">
        <w:rPr>
          <w:noProof/>
          <w:sz w:val="20"/>
        </w:rPr>
        <w:t xml:space="preserve">Bellingham M. A review of the neural mechanisms of action and clinical efficiency of riluzole in treating amyotrophic lateral sclerosis: what have we learned in the last decade? </w:t>
      </w:r>
      <w:r w:rsidRPr="00506D26">
        <w:rPr>
          <w:i/>
          <w:noProof/>
          <w:sz w:val="20"/>
        </w:rPr>
        <w:lastRenderedPageBreak/>
        <w:t>CNS Neurosci Ther</w:t>
      </w:r>
      <w:r w:rsidRPr="00506D26">
        <w:rPr>
          <w:noProof/>
          <w:sz w:val="20"/>
        </w:rPr>
        <w:t xml:space="preserve"> 2011; </w:t>
      </w:r>
      <w:r w:rsidRPr="001D07FA">
        <w:rPr>
          <w:b/>
          <w:noProof/>
          <w:sz w:val="20"/>
        </w:rPr>
        <w:t>17</w:t>
      </w:r>
      <w:r w:rsidRPr="00506D26">
        <w:rPr>
          <w:noProof/>
          <w:sz w:val="20"/>
        </w:rPr>
        <w:t xml:space="preserve">: </w:t>
      </w:r>
      <w:r w:rsidR="002663B6">
        <w:rPr>
          <w:noProof/>
          <w:sz w:val="20"/>
        </w:rPr>
        <w:br/>
      </w:r>
      <w:r w:rsidRPr="00506D26">
        <w:rPr>
          <w:noProof/>
          <w:sz w:val="20"/>
        </w:rPr>
        <w:t>4-31.</w:t>
      </w:r>
    </w:p>
    <w:p w:rsidR="004E479E" w:rsidRPr="000E44AD" w:rsidRDefault="004E479E" w:rsidP="000E44AD">
      <w:pPr>
        <w:pStyle w:val="ListParagraph"/>
        <w:numPr>
          <w:ilvl w:val="0"/>
          <w:numId w:val="42"/>
        </w:numPr>
        <w:spacing w:line="360" w:lineRule="auto"/>
        <w:ind w:left="567" w:hanging="567"/>
        <w:rPr>
          <w:noProof/>
          <w:sz w:val="20"/>
        </w:rPr>
      </w:pPr>
      <w:bookmarkStart w:id="6" w:name="_ENREF_25"/>
      <w:r w:rsidRPr="000E44AD">
        <w:rPr>
          <w:noProof/>
          <w:sz w:val="20"/>
        </w:rPr>
        <w:t>Turner MR, Hardiman O, Benatar M, Brooks BR, Chio A, de Carvalho M, et al. Controversies and priorities in amyotrophic lateral sclerosis.</w:t>
      </w:r>
      <w:r w:rsidR="004009B6" w:rsidRPr="000E44AD">
        <w:rPr>
          <w:noProof/>
          <w:sz w:val="20"/>
        </w:rPr>
        <w:t xml:space="preserve"> </w:t>
      </w:r>
      <w:r w:rsidRPr="000E44AD">
        <w:rPr>
          <w:i/>
          <w:noProof/>
          <w:sz w:val="20"/>
        </w:rPr>
        <w:t>Lancet Neurol</w:t>
      </w:r>
      <w:r w:rsidRPr="000E44AD">
        <w:rPr>
          <w:noProof/>
          <w:sz w:val="20"/>
        </w:rPr>
        <w:t xml:space="preserve"> 2013; </w:t>
      </w:r>
      <w:r w:rsidRPr="000E44AD">
        <w:rPr>
          <w:b/>
          <w:noProof/>
          <w:sz w:val="20"/>
        </w:rPr>
        <w:t>12</w:t>
      </w:r>
      <w:r w:rsidRPr="000E44AD">
        <w:rPr>
          <w:noProof/>
          <w:sz w:val="20"/>
        </w:rPr>
        <w:t>(3): 310-22.</w:t>
      </w:r>
      <w:bookmarkEnd w:id="6"/>
    </w:p>
    <w:p w:rsidR="004E479E" w:rsidRPr="000E44AD" w:rsidRDefault="004E479E" w:rsidP="000E44AD">
      <w:pPr>
        <w:pStyle w:val="ListParagraph"/>
        <w:numPr>
          <w:ilvl w:val="0"/>
          <w:numId w:val="42"/>
        </w:numPr>
        <w:spacing w:line="360" w:lineRule="auto"/>
        <w:ind w:left="567" w:hanging="567"/>
        <w:rPr>
          <w:noProof/>
          <w:sz w:val="20"/>
        </w:rPr>
      </w:pPr>
      <w:bookmarkStart w:id="7" w:name="_ENREF_26"/>
      <w:r w:rsidRPr="000E44AD">
        <w:rPr>
          <w:noProof/>
          <w:sz w:val="20"/>
        </w:rPr>
        <w:t xml:space="preserve">Gordon PH. Amyotrophic Lateral Sclerosis: An update for 2013 Clinical Features, Pathophysiology, Management and Therapeutic Trials. </w:t>
      </w:r>
      <w:r w:rsidRPr="000E44AD">
        <w:rPr>
          <w:i/>
          <w:noProof/>
          <w:sz w:val="20"/>
        </w:rPr>
        <w:t>Aging</w:t>
      </w:r>
      <w:r w:rsidR="00165644" w:rsidRPr="000E44AD">
        <w:rPr>
          <w:i/>
          <w:noProof/>
          <w:sz w:val="20"/>
        </w:rPr>
        <w:t xml:space="preserve"> D</w:t>
      </w:r>
      <w:r w:rsidRPr="000E44AD">
        <w:rPr>
          <w:i/>
          <w:noProof/>
          <w:sz w:val="20"/>
        </w:rPr>
        <w:t>is</w:t>
      </w:r>
      <w:r w:rsidR="00165644" w:rsidRPr="000E44AD">
        <w:rPr>
          <w:noProof/>
          <w:sz w:val="20"/>
        </w:rPr>
        <w:t xml:space="preserve"> </w:t>
      </w:r>
      <w:r w:rsidRPr="000E44AD">
        <w:rPr>
          <w:noProof/>
          <w:sz w:val="20"/>
        </w:rPr>
        <w:t xml:space="preserve">2013; </w:t>
      </w:r>
      <w:r w:rsidRPr="000E44AD">
        <w:rPr>
          <w:b/>
          <w:noProof/>
          <w:sz w:val="20"/>
        </w:rPr>
        <w:t>4</w:t>
      </w:r>
      <w:r w:rsidRPr="000E44AD">
        <w:rPr>
          <w:noProof/>
          <w:sz w:val="20"/>
        </w:rPr>
        <w:t>(5): 295-310.</w:t>
      </w:r>
      <w:bookmarkEnd w:id="7"/>
    </w:p>
    <w:p w:rsidR="006017C3" w:rsidRPr="005345A6" w:rsidRDefault="006017C3">
      <w:pPr>
        <w:spacing w:line="360" w:lineRule="auto"/>
        <w:rPr>
          <w:noProof/>
        </w:rPr>
      </w:pPr>
    </w:p>
    <w:sectPr w:rsidR="006017C3" w:rsidRPr="005345A6" w:rsidSect="00F279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78B" w:rsidRDefault="0060178B" w:rsidP="00D969C5">
      <w:r>
        <w:separator/>
      </w:r>
    </w:p>
  </w:endnote>
  <w:endnote w:type="continuationSeparator" w:id="0">
    <w:p w:rsidR="0060178B" w:rsidRDefault="0060178B" w:rsidP="00D969C5">
      <w:r>
        <w:continuationSeparator/>
      </w:r>
    </w:p>
  </w:endnote>
  <w:endnote w:type="continuationNotice" w:id="1">
    <w:p w:rsidR="0060178B" w:rsidRDefault="00601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78B" w:rsidRDefault="0060178B" w:rsidP="00D969C5">
      <w:r>
        <w:separator/>
      </w:r>
    </w:p>
  </w:footnote>
  <w:footnote w:type="continuationSeparator" w:id="0">
    <w:p w:rsidR="0060178B" w:rsidRDefault="0060178B" w:rsidP="00D969C5">
      <w:r>
        <w:continuationSeparator/>
      </w:r>
    </w:p>
  </w:footnote>
  <w:footnote w:type="continuationNotice" w:id="1">
    <w:p w:rsidR="0060178B" w:rsidRDefault="006017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893" w:rsidRDefault="005B2893" w:rsidP="005412BE">
    <w:pPr>
      <w:pStyle w:val="Header"/>
    </w:pPr>
    <w:r>
      <w:tab/>
    </w:r>
    <w:r>
      <w:tab/>
    </w:r>
  </w:p>
  <w:p w:rsidR="005B2893" w:rsidRDefault="005B2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visibility:visible" o:bullet="t">
        <v:imagedata r:id="rId1" o:title=""/>
      </v:shape>
    </w:pict>
  </w:numPicBullet>
  <w:abstractNum w:abstractNumId="0" w15:restartNumberingAfterBreak="0">
    <w:nsid w:val="0184408F"/>
    <w:multiLevelType w:val="hybridMultilevel"/>
    <w:tmpl w:val="025C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07280"/>
    <w:multiLevelType w:val="hybridMultilevel"/>
    <w:tmpl w:val="2278C4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17EC8"/>
    <w:multiLevelType w:val="hybridMultilevel"/>
    <w:tmpl w:val="3CC26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646D5"/>
    <w:multiLevelType w:val="hybridMultilevel"/>
    <w:tmpl w:val="3CB208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655AB0"/>
    <w:multiLevelType w:val="hybridMultilevel"/>
    <w:tmpl w:val="C980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93F5F"/>
    <w:multiLevelType w:val="hybridMultilevel"/>
    <w:tmpl w:val="BFF46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390554"/>
    <w:multiLevelType w:val="hybridMultilevel"/>
    <w:tmpl w:val="2A566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B35747"/>
    <w:multiLevelType w:val="hybridMultilevel"/>
    <w:tmpl w:val="10D03C00"/>
    <w:lvl w:ilvl="0" w:tplc="3CE0C72C">
      <w:start w:val="1"/>
      <w:numFmt w:val="bullet"/>
      <w:lvlText w:val="–"/>
      <w:lvlJc w:val="left"/>
      <w:pPr>
        <w:tabs>
          <w:tab w:val="num" w:pos="720"/>
        </w:tabs>
        <w:ind w:left="720" w:hanging="360"/>
      </w:pPr>
      <w:rPr>
        <w:rFonts w:ascii="Times New Roman" w:hAnsi="Times New Roman" w:hint="default"/>
      </w:rPr>
    </w:lvl>
    <w:lvl w:ilvl="1" w:tplc="55785CFE" w:tentative="1">
      <w:start w:val="1"/>
      <w:numFmt w:val="bullet"/>
      <w:lvlText w:val="–"/>
      <w:lvlJc w:val="left"/>
      <w:pPr>
        <w:tabs>
          <w:tab w:val="num" w:pos="1440"/>
        </w:tabs>
        <w:ind w:left="1440" w:hanging="360"/>
      </w:pPr>
      <w:rPr>
        <w:rFonts w:ascii="Times New Roman" w:hAnsi="Times New Roman" w:hint="default"/>
      </w:rPr>
    </w:lvl>
    <w:lvl w:ilvl="2" w:tplc="D6B6837A">
      <w:start w:val="1"/>
      <w:numFmt w:val="bullet"/>
      <w:lvlText w:val="–"/>
      <w:lvlJc w:val="left"/>
      <w:pPr>
        <w:tabs>
          <w:tab w:val="num" w:pos="2160"/>
        </w:tabs>
        <w:ind w:left="2160" w:hanging="360"/>
      </w:pPr>
      <w:rPr>
        <w:rFonts w:ascii="Times New Roman" w:hAnsi="Times New Roman" w:hint="default"/>
      </w:rPr>
    </w:lvl>
    <w:lvl w:ilvl="3" w:tplc="5772142C" w:tentative="1">
      <w:start w:val="1"/>
      <w:numFmt w:val="bullet"/>
      <w:lvlText w:val="–"/>
      <w:lvlJc w:val="left"/>
      <w:pPr>
        <w:tabs>
          <w:tab w:val="num" w:pos="2880"/>
        </w:tabs>
        <w:ind w:left="2880" w:hanging="360"/>
      </w:pPr>
      <w:rPr>
        <w:rFonts w:ascii="Times New Roman" w:hAnsi="Times New Roman" w:hint="default"/>
      </w:rPr>
    </w:lvl>
    <w:lvl w:ilvl="4" w:tplc="2162F048" w:tentative="1">
      <w:start w:val="1"/>
      <w:numFmt w:val="bullet"/>
      <w:lvlText w:val="–"/>
      <w:lvlJc w:val="left"/>
      <w:pPr>
        <w:tabs>
          <w:tab w:val="num" w:pos="3600"/>
        </w:tabs>
        <w:ind w:left="3600" w:hanging="360"/>
      </w:pPr>
      <w:rPr>
        <w:rFonts w:ascii="Times New Roman" w:hAnsi="Times New Roman" w:hint="default"/>
      </w:rPr>
    </w:lvl>
    <w:lvl w:ilvl="5" w:tplc="A7D08128" w:tentative="1">
      <w:start w:val="1"/>
      <w:numFmt w:val="bullet"/>
      <w:lvlText w:val="–"/>
      <w:lvlJc w:val="left"/>
      <w:pPr>
        <w:tabs>
          <w:tab w:val="num" w:pos="4320"/>
        </w:tabs>
        <w:ind w:left="4320" w:hanging="360"/>
      </w:pPr>
      <w:rPr>
        <w:rFonts w:ascii="Times New Roman" w:hAnsi="Times New Roman" w:hint="default"/>
      </w:rPr>
    </w:lvl>
    <w:lvl w:ilvl="6" w:tplc="3E9C32A0" w:tentative="1">
      <w:start w:val="1"/>
      <w:numFmt w:val="bullet"/>
      <w:lvlText w:val="–"/>
      <w:lvlJc w:val="left"/>
      <w:pPr>
        <w:tabs>
          <w:tab w:val="num" w:pos="5040"/>
        </w:tabs>
        <w:ind w:left="5040" w:hanging="360"/>
      </w:pPr>
      <w:rPr>
        <w:rFonts w:ascii="Times New Roman" w:hAnsi="Times New Roman" w:hint="default"/>
      </w:rPr>
    </w:lvl>
    <w:lvl w:ilvl="7" w:tplc="B59A8D56" w:tentative="1">
      <w:start w:val="1"/>
      <w:numFmt w:val="bullet"/>
      <w:lvlText w:val="–"/>
      <w:lvlJc w:val="left"/>
      <w:pPr>
        <w:tabs>
          <w:tab w:val="num" w:pos="5760"/>
        </w:tabs>
        <w:ind w:left="5760" w:hanging="360"/>
      </w:pPr>
      <w:rPr>
        <w:rFonts w:ascii="Times New Roman" w:hAnsi="Times New Roman" w:hint="default"/>
      </w:rPr>
    </w:lvl>
    <w:lvl w:ilvl="8" w:tplc="90EAF96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2AF3EE0"/>
    <w:multiLevelType w:val="hybridMultilevel"/>
    <w:tmpl w:val="44FE105A"/>
    <w:lvl w:ilvl="0" w:tplc="08090001">
      <w:start w:val="1"/>
      <w:numFmt w:val="bullet"/>
      <w:lvlText w:val=""/>
      <w:lvlJc w:val="left"/>
      <w:pPr>
        <w:ind w:left="389" w:hanging="360"/>
      </w:pPr>
      <w:rPr>
        <w:rFonts w:ascii="Symbol" w:hAnsi="Symbol" w:hint="default"/>
      </w:rPr>
    </w:lvl>
    <w:lvl w:ilvl="1" w:tplc="08090003">
      <w:start w:val="1"/>
      <w:numFmt w:val="bullet"/>
      <w:lvlText w:val="o"/>
      <w:lvlJc w:val="left"/>
      <w:pPr>
        <w:ind w:left="1109" w:hanging="360"/>
      </w:pPr>
      <w:rPr>
        <w:rFonts w:ascii="Courier New" w:hAnsi="Courier New" w:cs="Courier New" w:hint="default"/>
      </w:rPr>
    </w:lvl>
    <w:lvl w:ilvl="2" w:tplc="08090005">
      <w:start w:val="1"/>
      <w:numFmt w:val="bullet"/>
      <w:lvlText w:val=""/>
      <w:lvlJc w:val="left"/>
      <w:pPr>
        <w:ind w:left="29" w:hanging="360"/>
      </w:pPr>
      <w:rPr>
        <w:rFonts w:ascii="Wingdings" w:hAnsi="Wingdings" w:hint="default"/>
      </w:rPr>
    </w:lvl>
    <w:lvl w:ilvl="3" w:tplc="89223D34">
      <w:start w:val="1"/>
      <w:numFmt w:val="bullet"/>
      <w:lvlText w:val="-"/>
      <w:lvlJc w:val="left"/>
      <w:pPr>
        <w:ind w:left="313" w:hanging="360"/>
      </w:pPr>
      <w:rPr>
        <w:rFonts w:ascii="Courier New" w:hAnsi="Courier New" w:hint="default"/>
      </w:rPr>
    </w:lvl>
    <w:lvl w:ilvl="4" w:tplc="08090003">
      <w:start w:val="1"/>
      <w:numFmt w:val="bullet"/>
      <w:lvlText w:val="o"/>
      <w:lvlJc w:val="left"/>
      <w:pPr>
        <w:ind w:left="3269" w:hanging="360"/>
      </w:pPr>
      <w:rPr>
        <w:rFonts w:ascii="Courier New" w:hAnsi="Courier New" w:cs="Courier New" w:hint="default"/>
      </w:rPr>
    </w:lvl>
    <w:lvl w:ilvl="5" w:tplc="08090005">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9" w15:restartNumberingAfterBreak="0">
    <w:nsid w:val="23A65D8F"/>
    <w:multiLevelType w:val="hybridMultilevel"/>
    <w:tmpl w:val="B3EC0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14501D"/>
    <w:multiLevelType w:val="hybridMultilevel"/>
    <w:tmpl w:val="FE8E3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6249A"/>
    <w:multiLevelType w:val="hybridMultilevel"/>
    <w:tmpl w:val="B292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2432D"/>
    <w:multiLevelType w:val="hybridMultilevel"/>
    <w:tmpl w:val="9B68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94160"/>
    <w:multiLevelType w:val="hybridMultilevel"/>
    <w:tmpl w:val="8E32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470FC"/>
    <w:multiLevelType w:val="hybridMultilevel"/>
    <w:tmpl w:val="97AAF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0318DF"/>
    <w:multiLevelType w:val="hybridMultilevel"/>
    <w:tmpl w:val="B06E1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478DE"/>
    <w:multiLevelType w:val="hybridMultilevel"/>
    <w:tmpl w:val="734E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14D29"/>
    <w:multiLevelType w:val="hybridMultilevel"/>
    <w:tmpl w:val="BDA4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A759E"/>
    <w:multiLevelType w:val="hybridMultilevel"/>
    <w:tmpl w:val="1882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85401"/>
    <w:multiLevelType w:val="hybridMultilevel"/>
    <w:tmpl w:val="511C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310B6"/>
    <w:multiLevelType w:val="hybridMultilevel"/>
    <w:tmpl w:val="885CD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444DE"/>
    <w:multiLevelType w:val="hybridMultilevel"/>
    <w:tmpl w:val="7E806F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9F65AB"/>
    <w:multiLevelType w:val="hybridMultilevel"/>
    <w:tmpl w:val="379A709A"/>
    <w:lvl w:ilvl="0" w:tplc="1C5AFECC">
      <w:start w:val="1"/>
      <w:numFmt w:val="bullet"/>
      <w:lvlText w:val="●"/>
      <w:lvlJc w:val="left"/>
      <w:pPr>
        <w:tabs>
          <w:tab w:val="num" w:pos="720"/>
        </w:tabs>
        <w:ind w:left="720" w:hanging="360"/>
      </w:pPr>
      <w:rPr>
        <w:rFonts w:ascii="Arial" w:hAnsi="Arial" w:hint="default"/>
      </w:rPr>
    </w:lvl>
    <w:lvl w:ilvl="1" w:tplc="8E84D166" w:tentative="1">
      <w:start w:val="1"/>
      <w:numFmt w:val="bullet"/>
      <w:lvlText w:val="●"/>
      <w:lvlJc w:val="left"/>
      <w:pPr>
        <w:tabs>
          <w:tab w:val="num" w:pos="1440"/>
        </w:tabs>
        <w:ind w:left="1440" w:hanging="360"/>
      </w:pPr>
      <w:rPr>
        <w:rFonts w:ascii="Arial" w:hAnsi="Arial" w:hint="default"/>
      </w:rPr>
    </w:lvl>
    <w:lvl w:ilvl="2" w:tplc="E5E0871E" w:tentative="1">
      <w:start w:val="1"/>
      <w:numFmt w:val="bullet"/>
      <w:lvlText w:val="●"/>
      <w:lvlJc w:val="left"/>
      <w:pPr>
        <w:tabs>
          <w:tab w:val="num" w:pos="2160"/>
        </w:tabs>
        <w:ind w:left="2160" w:hanging="360"/>
      </w:pPr>
      <w:rPr>
        <w:rFonts w:ascii="Arial" w:hAnsi="Arial" w:hint="default"/>
      </w:rPr>
    </w:lvl>
    <w:lvl w:ilvl="3" w:tplc="34C27A60" w:tentative="1">
      <w:start w:val="1"/>
      <w:numFmt w:val="bullet"/>
      <w:lvlText w:val="●"/>
      <w:lvlJc w:val="left"/>
      <w:pPr>
        <w:tabs>
          <w:tab w:val="num" w:pos="2880"/>
        </w:tabs>
        <w:ind w:left="2880" w:hanging="360"/>
      </w:pPr>
      <w:rPr>
        <w:rFonts w:ascii="Arial" w:hAnsi="Arial" w:hint="default"/>
      </w:rPr>
    </w:lvl>
    <w:lvl w:ilvl="4" w:tplc="19FC32A0" w:tentative="1">
      <w:start w:val="1"/>
      <w:numFmt w:val="bullet"/>
      <w:lvlText w:val="●"/>
      <w:lvlJc w:val="left"/>
      <w:pPr>
        <w:tabs>
          <w:tab w:val="num" w:pos="3600"/>
        </w:tabs>
        <w:ind w:left="3600" w:hanging="360"/>
      </w:pPr>
      <w:rPr>
        <w:rFonts w:ascii="Arial" w:hAnsi="Arial" w:hint="default"/>
      </w:rPr>
    </w:lvl>
    <w:lvl w:ilvl="5" w:tplc="A62674EC" w:tentative="1">
      <w:start w:val="1"/>
      <w:numFmt w:val="bullet"/>
      <w:lvlText w:val="●"/>
      <w:lvlJc w:val="left"/>
      <w:pPr>
        <w:tabs>
          <w:tab w:val="num" w:pos="4320"/>
        </w:tabs>
        <w:ind w:left="4320" w:hanging="360"/>
      </w:pPr>
      <w:rPr>
        <w:rFonts w:ascii="Arial" w:hAnsi="Arial" w:hint="default"/>
      </w:rPr>
    </w:lvl>
    <w:lvl w:ilvl="6" w:tplc="15A490FE" w:tentative="1">
      <w:start w:val="1"/>
      <w:numFmt w:val="bullet"/>
      <w:lvlText w:val="●"/>
      <w:lvlJc w:val="left"/>
      <w:pPr>
        <w:tabs>
          <w:tab w:val="num" w:pos="5040"/>
        </w:tabs>
        <w:ind w:left="5040" w:hanging="360"/>
      </w:pPr>
      <w:rPr>
        <w:rFonts w:ascii="Arial" w:hAnsi="Arial" w:hint="default"/>
      </w:rPr>
    </w:lvl>
    <w:lvl w:ilvl="7" w:tplc="CE008EEE" w:tentative="1">
      <w:start w:val="1"/>
      <w:numFmt w:val="bullet"/>
      <w:lvlText w:val="●"/>
      <w:lvlJc w:val="left"/>
      <w:pPr>
        <w:tabs>
          <w:tab w:val="num" w:pos="5760"/>
        </w:tabs>
        <w:ind w:left="5760" w:hanging="360"/>
      </w:pPr>
      <w:rPr>
        <w:rFonts w:ascii="Arial" w:hAnsi="Arial" w:hint="default"/>
      </w:rPr>
    </w:lvl>
    <w:lvl w:ilvl="8" w:tplc="DCD440D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EE437F"/>
    <w:multiLevelType w:val="hybridMultilevel"/>
    <w:tmpl w:val="4D62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F2007"/>
    <w:multiLevelType w:val="hybridMultilevel"/>
    <w:tmpl w:val="A53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843B3"/>
    <w:multiLevelType w:val="hybridMultilevel"/>
    <w:tmpl w:val="15B2B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A6899"/>
    <w:multiLevelType w:val="hybridMultilevel"/>
    <w:tmpl w:val="9328DC94"/>
    <w:lvl w:ilvl="0" w:tplc="38380B4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51759"/>
    <w:multiLevelType w:val="hybridMultilevel"/>
    <w:tmpl w:val="CA442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9396D"/>
    <w:multiLevelType w:val="hybridMultilevel"/>
    <w:tmpl w:val="A1FC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40615"/>
    <w:multiLevelType w:val="hybridMultilevel"/>
    <w:tmpl w:val="CC1E2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35645"/>
    <w:multiLevelType w:val="hybridMultilevel"/>
    <w:tmpl w:val="C280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C08CF"/>
    <w:multiLevelType w:val="hybridMultilevel"/>
    <w:tmpl w:val="3460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E30B54"/>
    <w:multiLevelType w:val="hybridMultilevel"/>
    <w:tmpl w:val="93E07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1906FC"/>
    <w:multiLevelType w:val="hybridMultilevel"/>
    <w:tmpl w:val="30E8A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537E2"/>
    <w:multiLevelType w:val="hybridMultilevel"/>
    <w:tmpl w:val="9774D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1605C"/>
    <w:multiLevelType w:val="hybridMultilevel"/>
    <w:tmpl w:val="EABE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01D6C"/>
    <w:multiLevelType w:val="hybridMultilevel"/>
    <w:tmpl w:val="F29E5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81D63"/>
    <w:multiLevelType w:val="hybridMultilevel"/>
    <w:tmpl w:val="4FF4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908B6"/>
    <w:multiLevelType w:val="hybridMultilevel"/>
    <w:tmpl w:val="A48CF6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9" w15:restartNumberingAfterBreak="0">
    <w:nsid w:val="7329402D"/>
    <w:multiLevelType w:val="hybridMultilevel"/>
    <w:tmpl w:val="7F2A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B4035A"/>
    <w:multiLevelType w:val="hybridMultilevel"/>
    <w:tmpl w:val="9B7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7"/>
  </w:num>
  <w:num w:numId="4">
    <w:abstractNumId w:val="26"/>
  </w:num>
  <w:num w:numId="5">
    <w:abstractNumId w:val="40"/>
  </w:num>
  <w:num w:numId="6">
    <w:abstractNumId w:val="34"/>
  </w:num>
  <w:num w:numId="7">
    <w:abstractNumId w:val="16"/>
  </w:num>
  <w:num w:numId="8">
    <w:abstractNumId w:val="30"/>
  </w:num>
  <w:num w:numId="9">
    <w:abstractNumId w:val="29"/>
  </w:num>
  <w:num w:numId="10">
    <w:abstractNumId w:val="0"/>
  </w:num>
  <w:num w:numId="11">
    <w:abstractNumId w:val="31"/>
  </w:num>
  <w:num w:numId="12">
    <w:abstractNumId w:val="8"/>
  </w:num>
  <w:num w:numId="13">
    <w:abstractNumId w:val="24"/>
  </w:num>
  <w:num w:numId="14">
    <w:abstractNumId w:val="20"/>
  </w:num>
  <w:num w:numId="15">
    <w:abstractNumId w:val="23"/>
  </w:num>
  <w:num w:numId="16">
    <w:abstractNumId w:val="25"/>
  </w:num>
  <w:num w:numId="17">
    <w:abstractNumId w:val="7"/>
  </w:num>
  <w:num w:numId="18">
    <w:abstractNumId w:val="4"/>
  </w:num>
  <w:num w:numId="19">
    <w:abstractNumId w:val="27"/>
  </w:num>
  <w:num w:numId="20">
    <w:abstractNumId w:val="3"/>
  </w:num>
  <w:num w:numId="21">
    <w:abstractNumId w:val="19"/>
  </w:num>
  <w:num w:numId="22">
    <w:abstractNumId w:val="32"/>
  </w:num>
  <w:num w:numId="23">
    <w:abstractNumId w:val="36"/>
  </w:num>
  <w:num w:numId="24">
    <w:abstractNumId w:val="6"/>
  </w:num>
  <w:num w:numId="25">
    <w:abstractNumId w:val="12"/>
  </w:num>
  <w:num w:numId="26">
    <w:abstractNumId w:val="33"/>
  </w:num>
  <w:num w:numId="27">
    <w:abstractNumId w:val="5"/>
  </w:num>
  <w:num w:numId="28">
    <w:abstractNumId w:val="14"/>
  </w:num>
  <w:num w:numId="29">
    <w:abstractNumId w:val="1"/>
  </w:num>
  <w:num w:numId="30">
    <w:abstractNumId w:val="21"/>
  </w:num>
  <w:num w:numId="31">
    <w:abstractNumId w:val="6"/>
  </w:num>
  <w:num w:numId="32">
    <w:abstractNumId w:val="28"/>
  </w:num>
  <w:num w:numId="33">
    <w:abstractNumId w:val="10"/>
  </w:num>
  <w:num w:numId="34">
    <w:abstractNumId w:val="15"/>
  </w:num>
  <w:num w:numId="35">
    <w:abstractNumId w:val="9"/>
  </w:num>
  <w:num w:numId="36">
    <w:abstractNumId w:val="11"/>
  </w:num>
  <w:num w:numId="37">
    <w:abstractNumId w:val="37"/>
  </w:num>
  <w:num w:numId="38">
    <w:abstractNumId w:val="35"/>
  </w:num>
  <w:num w:numId="39">
    <w:abstractNumId w:val="39"/>
  </w:num>
  <w:num w:numId="40">
    <w:abstractNumId w:val="13"/>
  </w:num>
  <w:num w:numId="41">
    <w:abstractNumId w:val="3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sf5efav5rez2le22flpe0wfvpeadvvxfrfx&quot;&gt;T-GSK0479 ref library&lt;record-ids&gt;&lt;item&gt;1&lt;/item&gt;&lt;item&gt;2&lt;/item&gt;&lt;item&gt;3&lt;/item&gt;&lt;item&gt;4&lt;/item&gt;&lt;item&gt;5&lt;/item&gt;&lt;item&gt;6&lt;/item&gt;&lt;item&gt;7&lt;/item&gt;&lt;item&gt;8&lt;/item&gt;&lt;item&gt;9&lt;/item&gt;&lt;item&gt;10&lt;/item&gt;&lt;item&gt;12&lt;/item&gt;&lt;item&gt;13&lt;/item&gt;&lt;item&gt;14&lt;/item&gt;&lt;item&gt;16&lt;/item&gt;&lt;item&gt;22&lt;/item&gt;&lt;item&gt;23&lt;/item&gt;&lt;item&gt;28&lt;/item&gt;&lt;item&gt;29&lt;/item&gt;&lt;item&gt;30&lt;/item&gt;&lt;item&gt;31&lt;/item&gt;&lt;item&gt;33&lt;/item&gt;&lt;item&gt;34&lt;/item&gt;&lt;item&gt;35&lt;/item&gt;&lt;item&gt;38&lt;/item&gt;&lt;item&gt;140&lt;/item&gt;&lt;item&gt;141&lt;/item&gt;&lt;item&gt;142&lt;/item&gt;&lt;/record-ids&gt;&lt;/item&gt;&lt;/Libraries&gt;"/>
  </w:docVars>
  <w:rsids>
    <w:rsidRoot w:val="00E06C99"/>
    <w:rsid w:val="00000985"/>
    <w:rsid w:val="00000BDC"/>
    <w:rsid w:val="00001110"/>
    <w:rsid w:val="00001708"/>
    <w:rsid w:val="00001DDE"/>
    <w:rsid w:val="000022AC"/>
    <w:rsid w:val="000029D3"/>
    <w:rsid w:val="00002A96"/>
    <w:rsid w:val="00002F07"/>
    <w:rsid w:val="00002FDE"/>
    <w:rsid w:val="00003494"/>
    <w:rsid w:val="00003565"/>
    <w:rsid w:val="000048EA"/>
    <w:rsid w:val="00004B85"/>
    <w:rsid w:val="00004D15"/>
    <w:rsid w:val="000067DE"/>
    <w:rsid w:val="00006FE8"/>
    <w:rsid w:val="0001015C"/>
    <w:rsid w:val="00010538"/>
    <w:rsid w:val="00010987"/>
    <w:rsid w:val="00011921"/>
    <w:rsid w:val="000126F9"/>
    <w:rsid w:val="000127F2"/>
    <w:rsid w:val="00013676"/>
    <w:rsid w:val="00013910"/>
    <w:rsid w:val="00014B2C"/>
    <w:rsid w:val="00014EE6"/>
    <w:rsid w:val="00015089"/>
    <w:rsid w:val="00015529"/>
    <w:rsid w:val="00016BE5"/>
    <w:rsid w:val="00016FDA"/>
    <w:rsid w:val="00017DF8"/>
    <w:rsid w:val="00020134"/>
    <w:rsid w:val="00021626"/>
    <w:rsid w:val="00021716"/>
    <w:rsid w:val="0002184B"/>
    <w:rsid w:val="00021AE1"/>
    <w:rsid w:val="00022440"/>
    <w:rsid w:val="00022809"/>
    <w:rsid w:val="000228B3"/>
    <w:rsid w:val="00022925"/>
    <w:rsid w:val="00023569"/>
    <w:rsid w:val="000239AB"/>
    <w:rsid w:val="00023A68"/>
    <w:rsid w:val="00023AA1"/>
    <w:rsid w:val="00023EAB"/>
    <w:rsid w:val="00024A73"/>
    <w:rsid w:val="0002539B"/>
    <w:rsid w:val="00026225"/>
    <w:rsid w:val="000264E6"/>
    <w:rsid w:val="000274EF"/>
    <w:rsid w:val="00027A85"/>
    <w:rsid w:val="00027ED6"/>
    <w:rsid w:val="0003061B"/>
    <w:rsid w:val="00030B85"/>
    <w:rsid w:val="00031A55"/>
    <w:rsid w:val="00031E4B"/>
    <w:rsid w:val="00032587"/>
    <w:rsid w:val="000325AB"/>
    <w:rsid w:val="000327AC"/>
    <w:rsid w:val="0003283D"/>
    <w:rsid w:val="00032B37"/>
    <w:rsid w:val="00032E6F"/>
    <w:rsid w:val="000336ED"/>
    <w:rsid w:val="00034A8D"/>
    <w:rsid w:val="00034B96"/>
    <w:rsid w:val="00035070"/>
    <w:rsid w:val="00035974"/>
    <w:rsid w:val="00035BC4"/>
    <w:rsid w:val="00035EF7"/>
    <w:rsid w:val="00036502"/>
    <w:rsid w:val="00036CCD"/>
    <w:rsid w:val="000373A0"/>
    <w:rsid w:val="00037547"/>
    <w:rsid w:val="00037FDA"/>
    <w:rsid w:val="00040A66"/>
    <w:rsid w:val="000411B9"/>
    <w:rsid w:val="0004149A"/>
    <w:rsid w:val="00043A0F"/>
    <w:rsid w:val="00043ADE"/>
    <w:rsid w:val="00044817"/>
    <w:rsid w:val="00044F89"/>
    <w:rsid w:val="000451BF"/>
    <w:rsid w:val="0004561B"/>
    <w:rsid w:val="00045D6E"/>
    <w:rsid w:val="000463F2"/>
    <w:rsid w:val="00046AE4"/>
    <w:rsid w:val="00046CC9"/>
    <w:rsid w:val="00047055"/>
    <w:rsid w:val="00047317"/>
    <w:rsid w:val="000474A9"/>
    <w:rsid w:val="0004769E"/>
    <w:rsid w:val="00047838"/>
    <w:rsid w:val="00047D84"/>
    <w:rsid w:val="00047F1D"/>
    <w:rsid w:val="00050269"/>
    <w:rsid w:val="00050D48"/>
    <w:rsid w:val="00050FB5"/>
    <w:rsid w:val="00051731"/>
    <w:rsid w:val="0005173D"/>
    <w:rsid w:val="0005175E"/>
    <w:rsid w:val="00051909"/>
    <w:rsid w:val="00052196"/>
    <w:rsid w:val="000521AE"/>
    <w:rsid w:val="00053296"/>
    <w:rsid w:val="00053606"/>
    <w:rsid w:val="00053D3D"/>
    <w:rsid w:val="00054317"/>
    <w:rsid w:val="0005468C"/>
    <w:rsid w:val="00054691"/>
    <w:rsid w:val="0005484C"/>
    <w:rsid w:val="00054D11"/>
    <w:rsid w:val="00055184"/>
    <w:rsid w:val="00055758"/>
    <w:rsid w:val="00056B6F"/>
    <w:rsid w:val="00056DCA"/>
    <w:rsid w:val="00057871"/>
    <w:rsid w:val="00057DB3"/>
    <w:rsid w:val="00060693"/>
    <w:rsid w:val="000607F3"/>
    <w:rsid w:val="00060AB2"/>
    <w:rsid w:val="000621C5"/>
    <w:rsid w:val="00063190"/>
    <w:rsid w:val="000639A9"/>
    <w:rsid w:val="00064137"/>
    <w:rsid w:val="000645CF"/>
    <w:rsid w:val="00064B7F"/>
    <w:rsid w:val="0006545C"/>
    <w:rsid w:val="0006646E"/>
    <w:rsid w:val="00066E04"/>
    <w:rsid w:val="00066EE4"/>
    <w:rsid w:val="00067786"/>
    <w:rsid w:val="00067F74"/>
    <w:rsid w:val="00067FDF"/>
    <w:rsid w:val="00070AD1"/>
    <w:rsid w:val="000715FC"/>
    <w:rsid w:val="000728E7"/>
    <w:rsid w:val="0007359B"/>
    <w:rsid w:val="00074582"/>
    <w:rsid w:val="00074B87"/>
    <w:rsid w:val="00075C5E"/>
    <w:rsid w:val="0007610F"/>
    <w:rsid w:val="000779CC"/>
    <w:rsid w:val="00077A0F"/>
    <w:rsid w:val="000806FB"/>
    <w:rsid w:val="00080C1E"/>
    <w:rsid w:val="0008105C"/>
    <w:rsid w:val="00081277"/>
    <w:rsid w:val="000816D2"/>
    <w:rsid w:val="000825A0"/>
    <w:rsid w:val="00082B0C"/>
    <w:rsid w:val="0008332E"/>
    <w:rsid w:val="0008360F"/>
    <w:rsid w:val="00083D89"/>
    <w:rsid w:val="00083E58"/>
    <w:rsid w:val="0008403D"/>
    <w:rsid w:val="000841AC"/>
    <w:rsid w:val="000854AB"/>
    <w:rsid w:val="00085535"/>
    <w:rsid w:val="000856EA"/>
    <w:rsid w:val="00085900"/>
    <w:rsid w:val="000859D5"/>
    <w:rsid w:val="00086049"/>
    <w:rsid w:val="000869F4"/>
    <w:rsid w:val="00087539"/>
    <w:rsid w:val="0009021F"/>
    <w:rsid w:val="00091483"/>
    <w:rsid w:val="0009161A"/>
    <w:rsid w:val="00092042"/>
    <w:rsid w:val="00092A54"/>
    <w:rsid w:val="00092DEF"/>
    <w:rsid w:val="000942D0"/>
    <w:rsid w:val="000944E1"/>
    <w:rsid w:val="00094873"/>
    <w:rsid w:val="000964E7"/>
    <w:rsid w:val="000A00CB"/>
    <w:rsid w:val="000A05CE"/>
    <w:rsid w:val="000A1048"/>
    <w:rsid w:val="000A1A03"/>
    <w:rsid w:val="000A1E12"/>
    <w:rsid w:val="000A38F7"/>
    <w:rsid w:val="000A414F"/>
    <w:rsid w:val="000A597D"/>
    <w:rsid w:val="000A65EF"/>
    <w:rsid w:val="000A6989"/>
    <w:rsid w:val="000A6B12"/>
    <w:rsid w:val="000A6E3F"/>
    <w:rsid w:val="000A6F89"/>
    <w:rsid w:val="000A7031"/>
    <w:rsid w:val="000A7898"/>
    <w:rsid w:val="000B088B"/>
    <w:rsid w:val="000B0912"/>
    <w:rsid w:val="000B0C44"/>
    <w:rsid w:val="000B1379"/>
    <w:rsid w:val="000B159A"/>
    <w:rsid w:val="000B1AA5"/>
    <w:rsid w:val="000B1D71"/>
    <w:rsid w:val="000B2562"/>
    <w:rsid w:val="000B26B4"/>
    <w:rsid w:val="000B3C13"/>
    <w:rsid w:val="000B3E2B"/>
    <w:rsid w:val="000B469A"/>
    <w:rsid w:val="000B5858"/>
    <w:rsid w:val="000B7F49"/>
    <w:rsid w:val="000B7F84"/>
    <w:rsid w:val="000C0D35"/>
    <w:rsid w:val="000C1772"/>
    <w:rsid w:val="000C1FF1"/>
    <w:rsid w:val="000C288E"/>
    <w:rsid w:val="000C34CE"/>
    <w:rsid w:val="000C34FF"/>
    <w:rsid w:val="000C3554"/>
    <w:rsid w:val="000C3A97"/>
    <w:rsid w:val="000C4CE3"/>
    <w:rsid w:val="000C6463"/>
    <w:rsid w:val="000C654D"/>
    <w:rsid w:val="000C6B65"/>
    <w:rsid w:val="000C6E81"/>
    <w:rsid w:val="000C725D"/>
    <w:rsid w:val="000C787B"/>
    <w:rsid w:val="000C7AF0"/>
    <w:rsid w:val="000C7F08"/>
    <w:rsid w:val="000D06A3"/>
    <w:rsid w:val="000D0830"/>
    <w:rsid w:val="000D0F9F"/>
    <w:rsid w:val="000D11C3"/>
    <w:rsid w:val="000D1619"/>
    <w:rsid w:val="000D203F"/>
    <w:rsid w:val="000D2854"/>
    <w:rsid w:val="000D2E15"/>
    <w:rsid w:val="000D2FED"/>
    <w:rsid w:val="000D368F"/>
    <w:rsid w:val="000D36F1"/>
    <w:rsid w:val="000D3799"/>
    <w:rsid w:val="000D3A05"/>
    <w:rsid w:val="000D3CBB"/>
    <w:rsid w:val="000D3F38"/>
    <w:rsid w:val="000D400D"/>
    <w:rsid w:val="000D468B"/>
    <w:rsid w:val="000D4773"/>
    <w:rsid w:val="000D48EC"/>
    <w:rsid w:val="000D4BDC"/>
    <w:rsid w:val="000D4DE8"/>
    <w:rsid w:val="000D4E4B"/>
    <w:rsid w:val="000D556B"/>
    <w:rsid w:val="000D579C"/>
    <w:rsid w:val="000D5800"/>
    <w:rsid w:val="000D5E7A"/>
    <w:rsid w:val="000D5FAE"/>
    <w:rsid w:val="000D6830"/>
    <w:rsid w:val="000D692E"/>
    <w:rsid w:val="000D6CAE"/>
    <w:rsid w:val="000D7D1E"/>
    <w:rsid w:val="000E00F6"/>
    <w:rsid w:val="000E0E8C"/>
    <w:rsid w:val="000E1335"/>
    <w:rsid w:val="000E1711"/>
    <w:rsid w:val="000E2D4D"/>
    <w:rsid w:val="000E2F49"/>
    <w:rsid w:val="000E36CB"/>
    <w:rsid w:val="000E3EB3"/>
    <w:rsid w:val="000E44AD"/>
    <w:rsid w:val="000E4521"/>
    <w:rsid w:val="000E48A1"/>
    <w:rsid w:val="000E48F7"/>
    <w:rsid w:val="000E5642"/>
    <w:rsid w:val="000E66C2"/>
    <w:rsid w:val="000E6A44"/>
    <w:rsid w:val="000E6FA1"/>
    <w:rsid w:val="000E7AC2"/>
    <w:rsid w:val="000E7EA8"/>
    <w:rsid w:val="000F04CD"/>
    <w:rsid w:val="000F0926"/>
    <w:rsid w:val="000F0A0F"/>
    <w:rsid w:val="000F1675"/>
    <w:rsid w:val="000F1C7C"/>
    <w:rsid w:val="000F1CE8"/>
    <w:rsid w:val="000F1EE4"/>
    <w:rsid w:val="000F235B"/>
    <w:rsid w:val="000F24B6"/>
    <w:rsid w:val="000F451D"/>
    <w:rsid w:val="000F4698"/>
    <w:rsid w:val="000F4BA3"/>
    <w:rsid w:val="000F4C1D"/>
    <w:rsid w:val="000F502F"/>
    <w:rsid w:val="000F5492"/>
    <w:rsid w:val="000F641B"/>
    <w:rsid w:val="000F67BD"/>
    <w:rsid w:val="000F6CCA"/>
    <w:rsid w:val="000F7F7C"/>
    <w:rsid w:val="0010003F"/>
    <w:rsid w:val="0010062B"/>
    <w:rsid w:val="0010084F"/>
    <w:rsid w:val="00100DED"/>
    <w:rsid w:val="00100F9E"/>
    <w:rsid w:val="00100FAB"/>
    <w:rsid w:val="001014E2"/>
    <w:rsid w:val="0010170B"/>
    <w:rsid w:val="00101824"/>
    <w:rsid w:val="001025AD"/>
    <w:rsid w:val="00102791"/>
    <w:rsid w:val="00102884"/>
    <w:rsid w:val="00102E28"/>
    <w:rsid w:val="00103053"/>
    <w:rsid w:val="00103E0C"/>
    <w:rsid w:val="00104008"/>
    <w:rsid w:val="0010468A"/>
    <w:rsid w:val="00105588"/>
    <w:rsid w:val="001059B9"/>
    <w:rsid w:val="0010655C"/>
    <w:rsid w:val="001076E0"/>
    <w:rsid w:val="001078C5"/>
    <w:rsid w:val="0010791A"/>
    <w:rsid w:val="00107ED5"/>
    <w:rsid w:val="00110332"/>
    <w:rsid w:val="001103F9"/>
    <w:rsid w:val="001107AE"/>
    <w:rsid w:val="00110A03"/>
    <w:rsid w:val="00111360"/>
    <w:rsid w:val="001117A7"/>
    <w:rsid w:val="00111FEC"/>
    <w:rsid w:val="00112163"/>
    <w:rsid w:val="00112DA0"/>
    <w:rsid w:val="001138FD"/>
    <w:rsid w:val="001165CA"/>
    <w:rsid w:val="00116725"/>
    <w:rsid w:val="0011697E"/>
    <w:rsid w:val="0012045C"/>
    <w:rsid w:val="00120B36"/>
    <w:rsid w:val="001214D2"/>
    <w:rsid w:val="001216F5"/>
    <w:rsid w:val="00121B1F"/>
    <w:rsid w:val="00121DC4"/>
    <w:rsid w:val="001223C8"/>
    <w:rsid w:val="00122E11"/>
    <w:rsid w:val="00123D4B"/>
    <w:rsid w:val="0012683F"/>
    <w:rsid w:val="00126D17"/>
    <w:rsid w:val="00130392"/>
    <w:rsid w:val="00130DA9"/>
    <w:rsid w:val="00131306"/>
    <w:rsid w:val="001317EA"/>
    <w:rsid w:val="00131A35"/>
    <w:rsid w:val="00131F73"/>
    <w:rsid w:val="001324F5"/>
    <w:rsid w:val="00132921"/>
    <w:rsid w:val="00132D8F"/>
    <w:rsid w:val="00132F04"/>
    <w:rsid w:val="001331EA"/>
    <w:rsid w:val="0013379E"/>
    <w:rsid w:val="00133FF3"/>
    <w:rsid w:val="001343BD"/>
    <w:rsid w:val="001345CA"/>
    <w:rsid w:val="00134866"/>
    <w:rsid w:val="001348A9"/>
    <w:rsid w:val="00134F5E"/>
    <w:rsid w:val="001352AC"/>
    <w:rsid w:val="0013681D"/>
    <w:rsid w:val="001371F1"/>
    <w:rsid w:val="0013789E"/>
    <w:rsid w:val="00137980"/>
    <w:rsid w:val="00140289"/>
    <w:rsid w:val="00140C3D"/>
    <w:rsid w:val="00140DD3"/>
    <w:rsid w:val="001421C3"/>
    <w:rsid w:val="001432A7"/>
    <w:rsid w:val="001432AF"/>
    <w:rsid w:val="0014363B"/>
    <w:rsid w:val="00143BD7"/>
    <w:rsid w:val="00143FEA"/>
    <w:rsid w:val="001445E3"/>
    <w:rsid w:val="00144CB4"/>
    <w:rsid w:val="00145029"/>
    <w:rsid w:val="00145AB1"/>
    <w:rsid w:val="00145D14"/>
    <w:rsid w:val="00145FD1"/>
    <w:rsid w:val="00146EA6"/>
    <w:rsid w:val="0015005F"/>
    <w:rsid w:val="0015088E"/>
    <w:rsid w:val="00151025"/>
    <w:rsid w:val="0015260A"/>
    <w:rsid w:val="001528D8"/>
    <w:rsid w:val="00154073"/>
    <w:rsid w:val="001541D6"/>
    <w:rsid w:val="00154A5F"/>
    <w:rsid w:val="0015567A"/>
    <w:rsid w:val="00155809"/>
    <w:rsid w:val="00155933"/>
    <w:rsid w:val="00155AAC"/>
    <w:rsid w:val="001561CF"/>
    <w:rsid w:val="00156ABC"/>
    <w:rsid w:val="0015703D"/>
    <w:rsid w:val="00160725"/>
    <w:rsid w:val="00160800"/>
    <w:rsid w:val="0016118E"/>
    <w:rsid w:val="0016158E"/>
    <w:rsid w:val="00161FF3"/>
    <w:rsid w:val="001625F0"/>
    <w:rsid w:val="001632C3"/>
    <w:rsid w:val="00165644"/>
    <w:rsid w:val="00165D85"/>
    <w:rsid w:val="001667BA"/>
    <w:rsid w:val="00170B00"/>
    <w:rsid w:val="00170E2C"/>
    <w:rsid w:val="0017137D"/>
    <w:rsid w:val="0017158E"/>
    <w:rsid w:val="001716DA"/>
    <w:rsid w:val="001717DD"/>
    <w:rsid w:val="00171A35"/>
    <w:rsid w:val="00171C81"/>
    <w:rsid w:val="00171EBA"/>
    <w:rsid w:val="00173568"/>
    <w:rsid w:val="001737B6"/>
    <w:rsid w:val="00173C44"/>
    <w:rsid w:val="00174A13"/>
    <w:rsid w:val="00174B1E"/>
    <w:rsid w:val="00174B65"/>
    <w:rsid w:val="00175464"/>
    <w:rsid w:val="00176589"/>
    <w:rsid w:val="0017697A"/>
    <w:rsid w:val="00176B11"/>
    <w:rsid w:val="00176B8E"/>
    <w:rsid w:val="00177355"/>
    <w:rsid w:val="00177C8B"/>
    <w:rsid w:val="0018009F"/>
    <w:rsid w:val="0018076D"/>
    <w:rsid w:val="00180CDD"/>
    <w:rsid w:val="00182622"/>
    <w:rsid w:val="00182E85"/>
    <w:rsid w:val="001835AF"/>
    <w:rsid w:val="001835C2"/>
    <w:rsid w:val="00185637"/>
    <w:rsid w:val="001861AA"/>
    <w:rsid w:val="00187334"/>
    <w:rsid w:val="00187760"/>
    <w:rsid w:val="00190209"/>
    <w:rsid w:val="00190705"/>
    <w:rsid w:val="00190E25"/>
    <w:rsid w:val="001913B6"/>
    <w:rsid w:val="00191466"/>
    <w:rsid w:val="00191B0D"/>
    <w:rsid w:val="00192375"/>
    <w:rsid w:val="001925D8"/>
    <w:rsid w:val="001925ED"/>
    <w:rsid w:val="00192AE6"/>
    <w:rsid w:val="001930AC"/>
    <w:rsid w:val="001937FF"/>
    <w:rsid w:val="00193AB1"/>
    <w:rsid w:val="00193EC0"/>
    <w:rsid w:val="00193FAB"/>
    <w:rsid w:val="0019534E"/>
    <w:rsid w:val="001954B6"/>
    <w:rsid w:val="00195A31"/>
    <w:rsid w:val="00196273"/>
    <w:rsid w:val="001967DC"/>
    <w:rsid w:val="0019689E"/>
    <w:rsid w:val="001A1491"/>
    <w:rsid w:val="001A16CB"/>
    <w:rsid w:val="001A170B"/>
    <w:rsid w:val="001A17F0"/>
    <w:rsid w:val="001A1FAD"/>
    <w:rsid w:val="001A1FCE"/>
    <w:rsid w:val="001A27BF"/>
    <w:rsid w:val="001A42A3"/>
    <w:rsid w:val="001A5A6D"/>
    <w:rsid w:val="001A6869"/>
    <w:rsid w:val="001A7385"/>
    <w:rsid w:val="001A766E"/>
    <w:rsid w:val="001A7EE6"/>
    <w:rsid w:val="001B0928"/>
    <w:rsid w:val="001B15D6"/>
    <w:rsid w:val="001B1767"/>
    <w:rsid w:val="001B1C50"/>
    <w:rsid w:val="001B25FC"/>
    <w:rsid w:val="001B34C2"/>
    <w:rsid w:val="001B3EB3"/>
    <w:rsid w:val="001B44A3"/>
    <w:rsid w:val="001B46C2"/>
    <w:rsid w:val="001B4D58"/>
    <w:rsid w:val="001B5849"/>
    <w:rsid w:val="001B62D5"/>
    <w:rsid w:val="001B6713"/>
    <w:rsid w:val="001B691D"/>
    <w:rsid w:val="001B70EF"/>
    <w:rsid w:val="001B71DC"/>
    <w:rsid w:val="001B7CD2"/>
    <w:rsid w:val="001C001D"/>
    <w:rsid w:val="001C0066"/>
    <w:rsid w:val="001C06AA"/>
    <w:rsid w:val="001C104C"/>
    <w:rsid w:val="001C1517"/>
    <w:rsid w:val="001C162D"/>
    <w:rsid w:val="001C1A45"/>
    <w:rsid w:val="001C1B9B"/>
    <w:rsid w:val="001C2163"/>
    <w:rsid w:val="001C2B64"/>
    <w:rsid w:val="001C2C47"/>
    <w:rsid w:val="001C2F21"/>
    <w:rsid w:val="001C39BB"/>
    <w:rsid w:val="001C3ACB"/>
    <w:rsid w:val="001C3B80"/>
    <w:rsid w:val="001C3E46"/>
    <w:rsid w:val="001C414B"/>
    <w:rsid w:val="001C41E1"/>
    <w:rsid w:val="001C4F24"/>
    <w:rsid w:val="001C50AD"/>
    <w:rsid w:val="001C522A"/>
    <w:rsid w:val="001C54CD"/>
    <w:rsid w:val="001C56FE"/>
    <w:rsid w:val="001C7242"/>
    <w:rsid w:val="001C7502"/>
    <w:rsid w:val="001D07FA"/>
    <w:rsid w:val="001D0A2B"/>
    <w:rsid w:val="001D0CA0"/>
    <w:rsid w:val="001D0EDF"/>
    <w:rsid w:val="001D13F1"/>
    <w:rsid w:val="001D1459"/>
    <w:rsid w:val="001D14FF"/>
    <w:rsid w:val="001D19BE"/>
    <w:rsid w:val="001D21DF"/>
    <w:rsid w:val="001D2F81"/>
    <w:rsid w:val="001D30D7"/>
    <w:rsid w:val="001D3CBC"/>
    <w:rsid w:val="001D4B2F"/>
    <w:rsid w:val="001D5135"/>
    <w:rsid w:val="001D580F"/>
    <w:rsid w:val="001D5B67"/>
    <w:rsid w:val="001D5BC2"/>
    <w:rsid w:val="001D6740"/>
    <w:rsid w:val="001D6785"/>
    <w:rsid w:val="001D6A62"/>
    <w:rsid w:val="001D6AD8"/>
    <w:rsid w:val="001D6E43"/>
    <w:rsid w:val="001D7148"/>
    <w:rsid w:val="001D78FD"/>
    <w:rsid w:val="001E0D95"/>
    <w:rsid w:val="001E0E74"/>
    <w:rsid w:val="001E11F7"/>
    <w:rsid w:val="001E12D1"/>
    <w:rsid w:val="001E17D5"/>
    <w:rsid w:val="001E181E"/>
    <w:rsid w:val="001E1840"/>
    <w:rsid w:val="001E1957"/>
    <w:rsid w:val="001E1D14"/>
    <w:rsid w:val="001E2784"/>
    <w:rsid w:val="001E36A8"/>
    <w:rsid w:val="001E3792"/>
    <w:rsid w:val="001E38C7"/>
    <w:rsid w:val="001E3D52"/>
    <w:rsid w:val="001E47BE"/>
    <w:rsid w:val="001E4924"/>
    <w:rsid w:val="001E4E06"/>
    <w:rsid w:val="001E6937"/>
    <w:rsid w:val="001E6979"/>
    <w:rsid w:val="001E6A04"/>
    <w:rsid w:val="001E7B33"/>
    <w:rsid w:val="001F087F"/>
    <w:rsid w:val="001F13AF"/>
    <w:rsid w:val="001F1F9F"/>
    <w:rsid w:val="001F2010"/>
    <w:rsid w:val="001F229F"/>
    <w:rsid w:val="001F2429"/>
    <w:rsid w:val="001F3A9F"/>
    <w:rsid w:val="001F3F45"/>
    <w:rsid w:val="001F42DC"/>
    <w:rsid w:val="001F43CF"/>
    <w:rsid w:val="001F47B8"/>
    <w:rsid w:val="001F736B"/>
    <w:rsid w:val="001F7488"/>
    <w:rsid w:val="001F74A7"/>
    <w:rsid w:val="001F7826"/>
    <w:rsid w:val="001F78CE"/>
    <w:rsid w:val="00200076"/>
    <w:rsid w:val="00200182"/>
    <w:rsid w:val="00200391"/>
    <w:rsid w:val="00201153"/>
    <w:rsid w:val="00201329"/>
    <w:rsid w:val="00202F13"/>
    <w:rsid w:val="00204325"/>
    <w:rsid w:val="002049A0"/>
    <w:rsid w:val="0020570F"/>
    <w:rsid w:val="00205893"/>
    <w:rsid w:val="00205BCE"/>
    <w:rsid w:val="00205D32"/>
    <w:rsid w:val="00205D95"/>
    <w:rsid w:val="00205E0E"/>
    <w:rsid w:val="00206124"/>
    <w:rsid w:val="002062F2"/>
    <w:rsid w:val="00206AAE"/>
    <w:rsid w:val="00211F51"/>
    <w:rsid w:val="00212573"/>
    <w:rsid w:val="0021281A"/>
    <w:rsid w:val="00213405"/>
    <w:rsid w:val="00213A2D"/>
    <w:rsid w:val="0021452D"/>
    <w:rsid w:val="002148B6"/>
    <w:rsid w:val="00214CD8"/>
    <w:rsid w:val="00214E12"/>
    <w:rsid w:val="00214E20"/>
    <w:rsid w:val="00215367"/>
    <w:rsid w:val="002153CA"/>
    <w:rsid w:val="00215825"/>
    <w:rsid w:val="00215A05"/>
    <w:rsid w:val="0021678C"/>
    <w:rsid w:val="00216993"/>
    <w:rsid w:val="00216BDE"/>
    <w:rsid w:val="00216F93"/>
    <w:rsid w:val="00217057"/>
    <w:rsid w:val="002172C5"/>
    <w:rsid w:val="0021758A"/>
    <w:rsid w:val="002175BD"/>
    <w:rsid w:val="002179E6"/>
    <w:rsid w:val="0022003A"/>
    <w:rsid w:val="002206ED"/>
    <w:rsid w:val="00220788"/>
    <w:rsid w:val="00220796"/>
    <w:rsid w:val="0022093D"/>
    <w:rsid w:val="00221347"/>
    <w:rsid w:val="00222201"/>
    <w:rsid w:val="002227A3"/>
    <w:rsid w:val="00222F2B"/>
    <w:rsid w:val="002233FC"/>
    <w:rsid w:val="002235B5"/>
    <w:rsid w:val="002242F5"/>
    <w:rsid w:val="0022434E"/>
    <w:rsid w:val="002243A1"/>
    <w:rsid w:val="00224461"/>
    <w:rsid w:val="002244DE"/>
    <w:rsid w:val="00224603"/>
    <w:rsid w:val="00225066"/>
    <w:rsid w:val="002254A0"/>
    <w:rsid w:val="00225E0F"/>
    <w:rsid w:val="00226123"/>
    <w:rsid w:val="002264CA"/>
    <w:rsid w:val="00227212"/>
    <w:rsid w:val="00227ACC"/>
    <w:rsid w:val="00227E87"/>
    <w:rsid w:val="00230EDF"/>
    <w:rsid w:val="00231529"/>
    <w:rsid w:val="0023200A"/>
    <w:rsid w:val="00232B0B"/>
    <w:rsid w:val="00233278"/>
    <w:rsid w:val="00233506"/>
    <w:rsid w:val="00233D05"/>
    <w:rsid w:val="00233DAB"/>
    <w:rsid w:val="002345FE"/>
    <w:rsid w:val="00234F9F"/>
    <w:rsid w:val="002353BE"/>
    <w:rsid w:val="00236042"/>
    <w:rsid w:val="002360B8"/>
    <w:rsid w:val="0023673C"/>
    <w:rsid w:val="002368DD"/>
    <w:rsid w:val="00236AAF"/>
    <w:rsid w:val="00236F70"/>
    <w:rsid w:val="0023774A"/>
    <w:rsid w:val="00237BC9"/>
    <w:rsid w:val="002402EC"/>
    <w:rsid w:val="00240797"/>
    <w:rsid w:val="00240C25"/>
    <w:rsid w:val="00240FB2"/>
    <w:rsid w:val="00241276"/>
    <w:rsid w:val="00241C1B"/>
    <w:rsid w:val="0024228B"/>
    <w:rsid w:val="00242D95"/>
    <w:rsid w:val="00242E5E"/>
    <w:rsid w:val="002449E2"/>
    <w:rsid w:val="00244FC6"/>
    <w:rsid w:val="0024522B"/>
    <w:rsid w:val="002452CB"/>
    <w:rsid w:val="00245C8B"/>
    <w:rsid w:val="002469DA"/>
    <w:rsid w:val="0025008F"/>
    <w:rsid w:val="00250741"/>
    <w:rsid w:val="00250D70"/>
    <w:rsid w:val="0025121F"/>
    <w:rsid w:val="00251763"/>
    <w:rsid w:val="002517A9"/>
    <w:rsid w:val="00252299"/>
    <w:rsid w:val="002524F1"/>
    <w:rsid w:val="002536BA"/>
    <w:rsid w:val="002541A2"/>
    <w:rsid w:val="002544D1"/>
    <w:rsid w:val="00254B11"/>
    <w:rsid w:val="002552E5"/>
    <w:rsid w:val="0025539D"/>
    <w:rsid w:val="00255F5D"/>
    <w:rsid w:val="00256033"/>
    <w:rsid w:val="0025709C"/>
    <w:rsid w:val="002572B5"/>
    <w:rsid w:val="002602C7"/>
    <w:rsid w:val="0026083A"/>
    <w:rsid w:val="0026137C"/>
    <w:rsid w:val="002613D0"/>
    <w:rsid w:val="00261CA3"/>
    <w:rsid w:val="0026280B"/>
    <w:rsid w:val="00262951"/>
    <w:rsid w:val="00262FC0"/>
    <w:rsid w:val="00263991"/>
    <w:rsid w:val="00263C04"/>
    <w:rsid w:val="00263C60"/>
    <w:rsid w:val="0026428D"/>
    <w:rsid w:val="00264CBB"/>
    <w:rsid w:val="002657B6"/>
    <w:rsid w:val="00265BDD"/>
    <w:rsid w:val="00265F94"/>
    <w:rsid w:val="002663B6"/>
    <w:rsid w:val="0026718C"/>
    <w:rsid w:val="00267374"/>
    <w:rsid w:val="002674A0"/>
    <w:rsid w:val="00267FFC"/>
    <w:rsid w:val="00271014"/>
    <w:rsid w:val="0027198C"/>
    <w:rsid w:val="002719DB"/>
    <w:rsid w:val="002733C6"/>
    <w:rsid w:val="00273C07"/>
    <w:rsid w:val="00274BB8"/>
    <w:rsid w:val="00274CE0"/>
    <w:rsid w:val="0027510F"/>
    <w:rsid w:val="00275136"/>
    <w:rsid w:val="0027517A"/>
    <w:rsid w:val="00275789"/>
    <w:rsid w:val="0027590A"/>
    <w:rsid w:val="00280133"/>
    <w:rsid w:val="002815DD"/>
    <w:rsid w:val="00281D2E"/>
    <w:rsid w:val="0028216E"/>
    <w:rsid w:val="00282382"/>
    <w:rsid w:val="002823DA"/>
    <w:rsid w:val="002825B2"/>
    <w:rsid w:val="002826B9"/>
    <w:rsid w:val="00282955"/>
    <w:rsid w:val="00282C48"/>
    <w:rsid w:val="002831FC"/>
    <w:rsid w:val="002836CA"/>
    <w:rsid w:val="0028374A"/>
    <w:rsid w:val="0028395D"/>
    <w:rsid w:val="00284117"/>
    <w:rsid w:val="0028419E"/>
    <w:rsid w:val="002844BE"/>
    <w:rsid w:val="0028502C"/>
    <w:rsid w:val="002851F3"/>
    <w:rsid w:val="002865D5"/>
    <w:rsid w:val="002866B2"/>
    <w:rsid w:val="00286A59"/>
    <w:rsid w:val="002870F8"/>
    <w:rsid w:val="002871D4"/>
    <w:rsid w:val="002872E2"/>
    <w:rsid w:val="00287306"/>
    <w:rsid w:val="002878E8"/>
    <w:rsid w:val="00287A5D"/>
    <w:rsid w:val="00287F1B"/>
    <w:rsid w:val="002911EC"/>
    <w:rsid w:val="00291293"/>
    <w:rsid w:val="00291436"/>
    <w:rsid w:val="00291AC7"/>
    <w:rsid w:val="00292DEB"/>
    <w:rsid w:val="002930AB"/>
    <w:rsid w:val="002932CF"/>
    <w:rsid w:val="00294962"/>
    <w:rsid w:val="00294C79"/>
    <w:rsid w:val="00294EF1"/>
    <w:rsid w:val="0029550E"/>
    <w:rsid w:val="00295E28"/>
    <w:rsid w:val="0029659E"/>
    <w:rsid w:val="0029681A"/>
    <w:rsid w:val="00297870"/>
    <w:rsid w:val="00297A5C"/>
    <w:rsid w:val="002A00E2"/>
    <w:rsid w:val="002A0254"/>
    <w:rsid w:val="002A0275"/>
    <w:rsid w:val="002A1024"/>
    <w:rsid w:val="002A1600"/>
    <w:rsid w:val="002A17AB"/>
    <w:rsid w:val="002A1DA3"/>
    <w:rsid w:val="002A234B"/>
    <w:rsid w:val="002A2681"/>
    <w:rsid w:val="002A38DC"/>
    <w:rsid w:val="002A3DB8"/>
    <w:rsid w:val="002A4418"/>
    <w:rsid w:val="002A4D41"/>
    <w:rsid w:val="002A51C1"/>
    <w:rsid w:val="002A59D7"/>
    <w:rsid w:val="002A6ADC"/>
    <w:rsid w:val="002A6B74"/>
    <w:rsid w:val="002A710A"/>
    <w:rsid w:val="002A797A"/>
    <w:rsid w:val="002A7B6E"/>
    <w:rsid w:val="002B00AE"/>
    <w:rsid w:val="002B0398"/>
    <w:rsid w:val="002B0511"/>
    <w:rsid w:val="002B0951"/>
    <w:rsid w:val="002B14B4"/>
    <w:rsid w:val="002B1967"/>
    <w:rsid w:val="002B1E8C"/>
    <w:rsid w:val="002B2220"/>
    <w:rsid w:val="002B22C6"/>
    <w:rsid w:val="002B24D9"/>
    <w:rsid w:val="002B299C"/>
    <w:rsid w:val="002B39E7"/>
    <w:rsid w:val="002B425D"/>
    <w:rsid w:val="002B44E8"/>
    <w:rsid w:val="002B47BB"/>
    <w:rsid w:val="002B4CDB"/>
    <w:rsid w:val="002B5827"/>
    <w:rsid w:val="002B5D4E"/>
    <w:rsid w:val="002B5DEB"/>
    <w:rsid w:val="002B6302"/>
    <w:rsid w:val="002B68E9"/>
    <w:rsid w:val="002B6943"/>
    <w:rsid w:val="002B6D4E"/>
    <w:rsid w:val="002B6FB3"/>
    <w:rsid w:val="002C0857"/>
    <w:rsid w:val="002C0B53"/>
    <w:rsid w:val="002C0BC7"/>
    <w:rsid w:val="002C113D"/>
    <w:rsid w:val="002C122E"/>
    <w:rsid w:val="002C1B1D"/>
    <w:rsid w:val="002C1E63"/>
    <w:rsid w:val="002C2176"/>
    <w:rsid w:val="002C23C2"/>
    <w:rsid w:val="002C3001"/>
    <w:rsid w:val="002C3394"/>
    <w:rsid w:val="002C40A2"/>
    <w:rsid w:val="002C40BF"/>
    <w:rsid w:val="002C4590"/>
    <w:rsid w:val="002C4FB3"/>
    <w:rsid w:val="002C521A"/>
    <w:rsid w:val="002C5D02"/>
    <w:rsid w:val="002C6CC8"/>
    <w:rsid w:val="002C6E02"/>
    <w:rsid w:val="002D0027"/>
    <w:rsid w:val="002D0345"/>
    <w:rsid w:val="002D07EA"/>
    <w:rsid w:val="002D085C"/>
    <w:rsid w:val="002D1312"/>
    <w:rsid w:val="002D1466"/>
    <w:rsid w:val="002D18C9"/>
    <w:rsid w:val="002D1AE8"/>
    <w:rsid w:val="002D1B62"/>
    <w:rsid w:val="002D3B94"/>
    <w:rsid w:val="002D4681"/>
    <w:rsid w:val="002D4C42"/>
    <w:rsid w:val="002D4F27"/>
    <w:rsid w:val="002D5B96"/>
    <w:rsid w:val="002D6A13"/>
    <w:rsid w:val="002D6BD1"/>
    <w:rsid w:val="002D7D6F"/>
    <w:rsid w:val="002D7D9C"/>
    <w:rsid w:val="002E0576"/>
    <w:rsid w:val="002E06A7"/>
    <w:rsid w:val="002E0FEA"/>
    <w:rsid w:val="002E15A0"/>
    <w:rsid w:val="002E177B"/>
    <w:rsid w:val="002E191A"/>
    <w:rsid w:val="002E1CAD"/>
    <w:rsid w:val="002E2A3D"/>
    <w:rsid w:val="002E4628"/>
    <w:rsid w:val="002E469D"/>
    <w:rsid w:val="002E48A2"/>
    <w:rsid w:val="002E50A4"/>
    <w:rsid w:val="002E65C3"/>
    <w:rsid w:val="002E770C"/>
    <w:rsid w:val="002F0021"/>
    <w:rsid w:val="002F00C8"/>
    <w:rsid w:val="002F0B3A"/>
    <w:rsid w:val="002F1858"/>
    <w:rsid w:val="002F1AB8"/>
    <w:rsid w:val="002F1D33"/>
    <w:rsid w:val="002F2175"/>
    <w:rsid w:val="002F242F"/>
    <w:rsid w:val="002F3E7E"/>
    <w:rsid w:val="002F4AED"/>
    <w:rsid w:val="002F4EC2"/>
    <w:rsid w:val="002F5F2E"/>
    <w:rsid w:val="002F6054"/>
    <w:rsid w:val="002F639F"/>
    <w:rsid w:val="002F6736"/>
    <w:rsid w:val="002F6B56"/>
    <w:rsid w:val="002F73D6"/>
    <w:rsid w:val="002F75FB"/>
    <w:rsid w:val="003005FD"/>
    <w:rsid w:val="0030122A"/>
    <w:rsid w:val="00301A3F"/>
    <w:rsid w:val="00302288"/>
    <w:rsid w:val="003028EB"/>
    <w:rsid w:val="00302996"/>
    <w:rsid w:val="00302FD5"/>
    <w:rsid w:val="00303081"/>
    <w:rsid w:val="00303CE3"/>
    <w:rsid w:val="0030403E"/>
    <w:rsid w:val="00304748"/>
    <w:rsid w:val="0030534F"/>
    <w:rsid w:val="003066CF"/>
    <w:rsid w:val="00306AD1"/>
    <w:rsid w:val="0030715B"/>
    <w:rsid w:val="00307D9B"/>
    <w:rsid w:val="003101E0"/>
    <w:rsid w:val="003102F3"/>
    <w:rsid w:val="0031158D"/>
    <w:rsid w:val="0031174A"/>
    <w:rsid w:val="003136F0"/>
    <w:rsid w:val="003137D8"/>
    <w:rsid w:val="00314340"/>
    <w:rsid w:val="00314899"/>
    <w:rsid w:val="0031577E"/>
    <w:rsid w:val="00315796"/>
    <w:rsid w:val="00316117"/>
    <w:rsid w:val="00316289"/>
    <w:rsid w:val="00316877"/>
    <w:rsid w:val="00317BF3"/>
    <w:rsid w:val="003201E8"/>
    <w:rsid w:val="0032021D"/>
    <w:rsid w:val="00320396"/>
    <w:rsid w:val="00320E07"/>
    <w:rsid w:val="0032103D"/>
    <w:rsid w:val="0032219B"/>
    <w:rsid w:val="00324182"/>
    <w:rsid w:val="003243B6"/>
    <w:rsid w:val="003247A3"/>
    <w:rsid w:val="0032506B"/>
    <w:rsid w:val="00325205"/>
    <w:rsid w:val="00325727"/>
    <w:rsid w:val="00325A59"/>
    <w:rsid w:val="00325EC4"/>
    <w:rsid w:val="00326640"/>
    <w:rsid w:val="0032672F"/>
    <w:rsid w:val="00326C2D"/>
    <w:rsid w:val="00326D1F"/>
    <w:rsid w:val="00327033"/>
    <w:rsid w:val="00327510"/>
    <w:rsid w:val="003279BF"/>
    <w:rsid w:val="0033017F"/>
    <w:rsid w:val="0033046A"/>
    <w:rsid w:val="00330AA2"/>
    <w:rsid w:val="00330C51"/>
    <w:rsid w:val="00330CE0"/>
    <w:rsid w:val="00331166"/>
    <w:rsid w:val="00331638"/>
    <w:rsid w:val="0033173F"/>
    <w:rsid w:val="00331B22"/>
    <w:rsid w:val="00331BD2"/>
    <w:rsid w:val="00332564"/>
    <w:rsid w:val="00332B05"/>
    <w:rsid w:val="00332EE9"/>
    <w:rsid w:val="00332FE7"/>
    <w:rsid w:val="003332F1"/>
    <w:rsid w:val="0033341A"/>
    <w:rsid w:val="00334065"/>
    <w:rsid w:val="00335187"/>
    <w:rsid w:val="00335669"/>
    <w:rsid w:val="00335C53"/>
    <w:rsid w:val="003360FE"/>
    <w:rsid w:val="00336530"/>
    <w:rsid w:val="00336CCE"/>
    <w:rsid w:val="00336D5A"/>
    <w:rsid w:val="00336DFE"/>
    <w:rsid w:val="00337419"/>
    <w:rsid w:val="00337478"/>
    <w:rsid w:val="00337589"/>
    <w:rsid w:val="00337992"/>
    <w:rsid w:val="00337DC2"/>
    <w:rsid w:val="0034031B"/>
    <w:rsid w:val="003404C5"/>
    <w:rsid w:val="003411C8"/>
    <w:rsid w:val="0034186C"/>
    <w:rsid w:val="00341ACD"/>
    <w:rsid w:val="00341B92"/>
    <w:rsid w:val="00342A96"/>
    <w:rsid w:val="003436F2"/>
    <w:rsid w:val="003438C9"/>
    <w:rsid w:val="00344CF5"/>
    <w:rsid w:val="00344DA5"/>
    <w:rsid w:val="00345AA8"/>
    <w:rsid w:val="00345C68"/>
    <w:rsid w:val="00345E08"/>
    <w:rsid w:val="00346319"/>
    <w:rsid w:val="00346483"/>
    <w:rsid w:val="00347312"/>
    <w:rsid w:val="0034732F"/>
    <w:rsid w:val="003476C8"/>
    <w:rsid w:val="0034772A"/>
    <w:rsid w:val="00347E95"/>
    <w:rsid w:val="00350386"/>
    <w:rsid w:val="0035161D"/>
    <w:rsid w:val="00352538"/>
    <w:rsid w:val="0035427A"/>
    <w:rsid w:val="00354312"/>
    <w:rsid w:val="0035432D"/>
    <w:rsid w:val="00354A04"/>
    <w:rsid w:val="0035519E"/>
    <w:rsid w:val="0035540E"/>
    <w:rsid w:val="0035604F"/>
    <w:rsid w:val="0035616B"/>
    <w:rsid w:val="00356943"/>
    <w:rsid w:val="00356C1B"/>
    <w:rsid w:val="00356DE8"/>
    <w:rsid w:val="00357C5D"/>
    <w:rsid w:val="00357E33"/>
    <w:rsid w:val="00360A48"/>
    <w:rsid w:val="00360A65"/>
    <w:rsid w:val="003614B7"/>
    <w:rsid w:val="00361A49"/>
    <w:rsid w:val="00361B45"/>
    <w:rsid w:val="00361CB5"/>
    <w:rsid w:val="00361DE6"/>
    <w:rsid w:val="0036207C"/>
    <w:rsid w:val="00362BAF"/>
    <w:rsid w:val="00362D9F"/>
    <w:rsid w:val="00362DAE"/>
    <w:rsid w:val="0036363B"/>
    <w:rsid w:val="003652AF"/>
    <w:rsid w:val="00365B8F"/>
    <w:rsid w:val="00365C49"/>
    <w:rsid w:val="00365D13"/>
    <w:rsid w:val="003666B6"/>
    <w:rsid w:val="00366FCD"/>
    <w:rsid w:val="00370C36"/>
    <w:rsid w:val="003710E7"/>
    <w:rsid w:val="003717B4"/>
    <w:rsid w:val="00371E39"/>
    <w:rsid w:val="00371E7F"/>
    <w:rsid w:val="00372067"/>
    <w:rsid w:val="00372084"/>
    <w:rsid w:val="00372E70"/>
    <w:rsid w:val="00373516"/>
    <w:rsid w:val="00373CE1"/>
    <w:rsid w:val="00373DD0"/>
    <w:rsid w:val="003743A2"/>
    <w:rsid w:val="0037452F"/>
    <w:rsid w:val="0037484D"/>
    <w:rsid w:val="0037543C"/>
    <w:rsid w:val="003755DE"/>
    <w:rsid w:val="003757F5"/>
    <w:rsid w:val="00375F9A"/>
    <w:rsid w:val="003803C4"/>
    <w:rsid w:val="00380A18"/>
    <w:rsid w:val="00382162"/>
    <w:rsid w:val="00383017"/>
    <w:rsid w:val="0038316F"/>
    <w:rsid w:val="003837B4"/>
    <w:rsid w:val="00383F1E"/>
    <w:rsid w:val="00383F85"/>
    <w:rsid w:val="003849F7"/>
    <w:rsid w:val="00385540"/>
    <w:rsid w:val="00385BA1"/>
    <w:rsid w:val="00385CE9"/>
    <w:rsid w:val="00385F92"/>
    <w:rsid w:val="00385FE9"/>
    <w:rsid w:val="00386B5B"/>
    <w:rsid w:val="003876FC"/>
    <w:rsid w:val="00387756"/>
    <w:rsid w:val="00387A84"/>
    <w:rsid w:val="00390797"/>
    <w:rsid w:val="003908E9"/>
    <w:rsid w:val="003909A7"/>
    <w:rsid w:val="00390A8B"/>
    <w:rsid w:val="003924D0"/>
    <w:rsid w:val="00393119"/>
    <w:rsid w:val="00393128"/>
    <w:rsid w:val="003933BA"/>
    <w:rsid w:val="00393BD4"/>
    <w:rsid w:val="0039462B"/>
    <w:rsid w:val="00394BF3"/>
    <w:rsid w:val="00394E18"/>
    <w:rsid w:val="0039543A"/>
    <w:rsid w:val="00395850"/>
    <w:rsid w:val="00396014"/>
    <w:rsid w:val="003962DD"/>
    <w:rsid w:val="003972E8"/>
    <w:rsid w:val="003A0162"/>
    <w:rsid w:val="003A01BE"/>
    <w:rsid w:val="003A09BF"/>
    <w:rsid w:val="003A0A7B"/>
    <w:rsid w:val="003A1533"/>
    <w:rsid w:val="003A2429"/>
    <w:rsid w:val="003A259E"/>
    <w:rsid w:val="003A2893"/>
    <w:rsid w:val="003A32E3"/>
    <w:rsid w:val="003A35CA"/>
    <w:rsid w:val="003A3C18"/>
    <w:rsid w:val="003A434B"/>
    <w:rsid w:val="003A46D9"/>
    <w:rsid w:val="003A493E"/>
    <w:rsid w:val="003A5241"/>
    <w:rsid w:val="003A6138"/>
    <w:rsid w:val="003A6152"/>
    <w:rsid w:val="003A63FC"/>
    <w:rsid w:val="003A65BF"/>
    <w:rsid w:val="003A75D2"/>
    <w:rsid w:val="003A7DB6"/>
    <w:rsid w:val="003A7F80"/>
    <w:rsid w:val="003B0ACE"/>
    <w:rsid w:val="003B0D38"/>
    <w:rsid w:val="003B11CD"/>
    <w:rsid w:val="003B1F00"/>
    <w:rsid w:val="003B2564"/>
    <w:rsid w:val="003B2EC1"/>
    <w:rsid w:val="003B3AEC"/>
    <w:rsid w:val="003B3B8A"/>
    <w:rsid w:val="003B3D60"/>
    <w:rsid w:val="003B3D83"/>
    <w:rsid w:val="003B4658"/>
    <w:rsid w:val="003B4867"/>
    <w:rsid w:val="003B4BED"/>
    <w:rsid w:val="003B4FCE"/>
    <w:rsid w:val="003B5195"/>
    <w:rsid w:val="003B532C"/>
    <w:rsid w:val="003B59FC"/>
    <w:rsid w:val="003B64C4"/>
    <w:rsid w:val="003B6AAD"/>
    <w:rsid w:val="003B70AC"/>
    <w:rsid w:val="003B75C3"/>
    <w:rsid w:val="003C0DEA"/>
    <w:rsid w:val="003C0FC8"/>
    <w:rsid w:val="003C13B4"/>
    <w:rsid w:val="003C3A0C"/>
    <w:rsid w:val="003C3E0F"/>
    <w:rsid w:val="003C4191"/>
    <w:rsid w:val="003C4D7C"/>
    <w:rsid w:val="003C5075"/>
    <w:rsid w:val="003C5454"/>
    <w:rsid w:val="003C5764"/>
    <w:rsid w:val="003C5D1F"/>
    <w:rsid w:val="003C5D94"/>
    <w:rsid w:val="003C61FB"/>
    <w:rsid w:val="003C7041"/>
    <w:rsid w:val="003C70EF"/>
    <w:rsid w:val="003C71A7"/>
    <w:rsid w:val="003C7508"/>
    <w:rsid w:val="003D0288"/>
    <w:rsid w:val="003D1463"/>
    <w:rsid w:val="003D1D70"/>
    <w:rsid w:val="003D2C20"/>
    <w:rsid w:val="003D3F88"/>
    <w:rsid w:val="003D40D2"/>
    <w:rsid w:val="003D4246"/>
    <w:rsid w:val="003D4E50"/>
    <w:rsid w:val="003D4F9A"/>
    <w:rsid w:val="003D571F"/>
    <w:rsid w:val="003D57BB"/>
    <w:rsid w:val="003D5FC1"/>
    <w:rsid w:val="003D60FC"/>
    <w:rsid w:val="003D6259"/>
    <w:rsid w:val="003D6933"/>
    <w:rsid w:val="003D7264"/>
    <w:rsid w:val="003D7539"/>
    <w:rsid w:val="003E0534"/>
    <w:rsid w:val="003E05C8"/>
    <w:rsid w:val="003E0A1A"/>
    <w:rsid w:val="003E0B5D"/>
    <w:rsid w:val="003E146D"/>
    <w:rsid w:val="003E1A21"/>
    <w:rsid w:val="003E244D"/>
    <w:rsid w:val="003E29F7"/>
    <w:rsid w:val="003E389A"/>
    <w:rsid w:val="003E40A0"/>
    <w:rsid w:val="003E4173"/>
    <w:rsid w:val="003E4885"/>
    <w:rsid w:val="003E4A64"/>
    <w:rsid w:val="003E4DE8"/>
    <w:rsid w:val="003E6000"/>
    <w:rsid w:val="003E6600"/>
    <w:rsid w:val="003E67BB"/>
    <w:rsid w:val="003E67E1"/>
    <w:rsid w:val="003E695A"/>
    <w:rsid w:val="003E72FA"/>
    <w:rsid w:val="003E7EAE"/>
    <w:rsid w:val="003F067A"/>
    <w:rsid w:val="003F0E7E"/>
    <w:rsid w:val="003F16AF"/>
    <w:rsid w:val="003F1C29"/>
    <w:rsid w:val="003F254D"/>
    <w:rsid w:val="003F261F"/>
    <w:rsid w:val="003F2970"/>
    <w:rsid w:val="003F2A32"/>
    <w:rsid w:val="003F3C43"/>
    <w:rsid w:val="003F40D7"/>
    <w:rsid w:val="003F4520"/>
    <w:rsid w:val="003F4DD5"/>
    <w:rsid w:val="003F4E11"/>
    <w:rsid w:val="003F6242"/>
    <w:rsid w:val="003F6938"/>
    <w:rsid w:val="003F6F31"/>
    <w:rsid w:val="003F777E"/>
    <w:rsid w:val="003F7860"/>
    <w:rsid w:val="0040066B"/>
    <w:rsid w:val="004009B6"/>
    <w:rsid w:val="00402F22"/>
    <w:rsid w:val="004041F1"/>
    <w:rsid w:val="0040486B"/>
    <w:rsid w:val="00405E91"/>
    <w:rsid w:val="00406136"/>
    <w:rsid w:val="00406526"/>
    <w:rsid w:val="00406738"/>
    <w:rsid w:val="004068E9"/>
    <w:rsid w:val="00406CF7"/>
    <w:rsid w:val="00406F6D"/>
    <w:rsid w:val="00407A01"/>
    <w:rsid w:val="0041098C"/>
    <w:rsid w:val="00410FB3"/>
    <w:rsid w:val="00411962"/>
    <w:rsid w:val="00412093"/>
    <w:rsid w:val="004128F2"/>
    <w:rsid w:val="00412A73"/>
    <w:rsid w:val="00412D0F"/>
    <w:rsid w:val="00413186"/>
    <w:rsid w:val="0041389D"/>
    <w:rsid w:val="004138FB"/>
    <w:rsid w:val="00413CE3"/>
    <w:rsid w:val="00414768"/>
    <w:rsid w:val="00415380"/>
    <w:rsid w:val="00415E1E"/>
    <w:rsid w:val="00415F5F"/>
    <w:rsid w:val="0041626B"/>
    <w:rsid w:val="004162B8"/>
    <w:rsid w:val="004163A2"/>
    <w:rsid w:val="004168FD"/>
    <w:rsid w:val="00417817"/>
    <w:rsid w:val="0042005B"/>
    <w:rsid w:val="00420D07"/>
    <w:rsid w:val="00421267"/>
    <w:rsid w:val="004215E8"/>
    <w:rsid w:val="00423E9A"/>
    <w:rsid w:val="004246B4"/>
    <w:rsid w:val="00424C53"/>
    <w:rsid w:val="00424DB1"/>
    <w:rsid w:val="0042693D"/>
    <w:rsid w:val="004271DA"/>
    <w:rsid w:val="0042722B"/>
    <w:rsid w:val="0042725B"/>
    <w:rsid w:val="0042764D"/>
    <w:rsid w:val="004277AA"/>
    <w:rsid w:val="00427C90"/>
    <w:rsid w:val="004307D5"/>
    <w:rsid w:val="00430876"/>
    <w:rsid w:val="00430A9A"/>
    <w:rsid w:val="00430D6A"/>
    <w:rsid w:val="00431381"/>
    <w:rsid w:val="00431481"/>
    <w:rsid w:val="004326BC"/>
    <w:rsid w:val="00432D8B"/>
    <w:rsid w:val="00432DEF"/>
    <w:rsid w:val="00432E88"/>
    <w:rsid w:val="00432ECB"/>
    <w:rsid w:val="00432FD3"/>
    <w:rsid w:val="00433100"/>
    <w:rsid w:val="00433562"/>
    <w:rsid w:val="00434609"/>
    <w:rsid w:val="004346B4"/>
    <w:rsid w:val="00434F5A"/>
    <w:rsid w:val="0043611A"/>
    <w:rsid w:val="00436933"/>
    <w:rsid w:val="00436D3F"/>
    <w:rsid w:val="00437052"/>
    <w:rsid w:val="00437765"/>
    <w:rsid w:val="0044075F"/>
    <w:rsid w:val="00440D95"/>
    <w:rsid w:val="004413F0"/>
    <w:rsid w:val="00441867"/>
    <w:rsid w:val="00441BF6"/>
    <w:rsid w:val="004421BC"/>
    <w:rsid w:val="00442481"/>
    <w:rsid w:val="00442A53"/>
    <w:rsid w:val="00443E1C"/>
    <w:rsid w:val="00444AB5"/>
    <w:rsid w:val="00444E09"/>
    <w:rsid w:val="00445367"/>
    <w:rsid w:val="0044661F"/>
    <w:rsid w:val="00446661"/>
    <w:rsid w:val="00446BD2"/>
    <w:rsid w:val="00446DB6"/>
    <w:rsid w:val="00446EA2"/>
    <w:rsid w:val="00447350"/>
    <w:rsid w:val="0044773C"/>
    <w:rsid w:val="0044775F"/>
    <w:rsid w:val="0044795C"/>
    <w:rsid w:val="00447D30"/>
    <w:rsid w:val="00447EF1"/>
    <w:rsid w:val="0045026E"/>
    <w:rsid w:val="004502CB"/>
    <w:rsid w:val="004507B4"/>
    <w:rsid w:val="00451F7E"/>
    <w:rsid w:val="004524D9"/>
    <w:rsid w:val="00452FAD"/>
    <w:rsid w:val="00453434"/>
    <w:rsid w:val="0045398C"/>
    <w:rsid w:val="00453C61"/>
    <w:rsid w:val="00453F53"/>
    <w:rsid w:val="004540CF"/>
    <w:rsid w:val="00454204"/>
    <w:rsid w:val="00454220"/>
    <w:rsid w:val="00455340"/>
    <w:rsid w:val="004558E8"/>
    <w:rsid w:val="00456AF5"/>
    <w:rsid w:val="0045726C"/>
    <w:rsid w:val="004602E3"/>
    <w:rsid w:val="0046140B"/>
    <w:rsid w:val="00461416"/>
    <w:rsid w:val="00461D26"/>
    <w:rsid w:val="00461EB8"/>
    <w:rsid w:val="004620A4"/>
    <w:rsid w:val="004621D9"/>
    <w:rsid w:val="00462CAB"/>
    <w:rsid w:val="00462D59"/>
    <w:rsid w:val="00463573"/>
    <w:rsid w:val="00463614"/>
    <w:rsid w:val="004639DC"/>
    <w:rsid w:val="0046416E"/>
    <w:rsid w:val="00464366"/>
    <w:rsid w:val="00464B2A"/>
    <w:rsid w:val="004651BE"/>
    <w:rsid w:val="004651D0"/>
    <w:rsid w:val="00465E62"/>
    <w:rsid w:val="004661C0"/>
    <w:rsid w:val="00467999"/>
    <w:rsid w:val="00467EAD"/>
    <w:rsid w:val="00470DAB"/>
    <w:rsid w:val="00470F9F"/>
    <w:rsid w:val="00471D2C"/>
    <w:rsid w:val="0047231D"/>
    <w:rsid w:val="0047290F"/>
    <w:rsid w:val="00472EC9"/>
    <w:rsid w:val="00472F3E"/>
    <w:rsid w:val="004737E8"/>
    <w:rsid w:val="004739A0"/>
    <w:rsid w:val="004739BB"/>
    <w:rsid w:val="0047432D"/>
    <w:rsid w:val="00475FA3"/>
    <w:rsid w:val="00476C25"/>
    <w:rsid w:val="0047707A"/>
    <w:rsid w:val="004772EC"/>
    <w:rsid w:val="00480088"/>
    <w:rsid w:val="0048109D"/>
    <w:rsid w:val="00481B0F"/>
    <w:rsid w:val="00481FDE"/>
    <w:rsid w:val="004823BB"/>
    <w:rsid w:val="00482A88"/>
    <w:rsid w:val="00482B1A"/>
    <w:rsid w:val="00483A13"/>
    <w:rsid w:val="00483A42"/>
    <w:rsid w:val="00483B2E"/>
    <w:rsid w:val="00484C8B"/>
    <w:rsid w:val="00485149"/>
    <w:rsid w:val="0048517B"/>
    <w:rsid w:val="00485AAA"/>
    <w:rsid w:val="00486828"/>
    <w:rsid w:val="00486B75"/>
    <w:rsid w:val="0048721F"/>
    <w:rsid w:val="00487597"/>
    <w:rsid w:val="0048772A"/>
    <w:rsid w:val="004905EC"/>
    <w:rsid w:val="00491400"/>
    <w:rsid w:val="00492332"/>
    <w:rsid w:val="0049260F"/>
    <w:rsid w:val="004926AF"/>
    <w:rsid w:val="00492BDB"/>
    <w:rsid w:val="00492C36"/>
    <w:rsid w:val="00492DD9"/>
    <w:rsid w:val="00492E5C"/>
    <w:rsid w:val="00493CCC"/>
    <w:rsid w:val="00493EF8"/>
    <w:rsid w:val="0049465E"/>
    <w:rsid w:val="00494754"/>
    <w:rsid w:val="00494A5F"/>
    <w:rsid w:val="00494DF8"/>
    <w:rsid w:val="00494EFE"/>
    <w:rsid w:val="00496C6D"/>
    <w:rsid w:val="00496DD6"/>
    <w:rsid w:val="004A0653"/>
    <w:rsid w:val="004A0C91"/>
    <w:rsid w:val="004A0DA2"/>
    <w:rsid w:val="004A1B61"/>
    <w:rsid w:val="004A3857"/>
    <w:rsid w:val="004A3E66"/>
    <w:rsid w:val="004A4224"/>
    <w:rsid w:val="004A4482"/>
    <w:rsid w:val="004A45AC"/>
    <w:rsid w:val="004A48F0"/>
    <w:rsid w:val="004A4C9E"/>
    <w:rsid w:val="004A5859"/>
    <w:rsid w:val="004A59AB"/>
    <w:rsid w:val="004A5CE8"/>
    <w:rsid w:val="004A6CE3"/>
    <w:rsid w:val="004A6D81"/>
    <w:rsid w:val="004A6F57"/>
    <w:rsid w:val="004A70D8"/>
    <w:rsid w:val="004A77C3"/>
    <w:rsid w:val="004A7A26"/>
    <w:rsid w:val="004B0E1B"/>
    <w:rsid w:val="004B0EA4"/>
    <w:rsid w:val="004B17EA"/>
    <w:rsid w:val="004B1F26"/>
    <w:rsid w:val="004B1F36"/>
    <w:rsid w:val="004B2A8E"/>
    <w:rsid w:val="004B2E0B"/>
    <w:rsid w:val="004B2E63"/>
    <w:rsid w:val="004B3AAD"/>
    <w:rsid w:val="004B410F"/>
    <w:rsid w:val="004B4349"/>
    <w:rsid w:val="004B4446"/>
    <w:rsid w:val="004B4902"/>
    <w:rsid w:val="004B4A7C"/>
    <w:rsid w:val="004B4E04"/>
    <w:rsid w:val="004B5200"/>
    <w:rsid w:val="004B529A"/>
    <w:rsid w:val="004B5409"/>
    <w:rsid w:val="004B5851"/>
    <w:rsid w:val="004B5D4D"/>
    <w:rsid w:val="004B5F9F"/>
    <w:rsid w:val="004B61AA"/>
    <w:rsid w:val="004B6702"/>
    <w:rsid w:val="004B6FFD"/>
    <w:rsid w:val="004B72E3"/>
    <w:rsid w:val="004B7539"/>
    <w:rsid w:val="004B7EEF"/>
    <w:rsid w:val="004C012F"/>
    <w:rsid w:val="004C02B3"/>
    <w:rsid w:val="004C1102"/>
    <w:rsid w:val="004C2EE8"/>
    <w:rsid w:val="004C2EEC"/>
    <w:rsid w:val="004C394B"/>
    <w:rsid w:val="004C39AB"/>
    <w:rsid w:val="004C3B33"/>
    <w:rsid w:val="004C3E6E"/>
    <w:rsid w:val="004C468F"/>
    <w:rsid w:val="004C4748"/>
    <w:rsid w:val="004C498B"/>
    <w:rsid w:val="004C4A13"/>
    <w:rsid w:val="004C4E14"/>
    <w:rsid w:val="004C56EB"/>
    <w:rsid w:val="004C5756"/>
    <w:rsid w:val="004C5C28"/>
    <w:rsid w:val="004C5CED"/>
    <w:rsid w:val="004C6AEE"/>
    <w:rsid w:val="004C7464"/>
    <w:rsid w:val="004C7A0C"/>
    <w:rsid w:val="004D0578"/>
    <w:rsid w:val="004D0C85"/>
    <w:rsid w:val="004D0CDC"/>
    <w:rsid w:val="004D0FBF"/>
    <w:rsid w:val="004D1400"/>
    <w:rsid w:val="004D19E3"/>
    <w:rsid w:val="004D201A"/>
    <w:rsid w:val="004D2086"/>
    <w:rsid w:val="004D22A1"/>
    <w:rsid w:val="004D3A0D"/>
    <w:rsid w:val="004D3AD7"/>
    <w:rsid w:val="004D4886"/>
    <w:rsid w:val="004D519E"/>
    <w:rsid w:val="004D53F3"/>
    <w:rsid w:val="004D5C4E"/>
    <w:rsid w:val="004D6EB8"/>
    <w:rsid w:val="004D74DC"/>
    <w:rsid w:val="004D770F"/>
    <w:rsid w:val="004D7D7E"/>
    <w:rsid w:val="004E07CB"/>
    <w:rsid w:val="004E086B"/>
    <w:rsid w:val="004E0943"/>
    <w:rsid w:val="004E0A66"/>
    <w:rsid w:val="004E19B2"/>
    <w:rsid w:val="004E1A75"/>
    <w:rsid w:val="004E233E"/>
    <w:rsid w:val="004E2F3E"/>
    <w:rsid w:val="004E3173"/>
    <w:rsid w:val="004E3363"/>
    <w:rsid w:val="004E3FF9"/>
    <w:rsid w:val="004E443D"/>
    <w:rsid w:val="004E4691"/>
    <w:rsid w:val="004E479E"/>
    <w:rsid w:val="004E4948"/>
    <w:rsid w:val="004E4AA5"/>
    <w:rsid w:val="004E5268"/>
    <w:rsid w:val="004E5572"/>
    <w:rsid w:val="004E5832"/>
    <w:rsid w:val="004E5B68"/>
    <w:rsid w:val="004E5FA0"/>
    <w:rsid w:val="004E6147"/>
    <w:rsid w:val="004E6D78"/>
    <w:rsid w:val="004E74C1"/>
    <w:rsid w:val="004E7893"/>
    <w:rsid w:val="004E7B0A"/>
    <w:rsid w:val="004F0292"/>
    <w:rsid w:val="004F06A5"/>
    <w:rsid w:val="004F082F"/>
    <w:rsid w:val="004F152F"/>
    <w:rsid w:val="004F1D1F"/>
    <w:rsid w:val="004F35CE"/>
    <w:rsid w:val="004F3CA3"/>
    <w:rsid w:val="004F46DE"/>
    <w:rsid w:val="004F4D77"/>
    <w:rsid w:val="004F5BFD"/>
    <w:rsid w:val="004F672E"/>
    <w:rsid w:val="004F735D"/>
    <w:rsid w:val="005005A0"/>
    <w:rsid w:val="00501094"/>
    <w:rsid w:val="00501330"/>
    <w:rsid w:val="005016B0"/>
    <w:rsid w:val="00501DC9"/>
    <w:rsid w:val="005020D6"/>
    <w:rsid w:val="0050302C"/>
    <w:rsid w:val="00503DBC"/>
    <w:rsid w:val="00503DDE"/>
    <w:rsid w:val="00504098"/>
    <w:rsid w:val="005047C4"/>
    <w:rsid w:val="005048A9"/>
    <w:rsid w:val="0050549B"/>
    <w:rsid w:val="00505704"/>
    <w:rsid w:val="005057E2"/>
    <w:rsid w:val="005067E3"/>
    <w:rsid w:val="00506A7E"/>
    <w:rsid w:val="005075A7"/>
    <w:rsid w:val="005076F5"/>
    <w:rsid w:val="00507C0E"/>
    <w:rsid w:val="00507C40"/>
    <w:rsid w:val="00507CBF"/>
    <w:rsid w:val="00507DBC"/>
    <w:rsid w:val="00510358"/>
    <w:rsid w:val="0051101E"/>
    <w:rsid w:val="0051139E"/>
    <w:rsid w:val="00511AF5"/>
    <w:rsid w:val="00511B54"/>
    <w:rsid w:val="005123FA"/>
    <w:rsid w:val="00512BEC"/>
    <w:rsid w:val="00512E8F"/>
    <w:rsid w:val="00513557"/>
    <w:rsid w:val="005141A3"/>
    <w:rsid w:val="0051435D"/>
    <w:rsid w:val="0051484B"/>
    <w:rsid w:val="0051571B"/>
    <w:rsid w:val="00515911"/>
    <w:rsid w:val="00515AFB"/>
    <w:rsid w:val="005162FF"/>
    <w:rsid w:val="005166F3"/>
    <w:rsid w:val="00516770"/>
    <w:rsid w:val="0051780F"/>
    <w:rsid w:val="00517CED"/>
    <w:rsid w:val="00517ED7"/>
    <w:rsid w:val="00520206"/>
    <w:rsid w:val="00520BAD"/>
    <w:rsid w:val="00520ED2"/>
    <w:rsid w:val="00521651"/>
    <w:rsid w:val="0052192C"/>
    <w:rsid w:val="00522959"/>
    <w:rsid w:val="00522F7C"/>
    <w:rsid w:val="00523BCD"/>
    <w:rsid w:val="00523CAA"/>
    <w:rsid w:val="0052400C"/>
    <w:rsid w:val="00524010"/>
    <w:rsid w:val="00524057"/>
    <w:rsid w:val="005241CD"/>
    <w:rsid w:val="00524734"/>
    <w:rsid w:val="00524772"/>
    <w:rsid w:val="00524BCC"/>
    <w:rsid w:val="00524CF3"/>
    <w:rsid w:val="00524D3A"/>
    <w:rsid w:val="00524ECF"/>
    <w:rsid w:val="0052573C"/>
    <w:rsid w:val="00526140"/>
    <w:rsid w:val="005273EF"/>
    <w:rsid w:val="00527573"/>
    <w:rsid w:val="005275E8"/>
    <w:rsid w:val="0052792A"/>
    <w:rsid w:val="00527E04"/>
    <w:rsid w:val="00530F48"/>
    <w:rsid w:val="00531198"/>
    <w:rsid w:val="00532F9A"/>
    <w:rsid w:val="00533BE0"/>
    <w:rsid w:val="005345A6"/>
    <w:rsid w:val="00534A61"/>
    <w:rsid w:val="00534ACF"/>
    <w:rsid w:val="005352A4"/>
    <w:rsid w:val="00536A0C"/>
    <w:rsid w:val="00536AA1"/>
    <w:rsid w:val="0053724A"/>
    <w:rsid w:val="00537466"/>
    <w:rsid w:val="0054011C"/>
    <w:rsid w:val="0054017D"/>
    <w:rsid w:val="0054088D"/>
    <w:rsid w:val="00540899"/>
    <w:rsid w:val="00540E0D"/>
    <w:rsid w:val="005412BE"/>
    <w:rsid w:val="005414A6"/>
    <w:rsid w:val="00541560"/>
    <w:rsid w:val="00541ABA"/>
    <w:rsid w:val="00542A61"/>
    <w:rsid w:val="00542CCC"/>
    <w:rsid w:val="00543AA4"/>
    <w:rsid w:val="0054425E"/>
    <w:rsid w:val="005446CE"/>
    <w:rsid w:val="00545ADC"/>
    <w:rsid w:val="005465EC"/>
    <w:rsid w:val="00546738"/>
    <w:rsid w:val="00547268"/>
    <w:rsid w:val="00547E53"/>
    <w:rsid w:val="005503E6"/>
    <w:rsid w:val="005504A5"/>
    <w:rsid w:val="0055103F"/>
    <w:rsid w:val="0055183A"/>
    <w:rsid w:val="0055295D"/>
    <w:rsid w:val="00553354"/>
    <w:rsid w:val="005536FB"/>
    <w:rsid w:val="00553A9E"/>
    <w:rsid w:val="00553BC8"/>
    <w:rsid w:val="0055405F"/>
    <w:rsid w:val="0055407A"/>
    <w:rsid w:val="00554122"/>
    <w:rsid w:val="0055412E"/>
    <w:rsid w:val="00554136"/>
    <w:rsid w:val="005543C6"/>
    <w:rsid w:val="00554560"/>
    <w:rsid w:val="005558B1"/>
    <w:rsid w:val="0055606B"/>
    <w:rsid w:val="005577B6"/>
    <w:rsid w:val="00560060"/>
    <w:rsid w:val="00560B18"/>
    <w:rsid w:val="00561BBB"/>
    <w:rsid w:val="00562070"/>
    <w:rsid w:val="00562F2F"/>
    <w:rsid w:val="0056421D"/>
    <w:rsid w:val="005645CC"/>
    <w:rsid w:val="00564E24"/>
    <w:rsid w:val="005655E9"/>
    <w:rsid w:val="00566B1C"/>
    <w:rsid w:val="00567159"/>
    <w:rsid w:val="00567C87"/>
    <w:rsid w:val="00567DEA"/>
    <w:rsid w:val="00567E59"/>
    <w:rsid w:val="005709F3"/>
    <w:rsid w:val="005711BD"/>
    <w:rsid w:val="00571A7F"/>
    <w:rsid w:val="00572AB1"/>
    <w:rsid w:val="00572E07"/>
    <w:rsid w:val="0057382C"/>
    <w:rsid w:val="00573935"/>
    <w:rsid w:val="0057490A"/>
    <w:rsid w:val="00574AA0"/>
    <w:rsid w:val="005753AF"/>
    <w:rsid w:val="005755BB"/>
    <w:rsid w:val="005756BA"/>
    <w:rsid w:val="00575886"/>
    <w:rsid w:val="00576B3F"/>
    <w:rsid w:val="00576E5F"/>
    <w:rsid w:val="0057768A"/>
    <w:rsid w:val="0058116A"/>
    <w:rsid w:val="005816B6"/>
    <w:rsid w:val="005824D9"/>
    <w:rsid w:val="005825F1"/>
    <w:rsid w:val="00582E7A"/>
    <w:rsid w:val="00583548"/>
    <w:rsid w:val="0058369C"/>
    <w:rsid w:val="00584163"/>
    <w:rsid w:val="00584680"/>
    <w:rsid w:val="0058534C"/>
    <w:rsid w:val="005853F4"/>
    <w:rsid w:val="00585514"/>
    <w:rsid w:val="0058649F"/>
    <w:rsid w:val="005866BD"/>
    <w:rsid w:val="00586799"/>
    <w:rsid w:val="00586EE1"/>
    <w:rsid w:val="00587002"/>
    <w:rsid w:val="0058774B"/>
    <w:rsid w:val="00590127"/>
    <w:rsid w:val="005906D2"/>
    <w:rsid w:val="00590C69"/>
    <w:rsid w:val="00591B8A"/>
    <w:rsid w:val="00593304"/>
    <w:rsid w:val="005935FC"/>
    <w:rsid w:val="005936FD"/>
    <w:rsid w:val="00593A49"/>
    <w:rsid w:val="00593E5A"/>
    <w:rsid w:val="005947D8"/>
    <w:rsid w:val="005951BF"/>
    <w:rsid w:val="005951D1"/>
    <w:rsid w:val="00595BE7"/>
    <w:rsid w:val="0059777C"/>
    <w:rsid w:val="005A0824"/>
    <w:rsid w:val="005A08DD"/>
    <w:rsid w:val="005A093F"/>
    <w:rsid w:val="005A0BF4"/>
    <w:rsid w:val="005A30F7"/>
    <w:rsid w:val="005A3506"/>
    <w:rsid w:val="005A3CC3"/>
    <w:rsid w:val="005A44D5"/>
    <w:rsid w:val="005A466B"/>
    <w:rsid w:val="005A4675"/>
    <w:rsid w:val="005A5613"/>
    <w:rsid w:val="005A56FB"/>
    <w:rsid w:val="005A58ED"/>
    <w:rsid w:val="005A59F2"/>
    <w:rsid w:val="005A6498"/>
    <w:rsid w:val="005A6640"/>
    <w:rsid w:val="005A675B"/>
    <w:rsid w:val="005A6B5A"/>
    <w:rsid w:val="005A6E7B"/>
    <w:rsid w:val="005A6EA8"/>
    <w:rsid w:val="005A7954"/>
    <w:rsid w:val="005A7B46"/>
    <w:rsid w:val="005A7C17"/>
    <w:rsid w:val="005B0FD4"/>
    <w:rsid w:val="005B1763"/>
    <w:rsid w:val="005B17FD"/>
    <w:rsid w:val="005B1EE0"/>
    <w:rsid w:val="005B2893"/>
    <w:rsid w:val="005B2B24"/>
    <w:rsid w:val="005B2D3F"/>
    <w:rsid w:val="005B2E09"/>
    <w:rsid w:val="005B33C6"/>
    <w:rsid w:val="005B36BF"/>
    <w:rsid w:val="005B37A4"/>
    <w:rsid w:val="005B386B"/>
    <w:rsid w:val="005B462C"/>
    <w:rsid w:val="005B4BCA"/>
    <w:rsid w:val="005B5256"/>
    <w:rsid w:val="005B5E6B"/>
    <w:rsid w:val="005B6AF0"/>
    <w:rsid w:val="005C01D5"/>
    <w:rsid w:val="005C0382"/>
    <w:rsid w:val="005C0E02"/>
    <w:rsid w:val="005C0F1D"/>
    <w:rsid w:val="005C12AC"/>
    <w:rsid w:val="005C163F"/>
    <w:rsid w:val="005C1D75"/>
    <w:rsid w:val="005C1E85"/>
    <w:rsid w:val="005C2028"/>
    <w:rsid w:val="005C231C"/>
    <w:rsid w:val="005C243F"/>
    <w:rsid w:val="005C3709"/>
    <w:rsid w:val="005C41D2"/>
    <w:rsid w:val="005C4A62"/>
    <w:rsid w:val="005C515C"/>
    <w:rsid w:val="005C55E7"/>
    <w:rsid w:val="005C6A7D"/>
    <w:rsid w:val="005C7151"/>
    <w:rsid w:val="005C7F14"/>
    <w:rsid w:val="005D0A92"/>
    <w:rsid w:val="005D1232"/>
    <w:rsid w:val="005D20E7"/>
    <w:rsid w:val="005D2BF9"/>
    <w:rsid w:val="005D3340"/>
    <w:rsid w:val="005D3C49"/>
    <w:rsid w:val="005D4153"/>
    <w:rsid w:val="005D46F9"/>
    <w:rsid w:val="005D5140"/>
    <w:rsid w:val="005D66CB"/>
    <w:rsid w:val="005D6C14"/>
    <w:rsid w:val="005D75F6"/>
    <w:rsid w:val="005D785D"/>
    <w:rsid w:val="005D7FFD"/>
    <w:rsid w:val="005E0D93"/>
    <w:rsid w:val="005E12E0"/>
    <w:rsid w:val="005E19AC"/>
    <w:rsid w:val="005E1A75"/>
    <w:rsid w:val="005E1ED9"/>
    <w:rsid w:val="005E228F"/>
    <w:rsid w:val="005E30A8"/>
    <w:rsid w:val="005E32B4"/>
    <w:rsid w:val="005E3B5F"/>
    <w:rsid w:val="005E3EDE"/>
    <w:rsid w:val="005E476D"/>
    <w:rsid w:val="005E4E9B"/>
    <w:rsid w:val="005E519B"/>
    <w:rsid w:val="005E567C"/>
    <w:rsid w:val="005E5C0C"/>
    <w:rsid w:val="005E6171"/>
    <w:rsid w:val="005E71F1"/>
    <w:rsid w:val="005E7F2E"/>
    <w:rsid w:val="005F02C1"/>
    <w:rsid w:val="005F05AA"/>
    <w:rsid w:val="005F12AE"/>
    <w:rsid w:val="005F1CFB"/>
    <w:rsid w:val="005F1FAD"/>
    <w:rsid w:val="005F3237"/>
    <w:rsid w:val="005F36C6"/>
    <w:rsid w:val="005F4523"/>
    <w:rsid w:val="005F468E"/>
    <w:rsid w:val="005F4CD8"/>
    <w:rsid w:val="005F61E7"/>
    <w:rsid w:val="005F6754"/>
    <w:rsid w:val="005F6820"/>
    <w:rsid w:val="005F7245"/>
    <w:rsid w:val="005F7319"/>
    <w:rsid w:val="006001F3"/>
    <w:rsid w:val="006001F8"/>
    <w:rsid w:val="006007CA"/>
    <w:rsid w:val="006007FE"/>
    <w:rsid w:val="006014B2"/>
    <w:rsid w:val="0060178B"/>
    <w:rsid w:val="006017C3"/>
    <w:rsid w:val="006020D2"/>
    <w:rsid w:val="00602574"/>
    <w:rsid w:val="00602799"/>
    <w:rsid w:val="006027E9"/>
    <w:rsid w:val="006035B9"/>
    <w:rsid w:val="006037A1"/>
    <w:rsid w:val="006039E8"/>
    <w:rsid w:val="006050EC"/>
    <w:rsid w:val="00606972"/>
    <w:rsid w:val="00606E21"/>
    <w:rsid w:val="00606E2C"/>
    <w:rsid w:val="006075E3"/>
    <w:rsid w:val="00607E73"/>
    <w:rsid w:val="00610141"/>
    <w:rsid w:val="006102F4"/>
    <w:rsid w:val="0061033C"/>
    <w:rsid w:val="006109B2"/>
    <w:rsid w:val="00611191"/>
    <w:rsid w:val="00611CA0"/>
    <w:rsid w:val="0061223C"/>
    <w:rsid w:val="00612936"/>
    <w:rsid w:val="00613038"/>
    <w:rsid w:val="0061391F"/>
    <w:rsid w:val="00613EC0"/>
    <w:rsid w:val="00614395"/>
    <w:rsid w:val="0061481E"/>
    <w:rsid w:val="00614C6F"/>
    <w:rsid w:val="0061583A"/>
    <w:rsid w:val="006158AC"/>
    <w:rsid w:val="00616DE1"/>
    <w:rsid w:val="00620B23"/>
    <w:rsid w:val="00620CAB"/>
    <w:rsid w:val="006217F7"/>
    <w:rsid w:val="00621B53"/>
    <w:rsid w:val="00621F44"/>
    <w:rsid w:val="00622FD7"/>
    <w:rsid w:val="00623270"/>
    <w:rsid w:val="0062374E"/>
    <w:rsid w:val="00623DCC"/>
    <w:rsid w:val="00625014"/>
    <w:rsid w:val="00626E5A"/>
    <w:rsid w:val="00627053"/>
    <w:rsid w:val="006305A8"/>
    <w:rsid w:val="00630E7B"/>
    <w:rsid w:val="00631185"/>
    <w:rsid w:val="00632882"/>
    <w:rsid w:val="00632B9D"/>
    <w:rsid w:val="006337FD"/>
    <w:rsid w:val="00633CC0"/>
    <w:rsid w:val="00634068"/>
    <w:rsid w:val="00634072"/>
    <w:rsid w:val="00634423"/>
    <w:rsid w:val="00634BAB"/>
    <w:rsid w:val="006351BF"/>
    <w:rsid w:val="00636426"/>
    <w:rsid w:val="00636560"/>
    <w:rsid w:val="00637210"/>
    <w:rsid w:val="0063725A"/>
    <w:rsid w:val="00637406"/>
    <w:rsid w:val="00637525"/>
    <w:rsid w:val="00637A10"/>
    <w:rsid w:val="00640622"/>
    <w:rsid w:val="0064070A"/>
    <w:rsid w:val="00640A50"/>
    <w:rsid w:val="00640C32"/>
    <w:rsid w:val="00641146"/>
    <w:rsid w:val="0064119C"/>
    <w:rsid w:val="00641366"/>
    <w:rsid w:val="00641DD8"/>
    <w:rsid w:val="00641E7B"/>
    <w:rsid w:val="0064295D"/>
    <w:rsid w:val="00642FA1"/>
    <w:rsid w:val="00643722"/>
    <w:rsid w:val="00643780"/>
    <w:rsid w:val="00644792"/>
    <w:rsid w:val="006448CD"/>
    <w:rsid w:val="00644960"/>
    <w:rsid w:val="006454F7"/>
    <w:rsid w:val="00645523"/>
    <w:rsid w:val="00645610"/>
    <w:rsid w:val="00646142"/>
    <w:rsid w:val="00646C05"/>
    <w:rsid w:val="00646EAF"/>
    <w:rsid w:val="00646EBA"/>
    <w:rsid w:val="00646FE4"/>
    <w:rsid w:val="006477FF"/>
    <w:rsid w:val="006478B9"/>
    <w:rsid w:val="00647B36"/>
    <w:rsid w:val="00650056"/>
    <w:rsid w:val="00650308"/>
    <w:rsid w:val="00650323"/>
    <w:rsid w:val="00650803"/>
    <w:rsid w:val="00651A48"/>
    <w:rsid w:val="0065215A"/>
    <w:rsid w:val="00652668"/>
    <w:rsid w:val="00652973"/>
    <w:rsid w:val="00652EF5"/>
    <w:rsid w:val="006531EA"/>
    <w:rsid w:val="00654AFC"/>
    <w:rsid w:val="006552BF"/>
    <w:rsid w:val="006557E1"/>
    <w:rsid w:val="00656E22"/>
    <w:rsid w:val="006609B2"/>
    <w:rsid w:val="00660A02"/>
    <w:rsid w:val="006614AE"/>
    <w:rsid w:val="00661E8C"/>
    <w:rsid w:val="006627E7"/>
    <w:rsid w:val="00662DBD"/>
    <w:rsid w:val="006635B1"/>
    <w:rsid w:val="0066382A"/>
    <w:rsid w:val="00663889"/>
    <w:rsid w:val="00663ECF"/>
    <w:rsid w:val="0066465C"/>
    <w:rsid w:val="006657A0"/>
    <w:rsid w:val="00665DBE"/>
    <w:rsid w:val="00665F08"/>
    <w:rsid w:val="006672C1"/>
    <w:rsid w:val="006673E3"/>
    <w:rsid w:val="0067079D"/>
    <w:rsid w:val="0067188C"/>
    <w:rsid w:val="00671983"/>
    <w:rsid w:val="00671AD5"/>
    <w:rsid w:val="00671F74"/>
    <w:rsid w:val="0067208E"/>
    <w:rsid w:val="00672803"/>
    <w:rsid w:val="006731B6"/>
    <w:rsid w:val="00673752"/>
    <w:rsid w:val="00673A73"/>
    <w:rsid w:val="00673D2D"/>
    <w:rsid w:val="0067408E"/>
    <w:rsid w:val="0067463E"/>
    <w:rsid w:val="00674662"/>
    <w:rsid w:val="00674CCA"/>
    <w:rsid w:val="00674D67"/>
    <w:rsid w:val="00674F9A"/>
    <w:rsid w:val="00675563"/>
    <w:rsid w:val="0067601F"/>
    <w:rsid w:val="006761F6"/>
    <w:rsid w:val="0067682F"/>
    <w:rsid w:val="00677613"/>
    <w:rsid w:val="00680434"/>
    <w:rsid w:val="006805D9"/>
    <w:rsid w:val="006813B1"/>
    <w:rsid w:val="006819C5"/>
    <w:rsid w:val="00681B4A"/>
    <w:rsid w:val="00681C8E"/>
    <w:rsid w:val="00681ED9"/>
    <w:rsid w:val="00682EEA"/>
    <w:rsid w:val="00683195"/>
    <w:rsid w:val="006831F7"/>
    <w:rsid w:val="00683DD2"/>
    <w:rsid w:val="00684083"/>
    <w:rsid w:val="006841BF"/>
    <w:rsid w:val="006841C0"/>
    <w:rsid w:val="00684708"/>
    <w:rsid w:val="0068562A"/>
    <w:rsid w:val="0068575F"/>
    <w:rsid w:val="00685848"/>
    <w:rsid w:val="00685A62"/>
    <w:rsid w:val="006860DC"/>
    <w:rsid w:val="00686A6A"/>
    <w:rsid w:val="00686AB8"/>
    <w:rsid w:val="0069060F"/>
    <w:rsid w:val="00691324"/>
    <w:rsid w:val="0069278F"/>
    <w:rsid w:val="00692AD6"/>
    <w:rsid w:val="00694667"/>
    <w:rsid w:val="0069470D"/>
    <w:rsid w:val="00694ABC"/>
    <w:rsid w:val="00694DB4"/>
    <w:rsid w:val="006952A1"/>
    <w:rsid w:val="00695C9B"/>
    <w:rsid w:val="00696074"/>
    <w:rsid w:val="006961EC"/>
    <w:rsid w:val="0069626A"/>
    <w:rsid w:val="00696BAA"/>
    <w:rsid w:val="00697119"/>
    <w:rsid w:val="00697615"/>
    <w:rsid w:val="006A035A"/>
    <w:rsid w:val="006A1332"/>
    <w:rsid w:val="006A19D8"/>
    <w:rsid w:val="006A211B"/>
    <w:rsid w:val="006A2585"/>
    <w:rsid w:val="006A273B"/>
    <w:rsid w:val="006A3D6A"/>
    <w:rsid w:val="006A439A"/>
    <w:rsid w:val="006A45E2"/>
    <w:rsid w:val="006A4EDF"/>
    <w:rsid w:val="006A5526"/>
    <w:rsid w:val="006A579C"/>
    <w:rsid w:val="006A5B40"/>
    <w:rsid w:val="006A6561"/>
    <w:rsid w:val="006A6CAF"/>
    <w:rsid w:val="006A6DCD"/>
    <w:rsid w:val="006A7ADF"/>
    <w:rsid w:val="006A7B40"/>
    <w:rsid w:val="006B0096"/>
    <w:rsid w:val="006B1AF7"/>
    <w:rsid w:val="006B1D9D"/>
    <w:rsid w:val="006B2626"/>
    <w:rsid w:val="006B3DF3"/>
    <w:rsid w:val="006B418B"/>
    <w:rsid w:val="006B42FD"/>
    <w:rsid w:val="006B6374"/>
    <w:rsid w:val="006B66FB"/>
    <w:rsid w:val="006B74D0"/>
    <w:rsid w:val="006C05E3"/>
    <w:rsid w:val="006C075F"/>
    <w:rsid w:val="006C0982"/>
    <w:rsid w:val="006C0D61"/>
    <w:rsid w:val="006C2ED2"/>
    <w:rsid w:val="006C389E"/>
    <w:rsid w:val="006C45BF"/>
    <w:rsid w:val="006C4A5A"/>
    <w:rsid w:val="006C4E3E"/>
    <w:rsid w:val="006C5644"/>
    <w:rsid w:val="006C5E00"/>
    <w:rsid w:val="006C6753"/>
    <w:rsid w:val="006C7BE3"/>
    <w:rsid w:val="006C7D59"/>
    <w:rsid w:val="006C7F19"/>
    <w:rsid w:val="006D09B0"/>
    <w:rsid w:val="006D09E4"/>
    <w:rsid w:val="006D0AC6"/>
    <w:rsid w:val="006D24F3"/>
    <w:rsid w:val="006D341E"/>
    <w:rsid w:val="006D382D"/>
    <w:rsid w:val="006D405F"/>
    <w:rsid w:val="006D447D"/>
    <w:rsid w:val="006D4AE9"/>
    <w:rsid w:val="006D5699"/>
    <w:rsid w:val="006D5AE4"/>
    <w:rsid w:val="006D5D1C"/>
    <w:rsid w:val="006D5D93"/>
    <w:rsid w:val="006D61D3"/>
    <w:rsid w:val="006D6AB8"/>
    <w:rsid w:val="006D6F05"/>
    <w:rsid w:val="006E093A"/>
    <w:rsid w:val="006E0BD6"/>
    <w:rsid w:val="006E13E6"/>
    <w:rsid w:val="006E15E9"/>
    <w:rsid w:val="006E16C0"/>
    <w:rsid w:val="006E22E1"/>
    <w:rsid w:val="006E2461"/>
    <w:rsid w:val="006E25CF"/>
    <w:rsid w:val="006E296D"/>
    <w:rsid w:val="006E2D89"/>
    <w:rsid w:val="006E32AE"/>
    <w:rsid w:val="006E35B4"/>
    <w:rsid w:val="006E4158"/>
    <w:rsid w:val="006E4942"/>
    <w:rsid w:val="006E4C4B"/>
    <w:rsid w:val="006E4EE9"/>
    <w:rsid w:val="006E6629"/>
    <w:rsid w:val="006E6B60"/>
    <w:rsid w:val="006E6C16"/>
    <w:rsid w:val="006E78ED"/>
    <w:rsid w:val="006F06B1"/>
    <w:rsid w:val="006F08BD"/>
    <w:rsid w:val="006F0E59"/>
    <w:rsid w:val="006F12BC"/>
    <w:rsid w:val="006F1B87"/>
    <w:rsid w:val="006F24AC"/>
    <w:rsid w:val="006F2616"/>
    <w:rsid w:val="006F295C"/>
    <w:rsid w:val="006F3A86"/>
    <w:rsid w:val="006F3F0B"/>
    <w:rsid w:val="006F4302"/>
    <w:rsid w:val="006F43F1"/>
    <w:rsid w:val="006F46AA"/>
    <w:rsid w:val="006F5696"/>
    <w:rsid w:val="006F656D"/>
    <w:rsid w:val="006F738B"/>
    <w:rsid w:val="0070025E"/>
    <w:rsid w:val="0070192B"/>
    <w:rsid w:val="00701C81"/>
    <w:rsid w:val="00702C20"/>
    <w:rsid w:val="007055CE"/>
    <w:rsid w:val="007060EF"/>
    <w:rsid w:val="0070637D"/>
    <w:rsid w:val="007074FE"/>
    <w:rsid w:val="0071037A"/>
    <w:rsid w:val="00710D66"/>
    <w:rsid w:val="00711132"/>
    <w:rsid w:val="007124A0"/>
    <w:rsid w:val="0071254A"/>
    <w:rsid w:val="00712D3B"/>
    <w:rsid w:val="0071327C"/>
    <w:rsid w:val="007139D8"/>
    <w:rsid w:val="007145A3"/>
    <w:rsid w:val="00714C99"/>
    <w:rsid w:val="00715270"/>
    <w:rsid w:val="00715C70"/>
    <w:rsid w:val="00715E38"/>
    <w:rsid w:val="0071642F"/>
    <w:rsid w:val="00716AED"/>
    <w:rsid w:val="007174FF"/>
    <w:rsid w:val="00717F6D"/>
    <w:rsid w:val="00720C26"/>
    <w:rsid w:val="00720D1B"/>
    <w:rsid w:val="0072187D"/>
    <w:rsid w:val="00721E35"/>
    <w:rsid w:val="007227C3"/>
    <w:rsid w:val="007228F0"/>
    <w:rsid w:val="00722C95"/>
    <w:rsid w:val="00724006"/>
    <w:rsid w:val="007248E6"/>
    <w:rsid w:val="00724B24"/>
    <w:rsid w:val="00724E31"/>
    <w:rsid w:val="007251A8"/>
    <w:rsid w:val="0072598D"/>
    <w:rsid w:val="00725B3B"/>
    <w:rsid w:val="00725B81"/>
    <w:rsid w:val="007264E9"/>
    <w:rsid w:val="00730AF4"/>
    <w:rsid w:val="0073102C"/>
    <w:rsid w:val="007318C8"/>
    <w:rsid w:val="00731923"/>
    <w:rsid w:val="00731EE8"/>
    <w:rsid w:val="007323AC"/>
    <w:rsid w:val="00732819"/>
    <w:rsid w:val="0073299B"/>
    <w:rsid w:val="0073333B"/>
    <w:rsid w:val="007337FE"/>
    <w:rsid w:val="00734022"/>
    <w:rsid w:val="0073457B"/>
    <w:rsid w:val="0073479E"/>
    <w:rsid w:val="00734D84"/>
    <w:rsid w:val="007364E8"/>
    <w:rsid w:val="00737FFD"/>
    <w:rsid w:val="00740449"/>
    <w:rsid w:val="0074076B"/>
    <w:rsid w:val="00741DE8"/>
    <w:rsid w:val="00741E07"/>
    <w:rsid w:val="00742198"/>
    <w:rsid w:val="00742261"/>
    <w:rsid w:val="007422A6"/>
    <w:rsid w:val="007422E4"/>
    <w:rsid w:val="0074260F"/>
    <w:rsid w:val="00743107"/>
    <w:rsid w:val="00743EB9"/>
    <w:rsid w:val="007441FC"/>
    <w:rsid w:val="0074444C"/>
    <w:rsid w:val="007446DE"/>
    <w:rsid w:val="0074496A"/>
    <w:rsid w:val="00744C83"/>
    <w:rsid w:val="00744E91"/>
    <w:rsid w:val="00745AFC"/>
    <w:rsid w:val="00746337"/>
    <w:rsid w:val="00747AD8"/>
    <w:rsid w:val="0075041C"/>
    <w:rsid w:val="007510C0"/>
    <w:rsid w:val="00751202"/>
    <w:rsid w:val="0075143E"/>
    <w:rsid w:val="0075208A"/>
    <w:rsid w:val="007525CC"/>
    <w:rsid w:val="00752C53"/>
    <w:rsid w:val="0075368D"/>
    <w:rsid w:val="0075544A"/>
    <w:rsid w:val="00755C7B"/>
    <w:rsid w:val="007572D7"/>
    <w:rsid w:val="007574A9"/>
    <w:rsid w:val="007576D7"/>
    <w:rsid w:val="00757E63"/>
    <w:rsid w:val="00757EB4"/>
    <w:rsid w:val="00757FF3"/>
    <w:rsid w:val="0076048D"/>
    <w:rsid w:val="00760CAE"/>
    <w:rsid w:val="00761147"/>
    <w:rsid w:val="00761BE3"/>
    <w:rsid w:val="00761F5C"/>
    <w:rsid w:val="00762375"/>
    <w:rsid w:val="007638DD"/>
    <w:rsid w:val="00764E13"/>
    <w:rsid w:val="00764E43"/>
    <w:rsid w:val="00765206"/>
    <w:rsid w:val="007657E9"/>
    <w:rsid w:val="0076581B"/>
    <w:rsid w:val="00765832"/>
    <w:rsid w:val="007659BC"/>
    <w:rsid w:val="00766A12"/>
    <w:rsid w:val="00766CE7"/>
    <w:rsid w:val="00766ECE"/>
    <w:rsid w:val="00767027"/>
    <w:rsid w:val="0077047D"/>
    <w:rsid w:val="00770D58"/>
    <w:rsid w:val="00770F09"/>
    <w:rsid w:val="007710AC"/>
    <w:rsid w:val="00771AF3"/>
    <w:rsid w:val="00771E35"/>
    <w:rsid w:val="007726E3"/>
    <w:rsid w:val="00774786"/>
    <w:rsid w:val="007748C5"/>
    <w:rsid w:val="00774AD6"/>
    <w:rsid w:val="007755DF"/>
    <w:rsid w:val="00775C39"/>
    <w:rsid w:val="00775D53"/>
    <w:rsid w:val="00775D82"/>
    <w:rsid w:val="00775FCD"/>
    <w:rsid w:val="00775FFC"/>
    <w:rsid w:val="007765C7"/>
    <w:rsid w:val="00776790"/>
    <w:rsid w:val="00777251"/>
    <w:rsid w:val="00777359"/>
    <w:rsid w:val="00777437"/>
    <w:rsid w:val="00777579"/>
    <w:rsid w:val="007777CF"/>
    <w:rsid w:val="00777BC8"/>
    <w:rsid w:val="00780038"/>
    <w:rsid w:val="007809E3"/>
    <w:rsid w:val="00780A9E"/>
    <w:rsid w:val="00781825"/>
    <w:rsid w:val="00782B02"/>
    <w:rsid w:val="007837E0"/>
    <w:rsid w:val="00783CB4"/>
    <w:rsid w:val="00783EEE"/>
    <w:rsid w:val="0078614A"/>
    <w:rsid w:val="00786415"/>
    <w:rsid w:val="0078675B"/>
    <w:rsid w:val="00786B53"/>
    <w:rsid w:val="00787F7C"/>
    <w:rsid w:val="007901E1"/>
    <w:rsid w:val="00790589"/>
    <w:rsid w:val="0079059F"/>
    <w:rsid w:val="0079130E"/>
    <w:rsid w:val="00791CD6"/>
    <w:rsid w:val="007928BE"/>
    <w:rsid w:val="007928F1"/>
    <w:rsid w:val="0079353D"/>
    <w:rsid w:val="00793ED1"/>
    <w:rsid w:val="00794569"/>
    <w:rsid w:val="00794592"/>
    <w:rsid w:val="007948B3"/>
    <w:rsid w:val="00794B9C"/>
    <w:rsid w:val="00795333"/>
    <w:rsid w:val="007955AE"/>
    <w:rsid w:val="00795680"/>
    <w:rsid w:val="00795AAC"/>
    <w:rsid w:val="00796CDE"/>
    <w:rsid w:val="00796D59"/>
    <w:rsid w:val="00796F8A"/>
    <w:rsid w:val="007971DB"/>
    <w:rsid w:val="007971F0"/>
    <w:rsid w:val="0079720E"/>
    <w:rsid w:val="0079778C"/>
    <w:rsid w:val="007A0608"/>
    <w:rsid w:val="007A0EDF"/>
    <w:rsid w:val="007A0FD3"/>
    <w:rsid w:val="007A1319"/>
    <w:rsid w:val="007A166B"/>
    <w:rsid w:val="007A1CD9"/>
    <w:rsid w:val="007A1F32"/>
    <w:rsid w:val="007A2029"/>
    <w:rsid w:val="007A3413"/>
    <w:rsid w:val="007A36FF"/>
    <w:rsid w:val="007A3A06"/>
    <w:rsid w:val="007A3AAA"/>
    <w:rsid w:val="007A3D0E"/>
    <w:rsid w:val="007A3E3C"/>
    <w:rsid w:val="007A416D"/>
    <w:rsid w:val="007A4B58"/>
    <w:rsid w:val="007A4BA0"/>
    <w:rsid w:val="007A5488"/>
    <w:rsid w:val="007A6591"/>
    <w:rsid w:val="007A6E2E"/>
    <w:rsid w:val="007A70E9"/>
    <w:rsid w:val="007A7143"/>
    <w:rsid w:val="007A71FB"/>
    <w:rsid w:val="007A7591"/>
    <w:rsid w:val="007B032D"/>
    <w:rsid w:val="007B1253"/>
    <w:rsid w:val="007B1B66"/>
    <w:rsid w:val="007B29B5"/>
    <w:rsid w:val="007B2CAC"/>
    <w:rsid w:val="007B3F7B"/>
    <w:rsid w:val="007B4CEB"/>
    <w:rsid w:val="007B4FE8"/>
    <w:rsid w:val="007B6374"/>
    <w:rsid w:val="007B6537"/>
    <w:rsid w:val="007B762C"/>
    <w:rsid w:val="007B76BB"/>
    <w:rsid w:val="007C0276"/>
    <w:rsid w:val="007C067F"/>
    <w:rsid w:val="007C080E"/>
    <w:rsid w:val="007C1183"/>
    <w:rsid w:val="007C1F36"/>
    <w:rsid w:val="007C212D"/>
    <w:rsid w:val="007C38B2"/>
    <w:rsid w:val="007C39AA"/>
    <w:rsid w:val="007C3AD0"/>
    <w:rsid w:val="007C55E3"/>
    <w:rsid w:val="007C5B76"/>
    <w:rsid w:val="007C6E33"/>
    <w:rsid w:val="007C7791"/>
    <w:rsid w:val="007D078F"/>
    <w:rsid w:val="007D1932"/>
    <w:rsid w:val="007D1960"/>
    <w:rsid w:val="007D1A06"/>
    <w:rsid w:val="007D1BBD"/>
    <w:rsid w:val="007D21F2"/>
    <w:rsid w:val="007D38D4"/>
    <w:rsid w:val="007D3CF0"/>
    <w:rsid w:val="007D3F08"/>
    <w:rsid w:val="007D43C7"/>
    <w:rsid w:val="007D46AC"/>
    <w:rsid w:val="007D507E"/>
    <w:rsid w:val="007D5821"/>
    <w:rsid w:val="007D6DC8"/>
    <w:rsid w:val="007D7E1C"/>
    <w:rsid w:val="007D7F73"/>
    <w:rsid w:val="007E07F9"/>
    <w:rsid w:val="007E12D0"/>
    <w:rsid w:val="007E2C4A"/>
    <w:rsid w:val="007E33D3"/>
    <w:rsid w:val="007E3705"/>
    <w:rsid w:val="007E44CE"/>
    <w:rsid w:val="007E486E"/>
    <w:rsid w:val="007E4FAF"/>
    <w:rsid w:val="007E5229"/>
    <w:rsid w:val="007E67C5"/>
    <w:rsid w:val="007E6968"/>
    <w:rsid w:val="007E6B79"/>
    <w:rsid w:val="007E6CDA"/>
    <w:rsid w:val="007E71F9"/>
    <w:rsid w:val="007E737D"/>
    <w:rsid w:val="007E75F8"/>
    <w:rsid w:val="007E76EC"/>
    <w:rsid w:val="007E7826"/>
    <w:rsid w:val="007E7BE9"/>
    <w:rsid w:val="007F059E"/>
    <w:rsid w:val="007F068A"/>
    <w:rsid w:val="007F0BC8"/>
    <w:rsid w:val="007F186F"/>
    <w:rsid w:val="007F22D9"/>
    <w:rsid w:val="007F27E1"/>
    <w:rsid w:val="007F2A67"/>
    <w:rsid w:val="007F2CB1"/>
    <w:rsid w:val="007F2CEE"/>
    <w:rsid w:val="007F34C5"/>
    <w:rsid w:val="007F43EE"/>
    <w:rsid w:val="007F50A2"/>
    <w:rsid w:val="007F53EB"/>
    <w:rsid w:val="007F54F5"/>
    <w:rsid w:val="007F6FDE"/>
    <w:rsid w:val="007F789F"/>
    <w:rsid w:val="007F7CE4"/>
    <w:rsid w:val="008022BE"/>
    <w:rsid w:val="00802353"/>
    <w:rsid w:val="008028FA"/>
    <w:rsid w:val="00802FEF"/>
    <w:rsid w:val="0080302C"/>
    <w:rsid w:val="0080334B"/>
    <w:rsid w:val="00803594"/>
    <w:rsid w:val="008038BC"/>
    <w:rsid w:val="008043DB"/>
    <w:rsid w:val="00804815"/>
    <w:rsid w:val="00804AE9"/>
    <w:rsid w:val="00804D46"/>
    <w:rsid w:val="00804DFE"/>
    <w:rsid w:val="00805843"/>
    <w:rsid w:val="00805D57"/>
    <w:rsid w:val="008069B5"/>
    <w:rsid w:val="008069E2"/>
    <w:rsid w:val="00806BA1"/>
    <w:rsid w:val="00807B83"/>
    <w:rsid w:val="00807BCE"/>
    <w:rsid w:val="00810037"/>
    <w:rsid w:val="0081004E"/>
    <w:rsid w:val="00810285"/>
    <w:rsid w:val="008102D7"/>
    <w:rsid w:val="0081067E"/>
    <w:rsid w:val="00810AD6"/>
    <w:rsid w:val="00810DA5"/>
    <w:rsid w:val="00811FD9"/>
    <w:rsid w:val="0081201F"/>
    <w:rsid w:val="0081248F"/>
    <w:rsid w:val="00813A35"/>
    <w:rsid w:val="00814131"/>
    <w:rsid w:val="00814464"/>
    <w:rsid w:val="008149A3"/>
    <w:rsid w:val="00815279"/>
    <w:rsid w:val="0081647D"/>
    <w:rsid w:val="00817DFD"/>
    <w:rsid w:val="00820ACA"/>
    <w:rsid w:val="00820F6B"/>
    <w:rsid w:val="00821053"/>
    <w:rsid w:val="00821481"/>
    <w:rsid w:val="00821662"/>
    <w:rsid w:val="00821AE2"/>
    <w:rsid w:val="00821BF9"/>
    <w:rsid w:val="00822244"/>
    <w:rsid w:val="008234A8"/>
    <w:rsid w:val="008236C3"/>
    <w:rsid w:val="00823AF5"/>
    <w:rsid w:val="00823D07"/>
    <w:rsid w:val="008240C8"/>
    <w:rsid w:val="008241B3"/>
    <w:rsid w:val="008244F1"/>
    <w:rsid w:val="00824CAE"/>
    <w:rsid w:val="008255AE"/>
    <w:rsid w:val="00826880"/>
    <w:rsid w:val="00826A7F"/>
    <w:rsid w:val="00827296"/>
    <w:rsid w:val="008278BF"/>
    <w:rsid w:val="008278F4"/>
    <w:rsid w:val="00827B4A"/>
    <w:rsid w:val="00830903"/>
    <w:rsid w:val="00830AC2"/>
    <w:rsid w:val="00830B8F"/>
    <w:rsid w:val="00830D4E"/>
    <w:rsid w:val="0083101A"/>
    <w:rsid w:val="008335D6"/>
    <w:rsid w:val="008336C0"/>
    <w:rsid w:val="008347D5"/>
    <w:rsid w:val="00834C8E"/>
    <w:rsid w:val="00834ECE"/>
    <w:rsid w:val="00834F23"/>
    <w:rsid w:val="008351B0"/>
    <w:rsid w:val="008357E3"/>
    <w:rsid w:val="00835F5C"/>
    <w:rsid w:val="008361DA"/>
    <w:rsid w:val="00837118"/>
    <w:rsid w:val="00837C55"/>
    <w:rsid w:val="008402C2"/>
    <w:rsid w:val="008412FF"/>
    <w:rsid w:val="00841394"/>
    <w:rsid w:val="00841456"/>
    <w:rsid w:val="00841AF8"/>
    <w:rsid w:val="00841DFE"/>
    <w:rsid w:val="00842477"/>
    <w:rsid w:val="00842D25"/>
    <w:rsid w:val="008433E9"/>
    <w:rsid w:val="00843B9A"/>
    <w:rsid w:val="00844334"/>
    <w:rsid w:val="00844568"/>
    <w:rsid w:val="0084459E"/>
    <w:rsid w:val="0084465D"/>
    <w:rsid w:val="00844938"/>
    <w:rsid w:val="00844D84"/>
    <w:rsid w:val="00845FEA"/>
    <w:rsid w:val="00845FEB"/>
    <w:rsid w:val="00846A97"/>
    <w:rsid w:val="00847002"/>
    <w:rsid w:val="00847F61"/>
    <w:rsid w:val="00847FE5"/>
    <w:rsid w:val="00850E1F"/>
    <w:rsid w:val="00851211"/>
    <w:rsid w:val="0085134B"/>
    <w:rsid w:val="00851FDA"/>
    <w:rsid w:val="00852466"/>
    <w:rsid w:val="008526F2"/>
    <w:rsid w:val="00852F82"/>
    <w:rsid w:val="008530F6"/>
    <w:rsid w:val="00853B92"/>
    <w:rsid w:val="00853BD3"/>
    <w:rsid w:val="00853E58"/>
    <w:rsid w:val="0085430D"/>
    <w:rsid w:val="00854751"/>
    <w:rsid w:val="00854A48"/>
    <w:rsid w:val="00854AA3"/>
    <w:rsid w:val="00855334"/>
    <w:rsid w:val="0085558A"/>
    <w:rsid w:val="0085603A"/>
    <w:rsid w:val="0085683B"/>
    <w:rsid w:val="008572FB"/>
    <w:rsid w:val="00857C84"/>
    <w:rsid w:val="008607D7"/>
    <w:rsid w:val="00860CD7"/>
    <w:rsid w:val="0086159F"/>
    <w:rsid w:val="0086287C"/>
    <w:rsid w:val="00862E74"/>
    <w:rsid w:val="00862F31"/>
    <w:rsid w:val="00863EC3"/>
    <w:rsid w:val="00864410"/>
    <w:rsid w:val="00864C19"/>
    <w:rsid w:val="008657C2"/>
    <w:rsid w:val="00866128"/>
    <w:rsid w:val="00866211"/>
    <w:rsid w:val="00866380"/>
    <w:rsid w:val="00866FD6"/>
    <w:rsid w:val="00870545"/>
    <w:rsid w:val="0087081A"/>
    <w:rsid w:val="008717D6"/>
    <w:rsid w:val="0087188C"/>
    <w:rsid w:val="008728E3"/>
    <w:rsid w:val="00872905"/>
    <w:rsid w:val="00872A60"/>
    <w:rsid w:val="00872A6A"/>
    <w:rsid w:val="00872D48"/>
    <w:rsid w:val="008737EA"/>
    <w:rsid w:val="00873A0D"/>
    <w:rsid w:val="0087704A"/>
    <w:rsid w:val="00877152"/>
    <w:rsid w:val="00877BEA"/>
    <w:rsid w:val="00877CF4"/>
    <w:rsid w:val="00877D00"/>
    <w:rsid w:val="0088000B"/>
    <w:rsid w:val="00880821"/>
    <w:rsid w:val="00880BA1"/>
    <w:rsid w:val="00880FB3"/>
    <w:rsid w:val="0088100F"/>
    <w:rsid w:val="008823B4"/>
    <w:rsid w:val="00882F7B"/>
    <w:rsid w:val="00883761"/>
    <w:rsid w:val="00883A2F"/>
    <w:rsid w:val="00883D58"/>
    <w:rsid w:val="00883D9F"/>
    <w:rsid w:val="0088476A"/>
    <w:rsid w:val="00884CE3"/>
    <w:rsid w:val="00884E15"/>
    <w:rsid w:val="00884E67"/>
    <w:rsid w:val="00885A08"/>
    <w:rsid w:val="008861BA"/>
    <w:rsid w:val="008866F9"/>
    <w:rsid w:val="008868F9"/>
    <w:rsid w:val="00886D0A"/>
    <w:rsid w:val="00887C5D"/>
    <w:rsid w:val="00887F7B"/>
    <w:rsid w:val="00891334"/>
    <w:rsid w:val="0089135F"/>
    <w:rsid w:val="0089136E"/>
    <w:rsid w:val="00891C99"/>
    <w:rsid w:val="00892151"/>
    <w:rsid w:val="008923AE"/>
    <w:rsid w:val="0089248F"/>
    <w:rsid w:val="008924F0"/>
    <w:rsid w:val="00892AC2"/>
    <w:rsid w:val="00892FE9"/>
    <w:rsid w:val="00893602"/>
    <w:rsid w:val="008949FB"/>
    <w:rsid w:val="00894B6D"/>
    <w:rsid w:val="00894DF6"/>
    <w:rsid w:val="00895392"/>
    <w:rsid w:val="00896509"/>
    <w:rsid w:val="00896806"/>
    <w:rsid w:val="008973C2"/>
    <w:rsid w:val="00897818"/>
    <w:rsid w:val="00897D91"/>
    <w:rsid w:val="008A13F4"/>
    <w:rsid w:val="008A1593"/>
    <w:rsid w:val="008A159A"/>
    <w:rsid w:val="008A1C4A"/>
    <w:rsid w:val="008A1C69"/>
    <w:rsid w:val="008A22A7"/>
    <w:rsid w:val="008A2602"/>
    <w:rsid w:val="008A275F"/>
    <w:rsid w:val="008A32DF"/>
    <w:rsid w:val="008A35A6"/>
    <w:rsid w:val="008A35FA"/>
    <w:rsid w:val="008A3A48"/>
    <w:rsid w:val="008A3A66"/>
    <w:rsid w:val="008A3AA2"/>
    <w:rsid w:val="008A3E55"/>
    <w:rsid w:val="008A4396"/>
    <w:rsid w:val="008A4407"/>
    <w:rsid w:val="008A4F60"/>
    <w:rsid w:val="008A4F64"/>
    <w:rsid w:val="008A4F6B"/>
    <w:rsid w:val="008A5189"/>
    <w:rsid w:val="008A5398"/>
    <w:rsid w:val="008A549B"/>
    <w:rsid w:val="008A54F4"/>
    <w:rsid w:val="008A6456"/>
    <w:rsid w:val="008A6524"/>
    <w:rsid w:val="008A6BA8"/>
    <w:rsid w:val="008A7495"/>
    <w:rsid w:val="008A7504"/>
    <w:rsid w:val="008A7752"/>
    <w:rsid w:val="008A7C13"/>
    <w:rsid w:val="008B02EC"/>
    <w:rsid w:val="008B0C51"/>
    <w:rsid w:val="008B1518"/>
    <w:rsid w:val="008B20A4"/>
    <w:rsid w:val="008B218D"/>
    <w:rsid w:val="008B2BFB"/>
    <w:rsid w:val="008B2FC4"/>
    <w:rsid w:val="008B35EE"/>
    <w:rsid w:val="008B403F"/>
    <w:rsid w:val="008B4460"/>
    <w:rsid w:val="008B4746"/>
    <w:rsid w:val="008B4E67"/>
    <w:rsid w:val="008B50BD"/>
    <w:rsid w:val="008B51F0"/>
    <w:rsid w:val="008B62EE"/>
    <w:rsid w:val="008B67B5"/>
    <w:rsid w:val="008B6CF1"/>
    <w:rsid w:val="008B6D9D"/>
    <w:rsid w:val="008B7FCA"/>
    <w:rsid w:val="008C02FC"/>
    <w:rsid w:val="008C0A43"/>
    <w:rsid w:val="008C0E0B"/>
    <w:rsid w:val="008C0FDB"/>
    <w:rsid w:val="008C12B7"/>
    <w:rsid w:val="008C13EF"/>
    <w:rsid w:val="008C16EE"/>
    <w:rsid w:val="008C27C1"/>
    <w:rsid w:val="008C2861"/>
    <w:rsid w:val="008C38A1"/>
    <w:rsid w:val="008C39C5"/>
    <w:rsid w:val="008C3ACA"/>
    <w:rsid w:val="008C4329"/>
    <w:rsid w:val="008C45EF"/>
    <w:rsid w:val="008C4AAD"/>
    <w:rsid w:val="008C5359"/>
    <w:rsid w:val="008C5B37"/>
    <w:rsid w:val="008C6168"/>
    <w:rsid w:val="008C6B5E"/>
    <w:rsid w:val="008C71BE"/>
    <w:rsid w:val="008D0B30"/>
    <w:rsid w:val="008D0B5A"/>
    <w:rsid w:val="008D1026"/>
    <w:rsid w:val="008D1CBE"/>
    <w:rsid w:val="008D3F30"/>
    <w:rsid w:val="008D4837"/>
    <w:rsid w:val="008D4849"/>
    <w:rsid w:val="008D48AF"/>
    <w:rsid w:val="008D4A60"/>
    <w:rsid w:val="008D4A71"/>
    <w:rsid w:val="008D4C93"/>
    <w:rsid w:val="008D539B"/>
    <w:rsid w:val="008D5572"/>
    <w:rsid w:val="008D6854"/>
    <w:rsid w:val="008D6C7B"/>
    <w:rsid w:val="008D72AF"/>
    <w:rsid w:val="008D7370"/>
    <w:rsid w:val="008D7900"/>
    <w:rsid w:val="008E0CC8"/>
    <w:rsid w:val="008E0DB0"/>
    <w:rsid w:val="008E0DE0"/>
    <w:rsid w:val="008E13F1"/>
    <w:rsid w:val="008E1532"/>
    <w:rsid w:val="008E15E5"/>
    <w:rsid w:val="008E22CF"/>
    <w:rsid w:val="008E24B8"/>
    <w:rsid w:val="008E2AA0"/>
    <w:rsid w:val="008E2DCE"/>
    <w:rsid w:val="008E2E18"/>
    <w:rsid w:val="008E30FA"/>
    <w:rsid w:val="008E32D7"/>
    <w:rsid w:val="008E337C"/>
    <w:rsid w:val="008E37A6"/>
    <w:rsid w:val="008E3A32"/>
    <w:rsid w:val="008E4289"/>
    <w:rsid w:val="008E42ED"/>
    <w:rsid w:val="008E4603"/>
    <w:rsid w:val="008E478E"/>
    <w:rsid w:val="008E49B6"/>
    <w:rsid w:val="008E5368"/>
    <w:rsid w:val="008E5A5D"/>
    <w:rsid w:val="008E66D6"/>
    <w:rsid w:val="008E67DB"/>
    <w:rsid w:val="008E73B9"/>
    <w:rsid w:val="008E7414"/>
    <w:rsid w:val="008F04E0"/>
    <w:rsid w:val="008F0C7D"/>
    <w:rsid w:val="008F1059"/>
    <w:rsid w:val="008F12B3"/>
    <w:rsid w:val="008F16EC"/>
    <w:rsid w:val="008F2159"/>
    <w:rsid w:val="008F2BEE"/>
    <w:rsid w:val="008F393D"/>
    <w:rsid w:val="008F4011"/>
    <w:rsid w:val="008F40AC"/>
    <w:rsid w:val="008F43FA"/>
    <w:rsid w:val="008F44A4"/>
    <w:rsid w:val="008F46A6"/>
    <w:rsid w:val="008F49C3"/>
    <w:rsid w:val="008F4DFD"/>
    <w:rsid w:val="008F4ECF"/>
    <w:rsid w:val="008F512B"/>
    <w:rsid w:val="008F51A5"/>
    <w:rsid w:val="008F5566"/>
    <w:rsid w:val="008F5906"/>
    <w:rsid w:val="008F6090"/>
    <w:rsid w:val="008F6A45"/>
    <w:rsid w:val="008F6E40"/>
    <w:rsid w:val="008F75EF"/>
    <w:rsid w:val="008F7C19"/>
    <w:rsid w:val="008F7C9F"/>
    <w:rsid w:val="0090032C"/>
    <w:rsid w:val="009003DB"/>
    <w:rsid w:val="009013E8"/>
    <w:rsid w:val="00901B71"/>
    <w:rsid w:val="00901EF3"/>
    <w:rsid w:val="009032FF"/>
    <w:rsid w:val="0090366A"/>
    <w:rsid w:val="00903B63"/>
    <w:rsid w:val="009041EF"/>
    <w:rsid w:val="00904224"/>
    <w:rsid w:val="00904269"/>
    <w:rsid w:val="009051ED"/>
    <w:rsid w:val="00906483"/>
    <w:rsid w:val="009066C2"/>
    <w:rsid w:val="00906D48"/>
    <w:rsid w:val="009100DD"/>
    <w:rsid w:val="0091082D"/>
    <w:rsid w:val="00910A6D"/>
    <w:rsid w:val="00910E65"/>
    <w:rsid w:val="00910E71"/>
    <w:rsid w:val="009110D9"/>
    <w:rsid w:val="009110ED"/>
    <w:rsid w:val="0091152F"/>
    <w:rsid w:val="00911C71"/>
    <w:rsid w:val="0091349F"/>
    <w:rsid w:val="009135D0"/>
    <w:rsid w:val="0091385D"/>
    <w:rsid w:val="00914104"/>
    <w:rsid w:val="009147C8"/>
    <w:rsid w:val="009150B3"/>
    <w:rsid w:val="009159E5"/>
    <w:rsid w:val="00915A9F"/>
    <w:rsid w:val="00915F19"/>
    <w:rsid w:val="00916636"/>
    <w:rsid w:val="00917163"/>
    <w:rsid w:val="00917557"/>
    <w:rsid w:val="00917D5E"/>
    <w:rsid w:val="009209F0"/>
    <w:rsid w:val="00920C1F"/>
    <w:rsid w:val="00920DCD"/>
    <w:rsid w:val="009224F7"/>
    <w:rsid w:val="0092317D"/>
    <w:rsid w:val="0092367B"/>
    <w:rsid w:val="009240B6"/>
    <w:rsid w:val="00924135"/>
    <w:rsid w:val="009242DA"/>
    <w:rsid w:val="00924796"/>
    <w:rsid w:val="009256E8"/>
    <w:rsid w:val="00925D7A"/>
    <w:rsid w:val="0092607D"/>
    <w:rsid w:val="009268BC"/>
    <w:rsid w:val="00926A22"/>
    <w:rsid w:val="009279EC"/>
    <w:rsid w:val="00927D3E"/>
    <w:rsid w:val="0093041C"/>
    <w:rsid w:val="0093066C"/>
    <w:rsid w:val="0093134D"/>
    <w:rsid w:val="0093138B"/>
    <w:rsid w:val="0093216B"/>
    <w:rsid w:val="009321D2"/>
    <w:rsid w:val="009323B1"/>
    <w:rsid w:val="009328C3"/>
    <w:rsid w:val="00933035"/>
    <w:rsid w:val="0093404C"/>
    <w:rsid w:val="00934442"/>
    <w:rsid w:val="00934CD4"/>
    <w:rsid w:val="0093518B"/>
    <w:rsid w:val="00935C5D"/>
    <w:rsid w:val="00935E0A"/>
    <w:rsid w:val="00936F5D"/>
    <w:rsid w:val="009374EB"/>
    <w:rsid w:val="009377C2"/>
    <w:rsid w:val="00937A14"/>
    <w:rsid w:val="00937D6D"/>
    <w:rsid w:val="00937D7A"/>
    <w:rsid w:val="009401CC"/>
    <w:rsid w:val="00940C39"/>
    <w:rsid w:val="00940DFC"/>
    <w:rsid w:val="009410CC"/>
    <w:rsid w:val="00941153"/>
    <w:rsid w:val="00941364"/>
    <w:rsid w:val="009414DF"/>
    <w:rsid w:val="00941529"/>
    <w:rsid w:val="0094166F"/>
    <w:rsid w:val="00942A76"/>
    <w:rsid w:val="00942CCD"/>
    <w:rsid w:val="00942D1A"/>
    <w:rsid w:val="009433FF"/>
    <w:rsid w:val="009437C3"/>
    <w:rsid w:val="00943845"/>
    <w:rsid w:val="00943980"/>
    <w:rsid w:val="00943EED"/>
    <w:rsid w:val="009441B7"/>
    <w:rsid w:val="009449C1"/>
    <w:rsid w:val="00947CB9"/>
    <w:rsid w:val="0095007C"/>
    <w:rsid w:val="009507C8"/>
    <w:rsid w:val="00950D1B"/>
    <w:rsid w:val="00950E13"/>
    <w:rsid w:val="00952042"/>
    <w:rsid w:val="0095216B"/>
    <w:rsid w:val="00953539"/>
    <w:rsid w:val="00954679"/>
    <w:rsid w:val="00954F30"/>
    <w:rsid w:val="00955355"/>
    <w:rsid w:val="00955EBE"/>
    <w:rsid w:val="00956815"/>
    <w:rsid w:val="00956B06"/>
    <w:rsid w:val="00957C0C"/>
    <w:rsid w:val="00957CCA"/>
    <w:rsid w:val="0096043C"/>
    <w:rsid w:val="0096077B"/>
    <w:rsid w:val="0096080B"/>
    <w:rsid w:val="00960D75"/>
    <w:rsid w:val="00961CF1"/>
    <w:rsid w:val="00963059"/>
    <w:rsid w:val="00963106"/>
    <w:rsid w:val="00964019"/>
    <w:rsid w:val="00964249"/>
    <w:rsid w:val="00964496"/>
    <w:rsid w:val="00965E5C"/>
    <w:rsid w:val="00966E77"/>
    <w:rsid w:val="00970314"/>
    <w:rsid w:val="00970EC7"/>
    <w:rsid w:val="00971901"/>
    <w:rsid w:val="009719B0"/>
    <w:rsid w:val="00971FE6"/>
    <w:rsid w:val="009734D6"/>
    <w:rsid w:val="00973559"/>
    <w:rsid w:val="0097422F"/>
    <w:rsid w:val="0097477B"/>
    <w:rsid w:val="00974780"/>
    <w:rsid w:val="0097661D"/>
    <w:rsid w:val="00977B7D"/>
    <w:rsid w:val="00977D4F"/>
    <w:rsid w:val="00977F4D"/>
    <w:rsid w:val="0098027B"/>
    <w:rsid w:val="0098080D"/>
    <w:rsid w:val="00980B45"/>
    <w:rsid w:val="00981148"/>
    <w:rsid w:val="00981576"/>
    <w:rsid w:val="00981578"/>
    <w:rsid w:val="00981AE0"/>
    <w:rsid w:val="00981B62"/>
    <w:rsid w:val="00981FAB"/>
    <w:rsid w:val="0098259B"/>
    <w:rsid w:val="00982B1D"/>
    <w:rsid w:val="00983469"/>
    <w:rsid w:val="009834E4"/>
    <w:rsid w:val="00983E46"/>
    <w:rsid w:val="00984326"/>
    <w:rsid w:val="0098527B"/>
    <w:rsid w:val="0098611D"/>
    <w:rsid w:val="0098646D"/>
    <w:rsid w:val="00986DD6"/>
    <w:rsid w:val="009870A6"/>
    <w:rsid w:val="00990104"/>
    <w:rsid w:val="00990287"/>
    <w:rsid w:val="009907C0"/>
    <w:rsid w:val="00990885"/>
    <w:rsid w:val="00991156"/>
    <w:rsid w:val="00991B2D"/>
    <w:rsid w:val="00991C00"/>
    <w:rsid w:val="00991E85"/>
    <w:rsid w:val="009928DE"/>
    <w:rsid w:val="00992929"/>
    <w:rsid w:val="00992BBB"/>
    <w:rsid w:val="0099361E"/>
    <w:rsid w:val="00993D6C"/>
    <w:rsid w:val="00994468"/>
    <w:rsid w:val="009949CE"/>
    <w:rsid w:val="00995212"/>
    <w:rsid w:val="009959FD"/>
    <w:rsid w:val="00995D20"/>
    <w:rsid w:val="00995FE7"/>
    <w:rsid w:val="009966F1"/>
    <w:rsid w:val="00996DD8"/>
    <w:rsid w:val="00996EB2"/>
    <w:rsid w:val="009972ED"/>
    <w:rsid w:val="009A07DE"/>
    <w:rsid w:val="009A0DED"/>
    <w:rsid w:val="009A19E8"/>
    <w:rsid w:val="009A3159"/>
    <w:rsid w:val="009A3587"/>
    <w:rsid w:val="009A3C44"/>
    <w:rsid w:val="009A45F0"/>
    <w:rsid w:val="009A4763"/>
    <w:rsid w:val="009A5695"/>
    <w:rsid w:val="009A57EB"/>
    <w:rsid w:val="009A6898"/>
    <w:rsid w:val="009A7551"/>
    <w:rsid w:val="009A7699"/>
    <w:rsid w:val="009A7987"/>
    <w:rsid w:val="009A7D3C"/>
    <w:rsid w:val="009B0C77"/>
    <w:rsid w:val="009B0E5F"/>
    <w:rsid w:val="009B1213"/>
    <w:rsid w:val="009B1EC9"/>
    <w:rsid w:val="009B343F"/>
    <w:rsid w:val="009B424E"/>
    <w:rsid w:val="009B456F"/>
    <w:rsid w:val="009B4E3E"/>
    <w:rsid w:val="009B5A2F"/>
    <w:rsid w:val="009B6053"/>
    <w:rsid w:val="009B63A7"/>
    <w:rsid w:val="009B660C"/>
    <w:rsid w:val="009B66C3"/>
    <w:rsid w:val="009B6BB3"/>
    <w:rsid w:val="009B6DD6"/>
    <w:rsid w:val="009B7517"/>
    <w:rsid w:val="009B7996"/>
    <w:rsid w:val="009B7D5A"/>
    <w:rsid w:val="009B7EE9"/>
    <w:rsid w:val="009C0711"/>
    <w:rsid w:val="009C0A30"/>
    <w:rsid w:val="009C1461"/>
    <w:rsid w:val="009C147F"/>
    <w:rsid w:val="009C16B1"/>
    <w:rsid w:val="009C1781"/>
    <w:rsid w:val="009C18D0"/>
    <w:rsid w:val="009C2324"/>
    <w:rsid w:val="009C2FF5"/>
    <w:rsid w:val="009C3B6F"/>
    <w:rsid w:val="009C3C99"/>
    <w:rsid w:val="009C477F"/>
    <w:rsid w:val="009C496F"/>
    <w:rsid w:val="009C4AB3"/>
    <w:rsid w:val="009C51F4"/>
    <w:rsid w:val="009C5280"/>
    <w:rsid w:val="009C629B"/>
    <w:rsid w:val="009C78F8"/>
    <w:rsid w:val="009C7E49"/>
    <w:rsid w:val="009D0685"/>
    <w:rsid w:val="009D3116"/>
    <w:rsid w:val="009D365D"/>
    <w:rsid w:val="009D3BAA"/>
    <w:rsid w:val="009D4ADA"/>
    <w:rsid w:val="009D56A9"/>
    <w:rsid w:val="009D583A"/>
    <w:rsid w:val="009D61D0"/>
    <w:rsid w:val="009D68D8"/>
    <w:rsid w:val="009D6CA6"/>
    <w:rsid w:val="009D6E13"/>
    <w:rsid w:val="009D7068"/>
    <w:rsid w:val="009D72D0"/>
    <w:rsid w:val="009E0465"/>
    <w:rsid w:val="009E0770"/>
    <w:rsid w:val="009E0980"/>
    <w:rsid w:val="009E09C7"/>
    <w:rsid w:val="009E09CB"/>
    <w:rsid w:val="009E0CBE"/>
    <w:rsid w:val="009E255F"/>
    <w:rsid w:val="009E2886"/>
    <w:rsid w:val="009E2C3F"/>
    <w:rsid w:val="009E43CC"/>
    <w:rsid w:val="009E4AFE"/>
    <w:rsid w:val="009E4B4F"/>
    <w:rsid w:val="009E4C8E"/>
    <w:rsid w:val="009E4C9A"/>
    <w:rsid w:val="009E647C"/>
    <w:rsid w:val="009E71B2"/>
    <w:rsid w:val="009E7BA3"/>
    <w:rsid w:val="009E7F2D"/>
    <w:rsid w:val="009F083A"/>
    <w:rsid w:val="009F0A9B"/>
    <w:rsid w:val="009F1135"/>
    <w:rsid w:val="009F1EA7"/>
    <w:rsid w:val="009F2625"/>
    <w:rsid w:val="009F36F3"/>
    <w:rsid w:val="009F482D"/>
    <w:rsid w:val="009F485B"/>
    <w:rsid w:val="009F5327"/>
    <w:rsid w:val="009F5968"/>
    <w:rsid w:val="009F71A5"/>
    <w:rsid w:val="00A00096"/>
    <w:rsid w:val="00A002A2"/>
    <w:rsid w:val="00A0047C"/>
    <w:rsid w:val="00A0056B"/>
    <w:rsid w:val="00A006A8"/>
    <w:rsid w:val="00A00DDE"/>
    <w:rsid w:val="00A010A2"/>
    <w:rsid w:val="00A01591"/>
    <w:rsid w:val="00A015B3"/>
    <w:rsid w:val="00A01A50"/>
    <w:rsid w:val="00A02105"/>
    <w:rsid w:val="00A0285E"/>
    <w:rsid w:val="00A0353D"/>
    <w:rsid w:val="00A04028"/>
    <w:rsid w:val="00A04150"/>
    <w:rsid w:val="00A044B0"/>
    <w:rsid w:val="00A055E1"/>
    <w:rsid w:val="00A06039"/>
    <w:rsid w:val="00A0640D"/>
    <w:rsid w:val="00A064E0"/>
    <w:rsid w:val="00A06887"/>
    <w:rsid w:val="00A06A8B"/>
    <w:rsid w:val="00A10670"/>
    <w:rsid w:val="00A106B2"/>
    <w:rsid w:val="00A10993"/>
    <w:rsid w:val="00A10C4F"/>
    <w:rsid w:val="00A11114"/>
    <w:rsid w:val="00A11AAA"/>
    <w:rsid w:val="00A11B4F"/>
    <w:rsid w:val="00A120BF"/>
    <w:rsid w:val="00A125BE"/>
    <w:rsid w:val="00A1294D"/>
    <w:rsid w:val="00A1435A"/>
    <w:rsid w:val="00A14B61"/>
    <w:rsid w:val="00A14CEF"/>
    <w:rsid w:val="00A14E8D"/>
    <w:rsid w:val="00A14E9A"/>
    <w:rsid w:val="00A14F25"/>
    <w:rsid w:val="00A15210"/>
    <w:rsid w:val="00A157A0"/>
    <w:rsid w:val="00A15BFF"/>
    <w:rsid w:val="00A16470"/>
    <w:rsid w:val="00A1683D"/>
    <w:rsid w:val="00A1755E"/>
    <w:rsid w:val="00A17FD0"/>
    <w:rsid w:val="00A201DA"/>
    <w:rsid w:val="00A2043B"/>
    <w:rsid w:val="00A21A22"/>
    <w:rsid w:val="00A21A8A"/>
    <w:rsid w:val="00A21BCD"/>
    <w:rsid w:val="00A21F1C"/>
    <w:rsid w:val="00A225E0"/>
    <w:rsid w:val="00A2279E"/>
    <w:rsid w:val="00A22D06"/>
    <w:rsid w:val="00A23497"/>
    <w:rsid w:val="00A249FA"/>
    <w:rsid w:val="00A24C65"/>
    <w:rsid w:val="00A2543E"/>
    <w:rsid w:val="00A25707"/>
    <w:rsid w:val="00A2702E"/>
    <w:rsid w:val="00A27377"/>
    <w:rsid w:val="00A27B53"/>
    <w:rsid w:val="00A308E6"/>
    <w:rsid w:val="00A30A57"/>
    <w:rsid w:val="00A30AEB"/>
    <w:rsid w:val="00A3120D"/>
    <w:rsid w:val="00A313BB"/>
    <w:rsid w:val="00A314DA"/>
    <w:rsid w:val="00A31BDC"/>
    <w:rsid w:val="00A31DAB"/>
    <w:rsid w:val="00A3232D"/>
    <w:rsid w:val="00A323AD"/>
    <w:rsid w:val="00A323BA"/>
    <w:rsid w:val="00A32C93"/>
    <w:rsid w:val="00A33167"/>
    <w:rsid w:val="00A33492"/>
    <w:rsid w:val="00A33B1E"/>
    <w:rsid w:val="00A3441A"/>
    <w:rsid w:val="00A34706"/>
    <w:rsid w:val="00A348BB"/>
    <w:rsid w:val="00A35699"/>
    <w:rsid w:val="00A358D7"/>
    <w:rsid w:val="00A3626D"/>
    <w:rsid w:val="00A3681B"/>
    <w:rsid w:val="00A36E76"/>
    <w:rsid w:val="00A374D9"/>
    <w:rsid w:val="00A37DBF"/>
    <w:rsid w:val="00A407B2"/>
    <w:rsid w:val="00A40A37"/>
    <w:rsid w:val="00A41BC8"/>
    <w:rsid w:val="00A41C4E"/>
    <w:rsid w:val="00A41D78"/>
    <w:rsid w:val="00A4226D"/>
    <w:rsid w:val="00A4510F"/>
    <w:rsid w:val="00A45283"/>
    <w:rsid w:val="00A45C9E"/>
    <w:rsid w:val="00A46E09"/>
    <w:rsid w:val="00A4750D"/>
    <w:rsid w:val="00A47789"/>
    <w:rsid w:val="00A47A8E"/>
    <w:rsid w:val="00A47C99"/>
    <w:rsid w:val="00A50180"/>
    <w:rsid w:val="00A501E0"/>
    <w:rsid w:val="00A5020C"/>
    <w:rsid w:val="00A503FD"/>
    <w:rsid w:val="00A50628"/>
    <w:rsid w:val="00A50C5E"/>
    <w:rsid w:val="00A515C6"/>
    <w:rsid w:val="00A51744"/>
    <w:rsid w:val="00A52217"/>
    <w:rsid w:val="00A52C15"/>
    <w:rsid w:val="00A53934"/>
    <w:rsid w:val="00A53B50"/>
    <w:rsid w:val="00A5659B"/>
    <w:rsid w:val="00A56DBF"/>
    <w:rsid w:val="00A56EB8"/>
    <w:rsid w:val="00A577A1"/>
    <w:rsid w:val="00A57B30"/>
    <w:rsid w:val="00A61420"/>
    <w:rsid w:val="00A61580"/>
    <w:rsid w:val="00A61A6C"/>
    <w:rsid w:val="00A61FB7"/>
    <w:rsid w:val="00A635D4"/>
    <w:rsid w:val="00A63672"/>
    <w:rsid w:val="00A6427B"/>
    <w:rsid w:val="00A64783"/>
    <w:rsid w:val="00A64B7F"/>
    <w:rsid w:val="00A65F4C"/>
    <w:rsid w:val="00A66FE2"/>
    <w:rsid w:val="00A672E6"/>
    <w:rsid w:val="00A674DE"/>
    <w:rsid w:val="00A67BFF"/>
    <w:rsid w:val="00A67CA5"/>
    <w:rsid w:val="00A702F5"/>
    <w:rsid w:val="00A70C87"/>
    <w:rsid w:val="00A70EA5"/>
    <w:rsid w:val="00A71E92"/>
    <w:rsid w:val="00A7223D"/>
    <w:rsid w:val="00A7227B"/>
    <w:rsid w:val="00A72337"/>
    <w:rsid w:val="00A72962"/>
    <w:rsid w:val="00A729C8"/>
    <w:rsid w:val="00A72A3D"/>
    <w:rsid w:val="00A72D4C"/>
    <w:rsid w:val="00A72FDE"/>
    <w:rsid w:val="00A74005"/>
    <w:rsid w:val="00A74290"/>
    <w:rsid w:val="00A74CD6"/>
    <w:rsid w:val="00A75DA1"/>
    <w:rsid w:val="00A76788"/>
    <w:rsid w:val="00A77401"/>
    <w:rsid w:val="00A774E5"/>
    <w:rsid w:val="00A77636"/>
    <w:rsid w:val="00A77FB7"/>
    <w:rsid w:val="00A80994"/>
    <w:rsid w:val="00A80F07"/>
    <w:rsid w:val="00A81C53"/>
    <w:rsid w:val="00A820B7"/>
    <w:rsid w:val="00A82389"/>
    <w:rsid w:val="00A82396"/>
    <w:rsid w:val="00A83219"/>
    <w:rsid w:val="00A83B35"/>
    <w:rsid w:val="00A83EDF"/>
    <w:rsid w:val="00A841C3"/>
    <w:rsid w:val="00A845AA"/>
    <w:rsid w:val="00A85292"/>
    <w:rsid w:val="00A865E7"/>
    <w:rsid w:val="00A86D4E"/>
    <w:rsid w:val="00A8706A"/>
    <w:rsid w:val="00A8707C"/>
    <w:rsid w:val="00A8762F"/>
    <w:rsid w:val="00A877A3"/>
    <w:rsid w:val="00A87C41"/>
    <w:rsid w:val="00A90A44"/>
    <w:rsid w:val="00A91155"/>
    <w:rsid w:val="00A91E02"/>
    <w:rsid w:val="00A92177"/>
    <w:rsid w:val="00A928B6"/>
    <w:rsid w:val="00A92F77"/>
    <w:rsid w:val="00A93086"/>
    <w:rsid w:val="00A94A4C"/>
    <w:rsid w:val="00A951CD"/>
    <w:rsid w:val="00A9736F"/>
    <w:rsid w:val="00A978A5"/>
    <w:rsid w:val="00A97E7B"/>
    <w:rsid w:val="00AA015C"/>
    <w:rsid w:val="00AA0328"/>
    <w:rsid w:val="00AA1789"/>
    <w:rsid w:val="00AA1BD8"/>
    <w:rsid w:val="00AA3151"/>
    <w:rsid w:val="00AA358F"/>
    <w:rsid w:val="00AA366F"/>
    <w:rsid w:val="00AA411B"/>
    <w:rsid w:val="00AA4143"/>
    <w:rsid w:val="00AA639E"/>
    <w:rsid w:val="00AA7735"/>
    <w:rsid w:val="00AA7BA6"/>
    <w:rsid w:val="00AA7C3D"/>
    <w:rsid w:val="00AB0CF6"/>
    <w:rsid w:val="00AB0FC6"/>
    <w:rsid w:val="00AB1052"/>
    <w:rsid w:val="00AB1D29"/>
    <w:rsid w:val="00AB1E7B"/>
    <w:rsid w:val="00AB27C8"/>
    <w:rsid w:val="00AB2B02"/>
    <w:rsid w:val="00AB2B20"/>
    <w:rsid w:val="00AB3175"/>
    <w:rsid w:val="00AB34A7"/>
    <w:rsid w:val="00AB46FC"/>
    <w:rsid w:val="00AB51C9"/>
    <w:rsid w:val="00AB56E2"/>
    <w:rsid w:val="00AB5874"/>
    <w:rsid w:val="00AB623B"/>
    <w:rsid w:val="00AB645C"/>
    <w:rsid w:val="00AB73CF"/>
    <w:rsid w:val="00AB7491"/>
    <w:rsid w:val="00AC059F"/>
    <w:rsid w:val="00AC19A1"/>
    <w:rsid w:val="00AC1BB1"/>
    <w:rsid w:val="00AC2CA1"/>
    <w:rsid w:val="00AC2DE6"/>
    <w:rsid w:val="00AC376E"/>
    <w:rsid w:val="00AC3955"/>
    <w:rsid w:val="00AC4317"/>
    <w:rsid w:val="00AC4D1E"/>
    <w:rsid w:val="00AC5413"/>
    <w:rsid w:val="00AC5C2C"/>
    <w:rsid w:val="00AC5F12"/>
    <w:rsid w:val="00AC679E"/>
    <w:rsid w:val="00AC689E"/>
    <w:rsid w:val="00AC7C53"/>
    <w:rsid w:val="00AC7CEA"/>
    <w:rsid w:val="00AC7DCE"/>
    <w:rsid w:val="00AD0596"/>
    <w:rsid w:val="00AD0A1C"/>
    <w:rsid w:val="00AD0F42"/>
    <w:rsid w:val="00AD103C"/>
    <w:rsid w:val="00AD15A9"/>
    <w:rsid w:val="00AD216D"/>
    <w:rsid w:val="00AD3108"/>
    <w:rsid w:val="00AD3422"/>
    <w:rsid w:val="00AD4796"/>
    <w:rsid w:val="00AD4DCC"/>
    <w:rsid w:val="00AD5390"/>
    <w:rsid w:val="00AD5F7A"/>
    <w:rsid w:val="00AD6B3B"/>
    <w:rsid w:val="00AE0019"/>
    <w:rsid w:val="00AE014E"/>
    <w:rsid w:val="00AE151D"/>
    <w:rsid w:val="00AE2348"/>
    <w:rsid w:val="00AE26E0"/>
    <w:rsid w:val="00AE29DF"/>
    <w:rsid w:val="00AE386C"/>
    <w:rsid w:val="00AE5D08"/>
    <w:rsid w:val="00AE6379"/>
    <w:rsid w:val="00AF0138"/>
    <w:rsid w:val="00AF066A"/>
    <w:rsid w:val="00AF0ED9"/>
    <w:rsid w:val="00AF27BB"/>
    <w:rsid w:val="00AF361B"/>
    <w:rsid w:val="00AF3791"/>
    <w:rsid w:val="00AF3AA0"/>
    <w:rsid w:val="00AF3EBC"/>
    <w:rsid w:val="00AF4093"/>
    <w:rsid w:val="00AF4251"/>
    <w:rsid w:val="00AF54A8"/>
    <w:rsid w:val="00AF5776"/>
    <w:rsid w:val="00AF592A"/>
    <w:rsid w:val="00AF5BC2"/>
    <w:rsid w:val="00AF5FE9"/>
    <w:rsid w:val="00AF6CF1"/>
    <w:rsid w:val="00AF6E17"/>
    <w:rsid w:val="00AF736E"/>
    <w:rsid w:val="00AF73BE"/>
    <w:rsid w:val="00B007D7"/>
    <w:rsid w:val="00B00AA4"/>
    <w:rsid w:val="00B02120"/>
    <w:rsid w:val="00B0291B"/>
    <w:rsid w:val="00B02935"/>
    <w:rsid w:val="00B02A3D"/>
    <w:rsid w:val="00B0309A"/>
    <w:rsid w:val="00B03BDD"/>
    <w:rsid w:val="00B04D35"/>
    <w:rsid w:val="00B05930"/>
    <w:rsid w:val="00B059D8"/>
    <w:rsid w:val="00B0671B"/>
    <w:rsid w:val="00B06A43"/>
    <w:rsid w:val="00B06EED"/>
    <w:rsid w:val="00B10323"/>
    <w:rsid w:val="00B1034E"/>
    <w:rsid w:val="00B106B8"/>
    <w:rsid w:val="00B106BA"/>
    <w:rsid w:val="00B1127E"/>
    <w:rsid w:val="00B117CE"/>
    <w:rsid w:val="00B11AFA"/>
    <w:rsid w:val="00B1268A"/>
    <w:rsid w:val="00B1270A"/>
    <w:rsid w:val="00B1431D"/>
    <w:rsid w:val="00B14564"/>
    <w:rsid w:val="00B14AB1"/>
    <w:rsid w:val="00B14BEF"/>
    <w:rsid w:val="00B1501E"/>
    <w:rsid w:val="00B15650"/>
    <w:rsid w:val="00B157F1"/>
    <w:rsid w:val="00B15873"/>
    <w:rsid w:val="00B15BBE"/>
    <w:rsid w:val="00B173C8"/>
    <w:rsid w:val="00B2063D"/>
    <w:rsid w:val="00B20D20"/>
    <w:rsid w:val="00B21123"/>
    <w:rsid w:val="00B214A5"/>
    <w:rsid w:val="00B215FB"/>
    <w:rsid w:val="00B219FA"/>
    <w:rsid w:val="00B22B0E"/>
    <w:rsid w:val="00B22CD4"/>
    <w:rsid w:val="00B23148"/>
    <w:rsid w:val="00B23536"/>
    <w:rsid w:val="00B2360C"/>
    <w:rsid w:val="00B240CF"/>
    <w:rsid w:val="00B25155"/>
    <w:rsid w:val="00B252E4"/>
    <w:rsid w:val="00B256A1"/>
    <w:rsid w:val="00B25BF6"/>
    <w:rsid w:val="00B26C41"/>
    <w:rsid w:val="00B30575"/>
    <w:rsid w:val="00B30B82"/>
    <w:rsid w:val="00B31246"/>
    <w:rsid w:val="00B3200D"/>
    <w:rsid w:val="00B330C7"/>
    <w:rsid w:val="00B33440"/>
    <w:rsid w:val="00B33703"/>
    <w:rsid w:val="00B34508"/>
    <w:rsid w:val="00B348CE"/>
    <w:rsid w:val="00B34A41"/>
    <w:rsid w:val="00B3577E"/>
    <w:rsid w:val="00B35C59"/>
    <w:rsid w:val="00B364F6"/>
    <w:rsid w:val="00B36668"/>
    <w:rsid w:val="00B36916"/>
    <w:rsid w:val="00B3770E"/>
    <w:rsid w:val="00B37779"/>
    <w:rsid w:val="00B404F4"/>
    <w:rsid w:val="00B40E74"/>
    <w:rsid w:val="00B4198E"/>
    <w:rsid w:val="00B43956"/>
    <w:rsid w:val="00B43DF0"/>
    <w:rsid w:val="00B444AC"/>
    <w:rsid w:val="00B44EC6"/>
    <w:rsid w:val="00B45B3B"/>
    <w:rsid w:val="00B45CDF"/>
    <w:rsid w:val="00B461A0"/>
    <w:rsid w:val="00B46AA7"/>
    <w:rsid w:val="00B46C4E"/>
    <w:rsid w:val="00B46E20"/>
    <w:rsid w:val="00B47ACD"/>
    <w:rsid w:val="00B50105"/>
    <w:rsid w:val="00B511A8"/>
    <w:rsid w:val="00B511B1"/>
    <w:rsid w:val="00B51719"/>
    <w:rsid w:val="00B51827"/>
    <w:rsid w:val="00B5248C"/>
    <w:rsid w:val="00B5253F"/>
    <w:rsid w:val="00B53015"/>
    <w:rsid w:val="00B53318"/>
    <w:rsid w:val="00B536AE"/>
    <w:rsid w:val="00B53929"/>
    <w:rsid w:val="00B53A25"/>
    <w:rsid w:val="00B53C00"/>
    <w:rsid w:val="00B540F8"/>
    <w:rsid w:val="00B54588"/>
    <w:rsid w:val="00B552B9"/>
    <w:rsid w:val="00B55B27"/>
    <w:rsid w:val="00B55E67"/>
    <w:rsid w:val="00B561E6"/>
    <w:rsid w:val="00B56ABB"/>
    <w:rsid w:val="00B579BD"/>
    <w:rsid w:val="00B57E68"/>
    <w:rsid w:val="00B605E2"/>
    <w:rsid w:val="00B60A53"/>
    <w:rsid w:val="00B616A7"/>
    <w:rsid w:val="00B61949"/>
    <w:rsid w:val="00B61FB2"/>
    <w:rsid w:val="00B638F1"/>
    <w:rsid w:val="00B63919"/>
    <w:rsid w:val="00B6546D"/>
    <w:rsid w:val="00B6547F"/>
    <w:rsid w:val="00B6587D"/>
    <w:rsid w:val="00B6686F"/>
    <w:rsid w:val="00B67099"/>
    <w:rsid w:val="00B70038"/>
    <w:rsid w:val="00B701AF"/>
    <w:rsid w:val="00B70848"/>
    <w:rsid w:val="00B70C3F"/>
    <w:rsid w:val="00B70E4C"/>
    <w:rsid w:val="00B7150E"/>
    <w:rsid w:val="00B725B5"/>
    <w:rsid w:val="00B7267F"/>
    <w:rsid w:val="00B7268C"/>
    <w:rsid w:val="00B7281F"/>
    <w:rsid w:val="00B7442F"/>
    <w:rsid w:val="00B74C04"/>
    <w:rsid w:val="00B74CDE"/>
    <w:rsid w:val="00B754F4"/>
    <w:rsid w:val="00B76A62"/>
    <w:rsid w:val="00B77754"/>
    <w:rsid w:val="00B77A8D"/>
    <w:rsid w:val="00B80D45"/>
    <w:rsid w:val="00B81DEB"/>
    <w:rsid w:val="00B826B6"/>
    <w:rsid w:val="00B82B3F"/>
    <w:rsid w:val="00B83075"/>
    <w:rsid w:val="00B8308E"/>
    <w:rsid w:val="00B8336C"/>
    <w:rsid w:val="00B83909"/>
    <w:rsid w:val="00B843BB"/>
    <w:rsid w:val="00B844E9"/>
    <w:rsid w:val="00B846EB"/>
    <w:rsid w:val="00B8498E"/>
    <w:rsid w:val="00B85587"/>
    <w:rsid w:val="00B85F86"/>
    <w:rsid w:val="00B87402"/>
    <w:rsid w:val="00B87455"/>
    <w:rsid w:val="00B87475"/>
    <w:rsid w:val="00B87908"/>
    <w:rsid w:val="00B87A6B"/>
    <w:rsid w:val="00B90338"/>
    <w:rsid w:val="00B90BDB"/>
    <w:rsid w:val="00B916FC"/>
    <w:rsid w:val="00B927C5"/>
    <w:rsid w:val="00B92AAE"/>
    <w:rsid w:val="00B930C5"/>
    <w:rsid w:val="00B935DE"/>
    <w:rsid w:val="00B93B25"/>
    <w:rsid w:val="00B93BD5"/>
    <w:rsid w:val="00B940BD"/>
    <w:rsid w:val="00B9421E"/>
    <w:rsid w:val="00B95058"/>
    <w:rsid w:val="00B95437"/>
    <w:rsid w:val="00B95784"/>
    <w:rsid w:val="00B960BA"/>
    <w:rsid w:val="00B9658C"/>
    <w:rsid w:val="00B96E8A"/>
    <w:rsid w:val="00B97754"/>
    <w:rsid w:val="00BA0712"/>
    <w:rsid w:val="00BA08DA"/>
    <w:rsid w:val="00BA0F35"/>
    <w:rsid w:val="00BA178C"/>
    <w:rsid w:val="00BA19DE"/>
    <w:rsid w:val="00BA2685"/>
    <w:rsid w:val="00BA2AF6"/>
    <w:rsid w:val="00BA3462"/>
    <w:rsid w:val="00BA368D"/>
    <w:rsid w:val="00BA4481"/>
    <w:rsid w:val="00BA4B8B"/>
    <w:rsid w:val="00BA501A"/>
    <w:rsid w:val="00BA578F"/>
    <w:rsid w:val="00BA650B"/>
    <w:rsid w:val="00BA6C23"/>
    <w:rsid w:val="00BA718F"/>
    <w:rsid w:val="00BA7A9F"/>
    <w:rsid w:val="00BA7ADE"/>
    <w:rsid w:val="00BA7EF8"/>
    <w:rsid w:val="00BA7FBC"/>
    <w:rsid w:val="00BB001F"/>
    <w:rsid w:val="00BB0122"/>
    <w:rsid w:val="00BB17E0"/>
    <w:rsid w:val="00BB1B63"/>
    <w:rsid w:val="00BB1BEB"/>
    <w:rsid w:val="00BB2E98"/>
    <w:rsid w:val="00BB2EE7"/>
    <w:rsid w:val="00BB3119"/>
    <w:rsid w:val="00BB3949"/>
    <w:rsid w:val="00BB3A23"/>
    <w:rsid w:val="00BB4509"/>
    <w:rsid w:val="00BB4B8C"/>
    <w:rsid w:val="00BB4D38"/>
    <w:rsid w:val="00BB56D2"/>
    <w:rsid w:val="00BB5C31"/>
    <w:rsid w:val="00BB6307"/>
    <w:rsid w:val="00BB66D1"/>
    <w:rsid w:val="00BB6793"/>
    <w:rsid w:val="00BB6829"/>
    <w:rsid w:val="00BB6934"/>
    <w:rsid w:val="00BB761E"/>
    <w:rsid w:val="00BB7B4C"/>
    <w:rsid w:val="00BC03FC"/>
    <w:rsid w:val="00BC18F7"/>
    <w:rsid w:val="00BC1B02"/>
    <w:rsid w:val="00BC31E7"/>
    <w:rsid w:val="00BC35D6"/>
    <w:rsid w:val="00BC3CF6"/>
    <w:rsid w:val="00BC3DBE"/>
    <w:rsid w:val="00BC47C0"/>
    <w:rsid w:val="00BC4A25"/>
    <w:rsid w:val="00BC5206"/>
    <w:rsid w:val="00BC5323"/>
    <w:rsid w:val="00BC53F8"/>
    <w:rsid w:val="00BC61C6"/>
    <w:rsid w:val="00BC6403"/>
    <w:rsid w:val="00BC65B0"/>
    <w:rsid w:val="00BC6990"/>
    <w:rsid w:val="00BC6AEA"/>
    <w:rsid w:val="00BC6D9A"/>
    <w:rsid w:val="00BD00DB"/>
    <w:rsid w:val="00BD0109"/>
    <w:rsid w:val="00BD059E"/>
    <w:rsid w:val="00BD2257"/>
    <w:rsid w:val="00BD2418"/>
    <w:rsid w:val="00BD25F8"/>
    <w:rsid w:val="00BD3CD7"/>
    <w:rsid w:val="00BD4535"/>
    <w:rsid w:val="00BD4AED"/>
    <w:rsid w:val="00BD4CBD"/>
    <w:rsid w:val="00BD4F67"/>
    <w:rsid w:val="00BD5C30"/>
    <w:rsid w:val="00BD615B"/>
    <w:rsid w:val="00BD6E1E"/>
    <w:rsid w:val="00BD70B3"/>
    <w:rsid w:val="00BD746C"/>
    <w:rsid w:val="00BD7B89"/>
    <w:rsid w:val="00BE001A"/>
    <w:rsid w:val="00BE0185"/>
    <w:rsid w:val="00BE06BF"/>
    <w:rsid w:val="00BE1495"/>
    <w:rsid w:val="00BE19CC"/>
    <w:rsid w:val="00BE19F4"/>
    <w:rsid w:val="00BE1B54"/>
    <w:rsid w:val="00BE2676"/>
    <w:rsid w:val="00BE2A81"/>
    <w:rsid w:val="00BE3991"/>
    <w:rsid w:val="00BE3AAB"/>
    <w:rsid w:val="00BE3FC6"/>
    <w:rsid w:val="00BE4113"/>
    <w:rsid w:val="00BE4302"/>
    <w:rsid w:val="00BE47BD"/>
    <w:rsid w:val="00BE5000"/>
    <w:rsid w:val="00BE59BC"/>
    <w:rsid w:val="00BE6367"/>
    <w:rsid w:val="00BE6F4D"/>
    <w:rsid w:val="00BE7062"/>
    <w:rsid w:val="00BF0841"/>
    <w:rsid w:val="00BF137E"/>
    <w:rsid w:val="00BF17A3"/>
    <w:rsid w:val="00BF1C39"/>
    <w:rsid w:val="00BF208B"/>
    <w:rsid w:val="00BF2558"/>
    <w:rsid w:val="00BF255E"/>
    <w:rsid w:val="00BF2AAB"/>
    <w:rsid w:val="00BF2EBC"/>
    <w:rsid w:val="00BF2FDA"/>
    <w:rsid w:val="00BF311E"/>
    <w:rsid w:val="00BF3A9F"/>
    <w:rsid w:val="00BF3E05"/>
    <w:rsid w:val="00BF4759"/>
    <w:rsid w:val="00BF58A0"/>
    <w:rsid w:val="00BF5EA2"/>
    <w:rsid w:val="00BF6A99"/>
    <w:rsid w:val="00BF6CA7"/>
    <w:rsid w:val="00C001E4"/>
    <w:rsid w:val="00C016C2"/>
    <w:rsid w:val="00C01C62"/>
    <w:rsid w:val="00C02ACB"/>
    <w:rsid w:val="00C0339F"/>
    <w:rsid w:val="00C03E50"/>
    <w:rsid w:val="00C04061"/>
    <w:rsid w:val="00C05CD2"/>
    <w:rsid w:val="00C069D1"/>
    <w:rsid w:val="00C07747"/>
    <w:rsid w:val="00C07997"/>
    <w:rsid w:val="00C1023A"/>
    <w:rsid w:val="00C10804"/>
    <w:rsid w:val="00C10FE4"/>
    <w:rsid w:val="00C11381"/>
    <w:rsid w:val="00C114D9"/>
    <w:rsid w:val="00C13135"/>
    <w:rsid w:val="00C132B0"/>
    <w:rsid w:val="00C133C9"/>
    <w:rsid w:val="00C134C5"/>
    <w:rsid w:val="00C13C0A"/>
    <w:rsid w:val="00C141C0"/>
    <w:rsid w:val="00C142C0"/>
    <w:rsid w:val="00C14401"/>
    <w:rsid w:val="00C1468F"/>
    <w:rsid w:val="00C14A5D"/>
    <w:rsid w:val="00C15428"/>
    <w:rsid w:val="00C16ADB"/>
    <w:rsid w:val="00C16E8A"/>
    <w:rsid w:val="00C16F21"/>
    <w:rsid w:val="00C17106"/>
    <w:rsid w:val="00C1786A"/>
    <w:rsid w:val="00C20FBF"/>
    <w:rsid w:val="00C21AD5"/>
    <w:rsid w:val="00C223C6"/>
    <w:rsid w:val="00C22708"/>
    <w:rsid w:val="00C22BE9"/>
    <w:rsid w:val="00C237C8"/>
    <w:rsid w:val="00C24926"/>
    <w:rsid w:val="00C24C88"/>
    <w:rsid w:val="00C24CFC"/>
    <w:rsid w:val="00C25591"/>
    <w:rsid w:val="00C26533"/>
    <w:rsid w:val="00C265AA"/>
    <w:rsid w:val="00C26A3D"/>
    <w:rsid w:val="00C26FFB"/>
    <w:rsid w:val="00C277A0"/>
    <w:rsid w:val="00C278BC"/>
    <w:rsid w:val="00C30305"/>
    <w:rsid w:val="00C3036A"/>
    <w:rsid w:val="00C30FC8"/>
    <w:rsid w:val="00C31B80"/>
    <w:rsid w:val="00C32205"/>
    <w:rsid w:val="00C32336"/>
    <w:rsid w:val="00C32902"/>
    <w:rsid w:val="00C33814"/>
    <w:rsid w:val="00C33C5A"/>
    <w:rsid w:val="00C345C3"/>
    <w:rsid w:val="00C345E2"/>
    <w:rsid w:val="00C347B9"/>
    <w:rsid w:val="00C34CEB"/>
    <w:rsid w:val="00C353B6"/>
    <w:rsid w:val="00C356A5"/>
    <w:rsid w:val="00C375A2"/>
    <w:rsid w:val="00C4072A"/>
    <w:rsid w:val="00C40C30"/>
    <w:rsid w:val="00C410EA"/>
    <w:rsid w:val="00C41A3A"/>
    <w:rsid w:val="00C420B9"/>
    <w:rsid w:val="00C42929"/>
    <w:rsid w:val="00C42D50"/>
    <w:rsid w:val="00C43543"/>
    <w:rsid w:val="00C437A6"/>
    <w:rsid w:val="00C4417E"/>
    <w:rsid w:val="00C44B83"/>
    <w:rsid w:val="00C45470"/>
    <w:rsid w:val="00C458AA"/>
    <w:rsid w:val="00C45C48"/>
    <w:rsid w:val="00C45CDE"/>
    <w:rsid w:val="00C45FF5"/>
    <w:rsid w:val="00C4603C"/>
    <w:rsid w:val="00C46B5D"/>
    <w:rsid w:val="00C46B67"/>
    <w:rsid w:val="00C46FE4"/>
    <w:rsid w:val="00C4737F"/>
    <w:rsid w:val="00C4774C"/>
    <w:rsid w:val="00C47E60"/>
    <w:rsid w:val="00C50468"/>
    <w:rsid w:val="00C50518"/>
    <w:rsid w:val="00C50B24"/>
    <w:rsid w:val="00C51264"/>
    <w:rsid w:val="00C529C6"/>
    <w:rsid w:val="00C52B41"/>
    <w:rsid w:val="00C5348B"/>
    <w:rsid w:val="00C53BEE"/>
    <w:rsid w:val="00C53EBC"/>
    <w:rsid w:val="00C548F8"/>
    <w:rsid w:val="00C55552"/>
    <w:rsid w:val="00C57131"/>
    <w:rsid w:val="00C572DE"/>
    <w:rsid w:val="00C5791D"/>
    <w:rsid w:val="00C60E96"/>
    <w:rsid w:val="00C60F63"/>
    <w:rsid w:val="00C621E1"/>
    <w:rsid w:val="00C624CE"/>
    <w:rsid w:val="00C628B8"/>
    <w:rsid w:val="00C631B4"/>
    <w:rsid w:val="00C636F5"/>
    <w:rsid w:val="00C6398A"/>
    <w:rsid w:val="00C639A3"/>
    <w:rsid w:val="00C639B0"/>
    <w:rsid w:val="00C639EF"/>
    <w:rsid w:val="00C642BD"/>
    <w:rsid w:val="00C6480D"/>
    <w:rsid w:val="00C64CC8"/>
    <w:rsid w:val="00C64CFE"/>
    <w:rsid w:val="00C651F0"/>
    <w:rsid w:val="00C659D0"/>
    <w:rsid w:val="00C6693C"/>
    <w:rsid w:val="00C66BC7"/>
    <w:rsid w:val="00C66C08"/>
    <w:rsid w:val="00C670F4"/>
    <w:rsid w:val="00C676B9"/>
    <w:rsid w:val="00C67BCF"/>
    <w:rsid w:val="00C71264"/>
    <w:rsid w:val="00C715E5"/>
    <w:rsid w:val="00C72297"/>
    <w:rsid w:val="00C72D88"/>
    <w:rsid w:val="00C72DB1"/>
    <w:rsid w:val="00C73666"/>
    <w:rsid w:val="00C75116"/>
    <w:rsid w:val="00C7538C"/>
    <w:rsid w:val="00C80C5A"/>
    <w:rsid w:val="00C81231"/>
    <w:rsid w:val="00C81B10"/>
    <w:rsid w:val="00C82D9B"/>
    <w:rsid w:val="00C82FC6"/>
    <w:rsid w:val="00C833CF"/>
    <w:rsid w:val="00C839C7"/>
    <w:rsid w:val="00C83A44"/>
    <w:rsid w:val="00C83CBC"/>
    <w:rsid w:val="00C84399"/>
    <w:rsid w:val="00C84C79"/>
    <w:rsid w:val="00C84CC6"/>
    <w:rsid w:val="00C850E4"/>
    <w:rsid w:val="00C85C74"/>
    <w:rsid w:val="00C86BAD"/>
    <w:rsid w:val="00C87151"/>
    <w:rsid w:val="00C8779C"/>
    <w:rsid w:val="00C9062A"/>
    <w:rsid w:val="00C91450"/>
    <w:rsid w:val="00C9167A"/>
    <w:rsid w:val="00C917C5"/>
    <w:rsid w:val="00C92198"/>
    <w:rsid w:val="00C925DA"/>
    <w:rsid w:val="00C92F46"/>
    <w:rsid w:val="00C949F1"/>
    <w:rsid w:val="00C95A64"/>
    <w:rsid w:val="00C965E2"/>
    <w:rsid w:val="00C96B03"/>
    <w:rsid w:val="00C96E70"/>
    <w:rsid w:val="00C9742B"/>
    <w:rsid w:val="00C97B49"/>
    <w:rsid w:val="00CA04CF"/>
    <w:rsid w:val="00CA05C9"/>
    <w:rsid w:val="00CA13AE"/>
    <w:rsid w:val="00CA148E"/>
    <w:rsid w:val="00CA180B"/>
    <w:rsid w:val="00CA1904"/>
    <w:rsid w:val="00CA2136"/>
    <w:rsid w:val="00CA401D"/>
    <w:rsid w:val="00CA49A1"/>
    <w:rsid w:val="00CA5E90"/>
    <w:rsid w:val="00CA64E0"/>
    <w:rsid w:val="00CA70DF"/>
    <w:rsid w:val="00CB07B8"/>
    <w:rsid w:val="00CB098F"/>
    <w:rsid w:val="00CB0AD7"/>
    <w:rsid w:val="00CB0B68"/>
    <w:rsid w:val="00CB0D44"/>
    <w:rsid w:val="00CB0E36"/>
    <w:rsid w:val="00CB0E61"/>
    <w:rsid w:val="00CB1921"/>
    <w:rsid w:val="00CB2280"/>
    <w:rsid w:val="00CB26E6"/>
    <w:rsid w:val="00CB2DB5"/>
    <w:rsid w:val="00CB3879"/>
    <w:rsid w:val="00CB3B97"/>
    <w:rsid w:val="00CB4248"/>
    <w:rsid w:val="00CB4CC7"/>
    <w:rsid w:val="00CB5072"/>
    <w:rsid w:val="00CB533D"/>
    <w:rsid w:val="00CB57F7"/>
    <w:rsid w:val="00CB592F"/>
    <w:rsid w:val="00CB5C90"/>
    <w:rsid w:val="00CB6034"/>
    <w:rsid w:val="00CB603C"/>
    <w:rsid w:val="00CB6BC7"/>
    <w:rsid w:val="00CB7F59"/>
    <w:rsid w:val="00CC0AC2"/>
    <w:rsid w:val="00CC0CF4"/>
    <w:rsid w:val="00CC2B72"/>
    <w:rsid w:val="00CC36A3"/>
    <w:rsid w:val="00CC38E3"/>
    <w:rsid w:val="00CC3944"/>
    <w:rsid w:val="00CC42B4"/>
    <w:rsid w:val="00CC4830"/>
    <w:rsid w:val="00CC596A"/>
    <w:rsid w:val="00CC64EE"/>
    <w:rsid w:val="00CC6899"/>
    <w:rsid w:val="00CC698D"/>
    <w:rsid w:val="00CC6F16"/>
    <w:rsid w:val="00CC7952"/>
    <w:rsid w:val="00CD02A4"/>
    <w:rsid w:val="00CD0AE8"/>
    <w:rsid w:val="00CD0B06"/>
    <w:rsid w:val="00CD11CD"/>
    <w:rsid w:val="00CD1E86"/>
    <w:rsid w:val="00CD2378"/>
    <w:rsid w:val="00CD280B"/>
    <w:rsid w:val="00CD29AF"/>
    <w:rsid w:val="00CD2C63"/>
    <w:rsid w:val="00CD2E2A"/>
    <w:rsid w:val="00CD30BA"/>
    <w:rsid w:val="00CD35AF"/>
    <w:rsid w:val="00CD5201"/>
    <w:rsid w:val="00CD5726"/>
    <w:rsid w:val="00CD63B9"/>
    <w:rsid w:val="00CD66B0"/>
    <w:rsid w:val="00CD67BF"/>
    <w:rsid w:val="00CD6D46"/>
    <w:rsid w:val="00CD7212"/>
    <w:rsid w:val="00CE0EBD"/>
    <w:rsid w:val="00CE0F53"/>
    <w:rsid w:val="00CE10A8"/>
    <w:rsid w:val="00CE194B"/>
    <w:rsid w:val="00CE1F8F"/>
    <w:rsid w:val="00CE23CE"/>
    <w:rsid w:val="00CE2784"/>
    <w:rsid w:val="00CE2BB6"/>
    <w:rsid w:val="00CE2F63"/>
    <w:rsid w:val="00CE37A4"/>
    <w:rsid w:val="00CE37DB"/>
    <w:rsid w:val="00CE37ED"/>
    <w:rsid w:val="00CE4237"/>
    <w:rsid w:val="00CE45BA"/>
    <w:rsid w:val="00CE47ED"/>
    <w:rsid w:val="00CE4F1F"/>
    <w:rsid w:val="00CE50E3"/>
    <w:rsid w:val="00CE5B0C"/>
    <w:rsid w:val="00CE67E0"/>
    <w:rsid w:val="00CE7A3B"/>
    <w:rsid w:val="00CE7D3D"/>
    <w:rsid w:val="00CF087E"/>
    <w:rsid w:val="00CF09B2"/>
    <w:rsid w:val="00CF1A85"/>
    <w:rsid w:val="00CF2FD3"/>
    <w:rsid w:val="00CF3275"/>
    <w:rsid w:val="00CF3369"/>
    <w:rsid w:val="00CF389A"/>
    <w:rsid w:val="00CF4112"/>
    <w:rsid w:val="00CF451B"/>
    <w:rsid w:val="00CF5219"/>
    <w:rsid w:val="00CF5711"/>
    <w:rsid w:val="00CF591C"/>
    <w:rsid w:val="00CF716B"/>
    <w:rsid w:val="00CF7331"/>
    <w:rsid w:val="00CF75A7"/>
    <w:rsid w:val="00CF7C45"/>
    <w:rsid w:val="00D00361"/>
    <w:rsid w:val="00D00566"/>
    <w:rsid w:val="00D009ED"/>
    <w:rsid w:val="00D00CEE"/>
    <w:rsid w:val="00D01226"/>
    <w:rsid w:val="00D01DFA"/>
    <w:rsid w:val="00D02034"/>
    <w:rsid w:val="00D023DA"/>
    <w:rsid w:val="00D02698"/>
    <w:rsid w:val="00D02846"/>
    <w:rsid w:val="00D028C7"/>
    <w:rsid w:val="00D03956"/>
    <w:rsid w:val="00D0398C"/>
    <w:rsid w:val="00D03F14"/>
    <w:rsid w:val="00D04861"/>
    <w:rsid w:val="00D04D80"/>
    <w:rsid w:val="00D04DAD"/>
    <w:rsid w:val="00D05536"/>
    <w:rsid w:val="00D055B0"/>
    <w:rsid w:val="00D0562D"/>
    <w:rsid w:val="00D0656B"/>
    <w:rsid w:val="00D07B86"/>
    <w:rsid w:val="00D10799"/>
    <w:rsid w:val="00D108A4"/>
    <w:rsid w:val="00D127D2"/>
    <w:rsid w:val="00D12B84"/>
    <w:rsid w:val="00D133CD"/>
    <w:rsid w:val="00D1394A"/>
    <w:rsid w:val="00D13F7D"/>
    <w:rsid w:val="00D142B2"/>
    <w:rsid w:val="00D14AAF"/>
    <w:rsid w:val="00D15E46"/>
    <w:rsid w:val="00D160DD"/>
    <w:rsid w:val="00D16659"/>
    <w:rsid w:val="00D201A1"/>
    <w:rsid w:val="00D20A5C"/>
    <w:rsid w:val="00D21C49"/>
    <w:rsid w:val="00D2263D"/>
    <w:rsid w:val="00D227B9"/>
    <w:rsid w:val="00D2287A"/>
    <w:rsid w:val="00D23AA4"/>
    <w:rsid w:val="00D242AE"/>
    <w:rsid w:val="00D2473F"/>
    <w:rsid w:val="00D24D63"/>
    <w:rsid w:val="00D25BC3"/>
    <w:rsid w:val="00D25C69"/>
    <w:rsid w:val="00D25E88"/>
    <w:rsid w:val="00D2606E"/>
    <w:rsid w:val="00D2631C"/>
    <w:rsid w:val="00D2636B"/>
    <w:rsid w:val="00D27ECE"/>
    <w:rsid w:val="00D30BD4"/>
    <w:rsid w:val="00D310DD"/>
    <w:rsid w:val="00D313AC"/>
    <w:rsid w:val="00D314AB"/>
    <w:rsid w:val="00D316B5"/>
    <w:rsid w:val="00D31915"/>
    <w:rsid w:val="00D33D36"/>
    <w:rsid w:val="00D347A6"/>
    <w:rsid w:val="00D34EF9"/>
    <w:rsid w:val="00D34F68"/>
    <w:rsid w:val="00D3540B"/>
    <w:rsid w:val="00D36B40"/>
    <w:rsid w:val="00D36B88"/>
    <w:rsid w:val="00D36D40"/>
    <w:rsid w:val="00D37127"/>
    <w:rsid w:val="00D37635"/>
    <w:rsid w:val="00D37BF8"/>
    <w:rsid w:val="00D40636"/>
    <w:rsid w:val="00D40725"/>
    <w:rsid w:val="00D414A3"/>
    <w:rsid w:val="00D41612"/>
    <w:rsid w:val="00D41BE4"/>
    <w:rsid w:val="00D42522"/>
    <w:rsid w:val="00D42572"/>
    <w:rsid w:val="00D425C7"/>
    <w:rsid w:val="00D4273D"/>
    <w:rsid w:val="00D43C12"/>
    <w:rsid w:val="00D43E28"/>
    <w:rsid w:val="00D43F0E"/>
    <w:rsid w:val="00D4463E"/>
    <w:rsid w:val="00D44C67"/>
    <w:rsid w:val="00D44FFB"/>
    <w:rsid w:val="00D456ED"/>
    <w:rsid w:val="00D459EB"/>
    <w:rsid w:val="00D46657"/>
    <w:rsid w:val="00D47A75"/>
    <w:rsid w:val="00D50598"/>
    <w:rsid w:val="00D50632"/>
    <w:rsid w:val="00D51AE3"/>
    <w:rsid w:val="00D51FF9"/>
    <w:rsid w:val="00D5207F"/>
    <w:rsid w:val="00D5208E"/>
    <w:rsid w:val="00D52ADC"/>
    <w:rsid w:val="00D53189"/>
    <w:rsid w:val="00D53804"/>
    <w:rsid w:val="00D5395B"/>
    <w:rsid w:val="00D5420A"/>
    <w:rsid w:val="00D542AD"/>
    <w:rsid w:val="00D5473D"/>
    <w:rsid w:val="00D55D3B"/>
    <w:rsid w:val="00D56185"/>
    <w:rsid w:val="00D56AE2"/>
    <w:rsid w:val="00D56B67"/>
    <w:rsid w:val="00D56DAD"/>
    <w:rsid w:val="00D5762B"/>
    <w:rsid w:val="00D578EF"/>
    <w:rsid w:val="00D57BDB"/>
    <w:rsid w:val="00D601C9"/>
    <w:rsid w:val="00D6031E"/>
    <w:rsid w:val="00D61028"/>
    <w:rsid w:val="00D61B88"/>
    <w:rsid w:val="00D61F92"/>
    <w:rsid w:val="00D62519"/>
    <w:rsid w:val="00D62566"/>
    <w:rsid w:val="00D6288B"/>
    <w:rsid w:val="00D62E56"/>
    <w:rsid w:val="00D633F8"/>
    <w:rsid w:val="00D635D0"/>
    <w:rsid w:val="00D6367D"/>
    <w:rsid w:val="00D6418C"/>
    <w:rsid w:val="00D64EC9"/>
    <w:rsid w:val="00D64FB4"/>
    <w:rsid w:val="00D65792"/>
    <w:rsid w:val="00D66152"/>
    <w:rsid w:val="00D6622A"/>
    <w:rsid w:val="00D6632E"/>
    <w:rsid w:val="00D66E78"/>
    <w:rsid w:val="00D67190"/>
    <w:rsid w:val="00D671BD"/>
    <w:rsid w:val="00D67E31"/>
    <w:rsid w:val="00D70C31"/>
    <w:rsid w:val="00D711CC"/>
    <w:rsid w:val="00D71F4E"/>
    <w:rsid w:val="00D72A57"/>
    <w:rsid w:val="00D74EB1"/>
    <w:rsid w:val="00D7567D"/>
    <w:rsid w:val="00D75965"/>
    <w:rsid w:val="00D759A8"/>
    <w:rsid w:val="00D76137"/>
    <w:rsid w:val="00D762FD"/>
    <w:rsid w:val="00D76C7A"/>
    <w:rsid w:val="00D770EF"/>
    <w:rsid w:val="00D776ED"/>
    <w:rsid w:val="00D7796F"/>
    <w:rsid w:val="00D77A47"/>
    <w:rsid w:val="00D80046"/>
    <w:rsid w:val="00D814E2"/>
    <w:rsid w:val="00D8244C"/>
    <w:rsid w:val="00D829A4"/>
    <w:rsid w:val="00D84356"/>
    <w:rsid w:val="00D8492A"/>
    <w:rsid w:val="00D84A8A"/>
    <w:rsid w:val="00D85138"/>
    <w:rsid w:val="00D8613D"/>
    <w:rsid w:val="00D86F7C"/>
    <w:rsid w:val="00D877BE"/>
    <w:rsid w:val="00D90B45"/>
    <w:rsid w:val="00D92128"/>
    <w:rsid w:val="00D928C2"/>
    <w:rsid w:val="00D93306"/>
    <w:rsid w:val="00D93465"/>
    <w:rsid w:val="00D941A4"/>
    <w:rsid w:val="00D943B7"/>
    <w:rsid w:val="00D968C2"/>
    <w:rsid w:val="00D96964"/>
    <w:rsid w:val="00D969C5"/>
    <w:rsid w:val="00D96B1C"/>
    <w:rsid w:val="00D96CFE"/>
    <w:rsid w:val="00DA03C2"/>
    <w:rsid w:val="00DA0414"/>
    <w:rsid w:val="00DA0526"/>
    <w:rsid w:val="00DA065F"/>
    <w:rsid w:val="00DA099A"/>
    <w:rsid w:val="00DA2BAF"/>
    <w:rsid w:val="00DA2C38"/>
    <w:rsid w:val="00DA3844"/>
    <w:rsid w:val="00DA392A"/>
    <w:rsid w:val="00DA3D34"/>
    <w:rsid w:val="00DA4BB4"/>
    <w:rsid w:val="00DA54C7"/>
    <w:rsid w:val="00DA55B0"/>
    <w:rsid w:val="00DA55D2"/>
    <w:rsid w:val="00DA5EC4"/>
    <w:rsid w:val="00DA67D1"/>
    <w:rsid w:val="00DA7AAC"/>
    <w:rsid w:val="00DB1B9B"/>
    <w:rsid w:val="00DB2312"/>
    <w:rsid w:val="00DB301E"/>
    <w:rsid w:val="00DB36E1"/>
    <w:rsid w:val="00DB3D07"/>
    <w:rsid w:val="00DB3EB2"/>
    <w:rsid w:val="00DB405F"/>
    <w:rsid w:val="00DB41CF"/>
    <w:rsid w:val="00DB440F"/>
    <w:rsid w:val="00DB468E"/>
    <w:rsid w:val="00DB52E7"/>
    <w:rsid w:val="00DB56D1"/>
    <w:rsid w:val="00DB5951"/>
    <w:rsid w:val="00DB5DAB"/>
    <w:rsid w:val="00DB5E30"/>
    <w:rsid w:val="00DB60E8"/>
    <w:rsid w:val="00DB6BBD"/>
    <w:rsid w:val="00DB6DDB"/>
    <w:rsid w:val="00DB7858"/>
    <w:rsid w:val="00DC0076"/>
    <w:rsid w:val="00DC0216"/>
    <w:rsid w:val="00DC072C"/>
    <w:rsid w:val="00DC1DA9"/>
    <w:rsid w:val="00DC266D"/>
    <w:rsid w:val="00DC27A9"/>
    <w:rsid w:val="00DC4523"/>
    <w:rsid w:val="00DC45B3"/>
    <w:rsid w:val="00DC4806"/>
    <w:rsid w:val="00DC49F6"/>
    <w:rsid w:val="00DC5D01"/>
    <w:rsid w:val="00DC64D7"/>
    <w:rsid w:val="00DC7577"/>
    <w:rsid w:val="00DC7B12"/>
    <w:rsid w:val="00DC7D64"/>
    <w:rsid w:val="00DD04B0"/>
    <w:rsid w:val="00DD0615"/>
    <w:rsid w:val="00DD070A"/>
    <w:rsid w:val="00DD1645"/>
    <w:rsid w:val="00DD213D"/>
    <w:rsid w:val="00DD2B49"/>
    <w:rsid w:val="00DD3BB1"/>
    <w:rsid w:val="00DD4A0E"/>
    <w:rsid w:val="00DD4C74"/>
    <w:rsid w:val="00DD4E99"/>
    <w:rsid w:val="00DD53E5"/>
    <w:rsid w:val="00DD59BD"/>
    <w:rsid w:val="00DD5E44"/>
    <w:rsid w:val="00DD6353"/>
    <w:rsid w:val="00DD6801"/>
    <w:rsid w:val="00DD685F"/>
    <w:rsid w:val="00DD7022"/>
    <w:rsid w:val="00DE0178"/>
    <w:rsid w:val="00DE1160"/>
    <w:rsid w:val="00DE20C9"/>
    <w:rsid w:val="00DE2C26"/>
    <w:rsid w:val="00DE3276"/>
    <w:rsid w:val="00DE4697"/>
    <w:rsid w:val="00DE4982"/>
    <w:rsid w:val="00DE65F4"/>
    <w:rsid w:val="00DE665B"/>
    <w:rsid w:val="00DE66B0"/>
    <w:rsid w:val="00DE7038"/>
    <w:rsid w:val="00DE7D7B"/>
    <w:rsid w:val="00DF0AC3"/>
    <w:rsid w:val="00DF0B8A"/>
    <w:rsid w:val="00DF1096"/>
    <w:rsid w:val="00DF119F"/>
    <w:rsid w:val="00DF12C7"/>
    <w:rsid w:val="00DF2179"/>
    <w:rsid w:val="00DF2ED8"/>
    <w:rsid w:val="00DF378A"/>
    <w:rsid w:val="00DF3A03"/>
    <w:rsid w:val="00DF402F"/>
    <w:rsid w:val="00DF5D38"/>
    <w:rsid w:val="00DF5E47"/>
    <w:rsid w:val="00DF6A83"/>
    <w:rsid w:val="00DF7463"/>
    <w:rsid w:val="00DF74C5"/>
    <w:rsid w:val="00DF765E"/>
    <w:rsid w:val="00DF7BBC"/>
    <w:rsid w:val="00DF7F35"/>
    <w:rsid w:val="00E00001"/>
    <w:rsid w:val="00E0072C"/>
    <w:rsid w:val="00E011BD"/>
    <w:rsid w:val="00E0189B"/>
    <w:rsid w:val="00E0284E"/>
    <w:rsid w:val="00E033F7"/>
    <w:rsid w:val="00E03EC3"/>
    <w:rsid w:val="00E0425F"/>
    <w:rsid w:val="00E04AB7"/>
    <w:rsid w:val="00E04DA9"/>
    <w:rsid w:val="00E04DC7"/>
    <w:rsid w:val="00E05218"/>
    <w:rsid w:val="00E05954"/>
    <w:rsid w:val="00E067CB"/>
    <w:rsid w:val="00E06C99"/>
    <w:rsid w:val="00E07595"/>
    <w:rsid w:val="00E07C66"/>
    <w:rsid w:val="00E07F4D"/>
    <w:rsid w:val="00E10A1F"/>
    <w:rsid w:val="00E12367"/>
    <w:rsid w:val="00E126DB"/>
    <w:rsid w:val="00E130AC"/>
    <w:rsid w:val="00E130BD"/>
    <w:rsid w:val="00E13568"/>
    <w:rsid w:val="00E13C26"/>
    <w:rsid w:val="00E14269"/>
    <w:rsid w:val="00E1450A"/>
    <w:rsid w:val="00E14C73"/>
    <w:rsid w:val="00E14DA2"/>
    <w:rsid w:val="00E14FD2"/>
    <w:rsid w:val="00E15574"/>
    <w:rsid w:val="00E159DD"/>
    <w:rsid w:val="00E169FD"/>
    <w:rsid w:val="00E17A0E"/>
    <w:rsid w:val="00E17D48"/>
    <w:rsid w:val="00E20150"/>
    <w:rsid w:val="00E208D7"/>
    <w:rsid w:val="00E210E9"/>
    <w:rsid w:val="00E21A18"/>
    <w:rsid w:val="00E21B51"/>
    <w:rsid w:val="00E21DFF"/>
    <w:rsid w:val="00E23866"/>
    <w:rsid w:val="00E24DCD"/>
    <w:rsid w:val="00E252DF"/>
    <w:rsid w:val="00E2623E"/>
    <w:rsid w:val="00E26DA4"/>
    <w:rsid w:val="00E27093"/>
    <w:rsid w:val="00E307FE"/>
    <w:rsid w:val="00E30B60"/>
    <w:rsid w:val="00E30E25"/>
    <w:rsid w:val="00E317A4"/>
    <w:rsid w:val="00E3211A"/>
    <w:rsid w:val="00E32773"/>
    <w:rsid w:val="00E3278F"/>
    <w:rsid w:val="00E327C1"/>
    <w:rsid w:val="00E32BD3"/>
    <w:rsid w:val="00E33450"/>
    <w:rsid w:val="00E33502"/>
    <w:rsid w:val="00E364A9"/>
    <w:rsid w:val="00E367AA"/>
    <w:rsid w:val="00E37222"/>
    <w:rsid w:val="00E4084F"/>
    <w:rsid w:val="00E40AB6"/>
    <w:rsid w:val="00E4130D"/>
    <w:rsid w:val="00E43191"/>
    <w:rsid w:val="00E435C6"/>
    <w:rsid w:val="00E438F0"/>
    <w:rsid w:val="00E44183"/>
    <w:rsid w:val="00E4437E"/>
    <w:rsid w:val="00E4501A"/>
    <w:rsid w:val="00E4552F"/>
    <w:rsid w:val="00E45583"/>
    <w:rsid w:val="00E45E66"/>
    <w:rsid w:val="00E45FDD"/>
    <w:rsid w:val="00E461A9"/>
    <w:rsid w:val="00E4654A"/>
    <w:rsid w:val="00E46915"/>
    <w:rsid w:val="00E46DB0"/>
    <w:rsid w:val="00E4727F"/>
    <w:rsid w:val="00E474EB"/>
    <w:rsid w:val="00E475EB"/>
    <w:rsid w:val="00E4786F"/>
    <w:rsid w:val="00E500BF"/>
    <w:rsid w:val="00E5022B"/>
    <w:rsid w:val="00E503A4"/>
    <w:rsid w:val="00E507E7"/>
    <w:rsid w:val="00E50EEF"/>
    <w:rsid w:val="00E50FC0"/>
    <w:rsid w:val="00E51036"/>
    <w:rsid w:val="00E51439"/>
    <w:rsid w:val="00E51C52"/>
    <w:rsid w:val="00E51D13"/>
    <w:rsid w:val="00E51D60"/>
    <w:rsid w:val="00E51E59"/>
    <w:rsid w:val="00E51FE1"/>
    <w:rsid w:val="00E52504"/>
    <w:rsid w:val="00E53218"/>
    <w:rsid w:val="00E5345A"/>
    <w:rsid w:val="00E536C8"/>
    <w:rsid w:val="00E53F38"/>
    <w:rsid w:val="00E5511B"/>
    <w:rsid w:val="00E55782"/>
    <w:rsid w:val="00E55DC0"/>
    <w:rsid w:val="00E55DEE"/>
    <w:rsid w:val="00E564EF"/>
    <w:rsid w:val="00E5665D"/>
    <w:rsid w:val="00E5697C"/>
    <w:rsid w:val="00E56C42"/>
    <w:rsid w:val="00E56E60"/>
    <w:rsid w:val="00E60D42"/>
    <w:rsid w:val="00E616A3"/>
    <w:rsid w:val="00E61F4D"/>
    <w:rsid w:val="00E61FBB"/>
    <w:rsid w:val="00E62570"/>
    <w:rsid w:val="00E632C7"/>
    <w:rsid w:val="00E63613"/>
    <w:rsid w:val="00E638E6"/>
    <w:rsid w:val="00E63922"/>
    <w:rsid w:val="00E6472A"/>
    <w:rsid w:val="00E660C3"/>
    <w:rsid w:val="00E66357"/>
    <w:rsid w:val="00E670CD"/>
    <w:rsid w:val="00E677B5"/>
    <w:rsid w:val="00E679A6"/>
    <w:rsid w:val="00E67C25"/>
    <w:rsid w:val="00E70589"/>
    <w:rsid w:val="00E70AA6"/>
    <w:rsid w:val="00E70EFE"/>
    <w:rsid w:val="00E71209"/>
    <w:rsid w:val="00E71388"/>
    <w:rsid w:val="00E71D16"/>
    <w:rsid w:val="00E72DB8"/>
    <w:rsid w:val="00E7389E"/>
    <w:rsid w:val="00E73909"/>
    <w:rsid w:val="00E746A9"/>
    <w:rsid w:val="00E74EF7"/>
    <w:rsid w:val="00E80B96"/>
    <w:rsid w:val="00E80C34"/>
    <w:rsid w:val="00E80FC5"/>
    <w:rsid w:val="00E81B87"/>
    <w:rsid w:val="00E81E40"/>
    <w:rsid w:val="00E81F33"/>
    <w:rsid w:val="00E81F74"/>
    <w:rsid w:val="00E821BB"/>
    <w:rsid w:val="00E82607"/>
    <w:rsid w:val="00E8354C"/>
    <w:rsid w:val="00E83999"/>
    <w:rsid w:val="00E840E0"/>
    <w:rsid w:val="00E846D9"/>
    <w:rsid w:val="00E85BD7"/>
    <w:rsid w:val="00E85EF3"/>
    <w:rsid w:val="00E86365"/>
    <w:rsid w:val="00E863A0"/>
    <w:rsid w:val="00E8686E"/>
    <w:rsid w:val="00E86A9F"/>
    <w:rsid w:val="00E86AF3"/>
    <w:rsid w:val="00E86B59"/>
    <w:rsid w:val="00E8716A"/>
    <w:rsid w:val="00E9112B"/>
    <w:rsid w:val="00E91F4E"/>
    <w:rsid w:val="00E9241B"/>
    <w:rsid w:val="00E9263C"/>
    <w:rsid w:val="00E93AC2"/>
    <w:rsid w:val="00E93B0A"/>
    <w:rsid w:val="00E95248"/>
    <w:rsid w:val="00E954A2"/>
    <w:rsid w:val="00E95567"/>
    <w:rsid w:val="00E959E5"/>
    <w:rsid w:val="00E95DFB"/>
    <w:rsid w:val="00E9607F"/>
    <w:rsid w:val="00E96908"/>
    <w:rsid w:val="00E96D8A"/>
    <w:rsid w:val="00E972D2"/>
    <w:rsid w:val="00EA0093"/>
    <w:rsid w:val="00EA01CB"/>
    <w:rsid w:val="00EA0310"/>
    <w:rsid w:val="00EA0496"/>
    <w:rsid w:val="00EA0BAB"/>
    <w:rsid w:val="00EA0DC9"/>
    <w:rsid w:val="00EA0FE3"/>
    <w:rsid w:val="00EA1886"/>
    <w:rsid w:val="00EA1C2F"/>
    <w:rsid w:val="00EA2008"/>
    <w:rsid w:val="00EA236D"/>
    <w:rsid w:val="00EA3111"/>
    <w:rsid w:val="00EA35B4"/>
    <w:rsid w:val="00EA3B7B"/>
    <w:rsid w:val="00EA41CA"/>
    <w:rsid w:val="00EA460F"/>
    <w:rsid w:val="00EA471D"/>
    <w:rsid w:val="00EA4874"/>
    <w:rsid w:val="00EA5E04"/>
    <w:rsid w:val="00EA601C"/>
    <w:rsid w:val="00EA65E3"/>
    <w:rsid w:val="00EA6954"/>
    <w:rsid w:val="00EA696B"/>
    <w:rsid w:val="00EA6D6C"/>
    <w:rsid w:val="00EA70C9"/>
    <w:rsid w:val="00EA7865"/>
    <w:rsid w:val="00EB0611"/>
    <w:rsid w:val="00EB0E5D"/>
    <w:rsid w:val="00EB0F95"/>
    <w:rsid w:val="00EB1AE9"/>
    <w:rsid w:val="00EB1F52"/>
    <w:rsid w:val="00EB23BB"/>
    <w:rsid w:val="00EB25D0"/>
    <w:rsid w:val="00EB2627"/>
    <w:rsid w:val="00EB2664"/>
    <w:rsid w:val="00EB2ADB"/>
    <w:rsid w:val="00EB2C58"/>
    <w:rsid w:val="00EB32D1"/>
    <w:rsid w:val="00EB3FD9"/>
    <w:rsid w:val="00EB4173"/>
    <w:rsid w:val="00EB4F3E"/>
    <w:rsid w:val="00EB4F5C"/>
    <w:rsid w:val="00EB5E15"/>
    <w:rsid w:val="00EB6163"/>
    <w:rsid w:val="00EB6E52"/>
    <w:rsid w:val="00EB6E83"/>
    <w:rsid w:val="00EC058A"/>
    <w:rsid w:val="00EC1B53"/>
    <w:rsid w:val="00EC1C77"/>
    <w:rsid w:val="00EC2059"/>
    <w:rsid w:val="00EC215A"/>
    <w:rsid w:val="00EC3F2B"/>
    <w:rsid w:val="00EC4D2F"/>
    <w:rsid w:val="00EC5C27"/>
    <w:rsid w:val="00EC5C4E"/>
    <w:rsid w:val="00EC61CD"/>
    <w:rsid w:val="00EC682C"/>
    <w:rsid w:val="00EC6C5C"/>
    <w:rsid w:val="00EC6DDA"/>
    <w:rsid w:val="00EC7263"/>
    <w:rsid w:val="00EC7D18"/>
    <w:rsid w:val="00EC7D29"/>
    <w:rsid w:val="00ED05BA"/>
    <w:rsid w:val="00ED0D40"/>
    <w:rsid w:val="00ED0EEF"/>
    <w:rsid w:val="00ED0F96"/>
    <w:rsid w:val="00ED1495"/>
    <w:rsid w:val="00ED1590"/>
    <w:rsid w:val="00ED1F09"/>
    <w:rsid w:val="00ED238E"/>
    <w:rsid w:val="00ED2B89"/>
    <w:rsid w:val="00ED3379"/>
    <w:rsid w:val="00ED3714"/>
    <w:rsid w:val="00ED38F0"/>
    <w:rsid w:val="00ED3B0A"/>
    <w:rsid w:val="00ED47AD"/>
    <w:rsid w:val="00ED4B7F"/>
    <w:rsid w:val="00ED50DA"/>
    <w:rsid w:val="00ED514C"/>
    <w:rsid w:val="00ED63C5"/>
    <w:rsid w:val="00ED6E7D"/>
    <w:rsid w:val="00ED6FC9"/>
    <w:rsid w:val="00ED7BE3"/>
    <w:rsid w:val="00EE0987"/>
    <w:rsid w:val="00EE132F"/>
    <w:rsid w:val="00EE18A1"/>
    <w:rsid w:val="00EE1F3B"/>
    <w:rsid w:val="00EE2024"/>
    <w:rsid w:val="00EE2145"/>
    <w:rsid w:val="00EE217C"/>
    <w:rsid w:val="00EE2381"/>
    <w:rsid w:val="00EE256D"/>
    <w:rsid w:val="00EE27A8"/>
    <w:rsid w:val="00EE3435"/>
    <w:rsid w:val="00EE3A5A"/>
    <w:rsid w:val="00EE4ED6"/>
    <w:rsid w:val="00EE4EE6"/>
    <w:rsid w:val="00EE4FA1"/>
    <w:rsid w:val="00EE5B34"/>
    <w:rsid w:val="00EE669F"/>
    <w:rsid w:val="00EE68AD"/>
    <w:rsid w:val="00EE6D05"/>
    <w:rsid w:val="00EE7C47"/>
    <w:rsid w:val="00EF01AA"/>
    <w:rsid w:val="00EF08C9"/>
    <w:rsid w:val="00EF2D4D"/>
    <w:rsid w:val="00EF2E44"/>
    <w:rsid w:val="00EF2ECC"/>
    <w:rsid w:val="00EF3052"/>
    <w:rsid w:val="00EF340A"/>
    <w:rsid w:val="00EF3CE0"/>
    <w:rsid w:val="00EF4064"/>
    <w:rsid w:val="00EF4221"/>
    <w:rsid w:val="00EF4C76"/>
    <w:rsid w:val="00EF60CA"/>
    <w:rsid w:val="00EF6400"/>
    <w:rsid w:val="00EF67E1"/>
    <w:rsid w:val="00EF6860"/>
    <w:rsid w:val="00EF7318"/>
    <w:rsid w:val="00EF78CE"/>
    <w:rsid w:val="00EF79CA"/>
    <w:rsid w:val="00F008A9"/>
    <w:rsid w:val="00F00BD4"/>
    <w:rsid w:val="00F00D0C"/>
    <w:rsid w:val="00F00E5B"/>
    <w:rsid w:val="00F00FB6"/>
    <w:rsid w:val="00F02294"/>
    <w:rsid w:val="00F02AF4"/>
    <w:rsid w:val="00F02CFA"/>
    <w:rsid w:val="00F037BD"/>
    <w:rsid w:val="00F047E6"/>
    <w:rsid w:val="00F04803"/>
    <w:rsid w:val="00F055D4"/>
    <w:rsid w:val="00F05D2C"/>
    <w:rsid w:val="00F061E5"/>
    <w:rsid w:val="00F06543"/>
    <w:rsid w:val="00F10324"/>
    <w:rsid w:val="00F109F6"/>
    <w:rsid w:val="00F10BC5"/>
    <w:rsid w:val="00F126CF"/>
    <w:rsid w:val="00F128B7"/>
    <w:rsid w:val="00F1308D"/>
    <w:rsid w:val="00F1327D"/>
    <w:rsid w:val="00F134E4"/>
    <w:rsid w:val="00F13578"/>
    <w:rsid w:val="00F13681"/>
    <w:rsid w:val="00F138FC"/>
    <w:rsid w:val="00F13938"/>
    <w:rsid w:val="00F13D34"/>
    <w:rsid w:val="00F14301"/>
    <w:rsid w:val="00F14986"/>
    <w:rsid w:val="00F149A1"/>
    <w:rsid w:val="00F14A9F"/>
    <w:rsid w:val="00F14C5F"/>
    <w:rsid w:val="00F152D1"/>
    <w:rsid w:val="00F1664F"/>
    <w:rsid w:val="00F16ED9"/>
    <w:rsid w:val="00F16F57"/>
    <w:rsid w:val="00F17160"/>
    <w:rsid w:val="00F17D06"/>
    <w:rsid w:val="00F21B79"/>
    <w:rsid w:val="00F22B1E"/>
    <w:rsid w:val="00F22B78"/>
    <w:rsid w:val="00F231C3"/>
    <w:rsid w:val="00F23927"/>
    <w:rsid w:val="00F24A2E"/>
    <w:rsid w:val="00F2542C"/>
    <w:rsid w:val="00F26E3F"/>
    <w:rsid w:val="00F26EFA"/>
    <w:rsid w:val="00F2790C"/>
    <w:rsid w:val="00F27FF1"/>
    <w:rsid w:val="00F30E9C"/>
    <w:rsid w:val="00F30F4F"/>
    <w:rsid w:val="00F31652"/>
    <w:rsid w:val="00F316CC"/>
    <w:rsid w:val="00F31886"/>
    <w:rsid w:val="00F32D79"/>
    <w:rsid w:val="00F32DE4"/>
    <w:rsid w:val="00F32F41"/>
    <w:rsid w:val="00F33B9F"/>
    <w:rsid w:val="00F34202"/>
    <w:rsid w:val="00F345BB"/>
    <w:rsid w:val="00F354C2"/>
    <w:rsid w:val="00F3575D"/>
    <w:rsid w:val="00F37E6B"/>
    <w:rsid w:val="00F4014A"/>
    <w:rsid w:val="00F41081"/>
    <w:rsid w:val="00F428D8"/>
    <w:rsid w:val="00F430F4"/>
    <w:rsid w:val="00F451F0"/>
    <w:rsid w:val="00F45476"/>
    <w:rsid w:val="00F45557"/>
    <w:rsid w:val="00F46475"/>
    <w:rsid w:val="00F465E2"/>
    <w:rsid w:val="00F46640"/>
    <w:rsid w:val="00F46BF6"/>
    <w:rsid w:val="00F46FC6"/>
    <w:rsid w:val="00F46FFD"/>
    <w:rsid w:val="00F4709E"/>
    <w:rsid w:val="00F47535"/>
    <w:rsid w:val="00F477AA"/>
    <w:rsid w:val="00F478E1"/>
    <w:rsid w:val="00F50887"/>
    <w:rsid w:val="00F5099E"/>
    <w:rsid w:val="00F50B11"/>
    <w:rsid w:val="00F50E74"/>
    <w:rsid w:val="00F51BA5"/>
    <w:rsid w:val="00F51CAA"/>
    <w:rsid w:val="00F51D0D"/>
    <w:rsid w:val="00F51D53"/>
    <w:rsid w:val="00F520E1"/>
    <w:rsid w:val="00F523E5"/>
    <w:rsid w:val="00F52687"/>
    <w:rsid w:val="00F52908"/>
    <w:rsid w:val="00F53142"/>
    <w:rsid w:val="00F54646"/>
    <w:rsid w:val="00F54832"/>
    <w:rsid w:val="00F55616"/>
    <w:rsid w:val="00F55C1B"/>
    <w:rsid w:val="00F565D1"/>
    <w:rsid w:val="00F60044"/>
    <w:rsid w:val="00F60193"/>
    <w:rsid w:val="00F6045A"/>
    <w:rsid w:val="00F6081F"/>
    <w:rsid w:val="00F60A5F"/>
    <w:rsid w:val="00F60FE8"/>
    <w:rsid w:val="00F61F0B"/>
    <w:rsid w:val="00F6257E"/>
    <w:rsid w:val="00F632C3"/>
    <w:rsid w:val="00F656B6"/>
    <w:rsid w:val="00F65B1C"/>
    <w:rsid w:val="00F671A5"/>
    <w:rsid w:val="00F67F4C"/>
    <w:rsid w:val="00F7021E"/>
    <w:rsid w:val="00F70241"/>
    <w:rsid w:val="00F70C4E"/>
    <w:rsid w:val="00F71CE3"/>
    <w:rsid w:val="00F71EED"/>
    <w:rsid w:val="00F73AE6"/>
    <w:rsid w:val="00F73E2D"/>
    <w:rsid w:val="00F7409D"/>
    <w:rsid w:val="00F74212"/>
    <w:rsid w:val="00F74262"/>
    <w:rsid w:val="00F743D1"/>
    <w:rsid w:val="00F74D06"/>
    <w:rsid w:val="00F74D57"/>
    <w:rsid w:val="00F75B01"/>
    <w:rsid w:val="00F75C1A"/>
    <w:rsid w:val="00F761FC"/>
    <w:rsid w:val="00F7683B"/>
    <w:rsid w:val="00F76A4B"/>
    <w:rsid w:val="00F76A7C"/>
    <w:rsid w:val="00F76B8B"/>
    <w:rsid w:val="00F7753A"/>
    <w:rsid w:val="00F7771F"/>
    <w:rsid w:val="00F77E1F"/>
    <w:rsid w:val="00F8057A"/>
    <w:rsid w:val="00F8058D"/>
    <w:rsid w:val="00F8081D"/>
    <w:rsid w:val="00F80A02"/>
    <w:rsid w:val="00F81530"/>
    <w:rsid w:val="00F81F80"/>
    <w:rsid w:val="00F8235A"/>
    <w:rsid w:val="00F826B4"/>
    <w:rsid w:val="00F82925"/>
    <w:rsid w:val="00F83595"/>
    <w:rsid w:val="00F84933"/>
    <w:rsid w:val="00F85804"/>
    <w:rsid w:val="00F85A2E"/>
    <w:rsid w:val="00F85FC9"/>
    <w:rsid w:val="00F870EB"/>
    <w:rsid w:val="00F873F3"/>
    <w:rsid w:val="00F9035E"/>
    <w:rsid w:val="00F90EB8"/>
    <w:rsid w:val="00F911A0"/>
    <w:rsid w:val="00F9147B"/>
    <w:rsid w:val="00F91BAD"/>
    <w:rsid w:val="00F921AD"/>
    <w:rsid w:val="00F926DE"/>
    <w:rsid w:val="00F9286C"/>
    <w:rsid w:val="00F92A45"/>
    <w:rsid w:val="00F92F25"/>
    <w:rsid w:val="00F94610"/>
    <w:rsid w:val="00F94FB9"/>
    <w:rsid w:val="00F95446"/>
    <w:rsid w:val="00F95DF8"/>
    <w:rsid w:val="00F96027"/>
    <w:rsid w:val="00F962AD"/>
    <w:rsid w:val="00F96550"/>
    <w:rsid w:val="00F9793E"/>
    <w:rsid w:val="00FA041A"/>
    <w:rsid w:val="00FA08A5"/>
    <w:rsid w:val="00FA0B65"/>
    <w:rsid w:val="00FA15BF"/>
    <w:rsid w:val="00FA18A6"/>
    <w:rsid w:val="00FA1AA2"/>
    <w:rsid w:val="00FA1E76"/>
    <w:rsid w:val="00FA2105"/>
    <w:rsid w:val="00FA2D4C"/>
    <w:rsid w:val="00FA3090"/>
    <w:rsid w:val="00FA4D9A"/>
    <w:rsid w:val="00FA540D"/>
    <w:rsid w:val="00FB031F"/>
    <w:rsid w:val="00FB0A16"/>
    <w:rsid w:val="00FB127F"/>
    <w:rsid w:val="00FB18A0"/>
    <w:rsid w:val="00FB2E3F"/>
    <w:rsid w:val="00FB3C08"/>
    <w:rsid w:val="00FB3C49"/>
    <w:rsid w:val="00FB3D61"/>
    <w:rsid w:val="00FB44B7"/>
    <w:rsid w:val="00FB47FD"/>
    <w:rsid w:val="00FB4823"/>
    <w:rsid w:val="00FB50AD"/>
    <w:rsid w:val="00FB517A"/>
    <w:rsid w:val="00FB5267"/>
    <w:rsid w:val="00FB538D"/>
    <w:rsid w:val="00FB566D"/>
    <w:rsid w:val="00FB5FD8"/>
    <w:rsid w:val="00FB70B6"/>
    <w:rsid w:val="00FB741B"/>
    <w:rsid w:val="00FB7732"/>
    <w:rsid w:val="00FC09A8"/>
    <w:rsid w:val="00FC0D23"/>
    <w:rsid w:val="00FC12FB"/>
    <w:rsid w:val="00FC1DE9"/>
    <w:rsid w:val="00FC22CF"/>
    <w:rsid w:val="00FC2B9D"/>
    <w:rsid w:val="00FC2DBC"/>
    <w:rsid w:val="00FC3C16"/>
    <w:rsid w:val="00FC408E"/>
    <w:rsid w:val="00FC409A"/>
    <w:rsid w:val="00FC48CE"/>
    <w:rsid w:val="00FC491A"/>
    <w:rsid w:val="00FC51AB"/>
    <w:rsid w:val="00FC5A3A"/>
    <w:rsid w:val="00FC5BD2"/>
    <w:rsid w:val="00FC6093"/>
    <w:rsid w:val="00FC6EF8"/>
    <w:rsid w:val="00FC77CD"/>
    <w:rsid w:val="00FC7F56"/>
    <w:rsid w:val="00FD06DA"/>
    <w:rsid w:val="00FD078B"/>
    <w:rsid w:val="00FD07AC"/>
    <w:rsid w:val="00FD093F"/>
    <w:rsid w:val="00FD1FB5"/>
    <w:rsid w:val="00FD2059"/>
    <w:rsid w:val="00FD2171"/>
    <w:rsid w:val="00FD25FE"/>
    <w:rsid w:val="00FD2722"/>
    <w:rsid w:val="00FD2C06"/>
    <w:rsid w:val="00FD3017"/>
    <w:rsid w:val="00FD337A"/>
    <w:rsid w:val="00FD3CA2"/>
    <w:rsid w:val="00FD3DDA"/>
    <w:rsid w:val="00FD41DF"/>
    <w:rsid w:val="00FD432F"/>
    <w:rsid w:val="00FD4D14"/>
    <w:rsid w:val="00FD5602"/>
    <w:rsid w:val="00FD6D58"/>
    <w:rsid w:val="00FD7173"/>
    <w:rsid w:val="00FD775B"/>
    <w:rsid w:val="00FD7BB2"/>
    <w:rsid w:val="00FD7D6D"/>
    <w:rsid w:val="00FE003E"/>
    <w:rsid w:val="00FE0212"/>
    <w:rsid w:val="00FE0488"/>
    <w:rsid w:val="00FE064C"/>
    <w:rsid w:val="00FE0A18"/>
    <w:rsid w:val="00FE1B9C"/>
    <w:rsid w:val="00FE2D34"/>
    <w:rsid w:val="00FE3077"/>
    <w:rsid w:val="00FE3AFB"/>
    <w:rsid w:val="00FE3DF3"/>
    <w:rsid w:val="00FE5F60"/>
    <w:rsid w:val="00FE6334"/>
    <w:rsid w:val="00FE70F7"/>
    <w:rsid w:val="00FE752C"/>
    <w:rsid w:val="00FE7D87"/>
    <w:rsid w:val="00FE7DE0"/>
    <w:rsid w:val="00FE7FA4"/>
    <w:rsid w:val="00FF012D"/>
    <w:rsid w:val="00FF1082"/>
    <w:rsid w:val="00FF166C"/>
    <w:rsid w:val="00FF1C00"/>
    <w:rsid w:val="00FF2911"/>
    <w:rsid w:val="00FF2F0F"/>
    <w:rsid w:val="00FF2F21"/>
    <w:rsid w:val="00FF348E"/>
    <w:rsid w:val="00FF37F1"/>
    <w:rsid w:val="00FF3AEF"/>
    <w:rsid w:val="00FF3E80"/>
    <w:rsid w:val="00FF3F7D"/>
    <w:rsid w:val="00FF445B"/>
    <w:rsid w:val="00FF4643"/>
    <w:rsid w:val="00FF47D9"/>
    <w:rsid w:val="00FF5AE1"/>
    <w:rsid w:val="00FF5D18"/>
    <w:rsid w:val="00FF63B1"/>
    <w:rsid w:val="00FF65B1"/>
    <w:rsid w:val="00FF65FD"/>
    <w:rsid w:val="00FF6A93"/>
    <w:rsid w:val="00FF6AE3"/>
    <w:rsid w:val="00FF6D8E"/>
    <w:rsid w:val="00FF6ED6"/>
    <w:rsid w:val="00FF6F47"/>
    <w:rsid w:val="00FF73BB"/>
    <w:rsid w:val="00FF7CC0"/>
    <w:rsid w:val="00FF7CC2"/>
  </w:rsids>
  <m:mathPr>
    <m:mathFont m:val="Cambria Math"/>
    <m:brkBin m:val="before"/>
    <m:brkBinSub m:val="--"/>
    <m:smallFrac/>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8724E2-16F6-4820-A22D-60C7C3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86B"/>
    <w:rPr>
      <w:rFonts w:ascii="Calibri" w:hAnsi="Calibri"/>
      <w:sz w:val="22"/>
    </w:rPr>
  </w:style>
  <w:style w:type="paragraph" w:styleId="Heading1">
    <w:name w:val="heading 1"/>
    <w:basedOn w:val="Normal"/>
    <w:link w:val="Heading1Char"/>
    <w:uiPriority w:val="9"/>
    <w:qFormat/>
    <w:rsid w:val="008336C0"/>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B90BDB"/>
    <w:rPr>
      <w:sz w:val="16"/>
      <w:szCs w:val="16"/>
    </w:rPr>
  </w:style>
  <w:style w:type="paragraph" w:styleId="CommentText">
    <w:name w:val="annotation text"/>
    <w:basedOn w:val="Normal"/>
    <w:link w:val="CommentTextChar"/>
    <w:uiPriority w:val="99"/>
    <w:unhideWhenUsed/>
    <w:rsid w:val="00B90BDB"/>
  </w:style>
  <w:style w:type="character" w:customStyle="1" w:styleId="CommentTextChar">
    <w:name w:val="Comment Text Char"/>
    <w:link w:val="CommentText"/>
    <w:uiPriority w:val="99"/>
    <w:rsid w:val="00B90BDB"/>
    <w:rPr>
      <w:rFonts w:ascii="Calibri" w:hAnsi="Calibri"/>
    </w:rPr>
  </w:style>
  <w:style w:type="paragraph" w:styleId="CommentSubject">
    <w:name w:val="annotation subject"/>
    <w:basedOn w:val="CommentText"/>
    <w:next w:val="CommentText"/>
    <w:link w:val="CommentSubjectChar"/>
    <w:uiPriority w:val="99"/>
    <w:semiHidden/>
    <w:unhideWhenUsed/>
    <w:rsid w:val="00B90BDB"/>
    <w:rPr>
      <w:b/>
      <w:bCs/>
    </w:rPr>
  </w:style>
  <w:style w:type="character" w:customStyle="1" w:styleId="CommentSubjectChar">
    <w:name w:val="Comment Subject Char"/>
    <w:link w:val="CommentSubject"/>
    <w:uiPriority w:val="99"/>
    <w:semiHidden/>
    <w:rsid w:val="00B90BDB"/>
    <w:rPr>
      <w:rFonts w:ascii="Calibri" w:hAnsi="Calibri"/>
      <w:b/>
      <w:bCs/>
    </w:rPr>
  </w:style>
  <w:style w:type="paragraph" w:styleId="BalloonText">
    <w:name w:val="Balloon Text"/>
    <w:basedOn w:val="Normal"/>
    <w:link w:val="BalloonTextChar"/>
    <w:uiPriority w:val="99"/>
    <w:semiHidden/>
    <w:unhideWhenUsed/>
    <w:rsid w:val="00B90BDB"/>
    <w:rPr>
      <w:rFonts w:ascii="Tahoma" w:hAnsi="Tahoma" w:cs="Tahoma"/>
      <w:sz w:val="16"/>
      <w:szCs w:val="16"/>
    </w:rPr>
  </w:style>
  <w:style w:type="character" w:customStyle="1" w:styleId="BalloonTextChar">
    <w:name w:val="Balloon Text Char"/>
    <w:link w:val="BalloonText"/>
    <w:uiPriority w:val="99"/>
    <w:semiHidden/>
    <w:rsid w:val="00B90BDB"/>
    <w:rPr>
      <w:rFonts w:ascii="Tahoma" w:hAnsi="Tahoma" w:cs="Tahoma"/>
      <w:sz w:val="16"/>
      <w:szCs w:val="16"/>
    </w:rPr>
  </w:style>
  <w:style w:type="paragraph" w:styleId="Header">
    <w:name w:val="header"/>
    <w:basedOn w:val="Normal"/>
    <w:link w:val="HeaderChar"/>
    <w:uiPriority w:val="99"/>
    <w:unhideWhenUsed/>
    <w:rsid w:val="00D969C5"/>
    <w:pPr>
      <w:tabs>
        <w:tab w:val="center" w:pos="4513"/>
        <w:tab w:val="right" w:pos="9026"/>
      </w:tabs>
    </w:pPr>
  </w:style>
  <w:style w:type="character" w:customStyle="1" w:styleId="HeaderChar">
    <w:name w:val="Header Char"/>
    <w:link w:val="Header"/>
    <w:uiPriority w:val="99"/>
    <w:rsid w:val="00D969C5"/>
    <w:rPr>
      <w:rFonts w:ascii="Calibri" w:hAnsi="Calibri"/>
    </w:rPr>
  </w:style>
  <w:style w:type="paragraph" w:styleId="Footer">
    <w:name w:val="footer"/>
    <w:basedOn w:val="Normal"/>
    <w:link w:val="FooterChar"/>
    <w:uiPriority w:val="99"/>
    <w:unhideWhenUsed/>
    <w:rsid w:val="00D969C5"/>
    <w:pPr>
      <w:tabs>
        <w:tab w:val="center" w:pos="4513"/>
        <w:tab w:val="right" w:pos="9026"/>
      </w:tabs>
    </w:pPr>
  </w:style>
  <w:style w:type="character" w:customStyle="1" w:styleId="FooterChar">
    <w:name w:val="Footer Char"/>
    <w:link w:val="Footer"/>
    <w:uiPriority w:val="99"/>
    <w:rsid w:val="00D969C5"/>
    <w:rPr>
      <w:rFonts w:ascii="Calibri" w:hAnsi="Calibri"/>
    </w:rPr>
  </w:style>
  <w:style w:type="character" w:styleId="Hyperlink">
    <w:name w:val="Hyperlink"/>
    <w:uiPriority w:val="99"/>
    <w:unhideWhenUsed/>
    <w:rsid w:val="0036363B"/>
    <w:rPr>
      <w:color w:val="0000FF"/>
      <w:u w:val="single"/>
    </w:rPr>
  </w:style>
  <w:style w:type="paragraph" w:styleId="ListParagraph">
    <w:name w:val="List Paragraph"/>
    <w:basedOn w:val="Normal"/>
    <w:uiPriority w:val="34"/>
    <w:qFormat/>
    <w:rsid w:val="00B00AA4"/>
    <w:pPr>
      <w:ind w:left="720"/>
    </w:pPr>
    <w:rPr>
      <w:rFonts w:eastAsia="Times New Roman" w:cs="Calibri"/>
      <w:szCs w:val="22"/>
    </w:rPr>
  </w:style>
  <w:style w:type="table" w:styleId="TableGrid">
    <w:name w:val="Table Grid"/>
    <w:basedOn w:val="TableNormal"/>
    <w:uiPriority w:val="59"/>
    <w:rsid w:val="009C4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3666B6"/>
    <w:pPr>
      <w:spacing w:before="240"/>
      <w:ind w:left="1440" w:hanging="1440"/>
    </w:pPr>
    <w:rPr>
      <w:rFonts w:ascii="Arial" w:eastAsia="Times New Roman" w:hAnsi="Arial" w:cs="Arial"/>
      <w:b/>
      <w:bCs/>
      <w:sz w:val="24"/>
      <w:szCs w:val="22"/>
      <w:lang w:eastAsia="en-US"/>
    </w:rPr>
  </w:style>
  <w:style w:type="paragraph" w:customStyle="1" w:styleId="TableText">
    <w:name w:val="Table Text"/>
    <w:qFormat/>
    <w:rsid w:val="003666B6"/>
    <w:pPr>
      <w:tabs>
        <w:tab w:val="left" w:pos="288"/>
        <w:tab w:val="left" w:pos="576"/>
        <w:tab w:val="left" w:pos="864"/>
      </w:tabs>
    </w:pPr>
    <w:rPr>
      <w:rFonts w:ascii="Times New Roman" w:eastAsia="Times New Roman" w:hAnsi="Times New Roman"/>
      <w:lang w:val="en-US" w:eastAsia="en-US"/>
    </w:rPr>
  </w:style>
  <w:style w:type="paragraph" w:customStyle="1" w:styleId="Standard2Char">
    <w:name w:val="Standard2 Char"/>
    <w:basedOn w:val="Normal"/>
    <w:link w:val="Standard2CharChar"/>
    <w:rsid w:val="0037484D"/>
    <w:pPr>
      <w:spacing w:before="120"/>
      <w:jc w:val="both"/>
    </w:pPr>
    <w:rPr>
      <w:rFonts w:ascii="Arial" w:eastAsia="Times New Roman" w:hAnsi="Arial"/>
      <w:lang w:val="en-US" w:eastAsia="de-DE"/>
    </w:rPr>
  </w:style>
  <w:style w:type="character" w:customStyle="1" w:styleId="Standard2CharChar">
    <w:name w:val="Standard2 Char Char"/>
    <w:link w:val="Standard2Char"/>
    <w:rsid w:val="0037484D"/>
    <w:rPr>
      <w:rFonts w:eastAsia="Times New Roman"/>
      <w:sz w:val="22"/>
      <w:lang w:val="en-US" w:eastAsia="de-DE"/>
    </w:rPr>
  </w:style>
  <w:style w:type="paragraph" w:customStyle="1" w:styleId="body1">
    <w:name w:val="body1"/>
    <w:basedOn w:val="Normal"/>
    <w:rsid w:val="0037484D"/>
    <w:pPr>
      <w:spacing w:before="240" w:line="220" w:lineRule="atLeast"/>
    </w:pPr>
    <w:rPr>
      <w:rFonts w:ascii="Arial" w:eastAsia="Times New Roman" w:hAnsi="Arial"/>
      <w:color w:val="000000"/>
      <w:lang w:val="en-US" w:eastAsia="de-DE"/>
    </w:rPr>
  </w:style>
  <w:style w:type="paragraph" w:styleId="PlainText">
    <w:name w:val="Plain Text"/>
    <w:aliases w:val="Nur Text Char, Char Char"/>
    <w:basedOn w:val="Normal"/>
    <w:link w:val="PlainTextChar"/>
    <w:uiPriority w:val="99"/>
    <w:rsid w:val="0056421D"/>
    <w:rPr>
      <w:rFonts w:ascii="Courier New" w:eastAsia="Times New Roman" w:hAnsi="Courier New" w:cs="Courier New"/>
    </w:rPr>
  </w:style>
  <w:style w:type="character" w:customStyle="1" w:styleId="PlainTextChar">
    <w:name w:val="Plain Text Char"/>
    <w:aliases w:val="Nur Text Char Char, Char Char Char"/>
    <w:basedOn w:val="DefaultParagraphFont"/>
    <w:link w:val="PlainText"/>
    <w:uiPriority w:val="99"/>
    <w:rsid w:val="0056421D"/>
    <w:rPr>
      <w:rFonts w:ascii="Courier New" w:eastAsia="Times New Roman" w:hAnsi="Courier New" w:cs="Courier New"/>
    </w:rPr>
  </w:style>
  <w:style w:type="paragraph" w:customStyle="1" w:styleId="Default">
    <w:name w:val="Default"/>
    <w:rsid w:val="00887C5D"/>
    <w:pPr>
      <w:autoSpaceDE w:val="0"/>
      <w:autoSpaceDN w:val="0"/>
      <w:adjustRightInd w:val="0"/>
    </w:pPr>
    <w:rPr>
      <w:rFonts w:ascii="Times New Roman" w:eastAsia="Times New Roman" w:hAnsi="Times New Roman"/>
      <w:color w:val="000000"/>
      <w:sz w:val="24"/>
      <w:szCs w:val="24"/>
      <w:lang w:val="de-DE" w:eastAsia="en-US"/>
    </w:rPr>
  </w:style>
  <w:style w:type="table" w:customStyle="1" w:styleId="TableGridLight1">
    <w:name w:val="Table Grid Light1"/>
    <w:basedOn w:val="TableNormal"/>
    <w:uiPriority w:val="40"/>
    <w:rsid w:val="007658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336C0"/>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0964E7"/>
    <w:pPr>
      <w:spacing w:before="100" w:beforeAutospacing="1" w:after="100" w:afterAutospacing="1"/>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7D6DC8"/>
    <w:rPr>
      <w:color w:val="954F72" w:themeColor="followedHyperlink"/>
      <w:u w:val="single"/>
    </w:rPr>
  </w:style>
  <w:style w:type="paragraph" w:styleId="Revision">
    <w:name w:val="Revision"/>
    <w:hidden/>
    <w:uiPriority w:val="99"/>
    <w:semiHidden/>
    <w:rsid w:val="00EF08C9"/>
    <w:rPr>
      <w:rFonts w:ascii="Calibri" w:hAnsi="Calibri"/>
    </w:rPr>
  </w:style>
  <w:style w:type="paragraph" w:customStyle="1" w:styleId="TableParagraph">
    <w:name w:val="Table Paragraph"/>
    <w:basedOn w:val="Normal"/>
    <w:uiPriority w:val="1"/>
    <w:qFormat/>
    <w:rsid w:val="00A2279E"/>
    <w:pPr>
      <w:widowControl w:val="0"/>
    </w:pPr>
    <w:rPr>
      <w:rFonts w:asciiTheme="minorHAnsi" w:eastAsiaTheme="minorHAnsi" w:hAnsiTheme="minorHAnsi" w:cstheme="minorBidi"/>
      <w:szCs w:val="22"/>
      <w:lang w:val="en-US" w:eastAsia="en-US"/>
    </w:rPr>
  </w:style>
  <w:style w:type="character" w:customStyle="1" w:styleId="highlight">
    <w:name w:val="highlight"/>
    <w:basedOn w:val="DefaultParagraphFont"/>
    <w:rsid w:val="00A83EDF"/>
  </w:style>
  <w:style w:type="character" w:styleId="EndnoteReference">
    <w:name w:val="endnote reference"/>
    <w:basedOn w:val="DefaultParagraphFont"/>
    <w:semiHidden/>
    <w:rsid w:val="00A83EDF"/>
    <w:rPr>
      <w:position w:val="6"/>
      <w:vertAlign w:val="baseline"/>
    </w:rPr>
  </w:style>
  <w:style w:type="character" w:customStyle="1" w:styleId="st">
    <w:name w:val="st"/>
    <w:basedOn w:val="DefaultParagraphFont"/>
    <w:rsid w:val="00A702F5"/>
  </w:style>
  <w:style w:type="paragraph" w:styleId="DocumentMap">
    <w:name w:val="Document Map"/>
    <w:basedOn w:val="Normal"/>
    <w:link w:val="DocumentMapChar"/>
    <w:uiPriority w:val="99"/>
    <w:semiHidden/>
    <w:unhideWhenUsed/>
    <w:rsid w:val="00FD4D14"/>
    <w:rPr>
      <w:rFonts w:ascii="Tahoma" w:hAnsi="Tahoma" w:cs="Tahoma"/>
      <w:sz w:val="16"/>
      <w:szCs w:val="16"/>
    </w:rPr>
  </w:style>
  <w:style w:type="character" w:customStyle="1" w:styleId="DocumentMapChar">
    <w:name w:val="Document Map Char"/>
    <w:basedOn w:val="DefaultParagraphFont"/>
    <w:link w:val="DocumentMap"/>
    <w:uiPriority w:val="99"/>
    <w:semiHidden/>
    <w:rsid w:val="00FD4D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9269">
      <w:bodyDiv w:val="1"/>
      <w:marLeft w:val="0"/>
      <w:marRight w:val="0"/>
      <w:marTop w:val="0"/>
      <w:marBottom w:val="0"/>
      <w:divBdr>
        <w:top w:val="none" w:sz="0" w:space="0" w:color="auto"/>
        <w:left w:val="none" w:sz="0" w:space="0" w:color="auto"/>
        <w:bottom w:val="none" w:sz="0" w:space="0" w:color="auto"/>
        <w:right w:val="none" w:sz="0" w:space="0" w:color="auto"/>
      </w:divBdr>
    </w:div>
    <w:div w:id="60249312">
      <w:bodyDiv w:val="1"/>
      <w:marLeft w:val="0"/>
      <w:marRight w:val="0"/>
      <w:marTop w:val="0"/>
      <w:marBottom w:val="0"/>
      <w:divBdr>
        <w:top w:val="none" w:sz="0" w:space="0" w:color="auto"/>
        <w:left w:val="none" w:sz="0" w:space="0" w:color="auto"/>
        <w:bottom w:val="none" w:sz="0" w:space="0" w:color="auto"/>
        <w:right w:val="none" w:sz="0" w:space="0" w:color="auto"/>
      </w:divBdr>
    </w:div>
    <w:div w:id="189606296">
      <w:bodyDiv w:val="1"/>
      <w:marLeft w:val="0"/>
      <w:marRight w:val="0"/>
      <w:marTop w:val="0"/>
      <w:marBottom w:val="0"/>
      <w:divBdr>
        <w:top w:val="none" w:sz="0" w:space="0" w:color="auto"/>
        <w:left w:val="none" w:sz="0" w:space="0" w:color="auto"/>
        <w:bottom w:val="none" w:sz="0" w:space="0" w:color="auto"/>
        <w:right w:val="none" w:sz="0" w:space="0" w:color="auto"/>
      </w:divBdr>
    </w:div>
    <w:div w:id="191967699">
      <w:bodyDiv w:val="1"/>
      <w:marLeft w:val="0"/>
      <w:marRight w:val="0"/>
      <w:marTop w:val="0"/>
      <w:marBottom w:val="0"/>
      <w:divBdr>
        <w:top w:val="none" w:sz="0" w:space="0" w:color="auto"/>
        <w:left w:val="none" w:sz="0" w:space="0" w:color="auto"/>
        <w:bottom w:val="none" w:sz="0" w:space="0" w:color="auto"/>
        <w:right w:val="none" w:sz="0" w:space="0" w:color="auto"/>
      </w:divBdr>
    </w:div>
    <w:div w:id="321853965">
      <w:bodyDiv w:val="1"/>
      <w:marLeft w:val="0"/>
      <w:marRight w:val="0"/>
      <w:marTop w:val="0"/>
      <w:marBottom w:val="0"/>
      <w:divBdr>
        <w:top w:val="none" w:sz="0" w:space="0" w:color="auto"/>
        <w:left w:val="none" w:sz="0" w:space="0" w:color="auto"/>
        <w:bottom w:val="none" w:sz="0" w:space="0" w:color="auto"/>
        <w:right w:val="none" w:sz="0" w:space="0" w:color="auto"/>
      </w:divBdr>
    </w:div>
    <w:div w:id="400905954">
      <w:bodyDiv w:val="1"/>
      <w:marLeft w:val="0"/>
      <w:marRight w:val="0"/>
      <w:marTop w:val="0"/>
      <w:marBottom w:val="0"/>
      <w:divBdr>
        <w:top w:val="none" w:sz="0" w:space="0" w:color="auto"/>
        <w:left w:val="none" w:sz="0" w:space="0" w:color="auto"/>
        <w:bottom w:val="none" w:sz="0" w:space="0" w:color="auto"/>
        <w:right w:val="none" w:sz="0" w:space="0" w:color="auto"/>
      </w:divBdr>
    </w:div>
    <w:div w:id="436412643">
      <w:bodyDiv w:val="1"/>
      <w:marLeft w:val="0"/>
      <w:marRight w:val="0"/>
      <w:marTop w:val="0"/>
      <w:marBottom w:val="0"/>
      <w:divBdr>
        <w:top w:val="none" w:sz="0" w:space="0" w:color="auto"/>
        <w:left w:val="none" w:sz="0" w:space="0" w:color="auto"/>
        <w:bottom w:val="none" w:sz="0" w:space="0" w:color="auto"/>
        <w:right w:val="none" w:sz="0" w:space="0" w:color="auto"/>
      </w:divBdr>
    </w:div>
    <w:div w:id="483934185">
      <w:bodyDiv w:val="1"/>
      <w:marLeft w:val="0"/>
      <w:marRight w:val="0"/>
      <w:marTop w:val="0"/>
      <w:marBottom w:val="0"/>
      <w:divBdr>
        <w:top w:val="none" w:sz="0" w:space="0" w:color="auto"/>
        <w:left w:val="none" w:sz="0" w:space="0" w:color="auto"/>
        <w:bottom w:val="none" w:sz="0" w:space="0" w:color="auto"/>
        <w:right w:val="none" w:sz="0" w:space="0" w:color="auto"/>
      </w:divBdr>
    </w:div>
    <w:div w:id="534465807">
      <w:bodyDiv w:val="1"/>
      <w:marLeft w:val="0"/>
      <w:marRight w:val="0"/>
      <w:marTop w:val="0"/>
      <w:marBottom w:val="0"/>
      <w:divBdr>
        <w:top w:val="none" w:sz="0" w:space="0" w:color="auto"/>
        <w:left w:val="none" w:sz="0" w:space="0" w:color="auto"/>
        <w:bottom w:val="none" w:sz="0" w:space="0" w:color="auto"/>
        <w:right w:val="none" w:sz="0" w:space="0" w:color="auto"/>
      </w:divBdr>
    </w:div>
    <w:div w:id="657223681">
      <w:bodyDiv w:val="1"/>
      <w:marLeft w:val="0"/>
      <w:marRight w:val="0"/>
      <w:marTop w:val="0"/>
      <w:marBottom w:val="0"/>
      <w:divBdr>
        <w:top w:val="none" w:sz="0" w:space="0" w:color="auto"/>
        <w:left w:val="none" w:sz="0" w:space="0" w:color="auto"/>
        <w:bottom w:val="none" w:sz="0" w:space="0" w:color="auto"/>
        <w:right w:val="none" w:sz="0" w:space="0" w:color="auto"/>
      </w:divBdr>
    </w:div>
    <w:div w:id="872688034">
      <w:bodyDiv w:val="1"/>
      <w:marLeft w:val="0"/>
      <w:marRight w:val="0"/>
      <w:marTop w:val="0"/>
      <w:marBottom w:val="0"/>
      <w:divBdr>
        <w:top w:val="none" w:sz="0" w:space="0" w:color="auto"/>
        <w:left w:val="none" w:sz="0" w:space="0" w:color="auto"/>
        <w:bottom w:val="none" w:sz="0" w:space="0" w:color="auto"/>
        <w:right w:val="none" w:sz="0" w:space="0" w:color="auto"/>
      </w:divBdr>
      <w:divsChild>
        <w:div w:id="389620883">
          <w:marLeft w:val="778"/>
          <w:marRight w:val="0"/>
          <w:marTop w:val="20"/>
          <w:marBottom w:val="0"/>
          <w:divBdr>
            <w:top w:val="none" w:sz="0" w:space="0" w:color="auto"/>
            <w:left w:val="none" w:sz="0" w:space="0" w:color="auto"/>
            <w:bottom w:val="none" w:sz="0" w:space="0" w:color="auto"/>
            <w:right w:val="none" w:sz="0" w:space="0" w:color="auto"/>
          </w:divBdr>
        </w:div>
      </w:divsChild>
    </w:div>
    <w:div w:id="875001368">
      <w:bodyDiv w:val="1"/>
      <w:marLeft w:val="0"/>
      <w:marRight w:val="0"/>
      <w:marTop w:val="0"/>
      <w:marBottom w:val="0"/>
      <w:divBdr>
        <w:top w:val="none" w:sz="0" w:space="0" w:color="auto"/>
        <w:left w:val="none" w:sz="0" w:space="0" w:color="auto"/>
        <w:bottom w:val="none" w:sz="0" w:space="0" w:color="auto"/>
        <w:right w:val="none" w:sz="0" w:space="0" w:color="auto"/>
      </w:divBdr>
    </w:div>
    <w:div w:id="912156149">
      <w:bodyDiv w:val="1"/>
      <w:marLeft w:val="0"/>
      <w:marRight w:val="0"/>
      <w:marTop w:val="0"/>
      <w:marBottom w:val="0"/>
      <w:divBdr>
        <w:top w:val="none" w:sz="0" w:space="0" w:color="auto"/>
        <w:left w:val="none" w:sz="0" w:space="0" w:color="auto"/>
        <w:bottom w:val="none" w:sz="0" w:space="0" w:color="auto"/>
        <w:right w:val="none" w:sz="0" w:space="0" w:color="auto"/>
      </w:divBdr>
    </w:div>
    <w:div w:id="954673783">
      <w:bodyDiv w:val="1"/>
      <w:marLeft w:val="0"/>
      <w:marRight w:val="0"/>
      <w:marTop w:val="0"/>
      <w:marBottom w:val="0"/>
      <w:divBdr>
        <w:top w:val="none" w:sz="0" w:space="0" w:color="auto"/>
        <w:left w:val="none" w:sz="0" w:space="0" w:color="auto"/>
        <w:bottom w:val="none" w:sz="0" w:space="0" w:color="auto"/>
        <w:right w:val="none" w:sz="0" w:space="0" w:color="auto"/>
      </w:divBdr>
    </w:div>
    <w:div w:id="1197617835">
      <w:bodyDiv w:val="1"/>
      <w:marLeft w:val="0"/>
      <w:marRight w:val="0"/>
      <w:marTop w:val="0"/>
      <w:marBottom w:val="0"/>
      <w:divBdr>
        <w:top w:val="none" w:sz="0" w:space="0" w:color="auto"/>
        <w:left w:val="none" w:sz="0" w:space="0" w:color="auto"/>
        <w:bottom w:val="none" w:sz="0" w:space="0" w:color="auto"/>
        <w:right w:val="none" w:sz="0" w:space="0" w:color="auto"/>
      </w:divBdr>
    </w:div>
    <w:div w:id="1219322166">
      <w:bodyDiv w:val="1"/>
      <w:marLeft w:val="0"/>
      <w:marRight w:val="0"/>
      <w:marTop w:val="0"/>
      <w:marBottom w:val="0"/>
      <w:divBdr>
        <w:top w:val="none" w:sz="0" w:space="0" w:color="auto"/>
        <w:left w:val="none" w:sz="0" w:space="0" w:color="auto"/>
        <w:bottom w:val="none" w:sz="0" w:space="0" w:color="auto"/>
        <w:right w:val="none" w:sz="0" w:space="0" w:color="auto"/>
      </w:divBdr>
    </w:div>
    <w:div w:id="1239242347">
      <w:bodyDiv w:val="1"/>
      <w:marLeft w:val="0"/>
      <w:marRight w:val="0"/>
      <w:marTop w:val="0"/>
      <w:marBottom w:val="0"/>
      <w:divBdr>
        <w:top w:val="none" w:sz="0" w:space="0" w:color="auto"/>
        <w:left w:val="none" w:sz="0" w:space="0" w:color="auto"/>
        <w:bottom w:val="none" w:sz="0" w:space="0" w:color="auto"/>
        <w:right w:val="none" w:sz="0" w:space="0" w:color="auto"/>
      </w:divBdr>
    </w:div>
    <w:div w:id="1293173401">
      <w:bodyDiv w:val="1"/>
      <w:marLeft w:val="0"/>
      <w:marRight w:val="0"/>
      <w:marTop w:val="0"/>
      <w:marBottom w:val="0"/>
      <w:divBdr>
        <w:top w:val="none" w:sz="0" w:space="0" w:color="auto"/>
        <w:left w:val="none" w:sz="0" w:space="0" w:color="auto"/>
        <w:bottom w:val="none" w:sz="0" w:space="0" w:color="auto"/>
        <w:right w:val="none" w:sz="0" w:space="0" w:color="auto"/>
      </w:divBdr>
    </w:div>
    <w:div w:id="1337417431">
      <w:bodyDiv w:val="1"/>
      <w:marLeft w:val="0"/>
      <w:marRight w:val="0"/>
      <w:marTop w:val="0"/>
      <w:marBottom w:val="0"/>
      <w:divBdr>
        <w:top w:val="none" w:sz="0" w:space="0" w:color="auto"/>
        <w:left w:val="none" w:sz="0" w:space="0" w:color="auto"/>
        <w:bottom w:val="none" w:sz="0" w:space="0" w:color="auto"/>
        <w:right w:val="none" w:sz="0" w:space="0" w:color="auto"/>
      </w:divBdr>
    </w:div>
    <w:div w:id="1481845708">
      <w:bodyDiv w:val="1"/>
      <w:marLeft w:val="0"/>
      <w:marRight w:val="0"/>
      <w:marTop w:val="0"/>
      <w:marBottom w:val="0"/>
      <w:divBdr>
        <w:top w:val="none" w:sz="0" w:space="0" w:color="auto"/>
        <w:left w:val="none" w:sz="0" w:space="0" w:color="auto"/>
        <w:bottom w:val="none" w:sz="0" w:space="0" w:color="auto"/>
        <w:right w:val="none" w:sz="0" w:space="0" w:color="auto"/>
      </w:divBdr>
    </w:div>
    <w:div w:id="1525316226">
      <w:bodyDiv w:val="1"/>
      <w:marLeft w:val="0"/>
      <w:marRight w:val="0"/>
      <w:marTop w:val="0"/>
      <w:marBottom w:val="0"/>
      <w:divBdr>
        <w:top w:val="none" w:sz="0" w:space="0" w:color="auto"/>
        <w:left w:val="none" w:sz="0" w:space="0" w:color="auto"/>
        <w:bottom w:val="none" w:sz="0" w:space="0" w:color="auto"/>
        <w:right w:val="none" w:sz="0" w:space="0" w:color="auto"/>
      </w:divBdr>
    </w:div>
    <w:div w:id="1586762520">
      <w:bodyDiv w:val="1"/>
      <w:marLeft w:val="0"/>
      <w:marRight w:val="0"/>
      <w:marTop w:val="0"/>
      <w:marBottom w:val="0"/>
      <w:divBdr>
        <w:top w:val="none" w:sz="0" w:space="0" w:color="auto"/>
        <w:left w:val="none" w:sz="0" w:space="0" w:color="auto"/>
        <w:bottom w:val="none" w:sz="0" w:space="0" w:color="auto"/>
        <w:right w:val="none" w:sz="0" w:space="0" w:color="auto"/>
      </w:divBdr>
    </w:div>
    <w:div w:id="1640307789">
      <w:bodyDiv w:val="1"/>
      <w:marLeft w:val="0"/>
      <w:marRight w:val="0"/>
      <w:marTop w:val="0"/>
      <w:marBottom w:val="0"/>
      <w:divBdr>
        <w:top w:val="none" w:sz="0" w:space="0" w:color="auto"/>
        <w:left w:val="none" w:sz="0" w:space="0" w:color="auto"/>
        <w:bottom w:val="none" w:sz="0" w:space="0" w:color="auto"/>
        <w:right w:val="none" w:sz="0" w:space="0" w:color="auto"/>
      </w:divBdr>
    </w:div>
    <w:div w:id="1646930151">
      <w:bodyDiv w:val="1"/>
      <w:marLeft w:val="0"/>
      <w:marRight w:val="0"/>
      <w:marTop w:val="0"/>
      <w:marBottom w:val="0"/>
      <w:divBdr>
        <w:top w:val="none" w:sz="0" w:space="0" w:color="auto"/>
        <w:left w:val="none" w:sz="0" w:space="0" w:color="auto"/>
        <w:bottom w:val="none" w:sz="0" w:space="0" w:color="auto"/>
        <w:right w:val="none" w:sz="0" w:space="0" w:color="auto"/>
      </w:divBdr>
    </w:div>
    <w:div w:id="1660230943">
      <w:bodyDiv w:val="1"/>
      <w:marLeft w:val="0"/>
      <w:marRight w:val="0"/>
      <w:marTop w:val="0"/>
      <w:marBottom w:val="0"/>
      <w:divBdr>
        <w:top w:val="none" w:sz="0" w:space="0" w:color="auto"/>
        <w:left w:val="none" w:sz="0" w:space="0" w:color="auto"/>
        <w:bottom w:val="none" w:sz="0" w:space="0" w:color="auto"/>
        <w:right w:val="none" w:sz="0" w:space="0" w:color="auto"/>
      </w:divBdr>
    </w:div>
    <w:div w:id="1666082525">
      <w:bodyDiv w:val="1"/>
      <w:marLeft w:val="0"/>
      <w:marRight w:val="0"/>
      <w:marTop w:val="0"/>
      <w:marBottom w:val="0"/>
      <w:divBdr>
        <w:top w:val="none" w:sz="0" w:space="0" w:color="auto"/>
        <w:left w:val="none" w:sz="0" w:space="0" w:color="auto"/>
        <w:bottom w:val="none" w:sz="0" w:space="0" w:color="auto"/>
        <w:right w:val="none" w:sz="0" w:space="0" w:color="auto"/>
      </w:divBdr>
    </w:div>
    <w:div w:id="1670212692">
      <w:bodyDiv w:val="1"/>
      <w:marLeft w:val="0"/>
      <w:marRight w:val="0"/>
      <w:marTop w:val="0"/>
      <w:marBottom w:val="0"/>
      <w:divBdr>
        <w:top w:val="none" w:sz="0" w:space="0" w:color="auto"/>
        <w:left w:val="none" w:sz="0" w:space="0" w:color="auto"/>
        <w:bottom w:val="none" w:sz="0" w:space="0" w:color="auto"/>
        <w:right w:val="none" w:sz="0" w:space="0" w:color="auto"/>
      </w:divBdr>
    </w:div>
    <w:div w:id="1681468697">
      <w:bodyDiv w:val="1"/>
      <w:marLeft w:val="0"/>
      <w:marRight w:val="0"/>
      <w:marTop w:val="0"/>
      <w:marBottom w:val="0"/>
      <w:divBdr>
        <w:top w:val="none" w:sz="0" w:space="0" w:color="auto"/>
        <w:left w:val="none" w:sz="0" w:space="0" w:color="auto"/>
        <w:bottom w:val="none" w:sz="0" w:space="0" w:color="auto"/>
        <w:right w:val="none" w:sz="0" w:space="0" w:color="auto"/>
      </w:divBdr>
    </w:div>
    <w:div w:id="1681926105">
      <w:bodyDiv w:val="1"/>
      <w:marLeft w:val="0"/>
      <w:marRight w:val="0"/>
      <w:marTop w:val="0"/>
      <w:marBottom w:val="0"/>
      <w:divBdr>
        <w:top w:val="none" w:sz="0" w:space="0" w:color="auto"/>
        <w:left w:val="none" w:sz="0" w:space="0" w:color="auto"/>
        <w:bottom w:val="none" w:sz="0" w:space="0" w:color="auto"/>
        <w:right w:val="none" w:sz="0" w:space="0" w:color="auto"/>
      </w:divBdr>
      <w:divsChild>
        <w:div w:id="461507364">
          <w:marLeft w:val="259"/>
          <w:marRight w:val="0"/>
          <w:marTop w:val="0"/>
          <w:marBottom w:val="120"/>
          <w:divBdr>
            <w:top w:val="none" w:sz="0" w:space="0" w:color="auto"/>
            <w:left w:val="none" w:sz="0" w:space="0" w:color="auto"/>
            <w:bottom w:val="none" w:sz="0" w:space="0" w:color="auto"/>
            <w:right w:val="none" w:sz="0" w:space="0" w:color="auto"/>
          </w:divBdr>
        </w:div>
      </w:divsChild>
    </w:div>
    <w:div w:id="1848593094">
      <w:bodyDiv w:val="1"/>
      <w:marLeft w:val="0"/>
      <w:marRight w:val="0"/>
      <w:marTop w:val="0"/>
      <w:marBottom w:val="0"/>
      <w:divBdr>
        <w:top w:val="none" w:sz="0" w:space="0" w:color="auto"/>
        <w:left w:val="none" w:sz="0" w:space="0" w:color="auto"/>
        <w:bottom w:val="none" w:sz="0" w:space="0" w:color="auto"/>
        <w:right w:val="none" w:sz="0" w:space="0" w:color="auto"/>
      </w:divBdr>
    </w:div>
    <w:div w:id="1897424683">
      <w:bodyDiv w:val="1"/>
      <w:marLeft w:val="0"/>
      <w:marRight w:val="0"/>
      <w:marTop w:val="0"/>
      <w:marBottom w:val="0"/>
      <w:divBdr>
        <w:top w:val="none" w:sz="0" w:space="0" w:color="auto"/>
        <w:left w:val="none" w:sz="0" w:space="0" w:color="auto"/>
        <w:bottom w:val="none" w:sz="0" w:space="0" w:color="auto"/>
        <w:right w:val="none" w:sz="0" w:space="0" w:color="auto"/>
      </w:divBdr>
    </w:div>
    <w:div w:id="2026904492">
      <w:bodyDiv w:val="1"/>
      <w:marLeft w:val="0"/>
      <w:marRight w:val="0"/>
      <w:marTop w:val="0"/>
      <w:marBottom w:val="0"/>
      <w:divBdr>
        <w:top w:val="none" w:sz="0" w:space="0" w:color="auto"/>
        <w:left w:val="none" w:sz="0" w:space="0" w:color="auto"/>
        <w:bottom w:val="none" w:sz="0" w:space="0" w:color="auto"/>
        <w:right w:val="none" w:sz="0" w:space="0" w:color="auto"/>
      </w:divBdr>
    </w:div>
    <w:div w:id="2086412819">
      <w:bodyDiv w:val="1"/>
      <w:marLeft w:val="0"/>
      <w:marRight w:val="0"/>
      <w:marTop w:val="0"/>
      <w:marBottom w:val="0"/>
      <w:divBdr>
        <w:top w:val="none" w:sz="0" w:space="0" w:color="auto"/>
        <w:left w:val="none" w:sz="0" w:space="0" w:color="auto"/>
        <w:bottom w:val="none" w:sz="0" w:space="0" w:color="auto"/>
        <w:right w:val="none" w:sz="0" w:space="0" w:color="auto"/>
      </w:divBdr>
    </w:div>
    <w:div w:id="21324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8F24B-3DE9-4749-8E34-610E20E4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7900</Words>
  <Characters>45033</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Fishawack Communications LTD</Company>
  <LinksUpToDate>false</LinksUpToDate>
  <CharactersWithSpaces>52828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Fishawack Indicia</dc:creator>
  <cp:lastModifiedBy>Sands P.</cp:lastModifiedBy>
  <cp:revision>2</cp:revision>
  <cp:lastPrinted>2016-11-30T11:09:00Z</cp:lastPrinted>
  <dcterms:created xsi:type="dcterms:W3CDTF">2017-01-18T13:07:00Z</dcterms:created>
  <dcterms:modified xsi:type="dcterms:W3CDTF">2017-01-18T13:07:00Z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ies>
</file>