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7B1FD" w14:textId="77777777" w:rsidR="0061220F" w:rsidRPr="00F2670D" w:rsidRDefault="0061220F" w:rsidP="0061220F">
      <w:pPr>
        <w:jc w:val="center"/>
        <w:rPr>
          <w:b/>
          <w:sz w:val="24"/>
          <w:lang w:val="en-US"/>
        </w:rPr>
      </w:pPr>
      <w:r w:rsidRPr="00F2670D">
        <w:rPr>
          <w:b/>
          <w:sz w:val="24"/>
          <w:lang w:val="en-US"/>
        </w:rPr>
        <w:t xml:space="preserve">A </w:t>
      </w:r>
      <w:r>
        <w:rPr>
          <w:b/>
          <w:sz w:val="24"/>
          <w:lang w:val="en-US"/>
        </w:rPr>
        <w:t>v</w:t>
      </w:r>
      <w:r w:rsidRPr="00F2670D">
        <w:rPr>
          <w:b/>
          <w:sz w:val="24"/>
          <w:lang w:val="en-US"/>
        </w:rPr>
        <w:t xml:space="preserve">ersatile </w:t>
      </w:r>
      <w:r>
        <w:rPr>
          <w:b/>
          <w:sz w:val="24"/>
          <w:lang w:val="en-US"/>
        </w:rPr>
        <w:t>m</w:t>
      </w:r>
      <w:r w:rsidRPr="00F2670D">
        <w:rPr>
          <w:b/>
          <w:sz w:val="24"/>
          <w:lang w:val="en-US"/>
        </w:rPr>
        <w:t xml:space="preserve">ethod for </w:t>
      </w:r>
      <w:r>
        <w:rPr>
          <w:b/>
          <w:sz w:val="24"/>
          <w:lang w:val="en-US"/>
        </w:rPr>
        <w:t>g</w:t>
      </w:r>
      <w:r w:rsidRPr="00F2670D">
        <w:rPr>
          <w:b/>
          <w:sz w:val="24"/>
          <w:lang w:val="en-US"/>
        </w:rPr>
        <w:t xml:space="preserve">roundwater </w:t>
      </w:r>
      <w:r>
        <w:rPr>
          <w:b/>
          <w:sz w:val="24"/>
          <w:lang w:val="en-US"/>
        </w:rPr>
        <w:t>v</w:t>
      </w:r>
      <w:r w:rsidRPr="00F2670D">
        <w:rPr>
          <w:b/>
          <w:sz w:val="24"/>
          <w:lang w:val="en-US"/>
        </w:rPr>
        <w:t xml:space="preserve">ulnerability </w:t>
      </w:r>
      <w:r>
        <w:rPr>
          <w:b/>
          <w:sz w:val="24"/>
          <w:lang w:val="en-US"/>
        </w:rPr>
        <w:t>p</w:t>
      </w:r>
      <w:r w:rsidRPr="00F2670D">
        <w:rPr>
          <w:b/>
          <w:sz w:val="24"/>
          <w:lang w:val="en-US"/>
        </w:rPr>
        <w:t xml:space="preserve">rojections in </w:t>
      </w:r>
      <w:r>
        <w:rPr>
          <w:b/>
          <w:sz w:val="24"/>
          <w:lang w:val="en-US"/>
        </w:rPr>
        <w:t>f</w:t>
      </w:r>
      <w:r w:rsidRPr="00F2670D">
        <w:rPr>
          <w:b/>
          <w:sz w:val="24"/>
          <w:lang w:val="en-US"/>
        </w:rPr>
        <w:t xml:space="preserve">uture </w:t>
      </w:r>
      <w:r>
        <w:rPr>
          <w:b/>
          <w:sz w:val="24"/>
          <w:lang w:val="en-US"/>
        </w:rPr>
        <w:t>s</w:t>
      </w:r>
      <w:r w:rsidRPr="00F2670D">
        <w:rPr>
          <w:b/>
          <w:sz w:val="24"/>
          <w:lang w:val="en-US"/>
        </w:rPr>
        <w:t>cenarios</w:t>
      </w:r>
    </w:p>
    <w:p w14:paraId="4159B67F" w14:textId="77777777" w:rsidR="007945DE" w:rsidRPr="006304C1" w:rsidRDefault="007945DE" w:rsidP="007945DE">
      <w:pPr>
        <w:jc w:val="left"/>
      </w:pPr>
      <w:r w:rsidRPr="006304C1">
        <w:t>Stefania Stevenazzi</w:t>
      </w:r>
      <w:r>
        <w:t xml:space="preserve"> </w:t>
      </w:r>
      <w:r w:rsidRPr="00671C7D">
        <w:rPr>
          <w:vertAlign w:val="superscript"/>
        </w:rPr>
        <w:t>a</w:t>
      </w:r>
      <w:r>
        <w:t>*</w:t>
      </w:r>
      <w:r w:rsidRPr="006304C1">
        <w:t>, Marianna Bonfanti</w:t>
      </w:r>
      <w:r>
        <w:t xml:space="preserve"> </w:t>
      </w:r>
      <w:r w:rsidRPr="00671C7D">
        <w:rPr>
          <w:vertAlign w:val="superscript"/>
        </w:rPr>
        <w:t>a</w:t>
      </w:r>
      <w:r w:rsidRPr="006304C1">
        <w:t>, Marco Masetti</w:t>
      </w:r>
      <w:r>
        <w:t xml:space="preserve"> </w:t>
      </w:r>
      <w:r w:rsidRPr="00671C7D">
        <w:rPr>
          <w:vertAlign w:val="superscript"/>
        </w:rPr>
        <w:t>a</w:t>
      </w:r>
      <w:r w:rsidRPr="006304C1">
        <w:t>, Son V. Nghiem</w:t>
      </w:r>
      <w:r>
        <w:t xml:space="preserve"> </w:t>
      </w:r>
      <w:r w:rsidRPr="00671C7D">
        <w:rPr>
          <w:vertAlign w:val="superscript"/>
        </w:rPr>
        <w:t>b</w:t>
      </w:r>
      <w:r w:rsidRPr="006304C1">
        <w:t>, Alessandro Sorichetta</w:t>
      </w:r>
      <w:r>
        <w:t xml:space="preserve"> </w:t>
      </w:r>
      <w:r w:rsidRPr="00671C7D">
        <w:rPr>
          <w:vertAlign w:val="superscript"/>
        </w:rPr>
        <w:t>c</w:t>
      </w:r>
    </w:p>
    <w:p w14:paraId="4B16922A" w14:textId="77777777" w:rsidR="00785142" w:rsidRDefault="00785142" w:rsidP="007945DE">
      <w:pPr>
        <w:rPr>
          <w:vertAlign w:val="superscript"/>
        </w:rPr>
      </w:pPr>
    </w:p>
    <w:p w14:paraId="29BAFE2E" w14:textId="77777777" w:rsidR="007945DE" w:rsidRDefault="007945DE" w:rsidP="007945DE">
      <w:r w:rsidRPr="00671C7D">
        <w:rPr>
          <w:vertAlign w:val="superscript"/>
        </w:rPr>
        <w:t>a</w:t>
      </w:r>
      <w:r w:rsidRPr="006304C1">
        <w:t xml:space="preserve"> Dipartimento di Scienze della Terra </w:t>
      </w:r>
      <w:r>
        <w:t>“</w:t>
      </w:r>
      <w:r w:rsidRPr="006304C1">
        <w:t>A. Desio</w:t>
      </w:r>
      <w:r>
        <w:t>”</w:t>
      </w:r>
      <w:r w:rsidRPr="006304C1">
        <w:t>,</w:t>
      </w:r>
      <w:r>
        <w:t xml:space="preserve"> </w:t>
      </w:r>
      <w:r w:rsidRPr="006304C1">
        <w:t>Università degli Studi di Milano, Via Luigi Mangiagalli, 34, Milan,</w:t>
      </w:r>
      <w:r>
        <w:t xml:space="preserve"> </w:t>
      </w:r>
      <w:r w:rsidRPr="006304C1">
        <w:t>20133, Italy</w:t>
      </w:r>
    </w:p>
    <w:p w14:paraId="05B5EE9A" w14:textId="77777777" w:rsidR="007945DE" w:rsidRDefault="007945DE" w:rsidP="007945DE">
      <w:pPr>
        <w:rPr>
          <w:lang w:val="en-US"/>
        </w:rPr>
      </w:pPr>
      <w:r w:rsidRPr="00671C7D">
        <w:rPr>
          <w:vertAlign w:val="superscript"/>
          <w:lang w:val="en-US"/>
        </w:rPr>
        <w:t>b</w:t>
      </w:r>
      <w:r>
        <w:rPr>
          <w:lang w:val="en-US"/>
        </w:rPr>
        <w:t xml:space="preserve"> </w:t>
      </w:r>
      <w:r w:rsidRPr="006304C1">
        <w:rPr>
          <w:lang w:val="en-US"/>
        </w:rPr>
        <w:t>Jet Propulsion Laboratory,</w:t>
      </w:r>
      <w:r>
        <w:rPr>
          <w:lang w:val="en-US"/>
        </w:rPr>
        <w:t xml:space="preserve"> </w:t>
      </w:r>
      <w:r w:rsidRPr="006304C1">
        <w:rPr>
          <w:lang w:val="en-US"/>
        </w:rPr>
        <w:t>California Institute of Technology, 4800 Oak Grove Drive,</w:t>
      </w:r>
      <w:r>
        <w:rPr>
          <w:lang w:val="en-US"/>
        </w:rPr>
        <w:t xml:space="preserve"> </w:t>
      </w:r>
      <w:r w:rsidRPr="006304C1">
        <w:rPr>
          <w:lang w:val="en-US"/>
        </w:rPr>
        <w:t>MS 300-235, Pasadena, CA 91109, USA</w:t>
      </w:r>
    </w:p>
    <w:p w14:paraId="2F8F2CCA" w14:textId="63C57AE0" w:rsidR="007945DE" w:rsidRPr="00ED2263" w:rsidRDefault="007945DE" w:rsidP="007945DE">
      <w:pPr>
        <w:rPr>
          <w:lang w:val="en-US"/>
        </w:rPr>
      </w:pPr>
      <w:r w:rsidRPr="00671C7D">
        <w:rPr>
          <w:vertAlign w:val="superscript"/>
          <w:lang w:val="en-US"/>
        </w:rPr>
        <w:t>c</w:t>
      </w:r>
      <w:r w:rsidR="00785142">
        <w:rPr>
          <w:lang w:val="en-US"/>
        </w:rPr>
        <w:t xml:space="preserve"> </w:t>
      </w:r>
      <w:r w:rsidRPr="006304C1">
        <w:rPr>
          <w:lang w:val="en-US"/>
        </w:rPr>
        <w:t>Geography and Environment,</w:t>
      </w:r>
      <w:r>
        <w:rPr>
          <w:lang w:val="en-US"/>
        </w:rPr>
        <w:t xml:space="preserve"> </w:t>
      </w:r>
      <w:r w:rsidRPr="006304C1">
        <w:rPr>
          <w:lang w:val="en-US"/>
        </w:rPr>
        <w:t xml:space="preserve">University of Southampton, Highfield Campus, Building </w:t>
      </w:r>
      <w:r>
        <w:rPr>
          <w:lang w:val="en-US"/>
        </w:rPr>
        <w:t>5</w:t>
      </w:r>
      <w:r w:rsidRPr="006304C1">
        <w:rPr>
          <w:lang w:val="en-US"/>
        </w:rPr>
        <w:t>4, Southampton, SO17 1BJ, UK</w:t>
      </w:r>
      <w:r>
        <w:rPr>
          <w:lang w:val="en-US"/>
        </w:rPr>
        <w:t xml:space="preserve">; </w:t>
      </w:r>
      <w:r w:rsidRPr="00ED2263">
        <w:rPr>
          <w:lang w:val="en-US"/>
        </w:rPr>
        <w:t>Flowminder Foundation, Roslagsgatan 17 SE-11355, Stockholm, Sweden</w:t>
      </w:r>
    </w:p>
    <w:p w14:paraId="22B6069E" w14:textId="77777777" w:rsidR="007945DE" w:rsidRPr="003C476D" w:rsidRDefault="007945DE" w:rsidP="007945DE">
      <w:pPr>
        <w:jc w:val="left"/>
        <w:rPr>
          <w:lang w:val="en-US"/>
        </w:rPr>
      </w:pPr>
      <w:r>
        <w:rPr>
          <w:lang w:val="en-US"/>
        </w:rPr>
        <w:t>* Corresponding author, email: stefania.stevenazzi@unimi.it</w:t>
      </w:r>
    </w:p>
    <w:p w14:paraId="0E058EEE" w14:textId="77777777" w:rsidR="0061220F" w:rsidRPr="00F2670D" w:rsidRDefault="0061220F" w:rsidP="007945DE">
      <w:pPr>
        <w:rPr>
          <w:lang w:val="en-US"/>
        </w:rPr>
      </w:pPr>
    </w:p>
    <w:p w14:paraId="0648EAB9" w14:textId="77777777" w:rsidR="0061220F" w:rsidRPr="00F2670D" w:rsidRDefault="0061220F" w:rsidP="0061220F">
      <w:pPr>
        <w:pStyle w:val="Titolo1"/>
        <w:numPr>
          <w:ilvl w:val="0"/>
          <w:numId w:val="0"/>
        </w:numPr>
        <w:ind w:left="432" w:hanging="432"/>
        <w:jc w:val="left"/>
      </w:pPr>
      <w:r w:rsidRPr="00F2670D">
        <w:t>Abstract</w:t>
      </w:r>
    </w:p>
    <w:p w14:paraId="36617FC4" w14:textId="77777777" w:rsidR="0061220F" w:rsidRPr="00F2670D" w:rsidRDefault="0061220F" w:rsidP="0061220F">
      <w:pPr>
        <w:rPr>
          <w:lang w:val="en-US"/>
        </w:rPr>
      </w:pPr>
      <w:r w:rsidRPr="00F2670D">
        <w:rPr>
          <w:lang w:val="en-US"/>
        </w:rPr>
        <w:t>Water scarcity and associated risks are se</w:t>
      </w:r>
      <w:r>
        <w:rPr>
          <w:lang w:val="en-US"/>
        </w:rPr>
        <w:t>rious</w:t>
      </w:r>
      <w:r w:rsidRPr="00F2670D">
        <w:rPr>
          <w:lang w:val="en-US"/>
        </w:rPr>
        <w:t xml:space="preserve"> societal problems. A major challenge for the future will be to ensure the short-term and long-term provision of accessible and safe freshwater to meet the needs of the rapidly growing human population and changes in land cover and land use, where conservation and protection play a key role. Through a Bayesian spatial statistical method, a time-dependent approach for groundwater vulnerability assessment </w:t>
      </w:r>
      <w:r>
        <w:rPr>
          <w:lang w:val="en-US"/>
        </w:rPr>
        <w:t>is</w:t>
      </w:r>
      <w:r w:rsidRPr="00F2670D">
        <w:rPr>
          <w:lang w:val="en-US"/>
        </w:rPr>
        <w:t xml:space="preserve"> developed to account for both </w:t>
      </w:r>
      <w:r>
        <w:rPr>
          <w:lang w:val="en-US"/>
        </w:rPr>
        <w:t>the recent</w:t>
      </w:r>
      <w:r w:rsidRPr="00F2670D">
        <w:rPr>
          <w:lang w:val="en-US"/>
        </w:rPr>
        <w:t xml:space="preserve"> status of groundwater contamination and its evolution, as required by the European Union (Groundwater Directive, 2006/118/EC). This approach combines natural and anthropogenic factors to identify areas with a critical combination of high levels and increasing trends of nitrate concentration</w:t>
      </w:r>
      <w:r>
        <w:rPr>
          <w:lang w:val="en-US"/>
        </w:rPr>
        <w:t>s</w:t>
      </w:r>
      <w:r w:rsidRPr="00F2670D">
        <w:rPr>
          <w:lang w:val="en-US"/>
        </w:rPr>
        <w:t>, together with a quantitative evaluation of how different future scenarios would impact the quality of groundwater resources in a given area. In particular, the proposed approach can determine potential impacts on groundwater resources if policies are maintained at the status quo or</w:t>
      </w:r>
      <w:r>
        <w:rPr>
          <w:lang w:val="en-US"/>
        </w:rPr>
        <w:t xml:space="preserve"> if</w:t>
      </w:r>
      <w:r w:rsidRPr="00F2670D">
        <w:rPr>
          <w:lang w:val="en-US"/>
        </w:rPr>
        <w:t xml:space="preserve"> new measures are implemented for safeguarding groundwater quality, as natural factors are changing under climatic or anthropogenic stresses.</w:t>
      </w:r>
    </w:p>
    <w:p w14:paraId="3CC00D75" w14:textId="77777777" w:rsidR="007945DE" w:rsidRPr="003C476D" w:rsidRDefault="007945DE" w:rsidP="007945DE">
      <w:pPr>
        <w:jc w:val="left"/>
        <w:rPr>
          <w:lang w:val="en-US"/>
        </w:rPr>
      </w:pPr>
    </w:p>
    <w:p w14:paraId="2ED1199F" w14:textId="77777777" w:rsidR="007945DE" w:rsidRPr="00205B79" w:rsidRDefault="007945DE" w:rsidP="007945DE">
      <w:pPr>
        <w:jc w:val="left"/>
        <w:rPr>
          <w:lang w:val="en-US"/>
        </w:rPr>
      </w:pPr>
      <w:r w:rsidRPr="003C476D">
        <w:rPr>
          <w:i/>
          <w:lang w:val="en-US"/>
        </w:rPr>
        <w:t>Keywords</w:t>
      </w:r>
      <w:r w:rsidRPr="003C476D">
        <w:rPr>
          <w:lang w:val="en-US"/>
        </w:rPr>
        <w:t xml:space="preserve">: </w:t>
      </w:r>
      <w:r>
        <w:rPr>
          <w:lang w:val="en-US"/>
        </w:rPr>
        <w:t>Groundwater vulnerability, Time dimension, Statistical method, Land use management</w:t>
      </w:r>
    </w:p>
    <w:p w14:paraId="556F63C2" w14:textId="77777777" w:rsidR="0061220F" w:rsidRPr="00F2670D" w:rsidRDefault="0061220F" w:rsidP="0061220F">
      <w:pPr>
        <w:rPr>
          <w:lang w:val="en-US"/>
        </w:rPr>
      </w:pPr>
    </w:p>
    <w:p w14:paraId="2D52F659" w14:textId="77777777" w:rsidR="0061220F" w:rsidRPr="00F2670D" w:rsidRDefault="0061220F" w:rsidP="0061220F">
      <w:pPr>
        <w:pStyle w:val="Titolo1"/>
        <w:jc w:val="left"/>
      </w:pPr>
      <w:r w:rsidRPr="00F2670D">
        <w:lastRenderedPageBreak/>
        <w:t>Introduction</w:t>
      </w:r>
    </w:p>
    <w:p w14:paraId="62C18B3F" w14:textId="77777777" w:rsidR="0061220F" w:rsidRPr="00F2670D" w:rsidRDefault="0061220F" w:rsidP="0061220F">
      <w:pPr>
        <w:rPr>
          <w:lang w:val="en-US"/>
        </w:rPr>
      </w:pPr>
      <w:r w:rsidRPr="00F2670D">
        <w:rPr>
          <w:lang w:val="en-US"/>
        </w:rPr>
        <w:t xml:space="preserve">Water crises </w:t>
      </w:r>
      <w:r>
        <w:rPr>
          <w:lang w:val="en-US"/>
        </w:rPr>
        <w:t>are</w:t>
      </w:r>
      <w:r w:rsidRPr="00F2670D">
        <w:rPr>
          <w:lang w:val="en-US"/>
        </w:rPr>
        <w:t xml:space="preserve"> ranked among the most important global risks likely to occur with severe social, economic and environmental impacts, mainly due to the increasing demand from population growth, intensive land management, and economic expansion (World Economic Forum, 2015). </w:t>
      </w:r>
    </w:p>
    <w:p w14:paraId="3607E4B3" w14:textId="28DF70EC" w:rsidR="0061220F" w:rsidRPr="00F2670D" w:rsidRDefault="0061220F" w:rsidP="0061220F">
      <w:pPr>
        <w:rPr>
          <w:lang w:val="en-US"/>
        </w:rPr>
      </w:pPr>
      <w:r w:rsidRPr="00F2670D">
        <w:rPr>
          <w:lang w:val="en-US"/>
        </w:rPr>
        <w:t xml:space="preserve">One of the major future challenges will be to ensure the short- and long-term provision of accessible and safe freshwater to meet the needs of the fast growing human population and changes in land use, where conservation and protection have a key role (Kumar, 2015). Rapid land use change </w:t>
      </w:r>
      <w:r>
        <w:rPr>
          <w:lang w:val="en-US"/>
        </w:rPr>
        <w:t xml:space="preserve">can </w:t>
      </w:r>
      <w:r w:rsidRPr="00F2670D">
        <w:rPr>
          <w:lang w:val="en-US"/>
        </w:rPr>
        <w:t>modif</w:t>
      </w:r>
      <w:r>
        <w:rPr>
          <w:lang w:val="en-US"/>
        </w:rPr>
        <w:t>y</w:t>
      </w:r>
      <w:r w:rsidRPr="00F2670D">
        <w:rPr>
          <w:lang w:val="en-US"/>
        </w:rPr>
        <w:t xml:space="preserve"> the amount and distribution of point and non-point sources of contamination, while climate change may significant</w:t>
      </w:r>
      <w:r>
        <w:rPr>
          <w:lang w:val="en-US"/>
        </w:rPr>
        <w:t>ly</w:t>
      </w:r>
      <w:r w:rsidRPr="00F2670D">
        <w:rPr>
          <w:lang w:val="en-US"/>
        </w:rPr>
        <w:t xml:space="preserve"> impact water availability and quality (IPCC, 2012). In this context, groundwater represents the most strategically important water resource</w:t>
      </w:r>
      <w:r>
        <w:rPr>
          <w:lang w:val="en-US"/>
        </w:rPr>
        <w:t>,</w:t>
      </w:r>
      <w:r w:rsidRPr="00F2670D">
        <w:rPr>
          <w:lang w:val="en-US"/>
        </w:rPr>
        <w:t xml:space="preserve"> which </w:t>
      </w:r>
      <w:r w:rsidR="00DC6F91">
        <w:rPr>
          <w:lang w:val="en-US"/>
        </w:rPr>
        <w:t xml:space="preserve">could </w:t>
      </w:r>
      <w:r>
        <w:rPr>
          <w:lang w:val="en-US"/>
        </w:rPr>
        <w:t>be</w:t>
      </w:r>
      <w:r w:rsidRPr="00F2670D">
        <w:rPr>
          <w:lang w:val="en-US"/>
        </w:rPr>
        <w:t xml:space="preserve"> less impacted by both climate change and contamination compared to surface water. Nevertheless, groundwater is certainly vulnerable to contamination with increasing risks in changing environments (Rebelo et al., 2014). Thus, there is an urgent need to better quantify time-dependent processes that can affect groundwater quality (Stevenazzi et al., 2015) and to develop methods to evaluate </w:t>
      </w:r>
      <w:r>
        <w:rPr>
          <w:lang w:val="en-US"/>
        </w:rPr>
        <w:t xml:space="preserve">the </w:t>
      </w:r>
      <w:r w:rsidRPr="00F2670D">
        <w:rPr>
          <w:lang w:val="en-US"/>
        </w:rPr>
        <w:t xml:space="preserve">effects of future scenarios on groundwater vulnerability. </w:t>
      </w:r>
    </w:p>
    <w:p w14:paraId="67DD87AF" w14:textId="77777777" w:rsidR="0061220F" w:rsidRPr="00F2670D" w:rsidRDefault="0061220F" w:rsidP="0061220F">
      <w:pPr>
        <w:rPr>
          <w:b/>
          <w:lang w:val="en-US"/>
        </w:rPr>
      </w:pPr>
      <w:r w:rsidRPr="00F2670D">
        <w:rPr>
          <w:lang w:val="en-US"/>
        </w:rPr>
        <w:t xml:space="preserve">The objective of this study is to develop a time-dependent approach for groundwater vulnerability assessment to account for </w:t>
      </w:r>
      <w:r>
        <w:rPr>
          <w:lang w:val="en-US"/>
        </w:rPr>
        <w:t xml:space="preserve">the recent </w:t>
      </w:r>
      <w:r w:rsidRPr="00F2670D">
        <w:rPr>
          <w:lang w:val="en-US"/>
        </w:rPr>
        <w:t xml:space="preserve">status and the evolution of groundwater contamination, as required by the European Union (Groundwater Directive, 2006/118/EC). Such </w:t>
      </w:r>
      <w:r>
        <w:rPr>
          <w:lang w:val="en-US"/>
        </w:rPr>
        <w:t xml:space="preserve">an </w:t>
      </w:r>
      <w:r w:rsidRPr="00F2670D">
        <w:rPr>
          <w:lang w:val="en-US"/>
        </w:rPr>
        <w:t>approach also allows a quantitative evaluation of future potential scenario</w:t>
      </w:r>
      <w:r>
        <w:rPr>
          <w:lang w:val="en-US"/>
        </w:rPr>
        <w:t>s</w:t>
      </w:r>
      <w:r w:rsidRPr="00F2670D">
        <w:rPr>
          <w:lang w:val="en-US"/>
        </w:rPr>
        <w:t xml:space="preserve"> and </w:t>
      </w:r>
      <w:r>
        <w:rPr>
          <w:lang w:val="en-US"/>
        </w:rPr>
        <w:t>their</w:t>
      </w:r>
      <w:r w:rsidRPr="00F2670D">
        <w:rPr>
          <w:lang w:val="en-US"/>
        </w:rPr>
        <w:t xml:space="preserve"> impacts on groundwater quality. Specifically, this study focuses on the status of nitrate contamination in 2011 and its evolution in the decade 2000</w:t>
      </w:r>
      <w:r>
        <w:rPr>
          <w:lang w:val="en-US"/>
        </w:rPr>
        <w:t xml:space="preserve"> to </w:t>
      </w:r>
      <w:r w:rsidRPr="00F2670D">
        <w:rPr>
          <w:lang w:val="en-US"/>
        </w:rPr>
        <w:t xml:space="preserve">2011, and assesses groundwater vulnerability due to natural and anthropogenic factors and their evolution in the decade of the 2000s. The future scenario will be referenced to year 2020, and consider changes </w:t>
      </w:r>
      <w:r>
        <w:rPr>
          <w:lang w:val="en-US"/>
        </w:rPr>
        <w:t xml:space="preserve">in </w:t>
      </w:r>
      <w:r w:rsidRPr="00F2670D">
        <w:rPr>
          <w:lang w:val="en-US"/>
        </w:rPr>
        <w:t xml:space="preserve">anthropogenic sources </w:t>
      </w:r>
      <w:r>
        <w:rPr>
          <w:lang w:val="en-US"/>
        </w:rPr>
        <w:t xml:space="preserve">of nitrate </w:t>
      </w:r>
      <w:r w:rsidRPr="00F2670D">
        <w:rPr>
          <w:lang w:val="en-US"/>
        </w:rPr>
        <w:t xml:space="preserve">and natural factors </w:t>
      </w:r>
      <w:r>
        <w:rPr>
          <w:lang w:val="en-US"/>
        </w:rPr>
        <w:t>observed in the period</w:t>
      </w:r>
      <w:r w:rsidRPr="00F2670D">
        <w:rPr>
          <w:lang w:val="en-US"/>
        </w:rPr>
        <w:t xml:space="preserve"> 2011</w:t>
      </w:r>
      <w:r>
        <w:rPr>
          <w:lang w:val="en-US"/>
        </w:rPr>
        <w:t xml:space="preserve"> to </w:t>
      </w:r>
      <w:r w:rsidRPr="00F2670D">
        <w:rPr>
          <w:lang w:val="en-US"/>
        </w:rPr>
        <w:t xml:space="preserve">2020. </w:t>
      </w:r>
    </w:p>
    <w:p w14:paraId="38AB2A8D" w14:textId="30AEB5FB" w:rsidR="0061220F" w:rsidRPr="00F2670D" w:rsidRDefault="0061220F" w:rsidP="0061220F">
      <w:pPr>
        <w:rPr>
          <w:lang w:val="en-US"/>
        </w:rPr>
      </w:pPr>
      <w:r w:rsidRPr="00F2670D">
        <w:rPr>
          <w:lang w:val="en-US"/>
        </w:rPr>
        <w:t>The development of new techniques (i.e., statistical or processed-based methods) to estimate groundwater vulnerability introduced question</w:t>
      </w:r>
      <w:r>
        <w:rPr>
          <w:lang w:val="en-US"/>
        </w:rPr>
        <w:t>s as to</w:t>
      </w:r>
      <w:r w:rsidRPr="00F2670D">
        <w:rPr>
          <w:lang w:val="en-US"/>
        </w:rPr>
        <w:t xml:space="preserve"> whether vulnerability or risk is assessed. I</w:t>
      </w:r>
      <w:r w:rsidRPr="00F2670D">
        <w:rPr>
          <w:bCs/>
          <w:lang w:val="en-US"/>
        </w:rPr>
        <w:t xml:space="preserve">n some cases, no </w:t>
      </w:r>
      <w:r>
        <w:rPr>
          <w:bCs/>
          <w:lang w:val="en-US"/>
        </w:rPr>
        <w:t>distinction</w:t>
      </w:r>
      <w:r w:rsidRPr="00F2670D">
        <w:rPr>
          <w:bCs/>
          <w:lang w:val="en-US"/>
        </w:rPr>
        <w:t xml:space="preserve"> is made between specific vulnerability and risk assessment, with hazard types, distribution, loading, and transport all included at the risk-assessment stage (e.g., Focazio et al., 2002). </w:t>
      </w:r>
      <w:r w:rsidR="00975353">
        <w:rPr>
          <w:bCs/>
          <w:lang w:val="en-US"/>
        </w:rPr>
        <w:lastRenderedPageBreak/>
        <w:t>Without</w:t>
      </w:r>
      <w:r w:rsidR="00975353" w:rsidRPr="00F2670D">
        <w:rPr>
          <w:bCs/>
          <w:lang w:val="en-US"/>
        </w:rPr>
        <w:t xml:space="preserve"> </w:t>
      </w:r>
      <w:r w:rsidRPr="00F2670D">
        <w:rPr>
          <w:bCs/>
          <w:lang w:val="en-US"/>
        </w:rPr>
        <w:t>unambiguous and universally accepted definitions of vulnerability and risk in</w:t>
      </w:r>
      <w:r w:rsidRPr="00F2670D">
        <w:rPr>
          <w:lang w:val="en-US"/>
        </w:rPr>
        <w:t xml:space="preserve"> the assessment methods, this study follows the same terminology used in previous studies on groundwater vulnerability assessment using spatial statistical techniques (e.g., </w:t>
      </w:r>
      <w:r w:rsidRPr="00F2670D">
        <w:rPr>
          <w:bCs/>
          <w:lang w:val="en-US"/>
        </w:rPr>
        <w:t xml:space="preserve">Arthur et al., 2007; Sorichetta et al., 2011). Hence, the term “groundwater vulnerability to nitrate contamination” will be used. In addition, </w:t>
      </w:r>
      <w:r w:rsidRPr="00F2670D">
        <w:rPr>
          <w:lang w:val="en-US"/>
        </w:rPr>
        <w:t xml:space="preserve">the term “severity” is used in this paper to describe areas where the probability of groundwater quality </w:t>
      </w:r>
      <w:r>
        <w:rPr>
          <w:lang w:val="en-US"/>
        </w:rPr>
        <w:t xml:space="preserve">deterioration </w:t>
      </w:r>
      <w:r w:rsidRPr="00F2670D">
        <w:rPr>
          <w:lang w:val="en-US"/>
        </w:rPr>
        <w:t>occu</w:t>
      </w:r>
      <w:r>
        <w:rPr>
          <w:lang w:val="en-US"/>
        </w:rPr>
        <w:t>rring</w:t>
      </w:r>
      <w:r w:rsidRPr="00F2670D">
        <w:rPr>
          <w:lang w:val="en-US"/>
        </w:rPr>
        <w:t xml:space="preserve"> in the future is higher or lower compared to the previous conditions.</w:t>
      </w:r>
    </w:p>
    <w:p w14:paraId="198C453B" w14:textId="77777777" w:rsidR="0061220F" w:rsidRPr="00F2670D" w:rsidRDefault="0061220F" w:rsidP="0061220F">
      <w:pPr>
        <w:pStyle w:val="Nessunaspaziatura"/>
        <w:spacing w:line="360" w:lineRule="auto"/>
        <w:rPr>
          <w:lang w:val="en-US"/>
        </w:rPr>
      </w:pPr>
    </w:p>
    <w:p w14:paraId="3548B264" w14:textId="25C1C48C" w:rsidR="0061220F" w:rsidRPr="00F2670D" w:rsidRDefault="0061220F" w:rsidP="0061220F">
      <w:pPr>
        <w:pStyle w:val="Titolo1"/>
      </w:pPr>
      <w:r w:rsidRPr="00F2670D">
        <w:t>Material</w:t>
      </w:r>
      <w:r>
        <w:t>s</w:t>
      </w:r>
      <w:r w:rsidRPr="00F2670D">
        <w:t xml:space="preserve"> and method</w:t>
      </w:r>
      <w:r>
        <w:t>s</w:t>
      </w:r>
    </w:p>
    <w:p w14:paraId="40F06485" w14:textId="77777777" w:rsidR="0061220F" w:rsidRPr="00F2670D" w:rsidRDefault="0061220F" w:rsidP="0061220F">
      <w:pPr>
        <w:pStyle w:val="Titolo2"/>
      </w:pPr>
      <w:r w:rsidRPr="00F2670D">
        <w:t>Study area</w:t>
      </w:r>
    </w:p>
    <w:p w14:paraId="614D1303" w14:textId="77777777" w:rsidR="0061220F" w:rsidRPr="00F2670D" w:rsidRDefault="0061220F" w:rsidP="0061220F">
      <w:pPr>
        <w:rPr>
          <w:lang w:val="en-US"/>
        </w:rPr>
      </w:pPr>
      <w:r w:rsidRPr="00F2670D">
        <w:rPr>
          <w:lang w:val="en-US"/>
        </w:rPr>
        <w:t>The study area is in the Po Plain area of Lombardy Region (Fig. 1)</w:t>
      </w:r>
      <w:r>
        <w:rPr>
          <w:lang w:val="en-US"/>
        </w:rPr>
        <w:t>, covering</w:t>
      </w:r>
      <w:r w:rsidRPr="00F2670D">
        <w:rPr>
          <w:lang w:val="en-US"/>
        </w:rPr>
        <w:t xml:space="preserve"> a mainly agricultural area of 13,400 km². Urban areas, covering about 22 % of the area, have consistently increased due to urban sprawl since the beginning of the 2000s, while the population did not follow the same growth (EEA, 2006).</w:t>
      </w:r>
    </w:p>
    <w:p w14:paraId="64DF4BFB" w14:textId="77777777" w:rsidR="0061220F" w:rsidRPr="00F2670D" w:rsidRDefault="0061220F" w:rsidP="0061220F">
      <w:pPr>
        <w:rPr>
          <w:lang w:val="en-US"/>
        </w:rPr>
      </w:pPr>
      <w:r w:rsidRPr="00F2670D">
        <w:rPr>
          <w:lang w:val="en-US"/>
        </w:rPr>
        <w:t xml:space="preserve">This region is surrounded by important rivers </w:t>
      </w:r>
      <w:r>
        <w:rPr>
          <w:lang w:val="en-US"/>
        </w:rPr>
        <w:t xml:space="preserve">that </w:t>
      </w:r>
      <w:r w:rsidRPr="00F2670D">
        <w:rPr>
          <w:lang w:val="en-US"/>
        </w:rPr>
        <w:t>influenc</w:t>
      </w:r>
      <w:r>
        <w:rPr>
          <w:lang w:val="en-US"/>
        </w:rPr>
        <w:t>e</w:t>
      </w:r>
      <w:r w:rsidRPr="00F2670D">
        <w:rPr>
          <w:lang w:val="en-US"/>
        </w:rPr>
        <w:t xml:space="preserve"> groundwater flow in the unconfined aquifer (Fig. 2a): </w:t>
      </w:r>
      <w:r>
        <w:rPr>
          <w:lang w:val="en-US"/>
        </w:rPr>
        <w:t xml:space="preserve">the </w:t>
      </w:r>
      <w:r w:rsidRPr="00F2670D">
        <w:rPr>
          <w:lang w:val="en-US"/>
        </w:rPr>
        <w:t xml:space="preserve">Po River </w:t>
      </w:r>
      <w:r>
        <w:rPr>
          <w:lang w:val="en-US"/>
        </w:rPr>
        <w:t>to</w:t>
      </w:r>
      <w:r w:rsidRPr="00F2670D">
        <w:rPr>
          <w:lang w:val="en-US"/>
        </w:rPr>
        <w:t xml:space="preserve"> the south, Ticino and Sesia </w:t>
      </w:r>
      <w:r>
        <w:rPr>
          <w:lang w:val="en-US"/>
        </w:rPr>
        <w:t>R</w:t>
      </w:r>
      <w:r w:rsidRPr="00F2670D">
        <w:rPr>
          <w:lang w:val="en-US"/>
        </w:rPr>
        <w:t>ivers and another small sec</w:t>
      </w:r>
      <w:r>
        <w:rPr>
          <w:lang w:val="en-US"/>
        </w:rPr>
        <w:t>tion</w:t>
      </w:r>
      <w:r w:rsidRPr="00F2670D">
        <w:rPr>
          <w:lang w:val="en-US"/>
        </w:rPr>
        <w:t xml:space="preserve"> of the Po River </w:t>
      </w:r>
      <w:r>
        <w:rPr>
          <w:lang w:val="en-US"/>
        </w:rPr>
        <w:t>to</w:t>
      </w:r>
      <w:r w:rsidRPr="00F2670D">
        <w:rPr>
          <w:lang w:val="en-US"/>
        </w:rPr>
        <w:t xml:space="preserve"> the west, and Mincio River </w:t>
      </w:r>
      <w:r>
        <w:rPr>
          <w:lang w:val="en-US"/>
        </w:rPr>
        <w:t>to</w:t>
      </w:r>
      <w:r w:rsidRPr="00F2670D">
        <w:rPr>
          <w:lang w:val="en-US"/>
        </w:rPr>
        <w:t xml:space="preserve"> the east. It is also constrained by mountain chains forming the boundary of the plain:</w:t>
      </w:r>
      <w:r>
        <w:rPr>
          <w:lang w:val="en-US"/>
        </w:rPr>
        <w:t xml:space="preserve"> the</w:t>
      </w:r>
      <w:r w:rsidRPr="00F2670D">
        <w:rPr>
          <w:lang w:val="en-US"/>
        </w:rPr>
        <w:t xml:space="preserve"> Lombardy Prealps along the north and</w:t>
      </w:r>
      <w:r>
        <w:rPr>
          <w:lang w:val="en-US"/>
        </w:rPr>
        <w:t xml:space="preserve"> the</w:t>
      </w:r>
      <w:r w:rsidRPr="00F2670D">
        <w:rPr>
          <w:lang w:val="en-US"/>
        </w:rPr>
        <w:t xml:space="preserve"> Appennines along the southwest.</w:t>
      </w:r>
    </w:p>
    <w:p w14:paraId="2C22952E" w14:textId="77777777" w:rsidR="0061220F" w:rsidRPr="00F2670D" w:rsidRDefault="0061220F" w:rsidP="0061220F">
      <w:pPr>
        <w:rPr>
          <w:lang w:val="en-US"/>
        </w:rPr>
      </w:pPr>
      <w:r w:rsidRPr="00F2670D">
        <w:rPr>
          <w:lang w:val="en-US"/>
        </w:rPr>
        <w:t>This area has a complex hydrogeological setting consisting of multiple aquifers with various properties and interactions. Plio-Pleistocene sediments</w:t>
      </w:r>
      <w:r>
        <w:rPr>
          <w:lang w:val="en-US"/>
        </w:rPr>
        <w:t>, the</w:t>
      </w:r>
      <w:r w:rsidRPr="00F2670D">
        <w:rPr>
          <w:lang w:val="en-US"/>
        </w:rPr>
        <w:t xml:space="preserve"> upper unit </w:t>
      </w:r>
      <w:r>
        <w:rPr>
          <w:lang w:val="en-US"/>
        </w:rPr>
        <w:t xml:space="preserve">of which </w:t>
      </w:r>
      <w:r w:rsidRPr="00F2670D">
        <w:rPr>
          <w:lang w:val="en-US"/>
        </w:rPr>
        <w:t>forms shallow unconfined aquifers</w:t>
      </w:r>
      <w:r>
        <w:rPr>
          <w:lang w:val="en-US"/>
        </w:rPr>
        <w:t>, characterize the</w:t>
      </w:r>
      <w:r w:rsidRPr="009C0DA4">
        <w:rPr>
          <w:lang w:val="en-US"/>
        </w:rPr>
        <w:t xml:space="preserve"> </w:t>
      </w:r>
      <w:r>
        <w:rPr>
          <w:lang w:val="en-US"/>
        </w:rPr>
        <w:t xml:space="preserve">subsoil of the </w:t>
      </w:r>
      <w:r w:rsidRPr="00F2670D">
        <w:rPr>
          <w:lang w:val="en-US"/>
        </w:rPr>
        <w:t>Lombardy plain. Sediments are mainly gravels and sands</w:t>
      </w:r>
      <w:r>
        <w:rPr>
          <w:lang w:val="en-US"/>
        </w:rPr>
        <w:t>,</w:t>
      </w:r>
      <w:r w:rsidRPr="00F2670D">
        <w:rPr>
          <w:lang w:val="en-US"/>
        </w:rPr>
        <w:t xml:space="preserve"> although the presence of finer sediments increases from the north to the south where shallow aquifers are mainly constituted by fine sands and are partially confined. These aquifers have high transmissivity</w:t>
      </w:r>
      <w:r>
        <w:rPr>
          <w:lang w:val="en-US"/>
        </w:rPr>
        <w:t xml:space="preserve"> ranging</w:t>
      </w:r>
      <w:r w:rsidRPr="00F2670D">
        <w:rPr>
          <w:lang w:val="en-US"/>
        </w:rPr>
        <w:t xml:space="preserve"> from 10</w:t>
      </w:r>
      <w:r w:rsidRPr="00F2670D">
        <w:rPr>
          <w:vertAlign w:val="superscript"/>
          <w:lang w:val="en-US"/>
        </w:rPr>
        <w:t>-2</w:t>
      </w:r>
      <w:r w:rsidRPr="00F2670D">
        <w:rPr>
          <w:lang w:val="en-US"/>
        </w:rPr>
        <w:t xml:space="preserve"> to 10</w:t>
      </w:r>
      <w:r w:rsidRPr="00F2670D">
        <w:rPr>
          <w:vertAlign w:val="superscript"/>
          <w:lang w:val="en-US"/>
        </w:rPr>
        <w:t>-4</w:t>
      </w:r>
      <w:r w:rsidRPr="00F2670D">
        <w:rPr>
          <w:lang w:val="en-US"/>
        </w:rPr>
        <w:t xml:space="preserve"> m²/s</w:t>
      </w:r>
      <w:r>
        <w:rPr>
          <w:lang w:val="en-US"/>
        </w:rPr>
        <w:t>,</w:t>
      </w:r>
      <w:r w:rsidRPr="00F2670D">
        <w:rPr>
          <w:lang w:val="en-US"/>
        </w:rPr>
        <w:t xml:space="preserve"> and medium-high hydraulic conductivity</w:t>
      </w:r>
      <w:r>
        <w:rPr>
          <w:lang w:val="en-US"/>
        </w:rPr>
        <w:t xml:space="preserve"> ranging</w:t>
      </w:r>
      <w:r w:rsidRPr="00F2670D">
        <w:rPr>
          <w:lang w:val="en-US"/>
        </w:rPr>
        <w:t xml:space="preserve"> from 10</w:t>
      </w:r>
      <w:r w:rsidRPr="00F2670D">
        <w:rPr>
          <w:vertAlign w:val="superscript"/>
          <w:lang w:val="en-US"/>
        </w:rPr>
        <w:t>-4</w:t>
      </w:r>
      <w:r w:rsidRPr="00F2670D">
        <w:rPr>
          <w:lang w:val="en-US"/>
        </w:rPr>
        <w:t xml:space="preserve"> to 10</w:t>
      </w:r>
      <w:r w:rsidRPr="00F2670D">
        <w:rPr>
          <w:vertAlign w:val="superscript"/>
          <w:lang w:val="en-US"/>
        </w:rPr>
        <w:t>-6</w:t>
      </w:r>
      <w:r w:rsidRPr="00F2670D">
        <w:rPr>
          <w:lang w:val="en-US"/>
        </w:rPr>
        <w:t xml:space="preserve"> m/s</w:t>
      </w:r>
      <w:r>
        <w:rPr>
          <w:lang w:val="en-US"/>
        </w:rPr>
        <w:t>;</w:t>
      </w:r>
      <w:r w:rsidRPr="00F2670D">
        <w:rPr>
          <w:lang w:val="en-US"/>
        </w:rPr>
        <w:t xml:space="preserve"> while </w:t>
      </w:r>
      <w:r>
        <w:rPr>
          <w:lang w:val="en-US"/>
        </w:rPr>
        <w:t>average</w:t>
      </w:r>
      <w:r w:rsidRPr="00F2670D">
        <w:rPr>
          <w:lang w:val="en-US"/>
        </w:rPr>
        <w:t xml:space="preserve"> thickness ranges from 40 to 80 m (Regione Lombardia and ENI, 2002; Fig. 2b).</w:t>
      </w:r>
    </w:p>
    <w:p w14:paraId="45C1D5F6" w14:textId="77777777" w:rsidR="0061220F" w:rsidRPr="00F2670D" w:rsidRDefault="0061220F" w:rsidP="0061220F">
      <w:pPr>
        <w:rPr>
          <w:lang w:val="en-US"/>
        </w:rPr>
      </w:pPr>
      <w:r w:rsidRPr="00F2670D">
        <w:rPr>
          <w:lang w:val="en-US"/>
        </w:rPr>
        <w:t>The groundwater flow is generally oriented north</w:t>
      </w:r>
      <w:r>
        <w:rPr>
          <w:lang w:val="en-US"/>
        </w:rPr>
        <w:t>–</w:t>
      </w:r>
      <w:r w:rsidRPr="00F2670D">
        <w:rPr>
          <w:lang w:val="en-US"/>
        </w:rPr>
        <w:t xml:space="preserve">south toward the base level defined by the Po River, with a deviation to </w:t>
      </w:r>
      <w:r>
        <w:rPr>
          <w:lang w:val="en-US"/>
        </w:rPr>
        <w:t xml:space="preserve">the </w:t>
      </w:r>
      <w:r w:rsidRPr="00F2670D">
        <w:rPr>
          <w:lang w:val="en-US"/>
        </w:rPr>
        <w:t>east-south-east in the south-east</w:t>
      </w:r>
      <w:r>
        <w:rPr>
          <w:lang w:val="en-US"/>
        </w:rPr>
        <w:t>ern</w:t>
      </w:r>
      <w:r w:rsidRPr="00F2670D">
        <w:rPr>
          <w:lang w:val="en-US"/>
        </w:rPr>
        <w:t xml:space="preserve"> area of the plain. The groundwater depth decreases from north to south, ranging from values higher than 70 m to less than 2 m. There are also some groundwater-fed streams, where the local groundwater depth reduces to zero. During the last 15 </w:t>
      </w:r>
      <w:r w:rsidRPr="00F2670D">
        <w:rPr>
          <w:lang w:val="en-US"/>
        </w:rPr>
        <w:lastRenderedPageBreak/>
        <w:t xml:space="preserve">years, the groundwater level has remained steady in most of the study area with some sectors characterized by an increase </w:t>
      </w:r>
      <w:r>
        <w:rPr>
          <w:lang w:val="en-US"/>
        </w:rPr>
        <w:t>in</w:t>
      </w:r>
      <w:r w:rsidRPr="00F2670D">
        <w:rPr>
          <w:lang w:val="en-US"/>
        </w:rPr>
        <w:t xml:space="preserve"> the groundwater level after 2010 (Fig. 2).</w:t>
      </w:r>
    </w:p>
    <w:p w14:paraId="383A0673" w14:textId="77777777" w:rsidR="0061220F" w:rsidRPr="00F2670D" w:rsidRDefault="0061220F" w:rsidP="0061220F">
      <w:pPr>
        <w:pStyle w:val="Nessunaspaziatura"/>
        <w:spacing w:line="360" w:lineRule="auto"/>
        <w:rPr>
          <w:lang w:val="en-US"/>
        </w:rPr>
      </w:pPr>
    </w:p>
    <w:p w14:paraId="25163994" w14:textId="77777777" w:rsidR="0061220F" w:rsidRPr="00F2670D" w:rsidRDefault="0061220F" w:rsidP="0061220F">
      <w:pPr>
        <w:pStyle w:val="Titolo2"/>
      </w:pPr>
      <w:r w:rsidRPr="00F2670D">
        <w:t>Weight of Evidence technique</w:t>
      </w:r>
    </w:p>
    <w:p w14:paraId="60ABA766" w14:textId="77777777" w:rsidR="0061220F" w:rsidRPr="00F2670D" w:rsidRDefault="0061220F" w:rsidP="0061220F">
      <w:pPr>
        <w:rPr>
          <w:lang w:val="en-US"/>
        </w:rPr>
      </w:pPr>
      <w:r w:rsidRPr="00F2670D">
        <w:rPr>
          <w:lang w:val="en-US"/>
        </w:rPr>
        <w:t>The Weight of Evidence (WofE) is a statistical based technique that has proven to be a useful and reliable method to assess groundwater vulnerability (Arthur et al., 2007; Masetti et al., 2007, 2008; Sorichetta et al., 2011, 2012; Uhan et al., 2011). WofE is a pixel-based modeling technique, which combines different spatial datasets in a GIS environment to analyze and describe their interactions and generate predictive patterns (Bonham-Carter, 1994; Raines et al., 2000). WofE can be defined as a data-driven Bayesian method in a log-linear form that uses known occurrences (training points) to generate predictive probability maps (response themes). This is done accounting for multiple weighted evidences (evidential themes representing explanatory variables) related to the spatial distribution of the occurrences in the study area (Raines, 1999).</w:t>
      </w:r>
    </w:p>
    <w:p w14:paraId="3441DC95" w14:textId="77777777" w:rsidR="0061220F" w:rsidRPr="00F2670D" w:rsidRDefault="0061220F" w:rsidP="0061220F">
      <w:pPr>
        <w:rPr>
          <w:lang w:val="en-US"/>
        </w:rPr>
      </w:pPr>
      <w:r w:rsidRPr="00F2670D">
        <w:rPr>
          <w:lang w:val="en-US"/>
        </w:rPr>
        <w:t xml:space="preserve">In groundwater vulnerability assessments of a specific region, the training points are a selected subset of the monitoring well network </w:t>
      </w:r>
      <w:r>
        <w:rPr>
          <w:lang w:val="en-US"/>
        </w:rPr>
        <w:t>in</w:t>
      </w:r>
      <w:r w:rsidRPr="00F2670D">
        <w:rPr>
          <w:lang w:val="en-US"/>
        </w:rPr>
        <w:t xml:space="preserve"> the area, the evidential themes are natural and anthropogenic factors influencing groundwater vulnerability, and the posterior probabilities represent the relative groundwater vulnerability of the area. </w:t>
      </w:r>
    </w:p>
    <w:p w14:paraId="5DB80284" w14:textId="77777777" w:rsidR="0061220F" w:rsidRPr="00F2670D" w:rsidRDefault="0061220F" w:rsidP="0061220F">
      <w:pPr>
        <w:rPr>
          <w:lang w:val="en-US"/>
        </w:rPr>
      </w:pPr>
      <w:r w:rsidRPr="00F2670D">
        <w:rPr>
          <w:lang w:val="en-US"/>
        </w:rPr>
        <w:t xml:space="preserve">Please refer to Arthur et al. </w:t>
      </w:r>
      <w:r w:rsidRPr="004A7112">
        <w:t xml:space="preserve">(2007), Uhan et al. (2011), Sorichetta et al. </w:t>
      </w:r>
      <w:r>
        <w:rPr>
          <w:lang w:val="en-US"/>
        </w:rPr>
        <w:t>(</w:t>
      </w:r>
      <w:r w:rsidRPr="00F2670D">
        <w:rPr>
          <w:lang w:val="en-US"/>
        </w:rPr>
        <w:t>2012</w:t>
      </w:r>
      <w:r>
        <w:rPr>
          <w:lang w:val="en-US"/>
        </w:rPr>
        <w:t>), and</w:t>
      </w:r>
      <w:r w:rsidRPr="00F2670D">
        <w:rPr>
          <w:lang w:val="en-US"/>
        </w:rPr>
        <w:t xml:space="preserve"> Stevenazzi et al. </w:t>
      </w:r>
      <w:r>
        <w:rPr>
          <w:lang w:val="en-US"/>
        </w:rPr>
        <w:t>(</w:t>
      </w:r>
      <w:r w:rsidRPr="00F2670D">
        <w:rPr>
          <w:lang w:val="en-US"/>
        </w:rPr>
        <w:t>2015</w:t>
      </w:r>
      <w:r>
        <w:rPr>
          <w:lang w:val="en-US"/>
        </w:rPr>
        <w:t>)</w:t>
      </w:r>
      <w:r w:rsidRPr="00F2670D">
        <w:rPr>
          <w:lang w:val="en-US"/>
        </w:rPr>
        <w:t xml:space="preserve"> for a detailed description of how WofE has been used for assessing groundwater vulnerability in different study areas. We note here several relevant concepts:</w:t>
      </w:r>
    </w:p>
    <w:p w14:paraId="7745593E" w14:textId="77777777" w:rsidR="0061220F" w:rsidRPr="00F2670D" w:rsidRDefault="0061220F" w:rsidP="0061220F">
      <w:pPr>
        <w:pStyle w:val="Paragrafoelenco"/>
        <w:numPr>
          <w:ilvl w:val="0"/>
          <w:numId w:val="12"/>
        </w:numPr>
        <w:rPr>
          <w:lang w:val="en-US"/>
        </w:rPr>
      </w:pPr>
      <w:r w:rsidRPr="00F2670D">
        <w:rPr>
          <w:lang w:val="en-US"/>
        </w:rPr>
        <w:t xml:space="preserve">The response theme is generated using the training points, and calibration and validation are performed using </w:t>
      </w:r>
      <w:r>
        <w:rPr>
          <w:lang w:val="en-US"/>
        </w:rPr>
        <w:t>a</w:t>
      </w:r>
      <w:r w:rsidRPr="00F2670D">
        <w:rPr>
          <w:lang w:val="en-US"/>
        </w:rPr>
        <w:t xml:space="preserve"> combination of training and control points and the control points alone, respectively.</w:t>
      </w:r>
    </w:p>
    <w:p w14:paraId="3A7D90D1" w14:textId="77777777" w:rsidR="0061220F" w:rsidRPr="00F2670D" w:rsidRDefault="0061220F" w:rsidP="0061220F">
      <w:pPr>
        <w:pStyle w:val="Paragrafoelenco"/>
        <w:numPr>
          <w:ilvl w:val="0"/>
          <w:numId w:val="12"/>
        </w:numPr>
        <w:rPr>
          <w:lang w:val="en-US"/>
        </w:rPr>
      </w:pPr>
      <w:r w:rsidRPr="00F2670D">
        <w:rPr>
          <w:lang w:val="en-US"/>
        </w:rPr>
        <w:t>The prior probability represents the probability that a pixel within the study area contains an occurrence without considering any evidential themes</w:t>
      </w:r>
      <w:r>
        <w:rPr>
          <w:lang w:val="en-US"/>
        </w:rPr>
        <w:t>,</w:t>
      </w:r>
      <w:r w:rsidRPr="00F2670D">
        <w:rPr>
          <w:lang w:val="en-US"/>
        </w:rPr>
        <w:t xml:space="preserve"> and is given by the ratio between the number of pixels containing a training point and the total number of pixels of the area.</w:t>
      </w:r>
    </w:p>
    <w:p w14:paraId="7E296DF9" w14:textId="77777777" w:rsidR="0061220F" w:rsidRPr="00F2670D" w:rsidRDefault="0061220F" w:rsidP="0061220F">
      <w:pPr>
        <w:pStyle w:val="Paragrafoelenco"/>
        <w:numPr>
          <w:ilvl w:val="0"/>
          <w:numId w:val="12"/>
        </w:numPr>
        <w:rPr>
          <w:lang w:val="en-US"/>
        </w:rPr>
      </w:pPr>
      <w:r w:rsidRPr="00F2670D">
        <w:rPr>
          <w:lang w:val="en-US"/>
        </w:rPr>
        <w:lastRenderedPageBreak/>
        <w:t>Each evidential theme is generalized in statistically significant classes, by assuming a minimum confidence value of |1.282| corresponding approximately to a 90% level of significance, and a pattern distribution justifiable from a hydrogeological point of view.</w:t>
      </w:r>
    </w:p>
    <w:p w14:paraId="166CF7AC" w14:textId="77777777" w:rsidR="0061220F" w:rsidRPr="00F2670D" w:rsidRDefault="0061220F" w:rsidP="0061220F">
      <w:pPr>
        <w:pStyle w:val="Paragrafoelenco"/>
        <w:numPr>
          <w:ilvl w:val="0"/>
          <w:numId w:val="12"/>
        </w:numPr>
        <w:rPr>
          <w:lang w:val="en-US"/>
        </w:rPr>
      </w:pPr>
      <w:r w:rsidRPr="00F2670D">
        <w:rPr>
          <w:lang w:val="en-US"/>
        </w:rPr>
        <w:t>The posterior probability represents the relative probability that a pixel contains an occurrence based on the evidences provided by the evidential themes.</w:t>
      </w:r>
    </w:p>
    <w:p w14:paraId="6D665208" w14:textId="780C4F08" w:rsidR="0061220F" w:rsidRDefault="0061220F" w:rsidP="0061220F">
      <w:pPr>
        <w:rPr>
          <w:lang w:val="en-US"/>
        </w:rPr>
      </w:pPr>
      <w:r w:rsidRPr="00F2670D">
        <w:rPr>
          <w:lang w:val="en-US"/>
        </w:rPr>
        <w:t xml:space="preserve">In this study, the WofE response themes are generated using the Spatial Data Modeler (Sawatzky et al., 2009) for ArcGIS 9.3 (ESRI, 2008). </w:t>
      </w:r>
    </w:p>
    <w:p w14:paraId="0B40F0FA" w14:textId="77777777" w:rsidR="00733F07" w:rsidRPr="00F2670D" w:rsidRDefault="00733F07" w:rsidP="0061220F">
      <w:pPr>
        <w:rPr>
          <w:lang w:val="en-US"/>
        </w:rPr>
      </w:pPr>
    </w:p>
    <w:p w14:paraId="0965E0DD" w14:textId="77777777" w:rsidR="0061220F" w:rsidRPr="00F2670D" w:rsidRDefault="0061220F" w:rsidP="0061220F">
      <w:pPr>
        <w:pStyle w:val="Titolo2"/>
      </w:pPr>
      <w:r w:rsidRPr="00F2670D">
        <w:t>Monitoring network and explanatory variables</w:t>
      </w:r>
    </w:p>
    <w:p w14:paraId="24703DC0" w14:textId="77777777" w:rsidR="0061220F" w:rsidRPr="00F2670D" w:rsidRDefault="0061220F" w:rsidP="0061220F">
      <w:pPr>
        <w:rPr>
          <w:lang w:val="en-US"/>
        </w:rPr>
      </w:pPr>
      <w:r w:rsidRPr="00F2670D">
        <w:rPr>
          <w:lang w:val="en-US"/>
        </w:rPr>
        <w:t>Nitrate is one of the most common contaminant</w:t>
      </w:r>
      <w:r>
        <w:rPr>
          <w:lang w:val="en-US"/>
        </w:rPr>
        <w:t>s</w:t>
      </w:r>
      <w:r w:rsidRPr="00F2670D">
        <w:rPr>
          <w:lang w:val="en-US"/>
        </w:rPr>
        <w:t xml:space="preserve"> found in groundwater in the study area (Cinnirella et al., 2005)</w:t>
      </w:r>
      <w:r>
        <w:rPr>
          <w:lang w:val="en-US"/>
        </w:rPr>
        <w:t>,</w:t>
      </w:r>
      <w:r w:rsidRPr="00F2670D">
        <w:rPr>
          <w:lang w:val="en-US"/>
        </w:rPr>
        <w:t xml:space="preserve"> </w:t>
      </w:r>
      <w:r>
        <w:rPr>
          <w:lang w:val="en-US"/>
        </w:rPr>
        <w:t xml:space="preserve">and </w:t>
      </w:r>
      <w:r w:rsidRPr="00F2670D">
        <w:rPr>
          <w:lang w:val="en-US"/>
        </w:rPr>
        <w:t xml:space="preserve">its presence </w:t>
      </w:r>
      <w:r>
        <w:rPr>
          <w:lang w:val="en-US"/>
        </w:rPr>
        <w:t>has been</w:t>
      </w:r>
      <w:r w:rsidRPr="00F2670D">
        <w:rPr>
          <w:lang w:val="en-US"/>
        </w:rPr>
        <w:t xml:space="preserve"> monitored </w:t>
      </w:r>
      <w:r>
        <w:rPr>
          <w:lang w:val="en-US"/>
        </w:rPr>
        <w:t>via</w:t>
      </w:r>
      <w:r w:rsidRPr="00F2670D">
        <w:rPr>
          <w:lang w:val="en-US"/>
        </w:rPr>
        <w:t xml:space="preserve"> a network of about 500 wells since 2001. Data were collected every 6 months from 2001 to 2012 (Regional Environmental Agency – ARPA, unpublished data, 2013). From the network, only the wells monitoring the shallow aquifer and having a minimum of eight measurements are selected (Grath et al., 2001, Fig. 1c).</w:t>
      </w:r>
    </w:p>
    <w:p w14:paraId="00FDC2D3" w14:textId="77777777" w:rsidR="0061220F" w:rsidRDefault="0061220F" w:rsidP="0061220F">
      <w:pPr>
        <w:rPr>
          <w:lang w:val="en-US"/>
        </w:rPr>
      </w:pPr>
      <w:r w:rsidRPr="00F2670D">
        <w:rPr>
          <w:lang w:val="en-US"/>
        </w:rPr>
        <w:t>In the conceptual hydrogeological model, six explanatory variables are considered as factors influencing groundwater vulnerability to nitrate contamination in the study area. These explanatory variables, representing both natural and anthropogenic factors (Tab. 1) were derived from multiple sources of information. These variables were selected to capture the path</w:t>
      </w:r>
      <w:r>
        <w:rPr>
          <w:lang w:val="en-US"/>
        </w:rPr>
        <w:t>way</w:t>
      </w:r>
      <w:r w:rsidRPr="00F2670D">
        <w:rPr>
          <w:lang w:val="en-US"/>
        </w:rPr>
        <w:t xml:space="preserve"> and the main </w:t>
      </w:r>
      <w:r>
        <w:rPr>
          <w:lang w:val="en-US"/>
        </w:rPr>
        <w:t>regional-</w:t>
      </w:r>
      <w:r w:rsidRPr="00F2670D">
        <w:rPr>
          <w:lang w:val="en-US"/>
        </w:rPr>
        <w:t xml:space="preserve">scale processes </w:t>
      </w:r>
      <w:r>
        <w:rPr>
          <w:lang w:val="en-US"/>
        </w:rPr>
        <w:t>that</w:t>
      </w:r>
      <w:r w:rsidRPr="00F2670D">
        <w:rPr>
          <w:lang w:val="en-US"/>
        </w:rPr>
        <w:t xml:space="preserve"> characterize the nitrate contamination pattern. This includes: potential release </w:t>
      </w:r>
      <w:r>
        <w:rPr>
          <w:lang w:val="en-US"/>
        </w:rPr>
        <w:t>from</w:t>
      </w:r>
      <w:r w:rsidRPr="00F2670D">
        <w:rPr>
          <w:lang w:val="en-US"/>
        </w:rPr>
        <w:t xml:space="preserve"> the surface (sources) and eventual degradation through superficial soils (soil protective capacity), vertical spreading (hydraulic conductivity of the vadose zone) to the saturated zone (groundwater depth),</w:t>
      </w:r>
      <w:r>
        <w:rPr>
          <w:lang w:val="en-US"/>
        </w:rPr>
        <w:t xml:space="preserve"> and</w:t>
      </w:r>
      <w:r w:rsidRPr="00F2670D">
        <w:rPr>
          <w:lang w:val="en-US"/>
        </w:rPr>
        <w:t xml:space="preserve"> transport and dilution in the aquifer (groundwater velocity). The importance of each variable in influencing groundwater vulnerability can differ according to its local spatial relation with the other variables.</w:t>
      </w:r>
    </w:p>
    <w:p w14:paraId="68BA0288" w14:textId="77777777" w:rsidR="00785142" w:rsidRDefault="00785142">
      <w:pPr>
        <w:spacing w:line="240" w:lineRule="auto"/>
        <w:jc w:val="left"/>
        <w:rPr>
          <w:i/>
          <w:lang w:val="en-US"/>
        </w:rPr>
      </w:pPr>
      <w:r>
        <w:rPr>
          <w:i/>
          <w:lang w:val="en-US"/>
        </w:rPr>
        <w:br w:type="page"/>
      </w:r>
    </w:p>
    <w:p w14:paraId="6AA9ACDA" w14:textId="1684338A" w:rsidR="0061220F" w:rsidRPr="00F2670D" w:rsidRDefault="0061220F" w:rsidP="0061220F">
      <w:pPr>
        <w:rPr>
          <w:i/>
          <w:lang w:val="en-US"/>
        </w:rPr>
      </w:pPr>
      <w:r w:rsidRPr="00F2670D">
        <w:rPr>
          <w:i/>
          <w:lang w:val="en-US"/>
        </w:rPr>
        <w:lastRenderedPageBreak/>
        <w:t>Table 1 – Explanatory variables used as evidential themes.</w:t>
      </w:r>
    </w:p>
    <w:tbl>
      <w:tblPr>
        <w:tblW w:w="9560" w:type="dxa"/>
        <w:tblCellMar>
          <w:left w:w="70" w:type="dxa"/>
          <w:right w:w="70" w:type="dxa"/>
        </w:tblCellMar>
        <w:tblLook w:val="04A0" w:firstRow="1" w:lastRow="0" w:firstColumn="1" w:lastColumn="0" w:noHBand="0" w:noVBand="1"/>
      </w:tblPr>
      <w:tblGrid>
        <w:gridCol w:w="4920"/>
        <w:gridCol w:w="2140"/>
        <w:gridCol w:w="2500"/>
      </w:tblGrid>
      <w:tr w:rsidR="004A7112" w:rsidRPr="004A7112" w14:paraId="3EC37901" w14:textId="77777777" w:rsidTr="004A5D49">
        <w:trPr>
          <w:trHeight w:val="397"/>
        </w:trPr>
        <w:tc>
          <w:tcPr>
            <w:tcW w:w="4920" w:type="dxa"/>
            <w:tcBorders>
              <w:top w:val="single" w:sz="4" w:space="0" w:color="auto"/>
              <w:left w:val="single" w:sz="4" w:space="0" w:color="auto"/>
              <w:bottom w:val="nil"/>
              <w:right w:val="nil"/>
            </w:tcBorders>
            <w:shd w:val="clear" w:color="auto" w:fill="auto"/>
            <w:noWrap/>
            <w:vAlign w:val="center"/>
            <w:hideMark/>
          </w:tcPr>
          <w:p w14:paraId="20AAD50E" w14:textId="77777777" w:rsidR="004A7112" w:rsidRPr="004A7112" w:rsidRDefault="004A7112" w:rsidP="004A5D49">
            <w:pPr>
              <w:spacing w:line="240" w:lineRule="auto"/>
              <w:jc w:val="center"/>
              <w:rPr>
                <w:rFonts w:ascii="Calibri" w:eastAsia="Times New Roman" w:hAnsi="Calibri" w:cs="Times New Roman"/>
                <w:b/>
                <w:bCs/>
                <w:color w:val="000000"/>
                <w:lang w:val="en-US" w:eastAsia="it-IT"/>
              </w:rPr>
            </w:pPr>
            <w:r w:rsidRPr="004A7112">
              <w:rPr>
                <w:rFonts w:ascii="Calibri" w:eastAsia="Times New Roman" w:hAnsi="Calibri" w:cs="Times New Roman"/>
                <w:b/>
                <w:bCs/>
                <w:color w:val="000000"/>
                <w:lang w:val="en-US" w:eastAsia="it-IT"/>
              </w:rPr>
              <w:t>Explanatory variable</w:t>
            </w:r>
          </w:p>
        </w:tc>
        <w:tc>
          <w:tcPr>
            <w:tcW w:w="2140" w:type="dxa"/>
            <w:tcBorders>
              <w:top w:val="single" w:sz="4" w:space="0" w:color="auto"/>
              <w:left w:val="nil"/>
              <w:bottom w:val="nil"/>
              <w:right w:val="nil"/>
            </w:tcBorders>
            <w:shd w:val="clear" w:color="auto" w:fill="auto"/>
            <w:noWrap/>
            <w:vAlign w:val="center"/>
            <w:hideMark/>
          </w:tcPr>
          <w:p w14:paraId="54BC39D9" w14:textId="77777777" w:rsidR="004A7112" w:rsidRPr="004A7112" w:rsidRDefault="004A7112" w:rsidP="004A5D49">
            <w:pPr>
              <w:spacing w:line="240" w:lineRule="auto"/>
              <w:jc w:val="center"/>
              <w:rPr>
                <w:rFonts w:ascii="Calibri" w:eastAsia="Times New Roman" w:hAnsi="Calibri" w:cs="Times New Roman"/>
                <w:b/>
                <w:bCs/>
                <w:color w:val="000000"/>
                <w:lang w:val="en-US" w:eastAsia="it-IT"/>
              </w:rPr>
            </w:pPr>
            <w:r w:rsidRPr="004A7112">
              <w:rPr>
                <w:rFonts w:ascii="Calibri" w:eastAsia="Times New Roman" w:hAnsi="Calibri" w:cs="Times New Roman"/>
                <w:b/>
                <w:bCs/>
                <w:color w:val="000000"/>
                <w:lang w:val="en-US" w:eastAsia="it-IT"/>
              </w:rPr>
              <w:t>Type</w:t>
            </w:r>
          </w:p>
        </w:tc>
        <w:tc>
          <w:tcPr>
            <w:tcW w:w="2500" w:type="dxa"/>
            <w:tcBorders>
              <w:top w:val="single" w:sz="4" w:space="0" w:color="auto"/>
              <w:left w:val="nil"/>
              <w:bottom w:val="nil"/>
              <w:right w:val="single" w:sz="4" w:space="0" w:color="auto"/>
            </w:tcBorders>
            <w:shd w:val="clear" w:color="auto" w:fill="auto"/>
            <w:noWrap/>
            <w:vAlign w:val="center"/>
            <w:hideMark/>
          </w:tcPr>
          <w:p w14:paraId="540429C6" w14:textId="77777777" w:rsidR="004A7112" w:rsidRPr="004A7112" w:rsidRDefault="004A7112" w:rsidP="004A5D49">
            <w:pPr>
              <w:spacing w:line="240" w:lineRule="auto"/>
              <w:jc w:val="center"/>
              <w:rPr>
                <w:rFonts w:ascii="Calibri" w:eastAsia="Times New Roman" w:hAnsi="Calibri" w:cs="Times New Roman"/>
                <w:b/>
                <w:bCs/>
                <w:color w:val="000000"/>
                <w:lang w:val="en-US" w:eastAsia="it-IT"/>
              </w:rPr>
            </w:pPr>
            <w:r w:rsidRPr="004A7112">
              <w:rPr>
                <w:rFonts w:ascii="Calibri" w:eastAsia="Times New Roman" w:hAnsi="Calibri" w:cs="Times New Roman"/>
                <w:b/>
                <w:bCs/>
                <w:color w:val="000000"/>
                <w:lang w:val="en-US" w:eastAsia="it-IT"/>
              </w:rPr>
              <w:t>Range</w:t>
            </w:r>
          </w:p>
        </w:tc>
      </w:tr>
      <w:tr w:rsidR="004A7112" w:rsidRPr="004A7112" w14:paraId="1C567483" w14:textId="77777777" w:rsidTr="004A5D49">
        <w:trPr>
          <w:trHeight w:val="397"/>
        </w:trPr>
        <w:tc>
          <w:tcPr>
            <w:tcW w:w="4920" w:type="dxa"/>
            <w:tcBorders>
              <w:top w:val="single" w:sz="4" w:space="0" w:color="auto"/>
              <w:left w:val="single" w:sz="4" w:space="0" w:color="auto"/>
              <w:bottom w:val="nil"/>
              <w:right w:val="nil"/>
            </w:tcBorders>
            <w:shd w:val="clear" w:color="auto" w:fill="auto"/>
            <w:noWrap/>
            <w:vAlign w:val="center"/>
            <w:hideMark/>
          </w:tcPr>
          <w:p w14:paraId="6C0600AA" w14:textId="77777777" w:rsidR="004A7112" w:rsidRPr="004A7112" w:rsidRDefault="004A7112" w:rsidP="004A5D49">
            <w:pPr>
              <w:spacing w:line="240" w:lineRule="auto"/>
              <w:jc w:val="left"/>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QuikSCAT-DSM [2000, 2001, …, 2009] (dB)</w:t>
            </w:r>
          </w:p>
        </w:tc>
        <w:tc>
          <w:tcPr>
            <w:tcW w:w="2140" w:type="dxa"/>
            <w:tcBorders>
              <w:top w:val="single" w:sz="4" w:space="0" w:color="auto"/>
              <w:left w:val="nil"/>
              <w:bottom w:val="nil"/>
              <w:right w:val="nil"/>
            </w:tcBorders>
            <w:shd w:val="clear" w:color="auto" w:fill="auto"/>
            <w:noWrap/>
            <w:vAlign w:val="center"/>
            <w:hideMark/>
          </w:tcPr>
          <w:p w14:paraId="3D5469C7"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Continuous</w:t>
            </w:r>
          </w:p>
        </w:tc>
        <w:tc>
          <w:tcPr>
            <w:tcW w:w="2500" w:type="dxa"/>
            <w:tcBorders>
              <w:top w:val="single" w:sz="4" w:space="0" w:color="auto"/>
              <w:left w:val="nil"/>
              <w:bottom w:val="nil"/>
              <w:right w:val="single" w:sz="4" w:space="0" w:color="auto"/>
            </w:tcBorders>
            <w:shd w:val="clear" w:color="auto" w:fill="auto"/>
            <w:noWrap/>
            <w:vAlign w:val="center"/>
            <w:hideMark/>
          </w:tcPr>
          <w:p w14:paraId="6A6AC00C"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–11.91 ÷ –2.53</w:t>
            </w:r>
          </w:p>
        </w:tc>
      </w:tr>
      <w:tr w:rsidR="004A7112" w:rsidRPr="004A7112" w14:paraId="1FDCF2D1" w14:textId="77777777" w:rsidTr="004A5D49">
        <w:trPr>
          <w:trHeight w:val="397"/>
        </w:trPr>
        <w:tc>
          <w:tcPr>
            <w:tcW w:w="4920" w:type="dxa"/>
            <w:tcBorders>
              <w:top w:val="nil"/>
              <w:left w:val="single" w:sz="4" w:space="0" w:color="auto"/>
              <w:bottom w:val="nil"/>
              <w:right w:val="nil"/>
            </w:tcBorders>
            <w:shd w:val="clear" w:color="auto" w:fill="auto"/>
            <w:noWrap/>
            <w:vAlign w:val="center"/>
            <w:hideMark/>
          </w:tcPr>
          <w:p w14:paraId="3BC08B80" w14:textId="77777777" w:rsidR="004A7112" w:rsidRPr="004A7112" w:rsidRDefault="004A7112" w:rsidP="004A5D49">
            <w:pPr>
              <w:spacing w:line="240" w:lineRule="auto"/>
              <w:jc w:val="left"/>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Slope QuikSCAT-DSM [2000 ÷ 2009] (dB/year)</w:t>
            </w:r>
          </w:p>
        </w:tc>
        <w:tc>
          <w:tcPr>
            <w:tcW w:w="2140" w:type="dxa"/>
            <w:tcBorders>
              <w:top w:val="nil"/>
              <w:left w:val="nil"/>
              <w:bottom w:val="nil"/>
              <w:right w:val="nil"/>
            </w:tcBorders>
            <w:shd w:val="clear" w:color="auto" w:fill="auto"/>
            <w:noWrap/>
            <w:vAlign w:val="center"/>
            <w:hideMark/>
          </w:tcPr>
          <w:p w14:paraId="64B47308"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Continuous</w:t>
            </w:r>
          </w:p>
        </w:tc>
        <w:tc>
          <w:tcPr>
            <w:tcW w:w="2500" w:type="dxa"/>
            <w:tcBorders>
              <w:top w:val="nil"/>
              <w:left w:val="nil"/>
              <w:bottom w:val="nil"/>
              <w:right w:val="single" w:sz="4" w:space="0" w:color="auto"/>
            </w:tcBorders>
            <w:shd w:val="clear" w:color="auto" w:fill="auto"/>
            <w:noWrap/>
            <w:vAlign w:val="center"/>
            <w:hideMark/>
          </w:tcPr>
          <w:p w14:paraId="79ADE952"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–0.0699 ÷ 0.1268</w:t>
            </w:r>
          </w:p>
        </w:tc>
      </w:tr>
      <w:tr w:rsidR="004A7112" w:rsidRPr="004A7112" w14:paraId="0F44E609" w14:textId="77777777" w:rsidTr="004A5D49">
        <w:trPr>
          <w:trHeight w:val="397"/>
        </w:trPr>
        <w:tc>
          <w:tcPr>
            <w:tcW w:w="4920" w:type="dxa"/>
            <w:tcBorders>
              <w:top w:val="nil"/>
              <w:left w:val="single" w:sz="4" w:space="0" w:color="auto"/>
              <w:bottom w:val="nil"/>
              <w:right w:val="nil"/>
            </w:tcBorders>
            <w:shd w:val="clear" w:color="auto" w:fill="auto"/>
            <w:noWrap/>
            <w:vAlign w:val="center"/>
            <w:hideMark/>
          </w:tcPr>
          <w:p w14:paraId="7A5BF17F" w14:textId="77777777" w:rsidR="004A7112" w:rsidRPr="004A7112" w:rsidRDefault="004A7112" w:rsidP="004A5D49">
            <w:pPr>
              <w:spacing w:line="240" w:lineRule="auto"/>
              <w:jc w:val="left"/>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Nitrogen fertilizer load [2002] (kg/ha/year)</w:t>
            </w:r>
          </w:p>
        </w:tc>
        <w:tc>
          <w:tcPr>
            <w:tcW w:w="2140" w:type="dxa"/>
            <w:tcBorders>
              <w:top w:val="nil"/>
              <w:left w:val="nil"/>
              <w:bottom w:val="nil"/>
              <w:right w:val="nil"/>
            </w:tcBorders>
            <w:shd w:val="clear" w:color="auto" w:fill="auto"/>
            <w:noWrap/>
            <w:vAlign w:val="center"/>
            <w:hideMark/>
          </w:tcPr>
          <w:p w14:paraId="344C9078"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Continuous</w:t>
            </w:r>
          </w:p>
        </w:tc>
        <w:tc>
          <w:tcPr>
            <w:tcW w:w="2500" w:type="dxa"/>
            <w:tcBorders>
              <w:top w:val="nil"/>
              <w:left w:val="nil"/>
              <w:bottom w:val="nil"/>
              <w:right w:val="single" w:sz="4" w:space="0" w:color="auto"/>
            </w:tcBorders>
            <w:shd w:val="clear" w:color="auto" w:fill="auto"/>
            <w:noWrap/>
            <w:vAlign w:val="center"/>
            <w:hideMark/>
          </w:tcPr>
          <w:p w14:paraId="784F24D5"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 ÷ 767</w:t>
            </w:r>
          </w:p>
        </w:tc>
      </w:tr>
      <w:tr w:rsidR="004A7112" w:rsidRPr="004A7112" w14:paraId="41F7A9FF" w14:textId="77777777" w:rsidTr="004A5D49">
        <w:trPr>
          <w:trHeight w:val="397"/>
        </w:trPr>
        <w:tc>
          <w:tcPr>
            <w:tcW w:w="4920" w:type="dxa"/>
            <w:tcBorders>
              <w:top w:val="nil"/>
              <w:left w:val="single" w:sz="4" w:space="0" w:color="auto"/>
              <w:bottom w:val="nil"/>
              <w:right w:val="nil"/>
            </w:tcBorders>
            <w:shd w:val="clear" w:color="auto" w:fill="auto"/>
            <w:noWrap/>
            <w:vAlign w:val="center"/>
            <w:hideMark/>
          </w:tcPr>
          <w:p w14:paraId="6139950D" w14:textId="77777777" w:rsidR="004A7112" w:rsidRPr="004A7112" w:rsidRDefault="004A7112" w:rsidP="004A5D49">
            <w:pPr>
              <w:spacing w:line="240" w:lineRule="auto"/>
              <w:jc w:val="left"/>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Nitrogen fertilizer load [2010] (kg/ha/year)</w:t>
            </w:r>
          </w:p>
        </w:tc>
        <w:tc>
          <w:tcPr>
            <w:tcW w:w="2140" w:type="dxa"/>
            <w:tcBorders>
              <w:top w:val="nil"/>
              <w:left w:val="nil"/>
              <w:bottom w:val="nil"/>
              <w:right w:val="nil"/>
            </w:tcBorders>
            <w:shd w:val="clear" w:color="auto" w:fill="auto"/>
            <w:noWrap/>
            <w:vAlign w:val="center"/>
            <w:hideMark/>
          </w:tcPr>
          <w:p w14:paraId="7917ECE2"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Continuous</w:t>
            </w:r>
          </w:p>
        </w:tc>
        <w:tc>
          <w:tcPr>
            <w:tcW w:w="2500" w:type="dxa"/>
            <w:tcBorders>
              <w:top w:val="nil"/>
              <w:left w:val="nil"/>
              <w:bottom w:val="nil"/>
              <w:right w:val="single" w:sz="4" w:space="0" w:color="auto"/>
            </w:tcBorders>
            <w:shd w:val="clear" w:color="auto" w:fill="auto"/>
            <w:noWrap/>
            <w:vAlign w:val="center"/>
            <w:hideMark/>
          </w:tcPr>
          <w:p w14:paraId="25E7A026"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 ÷ 664</w:t>
            </w:r>
          </w:p>
        </w:tc>
      </w:tr>
      <w:tr w:rsidR="004A7112" w:rsidRPr="004A7112" w14:paraId="4EE45149" w14:textId="77777777" w:rsidTr="004A5D49">
        <w:trPr>
          <w:trHeight w:val="397"/>
        </w:trPr>
        <w:tc>
          <w:tcPr>
            <w:tcW w:w="4920" w:type="dxa"/>
            <w:tcBorders>
              <w:top w:val="nil"/>
              <w:left w:val="single" w:sz="4" w:space="0" w:color="auto"/>
              <w:bottom w:val="nil"/>
              <w:right w:val="nil"/>
            </w:tcBorders>
            <w:shd w:val="clear" w:color="auto" w:fill="auto"/>
            <w:noWrap/>
            <w:vAlign w:val="center"/>
            <w:hideMark/>
          </w:tcPr>
          <w:p w14:paraId="55416D75" w14:textId="77777777" w:rsidR="004A7112" w:rsidRPr="004A7112" w:rsidRDefault="004A7112" w:rsidP="004A5D49">
            <w:pPr>
              <w:spacing w:line="240" w:lineRule="auto"/>
              <w:jc w:val="left"/>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Soil protective capacity</w:t>
            </w:r>
          </w:p>
        </w:tc>
        <w:tc>
          <w:tcPr>
            <w:tcW w:w="2140" w:type="dxa"/>
            <w:tcBorders>
              <w:top w:val="nil"/>
              <w:left w:val="nil"/>
              <w:bottom w:val="nil"/>
              <w:right w:val="nil"/>
            </w:tcBorders>
            <w:shd w:val="clear" w:color="auto" w:fill="auto"/>
            <w:noWrap/>
            <w:vAlign w:val="center"/>
            <w:hideMark/>
          </w:tcPr>
          <w:p w14:paraId="4A1108D4"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Categorical</w:t>
            </w:r>
          </w:p>
        </w:tc>
        <w:tc>
          <w:tcPr>
            <w:tcW w:w="2500" w:type="dxa"/>
            <w:tcBorders>
              <w:top w:val="nil"/>
              <w:left w:val="nil"/>
              <w:bottom w:val="nil"/>
              <w:right w:val="single" w:sz="4" w:space="0" w:color="auto"/>
            </w:tcBorders>
            <w:shd w:val="clear" w:color="auto" w:fill="auto"/>
            <w:noWrap/>
            <w:vAlign w:val="center"/>
            <w:hideMark/>
          </w:tcPr>
          <w:p w14:paraId="0A8C995E"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Low, Moderate, High</w:t>
            </w:r>
          </w:p>
        </w:tc>
      </w:tr>
      <w:tr w:rsidR="004A7112" w:rsidRPr="004A7112" w14:paraId="73022FCA" w14:textId="77777777" w:rsidTr="004A5D49">
        <w:trPr>
          <w:trHeight w:val="397"/>
        </w:trPr>
        <w:tc>
          <w:tcPr>
            <w:tcW w:w="4920" w:type="dxa"/>
            <w:tcBorders>
              <w:top w:val="nil"/>
              <w:left w:val="single" w:sz="4" w:space="0" w:color="auto"/>
              <w:bottom w:val="nil"/>
              <w:right w:val="nil"/>
            </w:tcBorders>
            <w:shd w:val="clear" w:color="auto" w:fill="auto"/>
            <w:noWrap/>
            <w:vAlign w:val="center"/>
            <w:hideMark/>
          </w:tcPr>
          <w:p w14:paraId="280F48D2" w14:textId="77777777" w:rsidR="004A7112" w:rsidRPr="004A7112" w:rsidRDefault="004A7112" w:rsidP="004A5D49">
            <w:pPr>
              <w:spacing w:line="240" w:lineRule="auto"/>
              <w:jc w:val="left"/>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 xml:space="preserve">Groundwater depth [2003] (m) </w:t>
            </w:r>
          </w:p>
        </w:tc>
        <w:tc>
          <w:tcPr>
            <w:tcW w:w="2140" w:type="dxa"/>
            <w:tcBorders>
              <w:top w:val="nil"/>
              <w:left w:val="nil"/>
              <w:bottom w:val="nil"/>
              <w:right w:val="nil"/>
            </w:tcBorders>
            <w:shd w:val="clear" w:color="auto" w:fill="auto"/>
            <w:noWrap/>
            <w:vAlign w:val="center"/>
            <w:hideMark/>
          </w:tcPr>
          <w:p w14:paraId="6D6957F5"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Continuous</w:t>
            </w:r>
          </w:p>
        </w:tc>
        <w:tc>
          <w:tcPr>
            <w:tcW w:w="2500" w:type="dxa"/>
            <w:tcBorders>
              <w:top w:val="nil"/>
              <w:left w:val="nil"/>
              <w:bottom w:val="nil"/>
              <w:right w:val="single" w:sz="4" w:space="0" w:color="auto"/>
            </w:tcBorders>
            <w:shd w:val="clear" w:color="auto" w:fill="auto"/>
            <w:noWrap/>
            <w:vAlign w:val="center"/>
            <w:hideMark/>
          </w:tcPr>
          <w:p w14:paraId="7D6050A1"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 ÷ 70</w:t>
            </w:r>
          </w:p>
        </w:tc>
      </w:tr>
      <w:tr w:rsidR="004A7112" w:rsidRPr="004A7112" w14:paraId="0F5DE7DF" w14:textId="77777777" w:rsidTr="004A5D49">
        <w:trPr>
          <w:trHeight w:val="397"/>
        </w:trPr>
        <w:tc>
          <w:tcPr>
            <w:tcW w:w="4920" w:type="dxa"/>
            <w:tcBorders>
              <w:top w:val="nil"/>
              <w:left w:val="single" w:sz="4" w:space="0" w:color="auto"/>
              <w:bottom w:val="nil"/>
              <w:right w:val="nil"/>
            </w:tcBorders>
            <w:shd w:val="clear" w:color="auto" w:fill="auto"/>
            <w:noWrap/>
            <w:vAlign w:val="center"/>
          </w:tcPr>
          <w:p w14:paraId="35F0499A" w14:textId="77777777" w:rsidR="004A7112" w:rsidRPr="004A7112" w:rsidRDefault="004A7112" w:rsidP="004A5D49">
            <w:pPr>
              <w:spacing w:line="240" w:lineRule="auto"/>
              <w:jc w:val="left"/>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 xml:space="preserve">Groundwater depth [2014] (m) </w:t>
            </w:r>
          </w:p>
        </w:tc>
        <w:tc>
          <w:tcPr>
            <w:tcW w:w="2140" w:type="dxa"/>
            <w:tcBorders>
              <w:top w:val="nil"/>
              <w:left w:val="nil"/>
              <w:bottom w:val="nil"/>
              <w:right w:val="nil"/>
            </w:tcBorders>
            <w:shd w:val="clear" w:color="auto" w:fill="auto"/>
            <w:noWrap/>
            <w:vAlign w:val="center"/>
          </w:tcPr>
          <w:p w14:paraId="5E445E1A"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Continuous</w:t>
            </w:r>
          </w:p>
        </w:tc>
        <w:tc>
          <w:tcPr>
            <w:tcW w:w="2500" w:type="dxa"/>
            <w:tcBorders>
              <w:top w:val="nil"/>
              <w:left w:val="nil"/>
              <w:bottom w:val="nil"/>
              <w:right w:val="single" w:sz="4" w:space="0" w:color="auto"/>
            </w:tcBorders>
            <w:shd w:val="clear" w:color="auto" w:fill="auto"/>
            <w:noWrap/>
            <w:vAlign w:val="center"/>
          </w:tcPr>
          <w:p w14:paraId="7FDAFE62"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 ÷ 75</w:t>
            </w:r>
          </w:p>
        </w:tc>
      </w:tr>
      <w:tr w:rsidR="004A7112" w:rsidRPr="004A7112" w14:paraId="1D1FB373" w14:textId="77777777" w:rsidTr="004A5D49">
        <w:trPr>
          <w:trHeight w:val="397"/>
        </w:trPr>
        <w:tc>
          <w:tcPr>
            <w:tcW w:w="4920" w:type="dxa"/>
            <w:tcBorders>
              <w:top w:val="nil"/>
              <w:left w:val="single" w:sz="4" w:space="0" w:color="auto"/>
              <w:bottom w:val="nil"/>
              <w:right w:val="nil"/>
            </w:tcBorders>
            <w:shd w:val="clear" w:color="auto" w:fill="auto"/>
            <w:noWrap/>
            <w:vAlign w:val="center"/>
            <w:hideMark/>
          </w:tcPr>
          <w:p w14:paraId="209509A4" w14:textId="77777777" w:rsidR="004A7112" w:rsidRPr="004A7112" w:rsidRDefault="004A7112" w:rsidP="004A5D49">
            <w:pPr>
              <w:spacing w:line="240" w:lineRule="auto"/>
              <w:jc w:val="left"/>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Groundwater velocity (m/s)</w:t>
            </w:r>
          </w:p>
        </w:tc>
        <w:tc>
          <w:tcPr>
            <w:tcW w:w="2140" w:type="dxa"/>
            <w:tcBorders>
              <w:top w:val="nil"/>
              <w:left w:val="nil"/>
              <w:bottom w:val="nil"/>
              <w:right w:val="nil"/>
            </w:tcBorders>
            <w:shd w:val="clear" w:color="auto" w:fill="auto"/>
            <w:noWrap/>
            <w:vAlign w:val="center"/>
            <w:hideMark/>
          </w:tcPr>
          <w:p w14:paraId="109F91D4"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Continuous</w:t>
            </w:r>
          </w:p>
        </w:tc>
        <w:tc>
          <w:tcPr>
            <w:tcW w:w="2500" w:type="dxa"/>
            <w:tcBorders>
              <w:top w:val="nil"/>
              <w:left w:val="nil"/>
              <w:bottom w:val="nil"/>
              <w:right w:val="single" w:sz="4" w:space="0" w:color="auto"/>
            </w:tcBorders>
            <w:shd w:val="clear" w:color="auto" w:fill="auto"/>
            <w:noWrap/>
            <w:vAlign w:val="center"/>
            <w:hideMark/>
          </w:tcPr>
          <w:p w14:paraId="54AA1CCC"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4.7 × 10</w:t>
            </w:r>
            <w:r w:rsidRPr="004A7112">
              <w:rPr>
                <w:rFonts w:ascii="Calibri" w:eastAsia="Times New Roman" w:hAnsi="Calibri" w:cs="Times New Roman"/>
                <w:color w:val="000000"/>
                <w:vertAlign w:val="superscript"/>
                <w:lang w:val="en-US" w:eastAsia="it-IT"/>
              </w:rPr>
              <w:t>–8</w:t>
            </w:r>
            <w:r w:rsidRPr="004A7112">
              <w:rPr>
                <w:rFonts w:ascii="Calibri" w:eastAsia="Times New Roman" w:hAnsi="Calibri" w:cs="Times New Roman"/>
                <w:color w:val="000000"/>
                <w:lang w:val="en-US" w:eastAsia="it-IT"/>
              </w:rPr>
              <w:t xml:space="preserve"> ÷ 7.3 × 10</w:t>
            </w:r>
            <w:r w:rsidRPr="004A7112">
              <w:rPr>
                <w:rFonts w:ascii="Calibri" w:eastAsia="Times New Roman" w:hAnsi="Calibri" w:cs="Times New Roman"/>
                <w:color w:val="000000"/>
                <w:vertAlign w:val="superscript"/>
                <w:lang w:val="en-US" w:eastAsia="it-IT"/>
              </w:rPr>
              <w:t>–5</w:t>
            </w:r>
          </w:p>
        </w:tc>
      </w:tr>
      <w:tr w:rsidR="004A7112" w:rsidRPr="004A7112" w14:paraId="5DB6E181" w14:textId="77777777" w:rsidTr="004A5D49">
        <w:trPr>
          <w:trHeight w:val="397"/>
        </w:trPr>
        <w:tc>
          <w:tcPr>
            <w:tcW w:w="4920" w:type="dxa"/>
            <w:tcBorders>
              <w:top w:val="nil"/>
              <w:left w:val="single" w:sz="4" w:space="0" w:color="auto"/>
              <w:bottom w:val="single" w:sz="4" w:space="0" w:color="auto"/>
              <w:right w:val="nil"/>
            </w:tcBorders>
            <w:shd w:val="clear" w:color="auto" w:fill="auto"/>
            <w:noWrap/>
            <w:vAlign w:val="center"/>
            <w:hideMark/>
          </w:tcPr>
          <w:p w14:paraId="6434077C" w14:textId="77777777" w:rsidR="004A7112" w:rsidRPr="004A7112" w:rsidRDefault="004A7112" w:rsidP="004A5D49">
            <w:pPr>
              <w:spacing w:line="240" w:lineRule="auto"/>
              <w:jc w:val="left"/>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Hydraulic conductivity of the vadose zone (m/s)</w:t>
            </w:r>
          </w:p>
        </w:tc>
        <w:tc>
          <w:tcPr>
            <w:tcW w:w="2140" w:type="dxa"/>
            <w:tcBorders>
              <w:top w:val="nil"/>
              <w:left w:val="nil"/>
              <w:bottom w:val="single" w:sz="4" w:space="0" w:color="auto"/>
              <w:right w:val="nil"/>
            </w:tcBorders>
            <w:shd w:val="clear" w:color="auto" w:fill="auto"/>
            <w:noWrap/>
            <w:vAlign w:val="center"/>
            <w:hideMark/>
          </w:tcPr>
          <w:p w14:paraId="3B100F8A"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Continuous</w:t>
            </w:r>
          </w:p>
        </w:tc>
        <w:tc>
          <w:tcPr>
            <w:tcW w:w="2500" w:type="dxa"/>
            <w:tcBorders>
              <w:top w:val="nil"/>
              <w:left w:val="nil"/>
              <w:bottom w:val="single" w:sz="4" w:space="0" w:color="auto"/>
              <w:right w:val="single" w:sz="4" w:space="0" w:color="auto"/>
            </w:tcBorders>
            <w:shd w:val="clear" w:color="auto" w:fill="auto"/>
            <w:noWrap/>
            <w:vAlign w:val="center"/>
            <w:hideMark/>
          </w:tcPr>
          <w:p w14:paraId="723105C2"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4.1 × 10</w:t>
            </w:r>
            <w:r w:rsidRPr="004A7112">
              <w:rPr>
                <w:rFonts w:ascii="Calibri" w:eastAsia="Times New Roman" w:hAnsi="Calibri" w:cs="Times New Roman"/>
                <w:color w:val="000000"/>
                <w:vertAlign w:val="superscript"/>
                <w:lang w:val="en-US" w:eastAsia="it-IT"/>
              </w:rPr>
              <w:t>–8</w:t>
            </w:r>
            <w:r w:rsidRPr="004A7112">
              <w:rPr>
                <w:rFonts w:ascii="Calibri" w:eastAsia="Times New Roman" w:hAnsi="Calibri" w:cs="Times New Roman"/>
                <w:color w:val="000000"/>
                <w:lang w:val="en-US" w:eastAsia="it-IT"/>
              </w:rPr>
              <w:t xml:space="preserve"> ÷ 4.0 × 10</w:t>
            </w:r>
            <w:r w:rsidRPr="004A7112">
              <w:rPr>
                <w:rFonts w:ascii="Calibri" w:eastAsia="Times New Roman" w:hAnsi="Calibri" w:cs="Times New Roman"/>
                <w:color w:val="000000"/>
                <w:vertAlign w:val="superscript"/>
                <w:lang w:val="en-US" w:eastAsia="it-IT"/>
              </w:rPr>
              <w:t>–2</w:t>
            </w:r>
          </w:p>
        </w:tc>
      </w:tr>
    </w:tbl>
    <w:p w14:paraId="0A590A71" w14:textId="77777777" w:rsidR="0061220F" w:rsidRPr="00F2670D" w:rsidRDefault="0061220F" w:rsidP="0061220F">
      <w:pPr>
        <w:rPr>
          <w:lang w:val="en-US"/>
        </w:rPr>
      </w:pPr>
    </w:p>
    <w:p w14:paraId="14F247C0" w14:textId="77777777" w:rsidR="0061220F" w:rsidRPr="00F2670D" w:rsidRDefault="0061220F" w:rsidP="0061220F">
      <w:pPr>
        <w:rPr>
          <w:lang w:val="en-US"/>
        </w:rPr>
      </w:pPr>
      <w:r w:rsidRPr="00F2670D">
        <w:rPr>
          <w:lang w:val="en-US"/>
        </w:rPr>
        <w:t xml:space="preserve">Natural factors characterizing geological and hydrogeological conditions </w:t>
      </w:r>
      <w:r>
        <w:rPr>
          <w:lang w:val="en-US"/>
        </w:rPr>
        <w:t>in</w:t>
      </w:r>
      <w:r w:rsidRPr="00F2670D">
        <w:rPr>
          <w:lang w:val="en-US"/>
        </w:rPr>
        <w:t xml:space="preserve"> the study area, with the exception of groundwater depth, are considered to be time-independent in this study. The soil protective capacity map was prepared by the Agency of Services of Agriculture and Forest, at a 1:250,000 scale, and assigns soil to three protective capacity classes: high, moderate and low.</w:t>
      </w:r>
    </w:p>
    <w:p w14:paraId="2DB75B28" w14:textId="77777777" w:rsidR="0061220F" w:rsidRPr="00F2670D" w:rsidRDefault="0061220F" w:rsidP="0061220F">
      <w:pPr>
        <w:rPr>
          <w:lang w:val="en-US"/>
        </w:rPr>
      </w:pPr>
      <w:r w:rsidRPr="00F2670D">
        <w:rPr>
          <w:lang w:val="en-US"/>
        </w:rPr>
        <w:t>Groundwater depth was derived from the difference between the topographic level and groundwater piezometric levels from two regional surveys conducted in 2003 and 2014. In both surveys, groundwater depth decreases from north to south, ranging from values higher than 70</w:t>
      </w:r>
      <w:r>
        <w:rPr>
          <w:lang w:val="en-US"/>
        </w:rPr>
        <w:t xml:space="preserve"> </w:t>
      </w:r>
      <w:r w:rsidRPr="00F2670D">
        <w:rPr>
          <w:lang w:val="en-US"/>
        </w:rPr>
        <w:t>m to 0</w:t>
      </w:r>
      <w:r>
        <w:rPr>
          <w:lang w:val="en-US"/>
        </w:rPr>
        <w:t xml:space="preserve"> </w:t>
      </w:r>
      <w:r w:rsidRPr="00F2670D">
        <w:rPr>
          <w:lang w:val="en-US"/>
        </w:rPr>
        <w:t>m. Groundwater piezometric levels (Fig. 2a) from several wells in the network show that groundwater depth, albeit a seasonal variability, has not significantly changed over the Po Plain between 2000 and 2010. At the beginning of 2010</w:t>
      </w:r>
      <w:r>
        <w:rPr>
          <w:lang w:val="en-US"/>
        </w:rPr>
        <w:t>,</w:t>
      </w:r>
      <w:r w:rsidRPr="00F2670D">
        <w:rPr>
          <w:lang w:val="en-US"/>
        </w:rPr>
        <w:t xml:space="preserve"> in some sectors of the study area, an increase of the piezometric levels occurred (Fig. 2c, e), while in other sectors the piezometric levels remain stable (Fig. 2d, f). Thus, the piezometric levels map </w:t>
      </w:r>
      <w:r>
        <w:rPr>
          <w:lang w:val="en-US"/>
        </w:rPr>
        <w:t>from</w:t>
      </w:r>
      <w:r w:rsidRPr="00F2670D">
        <w:rPr>
          <w:lang w:val="en-US"/>
        </w:rPr>
        <w:t xml:space="preserve"> the 2003 survey is used for the analyses related to the period 2000</w:t>
      </w:r>
      <w:r>
        <w:rPr>
          <w:lang w:val="en-US"/>
        </w:rPr>
        <w:t xml:space="preserve"> to </w:t>
      </w:r>
      <w:r w:rsidRPr="00F2670D">
        <w:rPr>
          <w:lang w:val="en-US"/>
        </w:rPr>
        <w:t xml:space="preserve">2010 while the map </w:t>
      </w:r>
      <w:r>
        <w:rPr>
          <w:lang w:val="en-US"/>
        </w:rPr>
        <w:t>from</w:t>
      </w:r>
      <w:r w:rsidRPr="00F2670D">
        <w:rPr>
          <w:lang w:val="en-US"/>
        </w:rPr>
        <w:t xml:space="preserve"> the 2014 survey </w:t>
      </w:r>
      <w:r>
        <w:rPr>
          <w:lang w:val="en-US"/>
        </w:rPr>
        <w:t xml:space="preserve">is used </w:t>
      </w:r>
      <w:r w:rsidRPr="00F2670D">
        <w:rPr>
          <w:lang w:val="en-US"/>
        </w:rPr>
        <w:t>to evaluate the groundwater depth in the period 2011</w:t>
      </w:r>
      <w:r>
        <w:rPr>
          <w:lang w:val="en-US"/>
        </w:rPr>
        <w:t xml:space="preserve"> to</w:t>
      </w:r>
      <w:r w:rsidRPr="00F2670D">
        <w:rPr>
          <w:lang w:val="en-US"/>
        </w:rPr>
        <w:t>2020 as described in § 4.2.</w:t>
      </w:r>
    </w:p>
    <w:p w14:paraId="2FEAA6D6" w14:textId="77777777" w:rsidR="0061220F" w:rsidRPr="00F2670D" w:rsidRDefault="0061220F" w:rsidP="0061220F">
      <w:pPr>
        <w:rPr>
          <w:lang w:val="en-US"/>
        </w:rPr>
      </w:pPr>
      <w:r w:rsidRPr="00F2670D">
        <w:rPr>
          <w:lang w:val="en-US"/>
        </w:rPr>
        <w:t xml:space="preserve">Groundwater velocity was estimated by interpolating hydraulic conductivity values obtained from pumping tests, executed in more than 1,200 wells, together with the local hydraulic gradient derived from the regional groundwater potentiometric surface (Fig. 2a). Hydraulic conductivity of the vadose zone was determined from the interpolation of hydraulic conductivities calculated </w:t>
      </w:r>
      <w:r>
        <w:rPr>
          <w:lang w:val="en-US"/>
        </w:rPr>
        <w:t>via</w:t>
      </w:r>
      <w:r w:rsidRPr="00F2670D">
        <w:rPr>
          <w:lang w:val="en-US"/>
        </w:rPr>
        <w:t xml:space="preserve"> the equivalent </w:t>
      </w:r>
      <w:r w:rsidRPr="00F2670D">
        <w:rPr>
          <w:lang w:val="en-US"/>
        </w:rPr>
        <w:lastRenderedPageBreak/>
        <w:t xml:space="preserve">vertical permeability method (Anderson and Woessner, 1992), applied to more than 1,500 well stratigraphy records. Thickness of the vadose zone in each well </w:t>
      </w:r>
      <w:r>
        <w:rPr>
          <w:lang w:val="en-US"/>
        </w:rPr>
        <w:t>was</w:t>
      </w:r>
      <w:r w:rsidRPr="00F2670D">
        <w:rPr>
          <w:lang w:val="en-US"/>
        </w:rPr>
        <w:t xml:space="preserve"> evaluated as the difference between the topographic surface and groundwater potentiometric surface, both expressed in m a.s.l.</w:t>
      </w:r>
      <w:r w:rsidRPr="00F2670D">
        <w:rPr>
          <w:rFonts w:ascii="HltfxbAdvTT3713a231" w:hAnsi="HltfxbAdvTT3713a231" w:cs="HltfxbAdvTT3713a231"/>
          <w:color w:val="131413"/>
          <w:sz w:val="21"/>
          <w:szCs w:val="21"/>
          <w:lang w:val="en-US"/>
        </w:rPr>
        <w:t xml:space="preserve"> </w:t>
      </w:r>
    </w:p>
    <w:p w14:paraId="580F19F6" w14:textId="77777777" w:rsidR="0061220F" w:rsidRPr="00F2670D" w:rsidRDefault="0061220F" w:rsidP="0061220F">
      <w:pPr>
        <w:rPr>
          <w:lang w:val="en-US"/>
        </w:rPr>
      </w:pPr>
      <w:r w:rsidRPr="00F2670D">
        <w:rPr>
          <w:lang w:val="en-US"/>
        </w:rPr>
        <w:t xml:space="preserve">Anthropogenic sources of nitrate contamination can be associated with both urban (leakages from the sewage system or septic tanks) and agricultural sources (fertilizers and manures). Urban areas derived from satellite radar remote sensing are used as a proxy to represent urban nitrate sources (Stevenazzi et al., 2015). Such </w:t>
      </w:r>
      <w:r>
        <w:rPr>
          <w:lang w:val="en-US"/>
        </w:rPr>
        <w:t xml:space="preserve">a </w:t>
      </w:r>
      <w:r w:rsidRPr="00F2670D">
        <w:rPr>
          <w:lang w:val="en-US"/>
        </w:rPr>
        <w:t xml:space="preserve">dataset, </w:t>
      </w:r>
      <w:r>
        <w:rPr>
          <w:lang w:val="en-US"/>
        </w:rPr>
        <w:t>with</w:t>
      </w:r>
      <w:r w:rsidRPr="00F2670D">
        <w:rPr>
          <w:lang w:val="en-US"/>
        </w:rPr>
        <w:t xml:space="preserve"> a pixel posting of 1 km², was obtained by using the Dense Sampling Method (DSM, Nghiem et al., 2009) to process the data collected by the SeaWinds scatterometer aboard the QuikSCAT satellite (QuikSCAT) in the decade of the 2000s.</w:t>
      </w:r>
      <w:r w:rsidRPr="00F2670D">
        <w:rPr>
          <w:rFonts w:ascii="HltfxbAdvTT3713a231" w:hAnsi="HltfxbAdvTT3713a231" w:cs="HltfxbAdvTT3713a231"/>
          <w:color w:val="131413"/>
          <w:sz w:val="21"/>
          <w:szCs w:val="21"/>
          <w:lang w:val="en-US"/>
        </w:rPr>
        <w:t xml:space="preserve"> </w:t>
      </w:r>
    </w:p>
    <w:p w14:paraId="5663D160" w14:textId="77777777" w:rsidR="0061220F" w:rsidRPr="00F2670D" w:rsidRDefault="0061220F" w:rsidP="0061220F">
      <w:pPr>
        <w:rPr>
          <w:lang w:val="en-US"/>
        </w:rPr>
      </w:pPr>
      <w:r w:rsidRPr="00F2670D">
        <w:rPr>
          <w:lang w:val="en-US"/>
        </w:rPr>
        <w:t xml:space="preserve">The Agency of Services of Agriculture and Forest, which regulates the amount of fertilizers and manures sold to farmers every year in each district of the </w:t>
      </w:r>
      <w:r>
        <w:rPr>
          <w:lang w:val="en-US"/>
        </w:rPr>
        <w:t>r</w:t>
      </w:r>
      <w:r w:rsidRPr="00F2670D">
        <w:rPr>
          <w:lang w:val="en-US"/>
        </w:rPr>
        <w:t xml:space="preserve">egion, provided the nitrogen loadings data for this study. </w:t>
      </w:r>
    </w:p>
    <w:p w14:paraId="4E643600" w14:textId="77777777" w:rsidR="0061220F" w:rsidRPr="00F2670D" w:rsidRDefault="0061220F" w:rsidP="0061220F">
      <w:pPr>
        <w:rPr>
          <w:lang w:val="en-US"/>
        </w:rPr>
      </w:pPr>
    </w:p>
    <w:p w14:paraId="75788DF1" w14:textId="77777777" w:rsidR="0061220F" w:rsidRPr="00F2670D" w:rsidRDefault="0061220F" w:rsidP="0061220F">
      <w:pPr>
        <w:pStyle w:val="Titolo1"/>
      </w:pPr>
      <w:r w:rsidRPr="00F2670D">
        <w:t>Spatio-temporal approach</w:t>
      </w:r>
    </w:p>
    <w:p w14:paraId="2CEA3EA1" w14:textId="77777777" w:rsidR="0061220F" w:rsidRPr="00F2670D" w:rsidRDefault="0061220F" w:rsidP="0061220F">
      <w:pPr>
        <w:pStyle w:val="Titolo2"/>
      </w:pPr>
      <w:r w:rsidRPr="00F2670D">
        <w:t>General aspects</w:t>
      </w:r>
    </w:p>
    <w:p w14:paraId="31716581" w14:textId="77777777" w:rsidR="0061220F" w:rsidRPr="00F2670D" w:rsidRDefault="0061220F" w:rsidP="0061220F">
      <w:pPr>
        <w:rPr>
          <w:lang w:val="en-US"/>
        </w:rPr>
      </w:pPr>
      <w:r w:rsidRPr="00F2670D">
        <w:rPr>
          <w:lang w:val="en-US"/>
        </w:rPr>
        <w:t>To obtain a model that can account for both the last status of nitrate contamination and its</w:t>
      </w:r>
      <w:r>
        <w:rPr>
          <w:lang w:val="en-US"/>
        </w:rPr>
        <w:t xml:space="preserve"> </w:t>
      </w:r>
      <w:r w:rsidRPr="00F2670D">
        <w:rPr>
          <w:lang w:val="en-US"/>
        </w:rPr>
        <w:t>evolution</w:t>
      </w:r>
      <w:r>
        <w:rPr>
          <w:lang w:val="en-US"/>
        </w:rPr>
        <w:t>,</w:t>
      </w:r>
      <w:r w:rsidRPr="00F2670D">
        <w:rPr>
          <w:lang w:val="en-US"/>
        </w:rPr>
        <w:t xml:space="preserve"> the following steps were implemented (Fig. 3):</w:t>
      </w:r>
    </w:p>
    <w:p w14:paraId="664FD67C" w14:textId="769FAA47" w:rsidR="0061220F" w:rsidRPr="00F2670D" w:rsidRDefault="00D3626A" w:rsidP="0061220F">
      <w:pPr>
        <w:pStyle w:val="Paragrafoelenco"/>
        <w:numPr>
          <w:ilvl w:val="0"/>
          <w:numId w:val="13"/>
        </w:numPr>
        <w:rPr>
          <w:lang w:val="en-US"/>
        </w:rPr>
      </w:pPr>
      <w:r>
        <w:rPr>
          <w:lang w:val="en-US"/>
        </w:rPr>
        <w:t>A spatial model</w:t>
      </w:r>
      <w:r w:rsidR="0061220F" w:rsidRPr="00F2670D">
        <w:rPr>
          <w:lang w:val="en-US"/>
        </w:rPr>
        <w:t xml:space="preserve"> is developed to represent the status of nitrate contamination and nitrate sources at time t</w:t>
      </w:r>
      <w:r w:rsidR="0061220F" w:rsidRPr="00F2670D">
        <w:rPr>
          <w:vertAlign w:val="subscript"/>
          <w:lang w:val="en-US"/>
        </w:rPr>
        <w:t>1</w:t>
      </w:r>
      <w:r w:rsidR="0061220F" w:rsidRPr="00F2670D">
        <w:rPr>
          <w:lang w:val="en-US"/>
        </w:rPr>
        <w:t xml:space="preserve">. It identifies areas where the combination of natural and anthropogenic factors </w:t>
      </w:r>
      <w:r w:rsidR="0061220F">
        <w:rPr>
          <w:lang w:val="en-US"/>
        </w:rPr>
        <w:t>results in</w:t>
      </w:r>
      <w:r w:rsidR="0061220F" w:rsidRPr="00F2670D">
        <w:rPr>
          <w:lang w:val="en-US"/>
        </w:rPr>
        <w:t xml:space="preserve"> nitrate concentrations higher than a specific value.</w:t>
      </w:r>
    </w:p>
    <w:p w14:paraId="1FE43DF9" w14:textId="662BECEC" w:rsidR="0061220F" w:rsidRPr="00F2670D" w:rsidRDefault="00D3626A" w:rsidP="0061220F">
      <w:pPr>
        <w:pStyle w:val="Paragrafoelenco"/>
        <w:numPr>
          <w:ilvl w:val="0"/>
          <w:numId w:val="13"/>
        </w:numPr>
        <w:rPr>
          <w:lang w:val="en-US"/>
        </w:rPr>
      </w:pPr>
      <w:r>
        <w:rPr>
          <w:lang w:val="en-US"/>
        </w:rPr>
        <w:t xml:space="preserve">A </w:t>
      </w:r>
      <w:r w:rsidR="0061220F" w:rsidRPr="00F2670D">
        <w:rPr>
          <w:lang w:val="en-US"/>
        </w:rPr>
        <w:t>t</w:t>
      </w:r>
      <w:r>
        <w:rPr>
          <w:lang w:val="en-US"/>
        </w:rPr>
        <w:t>emporal model</w:t>
      </w:r>
      <w:r w:rsidR="0061220F" w:rsidRPr="00F2670D">
        <w:rPr>
          <w:lang w:val="en-US"/>
        </w:rPr>
        <w:t xml:space="preserve"> is constructed to account for the evolution of both nitrate contamination and nitrate sources between t</w:t>
      </w:r>
      <w:r w:rsidR="0061220F" w:rsidRPr="00F2670D">
        <w:rPr>
          <w:vertAlign w:val="subscript"/>
          <w:lang w:val="en-US"/>
        </w:rPr>
        <w:t>0</w:t>
      </w:r>
      <w:r w:rsidR="0061220F" w:rsidRPr="00F2670D">
        <w:rPr>
          <w:lang w:val="en-US"/>
        </w:rPr>
        <w:t xml:space="preserve"> and t</w:t>
      </w:r>
      <w:r w:rsidR="0061220F" w:rsidRPr="00F2670D">
        <w:rPr>
          <w:vertAlign w:val="subscript"/>
          <w:lang w:val="en-US"/>
        </w:rPr>
        <w:t>1</w:t>
      </w:r>
      <w:r w:rsidR="0061220F" w:rsidRPr="00F2670D">
        <w:rPr>
          <w:lang w:val="en-US"/>
        </w:rPr>
        <w:t xml:space="preserve">. It identifies areas where the combination of natural and anthropogenic factors </w:t>
      </w:r>
      <w:r w:rsidR="0061220F">
        <w:rPr>
          <w:lang w:val="en-US"/>
        </w:rPr>
        <w:t>results in</w:t>
      </w:r>
      <w:r w:rsidR="0061220F" w:rsidRPr="00F2670D">
        <w:rPr>
          <w:lang w:val="en-US"/>
        </w:rPr>
        <w:t xml:space="preserve"> an increase of nitrate concentration.</w:t>
      </w:r>
    </w:p>
    <w:p w14:paraId="122A34A7" w14:textId="435A78FF" w:rsidR="0061220F" w:rsidRPr="00F2670D" w:rsidRDefault="00D3626A" w:rsidP="0061220F">
      <w:pPr>
        <w:pStyle w:val="Paragrafoelenco"/>
        <w:numPr>
          <w:ilvl w:val="0"/>
          <w:numId w:val="13"/>
        </w:numPr>
        <w:rPr>
          <w:lang w:val="en-US"/>
        </w:rPr>
      </w:pPr>
      <w:r>
        <w:rPr>
          <w:lang w:val="en-US"/>
        </w:rPr>
        <w:t>A spatio-temporal model</w:t>
      </w:r>
      <w:r w:rsidR="0061220F" w:rsidRPr="00F2670D">
        <w:rPr>
          <w:lang w:val="en-US"/>
        </w:rPr>
        <w:t xml:space="preserve"> is generated to capture both the status at t</w:t>
      </w:r>
      <w:r w:rsidR="0061220F" w:rsidRPr="00F2670D">
        <w:rPr>
          <w:vertAlign w:val="subscript"/>
          <w:lang w:val="en-US"/>
        </w:rPr>
        <w:t>1</w:t>
      </w:r>
      <w:r w:rsidR="0061220F" w:rsidRPr="00F2670D">
        <w:rPr>
          <w:lang w:val="en-US"/>
        </w:rPr>
        <w:t xml:space="preserve"> and the evolution between t</w:t>
      </w:r>
      <w:r w:rsidR="0061220F" w:rsidRPr="00F2670D">
        <w:rPr>
          <w:vertAlign w:val="subscript"/>
          <w:lang w:val="en-US"/>
        </w:rPr>
        <w:t>0</w:t>
      </w:r>
      <w:r w:rsidR="0061220F" w:rsidRPr="00F2670D">
        <w:rPr>
          <w:lang w:val="en-US"/>
        </w:rPr>
        <w:t xml:space="preserve"> and t</w:t>
      </w:r>
      <w:r w:rsidR="0061220F" w:rsidRPr="00F2670D">
        <w:rPr>
          <w:vertAlign w:val="subscript"/>
          <w:lang w:val="en-US"/>
        </w:rPr>
        <w:t>1</w:t>
      </w:r>
      <w:r w:rsidR="0061220F" w:rsidRPr="00F2670D">
        <w:rPr>
          <w:lang w:val="en-US"/>
        </w:rPr>
        <w:t xml:space="preserve"> of nitrate contamination and nitrate sources. It identifies areas where the combination of natural and anthropogenic factors causes the presence of nitrates and their increasing concentration trends in groundwater.</w:t>
      </w:r>
    </w:p>
    <w:p w14:paraId="7832B12C" w14:textId="4919AA06" w:rsidR="0061220F" w:rsidRPr="00F2670D" w:rsidRDefault="00D3626A" w:rsidP="0061220F">
      <w:pPr>
        <w:pStyle w:val="Paragrafoelenco"/>
        <w:numPr>
          <w:ilvl w:val="0"/>
          <w:numId w:val="13"/>
        </w:numPr>
        <w:rPr>
          <w:lang w:val="en-US"/>
        </w:rPr>
      </w:pPr>
      <w:r>
        <w:rPr>
          <w:lang w:val="en-US"/>
        </w:rPr>
        <w:lastRenderedPageBreak/>
        <w:t xml:space="preserve">A </w:t>
      </w:r>
      <w:r w:rsidR="0061220F" w:rsidRPr="00F2670D">
        <w:rPr>
          <w:lang w:val="en-US"/>
        </w:rPr>
        <w:t>p</w:t>
      </w:r>
      <w:r>
        <w:rPr>
          <w:lang w:val="en-US"/>
        </w:rPr>
        <w:t>redictive spatio-temporal model</w:t>
      </w:r>
      <w:r w:rsidR="0061220F" w:rsidRPr="00F2670D">
        <w:rPr>
          <w:lang w:val="en-US"/>
        </w:rPr>
        <w:t xml:space="preserve"> to project a potential status of nitrate contamination and nitrate sources at time t</w:t>
      </w:r>
      <w:r w:rsidR="0061220F" w:rsidRPr="00F2670D">
        <w:rPr>
          <w:vertAlign w:val="subscript"/>
          <w:lang w:val="en-US"/>
        </w:rPr>
        <w:t>2</w:t>
      </w:r>
      <w:r w:rsidR="0061220F" w:rsidRPr="00F2670D">
        <w:rPr>
          <w:lang w:val="en-US"/>
        </w:rPr>
        <w:t xml:space="preserve"> and their evolution between t</w:t>
      </w:r>
      <w:r w:rsidR="0061220F" w:rsidRPr="00F2670D">
        <w:rPr>
          <w:vertAlign w:val="subscript"/>
          <w:lang w:val="en-US"/>
        </w:rPr>
        <w:t>1</w:t>
      </w:r>
      <w:r w:rsidR="0061220F" w:rsidRPr="00F2670D">
        <w:rPr>
          <w:lang w:val="en-US"/>
        </w:rPr>
        <w:t xml:space="preserve"> and t</w:t>
      </w:r>
      <w:r w:rsidR="0061220F" w:rsidRPr="00F2670D">
        <w:rPr>
          <w:vertAlign w:val="subscript"/>
          <w:lang w:val="en-US"/>
        </w:rPr>
        <w:t>2</w:t>
      </w:r>
      <w:r w:rsidR="0061220F" w:rsidRPr="00F2670D">
        <w:rPr>
          <w:lang w:val="en-US"/>
        </w:rPr>
        <w:t>. Various scenarios can be considered with: (a) a different evolution of nitrate contamination sources (e.g., different growth rates of urban areas), or (b) a variation of hydrogeological conditions (e.g., groundwater depth variations).</w:t>
      </w:r>
    </w:p>
    <w:p w14:paraId="4BC3E244" w14:textId="294D59EC" w:rsidR="0061220F" w:rsidRPr="00F2670D" w:rsidRDefault="00D3626A" w:rsidP="0061220F">
      <w:pPr>
        <w:pStyle w:val="Paragrafoelenco"/>
        <w:numPr>
          <w:ilvl w:val="0"/>
          <w:numId w:val="13"/>
        </w:numPr>
        <w:rPr>
          <w:lang w:val="en-US"/>
        </w:rPr>
      </w:pPr>
      <w:r>
        <w:rPr>
          <w:lang w:val="en-US"/>
        </w:rPr>
        <w:t xml:space="preserve">The spatio-temporal (3) and the </w:t>
      </w:r>
      <w:r w:rsidR="0061220F" w:rsidRPr="00F2670D">
        <w:rPr>
          <w:lang w:val="en-US"/>
        </w:rPr>
        <w:t>predictive sp</w:t>
      </w:r>
      <w:r>
        <w:rPr>
          <w:lang w:val="en-US"/>
        </w:rPr>
        <w:t>atio-temporal</w:t>
      </w:r>
      <w:r w:rsidR="0061220F" w:rsidRPr="00F2670D">
        <w:rPr>
          <w:lang w:val="en-US"/>
        </w:rPr>
        <w:t xml:space="preserve"> (4) models are compared in order to determine the differences between the results at t</w:t>
      </w:r>
      <w:r w:rsidR="0061220F" w:rsidRPr="00F2670D">
        <w:rPr>
          <w:vertAlign w:val="subscript"/>
          <w:lang w:val="en-US"/>
        </w:rPr>
        <w:t>1</w:t>
      </w:r>
      <w:r w:rsidR="0061220F" w:rsidRPr="00F2670D">
        <w:rPr>
          <w:lang w:val="en-US"/>
        </w:rPr>
        <w:t xml:space="preserve"> and at t</w:t>
      </w:r>
      <w:r w:rsidR="0061220F" w:rsidRPr="00F2670D">
        <w:rPr>
          <w:vertAlign w:val="subscript"/>
          <w:lang w:val="en-US"/>
        </w:rPr>
        <w:t>2</w:t>
      </w:r>
      <w:r w:rsidR="0061220F" w:rsidRPr="00F2670D">
        <w:rPr>
          <w:lang w:val="en-US"/>
        </w:rPr>
        <w:t>.</w:t>
      </w:r>
    </w:p>
    <w:p w14:paraId="34CC1927" w14:textId="44F169A6" w:rsidR="0061220F" w:rsidRPr="00F2670D" w:rsidRDefault="00D3626A" w:rsidP="0061220F">
      <w:pPr>
        <w:pStyle w:val="Paragrafoelenco"/>
        <w:numPr>
          <w:ilvl w:val="0"/>
          <w:numId w:val="13"/>
        </w:numPr>
        <w:rPr>
          <w:lang w:val="en-US"/>
        </w:rPr>
      </w:pPr>
      <w:r>
        <w:rPr>
          <w:lang w:val="en-US"/>
        </w:rPr>
        <w:t>A severity model</w:t>
      </w:r>
      <w:r w:rsidR="0061220F" w:rsidRPr="00F2670D">
        <w:rPr>
          <w:lang w:val="en-US"/>
        </w:rPr>
        <w:t xml:space="preserve"> of groundwater contamination</w:t>
      </w:r>
      <w:r>
        <w:rPr>
          <w:lang w:val="en-US"/>
        </w:rPr>
        <w:t xml:space="preserve"> is developed by combining the comparison model (5) and the spatial model</w:t>
      </w:r>
      <w:r w:rsidR="0061220F" w:rsidRPr="00F2670D">
        <w:rPr>
          <w:lang w:val="en-US"/>
        </w:rPr>
        <w:t xml:space="preserve"> (1). It identifies severity areas where the combination of natural and anthropogenic factors involves both the presence of nitrates and their increasing contamination in groundwater at t</w:t>
      </w:r>
      <w:r w:rsidR="0061220F" w:rsidRPr="00F2670D">
        <w:rPr>
          <w:vertAlign w:val="subscript"/>
          <w:lang w:val="en-US"/>
        </w:rPr>
        <w:t>2</w:t>
      </w:r>
      <w:r w:rsidR="0061220F" w:rsidRPr="00F2670D">
        <w:rPr>
          <w:lang w:val="en-US"/>
        </w:rPr>
        <w:t>, considering the vulnerable areas at t</w:t>
      </w:r>
      <w:r w:rsidR="0061220F" w:rsidRPr="00F2670D">
        <w:rPr>
          <w:vertAlign w:val="subscript"/>
          <w:lang w:val="en-US"/>
        </w:rPr>
        <w:t>1</w:t>
      </w:r>
      <w:r w:rsidR="0061220F" w:rsidRPr="00F2670D">
        <w:rPr>
          <w:lang w:val="en-US"/>
        </w:rPr>
        <w:t>.</w:t>
      </w:r>
    </w:p>
    <w:p w14:paraId="4D123118" w14:textId="0FA5F6AA" w:rsidR="0061220F" w:rsidRPr="00F2670D" w:rsidRDefault="00D3626A" w:rsidP="0061220F">
      <w:pPr>
        <w:rPr>
          <w:lang w:val="en-US"/>
        </w:rPr>
      </w:pPr>
      <w:r>
        <w:rPr>
          <w:lang w:val="en-US"/>
        </w:rPr>
        <w:t>The spatial model and the temporal model</w:t>
      </w:r>
      <w:r w:rsidR="0061220F" w:rsidRPr="00F2670D">
        <w:rPr>
          <w:lang w:val="en-US"/>
        </w:rPr>
        <w:t xml:space="preserve"> have been already developed and presented, with various examples within the Po Plain area of the Lombardy Region (Masetti et al., 2007, 2008, 2009; Sorichetta et al., 2011, 2012, 2013; Stevenazzi et al., 2015). Not</w:t>
      </w:r>
      <w:r>
        <w:rPr>
          <w:lang w:val="en-US"/>
        </w:rPr>
        <w:t>e that only the results of the spatial model</w:t>
      </w:r>
      <w:r w:rsidR="0061220F" w:rsidRPr="00F2670D">
        <w:rPr>
          <w:lang w:val="en-US"/>
        </w:rPr>
        <w:t xml:space="preserve"> can be compared with th</w:t>
      </w:r>
      <w:r w:rsidR="0061220F">
        <w:rPr>
          <w:lang w:val="en-US"/>
        </w:rPr>
        <w:t>ose</w:t>
      </w:r>
      <w:r w:rsidR="0061220F" w:rsidRPr="00F2670D">
        <w:rPr>
          <w:lang w:val="en-US"/>
        </w:rPr>
        <w:t xml:space="preserve"> obtained </w:t>
      </w:r>
      <w:r w:rsidR="0061220F">
        <w:rPr>
          <w:lang w:val="en-US"/>
        </w:rPr>
        <w:t>via</w:t>
      </w:r>
      <w:r w:rsidR="0061220F" w:rsidRPr="00F2670D">
        <w:rPr>
          <w:lang w:val="en-US"/>
        </w:rPr>
        <w:t xml:space="preserve"> other methods for evaluating groundwater vulnerability, since none of them uses the time dimension in the analyses. </w:t>
      </w:r>
      <w:r w:rsidR="0061220F">
        <w:rPr>
          <w:lang w:val="en-US"/>
        </w:rPr>
        <w:t>In</w:t>
      </w:r>
      <w:r w:rsidR="0061220F" w:rsidRPr="00F2670D">
        <w:rPr>
          <w:lang w:val="en-US"/>
        </w:rPr>
        <w:t xml:space="preserve"> this regard, various authors (Worrall and Besien, 2005</w:t>
      </w:r>
      <w:r w:rsidR="004A7112">
        <w:rPr>
          <w:lang w:val="en-US"/>
        </w:rPr>
        <w:t>;</w:t>
      </w:r>
      <w:r w:rsidR="0061220F" w:rsidRPr="00F2670D">
        <w:rPr>
          <w:lang w:val="en-US"/>
        </w:rPr>
        <w:t xml:space="preserve"> Twarakavi and Kalua</w:t>
      </w:r>
      <w:r w:rsidR="004A7112">
        <w:rPr>
          <w:lang w:val="en-US"/>
        </w:rPr>
        <w:t>rachchi, 2006; Uhan et al., 2011</w:t>
      </w:r>
      <w:r w:rsidR="0061220F" w:rsidRPr="00F2670D">
        <w:rPr>
          <w:lang w:val="en-US"/>
        </w:rPr>
        <w:t>) showed how the high flexibility of statistical methods allow more reliable “spatial” groundwater vulnerability assessments over large areas compared to the ones obtained with other methods.</w:t>
      </w:r>
    </w:p>
    <w:p w14:paraId="4DF23AE7" w14:textId="77777777" w:rsidR="0061220F" w:rsidRPr="00F2670D" w:rsidRDefault="0061220F" w:rsidP="0061220F">
      <w:pPr>
        <w:pStyle w:val="Titolo2"/>
      </w:pPr>
      <w:r w:rsidRPr="00F2670D">
        <w:t>Response variable</w:t>
      </w:r>
    </w:p>
    <w:p w14:paraId="60CA8EA0" w14:textId="77777777" w:rsidR="0061220F" w:rsidRPr="00F2670D" w:rsidRDefault="0061220F" w:rsidP="0061220F">
      <w:pPr>
        <w:rPr>
          <w:lang w:val="en-US"/>
        </w:rPr>
      </w:pPr>
      <w:r w:rsidRPr="00F2670D">
        <w:rPr>
          <w:lang w:val="en-US"/>
        </w:rPr>
        <w:t>WofE requires a binary formulation of the response variable. Thus, it is necessary to establish a threshold value to distinguish between occurrences and non-occurrences (a training and a control set, respectively). The response variable is represented either by nitrate concentration in groundwater at time t</w:t>
      </w:r>
      <w:r w:rsidRPr="00F2670D">
        <w:rPr>
          <w:vertAlign w:val="subscript"/>
          <w:lang w:val="en-US"/>
        </w:rPr>
        <w:t>1</w:t>
      </w:r>
      <w:r>
        <w:rPr>
          <w:lang w:val="en-US"/>
        </w:rPr>
        <w:t>,</w:t>
      </w:r>
      <w:r w:rsidRPr="00F2670D">
        <w:rPr>
          <w:lang w:val="en-US"/>
        </w:rPr>
        <w:t xml:space="preserve"> by</w:t>
      </w:r>
      <w:r>
        <w:rPr>
          <w:lang w:val="en-US"/>
        </w:rPr>
        <w:t xml:space="preserve"> the</w:t>
      </w:r>
      <w:r w:rsidRPr="00F2670D">
        <w:rPr>
          <w:lang w:val="en-US"/>
        </w:rPr>
        <w:t xml:space="preserve"> nitrate concentration trend from t</w:t>
      </w:r>
      <w:r w:rsidRPr="00F2670D">
        <w:rPr>
          <w:vertAlign w:val="subscript"/>
          <w:lang w:val="en-US"/>
        </w:rPr>
        <w:t>0</w:t>
      </w:r>
      <w:r w:rsidRPr="00F2670D">
        <w:rPr>
          <w:lang w:val="en-US"/>
        </w:rPr>
        <w:t xml:space="preserve"> to t</w:t>
      </w:r>
      <w:r w:rsidRPr="00F2670D">
        <w:rPr>
          <w:vertAlign w:val="subscript"/>
          <w:lang w:val="en-US"/>
        </w:rPr>
        <w:t>1</w:t>
      </w:r>
      <w:r w:rsidRPr="00F2670D">
        <w:rPr>
          <w:lang w:val="en-US"/>
        </w:rPr>
        <w:t xml:space="preserve"> or by their combination as described below.</w:t>
      </w:r>
    </w:p>
    <w:p w14:paraId="55CE80BE" w14:textId="0DE3A28D" w:rsidR="0061220F" w:rsidRPr="00F2670D" w:rsidRDefault="00D3626A" w:rsidP="0061220F">
      <w:pPr>
        <w:rPr>
          <w:lang w:val="en-US"/>
        </w:rPr>
      </w:pPr>
      <w:r>
        <w:rPr>
          <w:lang w:val="en-US"/>
        </w:rPr>
        <w:t>In the spatial model</w:t>
      </w:r>
      <w:r w:rsidR="0061220F" w:rsidRPr="00F2670D">
        <w:rPr>
          <w:lang w:val="en-US"/>
        </w:rPr>
        <w:t xml:space="preserve"> with respect to a specific time t</w:t>
      </w:r>
      <w:r w:rsidR="0061220F" w:rsidRPr="00F2670D">
        <w:rPr>
          <w:vertAlign w:val="subscript"/>
          <w:lang w:val="en-US"/>
        </w:rPr>
        <w:t>1</w:t>
      </w:r>
      <w:r w:rsidR="0061220F" w:rsidRPr="00F2670D">
        <w:rPr>
          <w:lang w:val="en-US"/>
        </w:rPr>
        <w:t xml:space="preserve">, the value representing the inflection point of the cumulative probability plot of nitrate concentrations is selected as an appropriate threshold (Masetti et al., 2009). Thus, wells with a nitrate concentration higher than the threshold value represent the training </w:t>
      </w:r>
      <w:r w:rsidR="0061220F" w:rsidRPr="00F2670D">
        <w:rPr>
          <w:lang w:val="en-US"/>
        </w:rPr>
        <w:lastRenderedPageBreak/>
        <w:t xml:space="preserve">set, and they are selected to produce the post probability maps. In contrast, wells with a nitrate concentration lower than the threshold value form the control set. </w:t>
      </w:r>
    </w:p>
    <w:p w14:paraId="6E2DD316" w14:textId="4BE1C00B" w:rsidR="0061220F" w:rsidRPr="00F2670D" w:rsidRDefault="00D3626A" w:rsidP="0061220F">
      <w:pPr>
        <w:rPr>
          <w:lang w:val="en-US"/>
        </w:rPr>
      </w:pPr>
      <w:r>
        <w:rPr>
          <w:lang w:val="en-US"/>
        </w:rPr>
        <w:t>The temporal model</w:t>
      </w:r>
      <w:r w:rsidR="0061220F" w:rsidRPr="00F2670D">
        <w:rPr>
          <w:lang w:val="en-US"/>
        </w:rPr>
        <w:t xml:space="preserve"> considers the evolution of nitrate concentrations. The change in nitrate concentration is quantified by the slope of the regression line from the interpolation of concentration data. Thus, following Stevenazzi et al. (2015), wells with a clear increase in concentration trends (positive slope values) represent the training set, and wells with a decreas</w:t>
      </w:r>
      <w:r w:rsidR="0061220F">
        <w:rPr>
          <w:lang w:val="en-US"/>
        </w:rPr>
        <w:t>ing</w:t>
      </w:r>
      <w:r w:rsidR="0061220F" w:rsidRPr="00F2670D">
        <w:rPr>
          <w:lang w:val="en-US"/>
        </w:rPr>
        <w:t xml:space="preserve"> trend or a trend close to zero (non-positive slope values) represent the control set.</w:t>
      </w:r>
    </w:p>
    <w:p w14:paraId="6F07D991" w14:textId="5C77A211" w:rsidR="0061220F" w:rsidRPr="00F2670D" w:rsidRDefault="00D3626A" w:rsidP="0061220F">
      <w:pPr>
        <w:rPr>
          <w:lang w:val="en-US"/>
        </w:rPr>
      </w:pPr>
      <w:r>
        <w:rPr>
          <w:lang w:val="en-US"/>
        </w:rPr>
        <w:t>In the spatio-temporal model,</w:t>
      </w:r>
      <w:r w:rsidR="0061220F" w:rsidRPr="00F2670D">
        <w:rPr>
          <w:lang w:val="en-US"/>
        </w:rPr>
        <w:t xml:space="preserve"> the training set is identified to account for both the nitrate concentration measured in the wells and the nitrate concentration</w:t>
      </w:r>
      <w:r w:rsidR="0061220F" w:rsidRPr="00F2670D" w:rsidDel="00E902C9">
        <w:rPr>
          <w:lang w:val="en-US"/>
        </w:rPr>
        <w:t xml:space="preserve"> </w:t>
      </w:r>
      <w:r w:rsidR="0061220F" w:rsidRPr="00F2670D">
        <w:rPr>
          <w:lang w:val="en-US"/>
        </w:rPr>
        <w:t>trends expressed as the slope of the regression line from the interpolation of concentration data. Each well in the network is classified based on its nitrate concentration at time t</w:t>
      </w:r>
      <w:r w:rsidR="0061220F" w:rsidRPr="00F2670D">
        <w:rPr>
          <w:vertAlign w:val="subscript"/>
          <w:lang w:val="en-US"/>
        </w:rPr>
        <w:t>1</w:t>
      </w:r>
      <w:r w:rsidR="0061220F" w:rsidRPr="00F2670D">
        <w:rPr>
          <w:lang w:val="en-US"/>
        </w:rPr>
        <w:t xml:space="preserve"> and its contamination trend from t</w:t>
      </w:r>
      <w:r w:rsidR="0061220F" w:rsidRPr="00F2670D">
        <w:rPr>
          <w:vertAlign w:val="subscript"/>
          <w:lang w:val="en-US"/>
        </w:rPr>
        <w:t>0</w:t>
      </w:r>
      <w:r w:rsidR="0061220F" w:rsidRPr="00F2670D">
        <w:rPr>
          <w:lang w:val="en-US"/>
        </w:rPr>
        <w:t xml:space="preserve"> to t</w:t>
      </w:r>
      <w:r w:rsidR="0061220F" w:rsidRPr="00F2670D">
        <w:rPr>
          <w:vertAlign w:val="subscript"/>
          <w:lang w:val="en-US"/>
        </w:rPr>
        <w:t>1</w:t>
      </w:r>
      <w:r w:rsidR="0061220F" w:rsidRPr="00F2670D">
        <w:rPr>
          <w:lang w:val="en-US"/>
        </w:rPr>
        <w:t xml:space="preserve">. Eleven classes of nitrate concentration and five classes of contamination trend are defined for the analysis (please refer to the Supplementary Material for additional information regarding the classification systems). Then, to rank each well with respect to both its concentration and trend class, the </w:t>
      </w:r>
      <w:r w:rsidR="0061220F">
        <w:rPr>
          <w:lang w:val="en-US"/>
        </w:rPr>
        <w:t xml:space="preserve">following </w:t>
      </w:r>
      <w:r w:rsidR="0061220F" w:rsidRPr="00F2670D">
        <w:rPr>
          <w:lang w:val="en-US"/>
        </w:rPr>
        <w:t>formula is used (Stillwell et al., 1981):</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1220F" w:rsidRPr="00F2670D" w14:paraId="07E02FFF" w14:textId="77777777" w:rsidTr="00DE05F4">
        <w:tc>
          <w:tcPr>
            <w:tcW w:w="4814" w:type="dxa"/>
            <w:vAlign w:val="center"/>
          </w:tcPr>
          <w:p w14:paraId="1B328325" w14:textId="77777777" w:rsidR="0061220F" w:rsidRPr="00F2670D" w:rsidRDefault="0061220F" w:rsidP="00DE05F4">
            <w:pPr>
              <w:jc w:val="left"/>
              <w:rPr>
                <w:lang w:val="en-US"/>
              </w:rPr>
            </w:pPr>
            <m:oMathPara>
              <m:oMath>
                <m:r>
                  <m:rPr>
                    <m:sty m:val="p"/>
                  </m:rPr>
                  <w:rPr>
                    <w:rFonts w:ascii="Cambria Math" w:hAnsi="Cambria Math"/>
                    <w:lang w:val="en-US"/>
                  </w:rPr>
                  <m:t>R=</m:t>
                </m:r>
                <m:f>
                  <m:fPr>
                    <m:ctrlPr>
                      <w:rPr>
                        <w:rFonts w:ascii="Cambria Math" w:hAnsi="Cambria Math"/>
                        <w:lang w:val="en-US"/>
                      </w:rPr>
                    </m:ctrlPr>
                  </m:fPr>
                  <m:num>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j</m:t>
                        </m:r>
                      </m:sub>
                    </m:sSub>
                    <m:r>
                      <m:rPr>
                        <m:sty m:val="p"/>
                      </m:rPr>
                      <w:rPr>
                        <w:rFonts w:ascii="Cambria Math" w:hAnsi="Cambria Math"/>
                        <w:lang w:val="en-US"/>
                      </w:rPr>
                      <m:t>+1)</m:t>
                    </m:r>
                  </m:num>
                  <m:den>
                    <m:nary>
                      <m:naryPr>
                        <m:chr m:val="∑"/>
                        <m:limLoc m:val="subSup"/>
                        <m:ctrlPr>
                          <w:rPr>
                            <w:rFonts w:ascii="Cambria Math" w:hAnsi="Cambria Math"/>
                            <w:lang w:val="en-US"/>
                          </w:rPr>
                        </m:ctrlPr>
                      </m:naryPr>
                      <m:sub>
                        <m:r>
                          <w:rPr>
                            <w:rFonts w:ascii="Cambria Math" w:hAnsi="Cambria Math"/>
                            <w:lang w:val="en-US"/>
                          </w:rPr>
                          <m:t>j</m:t>
                        </m:r>
                        <m:r>
                          <m:rPr>
                            <m:sty m:val="p"/>
                          </m:rPr>
                          <w:rPr>
                            <w:rFonts w:ascii="Cambria Math" w:hAnsi="Cambria Math"/>
                            <w:lang w:val="en-US"/>
                          </w:rPr>
                          <m:t>=1</m:t>
                        </m:r>
                      </m:sub>
                      <m:sup>
                        <m:r>
                          <w:rPr>
                            <w:rFonts w:ascii="Cambria Math" w:hAnsi="Cambria Math"/>
                            <w:lang w:val="en-US"/>
                          </w:rPr>
                          <m:t>n</m:t>
                        </m:r>
                      </m:sup>
                      <m:e>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j</m:t>
                            </m:r>
                          </m:sub>
                        </m:sSub>
                        <m:r>
                          <m:rPr>
                            <m:sty m:val="p"/>
                          </m:rPr>
                          <w:rPr>
                            <w:rFonts w:ascii="Cambria Math" w:hAnsi="Cambria Math"/>
                            <w:lang w:val="en-US"/>
                          </w:rPr>
                          <m:t>+1)</m:t>
                        </m:r>
                      </m:e>
                    </m:nary>
                  </m:den>
                </m:f>
              </m:oMath>
            </m:oMathPara>
          </w:p>
        </w:tc>
        <w:tc>
          <w:tcPr>
            <w:tcW w:w="4814" w:type="dxa"/>
            <w:vAlign w:val="center"/>
          </w:tcPr>
          <w:p w14:paraId="7BDDD278" w14:textId="77777777" w:rsidR="0061220F" w:rsidRPr="00F2670D" w:rsidRDefault="0061220F" w:rsidP="00DE05F4">
            <w:pPr>
              <w:jc w:val="right"/>
              <w:rPr>
                <w:lang w:val="en-US"/>
              </w:rPr>
            </w:pPr>
            <w:r w:rsidRPr="00F2670D">
              <w:rPr>
                <w:lang w:val="en-US"/>
              </w:rPr>
              <w:t>(1)</w:t>
            </w:r>
          </w:p>
        </w:tc>
      </w:tr>
    </w:tbl>
    <w:p w14:paraId="3E9DFA6A" w14:textId="77777777" w:rsidR="0061220F" w:rsidRPr="00F2670D" w:rsidRDefault="0061220F" w:rsidP="0061220F">
      <w:pPr>
        <w:rPr>
          <w:lang w:val="en-US"/>
        </w:rPr>
      </w:pPr>
      <w:r w:rsidRPr="00F2670D">
        <w:rPr>
          <w:lang w:val="en-US"/>
        </w:rPr>
        <w:t xml:space="preserve">where </w:t>
      </w:r>
      <w:r w:rsidRPr="00F2670D">
        <w:rPr>
          <w:i/>
          <w:lang w:val="en-US"/>
        </w:rPr>
        <w:t>n</w:t>
      </w:r>
      <w:r w:rsidRPr="00F2670D">
        <w:rPr>
          <w:lang w:val="en-US"/>
        </w:rPr>
        <w:t xml:space="preserve"> is the number of classes and </w:t>
      </w:r>
      <w:r w:rsidRPr="00F2670D">
        <w:rPr>
          <w:i/>
          <w:lang w:val="en-US"/>
        </w:rPr>
        <w:t>r</w:t>
      </w:r>
      <w:r w:rsidRPr="00F2670D">
        <w:rPr>
          <w:i/>
          <w:vertAlign w:val="subscript"/>
          <w:lang w:val="en-US"/>
        </w:rPr>
        <w:t>j</w:t>
      </w:r>
      <w:r w:rsidRPr="00F2670D">
        <w:rPr>
          <w:lang w:val="en-US"/>
        </w:rPr>
        <w:t xml:space="preserve"> is the rank of class </w:t>
      </w:r>
      <w:r w:rsidRPr="00F2670D">
        <w:rPr>
          <w:i/>
          <w:lang w:val="en-US"/>
        </w:rPr>
        <w:t>j</w:t>
      </w:r>
      <w:r w:rsidRPr="00F2670D">
        <w:rPr>
          <w:lang w:val="en-US"/>
        </w:rPr>
        <w:t>. Once each well is ranked with respect to both its concentration and trend, the average rank (6</w:t>
      </w:r>
      <w:r w:rsidRPr="00F2670D">
        <w:rPr>
          <w:vertAlign w:val="superscript"/>
          <w:lang w:val="en-US"/>
        </w:rPr>
        <w:t>th</w:t>
      </w:r>
      <w:r w:rsidRPr="00F2670D">
        <w:rPr>
          <w:lang w:val="en-US"/>
        </w:rPr>
        <w:t xml:space="preserve"> column, Tab. 2) for identifying the training set to be used in the analysis can be computed as a simple average of the concentration rank value (3</w:t>
      </w:r>
      <w:r w:rsidRPr="00F2670D">
        <w:rPr>
          <w:vertAlign w:val="superscript"/>
          <w:lang w:val="en-US"/>
        </w:rPr>
        <w:t>rd</w:t>
      </w:r>
      <w:r w:rsidRPr="00F2670D">
        <w:rPr>
          <w:lang w:val="en-US"/>
        </w:rPr>
        <w:t xml:space="preserve"> column, Tab. 2) and the trend rank value (5</w:t>
      </w:r>
      <w:r w:rsidRPr="00F2670D">
        <w:rPr>
          <w:vertAlign w:val="superscript"/>
          <w:lang w:val="en-US"/>
        </w:rPr>
        <w:t>th</w:t>
      </w:r>
      <w:r w:rsidRPr="00F2670D">
        <w:rPr>
          <w:lang w:val="en-US"/>
        </w:rPr>
        <w:t xml:space="preserve"> column, Tab. 2).</w:t>
      </w:r>
    </w:p>
    <w:p w14:paraId="4D9C97DD" w14:textId="77777777" w:rsidR="0061220F" w:rsidRPr="00F2670D" w:rsidRDefault="0061220F" w:rsidP="0061220F">
      <w:pPr>
        <w:rPr>
          <w:i/>
          <w:lang w:val="en-US"/>
        </w:rPr>
      </w:pPr>
    </w:p>
    <w:p w14:paraId="0B7ACD95" w14:textId="77777777" w:rsidR="0061220F" w:rsidRPr="00F2670D" w:rsidRDefault="0061220F" w:rsidP="0061220F">
      <w:pPr>
        <w:rPr>
          <w:i/>
          <w:lang w:val="en-US"/>
        </w:rPr>
      </w:pPr>
      <w:r w:rsidRPr="00F2670D">
        <w:rPr>
          <w:i/>
          <w:lang w:val="en-US"/>
        </w:rPr>
        <w:t>Table 2 – Classification of the wells in the monitoring network based on both their nitrate contamination trend from 2001 to 2011 and last measured nitrate concentration (in 2011, or the closest year to 2011).</w:t>
      </w:r>
    </w:p>
    <w:tbl>
      <w:tblPr>
        <w:tblW w:w="9525" w:type="dxa"/>
        <w:tblCellMar>
          <w:left w:w="70" w:type="dxa"/>
          <w:right w:w="70" w:type="dxa"/>
        </w:tblCellMar>
        <w:tblLook w:val="04A0" w:firstRow="1" w:lastRow="0" w:firstColumn="1" w:lastColumn="0" w:noHBand="0" w:noVBand="1"/>
      </w:tblPr>
      <w:tblGrid>
        <w:gridCol w:w="1020"/>
        <w:gridCol w:w="1701"/>
        <w:gridCol w:w="1701"/>
        <w:gridCol w:w="1701"/>
        <w:gridCol w:w="1701"/>
        <w:gridCol w:w="1701"/>
      </w:tblGrid>
      <w:tr w:rsidR="004A7112" w:rsidRPr="004A7112" w14:paraId="31D02179" w14:textId="77777777" w:rsidTr="004A5D49">
        <w:trPr>
          <w:trHeight w:val="340"/>
        </w:trPr>
        <w:tc>
          <w:tcPr>
            <w:tcW w:w="1020" w:type="dxa"/>
            <w:tcBorders>
              <w:top w:val="single" w:sz="4" w:space="0" w:color="auto"/>
              <w:left w:val="single" w:sz="4" w:space="0" w:color="auto"/>
              <w:bottom w:val="single" w:sz="4" w:space="0" w:color="auto"/>
            </w:tcBorders>
            <w:vAlign w:val="center"/>
          </w:tcPr>
          <w:p w14:paraId="14EA643E" w14:textId="77777777" w:rsidR="004A7112" w:rsidRPr="004A7112" w:rsidRDefault="004A7112" w:rsidP="004A5D49">
            <w:pPr>
              <w:spacing w:line="240" w:lineRule="auto"/>
              <w:jc w:val="center"/>
              <w:rPr>
                <w:rFonts w:ascii="Calibri" w:eastAsia="Times New Roman" w:hAnsi="Calibri" w:cs="Times New Roman"/>
                <w:b/>
                <w:bCs/>
                <w:color w:val="000000"/>
                <w:lang w:val="en-US" w:eastAsia="it-IT"/>
              </w:rPr>
            </w:pPr>
            <w:r w:rsidRPr="004A7112">
              <w:rPr>
                <w:rFonts w:ascii="Calibri" w:eastAsia="Times New Roman" w:hAnsi="Calibri" w:cs="Times New Roman"/>
                <w:b/>
                <w:bCs/>
                <w:color w:val="000000"/>
                <w:lang w:val="en-US" w:eastAsia="it-IT"/>
              </w:rPr>
              <w:t>Well ID</w:t>
            </w:r>
          </w:p>
        </w:tc>
        <w:tc>
          <w:tcPr>
            <w:tcW w:w="1701" w:type="dxa"/>
            <w:tcBorders>
              <w:top w:val="single" w:sz="4" w:space="0" w:color="auto"/>
              <w:left w:val="nil"/>
              <w:bottom w:val="single" w:sz="4" w:space="0" w:color="auto"/>
              <w:right w:val="nil"/>
            </w:tcBorders>
            <w:shd w:val="clear" w:color="auto" w:fill="auto"/>
            <w:noWrap/>
            <w:vAlign w:val="center"/>
            <w:hideMark/>
          </w:tcPr>
          <w:p w14:paraId="7F1469F9" w14:textId="77777777" w:rsidR="004A7112" w:rsidRPr="004A7112" w:rsidRDefault="004A7112" w:rsidP="004A5D49">
            <w:pPr>
              <w:spacing w:line="240" w:lineRule="auto"/>
              <w:jc w:val="center"/>
              <w:rPr>
                <w:rFonts w:ascii="Calibri" w:eastAsia="Times New Roman" w:hAnsi="Calibri" w:cs="Times New Roman"/>
                <w:b/>
                <w:bCs/>
                <w:color w:val="000000"/>
                <w:lang w:val="en-US" w:eastAsia="it-IT"/>
              </w:rPr>
            </w:pPr>
            <w:r w:rsidRPr="004A7112">
              <w:rPr>
                <w:rFonts w:ascii="Calibri" w:eastAsia="Times New Roman" w:hAnsi="Calibri" w:cs="Times New Roman"/>
                <w:b/>
                <w:bCs/>
                <w:color w:val="000000"/>
                <w:lang w:val="en-US" w:eastAsia="it-IT"/>
              </w:rPr>
              <w:t>Concentration class</w:t>
            </w:r>
          </w:p>
        </w:tc>
        <w:tc>
          <w:tcPr>
            <w:tcW w:w="1701" w:type="dxa"/>
            <w:tcBorders>
              <w:top w:val="single" w:sz="4" w:space="0" w:color="auto"/>
              <w:left w:val="nil"/>
              <w:bottom w:val="single" w:sz="4" w:space="0" w:color="auto"/>
              <w:right w:val="nil"/>
            </w:tcBorders>
            <w:shd w:val="clear" w:color="auto" w:fill="auto"/>
            <w:noWrap/>
            <w:vAlign w:val="center"/>
            <w:hideMark/>
          </w:tcPr>
          <w:p w14:paraId="4D327249" w14:textId="77777777" w:rsidR="004A7112" w:rsidRPr="004A7112" w:rsidRDefault="004A7112" w:rsidP="004A5D49">
            <w:pPr>
              <w:spacing w:line="240" w:lineRule="auto"/>
              <w:jc w:val="center"/>
              <w:rPr>
                <w:rFonts w:ascii="Calibri" w:eastAsia="Times New Roman" w:hAnsi="Calibri" w:cs="Times New Roman"/>
                <w:b/>
                <w:bCs/>
                <w:color w:val="000000"/>
                <w:lang w:val="en-US" w:eastAsia="it-IT"/>
              </w:rPr>
            </w:pPr>
            <w:r w:rsidRPr="004A7112">
              <w:rPr>
                <w:rFonts w:ascii="Calibri" w:eastAsia="Times New Roman" w:hAnsi="Calibri" w:cs="Times New Roman"/>
                <w:b/>
                <w:bCs/>
                <w:color w:val="000000"/>
                <w:lang w:val="en-US" w:eastAsia="it-IT"/>
              </w:rPr>
              <w:t>Concentration rank</w:t>
            </w:r>
          </w:p>
        </w:tc>
        <w:tc>
          <w:tcPr>
            <w:tcW w:w="1701" w:type="dxa"/>
            <w:tcBorders>
              <w:top w:val="single" w:sz="4" w:space="0" w:color="auto"/>
              <w:left w:val="nil"/>
              <w:bottom w:val="single" w:sz="4" w:space="0" w:color="auto"/>
              <w:right w:val="nil"/>
            </w:tcBorders>
            <w:shd w:val="clear" w:color="auto" w:fill="auto"/>
            <w:noWrap/>
            <w:vAlign w:val="center"/>
            <w:hideMark/>
          </w:tcPr>
          <w:p w14:paraId="23574C0A" w14:textId="77777777" w:rsidR="004A7112" w:rsidRPr="004A7112" w:rsidRDefault="004A7112" w:rsidP="004A5D49">
            <w:pPr>
              <w:spacing w:line="240" w:lineRule="auto"/>
              <w:jc w:val="center"/>
              <w:rPr>
                <w:rFonts w:ascii="Calibri" w:eastAsia="Times New Roman" w:hAnsi="Calibri" w:cs="Times New Roman"/>
                <w:b/>
                <w:bCs/>
                <w:color w:val="000000"/>
                <w:lang w:val="en-US" w:eastAsia="it-IT"/>
              </w:rPr>
            </w:pPr>
            <w:r w:rsidRPr="004A7112">
              <w:rPr>
                <w:rFonts w:ascii="Calibri" w:eastAsia="Times New Roman" w:hAnsi="Calibri" w:cs="Times New Roman"/>
                <w:b/>
                <w:bCs/>
                <w:color w:val="000000"/>
                <w:lang w:val="en-US" w:eastAsia="it-IT"/>
              </w:rPr>
              <w:t>Trend class</w:t>
            </w:r>
          </w:p>
        </w:tc>
        <w:tc>
          <w:tcPr>
            <w:tcW w:w="1701" w:type="dxa"/>
            <w:tcBorders>
              <w:top w:val="single" w:sz="4" w:space="0" w:color="auto"/>
              <w:left w:val="nil"/>
              <w:bottom w:val="single" w:sz="4" w:space="0" w:color="auto"/>
              <w:right w:val="nil"/>
            </w:tcBorders>
            <w:shd w:val="clear" w:color="auto" w:fill="auto"/>
            <w:noWrap/>
            <w:vAlign w:val="center"/>
            <w:hideMark/>
          </w:tcPr>
          <w:p w14:paraId="670CD63A" w14:textId="77777777" w:rsidR="004A7112" w:rsidRPr="004A7112" w:rsidRDefault="004A7112" w:rsidP="004A5D49">
            <w:pPr>
              <w:spacing w:line="240" w:lineRule="auto"/>
              <w:jc w:val="center"/>
              <w:rPr>
                <w:rFonts w:ascii="Calibri" w:eastAsia="Times New Roman" w:hAnsi="Calibri" w:cs="Times New Roman"/>
                <w:b/>
                <w:bCs/>
                <w:color w:val="000000"/>
                <w:lang w:val="en-US" w:eastAsia="it-IT"/>
              </w:rPr>
            </w:pPr>
            <w:r w:rsidRPr="004A7112">
              <w:rPr>
                <w:rFonts w:ascii="Calibri" w:eastAsia="Times New Roman" w:hAnsi="Calibri" w:cs="Times New Roman"/>
                <w:b/>
                <w:bCs/>
                <w:color w:val="000000"/>
                <w:lang w:val="en-US" w:eastAsia="it-IT"/>
              </w:rPr>
              <w:t>Trend rank</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2834A8E" w14:textId="77777777" w:rsidR="004A7112" w:rsidRPr="004A7112" w:rsidRDefault="004A7112" w:rsidP="004A5D49">
            <w:pPr>
              <w:spacing w:line="240" w:lineRule="auto"/>
              <w:jc w:val="center"/>
              <w:rPr>
                <w:rFonts w:ascii="Calibri" w:eastAsia="Times New Roman" w:hAnsi="Calibri" w:cs="Times New Roman"/>
                <w:b/>
                <w:bCs/>
                <w:color w:val="000000"/>
                <w:lang w:val="en-US" w:eastAsia="it-IT"/>
              </w:rPr>
            </w:pPr>
            <w:r w:rsidRPr="004A7112">
              <w:rPr>
                <w:rFonts w:ascii="Calibri" w:eastAsia="Times New Roman" w:hAnsi="Calibri" w:cs="Times New Roman"/>
                <w:b/>
                <w:bCs/>
                <w:color w:val="000000"/>
                <w:lang w:val="en-US" w:eastAsia="it-IT"/>
              </w:rPr>
              <w:t>Average rank</w:t>
            </w:r>
          </w:p>
        </w:tc>
      </w:tr>
      <w:tr w:rsidR="004A7112" w:rsidRPr="004A7112" w14:paraId="51AFB09B" w14:textId="77777777" w:rsidTr="004A5D49">
        <w:trPr>
          <w:trHeight w:val="340"/>
        </w:trPr>
        <w:tc>
          <w:tcPr>
            <w:tcW w:w="1020" w:type="dxa"/>
            <w:tcBorders>
              <w:top w:val="nil"/>
              <w:left w:val="single" w:sz="4" w:space="0" w:color="auto"/>
              <w:bottom w:val="nil"/>
            </w:tcBorders>
            <w:vAlign w:val="center"/>
          </w:tcPr>
          <w:p w14:paraId="18A0EA6A"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001</w:t>
            </w:r>
          </w:p>
        </w:tc>
        <w:tc>
          <w:tcPr>
            <w:tcW w:w="1701" w:type="dxa"/>
            <w:tcBorders>
              <w:top w:val="nil"/>
              <w:left w:val="nil"/>
              <w:bottom w:val="nil"/>
              <w:right w:val="nil"/>
            </w:tcBorders>
            <w:shd w:val="clear" w:color="auto" w:fill="auto"/>
            <w:noWrap/>
            <w:vAlign w:val="center"/>
            <w:hideMark/>
          </w:tcPr>
          <w:p w14:paraId="704D949C"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6</w:t>
            </w:r>
          </w:p>
        </w:tc>
        <w:tc>
          <w:tcPr>
            <w:tcW w:w="1701" w:type="dxa"/>
            <w:tcBorders>
              <w:top w:val="nil"/>
              <w:left w:val="nil"/>
              <w:bottom w:val="nil"/>
              <w:right w:val="nil"/>
            </w:tcBorders>
            <w:shd w:val="clear" w:color="auto" w:fill="auto"/>
            <w:noWrap/>
            <w:vAlign w:val="center"/>
            <w:hideMark/>
          </w:tcPr>
          <w:p w14:paraId="6B4B1609"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0.0909</w:t>
            </w:r>
          </w:p>
        </w:tc>
        <w:tc>
          <w:tcPr>
            <w:tcW w:w="1701" w:type="dxa"/>
            <w:tcBorders>
              <w:top w:val="nil"/>
              <w:left w:val="nil"/>
              <w:bottom w:val="nil"/>
              <w:right w:val="nil"/>
            </w:tcBorders>
            <w:shd w:val="clear" w:color="auto" w:fill="auto"/>
            <w:noWrap/>
            <w:vAlign w:val="center"/>
            <w:hideMark/>
          </w:tcPr>
          <w:p w14:paraId="3A9950BB"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1</w:t>
            </w:r>
          </w:p>
        </w:tc>
        <w:tc>
          <w:tcPr>
            <w:tcW w:w="1701" w:type="dxa"/>
            <w:tcBorders>
              <w:top w:val="nil"/>
              <w:left w:val="nil"/>
              <w:bottom w:val="nil"/>
              <w:right w:val="nil"/>
            </w:tcBorders>
            <w:shd w:val="clear" w:color="auto" w:fill="auto"/>
            <w:noWrap/>
            <w:vAlign w:val="center"/>
            <w:hideMark/>
          </w:tcPr>
          <w:p w14:paraId="26BADA58"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0.3333</w:t>
            </w:r>
          </w:p>
        </w:tc>
        <w:tc>
          <w:tcPr>
            <w:tcW w:w="1701" w:type="dxa"/>
            <w:tcBorders>
              <w:top w:val="nil"/>
              <w:left w:val="nil"/>
              <w:bottom w:val="nil"/>
              <w:right w:val="single" w:sz="4" w:space="0" w:color="auto"/>
            </w:tcBorders>
            <w:shd w:val="clear" w:color="auto" w:fill="auto"/>
            <w:noWrap/>
            <w:vAlign w:val="center"/>
            <w:hideMark/>
          </w:tcPr>
          <w:p w14:paraId="69573596"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0.2121</w:t>
            </w:r>
          </w:p>
        </w:tc>
      </w:tr>
      <w:tr w:rsidR="004A7112" w:rsidRPr="004A7112" w14:paraId="3E368877" w14:textId="77777777" w:rsidTr="004A5D49">
        <w:trPr>
          <w:trHeight w:val="340"/>
        </w:trPr>
        <w:tc>
          <w:tcPr>
            <w:tcW w:w="1020" w:type="dxa"/>
            <w:tcBorders>
              <w:top w:val="nil"/>
              <w:left w:val="single" w:sz="4" w:space="0" w:color="auto"/>
              <w:bottom w:val="nil"/>
            </w:tcBorders>
            <w:vAlign w:val="center"/>
          </w:tcPr>
          <w:p w14:paraId="5C17007A"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002</w:t>
            </w:r>
          </w:p>
        </w:tc>
        <w:tc>
          <w:tcPr>
            <w:tcW w:w="1701" w:type="dxa"/>
            <w:tcBorders>
              <w:top w:val="nil"/>
              <w:left w:val="nil"/>
              <w:bottom w:val="nil"/>
              <w:right w:val="nil"/>
            </w:tcBorders>
            <w:shd w:val="clear" w:color="auto" w:fill="auto"/>
            <w:noWrap/>
            <w:vAlign w:val="center"/>
            <w:hideMark/>
          </w:tcPr>
          <w:p w14:paraId="797A1DCF"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7</w:t>
            </w:r>
          </w:p>
        </w:tc>
        <w:tc>
          <w:tcPr>
            <w:tcW w:w="1701" w:type="dxa"/>
            <w:tcBorders>
              <w:top w:val="nil"/>
              <w:left w:val="nil"/>
              <w:bottom w:val="nil"/>
              <w:right w:val="nil"/>
            </w:tcBorders>
            <w:shd w:val="clear" w:color="auto" w:fill="auto"/>
            <w:noWrap/>
            <w:vAlign w:val="center"/>
            <w:hideMark/>
          </w:tcPr>
          <w:p w14:paraId="5CD69811"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0.0758</w:t>
            </w:r>
          </w:p>
        </w:tc>
        <w:tc>
          <w:tcPr>
            <w:tcW w:w="1701" w:type="dxa"/>
            <w:tcBorders>
              <w:top w:val="nil"/>
              <w:left w:val="nil"/>
              <w:bottom w:val="nil"/>
              <w:right w:val="nil"/>
            </w:tcBorders>
            <w:shd w:val="clear" w:color="auto" w:fill="auto"/>
            <w:noWrap/>
            <w:vAlign w:val="center"/>
            <w:hideMark/>
          </w:tcPr>
          <w:p w14:paraId="2F94A668"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5</w:t>
            </w:r>
          </w:p>
        </w:tc>
        <w:tc>
          <w:tcPr>
            <w:tcW w:w="1701" w:type="dxa"/>
            <w:tcBorders>
              <w:top w:val="nil"/>
              <w:left w:val="nil"/>
              <w:bottom w:val="nil"/>
              <w:right w:val="nil"/>
            </w:tcBorders>
            <w:shd w:val="clear" w:color="auto" w:fill="auto"/>
            <w:noWrap/>
            <w:vAlign w:val="center"/>
            <w:hideMark/>
          </w:tcPr>
          <w:p w14:paraId="74C0C2A3"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0.0667</w:t>
            </w:r>
          </w:p>
        </w:tc>
        <w:tc>
          <w:tcPr>
            <w:tcW w:w="1701" w:type="dxa"/>
            <w:tcBorders>
              <w:top w:val="nil"/>
              <w:left w:val="nil"/>
              <w:bottom w:val="nil"/>
              <w:right w:val="single" w:sz="4" w:space="0" w:color="auto"/>
            </w:tcBorders>
            <w:shd w:val="clear" w:color="auto" w:fill="auto"/>
            <w:noWrap/>
            <w:vAlign w:val="center"/>
            <w:hideMark/>
          </w:tcPr>
          <w:p w14:paraId="21F7E5C5"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0.0712</w:t>
            </w:r>
          </w:p>
        </w:tc>
      </w:tr>
      <w:tr w:rsidR="004A7112" w:rsidRPr="004A7112" w14:paraId="127C8417" w14:textId="77777777" w:rsidTr="004A5D49">
        <w:trPr>
          <w:trHeight w:val="340"/>
        </w:trPr>
        <w:tc>
          <w:tcPr>
            <w:tcW w:w="1020" w:type="dxa"/>
            <w:tcBorders>
              <w:top w:val="nil"/>
              <w:left w:val="single" w:sz="4" w:space="0" w:color="auto"/>
              <w:bottom w:val="nil"/>
            </w:tcBorders>
            <w:vAlign w:val="center"/>
          </w:tcPr>
          <w:p w14:paraId="4D1E0529"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003</w:t>
            </w:r>
          </w:p>
        </w:tc>
        <w:tc>
          <w:tcPr>
            <w:tcW w:w="1701" w:type="dxa"/>
            <w:tcBorders>
              <w:top w:val="nil"/>
              <w:left w:val="nil"/>
              <w:bottom w:val="nil"/>
              <w:right w:val="nil"/>
            </w:tcBorders>
            <w:shd w:val="clear" w:color="auto" w:fill="auto"/>
            <w:noWrap/>
            <w:vAlign w:val="center"/>
            <w:hideMark/>
          </w:tcPr>
          <w:p w14:paraId="13B8DE1F"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11</w:t>
            </w:r>
          </w:p>
        </w:tc>
        <w:tc>
          <w:tcPr>
            <w:tcW w:w="1701" w:type="dxa"/>
            <w:tcBorders>
              <w:top w:val="nil"/>
              <w:left w:val="nil"/>
              <w:bottom w:val="nil"/>
              <w:right w:val="nil"/>
            </w:tcBorders>
            <w:shd w:val="clear" w:color="auto" w:fill="auto"/>
            <w:noWrap/>
            <w:vAlign w:val="center"/>
            <w:hideMark/>
          </w:tcPr>
          <w:p w14:paraId="362E1824"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0.0152</w:t>
            </w:r>
          </w:p>
        </w:tc>
        <w:tc>
          <w:tcPr>
            <w:tcW w:w="1701" w:type="dxa"/>
            <w:tcBorders>
              <w:top w:val="nil"/>
              <w:left w:val="nil"/>
              <w:bottom w:val="nil"/>
              <w:right w:val="nil"/>
            </w:tcBorders>
            <w:shd w:val="clear" w:color="auto" w:fill="auto"/>
            <w:noWrap/>
            <w:vAlign w:val="center"/>
            <w:hideMark/>
          </w:tcPr>
          <w:p w14:paraId="2160DE7E"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4</w:t>
            </w:r>
          </w:p>
        </w:tc>
        <w:tc>
          <w:tcPr>
            <w:tcW w:w="1701" w:type="dxa"/>
            <w:tcBorders>
              <w:top w:val="nil"/>
              <w:left w:val="nil"/>
              <w:bottom w:val="nil"/>
              <w:right w:val="nil"/>
            </w:tcBorders>
            <w:shd w:val="clear" w:color="auto" w:fill="auto"/>
            <w:noWrap/>
            <w:vAlign w:val="center"/>
            <w:hideMark/>
          </w:tcPr>
          <w:p w14:paraId="1C445135"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0.1333</w:t>
            </w:r>
          </w:p>
        </w:tc>
        <w:tc>
          <w:tcPr>
            <w:tcW w:w="1701" w:type="dxa"/>
            <w:tcBorders>
              <w:top w:val="nil"/>
              <w:left w:val="nil"/>
              <w:bottom w:val="nil"/>
              <w:right w:val="single" w:sz="4" w:space="0" w:color="auto"/>
            </w:tcBorders>
            <w:shd w:val="clear" w:color="auto" w:fill="auto"/>
            <w:noWrap/>
            <w:vAlign w:val="center"/>
            <w:hideMark/>
          </w:tcPr>
          <w:p w14:paraId="03EC1209"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0.0742</w:t>
            </w:r>
          </w:p>
        </w:tc>
      </w:tr>
      <w:tr w:rsidR="004A7112" w:rsidRPr="004A7112" w14:paraId="44EE4A39" w14:textId="77777777" w:rsidTr="004A5D49">
        <w:trPr>
          <w:trHeight w:val="340"/>
        </w:trPr>
        <w:tc>
          <w:tcPr>
            <w:tcW w:w="1020" w:type="dxa"/>
            <w:tcBorders>
              <w:top w:val="nil"/>
              <w:left w:val="single" w:sz="4" w:space="0" w:color="auto"/>
            </w:tcBorders>
            <w:vAlign w:val="center"/>
          </w:tcPr>
          <w:p w14:paraId="4DE42F43"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w:t>
            </w:r>
          </w:p>
        </w:tc>
        <w:tc>
          <w:tcPr>
            <w:tcW w:w="1701" w:type="dxa"/>
            <w:tcBorders>
              <w:top w:val="nil"/>
              <w:left w:val="nil"/>
              <w:right w:val="nil"/>
            </w:tcBorders>
            <w:shd w:val="clear" w:color="auto" w:fill="auto"/>
            <w:noWrap/>
            <w:vAlign w:val="center"/>
          </w:tcPr>
          <w:p w14:paraId="45F5ED10"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w:t>
            </w:r>
          </w:p>
        </w:tc>
        <w:tc>
          <w:tcPr>
            <w:tcW w:w="1701" w:type="dxa"/>
            <w:tcBorders>
              <w:top w:val="nil"/>
              <w:left w:val="nil"/>
              <w:right w:val="nil"/>
            </w:tcBorders>
            <w:shd w:val="clear" w:color="auto" w:fill="auto"/>
            <w:noWrap/>
            <w:vAlign w:val="center"/>
          </w:tcPr>
          <w:p w14:paraId="069462D8"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w:t>
            </w:r>
          </w:p>
        </w:tc>
        <w:tc>
          <w:tcPr>
            <w:tcW w:w="1701" w:type="dxa"/>
            <w:tcBorders>
              <w:top w:val="nil"/>
              <w:left w:val="nil"/>
              <w:right w:val="nil"/>
            </w:tcBorders>
            <w:shd w:val="clear" w:color="auto" w:fill="auto"/>
            <w:noWrap/>
            <w:vAlign w:val="center"/>
          </w:tcPr>
          <w:p w14:paraId="05A0BEC1"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w:t>
            </w:r>
          </w:p>
        </w:tc>
        <w:tc>
          <w:tcPr>
            <w:tcW w:w="1701" w:type="dxa"/>
            <w:tcBorders>
              <w:top w:val="nil"/>
              <w:left w:val="nil"/>
              <w:right w:val="nil"/>
            </w:tcBorders>
            <w:shd w:val="clear" w:color="auto" w:fill="auto"/>
            <w:noWrap/>
            <w:vAlign w:val="center"/>
          </w:tcPr>
          <w:p w14:paraId="02C2B421"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w:t>
            </w:r>
          </w:p>
        </w:tc>
        <w:tc>
          <w:tcPr>
            <w:tcW w:w="1701" w:type="dxa"/>
            <w:tcBorders>
              <w:top w:val="nil"/>
              <w:left w:val="nil"/>
              <w:right w:val="single" w:sz="4" w:space="0" w:color="auto"/>
            </w:tcBorders>
            <w:shd w:val="clear" w:color="auto" w:fill="auto"/>
            <w:noWrap/>
            <w:vAlign w:val="center"/>
          </w:tcPr>
          <w:p w14:paraId="02850A71"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w:t>
            </w:r>
          </w:p>
        </w:tc>
      </w:tr>
      <w:tr w:rsidR="004A7112" w:rsidRPr="004A7112" w14:paraId="2866C280" w14:textId="77777777" w:rsidTr="004A5D49">
        <w:trPr>
          <w:trHeight w:val="340"/>
        </w:trPr>
        <w:tc>
          <w:tcPr>
            <w:tcW w:w="1020" w:type="dxa"/>
            <w:tcBorders>
              <w:top w:val="nil"/>
              <w:left w:val="single" w:sz="4" w:space="0" w:color="auto"/>
              <w:bottom w:val="single" w:sz="4" w:space="0" w:color="auto"/>
            </w:tcBorders>
            <w:vAlign w:val="center"/>
          </w:tcPr>
          <w:p w14:paraId="04A24DE3"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221</w:t>
            </w:r>
          </w:p>
        </w:tc>
        <w:tc>
          <w:tcPr>
            <w:tcW w:w="1701" w:type="dxa"/>
            <w:tcBorders>
              <w:top w:val="nil"/>
              <w:left w:val="nil"/>
              <w:bottom w:val="single" w:sz="4" w:space="0" w:color="auto"/>
              <w:right w:val="nil"/>
            </w:tcBorders>
            <w:shd w:val="clear" w:color="auto" w:fill="auto"/>
            <w:noWrap/>
            <w:vAlign w:val="center"/>
            <w:hideMark/>
          </w:tcPr>
          <w:p w14:paraId="6192BFD9"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1</w:t>
            </w:r>
          </w:p>
        </w:tc>
        <w:tc>
          <w:tcPr>
            <w:tcW w:w="1701" w:type="dxa"/>
            <w:tcBorders>
              <w:top w:val="nil"/>
              <w:left w:val="nil"/>
              <w:bottom w:val="single" w:sz="4" w:space="0" w:color="auto"/>
              <w:right w:val="nil"/>
            </w:tcBorders>
            <w:shd w:val="clear" w:color="auto" w:fill="auto"/>
            <w:noWrap/>
            <w:vAlign w:val="center"/>
            <w:hideMark/>
          </w:tcPr>
          <w:p w14:paraId="55D6E57C"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0.1667</w:t>
            </w:r>
          </w:p>
        </w:tc>
        <w:tc>
          <w:tcPr>
            <w:tcW w:w="1701" w:type="dxa"/>
            <w:tcBorders>
              <w:top w:val="nil"/>
              <w:left w:val="nil"/>
              <w:bottom w:val="single" w:sz="4" w:space="0" w:color="auto"/>
              <w:right w:val="nil"/>
            </w:tcBorders>
            <w:shd w:val="clear" w:color="auto" w:fill="auto"/>
            <w:noWrap/>
            <w:vAlign w:val="center"/>
            <w:hideMark/>
          </w:tcPr>
          <w:p w14:paraId="302EB757"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2</w:t>
            </w:r>
          </w:p>
        </w:tc>
        <w:tc>
          <w:tcPr>
            <w:tcW w:w="1701" w:type="dxa"/>
            <w:tcBorders>
              <w:top w:val="nil"/>
              <w:left w:val="nil"/>
              <w:bottom w:val="single" w:sz="4" w:space="0" w:color="auto"/>
              <w:right w:val="nil"/>
            </w:tcBorders>
            <w:shd w:val="clear" w:color="auto" w:fill="auto"/>
            <w:noWrap/>
            <w:vAlign w:val="center"/>
            <w:hideMark/>
          </w:tcPr>
          <w:p w14:paraId="0B3C50A9"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0.2667</w:t>
            </w:r>
          </w:p>
        </w:tc>
        <w:tc>
          <w:tcPr>
            <w:tcW w:w="1701" w:type="dxa"/>
            <w:tcBorders>
              <w:top w:val="nil"/>
              <w:left w:val="nil"/>
              <w:bottom w:val="single" w:sz="4" w:space="0" w:color="auto"/>
              <w:right w:val="single" w:sz="4" w:space="0" w:color="auto"/>
            </w:tcBorders>
            <w:shd w:val="clear" w:color="auto" w:fill="auto"/>
            <w:noWrap/>
            <w:vAlign w:val="center"/>
            <w:hideMark/>
          </w:tcPr>
          <w:p w14:paraId="23EF24E2" w14:textId="77777777" w:rsidR="004A7112" w:rsidRPr="004A7112" w:rsidRDefault="004A7112" w:rsidP="004A5D49">
            <w:pPr>
              <w:spacing w:line="240" w:lineRule="auto"/>
              <w:jc w:val="center"/>
              <w:rPr>
                <w:rFonts w:ascii="Calibri" w:eastAsia="Times New Roman" w:hAnsi="Calibri" w:cs="Times New Roman"/>
                <w:color w:val="000000"/>
                <w:lang w:val="en-US" w:eastAsia="it-IT"/>
              </w:rPr>
            </w:pPr>
            <w:r w:rsidRPr="004A7112">
              <w:rPr>
                <w:rFonts w:ascii="Calibri" w:eastAsia="Times New Roman" w:hAnsi="Calibri" w:cs="Times New Roman"/>
                <w:color w:val="000000"/>
                <w:lang w:val="en-US" w:eastAsia="it-IT"/>
              </w:rPr>
              <w:t>0.2167</w:t>
            </w:r>
          </w:p>
        </w:tc>
      </w:tr>
    </w:tbl>
    <w:p w14:paraId="012D8DDF" w14:textId="77777777" w:rsidR="0061220F" w:rsidRPr="00F2670D" w:rsidRDefault="0061220F" w:rsidP="0061220F">
      <w:pPr>
        <w:rPr>
          <w:lang w:val="en-US"/>
        </w:rPr>
      </w:pPr>
    </w:p>
    <w:p w14:paraId="4BA85517" w14:textId="77777777" w:rsidR="0061220F" w:rsidRPr="00F2670D" w:rsidRDefault="0061220F" w:rsidP="0061220F">
      <w:pPr>
        <w:rPr>
          <w:lang w:val="en-US"/>
        </w:rPr>
      </w:pPr>
      <w:r w:rsidRPr="00F2670D">
        <w:rPr>
          <w:lang w:val="en-US"/>
        </w:rPr>
        <w:lastRenderedPageBreak/>
        <w:t xml:space="preserve">The frequency histogram of the average rank shows a slight right-skewed (non-normal) distribution (Fig. 4), </w:t>
      </w:r>
      <w:r>
        <w:rPr>
          <w:lang w:val="en-US"/>
        </w:rPr>
        <w:t>thus</w:t>
      </w:r>
      <w:r w:rsidRPr="00F2670D">
        <w:rPr>
          <w:lang w:val="en-US"/>
        </w:rPr>
        <w:t xml:space="preserve"> the median value is identified as an optimal measure of its central tendency and it is selected as the threshold (Masetti et al., 2009). With the median value of 0.1167 representing a “reference critical value” for groundwater quality, wells with an average rank higher than 0.1167 constitute the training set, and those below 0.1167 form the control set.</w:t>
      </w:r>
    </w:p>
    <w:p w14:paraId="13D52C3A" w14:textId="5F8A44EF" w:rsidR="0061220F" w:rsidRDefault="0061220F" w:rsidP="0061220F">
      <w:pPr>
        <w:rPr>
          <w:lang w:val="en-US"/>
        </w:rPr>
      </w:pPr>
      <w:r w:rsidRPr="00F2670D">
        <w:rPr>
          <w:lang w:val="en-US"/>
        </w:rPr>
        <w:t>Th</w:t>
      </w:r>
      <w:r w:rsidR="00D3626A">
        <w:rPr>
          <w:lang w:val="en-US"/>
        </w:rPr>
        <w:t>e same procedure, used for the spatio-temporal model,</w:t>
      </w:r>
      <w:r w:rsidRPr="00F2670D">
        <w:rPr>
          <w:lang w:val="en-US"/>
        </w:rPr>
        <w:t xml:space="preserve"> is used to ident</w:t>
      </w:r>
      <w:r w:rsidR="00D3626A">
        <w:rPr>
          <w:lang w:val="en-US"/>
        </w:rPr>
        <w:t xml:space="preserve">ify the training set for the </w:t>
      </w:r>
      <w:r w:rsidRPr="00F2670D">
        <w:rPr>
          <w:lang w:val="en-US"/>
        </w:rPr>
        <w:t>pr</w:t>
      </w:r>
      <w:r w:rsidR="00D3626A">
        <w:rPr>
          <w:lang w:val="en-US"/>
        </w:rPr>
        <w:t>edictive spatio-temporal model,</w:t>
      </w:r>
      <w:r w:rsidRPr="00F2670D">
        <w:rPr>
          <w:lang w:val="en-US"/>
        </w:rPr>
        <w:t xml:space="preserve"> with the exception that the nitrate concentration at time t</w:t>
      </w:r>
      <w:r w:rsidRPr="00F2670D">
        <w:rPr>
          <w:vertAlign w:val="subscript"/>
          <w:lang w:val="en-US"/>
        </w:rPr>
        <w:t>2</w:t>
      </w:r>
      <w:r w:rsidRPr="00F2670D">
        <w:rPr>
          <w:lang w:val="en-US"/>
        </w:rPr>
        <w:t xml:space="preserve"> is calculated </w:t>
      </w:r>
      <w:r>
        <w:rPr>
          <w:lang w:val="en-US"/>
        </w:rPr>
        <w:t>using</w:t>
      </w:r>
      <w:r w:rsidRPr="00F2670D">
        <w:rPr>
          <w:lang w:val="en-US"/>
        </w:rPr>
        <w:t xml:space="preserve"> a hypothetical trend between t</w:t>
      </w:r>
      <w:r w:rsidRPr="00F2670D">
        <w:rPr>
          <w:vertAlign w:val="subscript"/>
          <w:lang w:val="en-US"/>
        </w:rPr>
        <w:t>1</w:t>
      </w:r>
      <w:r w:rsidRPr="00F2670D">
        <w:rPr>
          <w:lang w:val="en-US"/>
        </w:rPr>
        <w:t xml:space="preserve"> and t</w:t>
      </w:r>
      <w:r w:rsidRPr="00F2670D">
        <w:rPr>
          <w:vertAlign w:val="subscript"/>
          <w:lang w:val="en-US"/>
        </w:rPr>
        <w:t>2</w:t>
      </w:r>
      <w:r w:rsidRPr="00F2670D">
        <w:rPr>
          <w:lang w:val="en-US"/>
        </w:rPr>
        <w:t>. Then, in ord</w:t>
      </w:r>
      <w:r w:rsidR="00D3626A">
        <w:rPr>
          <w:lang w:val="en-US"/>
        </w:rPr>
        <w:t>er to consistently compare the spatio-temporal and the predictive spatio-temporal</w:t>
      </w:r>
      <w:r w:rsidRPr="00F2670D">
        <w:rPr>
          <w:lang w:val="en-US"/>
        </w:rPr>
        <w:t xml:space="preserve"> models, the same threshold value is selected and the same number of training points is used. These choices impl</w:t>
      </w:r>
      <w:r>
        <w:rPr>
          <w:lang w:val="en-US"/>
        </w:rPr>
        <w:t>y</w:t>
      </w:r>
      <w:r w:rsidRPr="00F2670D">
        <w:rPr>
          <w:lang w:val="en-US"/>
        </w:rPr>
        <w:t xml:space="preserve"> that the prior probability of the two models is the same and so is the “reference critical value” of groundwater quality.</w:t>
      </w:r>
    </w:p>
    <w:p w14:paraId="56835F90" w14:textId="77777777" w:rsidR="00733F07" w:rsidRPr="00F2670D" w:rsidRDefault="00733F07" w:rsidP="0061220F">
      <w:pPr>
        <w:rPr>
          <w:lang w:val="en-US"/>
        </w:rPr>
      </w:pPr>
    </w:p>
    <w:p w14:paraId="2841319E" w14:textId="77777777" w:rsidR="0061220F" w:rsidRPr="00F2670D" w:rsidRDefault="0061220F" w:rsidP="0061220F">
      <w:pPr>
        <w:pStyle w:val="Titolo2"/>
      </w:pPr>
      <w:r w:rsidRPr="00F2670D">
        <w:t>Evidential themes</w:t>
      </w:r>
    </w:p>
    <w:p w14:paraId="68193FDB" w14:textId="662B1546" w:rsidR="0061220F" w:rsidRPr="00F2670D" w:rsidRDefault="0061220F" w:rsidP="0061220F">
      <w:pPr>
        <w:rPr>
          <w:lang w:val="en-US"/>
        </w:rPr>
      </w:pPr>
      <w:r w:rsidRPr="00F2670D">
        <w:rPr>
          <w:lang w:val="en-US"/>
        </w:rPr>
        <w:t>The six explanatory variables selected for the analyses (§ 2.3) need to be consistent with</w:t>
      </w:r>
      <w:r w:rsidR="00D3626A">
        <w:rPr>
          <w:lang w:val="en-US"/>
        </w:rPr>
        <w:t xml:space="preserve"> the bases used to develop the spatio-temporal and predictive spatio-temporal</w:t>
      </w:r>
      <w:r w:rsidRPr="00F2670D">
        <w:rPr>
          <w:lang w:val="en-US"/>
        </w:rPr>
        <w:t xml:space="preserve"> models.</w:t>
      </w:r>
    </w:p>
    <w:p w14:paraId="2BB39D03" w14:textId="77777777" w:rsidR="0061220F" w:rsidRPr="00F2670D" w:rsidRDefault="0061220F" w:rsidP="0061220F">
      <w:pPr>
        <w:rPr>
          <w:lang w:val="en-US"/>
        </w:rPr>
      </w:pPr>
      <w:r w:rsidRPr="00F2670D">
        <w:rPr>
          <w:lang w:val="en-US"/>
        </w:rPr>
        <w:t>Natural factors are stable and considered as time invariable. Anthropogenic factors, which represent urban and agricultural nitrate sources, are handled by applying a formula that considers both the status of the variable at t</w:t>
      </w:r>
      <w:r w:rsidRPr="00F2670D">
        <w:rPr>
          <w:vertAlign w:val="subscript"/>
          <w:lang w:val="en-US"/>
        </w:rPr>
        <w:t>1</w:t>
      </w:r>
      <w:r w:rsidRPr="00F2670D">
        <w:rPr>
          <w:lang w:val="en-US"/>
        </w:rPr>
        <w:t xml:space="preserve"> (or t</w:t>
      </w:r>
      <w:r w:rsidRPr="00F2670D">
        <w:rPr>
          <w:vertAlign w:val="subscript"/>
          <w:lang w:val="en-US"/>
        </w:rPr>
        <w:t>2</w:t>
      </w:r>
      <w:r w:rsidRPr="00F2670D">
        <w:rPr>
          <w:lang w:val="en-US"/>
        </w:rPr>
        <w:t>) and its evolution from t</w:t>
      </w:r>
      <w:r w:rsidRPr="00F2670D">
        <w:rPr>
          <w:vertAlign w:val="subscript"/>
          <w:lang w:val="en-US"/>
        </w:rPr>
        <w:t>0</w:t>
      </w:r>
      <w:r w:rsidRPr="00F2670D">
        <w:rPr>
          <w:lang w:val="en-US"/>
        </w:rPr>
        <w:t xml:space="preserve"> to t</w:t>
      </w:r>
      <w:r w:rsidRPr="00F2670D">
        <w:rPr>
          <w:vertAlign w:val="subscript"/>
          <w:lang w:val="en-US"/>
        </w:rPr>
        <w:t>1</w:t>
      </w:r>
      <w:r w:rsidRPr="00F2670D">
        <w:rPr>
          <w:lang w:val="en-US"/>
        </w:rPr>
        <w:t xml:space="preserve"> (or t</w:t>
      </w:r>
      <w:r w:rsidRPr="00F2670D">
        <w:rPr>
          <w:vertAlign w:val="subscript"/>
          <w:lang w:val="en-US"/>
        </w:rPr>
        <w:t>1</w:t>
      </w:r>
      <w:r w:rsidRPr="00F2670D">
        <w:rPr>
          <w:lang w:val="en-US"/>
        </w:rPr>
        <w:t xml:space="preserve"> to t</w:t>
      </w:r>
      <w:r w:rsidRPr="00F2670D">
        <w:rPr>
          <w:vertAlign w:val="subscript"/>
          <w:lang w:val="en-US"/>
        </w:rPr>
        <w:t>2</w:t>
      </w:r>
      <w:r w:rsidRPr="00F2670D">
        <w:rPr>
          <w:lang w:val="en-US"/>
        </w:rPr>
        <w:t>), as expressed below:</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61220F" w:rsidRPr="00F2670D" w14:paraId="2121CB22" w14:textId="77777777" w:rsidTr="00DE05F4">
        <w:tc>
          <w:tcPr>
            <w:tcW w:w="8642" w:type="dxa"/>
            <w:vAlign w:val="center"/>
          </w:tcPr>
          <w:p w14:paraId="249B3783" w14:textId="77777777" w:rsidR="0061220F" w:rsidRPr="00F2670D" w:rsidRDefault="0061220F" w:rsidP="00DE05F4">
            <w:pPr>
              <w:jc w:val="left"/>
              <w:rPr>
                <w:lang w:val="en-US"/>
              </w:rPr>
            </w:pPr>
            <m:oMathPara>
              <m:oMath>
                <m:r>
                  <m:rPr>
                    <m:sty m:val="p"/>
                  </m:rPr>
                  <w:rPr>
                    <w:rFonts w:ascii="Cambria Math" w:hAnsi="Cambria Math"/>
                    <w:lang w:val="en-US"/>
                  </w:rPr>
                  <m:t>Nitrate source "SpatialTemporal" value</m:t>
                </m:r>
                <m:r>
                  <w:rPr>
                    <w:rFonts w:ascii="Cambria Math" w:hAnsi="Cambria Math"/>
                    <w:lang w:val="en-US"/>
                  </w:rPr>
                  <m:t xml:space="preserve"> = </m:t>
                </m:r>
                <m:f>
                  <m:fPr>
                    <m:ctrlPr>
                      <w:rPr>
                        <w:rFonts w:ascii="Cambria Math" w:hAnsi="Cambria Math"/>
                        <w:lang w:val="en-US"/>
                      </w:rPr>
                    </m:ctrlPr>
                  </m:fPr>
                  <m:num>
                    <m:r>
                      <m:rPr>
                        <m:sty m:val="p"/>
                      </m:rPr>
                      <w:rPr>
                        <w:rFonts w:ascii="Cambria Math" w:hAnsi="Cambria Math"/>
                        <w:lang w:val="en-US"/>
                      </w:rPr>
                      <m:t xml:space="preserve">|Value at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1</m:t>
                        </m:r>
                      </m:sub>
                    </m:sSub>
                    <m:r>
                      <w:rPr>
                        <w:rFonts w:ascii="Cambria Math" w:hAnsi="Cambria Math"/>
                        <w:lang w:val="en-US"/>
                      </w:rPr>
                      <m:t>|</m:t>
                    </m:r>
                  </m:num>
                  <m:den>
                    <m:r>
                      <m:rPr>
                        <m:sty m:val="p"/>
                      </m:rPr>
                      <w:rPr>
                        <w:rFonts w:ascii="Cambria Math" w:hAnsi="Cambria Math"/>
                        <w:lang w:val="en-US"/>
                      </w:rPr>
                      <m:t>Mean of the value</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 xml:space="preserve">Variation from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0</m:t>
                        </m:r>
                      </m:sub>
                    </m:sSub>
                    <m:r>
                      <m:rPr>
                        <m:sty m:val="p"/>
                      </m:rPr>
                      <w:rPr>
                        <w:rFonts w:ascii="Cambria Math" w:hAnsi="Cambria Math"/>
                        <w:lang w:val="en-US"/>
                      </w:rPr>
                      <m:t xml:space="preserve"> to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1</m:t>
                        </m:r>
                      </m:sub>
                    </m:sSub>
                  </m:num>
                  <m:den>
                    <m:r>
                      <m:rPr>
                        <m:sty m:val="p"/>
                      </m:rPr>
                      <w:rPr>
                        <w:rFonts w:ascii="Cambria Math" w:hAnsi="Cambria Math"/>
                        <w:lang w:val="en-US"/>
                      </w:rPr>
                      <m:t>Mean of the variation</m:t>
                    </m:r>
                  </m:den>
                </m:f>
              </m:oMath>
            </m:oMathPara>
          </w:p>
        </w:tc>
        <w:tc>
          <w:tcPr>
            <w:tcW w:w="986" w:type="dxa"/>
            <w:vAlign w:val="center"/>
          </w:tcPr>
          <w:p w14:paraId="71AD51A3" w14:textId="77777777" w:rsidR="0061220F" w:rsidRPr="00F2670D" w:rsidRDefault="0061220F" w:rsidP="00DE05F4">
            <w:pPr>
              <w:jc w:val="right"/>
              <w:rPr>
                <w:lang w:val="en-US"/>
              </w:rPr>
            </w:pPr>
            <w:r w:rsidRPr="00F2670D">
              <w:rPr>
                <w:lang w:val="en-US"/>
              </w:rPr>
              <w:t>(2)</w:t>
            </w:r>
          </w:p>
        </w:tc>
      </w:tr>
    </w:tbl>
    <w:p w14:paraId="287AA701" w14:textId="77777777" w:rsidR="0061220F" w:rsidRPr="00F2670D" w:rsidRDefault="0061220F" w:rsidP="0061220F">
      <w:pPr>
        <w:rPr>
          <w:lang w:val="en-US"/>
        </w:rPr>
      </w:pPr>
      <w:r w:rsidRPr="00F2670D">
        <w:rPr>
          <w:lang w:val="en-US"/>
        </w:rPr>
        <w:t xml:space="preserve">where the means are calculated over the entire study area and are used to normalize the two terms of the equations. The formula is applied separately to urban and agricultural evidential themes (QuikSCAT-DSM datasets and </w:t>
      </w:r>
      <w:r>
        <w:rPr>
          <w:lang w:val="en-US"/>
        </w:rPr>
        <w:t>n</w:t>
      </w:r>
      <w:r w:rsidRPr="00F2670D">
        <w:rPr>
          <w:lang w:val="en-US"/>
        </w:rPr>
        <w:t>itrogen fertilizer loadings, Tab. 1).</w:t>
      </w:r>
    </w:p>
    <w:p w14:paraId="04658811" w14:textId="77777777" w:rsidR="0061220F" w:rsidRPr="00F2670D" w:rsidRDefault="0061220F" w:rsidP="0061220F">
      <w:pPr>
        <w:pStyle w:val="Nessunaspaziatura"/>
        <w:spacing w:line="360" w:lineRule="auto"/>
        <w:rPr>
          <w:lang w:val="en-US"/>
        </w:rPr>
      </w:pPr>
    </w:p>
    <w:p w14:paraId="46219837" w14:textId="77777777" w:rsidR="0061220F" w:rsidRPr="00F2670D" w:rsidRDefault="0061220F" w:rsidP="0061220F">
      <w:pPr>
        <w:pStyle w:val="Titolo2"/>
      </w:pPr>
      <w:r w:rsidRPr="00F2670D">
        <w:t>Post-probability maps and map of severity</w:t>
      </w:r>
    </w:p>
    <w:p w14:paraId="11D95DFC" w14:textId="54E51855" w:rsidR="0061220F" w:rsidRPr="00F2670D" w:rsidRDefault="0061220F" w:rsidP="0061220F">
      <w:pPr>
        <w:rPr>
          <w:lang w:val="en-US"/>
        </w:rPr>
      </w:pPr>
      <w:r w:rsidRPr="00F2670D">
        <w:rPr>
          <w:lang w:val="en-US"/>
        </w:rPr>
        <w:t>Once all the models are evaluated through the WofE, the post-probabi</w:t>
      </w:r>
      <w:r w:rsidR="00D3626A">
        <w:rPr>
          <w:lang w:val="en-US"/>
        </w:rPr>
        <w:t xml:space="preserve">lity maps can be obtained. The </w:t>
      </w:r>
      <w:r w:rsidRPr="00F2670D">
        <w:rPr>
          <w:lang w:val="en-US"/>
        </w:rPr>
        <w:t>spatial</w:t>
      </w:r>
      <w:r w:rsidR="00D3626A">
        <w:rPr>
          <w:lang w:val="en-US"/>
        </w:rPr>
        <w:t>, temporal and spatio-temporal</w:t>
      </w:r>
      <w:r w:rsidRPr="00F2670D">
        <w:rPr>
          <w:lang w:val="en-US"/>
        </w:rPr>
        <w:t xml:space="preserve"> model</w:t>
      </w:r>
      <w:r>
        <w:rPr>
          <w:lang w:val="en-US"/>
        </w:rPr>
        <w:t>s</w:t>
      </w:r>
      <w:r w:rsidRPr="00F2670D">
        <w:rPr>
          <w:lang w:val="en-US"/>
        </w:rPr>
        <w:t xml:space="preserve"> are categorized in five classes, which represent five degrees of groundwater vulnerability increasing from 1 to 5 based on criteria used to identify vulnerability classes (Sorichetta et al., 2011) and on visual analytic techniques (Cowan, 2001).</w:t>
      </w:r>
    </w:p>
    <w:p w14:paraId="5AF74484" w14:textId="34BC4661" w:rsidR="0061220F" w:rsidRPr="00F2670D" w:rsidRDefault="0061220F" w:rsidP="0061220F">
      <w:pPr>
        <w:rPr>
          <w:lang w:val="en-US"/>
        </w:rPr>
      </w:pPr>
      <w:r w:rsidRPr="00F2670D">
        <w:rPr>
          <w:lang w:val="en-US"/>
        </w:rPr>
        <w:lastRenderedPageBreak/>
        <w:t>The post-probability maps obtained from the spatio-temporal and the predictive spatio-temporal</w:t>
      </w:r>
      <w:r w:rsidR="0027234C">
        <w:rPr>
          <w:lang w:val="en-US"/>
        </w:rPr>
        <w:t xml:space="preserve"> </w:t>
      </w:r>
      <w:r w:rsidRPr="00F2670D">
        <w:rPr>
          <w:lang w:val="en-US"/>
        </w:rPr>
        <w:t xml:space="preserve">models are compared </w:t>
      </w:r>
      <w:r>
        <w:rPr>
          <w:lang w:val="en-US"/>
        </w:rPr>
        <w:t xml:space="preserve">by </w:t>
      </w:r>
      <w:r w:rsidRPr="00F2670D">
        <w:rPr>
          <w:lang w:val="en-US"/>
        </w:rPr>
        <w:t xml:space="preserve">calculating the difference in percentage of the post probabilities in each pixel, and the obtained map is categorized in </w:t>
      </w:r>
      <w:r>
        <w:rPr>
          <w:lang w:val="en-US"/>
        </w:rPr>
        <w:t>five</w:t>
      </w:r>
      <w:r w:rsidRPr="00F2670D">
        <w:rPr>
          <w:lang w:val="en-US"/>
        </w:rPr>
        <w:t xml:space="preserve"> classes of percentage (columns, Tab. 3). The map shows areas where the post-probability increases or decreases between the conditions at time t</w:t>
      </w:r>
      <w:r w:rsidRPr="00F2670D">
        <w:rPr>
          <w:vertAlign w:val="subscript"/>
          <w:lang w:val="en-US"/>
        </w:rPr>
        <w:t>1</w:t>
      </w:r>
      <w:r w:rsidRPr="00F2670D">
        <w:rPr>
          <w:lang w:val="en-US"/>
        </w:rPr>
        <w:t xml:space="preserve"> and t</w:t>
      </w:r>
      <w:r w:rsidRPr="00F2670D">
        <w:rPr>
          <w:vertAlign w:val="subscript"/>
          <w:lang w:val="en-US"/>
        </w:rPr>
        <w:t>2</w:t>
      </w:r>
      <w:r w:rsidRPr="00F2670D">
        <w:rPr>
          <w:lang w:val="en-US"/>
        </w:rPr>
        <w:t>.</w:t>
      </w:r>
    </w:p>
    <w:p w14:paraId="5B0C7017" w14:textId="360388FE" w:rsidR="0061220F" w:rsidRPr="00F2670D" w:rsidRDefault="00D3626A" w:rsidP="0061220F">
      <w:pPr>
        <w:rPr>
          <w:lang w:val="en-US"/>
        </w:rPr>
      </w:pPr>
      <w:r>
        <w:rPr>
          <w:lang w:val="en-US"/>
        </w:rPr>
        <w:t>Then, the comparison map is combined with the spatial model</w:t>
      </w:r>
      <w:r w:rsidR="0061220F" w:rsidRPr="00F2670D">
        <w:rPr>
          <w:lang w:val="en-US"/>
        </w:rPr>
        <w:t xml:space="preserve"> as shown in the matrix in Table 3. The five new cla</w:t>
      </w:r>
      <w:r>
        <w:rPr>
          <w:lang w:val="en-US"/>
        </w:rPr>
        <w:t>sses represent five degrees of severity</w:t>
      </w:r>
      <w:r w:rsidR="0061220F" w:rsidRPr="00F2670D">
        <w:rPr>
          <w:lang w:val="en-US"/>
        </w:rPr>
        <w:t xml:space="preserve"> from 1 to 5</w:t>
      </w:r>
      <w:r w:rsidR="0061220F">
        <w:rPr>
          <w:lang w:val="en-US"/>
        </w:rPr>
        <w:t>,</w:t>
      </w:r>
      <w:r w:rsidR="0061220F" w:rsidRPr="00F2670D">
        <w:rPr>
          <w:lang w:val="en-US"/>
        </w:rPr>
        <w:t xml:space="preserve"> with the higher values </w:t>
      </w:r>
      <w:r w:rsidR="0061220F">
        <w:rPr>
          <w:lang w:val="en-US"/>
        </w:rPr>
        <w:t>representing</w:t>
      </w:r>
      <w:r w:rsidR="0061220F" w:rsidRPr="00F2670D">
        <w:rPr>
          <w:lang w:val="en-US"/>
        </w:rPr>
        <w:t xml:space="preserve"> more severe conditions. The purpose of the </w:t>
      </w:r>
      <w:r w:rsidR="0061220F">
        <w:rPr>
          <w:lang w:val="en-US"/>
        </w:rPr>
        <w:t xml:space="preserve">severity </w:t>
      </w:r>
      <w:r w:rsidR="0061220F" w:rsidRPr="00F2670D">
        <w:rPr>
          <w:lang w:val="en-US"/>
        </w:rPr>
        <w:t>map is to identify critical areas at t</w:t>
      </w:r>
      <w:r w:rsidR="0061220F" w:rsidRPr="00F2670D">
        <w:rPr>
          <w:vertAlign w:val="subscript"/>
          <w:lang w:val="en-US"/>
        </w:rPr>
        <w:t>2</w:t>
      </w:r>
      <w:r w:rsidR="0061220F" w:rsidRPr="00F2670D">
        <w:rPr>
          <w:lang w:val="en-US"/>
        </w:rPr>
        <w:t xml:space="preserve">, </w:t>
      </w:r>
      <w:r w:rsidR="0061220F">
        <w:rPr>
          <w:lang w:val="en-US"/>
        </w:rPr>
        <w:t>based on</w:t>
      </w:r>
      <w:r w:rsidR="0061220F" w:rsidRPr="00F2670D">
        <w:rPr>
          <w:lang w:val="en-US"/>
        </w:rPr>
        <w:t xml:space="preserve"> the vulnerable areas at t</w:t>
      </w:r>
      <w:r w:rsidR="0061220F" w:rsidRPr="00F2670D">
        <w:rPr>
          <w:vertAlign w:val="subscript"/>
          <w:lang w:val="en-US"/>
        </w:rPr>
        <w:t>1</w:t>
      </w:r>
      <w:r w:rsidR="0061220F" w:rsidRPr="00F2670D">
        <w:rPr>
          <w:lang w:val="en-US"/>
        </w:rPr>
        <w:t>. For example, two areas with the same increment of</w:t>
      </w:r>
      <w:r>
        <w:rPr>
          <w:lang w:val="en-US"/>
        </w:rPr>
        <w:t xml:space="preserve"> post probability shown by the comparison map</w:t>
      </w:r>
      <w:r w:rsidR="0061220F" w:rsidRPr="00F2670D">
        <w:rPr>
          <w:lang w:val="en-US"/>
        </w:rPr>
        <w:t xml:space="preserve"> (e.g., higher than 50 %) have two different implica</w:t>
      </w:r>
      <w:r w:rsidR="0061220F">
        <w:rPr>
          <w:lang w:val="en-US"/>
        </w:rPr>
        <w:t>tions</w:t>
      </w:r>
      <w:r>
        <w:rPr>
          <w:lang w:val="en-US"/>
        </w:rPr>
        <w:t xml:space="preserve"> if the class according to the spatial map</w:t>
      </w:r>
      <w:r w:rsidR="0061220F" w:rsidRPr="00F2670D">
        <w:rPr>
          <w:lang w:val="en-US"/>
        </w:rPr>
        <w:t xml:space="preserve"> at t</w:t>
      </w:r>
      <w:r w:rsidR="0061220F" w:rsidRPr="00F2670D">
        <w:rPr>
          <w:vertAlign w:val="subscript"/>
          <w:lang w:val="en-US"/>
        </w:rPr>
        <w:t>1</w:t>
      </w:r>
      <w:r w:rsidR="0061220F" w:rsidRPr="00F2670D">
        <w:rPr>
          <w:lang w:val="en-US"/>
        </w:rPr>
        <w:t xml:space="preserve"> is the least vulnerable (1) or the most vulnerable (5). The former area is less severe (3</w:t>
      </w:r>
      <w:r w:rsidR="0061220F" w:rsidRPr="00F2670D">
        <w:rPr>
          <w:vertAlign w:val="superscript"/>
          <w:lang w:val="en-US"/>
        </w:rPr>
        <w:t>rd</w:t>
      </w:r>
      <w:r w:rsidR="0061220F" w:rsidRPr="00F2670D">
        <w:rPr>
          <w:lang w:val="en-US"/>
        </w:rPr>
        <w:t xml:space="preserve"> class) than the second one (5</w:t>
      </w:r>
      <w:r w:rsidR="0061220F" w:rsidRPr="00F2670D">
        <w:rPr>
          <w:vertAlign w:val="superscript"/>
          <w:lang w:val="en-US"/>
        </w:rPr>
        <w:t>th</w:t>
      </w:r>
      <w:r w:rsidR="0061220F" w:rsidRPr="00F2670D">
        <w:rPr>
          <w:lang w:val="en-US"/>
        </w:rPr>
        <w:t xml:space="preserve"> class).</w:t>
      </w:r>
    </w:p>
    <w:p w14:paraId="2932AE56" w14:textId="77777777" w:rsidR="007945DE" w:rsidRPr="00F2670D" w:rsidRDefault="007945DE" w:rsidP="0061220F">
      <w:pPr>
        <w:rPr>
          <w:lang w:val="en-US"/>
        </w:rPr>
      </w:pPr>
    </w:p>
    <w:p w14:paraId="19DAF7E3" w14:textId="77777777" w:rsidR="0061220F" w:rsidRPr="00F2670D" w:rsidRDefault="0061220F" w:rsidP="0061220F">
      <w:pPr>
        <w:rPr>
          <w:i/>
          <w:lang w:val="en-US"/>
        </w:rPr>
      </w:pPr>
      <w:r w:rsidRPr="00F2670D">
        <w:rPr>
          <w:i/>
          <w:lang w:val="en-US"/>
        </w:rPr>
        <w:t>Table 3 – Matrix of severity. Severity increases from 1 to 5.</w:t>
      </w:r>
    </w:p>
    <w:tbl>
      <w:tblPr>
        <w:tblW w:w="6720" w:type="dxa"/>
        <w:tblCellMar>
          <w:left w:w="70" w:type="dxa"/>
          <w:right w:w="70" w:type="dxa"/>
        </w:tblCellMar>
        <w:tblLook w:val="04A0" w:firstRow="1" w:lastRow="0" w:firstColumn="1" w:lastColumn="0" w:noHBand="0" w:noVBand="1"/>
      </w:tblPr>
      <w:tblGrid>
        <w:gridCol w:w="960"/>
        <w:gridCol w:w="960"/>
        <w:gridCol w:w="888"/>
        <w:gridCol w:w="1054"/>
        <w:gridCol w:w="953"/>
        <w:gridCol w:w="1121"/>
        <w:gridCol w:w="784"/>
      </w:tblGrid>
      <w:tr w:rsidR="004A7112" w:rsidRPr="000D49E1" w14:paraId="4BA6EA16" w14:textId="77777777" w:rsidTr="004A5D49">
        <w:trPr>
          <w:trHeight w:val="402"/>
        </w:trPr>
        <w:tc>
          <w:tcPr>
            <w:tcW w:w="960" w:type="dxa"/>
            <w:tcBorders>
              <w:top w:val="nil"/>
              <w:left w:val="nil"/>
              <w:bottom w:val="nil"/>
              <w:right w:val="nil"/>
            </w:tcBorders>
            <w:shd w:val="clear" w:color="auto" w:fill="auto"/>
            <w:noWrap/>
            <w:vAlign w:val="bottom"/>
            <w:hideMark/>
          </w:tcPr>
          <w:p w14:paraId="155FEB11" w14:textId="77777777" w:rsidR="004A7112" w:rsidRPr="00821406" w:rsidRDefault="004A7112" w:rsidP="004A5D49">
            <w:pPr>
              <w:spacing w:line="240" w:lineRule="auto"/>
              <w:jc w:val="left"/>
              <w:rPr>
                <w:rFonts w:ascii="Times New Roman" w:eastAsia="Times New Roman" w:hAnsi="Times New Roman" w:cs="Times New Roman"/>
                <w:sz w:val="24"/>
                <w:szCs w:val="24"/>
                <w:lang w:val="en-US" w:eastAsia="it-IT"/>
              </w:rPr>
            </w:pPr>
          </w:p>
        </w:tc>
        <w:tc>
          <w:tcPr>
            <w:tcW w:w="960" w:type="dxa"/>
            <w:tcBorders>
              <w:top w:val="nil"/>
              <w:left w:val="nil"/>
              <w:bottom w:val="nil"/>
              <w:right w:val="nil"/>
            </w:tcBorders>
            <w:shd w:val="clear" w:color="auto" w:fill="auto"/>
            <w:noWrap/>
            <w:vAlign w:val="bottom"/>
            <w:hideMark/>
          </w:tcPr>
          <w:p w14:paraId="1BC9B535" w14:textId="77777777" w:rsidR="004A7112" w:rsidRPr="00821406" w:rsidRDefault="004A7112" w:rsidP="004A5D49">
            <w:pPr>
              <w:spacing w:line="240" w:lineRule="auto"/>
              <w:jc w:val="left"/>
              <w:rPr>
                <w:rFonts w:ascii="Times New Roman" w:eastAsia="Times New Roman" w:hAnsi="Times New Roman" w:cs="Times New Roman"/>
                <w:sz w:val="20"/>
                <w:szCs w:val="20"/>
                <w:lang w:val="en-US" w:eastAsia="it-IT"/>
              </w:rPr>
            </w:pPr>
          </w:p>
        </w:tc>
        <w:tc>
          <w:tcPr>
            <w:tcW w:w="480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39776A" w14:textId="77777777" w:rsidR="004A7112" w:rsidRPr="000D49E1" w:rsidRDefault="004A7112" w:rsidP="004A5D49">
            <w:pPr>
              <w:spacing w:line="240" w:lineRule="auto"/>
              <w:jc w:val="center"/>
              <w:rPr>
                <w:rFonts w:ascii="Calibri" w:eastAsia="Times New Roman" w:hAnsi="Calibri" w:cs="Times New Roman"/>
                <w:b/>
                <w:bCs/>
                <w:color w:val="000000"/>
                <w:lang w:val="en-US" w:eastAsia="it-IT"/>
              </w:rPr>
            </w:pPr>
            <w:r w:rsidRPr="000D49E1">
              <w:rPr>
                <w:rFonts w:ascii="Calibri" w:eastAsia="Times New Roman" w:hAnsi="Calibri" w:cs="Times New Roman"/>
                <w:b/>
                <w:bCs/>
                <w:color w:val="000000"/>
                <w:lang w:val="en-US" w:eastAsia="it-IT"/>
              </w:rPr>
              <w:t>Difference of Post Probabilities (%)</w:t>
            </w:r>
          </w:p>
        </w:tc>
      </w:tr>
      <w:tr w:rsidR="004A7112" w:rsidRPr="000D49E1" w14:paraId="3DBBF313" w14:textId="77777777" w:rsidTr="004A5D49">
        <w:trPr>
          <w:trHeight w:val="402"/>
        </w:trPr>
        <w:tc>
          <w:tcPr>
            <w:tcW w:w="960" w:type="dxa"/>
            <w:tcBorders>
              <w:top w:val="nil"/>
              <w:left w:val="nil"/>
              <w:bottom w:val="nil"/>
              <w:right w:val="nil"/>
            </w:tcBorders>
            <w:shd w:val="clear" w:color="auto" w:fill="auto"/>
            <w:noWrap/>
            <w:vAlign w:val="bottom"/>
            <w:hideMark/>
          </w:tcPr>
          <w:p w14:paraId="5D6F19E5" w14:textId="77777777" w:rsidR="004A7112" w:rsidRPr="000D49E1" w:rsidRDefault="004A7112" w:rsidP="004A5D49">
            <w:pPr>
              <w:spacing w:line="240" w:lineRule="auto"/>
              <w:jc w:val="center"/>
              <w:rPr>
                <w:rFonts w:ascii="Calibri" w:eastAsia="Times New Roman" w:hAnsi="Calibri" w:cs="Times New Roman"/>
                <w:b/>
                <w:bCs/>
                <w:color w:val="000000"/>
                <w:lang w:val="en-US" w:eastAsia="it-IT"/>
              </w:rPr>
            </w:pPr>
          </w:p>
        </w:tc>
        <w:tc>
          <w:tcPr>
            <w:tcW w:w="960" w:type="dxa"/>
            <w:tcBorders>
              <w:top w:val="nil"/>
              <w:left w:val="nil"/>
              <w:bottom w:val="nil"/>
              <w:right w:val="nil"/>
            </w:tcBorders>
            <w:shd w:val="clear" w:color="auto" w:fill="auto"/>
            <w:noWrap/>
            <w:vAlign w:val="bottom"/>
            <w:hideMark/>
          </w:tcPr>
          <w:p w14:paraId="0A41401C" w14:textId="77777777" w:rsidR="004A7112" w:rsidRPr="000D49E1" w:rsidRDefault="004A7112" w:rsidP="004A5D49">
            <w:pPr>
              <w:spacing w:line="240" w:lineRule="auto"/>
              <w:jc w:val="left"/>
              <w:rPr>
                <w:rFonts w:ascii="Times New Roman" w:eastAsia="Times New Roman" w:hAnsi="Times New Roman" w:cs="Times New Roman"/>
                <w:sz w:val="20"/>
                <w:szCs w:val="20"/>
                <w:lang w:val="en-US" w:eastAsia="it-IT"/>
              </w:rPr>
            </w:pPr>
          </w:p>
        </w:tc>
        <w:tc>
          <w:tcPr>
            <w:tcW w:w="888" w:type="dxa"/>
            <w:tcBorders>
              <w:top w:val="nil"/>
              <w:left w:val="single" w:sz="4" w:space="0" w:color="auto"/>
              <w:bottom w:val="nil"/>
              <w:right w:val="nil"/>
            </w:tcBorders>
            <w:shd w:val="clear" w:color="auto" w:fill="auto"/>
            <w:noWrap/>
            <w:vAlign w:val="center"/>
            <w:hideMark/>
          </w:tcPr>
          <w:p w14:paraId="04452474" w14:textId="77777777" w:rsidR="004A7112" w:rsidRPr="000D49E1" w:rsidRDefault="004A7112" w:rsidP="004A5D49">
            <w:pPr>
              <w:spacing w:line="240" w:lineRule="auto"/>
              <w:jc w:val="center"/>
              <w:rPr>
                <w:rFonts w:ascii="Calibri" w:eastAsia="Times New Roman" w:hAnsi="Calibri" w:cs="Times New Roman"/>
                <w:color w:val="000000"/>
                <w:lang w:val="en-US" w:eastAsia="it-IT"/>
              </w:rPr>
            </w:pPr>
            <w:r w:rsidRPr="000D49E1">
              <w:rPr>
                <w:rFonts w:ascii="Calibri" w:eastAsia="Times New Roman" w:hAnsi="Calibri" w:cs="Times New Roman"/>
                <w:color w:val="000000"/>
                <w:lang w:val="en-US" w:eastAsia="it-IT"/>
              </w:rPr>
              <w:t>&lt;-25%</w:t>
            </w:r>
          </w:p>
        </w:tc>
        <w:tc>
          <w:tcPr>
            <w:tcW w:w="1054" w:type="dxa"/>
            <w:tcBorders>
              <w:top w:val="nil"/>
              <w:left w:val="nil"/>
              <w:bottom w:val="nil"/>
              <w:right w:val="nil"/>
            </w:tcBorders>
            <w:shd w:val="clear" w:color="auto" w:fill="auto"/>
            <w:noWrap/>
            <w:vAlign w:val="center"/>
            <w:hideMark/>
          </w:tcPr>
          <w:p w14:paraId="6B94250B" w14:textId="77777777" w:rsidR="004A7112" w:rsidRPr="000D49E1" w:rsidRDefault="004A7112" w:rsidP="004A5D49">
            <w:pPr>
              <w:spacing w:line="240" w:lineRule="auto"/>
              <w:jc w:val="center"/>
              <w:rPr>
                <w:rFonts w:ascii="Calibri" w:eastAsia="Times New Roman" w:hAnsi="Calibri" w:cs="Times New Roman"/>
                <w:color w:val="000000"/>
                <w:lang w:val="en-US" w:eastAsia="it-IT"/>
              </w:rPr>
            </w:pPr>
            <w:r w:rsidRPr="000D49E1">
              <w:rPr>
                <w:rFonts w:ascii="Calibri" w:eastAsia="Times New Roman" w:hAnsi="Calibri" w:cs="Times New Roman"/>
                <w:color w:val="000000"/>
                <w:lang w:val="en-US" w:eastAsia="it-IT"/>
              </w:rPr>
              <w:t>-25÷0%</w:t>
            </w:r>
          </w:p>
        </w:tc>
        <w:tc>
          <w:tcPr>
            <w:tcW w:w="953" w:type="dxa"/>
            <w:tcBorders>
              <w:top w:val="nil"/>
              <w:left w:val="nil"/>
              <w:bottom w:val="nil"/>
              <w:right w:val="nil"/>
            </w:tcBorders>
            <w:shd w:val="clear" w:color="auto" w:fill="auto"/>
            <w:noWrap/>
            <w:vAlign w:val="center"/>
            <w:hideMark/>
          </w:tcPr>
          <w:p w14:paraId="2D5E0BF6" w14:textId="77777777" w:rsidR="004A7112" w:rsidRPr="000D49E1" w:rsidRDefault="004A7112" w:rsidP="004A5D49">
            <w:pPr>
              <w:spacing w:line="240" w:lineRule="auto"/>
              <w:jc w:val="center"/>
              <w:rPr>
                <w:rFonts w:ascii="Calibri" w:eastAsia="Times New Roman" w:hAnsi="Calibri" w:cs="Times New Roman"/>
                <w:color w:val="000000"/>
                <w:lang w:val="en-US" w:eastAsia="it-IT"/>
              </w:rPr>
            </w:pPr>
            <w:r w:rsidRPr="000D49E1">
              <w:rPr>
                <w:rFonts w:ascii="Calibri" w:eastAsia="Times New Roman" w:hAnsi="Calibri" w:cs="Times New Roman"/>
                <w:color w:val="000000"/>
                <w:lang w:val="en-US" w:eastAsia="it-IT"/>
              </w:rPr>
              <w:t>0÷25%</w:t>
            </w:r>
          </w:p>
        </w:tc>
        <w:tc>
          <w:tcPr>
            <w:tcW w:w="1121" w:type="dxa"/>
            <w:tcBorders>
              <w:top w:val="nil"/>
              <w:left w:val="nil"/>
              <w:bottom w:val="nil"/>
              <w:right w:val="nil"/>
            </w:tcBorders>
            <w:shd w:val="clear" w:color="auto" w:fill="auto"/>
            <w:noWrap/>
            <w:vAlign w:val="center"/>
            <w:hideMark/>
          </w:tcPr>
          <w:p w14:paraId="0BFDA4AD" w14:textId="77777777" w:rsidR="004A7112" w:rsidRPr="000D49E1" w:rsidRDefault="004A7112" w:rsidP="004A5D49">
            <w:pPr>
              <w:spacing w:line="240" w:lineRule="auto"/>
              <w:jc w:val="center"/>
              <w:rPr>
                <w:rFonts w:ascii="Calibri" w:eastAsia="Times New Roman" w:hAnsi="Calibri" w:cs="Times New Roman"/>
                <w:color w:val="000000"/>
                <w:lang w:val="en-US" w:eastAsia="it-IT"/>
              </w:rPr>
            </w:pPr>
            <w:r w:rsidRPr="000D49E1">
              <w:rPr>
                <w:rFonts w:ascii="Calibri" w:eastAsia="Times New Roman" w:hAnsi="Calibri" w:cs="Times New Roman"/>
                <w:color w:val="000000"/>
                <w:lang w:val="en-US" w:eastAsia="it-IT"/>
              </w:rPr>
              <w:t>25÷50%</w:t>
            </w:r>
          </w:p>
        </w:tc>
        <w:tc>
          <w:tcPr>
            <w:tcW w:w="784" w:type="dxa"/>
            <w:tcBorders>
              <w:top w:val="nil"/>
              <w:left w:val="nil"/>
              <w:bottom w:val="nil"/>
              <w:right w:val="single" w:sz="4" w:space="0" w:color="auto"/>
            </w:tcBorders>
            <w:shd w:val="clear" w:color="auto" w:fill="auto"/>
            <w:noWrap/>
            <w:vAlign w:val="center"/>
            <w:hideMark/>
          </w:tcPr>
          <w:p w14:paraId="1CA33F31" w14:textId="77777777" w:rsidR="004A7112" w:rsidRPr="000D49E1" w:rsidRDefault="004A7112" w:rsidP="004A5D49">
            <w:pPr>
              <w:spacing w:line="240" w:lineRule="auto"/>
              <w:jc w:val="center"/>
              <w:rPr>
                <w:rFonts w:ascii="Calibri" w:eastAsia="Times New Roman" w:hAnsi="Calibri" w:cs="Times New Roman"/>
                <w:color w:val="000000"/>
                <w:lang w:val="en-US" w:eastAsia="it-IT"/>
              </w:rPr>
            </w:pPr>
            <w:r w:rsidRPr="000D49E1">
              <w:rPr>
                <w:rFonts w:ascii="Calibri" w:eastAsia="Times New Roman" w:hAnsi="Calibri" w:cs="Times New Roman"/>
                <w:color w:val="000000"/>
                <w:lang w:val="en-US" w:eastAsia="it-IT"/>
              </w:rPr>
              <w:t>&gt;50%</w:t>
            </w:r>
          </w:p>
        </w:tc>
      </w:tr>
      <w:tr w:rsidR="004A7112" w:rsidRPr="000D49E1" w14:paraId="21963D0C" w14:textId="77777777" w:rsidTr="004A5D49">
        <w:trPr>
          <w:trHeight w:val="402"/>
        </w:trPr>
        <w:tc>
          <w:tcPr>
            <w:tcW w:w="960" w:type="dxa"/>
            <w:tcBorders>
              <w:top w:val="nil"/>
              <w:left w:val="nil"/>
              <w:bottom w:val="nil"/>
              <w:right w:val="nil"/>
            </w:tcBorders>
            <w:shd w:val="clear" w:color="auto" w:fill="auto"/>
            <w:noWrap/>
            <w:vAlign w:val="bottom"/>
            <w:hideMark/>
          </w:tcPr>
          <w:p w14:paraId="6E68E32F" w14:textId="77777777" w:rsidR="004A7112" w:rsidRPr="000D49E1" w:rsidRDefault="004A7112" w:rsidP="004A5D49">
            <w:pPr>
              <w:spacing w:line="240" w:lineRule="auto"/>
              <w:jc w:val="center"/>
              <w:rPr>
                <w:rFonts w:ascii="Calibri" w:eastAsia="Times New Roman" w:hAnsi="Calibri" w:cs="Times New Roman"/>
                <w:color w:val="000000"/>
                <w:lang w:val="en-US" w:eastAsia="it-IT"/>
              </w:rPr>
            </w:pPr>
          </w:p>
        </w:tc>
        <w:tc>
          <w:tcPr>
            <w:tcW w:w="960" w:type="dxa"/>
            <w:tcBorders>
              <w:top w:val="nil"/>
              <w:left w:val="nil"/>
              <w:bottom w:val="nil"/>
              <w:right w:val="nil"/>
            </w:tcBorders>
            <w:shd w:val="clear" w:color="auto" w:fill="auto"/>
            <w:noWrap/>
            <w:vAlign w:val="center"/>
            <w:hideMark/>
          </w:tcPr>
          <w:p w14:paraId="48E0869F" w14:textId="77777777" w:rsidR="004A7112" w:rsidRPr="000D49E1" w:rsidRDefault="004A7112" w:rsidP="004A5D49">
            <w:pPr>
              <w:spacing w:line="240" w:lineRule="auto"/>
              <w:jc w:val="left"/>
              <w:rPr>
                <w:rFonts w:ascii="Times New Roman" w:eastAsia="Times New Roman" w:hAnsi="Times New Roman" w:cs="Times New Roman"/>
                <w:sz w:val="20"/>
                <w:szCs w:val="20"/>
                <w:lang w:val="en-US" w:eastAsia="it-IT"/>
              </w:rPr>
            </w:pPr>
          </w:p>
        </w:tc>
        <w:tc>
          <w:tcPr>
            <w:tcW w:w="888" w:type="dxa"/>
            <w:tcBorders>
              <w:top w:val="nil"/>
              <w:left w:val="single" w:sz="4" w:space="0" w:color="auto"/>
              <w:bottom w:val="single" w:sz="4" w:space="0" w:color="auto"/>
              <w:right w:val="nil"/>
            </w:tcBorders>
            <w:shd w:val="clear" w:color="auto" w:fill="auto"/>
            <w:noWrap/>
            <w:vAlign w:val="center"/>
            <w:hideMark/>
          </w:tcPr>
          <w:p w14:paraId="68996809" w14:textId="77777777" w:rsidR="004A7112" w:rsidRPr="000D49E1" w:rsidRDefault="004A7112" w:rsidP="004A5D49">
            <w:pPr>
              <w:spacing w:line="240" w:lineRule="auto"/>
              <w:jc w:val="center"/>
              <w:rPr>
                <w:rFonts w:ascii="Calibri" w:eastAsia="Times New Roman" w:hAnsi="Calibri" w:cs="Times New Roman"/>
                <w:color w:val="000000"/>
                <w:lang w:val="en-US" w:eastAsia="it-IT"/>
              </w:rPr>
            </w:pPr>
            <w:r w:rsidRPr="000D49E1">
              <w:rPr>
                <w:rFonts w:ascii="Calibri" w:eastAsia="Times New Roman" w:hAnsi="Calibri" w:cs="Times New Roman"/>
                <w:color w:val="000000"/>
                <w:lang w:val="en-US" w:eastAsia="it-IT"/>
              </w:rPr>
              <w:t>1</w:t>
            </w:r>
          </w:p>
        </w:tc>
        <w:tc>
          <w:tcPr>
            <w:tcW w:w="1054" w:type="dxa"/>
            <w:tcBorders>
              <w:top w:val="nil"/>
              <w:left w:val="nil"/>
              <w:bottom w:val="single" w:sz="4" w:space="0" w:color="auto"/>
              <w:right w:val="nil"/>
            </w:tcBorders>
            <w:shd w:val="clear" w:color="auto" w:fill="auto"/>
            <w:noWrap/>
            <w:vAlign w:val="center"/>
            <w:hideMark/>
          </w:tcPr>
          <w:p w14:paraId="60391F26" w14:textId="77777777" w:rsidR="004A7112" w:rsidRPr="000D49E1" w:rsidRDefault="004A7112" w:rsidP="004A5D49">
            <w:pPr>
              <w:spacing w:line="240" w:lineRule="auto"/>
              <w:jc w:val="center"/>
              <w:rPr>
                <w:rFonts w:ascii="Calibri" w:eastAsia="Times New Roman" w:hAnsi="Calibri" w:cs="Times New Roman"/>
                <w:color w:val="000000"/>
                <w:lang w:val="en-US" w:eastAsia="it-IT"/>
              </w:rPr>
            </w:pPr>
            <w:r w:rsidRPr="000D49E1">
              <w:rPr>
                <w:rFonts w:ascii="Calibri" w:eastAsia="Times New Roman" w:hAnsi="Calibri" w:cs="Times New Roman"/>
                <w:color w:val="000000"/>
                <w:lang w:val="en-US" w:eastAsia="it-IT"/>
              </w:rPr>
              <w:t>2</w:t>
            </w:r>
          </w:p>
        </w:tc>
        <w:tc>
          <w:tcPr>
            <w:tcW w:w="953" w:type="dxa"/>
            <w:tcBorders>
              <w:top w:val="nil"/>
              <w:left w:val="nil"/>
              <w:bottom w:val="single" w:sz="4" w:space="0" w:color="auto"/>
              <w:right w:val="nil"/>
            </w:tcBorders>
            <w:shd w:val="clear" w:color="auto" w:fill="auto"/>
            <w:noWrap/>
            <w:vAlign w:val="center"/>
            <w:hideMark/>
          </w:tcPr>
          <w:p w14:paraId="0A6CD4A4" w14:textId="77777777" w:rsidR="004A7112" w:rsidRPr="000D49E1" w:rsidRDefault="004A7112" w:rsidP="004A5D49">
            <w:pPr>
              <w:spacing w:line="240" w:lineRule="auto"/>
              <w:jc w:val="center"/>
              <w:rPr>
                <w:rFonts w:ascii="Calibri" w:eastAsia="Times New Roman" w:hAnsi="Calibri" w:cs="Times New Roman"/>
                <w:color w:val="000000"/>
                <w:lang w:val="en-US" w:eastAsia="it-IT"/>
              </w:rPr>
            </w:pPr>
            <w:r w:rsidRPr="000D49E1">
              <w:rPr>
                <w:rFonts w:ascii="Calibri" w:eastAsia="Times New Roman" w:hAnsi="Calibri" w:cs="Times New Roman"/>
                <w:color w:val="000000"/>
                <w:lang w:val="en-US" w:eastAsia="it-IT"/>
              </w:rPr>
              <w:t>3</w:t>
            </w:r>
          </w:p>
        </w:tc>
        <w:tc>
          <w:tcPr>
            <w:tcW w:w="1121" w:type="dxa"/>
            <w:tcBorders>
              <w:top w:val="nil"/>
              <w:left w:val="nil"/>
              <w:bottom w:val="single" w:sz="4" w:space="0" w:color="auto"/>
              <w:right w:val="nil"/>
            </w:tcBorders>
            <w:shd w:val="clear" w:color="auto" w:fill="auto"/>
            <w:noWrap/>
            <w:vAlign w:val="center"/>
            <w:hideMark/>
          </w:tcPr>
          <w:p w14:paraId="0C265745" w14:textId="77777777" w:rsidR="004A7112" w:rsidRPr="000D49E1" w:rsidRDefault="004A7112" w:rsidP="004A5D49">
            <w:pPr>
              <w:spacing w:line="240" w:lineRule="auto"/>
              <w:jc w:val="center"/>
              <w:rPr>
                <w:rFonts w:ascii="Calibri" w:eastAsia="Times New Roman" w:hAnsi="Calibri" w:cs="Times New Roman"/>
                <w:color w:val="000000"/>
                <w:lang w:val="en-US" w:eastAsia="it-IT"/>
              </w:rPr>
            </w:pPr>
            <w:r w:rsidRPr="000D49E1">
              <w:rPr>
                <w:rFonts w:ascii="Calibri" w:eastAsia="Times New Roman" w:hAnsi="Calibri" w:cs="Times New Roman"/>
                <w:color w:val="000000"/>
                <w:lang w:val="en-US" w:eastAsia="it-IT"/>
              </w:rPr>
              <w:t>4</w:t>
            </w:r>
          </w:p>
        </w:tc>
        <w:tc>
          <w:tcPr>
            <w:tcW w:w="784" w:type="dxa"/>
            <w:tcBorders>
              <w:top w:val="nil"/>
              <w:left w:val="nil"/>
              <w:bottom w:val="single" w:sz="4" w:space="0" w:color="auto"/>
              <w:right w:val="single" w:sz="4" w:space="0" w:color="auto"/>
            </w:tcBorders>
            <w:shd w:val="clear" w:color="auto" w:fill="auto"/>
            <w:noWrap/>
            <w:vAlign w:val="center"/>
            <w:hideMark/>
          </w:tcPr>
          <w:p w14:paraId="35EEB4AE" w14:textId="77777777" w:rsidR="004A7112" w:rsidRPr="000D49E1" w:rsidRDefault="004A7112" w:rsidP="004A5D49">
            <w:pPr>
              <w:spacing w:line="240" w:lineRule="auto"/>
              <w:jc w:val="center"/>
              <w:rPr>
                <w:rFonts w:ascii="Calibri" w:eastAsia="Times New Roman" w:hAnsi="Calibri" w:cs="Times New Roman"/>
                <w:color w:val="000000"/>
                <w:lang w:val="en-US" w:eastAsia="it-IT"/>
              </w:rPr>
            </w:pPr>
            <w:r w:rsidRPr="000D49E1">
              <w:rPr>
                <w:rFonts w:ascii="Calibri" w:eastAsia="Times New Roman" w:hAnsi="Calibri" w:cs="Times New Roman"/>
                <w:color w:val="000000"/>
                <w:lang w:val="en-US" w:eastAsia="it-IT"/>
              </w:rPr>
              <w:t>5</w:t>
            </w:r>
          </w:p>
        </w:tc>
      </w:tr>
      <w:tr w:rsidR="004A7112" w:rsidRPr="000D49E1" w14:paraId="27DE7379" w14:textId="77777777" w:rsidTr="004A5D49">
        <w:trPr>
          <w:trHeight w:val="402"/>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BB0B3ED" w14:textId="77777777" w:rsidR="004A7112" w:rsidRPr="000D49E1" w:rsidRDefault="004A7112" w:rsidP="004A5D49">
            <w:pPr>
              <w:spacing w:line="240" w:lineRule="auto"/>
              <w:jc w:val="center"/>
              <w:rPr>
                <w:rFonts w:ascii="Calibri" w:eastAsia="Times New Roman" w:hAnsi="Calibri" w:cs="Times New Roman"/>
                <w:b/>
                <w:bCs/>
                <w:color w:val="000000"/>
                <w:lang w:val="en-US" w:eastAsia="it-IT"/>
              </w:rPr>
            </w:pPr>
            <w:r w:rsidRPr="000D49E1">
              <w:rPr>
                <w:rFonts w:ascii="Calibri" w:eastAsia="Times New Roman" w:hAnsi="Calibri" w:cs="Times New Roman"/>
                <w:b/>
                <w:bCs/>
                <w:color w:val="000000"/>
                <w:lang w:val="en-US" w:eastAsia="it-IT"/>
              </w:rPr>
              <w:t>Vulnerability class</w:t>
            </w:r>
          </w:p>
        </w:tc>
        <w:tc>
          <w:tcPr>
            <w:tcW w:w="960" w:type="dxa"/>
            <w:tcBorders>
              <w:top w:val="single" w:sz="4" w:space="0" w:color="auto"/>
              <w:left w:val="nil"/>
              <w:bottom w:val="nil"/>
              <w:right w:val="single" w:sz="4" w:space="0" w:color="auto"/>
            </w:tcBorders>
            <w:shd w:val="clear" w:color="auto" w:fill="auto"/>
            <w:noWrap/>
            <w:vAlign w:val="center"/>
            <w:hideMark/>
          </w:tcPr>
          <w:p w14:paraId="64F35846" w14:textId="77777777" w:rsidR="004A7112" w:rsidRPr="000D49E1" w:rsidRDefault="004A7112" w:rsidP="004A5D49">
            <w:pPr>
              <w:spacing w:line="240" w:lineRule="auto"/>
              <w:jc w:val="center"/>
              <w:rPr>
                <w:rFonts w:ascii="Calibri" w:eastAsia="Times New Roman" w:hAnsi="Calibri" w:cs="Times New Roman"/>
                <w:color w:val="000000"/>
                <w:lang w:val="en-US" w:eastAsia="it-IT"/>
              </w:rPr>
            </w:pPr>
            <w:r w:rsidRPr="000D49E1">
              <w:rPr>
                <w:rFonts w:ascii="Calibri" w:eastAsia="Times New Roman" w:hAnsi="Calibri" w:cs="Times New Roman"/>
                <w:color w:val="000000"/>
                <w:lang w:val="en-US" w:eastAsia="it-IT"/>
              </w:rPr>
              <w:t>1</w:t>
            </w:r>
          </w:p>
        </w:tc>
        <w:tc>
          <w:tcPr>
            <w:tcW w:w="888" w:type="dxa"/>
            <w:tcBorders>
              <w:top w:val="nil"/>
              <w:left w:val="nil"/>
              <w:bottom w:val="nil"/>
              <w:right w:val="nil"/>
            </w:tcBorders>
            <w:shd w:val="clear" w:color="auto" w:fill="auto"/>
            <w:noWrap/>
            <w:vAlign w:val="center"/>
            <w:hideMark/>
          </w:tcPr>
          <w:p w14:paraId="668E52B7" w14:textId="77777777" w:rsidR="004A7112" w:rsidRPr="000D49E1" w:rsidRDefault="004A7112" w:rsidP="004A5D49">
            <w:pPr>
              <w:spacing w:line="240" w:lineRule="auto"/>
              <w:jc w:val="center"/>
              <w:rPr>
                <w:rFonts w:ascii="Calibri" w:eastAsia="Times New Roman" w:hAnsi="Calibri" w:cs="Times New Roman"/>
                <w:b/>
                <w:bCs/>
                <w:lang w:val="en-US" w:eastAsia="it-IT"/>
              </w:rPr>
            </w:pPr>
            <w:r w:rsidRPr="000D49E1">
              <w:rPr>
                <w:rFonts w:ascii="Calibri" w:eastAsia="Times New Roman" w:hAnsi="Calibri" w:cs="Times New Roman"/>
                <w:b/>
                <w:bCs/>
                <w:lang w:val="en-US" w:eastAsia="it-IT"/>
              </w:rPr>
              <w:t>1</w:t>
            </w:r>
          </w:p>
        </w:tc>
        <w:tc>
          <w:tcPr>
            <w:tcW w:w="1054" w:type="dxa"/>
            <w:tcBorders>
              <w:top w:val="nil"/>
              <w:left w:val="nil"/>
              <w:bottom w:val="nil"/>
              <w:right w:val="nil"/>
            </w:tcBorders>
            <w:shd w:val="clear" w:color="auto" w:fill="auto"/>
            <w:noWrap/>
            <w:vAlign w:val="center"/>
            <w:hideMark/>
          </w:tcPr>
          <w:p w14:paraId="7D0815C9" w14:textId="77777777" w:rsidR="004A7112" w:rsidRPr="000D49E1" w:rsidRDefault="004A7112" w:rsidP="004A5D49">
            <w:pPr>
              <w:spacing w:line="240" w:lineRule="auto"/>
              <w:jc w:val="center"/>
              <w:rPr>
                <w:rFonts w:ascii="Calibri" w:eastAsia="Times New Roman" w:hAnsi="Calibri" w:cs="Times New Roman"/>
                <w:b/>
                <w:bCs/>
                <w:lang w:val="en-US" w:eastAsia="it-IT"/>
              </w:rPr>
            </w:pPr>
            <w:r w:rsidRPr="000D49E1">
              <w:rPr>
                <w:rFonts w:ascii="Calibri" w:eastAsia="Times New Roman" w:hAnsi="Calibri" w:cs="Times New Roman"/>
                <w:b/>
                <w:bCs/>
                <w:lang w:val="en-US" w:eastAsia="it-IT"/>
              </w:rPr>
              <w:t>1</w:t>
            </w:r>
          </w:p>
        </w:tc>
        <w:tc>
          <w:tcPr>
            <w:tcW w:w="953" w:type="dxa"/>
            <w:tcBorders>
              <w:top w:val="nil"/>
              <w:left w:val="nil"/>
              <w:bottom w:val="nil"/>
              <w:right w:val="nil"/>
            </w:tcBorders>
            <w:shd w:val="clear" w:color="auto" w:fill="auto"/>
            <w:noWrap/>
            <w:vAlign w:val="center"/>
            <w:hideMark/>
          </w:tcPr>
          <w:p w14:paraId="3A38C205" w14:textId="77777777" w:rsidR="004A7112" w:rsidRPr="000D49E1" w:rsidRDefault="004A7112" w:rsidP="004A5D49">
            <w:pPr>
              <w:spacing w:line="240" w:lineRule="auto"/>
              <w:jc w:val="center"/>
              <w:rPr>
                <w:rFonts w:ascii="Calibri" w:eastAsia="Times New Roman" w:hAnsi="Calibri" w:cs="Times New Roman"/>
                <w:b/>
                <w:bCs/>
                <w:lang w:val="en-US" w:eastAsia="it-IT"/>
              </w:rPr>
            </w:pPr>
            <w:r w:rsidRPr="000D49E1">
              <w:rPr>
                <w:rFonts w:ascii="Calibri" w:eastAsia="Times New Roman" w:hAnsi="Calibri" w:cs="Times New Roman"/>
                <w:b/>
                <w:bCs/>
                <w:lang w:val="en-US" w:eastAsia="it-IT"/>
              </w:rPr>
              <w:t>1</w:t>
            </w:r>
          </w:p>
        </w:tc>
        <w:tc>
          <w:tcPr>
            <w:tcW w:w="1121" w:type="dxa"/>
            <w:tcBorders>
              <w:top w:val="nil"/>
              <w:left w:val="nil"/>
              <w:bottom w:val="nil"/>
              <w:right w:val="nil"/>
            </w:tcBorders>
            <w:shd w:val="clear" w:color="000000" w:fill="BFBFBF"/>
            <w:noWrap/>
            <w:vAlign w:val="center"/>
            <w:hideMark/>
          </w:tcPr>
          <w:p w14:paraId="2E78195A" w14:textId="77777777" w:rsidR="004A7112" w:rsidRPr="000D49E1" w:rsidRDefault="004A7112" w:rsidP="004A5D49">
            <w:pPr>
              <w:spacing w:line="240" w:lineRule="auto"/>
              <w:jc w:val="center"/>
              <w:rPr>
                <w:rFonts w:ascii="Calibri" w:eastAsia="Times New Roman" w:hAnsi="Calibri" w:cs="Times New Roman"/>
                <w:b/>
                <w:bCs/>
                <w:lang w:val="en-US" w:eastAsia="it-IT"/>
              </w:rPr>
            </w:pPr>
            <w:r w:rsidRPr="000D49E1">
              <w:rPr>
                <w:rFonts w:ascii="Calibri" w:eastAsia="Times New Roman" w:hAnsi="Calibri" w:cs="Times New Roman"/>
                <w:b/>
                <w:bCs/>
                <w:lang w:val="en-US" w:eastAsia="it-IT"/>
              </w:rPr>
              <w:t>2</w:t>
            </w:r>
          </w:p>
        </w:tc>
        <w:tc>
          <w:tcPr>
            <w:tcW w:w="784" w:type="dxa"/>
            <w:tcBorders>
              <w:top w:val="nil"/>
              <w:left w:val="nil"/>
              <w:bottom w:val="nil"/>
              <w:right w:val="single" w:sz="4" w:space="0" w:color="auto"/>
            </w:tcBorders>
            <w:shd w:val="clear" w:color="000000" w:fill="808080"/>
            <w:noWrap/>
            <w:vAlign w:val="center"/>
            <w:hideMark/>
          </w:tcPr>
          <w:p w14:paraId="50715BE0" w14:textId="77777777" w:rsidR="004A7112" w:rsidRPr="000D49E1" w:rsidRDefault="004A7112" w:rsidP="004A5D49">
            <w:pPr>
              <w:spacing w:line="240" w:lineRule="auto"/>
              <w:jc w:val="center"/>
              <w:rPr>
                <w:rFonts w:ascii="Calibri" w:eastAsia="Times New Roman" w:hAnsi="Calibri" w:cs="Times New Roman"/>
                <w:b/>
                <w:bCs/>
                <w:lang w:val="en-US" w:eastAsia="it-IT"/>
              </w:rPr>
            </w:pPr>
            <w:r w:rsidRPr="000D49E1">
              <w:rPr>
                <w:rFonts w:ascii="Calibri" w:eastAsia="Times New Roman" w:hAnsi="Calibri" w:cs="Times New Roman"/>
                <w:b/>
                <w:bCs/>
                <w:lang w:val="en-US" w:eastAsia="it-IT"/>
              </w:rPr>
              <w:t>3</w:t>
            </w:r>
          </w:p>
        </w:tc>
      </w:tr>
      <w:tr w:rsidR="004A7112" w:rsidRPr="00821406" w14:paraId="4D8A3F36" w14:textId="77777777" w:rsidTr="004A5D49">
        <w:trPr>
          <w:trHeight w:val="402"/>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1C00AD4B" w14:textId="77777777" w:rsidR="004A7112" w:rsidRPr="000D49E1" w:rsidRDefault="004A7112" w:rsidP="004A5D49">
            <w:pPr>
              <w:spacing w:line="240" w:lineRule="auto"/>
              <w:jc w:val="left"/>
              <w:rPr>
                <w:rFonts w:ascii="Calibri" w:eastAsia="Times New Roman" w:hAnsi="Calibri" w:cs="Times New Roman"/>
                <w:b/>
                <w:bCs/>
                <w:color w:val="000000"/>
                <w:lang w:val="en-US" w:eastAsia="it-IT"/>
              </w:rPr>
            </w:pPr>
          </w:p>
        </w:tc>
        <w:tc>
          <w:tcPr>
            <w:tcW w:w="960" w:type="dxa"/>
            <w:tcBorders>
              <w:top w:val="nil"/>
              <w:left w:val="nil"/>
              <w:bottom w:val="nil"/>
              <w:right w:val="single" w:sz="4" w:space="0" w:color="auto"/>
            </w:tcBorders>
            <w:shd w:val="clear" w:color="auto" w:fill="auto"/>
            <w:noWrap/>
            <w:vAlign w:val="center"/>
            <w:hideMark/>
          </w:tcPr>
          <w:p w14:paraId="6104E2E5" w14:textId="77777777" w:rsidR="004A7112" w:rsidRPr="000D49E1" w:rsidRDefault="004A7112" w:rsidP="004A5D49">
            <w:pPr>
              <w:spacing w:line="240" w:lineRule="auto"/>
              <w:jc w:val="center"/>
              <w:rPr>
                <w:rFonts w:ascii="Calibri" w:eastAsia="Times New Roman" w:hAnsi="Calibri" w:cs="Times New Roman"/>
                <w:color w:val="000000"/>
                <w:lang w:val="en-US" w:eastAsia="it-IT"/>
              </w:rPr>
            </w:pPr>
            <w:r w:rsidRPr="000D49E1">
              <w:rPr>
                <w:rFonts w:ascii="Calibri" w:eastAsia="Times New Roman" w:hAnsi="Calibri" w:cs="Times New Roman"/>
                <w:color w:val="000000"/>
                <w:lang w:val="en-US" w:eastAsia="it-IT"/>
              </w:rPr>
              <w:t>2</w:t>
            </w:r>
          </w:p>
        </w:tc>
        <w:tc>
          <w:tcPr>
            <w:tcW w:w="888" w:type="dxa"/>
            <w:tcBorders>
              <w:top w:val="nil"/>
              <w:left w:val="nil"/>
              <w:bottom w:val="nil"/>
              <w:right w:val="nil"/>
            </w:tcBorders>
            <w:shd w:val="clear" w:color="auto" w:fill="auto"/>
            <w:noWrap/>
            <w:vAlign w:val="center"/>
            <w:hideMark/>
          </w:tcPr>
          <w:p w14:paraId="1381646E" w14:textId="77777777" w:rsidR="004A7112" w:rsidRPr="000D49E1" w:rsidRDefault="004A7112" w:rsidP="004A5D49">
            <w:pPr>
              <w:spacing w:line="240" w:lineRule="auto"/>
              <w:jc w:val="center"/>
              <w:rPr>
                <w:rFonts w:ascii="Calibri" w:eastAsia="Times New Roman" w:hAnsi="Calibri" w:cs="Times New Roman"/>
                <w:b/>
                <w:bCs/>
                <w:lang w:val="en-US" w:eastAsia="it-IT"/>
              </w:rPr>
            </w:pPr>
            <w:r w:rsidRPr="000D49E1">
              <w:rPr>
                <w:rFonts w:ascii="Calibri" w:eastAsia="Times New Roman" w:hAnsi="Calibri" w:cs="Times New Roman"/>
                <w:b/>
                <w:bCs/>
                <w:lang w:val="en-US" w:eastAsia="it-IT"/>
              </w:rPr>
              <w:t>1</w:t>
            </w:r>
          </w:p>
        </w:tc>
        <w:tc>
          <w:tcPr>
            <w:tcW w:w="1054" w:type="dxa"/>
            <w:tcBorders>
              <w:top w:val="nil"/>
              <w:left w:val="nil"/>
              <w:bottom w:val="nil"/>
              <w:right w:val="nil"/>
            </w:tcBorders>
            <w:shd w:val="clear" w:color="auto" w:fill="auto"/>
            <w:noWrap/>
            <w:vAlign w:val="center"/>
            <w:hideMark/>
          </w:tcPr>
          <w:p w14:paraId="65F67F63" w14:textId="77777777" w:rsidR="004A7112" w:rsidRPr="000D49E1" w:rsidRDefault="004A7112" w:rsidP="004A5D49">
            <w:pPr>
              <w:spacing w:line="240" w:lineRule="auto"/>
              <w:jc w:val="center"/>
              <w:rPr>
                <w:rFonts w:ascii="Calibri" w:eastAsia="Times New Roman" w:hAnsi="Calibri" w:cs="Times New Roman"/>
                <w:b/>
                <w:bCs/>
                <w:lang w:val="en-US" w:eastAsia="it-IT"/>
              </w:rPr>
            </w:pPr>
            <w:r w:rsidRPr="000D49E1">
              <w:rPr>
                <w:rFonts w:ascii="Calibri" w:eastAsia="Times New Roman" w:hAnsi="Calibri" w:cs="Times New Roman"/>
                <w:b/>
                <w:bCs/>
                <w:lang w:val="en-US" w:eastAsia="it-IT"/>
              </w:rPr>
              <w:t>1</w:t>
            </w:r>
          </w:p>
        </w:tc>
        <w:tc>
          <w:tcPr>
            <w:tcW w:w="953" w:type="dxa"/>
            <w:tcBorders>
              <w:top w:val="nil"/>
              <w:left w:val="nil"/>
              <w:bottom w:val="nil"/>
              <w:right w:val="nil"/>
            </w:tcBorders>
            <w:shd w:val="clear" w:color="000000" w:fill="BFBFBF"/>
            <w:noWrap/>
            <w:vAlign w:val="center"/>
            <w:hideMark/>
          </w:tcPr>
          <w:p w14:paraId="3C81F858" w14:textId="77777777" w:rsidR="004A7112" w:rsidRPr="00821406" w:rsidRDefault="004A7112" w:rsidP="004A5D49">
            <w:pPr>
              <w:spacing w:line="240" w:lineRule="auto"/>
              <w:jc w:val="center"/>
              <w:rPr>
                <w:rFonts w:ascii="Calibri" w:eastAsia="Times New Roman" w:hAnsi="Calibri" w:cs="Times New Roman"/>
                <w:b/>
                <w:bCs/>
                <w:lang w:eastAsia="it-IT"/>
              </w:rPr>
            </w:pPr>
            <w:r w:rsidRPr="00821406">
              <w:rPr>
                <w:rFonts w:ascii="Calibri" w:eastAsia="Times New Roman" w:hAnsi="Calibri" w:cs="Times New Roman"/>
                <w:b/>
                <w:bCs/>
                <w:lang w:eastAsia="it-IT"/>
              </w:rPr>
              <w:t>2</w:t>
            </w:r>
          </w:p>
        </w:tc>
        <w:tc>
          <w:tcPr>
            <w:tcW w:w="1121" w:type="dxa"/>
            <w:tcBorders>
              <w:top w:val="nil"/>
              <w:left w:val="nil"/>
              <w:bottom w:val="nil"/>
              <w:right w:val="nil"/>
            </w:tcBorders>
            <w:shd w:val="clear" w:color="000000" w:fill="808080"/>
            <w:noWrap/>
            <w:vAlign w:val="center"/>
            <w:hideMark/>
          </w:tcPr>
          <w:p w14:paraId="612119B7" w14:textId="77777777" w:rsidR="004A7112" w:rsidRPr="00821406" w:rsidRDefault="004A7112" w:rsidP="004A5D49">
            <w:pPr>
              <w:spacing w:line="240" w:lineRule="auto"/>
              <w:jc w:val="center"/>
              <w:rPr>
                <w:rFonts w:ascii="Calibri" w:eastAsia="Times New Roman" w:hAnsi="Calibri" w:cs="Times New Roman"/>
                <w:b/>
                <w:bCs/>
                <w:lang w:eastAsia="it-IT"/>
              </w:rPr>
            </w:pPr>
            <w:r w:rsidRPr="00821406">
              <w:rPr>
                <w:rFonts w:ascii="Calibri" w:eastAsia="Times New Roman" w:hAnsi="Calibri" w:cs="Times New Roman"/>
                <w:b/>
                <w:bCs/>
                <w:lang w:eastAsia="it-IT"/>
              </w:rPr>
              <w:t>3</w:t>
            </w:r>
          </w:p>
        </w:tc>
        <w:tc>
          <w:tcPr>
            <w:tcW w:w="784" w:type="dxa"/>
            <w:tcBorders>
              <w:top w:val="nil"/>
              <w:left w:val="nil"/>
              <w:bottom w:val="nil"/>
              <w:right w:val="single" w:sz="4" w:space="0" w:color="auto"/>
            </w:tcBorders>
            <w:shd w:val="clear" w:color="000000" w:fill="404040"/>
            <w:noWrap/>
            <w:vAlign w:val="center"/>
            <w:hideMark/>
          </w:tcPr>
          <w:p w14:paraId="4DE461D6" w14:textId="77777777" w:rsidR="004A7112" w:rsidRPr="00821406" w:rsidRDefault="004A7112" w:rsidP="004A5D49">
            <w:pPr>
              <w:spacing w:line="240" w:lineRule="auto"/>
              <w:jc w:val="center"/>
              <w:rPr>
                <w:rFonts w:ascii="Calibri" w:eastAsia="Times New Roman" w:hAnsi="Calibri" w:cs="Times New Roman"/>
                <w:b/>
                <w:bCs/>
                <w:color w:val="FFFFFF"/>
                <w:lang w:eastAsia="it-IT"/>
              </w:rPr>
            </w:pPr>
            <w:r w:rsidRPr="00821406">
              <w:rPr>
                <w:rFonts w:ascii="Calibri" w:eastAsia="Times New Roman" w:hAnsi="Calibri" w:cs="Times New Roman"/>
                <w:b/>
                <w:bCs/>
                <w:color w:val="FFFFFF"/>
                <w:lang w:eastAsia="it-IT"/>
              </w:rPr>
              <w:t>4</w:t>
            </w:r>
          </w:p>
        </w:tc>
      </w:tr>
      <w:tr w:rsidR="004A7112" w:rsidRPr="00821406" w14:paraId="35D4A7AF" w14:textId="77777777" w:rsidTr="004A5D49">
        <w:trPr>
          <w:trHeight w:val="402"/>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4BA7C6BE" w14:textId="77777777" w:rsidR="004A7112" w:rsidRPr="00821406" w:rsidRDefault="004A7112" w:rsidP="004A5D49">
            <w:pPr>
              <w:spacing w:line="240" w:lineRule="auto"/>
              <w:jc w:val="left"/>
              <w:rPr>
                <w:rFonts w:ascii="Calibri" w:eastAsia="Times New Roman" w:hAnsi="Calibri" w:cs="Times New Roman"/>
                <w:b/>
                <w:bCs/>
                <w:color w:val="000000"/>
                <w:lang w:eastAsia="it-IT"/>
              </w:rPr>
            </w:pPr>
          </w:p>
        </w:tc>
        <w:tc>
          <w:tcPr>
            <w:tcW w:w="960" w:type="dxa"/>
            <w:tcBorders>
              <w:top w:val="nil"/>
              <w:left w:val="nil"/>
              <w:bottom w:val="nil"/>
              <w:right w:val="single" w:sz="4" w:space="0" w:color="auto"/>
            </w:tcBorders>
            <w:shd w:val="clear" w:color="auto" w:fill="auto"/>
            <w:noWrap/>
            <w:vAlign w:val="center"/>
            <w:hideMark/>
          </w:tcPr>
          <w:p w14:paraId="7E8055D7"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3</w:t>
            </w:r>
          </w:p>
        </w:tc>
        <w:tc>
          <w:tcPr>
            <w:tcW w:w="888" w:type="dxa"/>
            <w:tcBorders>
              <w:top w:val="nil"/>
              <w:left w:val="nil"/>
              <w:bottom w:val="nil"/>
              <w:right w:val="nil"/>
            </w:tcBorders>
            <w:shd w:val="clear" w:color="auto" w:fill="auto"/>
            <w:noWrap/>
            <w:vAlign w:val="center"/>
            <w:hideMark/>
          </w:tcPr>
          <w:p w14:paraId="1C6A0BC0" w14:textId="77777777" w:rsidR="004A7112" w:rsidRPr="00821406" w:rsidRDefault="004A7112" w:rsidP="004A5D49">
            <w:pPr>
              <w:spacing w:line="240" w:lineRule="auto"/>
              <w:jc w:val="center"/>
              <w:rPr>
                <w:rFonts w:ascii="Calibri" w:eastAsia="Times New Roman" w:hAnsi="Calibri" w:cs="Times New Roman"/>
                <w:b/>
                <w:bCs/>
                <w:lang w:eastAsia="it-IT"/>
              </w:rPr>
            </w:pPr>
            <w:r w:rsidRPr="00821406">
              <w:rPr>
                <w:rFonts w:ascii="Calibri" w:eastAsia="Times New Roman" w:hAnsi="Calibri" w:cs="Times New Roman"/>
                <w:b/>
                <w:bCs/>
                <w:lang w:eastAsia="it-IT"/>
              </w:rPr>
              <w:t>1</w:t>
            </w:r>
          </w:p>
        </w:tc>
        <w:tc>
          <w:tcPr>
            <w:tcW w:w="1054" w:type="dxa"/>
            <w:tcBorders>
              <w:top w:val="nil"/>
              <w:left w:val="nil"/>
              <w:bottom w:val="nil"/>
              <w:right w:val="nil"/>
            </w:tcBorders>
            <w:shd w:val="clear" w:color="000000" w:fill="BFBFBF"/>
            <w:noWrap/>
            <w:vAlign w:val="center"/>
            <w:hideMark/>
          </w:tcPr>
          <w:p w14:paraId="2B5174EE" w14:textId="77777777" w:rsidR="004A7112" w:rsidRPr="00821406" w:rsidRDefault="004A7112" w:rsidP="004A5D49">
            <w:pPr>
              <w:spacing w:line="240" w:lineRule="auto"/>
              <w:jc w:val="center"/>
              <w:rPr>
                <w:rFonts w:ascii="Calibri" w:eastAsia="Times New Roman" w:hAnsi="Calibri" w:cs="Times New Roman"/>
                <w:b/>
                <w:bCs/>
                <w:lang w:eastAsia="it-IT"/>
              </w:rPr>
            </w:pPr>
            <w:r w:rsidRPr="00821406">
              <w:rPr>
                <w:rFonts w:ascii="Calibri" w:eastAsia="Times New Roman" w:hAnsi="Calibri" w:cs="Times New Roman"/>
                <w:b/>
                <w:bCs/>
                <w:lang w:eastAsia="it-IT"/>
              </w:rPr>
              <w:t>2</w:t>
            </w:r>
          </w:p>
        </w:tc>
        <w:tc>
          <w:tcPr>
            <w:tcW w:w="953" w:type="dxa"/>
            <w:tcBorders>
              <w:top w:val="nil"/>
              <w:left w:val="nil"/>
              <w:bottom w:val="nil"/>
              <w:right w:val="nil"/>
            </w:tcBorders>
            <w:shd w:val="clear" w:color="000000" w:fill="808080"/>
            <w:noWrap/>
            <w:vAlign w:val="center"/>
            <w:hideMark/>
          </w:tcPr>
          <w:p w14:paraId="6EFFA06E" w14:textId="77777777" w:rsidR="004A7112" w:rsidRPr="00821406" w:rsidRDefault="004A7112" w:rsidP="004A5D49">
            <w:pPr>
              <w:spacing w:line="240" w:lineRule="auto"/>
              <w:jc w:val="center"/>
              <w:rPr>
                <w:rFonts w:ascii="Calibri" w:eastAsia="Times New Roman" w:hAnsi="Calibri" w:cs="Times New Roman"/>
                <w:b/>
                <w:bCs/>
                <w:lang w:eastAsia="it-IT"/>
              </w:rPr>
            </w:pPr>
            <w:r w:rsidRPr="00821406">
              <w:rPr>
                <w:rFonts w:ascii="Calibri" w:eastAsia="Times New Roman" w:hAnsi="Calibri" w:cs="Times New Roman"/>
                <w:b/>
                <w:bCs/>
                <w:lang w:eastAsia="it-IT"/>
              </w:rPr>
              <w:t>3</w:t>
            </w:r>
          </w:p>
        </w:tc>
        <w:tc>
          <w:tcPr>
            <w:tcW w:w="1121" w:type="dxa"/>
            <w:tcBorders>
              <w:top w:val="nil"/>
              <w:left w:val="nil"/>
              <w:bottom w:val="nil"/>
              <w:right w:val="nil"/>
            </w:tcBorders>
            <w:shd w:val="clear" w:color="000000" w:fill="404040"/>
            <w:noWrap/>
            <w:vAlign w:val="center"/>
            <w:hideMark/>
          </w:tcPr>
          <w:p w14:paraId="5FBA9139" w14:textId="77777777" w:rsidR="004A7112" w:rsidRPr="00821406" w:rsidRDefault="004A7112" w:rsidP="004A5D49">
            <w:pPr>
              <w:spacing w:line="240" w:lineRule="auto"/>
              <w:jc w:val="center"/>
              <w:rPr>
                <w:rFonts w:ascii="Calibri" w:eastAsia="Times New Roman" w:hAnsi="Calibri" w:cs="Times New Roman"/>
                <w:b/>
                <w:bCs/>
                <w:color w:val="FFFFFF"/>
                <w:lang w:eastAsia="it-IT"/>
              </w:rPr>
            </w:pPr>
            <w:r w:rsidRPr="00821406">
              <w:rPr>
                <w:rFonts w:ascii="Calibri" w:eastAsia="Times New Roman" w:hAnsi="Calibri" w:cs="Times New Roman"/>
                <w:b/>
                <w:bCs/>
                <w:color w:val="FFFFFF"/>
                <w:lang w:eastAsia="it-IT"/>
              </w:rPr>
              <w:t>4</w:t>
            </w:r>
          </w:p>
        </w:tc>
        <w:tc>
          <w:tcPr>
            <w:tcW w:w="784" w:type="dxa"/>
            <w:tcBorders>
              <w:top w:val="nil"/>
              <w:left w:val="nil"/>
              <w:bottom w:val="nil"/>
              <w:right w:val="single" w:sz="4" w:space="0" w:color="auto"/>
            </w:tcBorders>
            <w:shd w:val="clear" w:color="000000" w:fill="000000"/>
            <w:noWrap/>
            <w:vAlign w:val="center"/>
            <w:hideMark/>
          </w:tcPr>
          <w:p w14:paraId="13621BE4" w14:textId="77777777" w:rsidR="004A7112" w:rsidRPr="00821406" w:rsidRDefault="004A7112" w:rsidP="004A5D49">
            <w:pPr>
              <w:spacing w:line="240" w:lineRule="auto"/>
              <w:jc w:val="center"/>
              <w:rPr>
                <w:rFonts w:ascii="Calibri" w:eastAsia="Times New Roman" w:hAnsi="Calibri" w:cs="Times New Roman"/>
                <w:b/>
                <w:bCs/>
                <w:color w:val="FFFFFF"/>
                <w:lang w:eastAsia="it-IT"/>
              </w:rPr>
            </w:pPr>
            <w:r w:rsidRPr="00821406">
              <w:rPr>
                <w:rFonts w:ascii="Calibri" w:eastAsia="Times New Roman" w:hAnsi="Calibri" w:cs="Times New Roman"/>
                <w:b/>
                <w:bCs/>
                <w:color w:val="FFFFFF"/>
                <w:lang w:eastAsia="it-IT"/>
              </w:rPr>
              <w:t>5</w:t>
            </w:r>
          </w:p>
        </w:tc>
      </w:tr>
      <w:tr w:rsidR="004A7112" w:rsidRPr="00821406" w14:paraId="49EC3FA4" w14:textId="77777777" w:rsidTr="004A5D49">
        <w:trPr>
          <w:trHeight w:val="402"/>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3A31C4B5" w14:textId="77777777" w:rsidR="004A7112" w:rsidRPr="00821406" w:rsidRDefault="004A7112" w:rsidP="004A5D49">
            <w:pPr>
              <w:spacing w:line="240" w:lineRule="auto"/>
              <w:jc w:val="left"/>
              <w:rPr>
                <w:rFonts w:ascii="Calibri" w:eastAsia="Times New Roman" w:hAnsi="Calibri" w:cs="Times New Roman"/>
                <w:b/>
                <w:bCs/>
                <w:color w:val="000000"/>
                <w:lang w:eastAsia="it-IT"/>
              </w:rPr>
            </w:pPr>
          </w:p>
        </w:tc>
        <w:tc>
          <w:tcPr>
            <w:tcW w:w="960" w:type="dxa"/>
            <w:tcBorders>
              <w:top w:val="nil"/>
              <w:left w:val="nil"/>
              <w:bottom w:val="nil"/>
              <w:right w:val="single" w:sz="4" w:space="0" w:color="auto"/>
            </w:tcBorders>
            <w:shd w:val="clear" w:color="auto" w:fill="auto"/>
            <w:noWrap/>
            <w:vAlign w:val="center"/>
            <w:hideMark/>
          </w:tcPr>
          <w:p w14:paraId="22542F52"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4</w:t>
            </w:r>
          </w:p>
        </w:tc>
        <w:tc>
          <w:tcPr>
            <w:tcW w:w="888" w:type="dxa"/>
            <w:tcBorders>
              <w:top w:val="nil"/>
              <w:left w:val="nil"/>
              <w:bottom w:val="nil"/>
              <w:right w:val="nil"/>
            </w:tcBorders>
            <w:shd w:val="clear" w:color="000000" w:fill="BFBFBF"/>
            <w:noWrap/>
            <w:vAlign w:val="center"/>
            <w:hideMark/>
          </w:tcPr>
          <w:p w14:paraId="12A80EEB" w14:textId="77777777" w:rsidR="004A7112" w:rsidRPr="00821406" w:rsidRDefault="004A7112" w:rsidP="004A5D49">
            <w:pPr>
              <w:spacing w:line="240" w:lineRule="auto"/>
              <w:jc w:val="center"/>
              <w:rPr>
                <w:rFonts w:ascii="Calibri" w:eastAsia="Times New Roman" w:hAnsi="Calibri" w:cs="Times New Roman"/>
                <w:b/>
                <w:bCs/>
                <w:lang w:eastAsia="it-IT"/>
              </w:rPr>
            </w:pPr>
            <w:r w:rsidRPr="00821406">
              <w:rPr>
                <w:rFonts w:ascii="Calibri" w:eastAsia="Times New Roman" w:hAnsi="Calibri" w:cs="Times New Roman"/>
                <w:b/>
                <w:bCs/>
                <w:lang w:eastAsia="it-IT"/>
              </w:rPr>
              <w:t>2</w:t>
            </w:r>
          </w:p>
        </w:tc>
        <w:tc>
          <w:tcPr>
            <w:tcW w:w="1054" w:type="dxa"/>
            <w:tcBorders>
              <w:top w:val="nil"/>
              <w:left w:val="nil"/>
              <w:bottom w:val="nil"/>
              <w:right w:val="nil"/>
            </w:tcBorders>
            <w:shd w:val="clear" w:color="000000" w:fill="808080"/>
            <w:noWrap/>
            <w:vAlign w:val="center"/>
            <w:hideMark/>
          </w:tcPr>
          <w:p w14:paraId="545114B4" w14:textId="77777777" w:rsidR="004A7112" w:rsidRPr="00821406" w:rsidRDefault="004A7112" w:rsidP="004A5D49">
            <w:pPr>
              <w:spacing w:line="240" w:lineRule="auto"/>
              <w:jc w:val="center"/>
              <w:rPr>
                <w:rFonts w:ascii="Calibri" w:eastAsia="Times New Roman" w:hAnsi="Calibri" w:cs="Times New Roman"/>
                <w:b/>
                <w:bCs/>
                <w:lang w:eastAsia="it-IT"/>
              </w:rPr>
            </w:pPr>
            <w:r w:rsidRPr="00821406">
              <w:rPr>
                <w:rFonts w:ascii="Calibri" w:eastAsia="Times New Roman" w:hAnsi="Calibri" w:cs="Times New Roman"/>
                <w:b/>
                <w:bCs/>
                <w:lang w:eastAsia="it-IT"/>
              </w:rPr>
              <w:t>3</w:t>
            </w:r>
          </w:p>
        </w:tc>
        <w:tc>
          <w:tcPr>
            <w:tcW w:w="953" w:type="dxa"/>
            <w:tcBorders>
              <w:top w:val="nil"/>
              <w:left w:val="nil"/>
              <w:bottom w:val="nil"/>
              <w:right w:val="nil"/>
            </w:tcBorders>
            <w:shd w:val="clear" w:color="000000" w:fill="404040"/>
            <w:noWrap/>
            <w:vAlign w:val="center"/>
            <w:hideMark/>
          </w:tcPr>
          <w:p w14:paraId="4594143C" w14:textId="77777777" w:rsidR="004A7112" w:rsidRPr="00821406" w:rsidRDefault="004A7112" w:rsidP="004A5D49">
            <w:pPr>
              <w:spacing w:line="240" w:lineRule="auto"/>
              <w:jc w:val="center"/>
              <w:rPr>
                <w:rFonts w:ascii="Calibri" w:eastAsia="Times New Roman" w:hAnsi="Calibri" w:cs="Times New Roman"/>
                <w:b/>
                <w:bCs/>
                <w:color w:val="FFFFFF"/>
                <w:lang w:eastAsia="it-IT"/>
              </w:rPr>
            </w:pPr>
            <w:r w:rsidRPr="00821406">
              <w:rPr>
                <w:rFonts w:ascii="Calibri" w:eastAsia="Times New Roman" w:hAnsi="Calibri" w:cs="Times New Roman"/>
                <w:b/>
                <w:bCs/>
                <w:color w:val="FFFFFF"/>
                <w:lang w:eastAsia="it-IT"/>
              </w:rPr>
              <w:t>4</w:t>
            </w:r>
          </w:p>
        </w:tc>
        <w:tc>
          <w:tcPr>
            <w:tcW w:w="1121" w:type="dxa"/>
            <w:tcBorders>
              <w:top w:val="nil"/>
              <w:left w:val="nil"/>
              <w:bottom w:val="nil"/>
              <w:right w:val="nil"/>
            </w:tcBorders>
            <w:shd w:val="clear" w:color="000000" w:fill="000000"/>
            <w:noWrap/>
            <w:vAlign w:val="center"/>
            <w:hideMark/>
          </w:tcPr>
          <w:p w14:paraId="5CD90947" w14:textId="77777777" w:rsidR="004A7112" w:rsidRPr="00821406" w:rsidRDefault="004A7112" w:rsidP="004A5D49">
            <w:pPr>
              <w:spacing w:line="240" w:lineRule="auto"/>
              <w:jc w:val="center"/>
              <w:rPr>
                <w:rFonts w:ascii="Calibri" w:eastAsia="Times New Roman" w:hAnsi="Calibri" w:cs="Times New Roman"/>
                <w:b/>
                <w:bCs/>
                <w:color w:val="FFFFFF"/>
                <w:lang w:eastAsia="it-IT"/>
              </w:rPr>
            </w:pPr>
            <w:r w:rsidRPr="00821406">
              <w:rPr>
                <w:rFonts w:ascii="Calibri" w:eastAsia="Times New Roman" w:hAnsi="Calibri" w:cs="Times New Roman"/>
                <w:b/>
                <w:bCs/>
                <w:color w:val="FFFFFF"/>
                <w:lang w:eastAsia="it-IT"/>
              </w:rPr>
              <w:t>5</w:t>
            </w:r>
          </w:p>
        </w:tc>
        <w:tc>
          <w:tcPr>
            <w:tcW w:w="784" w:type="dxa"/>
            <w:tcBorders>
              <w:top w:val="nil"/>
              <w:left w:val="nil"/>
              <w:bottom w:val="nil"/>
              <w:right w:val="single" w:sz="4" w:space="0" w:color="auto"/>
            </w:tcBorders>
            <w:shd w:val="clear" w:color="000000" w:fill="000000"/>
            <w:noWrap/>
            <w:vAlign w:val="center"/>
            <w:hideMark/>
          </w:tcPr>
          <w:p w14:paraId="0D45CD93" w14:textId="77777777" w:rsidR="004A7112" w:rsidRPr="00821406" w:rsidRDefault="004A7112" w:rsidP="004A5D49">
            <w:pPr>
              <w:spacing w:line="240" w:lineRule="auto"/>
              <w:jc w:val="center"/>
              <w:rPr>
                <w:rFonts w:ascii="Calibri" w:eastAsia="Times New Roman" w:hAnsi="Calibri" w:cs="Times New Roman"/>
                <w:b/>
                <w:bCs/>
                <w:color w:val="FFFFFF"/>
                <w:lang w:eastAsia="it-IT"/>
              </w:rPr>
            </w:pPr>
            <w:r w:rsidRPr="00821406">
              <w:rPr>
                <w:rFonts w:ascii="Calibri" w:eastAsia="Times New Roman" w:hAnsi="Calibri" w:cs="Times New Roman"/>
                <w:b/>
                <w:bCs/>
                <w:color w:val="FFFFFF"/>
                <w:lang w:eastAsia="it-IT"/>
              </w:rPr>
              <w:t>5</w:t>
            </w:r>
          </w:p>
        </w:tc>
      </w:tr>
      <w:tr w:rsidR="004A7112" w:rsidRPr="00821406" w14:paraId="773002B4" w14:textId="77777777" w:rsidTr="004A5D49">
        <w:trPr>
          <w:trHeight w:val="402"/>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07525C1C" w14:textId="77777777" w:rsidR="004A7112" w:rsidRPr="00821406" w:rsidRDefault="004A7112" w:rsidP="004A5D49">
            <w:pPr>
              <w:spacing w:line="240" w:lineRule="auto"/>
              <w:jc w:val="left"/>
              <w:rPr>
                <w:rFonts w:ascii="Calibri" w:eastAsia="Times New Roman" w:hAnsi="Calibri" w:cs="Times New Roman"/>
                <w:b/>
                <w:bCs/>
                <w:color w:val="000000"/>
                <w:lang w:eastAsia="it-IT"/>
              </w:rPr>
            </w:pPr>
          </w:p>
        </w:tc>
        <w:tc>
          <w:tcPr>
            <w:tcW w:w="960" w:type="dxa"/>
            <w:tcBorders>
              <w:top w:val="nil"/>
              <w:left w:val="nil"/>
              <w:bottom w:val="single" w:sz="4" w:space="0" w:color="auto"/>
              <w:right w:val="single" w:sz="4" w:space="0" w:color="auto"/>
            </w:tcBorders>
            <w:shd w:val="clear" w:color="auto" w:fill="auto"/>
            <w:noWrap/>
            <w:vAlign w:val="center"/>
            <w:hideMark/>
          </w:tcPr>
          <w:p w14:paraId="7DA4565D"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5</w:t>
            </w:r>
          </w:p>
        </w:tc>
        <w:tc>
          <w:tcPr>
            <w:tcW w:w="888" w:type="dxa"/>
            <w:tcBorders>
              <w:top w:val="nil"/>
              <w:left w:val="nil"/>
              <w:bottom w:val="single" w:sz="4" w:space="0" w:color="auto"/>
              <w:right w:val="nil"/>
            </w:tcBorders>
            <w:shd w:val="clear" w:color="000000" w:fill="808080"/>
            <w:noWrap/>
            <w:vAlign w:val="center"/>
            <w:hideMark/>
          </w:tcPr>
          <w:p w14:paraId="249236D5" w14:textId="77777777" w:rsidR="004A7112" w:rsidRPr="00821406" w:rsidRDefault="004A7112" w:rsidP="004A5D49">
            <w:pPr>
              <w:spacing w:line="240" w:lineRule="auto"/>
              <w:jc w:val="center"/>
              <w:rPr>
                <w:rFonts w:ascii="Calibri" w:eastAsia="Times New Roman" w:hAnsi="Calibri" w:cs="Times New Roman"/>
                <w:b/>
                <w:bCs/>
                <w:lang w:eastAsia="it-IT"/>
              </w:rPr>
            </w:pPr>
            <w:r w:rsidRPr="00821406">
              <w:rPr>
                <w:rFonts w:ascii="Calibri" w:eastAsia="Times New Roman" w:hAnsi="Calibri" w:cs="Times New Roman"/>
                <w:b/>
                <w:bCs/>
                <w:lang w:eastAsia="it-IT"/>
              </w:rPr>
              <w:t>3</w:t>
            </w:r>
          </w:p>
        </w:tc>
        <w:tc>
          <w:tcPr>
            <w:tcW w:w="1054" w:type="dxa"/>
            <w:tcBorders>
              <w:top w:val="nil"/>
              <w:left w:val="nil"/>
              <w:bottom w:val="single" w:sz="4" w:space="0" w:color="auto"/>
              <w:right w:val="nil"/>
            </w:tcBorders>
            <w:shd w:val="clear" w:color="000000" w:fill="404040"/>
            <w:noWrap/>
            <w:vAlign w:val="center"/>
            <w:hideMark/>
          </w:tcPr>
          <w:p w14:paraId="184E4566" w14:textId="77777777" w:rsidR="004A7112" w:rsidRPr="00821406" w:rsidRDefault="004A7112" w:rsidP="004A5D49">
            <w:pPr>
              <w:spacing w:line="240" w:lineRule="auto"/>
              <w:jc w:val="center"/>
              <w:rPr>
                <w:rFonts w:ascii="Calibri" w:eastAsia="Times New Roman" w:hAnsi="Calibri" w:cs="Times New Roman"/>
                <w:b/>
                <w:bCs/>
                <w:color w:val="FFFFFF"/>
                <w:lang w:eastAsia="it-IT"/>
              </w:rPr>
            </w:pPr>
            <w:r w:rsidRPr="00821406">
              <w:rPr>
                <w:rFonts w:ascii="Calibri" w:eastAsia="Times New Roman" w:hAnsi="Calibri" w:cs="Times New Roman"/>
                <w:b/>
                <w:bCs/>
                <w:color w:val="FFFFFF"/>
                <w:lang w:eastAsia="it-IT"/>
              </w:rPr>
              <w:t>4</w:t>
            </w:r>
          </w:p>
        </w:tc>
        <w:tc>
          <w:tcPr>
            <w:tcW w:w="953" w:type="dxa"/>
            <w:tcBorders>
              <w:top w:val="nil"/>
              <w:left w:val="nil"/>
              <w:bottom w:val="single" w:sz="4" w:space="0" w:color="auto"/>
              <w:right w:val="nil"/>
            </w:tcBorders>
            <w:shd w:val="clear" w:color="000000" w:fill="000000"/>
            <w:noWrap/>
            <w:vAlign w:val="center"/>
            <w:hideMark/>
          </w:tcPr>
          <w:p w14:paraId="0DC9207E" w14:textId="77777777" w:rsidR="004A7112" w:rsidRPr="00821406" w:rsidRDefault="004A7112" w:rsidP="004A5D49">
            <w:pPr>
              <w:spacing w:line="240" w:lineRule="auto"/>
              <w:jc w:val="center"/>
              <w:rPr>
                <w:rFonts w:ascii="Calibri" w:eastAsia="Times New Roman" w:hAnsi="Calibri" w:cs="Times New Roman"/>
                <w:b/>
                <w:bCs/>
                <w:color w:val="FFFFFF"/>
                <w:lang w:eastAsia="it-IT"/>
              </w:rPr>
            </w:pPr>
            <w:r w:rsidRPr="00821406">
              <w:rPr>
                <w:rFonts w:ascii="Calibri" w:eastAsia="Times New Roman" w:hAnsi="Calibri" w:cs="Times New Roman"/>
                <w:b/>
                <w:bCs/>
                <w:color w:val="FFFFFF"/>
                <w:lang w:eastAsia="it-IT"/>
              </w:rPr>
              <w:t>5</w:t>
            </w:r>
          </w:p>
        </w:tc>
        <w:tc>
          <w:tcPr>
            <w:tcW w:w="1121" w:type="dxa"/>
            <w:tcBorders>
              <w:top w:val="nil"/>
              <w:left w:val="nil"/>
              <w:bottom w:val="single" w:sz="4" w:space="0" w:color="auto"/>
              <w:right w:val="nil"/>
            </w:tcBorders>
            <w:shd w:val="clear" w:color="000000" w:fill="000000"/>
            <w:noWrap/>
            <w:vAlign w:val="center"/>
            <w:hideMark/>
          </w:tcPr>
          <w:p w14:paraId="77F02B5B" w14:textId="77777777" w:rsidR="004A7112" w:rsidRPr="00821406" w:rsidRDefault="004A7112" w:rsidP="004A5D49">
            <w:pPr>
              <w:spacing w:line="240" w:lineRule="auto"/>
              <w:jc w:val="center"/>
              <w:rPr>
                <w:rFonts w:ascii="Calibri" w:eastAsia="Times New Roman" w:hAnsi="Calibri" w:cs="Times New Roman"/>
                <w:b/>
                <w:bCs/>
                <w:color w:val="FFFFFF"/>
                <w:lang w:eastAsia="it-IT"/>
              </w:rPr>
            </w:pPr>
            <w:r w:rsidRPr="00821406">
              <w:rPr>
                <w:rFonts w:ascii="Calibri" w:eastAsia="Times New Roman" w:hAnsi="Calibri" w:cs="Times New Roman"/>
                <w:b/>
                <w:bCs/>
                <w:color w:val="FFFFFF"/>
                <w:lang w:eastAsia="it-IT"/>
              </w:rPr>
              <w:t>5</w:t>
            </w:r>
          </w:p>
        </w:tc>
        <w:tc>
          <w:tcPr>
            <w:tcW w:w="784" w:type="dxa"/>
            <w:tcBorders>
              <w:top w:val="nil"/>
              <w:left w:val="nil"/>
              <w:bottom w:val="single" w:sz="4" w:space="0" w:color="auto"/>
              <w:right w:val="single" w:sz="4" w:space="0" w:color="auto"/>
            </w:tcBorders>
            <w:shd w:val="clear" w:color="000000" w:fill="000000"/>
            <w:noWrap/>
            <w:vAlign w:val="center"/>
            <w:hideMark/>
          </w:tcPr>
          <w:p w14:paraId="53BC3AFE" w14:textId="77777777" w:rsidR="004A7112" w:rsidRPr="00821406" w:rsidRDefault="004A7112" w:rsidP="004A5D49">
            <w:pPr>
              <w:spacing w:line="240" w:lineRule="auto"/>
              <w:jc w:val="center"/>
              <w:rPr>
                <w:rFonts w:ascii="Calibri" w:eastAsia="Times New Roman" w:hAnsi="Calibri" w:cs="Times New Roman"/>
                <w:b/>
                <w:bCs/>
                <w:color w:val="FFFFFF"/>
                <w:lang w:eastAsia="it-IT"/>
              </w:rPr>
            </w:pPr>
            <w:r w:rsidRPr="00821406">
              <w:rPr>
                <w:rFonts w:ascii="Calibri" w:eastAsia="Times New Roman" w:hAnsi="Calibri" w:cs="Times New Roman"/>
                <w:b/>
                <w:bCs/>
                <w:color w:val="FFFFFF"/>
                <w:lang w:eastAsia="it-IT"/>
              </w:rPr>
              <w:t>5</w:t>
            </w:r>
          </w:p>
        </w:tc>
      </w:tr>
    </w:tbl>
    <w:p w14:paraId="006477BD" w14:textId="77777777" w:rsidR="0061220F" w:rsidRPr="00F2670D" w:rsidRDefault="0061220F" w:rsidP="0061220F">
      <w:pPr>
        <w:rPr>
          <w:lang w:val="en-US"/>
        </w:rPr>
      </w:pPr>
    </w:p>
    <w:p w14:paraId="295250F3" w14:textId="77777777" w:rsidR="0061220F" w:rsidRPr="00F2670D" w:rsidRDefault="0061220F" w:rsidP="0061220F">
      <w:pPr>
        <w:pStyle w:val="Titolo1"/>
      </w:pPr>
      <w:r w:rsidRPr="00F2670D">
        <w:t>Demonstration of the method</w:t>
      </w:r>
    </w:p>
    <w:p w14:paraId="55F83219" w14:textId="77777777" w:rsidR="0061220F" w:rsidRPr="00F2670D" w:rsidRDefault="0061220F" w:rsidP="0061220F">
      <w:pPr>
        <w:pStyle w:val="Titolo2"/>
      </w:pPr>
      <w:r w:rsidRPr="00F2670D">
        <w:t>Spatial, Temporal and Spatio-Temporal models</w:t>
      </w:r>
    </w:p>
    <w:p w14:paraId="2DA6DDAC" w14:textId="77777777" w:rsidR="0061220F" w:rsidRDefault="0061220F" w:rsidP="0061220F">
      <w:pPr>
        <w:rPr>
          <w:lang w:val="en-US"/>
        </w:rPr>
      </w:pPr>
      <w:r w:rsidRPr="00F2670D">
        <w:rPr>
          <w:lang w:val="en-US"/>
        </w:rPr>
        <w:t xml:space="preserve">The spatio-temporal approach is illustrated for the Po Plain area in </w:t>
      </w:r>
      <w:r>
        <w:rPr>
          <w:lang w:val="en-US"/>
        </w:rPr>
        <w:t xml:space="preserve">the </w:t>
      </w:r>
      <w:r w:rsidRPr="00F2670D">
        <w:rPr>
          <w:lang w:val="en-US"/>
        </w:rPr>
        <w:t>Lombardy Region (§ 2.1). Spatial, temporal and spatio-temporal models refer to the status of nitrate contamination and nitrate sources in 2011 and their evolution from 2000 to 2011. Table 4 shows the combinations of the significant evidential themes used to generate the response themes. For each model, only the statistically or physically significant evidential themes are considered in the analyses.</w:t>
      </w:r>
    </w:p>
    <w:p w14:paraId="64E0554A" w14:textId="77777777" w:rsidR="004A7112" w:rsidRPr="00F2670D" w:rsidRDefault="004A7112" w:rsidP="0061220F">
      <w:pPr>
        <w:rPr>
          <w:lang w:val="en-US"/>
        </w:rPr>
      </w:pPr>
    </w:p>
    <w:p w14:paraId="7592DB3C" w14:textId="6A956076" w:rsidR="0061220F" w:rsidRPr="00F2670D" w:rsidRDefault="0061220F" w:rsidP="0061220F">
      <w:pPr>
        <w:rPr>
          <w:i/>
          <w:lang w:val="en-US"/>
        </w:rPr>
      </w:pPr>
      <w:r w:rsidRPr="00F2670D">
        <w:rPr>
          <w:i/>
          <w:lang w:val="en-US"/>
        </w:rPr>
        <w:lastRenderedPageBreak/>
        <w:t xml:space="preserve">Table 4 - Combination of evidential themes used to obtain response themes and model </w:t>
      </w:r>
      <w:r w:rsidR="004A7112" w:rsidRPr="00771667">
        <w:rPr>
          <w:i/>
          <w:lang w:val="en-US"/>
        </w:rPr>
        <w:t>area-under-the curve</w:t>
      </w:r>
      <w:r w:rsidR="004A7112" w:rsidRPr="00F2670D">
        <w:rPr>
          <w:lang w:val="en-US"/>
        </w:rPr>
        <w:t xml:space="preserve"> </w:t>
      </w:r>
      <w:r w:rsidR="004A7112">
        <w:rPr>
          <w:lang w:val="en-US"/>
        </w:rPr>
        <w:t>(</w:t>
      </w:r>
      <w:r w:rsidRPr="00F2670D">
        <w:rPr>
          <w:i/>
          <w:lang w:val="en-US"/>
        </w:rPr>
        <w:t>AUC</w:t>
      </w:r>
      <w:r w:rsidR="004A7112">
        <w:rPr>
          <w:i/>
          <w:lang w:val="en-US"/>
        </w:rPr>
        <w:t>)</w:t>
      </w:r>
      <w:r w:rsidRPr="00F2670D">
        <w:rPr>
          <w:i/>
          <w:lang w:val="en-US"/>
        </w:rPr>
        <w:t xml:space="preserve"> values. spc = soil protective capacity</w:t>
      </w:r>
      <w:r>
        <w:rPr>
          <w:i/>
          <w:lang w:val="en-US"/>
        </w:rPr>
        <w:t>;</w:t>
      </w:r>
      <w:r w:rsidRPr="00F2670D">
        <w:rPr>
          <w:i/>
          <w:lang w:val="en-US"/>
        </w:rPr>
        <w:t xml:space="preserve"> dsm [2009] = land use from satellite data in 2009</w:t>
      </w:r>
      <w:r>
        <w:rPr>
          <w:i/>
          <w:lang w:val="en-US"/>
        </w:rPr>
        <w:t>;</w:t>
      </w:r>
      <w:r w:rsidRPr="00F2670D">
        <w:rPr>
          <w:i/>
          <w:lang w:val="en-US"/>
        </w:rPr>
        <w:t xml:space="preserve"> dsm/slope [2000 ÷ 2009] = land use changes from satellite data between 2000 and 2009</w:t>
      </w:r>
      <w:r>
        <w:rPr>
          <w:i/>
          <w:lang w:val="en-US"/>
        </w:rPr>
        <w:t>;</w:t>
      </w:r>
      <w:r w:rsidRPr="00F2670D">
        <w:rPr>
          <w:i/>
          <w:lang w:val="en-US"/>
        </w:rPr>
        <w:t xml:space="preserve"> gwd [2003] = groundwater depth measured in 2003</w:t>
      </w:r>
      <w:r>
        <w:rPr>
          <w:i/>
          <w:lang w:val="en-US"/>
        </w:rPr>
        <w:t>;</w:t>
      </w:r>
      <w:r w:rsidRPr="00F2670D">
        <w:rPr>
          <w:i/>
          <w:lang w:val="en-US"/>
        </w:rPr>
        <w:t xml:space="preserve"> gwv = groundwater velocity</w:t>
      </w:r>
      <w:r>
        <w:rPr>
          <w:i/>
          <w:lang w:val="en-US"/>
        </w:rPr>
        <w:t>;</w:t>
      </w:r>
      <w:r w:rsidRPr="00F2670D">
        <w:rPr>
          <w:i/>
          <w:lang w:val="en-US"/>
        </w:rPr>
        <w:t xml:space="preserve"> hcv = hydraulic conductivity of the vadose zone. * Data from Stevenazzi et al., 2015.</w:t>
      </w:r>
    </w:p>
    <w:tbl>
      <w:tblPr>
        <w:tblW w:w="9648" w:type="dxa"/>
        <w:tblCellMar>
          <w:left w:w="70" w:type="dxa"/>
          <w:right w:w="70" w:type="dxa"/>
        </w:tblCellMar>
        <w:tblLook w:val="04A0" w:firstRow="1" w:lastRow="0" w:firstColumn="1" w:lastColumn="0" w:noHBand="0" w:noVBand="1"/>
      </w:tblPr>
      <w:tblGrid>
        <w:gridCol w:w="1640"/>
        <w:gridCol w:w="5740"/>
        <w:gridCol w:w="1134"/>
        <w:gridCol w:w="1134"/>
      </w:tblGrid>
      <w:tr w:rsidR="004A7112" w:rsidRPr="00821406" w14:paraId="3900CCE7" w14:textId="77777777" w:rsidTr="004A5D49">
        <w:trPr>
          <w:trHeight w:val="340"/>
        </w:trPr>
        <w:tc>
          <w:tcPr>
            <w:tcW w:w="1640" w:type="dxa"/>
            <w:tcBorders>
              <w:top w:val="single" w:sz="4" w:space="0" w:color="auto"/>
              <w:left w:val="single" w:sz="4" w:space="0" w:color="auto"/>
              <w:bottom w:val="nil"/>
              <w:right w:val="nil"/>
            </w:tcBorders>
            <w:shd w:val="clear" w:color="auto" w:fill="auto"/>
            <w:noWrap/>
            <w:vAlign w:val="center"/>
            <w:hideMark/>
          </w:tcPr>
          <w:p w14:paraId="24AD2317" w14:textId="77777777" w:rsidR="004A7112" w:rsidRPr="00821406" w:rsidRDefault="004A7112" w:rsidP="004A5D49">
            <w:pPr>
              <w:spacing w:line="240" w:lineRule="auto"/>
              <w:jc w:val="center"/>
              <w:rPr>
                <w:rFonts w:ascii="Calibri" w:eastAsia="Times New Roman" w:hAnsi="Calibri" w:cs="Times New Roman"/>
                <w:b/>
                <w:bCs/>
                <w:color w:val="000000"/>
                <w:lang w:val="en-US" w:eastAsia="it-IT"/>
              </w:rPr>
            </w:pPr>
            <w:r w:rsidRPr="00821406">
              <w:rPr>
                <w:rFonts w:ascii="Calibri" w:eastAsia="Times New Roman" w:hAnsi="Calibri" w:cs="Times New Roman"/>
                <w:b/>
                <w:bCs/>
                <w:color w:val="000000"/>
                <w:lang w:val="en-US" w:eastAsia="it-IT"/>
              </w:rPr>
              <w:t>Model</w:t>
            </w:r>
          </w:p>
        </w:tc>
        <w:tc>
          <w:tcPr>
            <w:tcW w:w="5740" w:type="dxa"/>
            <w:tcBorders>
              <w:top w:val="single" w:sz="4" w:space="0" w:color="auto"/>
              <w:left w:val="nil"/>
              <w:bottom w:val="nil"/>
              <w:right w:val="single" w:sz="4" w:space="0" w:color="auto"/>
            </w:tcBorders>
            <w:shd w:val="clear" w:color="auto" w:fill="auto"/>
            <w:noWrap/>
            <w:vAlign w:val="center"/>
            <w:hideMark/>
          </w:tcPr>
          <w:p w14:paraId="2127E620" w14:textId="77777777" w:rsidR="004A7112" w:rsidRPr="00821406" w:rsidRDefault="004A7112" w:rsidP="004A5D49">
            <w:pPr>
              <w:spacing w:line="240" w:lineRule="auto"/>
              <w:jc w:val="center"/>
              <w:rPr>
                <w:rFonts w:ascii="Calibri" w:eastAsia="Times New Roman" w:hAnsi="Calibri" w:cs="Times New Roman"/>
                <w:b/>
                <w:bCs/>
                <w:color w:val="000000"/>
                <w:lang w:val="en-US" w:eastAsia="it-IT"/>
              </w:rPr>
            </w:pPr>
            <w:r w:rsidRPr="00821406">
              <w:rPr>
                <w:rFonts w:ascii="Calibri" w:eastAsia="Times New Roman" w:hAnsi="Calibri" w:cs="Times New Roman"/>
                <w:b/>
                <w:bCs/>
                <w:color w:val="000000"/>
                <w:lang w:val="en-US" w:eastAsia="it-IT"/>
              </w:rPr>
              <w:t>Combination of evidential themes</w:t>
            </w:r>
          </w:p>
        </w:tc>
        <w:tc>
          <w:tcPr>
            <w:tcW w:w="1134" w:type="dxa"/>
            <w:tcBorders>
              <w:top w:val="single" w:sz="4" w:space="0" w:color="auto"/>
              <w:left w:val="nil"/>
              <w:bottom w:val="nil"/>
              <w:right w:val="nil"/>
            </w:tcBorders>
            <w:shd w:val="clear" w:color="auto" w:fill="auto"/>
            <w:vAlign w:val="center"/>
            <w:hideMark/>
          </w:tcPr>
          <w:p w14:paraId="12B41904" w14:textId="244F716D" w:rsidR="004A7112" w:rsidRPr="00821406" w:rsidRDefault="0027234C" w:rsidP="0027234C">
            <w:pPr>
              <w:spacing w:line="240" w:lineRule="auto"/>
              <w:jc w:val="center"/>
              <w:rPr>
                <w:rFonts w:ascii="Calibri" w:eastAsia="Times New Roman" w:hAnsi="Calibri" w:cs="Times New Roman"/>
                <w:b/>
                <w:bCs/>
                <w:color w:val="000000"/>
                <w:lang w:val="en-US" w:eastAsia="it-IT"/>
              </w:rPr>
            </w:pPr>
            <w:r w:rsidRPr="00821406">
              <w:rPr>
                <w:rFonts w:ascii="Calibri" w:eastAsia="Times New Roman" w:hAnsi="Calibri" w:cs="Times New Roman"/>
                <w:b/>
                <w:bCs/>
                <w:color w:val="000000"/>
                <w:lang w:val="en-US" w:eastAsia="it-IT"/>
              </w:rPr>
              <w:t>Success Rate</w:t>
            </w:r>
            <w:r>
              <w:rPr>
                <w:rFonts w:ascii="Calibri" w:eastAsia="Times New Roman" w:hAnsi="Calibri" w:cs="Times New Roman"/>
                <w:b/>
                <w:bCs/>
                <w:color w:val="000000"/>
                <w:lang w:val="en-US" w:eastAsia="it-IT"/>
              </w:rPr>
              <w:t>:</w:t>
            </w:r>
            <w:r w:rsidRPr="00821406">
              <w:rPr>
                <w:rFonts w:ascii="Calibri" w:eastAsia="Times New Roman" w:hAnsi="Calibri" w:cs="Times New Roman"/>
                <w:b/>
                <w:bCs/>
                <w:color w:val="000000"/>
                <w:lang w:val="en-US" w:eastAsia="it-IT"/>
              </w:rPr>
              <w:t xml:space="preserve"> </w:t>
            </w:r>
            <w:r w:rsidR="004A7112" w:rsidRPr="00821406">
              <w:rPr>
                <w:rFonts w:ascii="Calibri" w:eastAsia="Times New Roman" w:hAnsi="Calibri" w:cs="Times New Roman"/>
                <w:b/>
                <w:bCs/>
                <w:color w:val="000000"/>
                <w:lang w:val="en-US" w:eastAsia="it-IT"/>
              </w:rPr>
              <w:t>AUC</w:t>
            </w:r>
            <w:r>
              <w:rPr>
                <w:rFonts w:ascii="Calibri" w:eastAsia="Times New Roman" w:hAnsi="Calibri" w:cs="Times New Roman"/>
                <w:b/>
                <w:bCs/>
                <w:color w:val="000000"/>
                <w:lang w:val="en-US" w:eastAsia="it-IT"/>
              </w:rPr>
              <w:t xml:space="preserve"> value</w:t>
            </w:r>
          </w:p>
        </w:tc>
        <w:tc>
          <w:tcPr>
            <w:tcW w:w="1134" w:type="dxa"/>
            <w:tcBorders>
              <w:top w:val="single" w:sz="4" w:space="0" w:color="auto"/>
              <w:left w:val="nil"/>
              <w:bottom w:val="nil"/>
              <w:right w:val="single" w:sz="4" w:space="0" w:color="auto"/>
            </w:tcBorders>
            <w:shd w:val="clear" w:color="auto" w:fill="auto"/>
            <w:vAlign w:val="center"/>
            <w:hideMark/>
          </w:tcPr>
          <w:p w14:paraId="22307B8E" w14:textId="78C32583" w:rsidR="004A7112" w:rsidRPr="00821406" w:rsidRDefault="0027234C" w:rsidP="0027234C">
            <w:pPr>
              <w:spacing w:line="240" w:lineRule="auto"/>
              <w:jc w:val="center"/>
              <w:rPr>
                <w:rFonts w:ascii="Calibri" w:eastAsia="Times New Roman" w:hAnsi="Calibri" w:cs="Times New Roman"/>
                <w:b/>
                <w:bCs/>
                <w:color w:val="000000"/>
                <w:lang w:val="en-US" w:eastAsia="it-IT"/>
              </w:rPr>
            </w:pPr>
            <w:r w:rsidRPr="00821406">
              <w:rPr>
                <w:rFonts w:ascii="Calibri" w:eastAsia="Times New Roman" w:hAnsi="Calibri" w:cs="Times New Roman"/>
                <w:b/>
                <w:bCs/>
                <w:color w:val="000000"/>
                <w:lang w:val="en-US" w:eastAsia="it-IT"/>
              </w:rPr>
              <w:t>Prediction Rate</w:t>
            </w:r>
            <w:r>
              <w:rPr>
                <w:rFonts w:ascii="Calibri" w:eastAsia="Times New Roman" w:hAnsi="Calibri" w:cs="Times New Roman"/>
                <w:b/>
                <w:bCs/>
                <w:color w:val="000000"/>
                <w:lang w:val="en-US" w:eastAsia="it-IT"/>
              </w:rPr>
              <w:t>: AUC value</w:t>
            </w:r>
          </w:p>
        </w:tc>
      </w:tr>
      <w:tr w:rsidR="004A7112" w:rsidRPr="00821406" w14:paraId="25098118" w14:textId="77777777" w:rsidTr="004A5D49">
        <w:trPr>
          <w:trHeight w:val="454"/>
        </w:trPr>
        <w:tc>
          <w:tcPr>
            <w:tcW w:w="1640" w:type="dxa"/>
            <w:tcBorders>
              <w:top w:val="single" w:sz="4" w:space="0" w:color="auto"/>
              <w:left w:val="single" w:sz="4" w:space="0" w:color="auto"/>
              <w:bottom w:val="nil"/>
              <w:right w:val="nil"/>
            </w:tcBorders>
            <w:shd w:val="clear" w:color="auto" w:fill="auto"/>
            <w:noWrap/>
            <w:vAlign w:val="center"/>
            <w:hideMark/>
          </w:tcPr>
          <w:p w14:paraId="6EC19D58" w14:textId="77777777" w:rsidR="004A7112" w:rsidRPr="00821406" w:rsidRDefault="004A7112" w:rsidP="004A5D49">
            <w:pPr>
              <w:spacing w:line="240" w:lineRule="auto"/>
              <w:jc w:val="center"/>
              <w:rPr>
                <w:rFonts w:ascii="Calibri" w:eastAsia="Times New Roman" w:hAnsi="Calibri" w:cs="Times New Roman"/>
                <w:color w:val="000000"/>
                <w:lang w:val="en-US" w:eastAsia="it-IT"/>
              </w:rPr>
            </w:pPr>
            <w:r w:rsidRPr="00821406">
              <w:rPr>
                <w:rFonts w:ascii="Calibri" w:eastAsia="Times New Roman" w:hAnsi="Calibri" w:cs="Times New Roman"/>
                <w:color w:val="000000"/>
                <w:lang w:val="en-US" w:eastAsia="it-IT"/>
              </w:rPr>
              <w:t>Spatial</w:t>
            </w:r>
          </w:p>
        </w:tc>
        <w:tc>
          <w:tcPr>
            <w:tcW w:w="5740" w:type="dxa"/>
            <w:tcBorders>
              <w:top w:val="single" w:sz="4" w:space="0" w:color="auto"/>
              <w:left w:val="nil"/>
              <w:bottom w:val="nil"/>
              <w:right w:val="single" w:sz="4" w:space="0" w:color="auto"/>
            </w:tcBorders>
            <w:shd w:val="clear" w:color="auto" w:fill="auto"/>
            <w:noWrap/>
            <w:vAlign w:val="center"/>
            <w:hideMark/>
          </w:tcPr>
          <w:p w14:paraId="14BE3A99" w14:textId="77777777" w:rsidR="004A7112" w:rsidRPr="00821406" w:rsidRDefault="004A7112" w:rsidP="004A5D49">
            <w:pPr>
              <w:spacing w:line="240" w:lineRule="auto"/>
              <w:jc w:val="center"/>
              <w:rPr>
                <w:rFonts w:ascii="Calibri" w:eastAsia="Times New Roman" w:hAnsi="Calibri" w:cs="Times New Roman"/>
                <w:color w:val="000000"/>
                <w:lang w:val="en-US" w:eastAsia="it-IT"/>
              </w:rPr>
            </w:pPr>
            <w:r w:rsidRPr="00821406">
              <w:rPr>
                <w:rFonts w:ascii="Calibri" w:eastAsia="Times New Roman" w:hAnsi="Calibri" w:cs="Times New Roman"/>
                <w:color w:val="000000"/>
                <w:lang w:val="en-US" w:eastAsia="it-IT"/>
              </w:rPr>
              <w:t>spc, dsm [2009], gwd [2003], gwv, hcv</w:t>
            </w:r>
          </w:p>
        </w:tc>
        <w:tc>
          <w:tcPr>
            <w:tcW w:w="1134" w:type="dxa"/>
            <w:tcBorders>
              <w:top w:val="single" w:sz="4" w:space="0" w:color="auto"/>
              <w:left w:val="nil"/>
              <w:bottom w:val="nil"/>
              <w:right w:val="nil"/>
            </w:tcBorders>
            <w:shd w:val="clear" w:color="auto" w:fill="auto"/>
            <w:noWrap/>
            <w:vAlign w:val="center"/>
            <w:hideMark/>
          </w:tcPr>
          <w:p w14:paraId="60DABC59"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78.4%</w:t>
            </w:r>
          </w:p>
        </w:tc>
        <w:tc>
          <w:tcPr>
            <w:tcW w:w="1134" w:type="dxa"/>
            <w:tcBorders>
              <w:top w:val="single" w:sz="4" w:space="0" w:color="auto"/>
              <w:left w:val="nil"/>
              <w:bottom w:val="nil"/>
              <w:right w:val="single" w:sz="4" w:space="0" w:color="auto"/>
            </w:tcBorders>
            <w:shd w:val="clear" w:color="auto" w:fill="auto"/>
            <w:noWrap/>
            <w:vAlign w:val="center"/>
            <w:hideMark/>
          </w:tcPr>
          <w:p w14:paraId="42788816"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43.2%</w:t>
            </w:r>
          </w:p>
        </w:tc>
      </w:tr>
      <w:tr w:rsidR="004A7112" w:rsidRPr="00821406" w14:paraId="0180AAFF" w14:textId="77777777" w:rsidTr="004A5D49">
        <w:trPr>
          <w:trHeight w:val="454"/>
        </w:trPr>
        <w:tc>
          <w:tcPr>
            <w:tcW w:w="1640" w:type="dxa"/>
            <w:tcBorders>
              <w:top w:val="nil"/>
              <w:left w:val="single" w:sz="4" w:space="0" w:color="auto"/>
              <w:bottom w:val="nil"/>
              <w:right w:val="nil"/>
            </w:tcBorders>
            <w:shd w:val="clear" w:color="auto" w:fill="auto"/>
            <w:noWrap/>
            <w:vAlign w:val="center"/>
            <w:hideMark/>
          </w:tcPr>
          <w:p w14:paraId="78AA4C08"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Temporal</w:t>
            </w:r>
          </w:p>
        </w:tc>
        <w:tc>
          <w:tcPr>
            <w:tcW w:w="5740" w:type="dxa"/>
            <w:tcBorders>
              <w:top w:val="nil"/>
              <w:left w:val="nil"/>
              <w:bottom w:val="nil"/>
              <w:right w:val="single" w:sz="4" w:space="0" w:color="auto"/>
            </w:tcBorders>
            <w:shd w:val="clear" w:color="auto" w:fill="auto"/>
            <w:noWrap/>
            <w:vAlign w:val="center"/>
            <w:hideMark/>
          </w:tcPr>
          <w:p w14:paraId="3833D8B3" w14:textId="77777777" w:rsidR="004A7112" w:rsidRPr="00821406" w:rsidRDefault="004A7112" w:rsidP="004A5D49">
            <w:pPr>
              <w:spacing w:line="240" w:lineRule="auto"/>
              <w:jc w:val="center"/>
              <w:rPr>
                <w:rFonts w:ascii="Calibri" w:eastAsia="Times New Roman" w:hAnsi="Calibri" w:cs="Times New Roman"/>
                <w:color w:val="000000"/>
                <w:lang w:val="en-US" w:eastAsia="it-IT"/>
              </w:rPr>
            </w:pPr>
            <w:r w:rsidRPr="00821406">
              <w:rPr>
                <w:rFonts w:ascii="Calibri" w:eastAsia="Times New Roman" w:hAnsi="Calibri" w:cs="Times New Roman"/>
                <w:color w:val="000000"/>
                <w:lang w:val="en-US" w:eastAsia="it-IT"/>
              </w:rPr>
              <w:t>dsm/slope [2000 ÷ 2009], gwd [2003], gwv, hcv</w:t>
            </w:r>
          </w:p>
        </w:tc>
        <w:tc>
          <w:tcPr>
            <w:tcW w:w="1134" w:type="dxa"/>
            <w:tcBorders>
              <w:top w:val="nil"/>
              <w:left w:val="nil"/>
              <w:bottom w:val="nil"/>
              <w:right w:val="nil"/>
            </w:tcBorders>
            <w:shd w:val="clear" w:color="auto" w:fill="auto"/>
            <w:noWrap/>
            <w:vAlign w:val="center"/>
            <w:hideMark/>
          </w:tcPr>
          <w:p w14:paraId="380D265E"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74.3%*</w:t>
            </w:r>
          </w:p>
        </w:tc>
        <w:tc>
          <w:tcPr>
            <w:tcW w:w="1134" w:type="dxa"/>
            <w:tcBorders>
              <w:top w:val="nil"/>
              <w:left w:val="nil"/>
              <w:bottom w:val="nil"/>
              <w:right w:val="single" w:sz="4" w:space="0" w:color="auto"/>
            </w:tcBorders>
            <w:shd w:val="clear" w:color="auto" w:fill="auto"/>
            <w:noWrap/>
            <w:vAlign w:val="center"/>
            <w:hideMark/>
          </w:tcPr>
          <w:p w14:paraId="6B85A7BB"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62.1%</w:t>
            </w:r>
          </w:p>
        </w:tc>
      </w:tr>
      <w:tr w:rsidR="004A7112" w:rsidRPr="00821406" w14:paraId="4A5458CB" w14:textId="77777777" w:rsidTr="004A5D49">
        <w:trPr>
          <w:trHeight w:val="454"/>
        </w:trPr>
        <w:tc>
          <w:tcPr>
            <w:tcW w:w="1640" w:type="dxa"/>
            <w:tcBorders>
              <w:top w:val="nil"/>
              <w:left w:val="single" w:sz="4" w:space="0" w:color="auto"/>
              <w:bottom w:val="single" w:sz="4" w:space="0" w:color="auto"/>
              <w:right w:val="nil"/>
            </w:tcBorders>
            <w:shd w:val="clear" w:color="auto" w:fill="auto"/>
            <w:noWrap/>
            <w:vAlign w:val="center"/>
            <w:hideMark/>
          </w:tcPr>
          <w:p w14:paraId="402CA811"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Spatio-temporal</w:t>
            </w:r>
          </w:p>
        </w:tc>
        <w:tc>
          <w:tcPr>
            <w:tcW w:w="5740" w:type="dxa"/>
            <w:tcBorders>
              <w:top w:val="nil"/>
              <w:left w:val="nil"/>
              <w:bottom w:val="single" w:sz="4" w:space="0" w:color="auto"/>
              <w:right w:val="single" w:sz="4" w:space="0" w:color="auto"/>
            </w:tcBorders>
            <w:shd w:val="clear" w:color="auto" w:fill="auto"/>
            <w:noWrap/>
            <w:vAlign w:val="center"/>
            <w:hideMark/>
          </w:tcPr>
          <w:p w14:paraId="0C386D32" w14:textId="77777777" w:rsidR="004A7112" w:rsidRPr="00821406" w:rsidRDefault="004A7112" w:rsidP="004A5D49">
            <w:pPr>
              <w:spacing w:line="240" w:lineRule="auto"/>
              <w:jc w:val="center"/>
              <w:rPr>
                <w:rFonts w:ascii="Calibri" w:eastAsia="Times New Roman" w:hAnsi="Calibri" w:cs="Times New Roman"/>
                <w:color w:val="000000"/>
                <w:lang w:val="en-US" w:eastAsia="it-IT"/>
              </w:rPr>
            </w:pPr>
            <w:r w:rsidRPr="00821406">
              <w:rPr>
                <w:rFonts w:ascii="Calibri" w:eastAsia="Times New Roman" w:hAnsi="Calibri" w:cs="Times New Roman"/>
                <w:color w:val="000000"/>
                <w:lang w:val="en-US" w:eastAsia="it-IT"/>
              </w:rPr>
              <w:t>dsm [2009] + dsm/slope [2000 ÷ 2009], gwd [2003], gwv, hcv</w:t>
            </w:r>
          </w:p>
        </w:tc>
        <w:tc>
          <w:tcPr>
            <w:tcW w:w="1134" w:type="dxa"/>
            <w:tcBorders>
              <w:top w:val="nil"/>
              <w:left w:val="nil"/>
              <w:bottom w:val="single" w:sz="4" w:space="0" w:color="auto"/>
              <w:right w:val="nil"/>
            </w:tcBorders>
            <w:shd w:val="clear" w:color="auto" w:fill="auto"/>
            <w:noWrap/>
            <w:vAlign w:val="center"/>
            <w:hideMark/>
          </w:tcPr>
          <w:p w14:paraId="6BC1CE02"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75.5%</w:t>
            </w:r>
          </w:p>
        </w:tc>
        <w:tc>
          <w:tcPr>
            <w:tcW w:w="1134" w:type="dxa"/>
            <w:tcBorders>
              <w:top w:val="nil"/>
              <w:left w:val="nil"/>
              <w:bottom w:val="single" w:sz="4" w:space="0" w:color="auto"/>
              <w:right w:val="single" w:sz="4" w:space="0" w:color="auto"/>
            </w:tcBorders>
            <w:shd w:val="clear" w:color="auto" w:fill="auto"/>
            <w:noWrap/>
            <w:vAlign w:val="center"/>
            <w:hideMark/>
          </w:tcPr>
          <w:p w14:paraId="0509216F"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51.9%</w:t>
            </w:r>
          </w:p>
        </w:tc>
      </w:tr>
    </w:tbl>
    <w:p w14:paraId="1DF17F24" w14:textId="77777777" w:rsidR="0061220F" w:rsidRDefault="0061220F" w:rsidP="0061220F">
      <w:pPr>
        <w:rPr>
          <w:lang w:val="en-US"/>
        </w:rPr>
      </w:pPr>
    </w:p>
    <w:p w14:paraId="54A742BF" w14:textId="14B19EAA" w:rsidR="0061220F" w:rsidRDefault="0061220F" w:rsidP="0061220F">
      <w:pPr>
        <w:rPr>
          <w:lang w:val="en-US"/>
        </w:rPr>
      </w:pPr>
      <w:r w:rsidRPr="00F2670D">
        <w:rPr>
          <w:lang w:val="en-US"/>
        </w:rPr>
        <w:t>Spatial, temporal and spatio-temporal response themes are shown in Figure 5. Each response theme is categorized so that each vulnerability class in the corresponding map contains approximately the same number of different posterior probability values</w:t>
      </w:r>
      <w:r>
        <w:rPr>
          <w:lang w:val="en-US"/>
        </w:rPr>
        <w:t>,</w:t>
      </w:r>
      <w:r w:rsidRPr="00F2670D">
        <w:rPr>
          <w:lang w:val="en-US"/>
        </w:rPr>
        <w:t xml:space="preserve"> according to the geometric interval method (Sorichetta et al., 2011).</w:t>
      </w:r>
    </w:p>
    <w:p w14:paraId="0AE2D30E" w14:textId="476B5592" w:rsidR="0061220F" w:rsidRPr="00F2670D" w:rsidRDefault="0061220F" w:rsidP="0061220F">
      <w:pPr>
        <w:rPr>
          <w:lang w:val="en-US"/>
        </w:rPr>
      </w:pPr>
      <w:r w:rsidRPr="00F2670D">
        <w:rPr>
          <w:lang w:val="en-US"/>
        </w:rPr>
        <w:t xml:space="preserve">The general quality of each response theme (i.e., post probability map) can be evaluated by the success and predictive rate curves (SRC and PRC, Chung and Fabbri, 1999; Sorichetta et al., 2013), expressed as the area-under-the curve (AUC) values. AUC is a direct measure of the performance of the statistical approach, and is given by the AUC integral for cumulated vulnerable area/cumulated wells </w:t>
      </w:r>
      <w:r>
        <w:rPr>
          <w:lang w:val="en-US"/>
        </w:rPr>
        <w:t>as a</w:t>
      </w:r>
      <w:r w:rsidRPr="00F2670D">
        <w:rPr>
          <w:lang w:val="en-US"/>
        </w:rPr>
        <w:t xml:space="preserve"> percentage, using the training set for the SRC and the control set for the PRC. The calculated AUC values are presented in Table 4 showing the quality of the different maps. The high AUC values, obtained for the spatio-temporal model, and their similarity with the values obtained for the spatial and temporal models affirm the reliability of this approach in groundwater vulnerability assessment.</w:t>
      </w:r>
    </w:p>
    <w:p w14:paraId="3AC7767C" w14:textId="77777777" w:rsidR="0061220F" w:rsidRPr="00F2670D" w:rsidRDefault="0061220F" w:rsidP="0061220F">
      <w:pPr>
        <w:rPr>
          <w:lang w:val="en-US"/>
        </w:rPr>
      </w:pPr>
      <w:r w:rsidRPr="00F2670D">
        <w:rPr>
          <w:lang w:val="en-US"/>
        </w:rPr>
        <w:t>Then, the reliability of each classified map is evaluated based on its overall performance in classifying the occurrences. The average of the response variable of all wells in each vulnerability class is evaluated, using either the nitrate concentration, the nitrate concentration trend or the average ranking for the spatial (e.g., Sorichetta et al., 2011), temporal (Stevenazzi et al., 2015) and spatio-temporal models, respectively. These analyses are carried out using data from all available monitoring wells.</w:t>
      </w:r>
    </w:p>
    <w:p w14:paraId="111947F2" w14:textId="77777777" w:rsidR="0061220F" w:rsidRPr="00F2670D" w:rsidRDefault="0061220F" w:rsidP="0061220F">
      <w:pPr>
        <w:rPr>
          <w:lang w:val="en-US"/>
        </w:rPr>
      </w:pPr>
      <w:r w:rsidRPr="00F2670D">
        <w:rPr>
          <w:lang w:val="en-US"/>
        </w:rPr>
        <w:t xml:space="preserve">The evaluation of the average ranking of all wells, </w:t>
      </w:r>
      <w:r w:rsidRPr="00F2670D">
        <w:rPr>
          <w:i/>
          <w:lang w:val="en-US"/>
        </w:rPr>
        <w:t>R</w:t>
      </w:r>
      <w:r w:rsidRPr="00F2670D">
        <w:rPr>
          <w:vertAlign w:val="subscript"/>
          <w:lang w:val="en-US"/>
        </w:rPr>
        <w:t>AVG</w:t>
      </w:r>
      <w:r w:rsidRPr="00F2670D">
        <w:rPr>
          <w:lang w:val="en-US"/>
        </w:rPr>
        <w:t>, is expressed as: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1220F" w:rsidRPr="00F2670D" w14:paraId="192966A7" w14:textId="77777777" w:rsidTr="00DE05F4">
        <w:tc>
          <w:tcPr>
            <w:tcW w:w="4814" w:type="dxa"/>
            <w:vAlign w:val="center"/>
          </w:tcPr>
          <w:p w14:paraId="11E9BAAD" w14:textId="77777777" w:rsidR="0061220F" w:rsidRPr="00F2670D" w:rsidRDefault="000C198D" w:rsidP="00DE05F4">
            <w:pPr>
              <w:jc w:val="left"/>
              <w:rPr>
                <w:lang w:val="en-US"/>
              </w:rPr>
            </w:pPr>
            <m:oMathPara>
              <m:oMath>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AVG</m:t>
                    </m:r>
                  </m:sub>
                </m:sSub>
                <m:r>
                  <m:rPr>
                    <m:sty m:val="p"/>
                  </m:rPr>
                  <w:rPr>
                    <w:rFonts w:ascii="Cambria Math" w:hAnsi="Cambria Math"/>
                    <w:lang w:val="en-US"/>
                  </w:rPr>
                  <m:t>=</m:t>
                </m:r>
                <m:f>
                  <m:fPr>
                    <m:ctrlPr>
                      <w:rPr>
                        <w:rFonts w:ascii="Cambria Math" w:hAnsi="Cambria Math"/>
                        <w:lang w:val="en-US"/>
                      </w:rPr>
                    </m:ctrlPr>
                  </m:fPr>
                  <m:num>
                    <m:nary>
                      <m:naryPr>
                        <m:chr m:val="∑"/>
                        <m:limLoc m:val="subSup"/>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W</m:t>
                            </m:r>
                            <m:r>
                              <w:rPr>
                                <w:rFonts w:ascii="Cambria Math" w:hAnsi="Cambria Math"/>
                                <w:lang w:val="en-US"/>
                              </w:rPr>
                              <m:t>j</m:t>
                            </m:r>
                          </m:sub>
                        </m:sSub>
                      </m:sup>
                      <m:e>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ij</m:t>
                            </m:r>
                          </m:sub>
                        </m:sSub>
                      </m:e>
                    </m:nary>
                  </m:num>
                  <m:den>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W</m:t>
                        </m:r>
                        <m:r>
                          <w:rPr>
                            <w:rFonts w:ascii="Cambria Math" w:hAnsi="Cambria Math"/>
                            <w:lang w:val="en-US"/>
                          </w:rPr>
                          <m:t>j</m:t>
                        </m:r>
                      </m:sub>
                    </m:sSub>
                  </m:den>
                </m:f>
              </m:oMath>
            </m:oMathPara>
          </w:p>
        </w:tc>
        <w:tc>
          <w:tcPr>
            <w:tcW w:w="4814" w:type="dxa"/>
            <w:vAlign w:val="center"/>
          </w:tcPr>
          <w:p w14:paraId="4EAB3552" w14:textId="77777777" w:rsidR="0061220F" w:rsidRPr="00F2670D" w:rsidRDefault="0061220F" w:rsidP="00DE05F4">
            <w:pPr>
              <w:jc w:val="right"/>
              <w:rPr>
                <w:lang w:val="en-US"/>
              </w:rPr>
            </w:pPr>
            <w:r w:rsidRPr="00F2670D">
              <w:rPr>
                <w:lang w:val="en-US"/>
              </w:rPr>
              <w:t>(3)</w:t>
            </w:r>
          </w:p>
        </w:tc>
      </w:tr>
    </w:tbl>
    <w:p w14:paraId="6453E2AB" w14:textId="2735314A" w:rsidR="0061220F" w:rsidRPr="00F2670D" w:rsidRDefault="0061220F" w:rsidP="0061220F">
      <w:pPr>
        <w:rPr>
          <w:lang w:val="en-US"/>
        </w:rPr>
      </w:pPr>
      <w:r w:rsidRPr="00F2670D">
        <w:rPr>
          <w:lang w:val="en-US"/>
        </w:rPr>
        <w:t xml:space="preserve">where </w:t>
      </w:r>
      <w:r w:rsidRPr="00F2670D">
        <w:rPr>
          <w:i/>
          <w:lang w:val="en-US"/>
        </w:rPr>
        <w:t>R</w:t>
      </w:r>
      <w:r w:rsidRPr="00F2670D">
        <w:rPr>
          <w:i/>
          <w:vertAlign w:val="subscript"/>
          <w:lang w:val="en-US"/>
        </w:rPr>
        <w:t>ij</w:t>
      </w:r>
      <w:r w:rsidRPr="00F2670D">
        <w:rPr>
          <w:lang w:val="en-US"/>
        </w:rPr>
        <w:t xml:space="preserve"> is the average ranking (6</w:t>
      </w:r>
      <w:r w:rsidRPr="00F2670D">
        <w:rPr>
          <w:vertAlign w:val="superscript"/>
          <w:lang w:val="en-US"/>
        </w:rPr>
        <w:t>th</w:t>
      </w:r>
      <w:r w:rsidRPr="00F2670D">
        <w:rPr>
          <w:lang w:val="en-US"/>
        </w:rPr>
        <w:t xml:space="preserve"> column, Tab. 2) of well </w:t>
      </w:r>
      <w:r w:rsidRPr="00F2670D">
        <w:rPr>
          <w:i/>
          <w:lang w:val="en-US"/>
        </w:rPr>
        <w:t>i</w:t>
      </w:r>
      <w:r w:rsidRPr="00F2670D">
        <w:rPr>
          <w:lang w:val="en-US"/>
        </w:rPr>
        <w:t xml:space="preserve"> in the vulnerability class </w:t>
      </w:r>
      <w:r w:rsidRPr="00F2670D">
        <w:rPr>
          <w:i/>
          <w:lang w:val="en-US"/>
        </w:rPr>
        <w:t>j</w:t>
      </w:r>
      <w:r w:rsidRPr="00F2670D">
        <w:rPr>
          <w:lang w:val="en-US"/>
        </w:rPr>
        <w:t xml:space="preserve">, and </w:t>
      </w:r>
      <w:r w:rsidRPr="00F2670D">
        <w:rPr>
          <w:i/>
          <w:lang w:val="en-US"/>
        </w:rPr>
        <w:t>T</w:t>
      </w:r>
      <w:r w:rsidRPr="00F2670D">
        <w:rPr>
          <w:vertAlign w:val="subscript"/>
          <w:lang w:val="en-US"/>
        </w:rPr>
        <w:t>W</w:t>
      </w:r>
      <w:r w:rsidRPr="00F2670D">
        <w:rPr>
          <w:i/>
          <w:vertAlign w:val="subscript"/>
          <w:lang w:val="en-US"/>
        </w:rPr>
        <w:t>j</w:t>
      </w:r>
      <w:r w:rsidRPr="00F2670D">
        <w:rPr>
          <w:lang w:val="en-US"/>
        </w:rPr>
        <w:t xml:space="preserve"> is the total number of wells in the same class </w:t>
      </w:r>
      <w:r w:rsidRPr="00F2670D">
        <w:rPr>
          <w:i/>
          <w:lang w:val="en-US"/>
        </w:rPr>
        <w:t>j</w:t>
      </w:r>
      <w:r w:rsidRPr="00F2670D">
        <w:rPr>
          <w:lang w:val="en-US"/>
        </w:rPr>
        <w:t xml:space="preserve">. The average should monotonically increase as the degree of vulnerability increases and the central vulnerability class should give a value close to the overall mean value. </w:t>
      </w:r>
      <w:r w:rsidR="00975353">
        <w:rPr>
          <w:lang w:val="en-US"/>
        </w:rPr>
        <w:t>In t</w:t>
      </w:r>
      <w:r w:rsidRPr="00F2670D">
        <w:rPr>
          <w:lang w:val="en-US"/>
        </w:rPr>
        <w:t>he three histograms</w:t>
      </w:r>
      <w:r w:rsidR="00975353">
        <w:rPr>
          <w:lang w:val="en-US"/>
        </w:rPr>
        <w:t>,</w:t>
      </w:r>
      <w:r w:rsidRPr="00F2670D">
        <w:rPr>
          <w:lang w:val="en-US"/>
        </w:rPr>
        <w:t xml:space="preserve"> </w:t>
      </w:r>
      <w:r w:rsidR="00975353">
        <w:rPr>
          <w:lang w:val="en-US"/>
        </w:rPr>
        <w:t>e</w:t>
      </w:r>
      <w:r w:rsidR="00975353" w:rsidRPr="008941CC">
        <w:rPr>
          <w:lang w:val="en-US"/>
        </w:rPr>
        <w:t>ach regression line shows the overall expected direct correlation between degrees of vulnerability and (a) average nitrate concentrations, (b) average trends, and (c) average ranks</w:t>
      </w:r>
      <w:r w:rsidR="00975353">
        <w:rPr>
          <w:lang w:val="en-US"/>
        </w:rPr>
        <w:t xml:space="preserve"> </w:t>
      </w:r>
      <w:r w:rsidR="00975353" w:rsidRPr="00F2670D">
        <w:rPr>
          <w:lang w:val="en-US"/>
        </w:rPr>
        <w:t>(Fig. 6)</w:t>
      </w:r>
      <w:r w:rsidR="00975353" w:rsidRPr="008941CC">
        <w:rPr>
          <w:lang w:val="en-US"/>
        </w:rPr>
        <w:t>.</w:t>
      </w:r>
      <w:r w:rsidRPr="00F2670D">
        <w:rPr>
          <w:lang w:val="en-US"/>
        </w:rPr>
        <w:t xml:space="preserve"> The spatio-temporal model shows a good performance, with a regression coefficient close to 1</w:t>
      </w:r>
      <w:r>
        <w:rPr>
          <w:lang w:val="en-US"/>
        </w:rPr>
        <w:t>,</w:t>
      </w:r>
      <w:r w:rsidRPr="00F2670D">
        <w:rPr>
          <w:lang w:val="en-US"/>
        </w:rPr>
        <w:t xml:space="preserve"> and presents the closest value to the mean of the whole distribution in the central vulnerability class, </w:t>
      </w:r>
      <w:r>
        <w:rPr>
          <w:lang w:val="en-US"/>
        </w:rPr>
        <w:t xml:space="preserve">with </w:t>
      </w:r>
      <w:r w:rsidRPr="00F2670D">
        <w:rPr>
          <w:lang w:val="en-US"/>
        </w:rPr>
        <w:t>respect to the other two models.</w:t>
      </w:r>
    </w:p>
    <w:p w14:paraId="77CB7407" w14:textId="633D47FC" w:rsidR="0061220F" w:rsidRPr="00F2670D" w:rsidRDefault="0061220F" w:rsidP="0061220F">
      <w:pPr>
        <w:rPr>
          <w:lang w:val="en-US"/>
        </w:rPr>
      </w:pPr>
      <w:r w:rsidRPr="00F2670D">
        <w:rPr>
          <w:lang w:val="en-US"/>
        </w:rPr>
        <w:t xml:space="preserve">The groundwater vulnerability maps obtained through the spatial and temporal models show different classes of vulnerability </w:t>
      </w:r>
      <w:r>
        <w:rPr>
          <w:lang w:val="en-US"/>
        </w:rPr>
        <w:t>when</w:t>
      </w:r>
      <w:r w:rsidRPr="00F2670D">
        <w:rPr>
          <w:lang w:val="en-US"/>
        </w:rPr>
        <w:t xml:space="preserve"> the combination of natural and anthropogenic factors involves either the presence of nitrate contamination or increasing nitrate concentrations. Since the two maps have different meanings, they cannot be meaningfully compared. Instead, the groundwater vulnerability map obtained through the spatio-temporal model shows the areas vulnerable due to the presence of nitrate contamination and/or </w:t>
      </w:r>
      <w:r>
        <w:rPr>
          <w:lang w:val="en-US"/>
        </w:rPr>
        <w:t xml:space="preserve">an </w:t>
      </w:r>
      <w:r w:rsidRPr="00F2670D">
        <w:rPr>
          <w:lang w:val="en-US"/>
        </w:rPr>
        <w:t>increasing trend of nitrate concentrations. The distribution of the vulnerable areas reflects the distribution of those urban areas that are characterized by the presence of a notable and continuous urban pattern and/or show an increase in extension or modifications of their pattern (e.g., revitalization of industrial areas and transformation in residential or green areas).</w:t>
      </w:r>
    </w:p>
    <w:p w14:paraId="532F182B" w14:textId="77777777" w:rsidR="0061220F" w:rsidRPr="00F2670D" w:rsidRDefault="0061220F" w:rsidP="0061220F">
      <w:pPr>
        <w:rPr>
          <w:lang w:val="en-US"/>
        </w:rPr>
      </w:pPr>
    </w:p>
    <w:p w14:paraId="50BF0B8D" w14:textId="77777777" w:rsidR="0061220F" w:rsidRPr="00F2670D" w:rsidRDefault="0061220F" w:rsidP="0061220F">
      <w:pPr>
        <w:pStyle w:val="Titolo2"/>
      </w:pPr>
      <w:r w:rsidRPr="00F2670D">
        <w:t>Predictive Spatio-Temporal model</w:t>
      </w:r>
    </w:p>
    <w:p w14:paraId="4C2B0992" w14:textId="77777777" w:rsidR="0061220F" w:rsidRPr="00F2670D" w:rsidRDefault="0061220F" w:rsidP="0061220F">
      <w:pPr>
        <w:rPr>
          <w:lang w:val="en-US"/>
        </w:rPr>
      </w:pPr>
      <w:r w:rsidRPr="00F2670D">
        <w:rPr>
          <w:lang w:val="en-US"/>
        </w:rPr>
        <w:t xml:space="preserve">The </w:t>
      </w:r>
      <w:r w:rsidRPr="00F2670D">
        <w:rPr>
          <w:iCs/>
          <w:lang w:val="en-US"/>
        </w:rPr>
        <w:t>predictive spatio-temporal model</w:t>
      </w:r>
      <w:r w:rsidRPr="00F2670D">
        <w:rPr>
          <w:lang w:val="en-US"/>
        </w:rPr>
        <w:t xml:space="preserve"> considers a potential/hypothetical </w:t>
      </w:r>
      <w:r>
        <w:rPr>
          <w:lang w:val="en-US"/>
        </w:rPr>
        <w:t>scenario</w:t>
      </w:r>
      <w:r w:rsidRPr="00F2670D">
        <w:rPr>
          <w:lang w:val="en-US"/>
        </w:rPr>
        <w:t xml:space="preserve"> of nitrate contamination of groundwater in 2020</w:t>
      </w:r>
      <w:r>
        <w:rPr>
          <w:lang w:val="en-US"/>
        </w:rPr>
        <w:t>,</w:t>
      </w:r>
      <w:r w:rsidRPr="00F2670D">
        <w:rPr>
          <w:lang w:val="en-US"/>
        </w:rPr>
        <w:t xml:space="preserve"> and its variation during the period </w:t>
      </w:r>
      <w:r>
        <w:rPr>
          <w:lang w:val="en-US"/>
        </w:rPr>
        <w:t>from</w:t>
      </w:r>
      <w:r w:rsidRPr="00F2670D">
        <w:rPr>
          <w:lang w:val="en-US"/>
        </w:rPr>
        <w:t xml:space="preserve"> 2011</w:t>
      </w:r>
      <w:r>
        <w:rPr>
          <w:lang w:val="en-US"/>
        </w:rPr>
        <w:t xml:space="preserve"> to </w:t>
      </w:r>
      <w:r w:rsidRPr="00F2670D">
        <w:rPr>
          <w:lang w:val="en-US"/>
        </w:rPr>
        <w:t xml:space="preserve">2020, in the Po Plain area </w:t>
      </w:r>
      <w:r>
        <w:rPr>
          <w:lang w:val="en-US"/>
        </w:rPr>
        <w:t>of the</w:t>
      </w:r>
      <w:r w:rsidRPr="00F2670D">
        <w:rPr>
          <w:lang w:val="en-US"/>
        </w:rPr>
        <w:t xml:space="preserve"> Lombardy Region (§ 2.1). Two scenarios are investigated: the first (Scenario 1) considers only a possible evolution of urban sources of nitrate contamination; the second (Scenario 2) considers also a possible evolution of a natural factor, which is taken as the groundwater depth.</w:t>
      </w:r>
    </w:p>
    <w:p w14:paraId="2A1B0EB7" w14:textId="77777777" w:rsidR="0061220F" w:rsidRPr="00F2670D" w:rsidRDefault="0061220F" w:rsidP="0061220F">
      <w:pPr>
        <w:rPr>
          <w:lang w:val="en-US"/>
        </w:rPr>
      </w:pPr>
      <w:r w:rsidRPr="00F2670D">
        <w:rPr>
          <w:lang w:val="en-US"/>
        </w:rPr>
        <w:lastRenderedPageBreak/>
        <w:t xml:space="preserve">In Scenario 1, the evolution of nitrate contamination and urban nitrate sources (i.e., urban areas) </w:t>
      </w:r>
      <w:r>
        <w:rPr>
          <w:lang w:val="en-US"/>
        </w:rPr>
        <w:t>during</w:t>
      </w:r>
      <w:r w:rsidRPr="00F2670D">
        <w:rPr>
          <w:lang w:val="en-US"/>
        </w:rPr>
        <w:t xml:space="preserve"> the period of 2011</w:t>
      </w:r>
      <w:r>
        <w:rPr>
          <w:lang w:val="en-US"/>
        </w:rPr>
        <w:t xml:space="preserve"> to </w:t>
      </w:r>
      <w:r w:rsidRPr="00F2670D">
        <w:rPr>
          <w:lang w:val="en-US"/>
        </w:rPr>
        <w:t>2020 is taken as equal to their evolution in the decade of 2000</w:t>
      </w:r>
      <w:r>
        <w:rPr>
          <w:lang w:val="en-US"/>
        </w:rPr>
        <w:t xml:space="preserve"> to 2010</w:t>
      </w:r>
      <w:r w:rsidRPr="00F2670D">
        <w:rPr>
          <w:lang w:val="en-US"/>
        </w:rPr>
        <w:t xml:space="preserve">. Natural factors are considered stable and remain unchanged in the two decades. </w:t>
      </w:r>
    </w:p>
    <w:p w14:paraId="6B1052CD" w14:textId="77777777" w:rsidR="0061220F" w:rsidRPr="00F2670D" w:rsidRDefault="0061220F" w:rsidP="0061220F">
      <w:pPr>
        <w:rPr>
          <w:lang w:val="en-US"/>
        </w:rPr>
      </w:pPr>
      <w:r w:rsidRPr="00F2670D">
        <w:rPr>
          <w:lang w:val="en-US"/>
        </w:rPr>
        <w:t xml:space="preserve">The response variable is obtained using the approach described in § 3.2. Wells are classified considering the trend in the period </w:t>
      </w:r>
      <w:r>
        <w:rPr>
          <w:lang w:val="en-US"/>
        </w:rPr>
        <w:t>from</w:t>
      </w:r>
      <w:r w:rsidRPr="00F2670D">
        <w:rPr>
          <w:lang w:val="en-US"/>
        </w:rPr>
        <w:t xml:space="preserve"> 2011</w:t>
      </w:r>
      <w:r>
        <w:rPr>
          <w:lang w:val="en-US"/>
        </w:rPr>
        <w:t xml:space="preserve"> to </w:t>
      </w:r>
      <w:r w:rsidRPr="00F2670D">
        <w:rPr>
          <w:lang w:val="en-US"/>
        </w:rPr>
        <w:t>2020 and the concentration value is calculated for 2020, which depends on the trend. In Scenario 1, the equal trend</w:t>
      </w:r>
      <w:r>
        <w:rPr>
          <w:lang w:val="en-US"/>
        </w:rPr>
        <w:t>s</w:t>
      </w:r>
      <w:r w:rsidRPr="00F2670D">
        <w:rPr>
          <w:lang w:val="en-US"/>
        </w:rPr>
        <w:t xml:space="preserve"> in 2011</w:t>
      </w:r>
      <w:r>
        <w:rPr>
          <w:lang w:val="en-US"/>
        </w:rPr>
        <w:t xml:space="preserve"> to </w:t>
      </w:r>
      <w:r w:rsidRPr="00F2670D">
        <w:rPr>
          <w:lang w:val="en-US"/>
        </w:rPr>
        <w:t>2020 and in 2000</w:t>
      </w:r>
      <w:r>
        <w:rPr>
          <w:lang w:val="en-US"/>
        </w:rPr>
        <w:t xml:space="preserve"> to </w:t>
      </w:r>
      <w:r w:rsidRPr="00F2670D">
        <w:rPr>
          <w:lang w:val="en-US"/>
        </w:rPr>
        <w:t xml:space="preserve">2011 means that the slope of the regression line obtained from the interpolation of concentration data </w:t>
      </w:r>
      <w:r>
        <w:rPr>
          <w:lang w:val="en-US"/>
        </w:rPr>
        <w:t>from</w:t>
      </w:r>
      <w:r w:rsidRPr="00F2670D">
        <w:rPr>
          <w:lang w:val="en-US"/>
        </w:rPr>
        <w:t xml:space="preserve"> 2000</w:t>
      </w:r>
      <w:r>
        <w:rPr>
          <w:lang w:val="en-US"/>
        </w:rPr>
        <w:t xml:space="preserve"> to </w:t>
      </w:r>
      <w:r w:rsidRPr="00F2670D">
        <w:rPr>
          <w:lang w:val="en-US"/>
        </w:rPr>
        <w:t xml:space="preserve">2011 is </w:t>
      </w:r>
      <w:r>
        <w:rPr>
          <w:lang w:val="en-US"/>
        </w:rPr>
        <w:t>used</w:t>
      </w:r>
      <w:r w:rsidRPr="00F2670D">
        <w:rPr>
          <w:lang w:val="en-US"/>
        </w:rPr>
        <w:t xml:space="preserve"> as trend </w:t>
      </w:r>
      <w:r>
        <w:rPr>
          <w:lang w:val="en-US"/>
        </w:rPr>
        <w:t>for</w:t>
      </w:r>
      <w:r w:rsidRPr="00F2670D">
        <w:rPr>
          <w:lang w:val="en-US"/>
        </w:rPr>
        <w:t xml:space="preserve"> 2011</w:t>
      </w:r>
      <w:r>
        <w:rPr>
          <w:lang w:val="en-US"/>
        </w:rPr>
        <w:t xml:space="preserve"> to </w:t>
      </w:r>
      <w:r w:rsidRPr="00F2670D">
        <w:rPr>
          <w:lang w:val="en-US"/>
        </w:rPr>
        <w:t xml:space="preserve">2020 </w:t>
      </w:r>
      <w:r>
        <w:rPr>
          <w:lang w:val="en-US"/>
        </w:rPr>
        <w:t xml:space="preserve">in order </w:t>
      </w:r>
      <w:r w:rsidRPr="00F2670D">
        <w:rPr>
          <w:lang w:val="en-US"/>
        </w:rPr>
        <w:t>to calculate the nitrate concentration in 2020.</w:t>
      </w:r>
    </w:p>
    <w:p w14:paraId="6C4577E2" w14:textId="77777777" w:rsidR="0061220F" w:rsidRPr="00F2670D" w:rsidRDefault="0061220F" w:rsidP="0061220F">
      <w:pPr>
        <w:rPr>
          <w:lang w:val="en-US"/>
        </w:rPr>
      </w:pPr>
      <w:r w:rsidRPr="00F2670D">
        <w:rPr>
          <w:lang w:val="en-US"/>
        </w:rPr>
        <w:t xml:space="preserve">The evidential theme representing </w:t>
      </w:r>
      <w:r>
        <w:rPr>
          <w:lang w:val="en-US"/>
        </w:rPr>
        <w:t xml:space="preserve">the </w:t>
      </w:r>
      <w:r w:rsidRPr="00F2670D">
        <w:rPr>
          <w:lang w:val="en-US"/>
        </w:rPr>
        <w:t>urban nitrate sources (i.e., QuikSCAT-DSM) is obtained using the method described in § 3.3 and</w:t>
      </w:r>
      <w:r>
        <w:rPr>
          <w:lang w:val="en-US"/>
        </w:rPr>
        <w:t xml:space="preserve"> by</w:t>
      </w:r>
      <w:r w:rsidRPr="00F2670D">
        <w:rPr>
          <w:lang w:val="en-US"/>
        </w:rPr>
        <w:t xml:space="preserve"> applying the formula in Equation 2, as: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836"/>
      </w:tblGrid>
      <w:tr w:rsidR="0061220F" w:rsidRPr="00F2670D" w14:paraId="25931D8B" w14:textId="77777777" w:rsidTr="00DE05F4">
        <w:tc>
          <w:tcPr>
            <w:tcW w:w="7792" w:type="dxa"/>
            <w:vAlign w:val="center"/>
          </w:tcPr>
          <w:p w14:paraId="40150B38" w14:textId="77777777" w:rsidR="0061220F" w:rsidRPr="004A7112" w:rsidRDefault="0061220F" w:rsidP="00DE05F4">
            <w:pPr>
              <w:jc w:val="left"/>
            </w:pPr>
            <m:oMathPara>
              <m:oMath>
                <m:r>
                  <w:rPr>
                    <w:rFonts w:ascii="Cambria Math" w:hAnsi="Cambria Math"/>
                    <w:lang w:val="en-US"/>
                  </w:rPr>
                  <m:t>Urban</m:t>
                </m:r>
                <m:r>
                  <w:rPr>
                    <w:rFonts w:ascii="Cambria Math" w:hAnsi="Cambria Math" w:hint="eastAsia"/>
                  </w:rPr>
                  <m:t xml:space="preserve"> </m:t>
                </m:r>
                <m:r>
                  <w:rPr>
                    <w:rFonts w:ascii="Cambria Math" w:hAnsi="Cambria Math"/>
                    <w:lang w:val="en-US"/>
                  </w:rPr>
                  <m:t>nitrate</m:t>
                </m:r>
                <m:r>
                  <w:rPr>
                    <w:rFonts w:ascii="Cambria Math" w:hAnsi="Cambria Math" w:hint="eastAsia"/>
                  </w:rPr>
                  <m:t xml:space="preserve"> </m:t>
                </m:r>
                <m:r>
                  <w:rPr>
                    <w:rFonts w:ascii="Cambria Math" w:hAnsi="Cambria Math"/>
                    <w:lang w:val="en-US"/>
                  </w:rPr>
                  <m:t>source</m:t>
                </m:r>
                <m:r>
                  <w:rPr>
                    <w:rFonts w:ascii="Cambria Math" w:hAnsi="Cambria Math" w:hint="eastAsia"/>
                  </w:rPr>
                  <m:t xml:space="preserve"> "</m:t>
                </m:r>
                <m:r>
                  <m:rPr>
                    <m:nor/>
                  </m:rPr>
                  <w:rPr>
                    <w:rFonts w:ascii="Cambria Math" w:hAnsi="Cambria Math" w:hint="eastAsia"/>
                  </w:rPr>
                  <m:t xml:space="preserve">SpatioTemporal" </m:t>
                </m:r>
                <m:r>
                  <w:rPr>
                    <w:rFonts w:ascii="Cambria Math" w:hAnsi="Cambria Math"/>
                    <w:lang w:val="en-US"/>
                  </w:rPr>
                  <m:t>value</m:t>
                </m:r>
                <m:r>
                  <w:rPr>
                    <w:rFonts w:ascii="Cambria Math" w:hAnsi="Cambria Math" w:hint="eastAsia"/>
                  </w:rPr>
                  <m:t xml:space="preserve">= </m:t>
                </m:r>
                <m:f>
                  <m:fPr>
                    <m:ctrlPr>
                      <w:rPr>
                        <w:rFonts w:ascii="Cambria Math" w:hAnsi="Cambria Math"/>
                        <w:lang w:val="en-US"/>
                      </w:rPr>
                    </m:ctrlPr>
                  </m:fPr>
                  <m:num>
                    <m:d>
                      <m:dPr>
                        <m:begChr m:val="|"/>
                        <m:endChr m:val="|"/>
                        <m:ctrlPr>
                          <w:rPr>
                            <w:rFonts w:ascii="Cambria Math" w:hAnsi="Cambria Math"/>
                            <w:lang w:val="en-US"/>
                          </w:rPr>
                        </m:ctrlPr>
                      </m:dPr>
                      <m:e>
                        <m:r>
                          <m:rPr>
                            <m:sty m:val="p"/>
                          </m:rPr>
                          <w:rPr>
                            <w:rFonts w:ascii="Cambria Math" w:hAnsi="Cambria Math" w:hint="eastAsia"/>
                          </w:rPr>
                          <m:t xml:space="preserve">Value </m:t>
                        </m:r>
                        <m:sSub>
                          <m:sSubPr>
                            <m:ctrlPr>
                              <w:rPr>
                                <w:rFonts w:ascii="Cambria Math" w:hAnsi="Cambria Math"/>
                                <w:lang w:val="en-US"/>
                              </w:rPr>
                            </m:ctrlPr>
                          </m:sSubPr>
                          <m:e>
                            <m:r>
                              <m:rPr>
                                <m:sty m:val="p"/>
                              </m:rPr>
                              <w:rPr>
                                <w:rFonts w:ascii="Cambria Math" w:hAnsi="Cambria Math" w:hint="eastAsia"/>
                              </w:rPr>
                              <m:t xml:space="preserve">QuikSCAT.DSM </m:t>
                            </m:r>
                          </m:e>
                          <m:sub>
                            <m:r>
                              <w:rPr>
                                <w:rFonts w:ascii="Cambria Math" w:hAnsi="Cambria Math" w:hint="eastAsia"/>
                              </w:rPr>
                              <m:t>2020</m:t>
                            </m:r>
                          </m:sub>
                        </m:sSub>
                      </m:e>
                    </m:d>
                  </m:num>
                  <m:den>
                    <m:r>
                      <m:rPr>
                        <m:sty m:val="p"/>
                      </m:rPr>
                      <w:rPr>
                        <w:rFonts w:ascii="Cambria Math" w:hAnsi="Cambria Math" w:hint="eastAsia"/>
                      </w:rPr>
                      <m:t xml:space="preserve">Mean of the value </m:t>
                    </m:r>
                    <m:sSub>
                      <m:sSubPr>
                        <m:ctrlPr>
                          <w:rPr>
                            <w:rFonts w:ascii="Cambria Math" w:hAnsi="Cambria Math"/>
                            <w:lang w:val="en-US"/>
                          </w:rPr>
                        </m:ctrlPr>
                      </m:sSubPr>
                      <m:e>
                        <m:r>
                          <m:rPr>
                            <m:sty m:val="p"/>
                          </m:rPr>
                          <w:rPr>
                            <w:rFonts w:ascii="Cambria Math" w:hAnsi="Cambria Math" w:hint="eastAsia"/>
                          </w:rPr>
                          <m:t xml:space="preserve">QuikSCAT.DSM </m:t>
                        </m:r>
                      </m:e>
                      <m:sub>
                        <m:r>
                          <w:rPr>
                            <w:rFonts w:ascii="Cambria Math" w:hAnsi="Cambria Math" w:hint="eastAsia"/>
                          </w:rPr>
                          <m:t>2020</m:t>
                        </m:r>
                      </m:sub>
                    </m:sSub>
                  </m:den>
                </m:f>
                <m:r>
                  <w:rPr>
                    <w:rFonts w:ascii="Cambria Math" w:hAnsi="Cambria Math" w:hint="eastAsia"/>
                  </w:rPr>
                  <m:t>+</m:t>
                </m:r>
                <m:f>
                  <m:fPr>
                    <m:ctrlPr>
                      <w:rPr>
                        <w:rFonts w:ascii="Cambria Math" w:hAnsi="Cambria Math"/>
                        <w:lang w:val="en-US"/>
                      </w:rPr>
                    </m:ctrlPr>
                  </m:fPr>
                  <m:num>
                    <m:r>
                      <m:rPr>
                        <m:sty m:val="p"/>
                      </m:rPr>
                      <w:rPr>
                        <w:rFonts w:ascii="Cambria Math" w:hAnsi="Cambria Math" w:hint="eastAsia"/>
                      </w:rPr>
                      <m:t xml:space="preserve">Slope </m:t>
                    </m:r>
                    <m:sSub>
                      <m:sSubPr>
                        <m:ctrlPr>
                          <w:rPr>
                            <w:rFonts w:ascii="Cambria Math" w:hAnsi="Cambria Math"/>
                            <w:lang w:val="en-US"/>
                          </w:rPr>
                        </m:ctrlPr>
                      </m:sSubPr>
                      <m:e>
                        <m:r>
                          <m:rPr>
                            <m:sty m:val="p"/>
                          </m:rPr>
                          <w:rPr>
                            <w:rFonts w:ascii="Cambria Math" w:hAnsi="Cambria Math" w:hint="eastAsia"/>
                          </w:rPr>
                          <m:t xml:space="preserve">QuikSCAT.DSM </m:t>
                        </m:r>
                      </m:e>
                      <m:sub>
                        <m:r>
                          <w:rPr>
                            <w:rFonts w:ascii="Cambria Math" w:hAnsi="Cambria Math" w:hint="eastAsia"/>
                          </w:rPr>
                          <m:t>2011</m:t>
                        </m:r>
                        <m:r>
                          <w:rPr>
                            <w:rFonts w:ascii="Cambria Math" w:hAnsi="Cambria Math" w:hint="eastAsia"/>
                          </w:rPr>
                          <m:t>÷</m:t>
                        </m:r>
                        <m:r>
                          <w:rPr>
                            <w:rFonts w:ascii="Cambria Math" w:hAnsi="Cambria Math" w:hint="eastAsia"/>
                          </w:rPr>
                          <m:t>2020</m:t>
                        </m:r>
                      </m:sub>
                    </m:sSub>
                  </m:num>
                  <m:den>
                    <m:r>
                      <m:rPr>
                        <m:sty m:val="p"/>
                      </m:rPr>
                      <w:rPr>
                        <w:rFonts w:ascii="Cambria Math" w:hAnsi="Cambria Math" w:hint="eastAsia"/>
                      </w:rPr>
                      <m:t xml:space="preserve">Mean of the slope </m:t>
                    </m:r>
                    <m:sSub>
                      <m:sSubPr>
                        <m:ctrlPr>
                          <w:rPr>
                            <w:rFonts w:ascii="Cambria Math" w:hAnsi="Cambria Math"/>
                            <w:lang w:val="en-US"/>
                          </w:rPr>
                        </m:ctrlPr>
                      </m:sSubPr>
                      <m:e>
                        <m:r>
                          <m:rPr>
                            <m:sty m:val="p"/>
                          </m:rPr>
                          <w:rPr>
                            <w:rFonts w:ascii="Cambria Math" w:hAnsi="Cambria Math" w:hint="eastAsia"/>
                          </w:rPr>
                          <m:t xml:space="preserve">QuikSCAT.DSM </m:t>
                        </m:r>
                      </m:e>
                      <m:sub>
                        <m:r>
                          <w:rPr>
                            <w:rFonts w:ascii="Cambria Math" w:hAnsi="Cambria Math" w:hint="eastAsia"/>
                          </w:rPr>
                          <m:t>2011</m:t>
                        </m:r>
                        <m:r>
                          <w:rPr>
                            <w:rFonts w:ascii="Cambria Math" w:hAnsi="Cambria Math" w:hint="eastAsia"/>
                          </w:rPr>
                          <m:t>÷</m:t>
                        </m:r>
                        <m:r>
                          <w:rPr>
                            <w:rFonts w:ascii="Cambria Math" w:hAnsi="Cambria Math" w:hint="eastAsia"/>
                          </w:rPr>
                          <m:t>2020</m:t>
                        </m:r>
                      </m:sub>
                    </m:sSub>
                  </m:den>
                </m:f>
              </m:oMath>
            </m:oMathPara>
          </w:p>
        </w:tc>
        <w:tc>
          <w:tcPr>
            <w:tcW w:w="1836" w:type="dxa"/>
            <w:vAlign w:val="center"/>
          </w:tcPr>
          <w:p w14:paraId="025C2F66" w14:textId="77777777" w:rsidR="0061220F" w:rsidRPr="00F2670D" w:rsidRDefault="0061220F" w:rsidP="00DE05F4">
            <w:pPr>
              <w:jc w:val="right"/>
              <w:rPr>
                <w:lang w:val="en-US"/>
              </w:rPr>
            </w:pPr>
            <w:r w:rsidRPr="00F2670D">
              <w:rPr>
                <w:lang w:val="en-US"/>
              </w:rPr>
              <w:t>(4)</w:t>
            </w:r>
          </w:p>
        </w:tc>
      </w:tr>
    </w:tbl>
    <w:p w14:paraId="17E12DE6" w14:textId="77777777" w:rsidR="0061220F" w:rsidRPr="00F2670D" w:rsidRDefault="0061220F" w:rsidP="0061220F">
      <w:pPr>
        <w:rPr>
          <w:lang w:val="en-US"/>
        </w:rPr>
      </w:pPr>
      <w:r w:rsidRPr="00F2670D">
        <w:rPr>
          <w:lang w:val="en-US"/>
        </w:rPr>
        <w:t xml:space="preserve">where the value of QuikSCAT-DSM in 2020 is calculated using the slope of QuikSCAT-DSM for 2011 to 2020, which is equal to the slope obtained for 2000 to 2009 (Stevenazzi et al., 2015). Changes of nitrate concentrations in groundwater and rates of urbanization for the 2020-scenario are assumed to be consistent with the trend observed in the decade </w:t>
      </w:r>
      <w:r>
        <w:rPr>
          <w:lang w:val="en-US"/>
        </w:rPr>
        <w:t>since</w:t>
      </w:r>
      <w:r w:rsidRPr="00F2670D">
        <w:rPr>
          <w:lang w:val="en-US"/>
        </w:rPr>
        <w:t xml:space="preserve"> 2000 (§ 4.1).</w:t>
      </w:r>
    </w:p>
    <w:p w14:paraId="34AA9737" w14:textId="77777777" w:rsidR="0061220F" w:rsidRPr="00F2670D" w:rsidRDefault="0061220F" w:rsidP="0061220F">
      <w:pPr>
        <w:rPr>
          <w:lang w:val="en-US"/>
        </w:rPr>
      </w:pPr>
      <w:r w:rsidRPr="00F2670D">
        <w:rPr>
          <w:lang w:val="en-US"/>
        </w:rPr>
        <w:t xml:space="preserve">Scenario 2 is an implementation of Scenario 1 where </w:t>
      </w:r>
      <w:r>
        <w:rPr>
          <w:lang w:val="en-US"/>
        </w:rPr>
        <w:t>the</w:t>
      </w:r>
      <w:r w:rsidRPr="00F2670D">
        <w:rPr>
          <w:lang w:val="en-US"/>
        </w:rPr>
        <w:t xml:space="preserve"> possible evolution of a natural factor is considered as an additional changing factor </w:t>
      </w:r>
      <w:r>
        <w:rPr>
          <w:lang w:val="en-US"/>
        </w:rPr>
        <w:t>alongside</w:t>
      </w:r>
      <w:r w:rsidRPr="00F2670D">
        <w:rPr>
          <w:lang w:val="en-US"/>
        </w:rPr>
        <w:t xml:space="preserve"> the evolution of nitrate contamination and urban nitrate sources. The evolution of groundwater depth is evaluated starting </w:t>
      </w:r>
      <w:r>
        <w:rPr>
          <w:lang w:val="en-US"/>
        </w:rPr>
        <w:t>with</w:t>
      </w:r>
      <w:r w:rsidRPr="00F2670D">
        <w:rPr>
          <w:lang w:val="en-US"/>
        </w:rPr>
        <w:t xml:space="preserve"> the piezometric levels measured in 2003 and 2014. Groundwater depth for the year 2020 is calculated with the formula below:</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687"/>
      </w:tblGrid>
      <w:tr w:rsidR="0061220F" w:rsidRPr="00F2670D" w14:paraId="139043AB" w14:textId="77777777" w:rsidTr="00DE05F4">
        <w:tc>
          <w:tcPr>
            <w:tcW w:w="6941" w:type="dxa"/>
            <w:vAlign w:val="center"/>
          </w:tcPr>
          <w:p w14:paraId="0F77D779" w14:textId="77777777" w:rsidR="0061220F" w:rsidRPr="00F2670D" w:rsidRDefault="000C198D" w:rsidP="00DE05F4">
            <w:pPr>
              <w:jc w:val="left"/>
              <w:rPr>
                <w:lang w:val="en-US"/>
              </w:rPr>
            </w:pPr>
            <m:oMathPara>
              <m:oMath>
                <m:sSub>
                  <m:sSubPr>
                    <m:ctrlPr>
                      <w:rPr>
                        <w:rFonts w:ascii="Cambria Math" w:hAnsi="Cambria Math"/>
                        <w:lang w:val="en-US"/>
                      </w:rPr>
                    </m:ctrlPr>
                  </m:sSubPr>
                  <m:e>
                    <m:r>
                      <m:rPr>
                        <m:sty m:val="p"/>
                      </m:rPr>
                      <w:rPr>
                        <w:rFonts w:ascii="Cambria Math" w:hAnsi="Cambria Math"/>
                        <w:lang w:val="en-US"/>
                      </w:rPr>
                      <m:t>gwd</m:t>
                    </m:r>
                  </m:e>
                  <m:sub>
                    <m:r>
                      <m:rPr>
                        <m:sty m:val="p"/>
                      </m:rPr>
                      <w:rPr>
                        <w:rFonts w:ascii="Cambria Math" w:hAnsi="Cambria Math"/>
                        <w:lang w:val="en-US"/>
                      </w:rPr>
                      <m:t>2020</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gwd</m:t>
                    </m:r>
                  </m:e>
                  <m:sub>
                    <m:r>
                      <m:rPr>
                        <m:sty m:val="p"/>
                      </m:rPr>
                      <w:rPr>
                        <w:rFonts w:ascii="Cambria Math" w:hAnsi="Cambria Math"/>
                        <w:lang w:val="en-US"/>
                      </w:rPr>
                      <m:t>2003</m:t>
                    </m:r>
                  </m:sub>
                </m:sSub>
                <m:r>
                  <m:rPr>
                    <m:sty m:val="p"/>
                  </m:rPr>
                  <w:rPr>
                    <w:rFonts w:ascii="Cambria Math" w:hAnsi="Cambria Math"/>
                    <w:lang w:val="en-US"/>
                  </w:rPr>
                  <m:t>+1.5×</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gwd</m:t>
                        </m:r>
                      </m:e>
                      <m:sub>
                        <m:r>
                          <m:rPr>
                            <m:sty m:val="p"/>
                          </m:rPr>
                          <w:rPr>
                            <w:rFonts w:ascii="Cambria Math" w:hAnsi="Cambria Math"/>
                            <w:lang w:val="en-US"/>
                          </w:rPr>
                          <m:t>2014</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gwd</m:t>
                        </m:r>
                      </m:e>
                      <m:sub>
                        <m:r>
                          <m:rPr>
                            <m:sty m:val="p"/>
                          </m:rPr>
                          <w:rPr>
                            <w:rFonts w:ascii="Cambria Math" w:hAnsi="Cambria Math"/>
                            <w:lang w:val="en-US"/>
                          </w:rPr>
                          <m:t>2003</m:t>
                        </m:r>
                      </m:sub>
                    </m:sSub>
                  </m:e>
                </m:d>
              </m:oMath>
            </m:oMathPara>
          </w:p>
        </w:tc>
        <w:tc>
          <w:tcPr>
            <w:tcW w:w="2687" w:type="dxa"/>
            <w:vAlign w:val="center"/>
          </w:tcPr>
          <w:p w14:paraId="0392032B" w14:textId="77777777" w:rsidR="0061220F" w:rsidRPr="00F2670D" w:rsidRDefault="0061220F" w:rsidP="00DE05F4">
            <w:pPr>
              <w:jc w:val="right"/>
              <w:rPr>
                <w:lang w:val="en-US"/>
              </w:rPr>
            </w:pPr>
            <w:r w:rsidRPr="00F2670D">
              <w:rPr>
                <w:lang w:val="en-US"/>
              </w:rPr>
              <w:t>(5)</w:t>
            </w:r>
          </w:p>
        </w:tc>
      </w:tr>
    </w:tbl>
    <w:p w14:paraId="2080AFB2" w14:textId="77777777" w:rsidR="0061220F" w:rsidRPr="00F2670D" w:rsidRDefault="0061220F" w:rsidP="0061220F">
      <w:pPr>
        <w:rPr>
          <w:lang w:val="en-US"/>
        </w:rPr>
      </w:pPr>
      <w:r w:rsidRPr="00F2670D">
        <w:rPr>
          <w:lang w:val="en-US"/>
        </w:rPr>
        <w:t xml:space="preserve">where gwd is groundwater depth. The formula assumes that groundwater depth varies according to a linear regression equation, which considers that the slope of the regression line between 2014 and 2020 is equal to half of the slope between 2003 and 2014, </w:t>
      </w:r>
      <w:r>
        <w:rPr>
          <w:lang w:val="en-US"/>
        </w:rPr>
        <w:t xml:space="preserve">as </w:t>
      </w:r>
      <w:r w:rsidRPr="00F2670D">
        <w:rPr>
          <w:lang w:val="en-US"/>
        </w:rPr>
        <w:t xml:space="preserve">to model realistic changes in groundwater depth. </w:t>
      </w:r>
    </w:p>
    <w:p w14:paraId="03E0F877" w14:textId="77777777" w:rsidR="0061220F" w:rsidRPr="00F2670D" w:rsidRDefault="0061220F" w:rsidP="0061220F">
      <w:pPr>
        <w:rPr>
          <w:lang w:val="en-US"/>
        </w:rPr>
      </w:pPr>
      <w:r w:rsidRPr="00F2670D">
        <w:rPr>
          <w:lang w:val="en-US"/>
        </w:rPr>
        <w:lastRenderedPageBreak/>
        <w:t xml:space="preserve">While more complicated scenarios can be assumed, in this analysis it is assumed that the variation of nitrate contamination in groundwater is the same as in Scenario 1, although groundwater depth changes could cause different nitrate concentration trends </w:t>
      </w:r>
      <w:r>
        <w:rPr>
          <w:lang w:val="en-US"/>
        </w:rPr>
        <w:t xml:space="preserve">with </w:t>
      </w:r>
      <w:r w:rsidRPr="00F2670D">
        <w:rPr>
          <w:lang w:val="en-US"/>
        </w:rPr>
        <w:t>respect to the assumed variability.</w:t>
      </w:r>
    </w:p>
    <w:p w14:paraId="68A89491" w14:textId="77777777" w:rsidR="0061220F" w:rsidRPr="00F2670D" w:rsidRDefault="0061220F" w:rsidP="0061220F">
      <w:pPr>
        <w:rPr>
          <w:lang w:val="en-US"/>
        </w:rPr>
      </w:pPr>
      <w:r w:rsidRPr="00F2670D">
        <w:rPr>
          <w:lang w:val="en-US"/>
        </w:rPr>
        <w:t xml:space="preserve">The evidential themes used to generate the models are listed in Table 5. Soil protective capacity and nitrogen fertilizer load are not statistically significant, and they are not considered in the analysis. The reliability of both predictive models, </w:t>
      </w:r>
      <w:r>
        <w:rPr>
          <w:lang w:val="en-US"/>
        </w:rPr>
        <w:t>measured via</w:t>
      </w:r>
      <w:r w:rsidRPr="00F2670D">
        <w:rPr>
          <w:lang w:val="en-US"/>
        </w:rPr>
        <w:t xml:space="preserve"> the AUC values, (Table 5), is similar to the reliability of the spatio-temporal model (Table 4).</w:t>
      </w:r>
    </w:p>
    <w:p w14:paraId="26586661" w14:textId="77777777" w:rsidR="0061220F" w:rsidRPr="00F2670D" w:rsidRDefault="0061220F" w:rsidP="0061220F">
      <w:pPr>
        <w:pStyle w:val="Nessunaspaziatura"/>
        <w:spacing w:line="360" w:lineRule="auto"/>
        <w:rPr>
          <w:lang w:val="en-US"/>
        </w:rPr>
      </w:pPr>
    </w:p>
    <w:p w14:paraId="285C59B4" w14:textId="77777777" w:rsidR="0061220F" w:rsidRPr="00F2670D" w:rsidRDefault="0061220F" w:rsidP="0061220F">
      <w:pPr>
        <w:rPr>
          <w:i/>
          <w:lang w:val="en-US"/>
        </w:rPr>
      </w:pPr>
      <w:r w:rsidRPr="00F2670D">
        <w:rPr>
          <w:i/>
          <w:lang w:val="en-US"/>
        </w:rPr>
        <w:t>Table 5 - Combination of evidential themes used to obtain the response themes of the predictive spatio-temporal models and AUC values</w:t>
      </w:r>
      <w:r>
        <w:rPr>
          <w:i/>
          <w:lang w:val="en-US"/>
        </w:rPr>
        <w:t>:</w:t>
      </w:r>
      <w:r w:rsidRPr="00F2670D">
        <w:rPr>
          <w:i/>
          <w:lang w:val="en-US"/>
        </w:rPr>
        <w:t xml:space="preserve"> dsm [2020] = land use from satellite data in 2020</w:t>
      </w:r>
      <w:r>
        <w:rPr>
          <w:i/>
          <w:lang w:val="en-US"/>
        </w:rPr>
        <w:t>;</w:t>
      </w:r>
      <w:r w:rsidRPr="00F2670D">
        <w:rPr>
          <w:i/>
          <w:lang w:val="en-US"/>
        </w:rPr>
        <w:t xml:space="preserve"> dsm/slope [2010 ÷ 2020] = land use changes from satellite data between 2010 and 2020</w:t>
      </w:r>
      <w:r>
        <w:rPr>
          <w:i/>
          <w:lang w:val="en-US"/>
        </w:rPr>
        <w:t>;</w:t>
      </w:r>
      <w:r w:rsidRPr="00F2670D">
        <w:rPr>
          <w:i/>
          <w:lang w:val="en-US"/>
        </w:rPr>
        <w:t xml:space="preserve"> gwd [2003] or gwd [2020] = groundwater depth measured in 2003 or calculated for 2020</w:t>
      </w:r>
      <w:r>
        <w:rPr>
          <w:i/>
          <w:lang w:val="en-US"/>
        </w:rPr>
        <w:t>;</w:t>
      </w:r>
      <w:r w:rsidRPr="00F2670D">
        <w:rPr>
          <w:i/>
          <w:lang w:val="en-US"/>
        </w:rPr>
        <w:t xml:space="preserve"> gwv = groundwater velocity</w:t>
      </w:r>
      <w:r>
        <w:rPr>
          <w:i/>
          <w:lang w:val="en-US"/>
        </w:rPr>
        <w:t>;</w:t>
      </w:r>
      <w:r w:rsidRPr="00F2670D">
        <w:rPr>
          <w:i/>
          <w:lang w:val="en-US"/>
        </w:rPr>
        <w:t xml:space="preserve"> hcv = hydraulic conductivity of the vadose zone.</w:t>
      </w:r>
    </w:p>
    <w:tbl>
      <w:tblPr>
        <w:tblW w:w="9548" w:type="dxa"/>
        <w:tblCellMar>
          <w:left w:w="70" w:type="dxa"/>
          <w:right w:w="70" w:type="dxa"/>
        </w:tblCellMar>
        <w:tblLook w:val="04A0" w:firstRow="1" w:lastRow="0" w:firstColumn="1" w:lastColumn="0" w:noHBand="0" w:noVBand="1"/>
      </w:tblPr>
      <w:tblGrid>
        <w:gridCol w:w="1540"/>
        <w:gridCol w:w="5740"/>
        <w:gridCol w:w="1134"/>
        <w:gridCol w:w="1134"/>
      </w:tblGrid>
      <w:tr w:rsidR="0027234C" w:rsidRPr="00821406" w14:paraId="02E89F22" w14:textId="77777777" w:rsidTr="004A5D49">
        <w:trPr>
          <w:trHeight w:val="702"/>
        </w:trPr>
        <w:tc>
          <w:tcPr>
            <w:tcW w:w="1540" w:type="dxa"/>
            <w:tcBorders>
              <w:top w:val="single" w:sz="4" w:space="0" w:color="auto"/>
              <w:left w:val="single" w:sz="4" w:space="0" w:color="auto"/>
              <w:bottom w:val="single" w:sz="4" w:space="0" w:color="auto"/>
              <w:right w:val="nil"/>
            </w:tcBorders>
            <w:shd w:val="clear" w:color="auto" w:fill="auto"/>
            <w:vAlign w:val="center"/>
            <w:hideMark/>
          </w:tcPr>
          <w:p w14:paraId="27BDDBF0" w14:textId="77777777" w:rsidR="0027234C" w:rsidRPr="00821406" w:rsidRDefault="0027234C" w:rsidP="0027234C">
            <w:pPr>
              <w:spacing w:line="240" w:lineRule="auto"/>
              <w:jc w:val="center"/>
              <w:rPr>
                <w:rFonts w:ascii="Calibri" w:eastAsia="Times New Roman" w:hAnsi="Calibri" w:cs="Times New Roman"/>
                <w:b/>
                <w:bCs/>
                <w:color w:val="000000"/>
                <w:lang w:eastAsia="it-IT"/>
              </w:rPr>
            </w:pPr>
            <w:r w:rsidRPr="00821406">
              <w:rPr>
                <w:rFonts w:ascii="Calibri" w:eastAsia="Times New Roman" w:hAnsi="Calibri" w:cs="Times New Roman"/>
                <w:b/>
                <w:bCs/>
                <w:color w:val="000000"/>
                <w:lang w:eastAsia="it-IT"/>
              </w:rPr>
              <w:t>Predictive model</w:t>
            </w:r>
          </w:p>
        </w:tc>
        <w:tc>
          <w:tcPr>
            <w:tcW w:w="5740" w:type="dxa"/>
            <w:tcBorders>
              <w:top w:val="single" w:sz="4" w:space="0" w:color="auto"/>
              <w:left w:val="nil"/>
              <w:bottom w:val="single" w:sz="4" w:space="0" w:color="auto"/>
              <w:right w:val="nil"/>
            </w:tcBorders>
            <w:shd w:val="clear" w:color="auto" w:fill="auto"/>
            <w:noWrap/>
            <w:vAlign w:val="center"/>
            <w:hideMark/>
          </w:tcPr>
          <w:p w14:paraId="39AB5862" w14:textId="77777777" w:rsidR="0027234C" w:rsidRPr="00821406" w:rsidRDefault="0027234C" w:rsidP="0027234C">
            <w:pPr>
              <w:spacing w:line="240" w:lineRule="auto"/>
              <w:jc w:val="center"/>
              <w:rPr>
                <w:rFonts w:ascii="Calibri" w:eastAsia="Times New Roman" w:hAnsi="Calibri" w:cs="Times New Roman"/>
                <w:b/>
                <w:bCs/>
                <w:color w:val="000000"/>
                <w:lang w:eastAsia="it-IT"/>
              </w:rPr>
            </w:pPr>
            <w:r w:rsidRPr="00821406">
              <w:rPr>
                <w:rFonts w:ascii="Calibri" w:eastAsia="Times New Roman" w:hAnsi="Calibri" w:cs="Times New Roman"/>
                <w:b/>
                <w:bCs/>
                <w:color w:val="000000"/>
                <w:lang w:eastAsia="it-IT"/>
              </w:rPr>
              <w:t>Combination of evidential themes</w:t>
            </w:r>
          </w:p>
        </w:tc>
        <w:tc>
          <w:tcPr>
            <w:tcW w:w="1134" w:type="dxa"/>
            <w:tcBorders>
              <w:top w:val="single" w:sz="4" w:space="0" w:color="auto"/>
              <w:left w:val="nil"/>
              <w:bottom w:val="single" w:sz="4" w:space="0" w:color="auto"/>
              <w:right w:val="nil"/>
            </w:tcBorders>
            <w:shd w:val="clear" w:color="auto" w:fill="auto"/>
            <w:vAlign w:val="center"/>
            <w:hideMark/>
          </w:tcPr>
          <w:p w14:paraId="7D6A8B67" w14:textId="4A05D57C" w:rsidR="0027234C" w:rsidRPr="00821406" w:rsidRDefault="0027234C" w:rsidP="0027234C">
            <w:pPr>
              <w:spacing w:line="240" w:lineRule="auto"/>
              <w:jc w:val="center"/>
              <w:rPr>
                <w:rFonts w:ascii="Calibri" w:eastAsia="Times New Roman" w:hAnsi="Calibri" w:cs="Times New Roman"/>
                <w:b/>
                <w:bCs/>
                <w:color w:val="000000"/>
                <w:lang w:eastAsia="it-IT"/>
              </w:rPr>
            </w:pPr>
            <w:r w:rsidRPr="00821406">
              <w:rPr>
                <w:rFonts w:ascii="Calibri" w:eastAsia="Times New Roman" w:hAnsi="Calibri" w:cs="Times New Roman"/>
                <w:b/>
                <w:bCs/>
                <w:color w:val="000000"/>
                <w:lang w:val="en-US" w:eastAsia="it-IT"/>
              </w:rPr>
              <w:t>Success Rate</w:t>
            </w:r>
            <w:r>
              <w:rPr>
                <w:rFonts w:ascii="Calibri" w:eastAsia="Times New Roman" w:hAnsi="Calibri" w:cs="Times New Roman"/>
                <w:b/>
                <w:bCs/>
                <w:color w:val="000000"/>
                <w:lang w:val="en-US" w:eastAsia="it-IT"/>
              </w:rPr>
              <w:t>:</w:t>
            </w:r>
            <w:r w:rsidRPr="00821406">
              <w:rPr>
                <w:rFonts w:ascii="Calibri" w:eastAsia="Times New Roman" w:hAnsi="Calibri" w:cs="Times New Roman"/>
                <w:b/>
                <w:bCs/>
                <w:color w:val="000000"/>
                <w:lang w:val="en-US" w:eastAsia="it-IT"/>
              </w:rPr>
              <w:t xml:space="preserve"> AUC</w:t>
            </w:r>
            <w:r>
              <w:rPr>
                <w:rFonts w:ascii="Calibri" w:eastAsia="Times New Roman" w:hAnsi="Calibri" w:cs="Times New Roman"/>
                <w:b/>
                <w:bCs/>
                <w:color w:val="000000"/>
                <w:lang w:val="en-US" w:eastAsia="it-IT"/>
              </w:rPr>
              <w:t xml:space="preserve"> value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72EC85" w14:textId="7949F78C" w:rsidR="0027234C" w:rsidRPr="00821406" w:rsidRDefault="0027234C" w:rsidP="0027234C">
            <w:pPr>
              <w:spacing w:line="240" w:lineRule="auto"/>
              <w:jc w:val="center"/>
              <w:rPr>
                <w:rFonts w:ascii="Calibri" w:eastAsia="Times New Roman" w:hAnsi="Calibri" w:cs="Times New Roman"/>
                <w:b/>
                <w:bCs/>
                <w:color w:val="000000"/>
                <w:lang w:eastAsia="it-IT"/>
              </w:rPr>
            </w:pPr>
            <w:r w:rsidRPr="00821406">
              <w:rPr>
                <w:rFonts w:ascii="Calibri" w:eastAsia="Times New Roman" w:hAnsi="Calibri" w:cs="Times New Roman"/>
                <w:b/>
                <w:bCs/>
                <w:color w:val="000000"/>
                <w:lang w:val="en-US" w:eastAsia="it-IT"/>
              </w:rPr>
              <w:t>Prediction Rate</w:t>
            </w:r>
            <w:r>
              <w:rPr>
                <w:rFonts w:ascii="Calibri" w:eastAsia="Times New Roman" w:hAnsi="Calibri" w:cs="Times New Roman"/>
                <w:b/>
                <w:bCs/>
                <w:color w:val="000000"/>
                <w:lang w:val="en-US" w:eastAsia="it-IT"/>
              </w:rPr>
              <w:t>: AUC value</w:t>
            </w:r>
          </w:p>
        </w:tc>
      </w:tr>
      <w:tr w:rsidR="004A7112" w:rsidRPr="00821406" w14:paraId="5FBB9828" w14:textId="77777777" w:rsidTr="004A5D49">
        <w:trPr>
          <w:trHeight w:val="454"/>
        </w:trPr>
        <w:tc>
          <w:tcPr>
            <w:tcW w:w="1540" w:type="dxa"/>
            <w:tcBorders>
              <w:top w:val="nil"/>
              <w:left w:val="single" w:sz="4" w:space="0" w:color="auto"/>
              <w:bottom w:val="nil"/>
              <w:right w:val="nil"/>
            </w:tcBorders>
            <w:shd w:val="clear" w:color="auto" w:fill="auto"/>
            <w:noWrap/>
            <w:vAlign w:val="center"/>
            <w:hideMark/>
          </w:tcPr>
          <w:p w14:paraId="312D95B9"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Scenario 1</w:t>
            </w:r>
          </w:p>
        </w:tc>
        <w:tc>
          <w:tcPr>
            <w:tcW w:w="5740" w:type="dxa"/>
            <w:tcBorders>
              <w:top w:val="nil"/>
              <w:left w:val="nil"/>
              <w:bottom w:val="nil"/>
              <w:right w:val="nil"/>
            </w:tcBorders>
            <w:shd w:val="clear" w:color="auto" w:fill="auto"/>
            <w:noWrap/>
            <w:vAlign w:val="center"/>
            <w:hideMark/>
          </w:tcPr>
          <w:p w14:paraId="3CD5A0CB" w14:textId="77777777" w:rsidR="004A7112" w:rsidRPr="00821406" w:rsidRDefault="004A7112" w:rsidP="004A5D49">
            <w:pPr>
              <w:spacing w:line="240" w:lineRule="auto"/>
              <w:jc w:val="center"/>
              <w:rPr>
                <w:rFonts w:ascii="Calibri" w:eastAsia="Times New Roman" w:hAnsi="Calibri" w:cs="Times New Roman"/>
                <w:color w:val="000000"/>
                <w:lang w:val="en-US" w:eastAsia="it-IT"/>
              </w:rPr>
            </w:pPr>
            <w:r w:rsidRPr="00821406">
              <w:rPr>
                <w:rFonts w:ascii="Calibri" w:eastAsia="Times New Roman" w:hAnsi="Calibri" w:cs="Times New Roman"/>
                <w:color w:val="000000"/>
                <w:lang w:val="en-US" w:eastAsia="it-IT"/>
              </w:rPr>
              <w:t>dsm [2020] + dsm/slope [2010 ÷ 2020], gwd [2003], gwv, hcv</w:t>
            </w:r>
          </w:p>
        </w:tc>
        <w:tc>
          <w:tcPr>
            <w:tcW w:w="1134" w:type="dxa"/>
            <w:tcBorders>
              <w:top w:val="nil"/>
              <w:left w:val="nil"/>
              <w:bottom w:val="nil"/>
              <w:right w:val="nil"/>
            </w:tcBorders>
            <w:shd w:val="clear" w:color="auto" w:fill="auto"/>
            <w:noWrap/>
            <w:vAlign w:val="center"/>
            <w:hideMark/>
          </w:tcPr>
          <w:p w14:paraId="6A865A45"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74.5%</w:t>
            </w:r>
          </w:p>
        </w:tc>
        <w:tc>
          <w:tcPr>
            <w:tcW w:w="1134" w:type="dxa"/>
            <w:tcBorders>
              <w:top w:val="nil"/>
              <w:left w:val="nil"/>
              <w:bottom w:val="nil"/>
              <w:right w:val="single" w:sz="4" w:space="0" w:color="auto"/>
            </w:tcBorders>
            <w:shd w:val="clear" w:color="auto" w:fill="auto"/>
            <w:noWrap/>
            <w:vAlign w:val="center"/>
            <w:hideMark/>
          </w:tcPr>
          <w:p w14:paraId="3F41F0B1"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53.1%</w:t>
            </w:r>
          </w:p>
        </w:tc>
      </w:tr>
      <w:tr w:rsidR="004A7112" w:rsidRPr="00821406" w14:paraId="1B10CD53" w14:textId="77777777" w:rsidTr="004A5D49">
        <w:trPr>
          <w:trHeight w:val="454"/>
        </w:trPr>
        <w:tc>
          <w:tcPr>
            <w:tcW w:w="1540" w:type="dxa"/>
            <w:tcBorders>
              <w:top w:val="nil"/>
              <w:left w:val="single" w:sz="4" w:space="0" w:color="auto"/>
              <w:bottom w:val="single" w:sz="4" w:space="0" w:color="auto"/>
              <w:right w:val="nil"/>
            </w:tcBorders>
            <w:shd w:val="clear" w:color="auto" w:fill="auto"/>
            <w:noWrap/>
            <w:vAlign w:val="center"/>
            <w:hideMark/>
          </w:tcPr>
          <w:p w14:paraId="3AC918EA"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Scenario 2</w:t>
            </w:r>
          </w:p>
        </w:tc>
        <w:tc>
          <w:tcPr>
            <w:tcW w:w="5740" w:type="dxa"/>
            <w:tcBorders>
              <w:top w:val="nil"/>
              <w:left w:val="nil"/>
              <w:bottom w:val="single" w:sz="4" w:space="0" w:color="auto"/>
              <w:right w:val="nil"/>
            </w:tcBorders>
            <w:shd w:val="clear" w:color="auto" w:fill="auto"/>
            <w:noWrap/>
            <w:vAlign w:val="center"/>
            <w:hideMark/>
          </w:tcPr>
          <w:p w14:paraId="4FCD8F71" w14:textId="77777777" w:rsidR="004A7112" w:rsidRPr="00821406" w:rsidRDefault="004A7112" w:rsidP="004A5D49">
            <w:pPr>
              <w:spacing w:line="240" w:lineRule="auto"/>
              <w:jc w:val="center"/>
              <w:rPr>
                <w:rFonts w:ascii="Calibri" w:eastAsia="Times New Roman" w:hAnsi="Calibri" w:cs="Times New Roman"/>
                <w:color w:val="000000"/>
                <w:lang w:val="en-US" w:eastAsia="it-IT"/>
              </w:rPr>
            </w:pPr>
            <w:r w:rsidRPr="00821406">
              <w:rPr>
                <w:rFonts w:ascii="Calibri" w:eastAsia="Times New Roman" w:hAnsi="Calibri" w:cs="Times New Roman"/>
                <w:color w:val="000000"/>
                <w:lang w:val="en-US" w:eastAsia="it-IT"/>
              </w:rPr>
              <w:t>dsm [2020] + dsm/slope [2010 ÷ 2020], gwd [2020], gwv, hcv</w:t>
            </w:r>
          </w:p>
        </w:tc>
        <w:tc>
          <w:tcPr>
            <w:tcW w:w="1134" w:type="dxa"/>
            <w:tcBorders>
              <w:top w:val="nil"/>
              <w:left w:val="nil"/>
              <w:bottom w:val="single" w:sz="4" w:space="0" w:color="auto"/>
              <w:right w:val="nil"/>
            </w:tcBorders>
            <w:shd w:val="clear" w:color="auto" w:fill="auto"/>
            <w:noWrap/>
            <w:vAlign w:val="center"/>
            <w:hideMark/>
          </w:tcPr>
          <w:p w14:paraId="1C04B200"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75.3%</w:t>
            </w:r>
          </w:p>
        </w:tc>
        <w:tc>
          <w:tcPr>
            <w:tcW w:w="1134" w:type="dxa"/>
            <w:tcBorders>
              <w:top w:val="nil"/>
              <w:left w:val="nil"/>
              <w:bottom w:val="single" w:sz="4" w:space="0" w:color="auto"/>
              <w:right w:val="single" w:sz="4" w:space="0" w:color="auto"/>
            </w:tcBorders>
            <w:shd w:val="clear" w:color="auto" w:fill="auto"/>
            <w:noWrap/>
            <w:vAlign w:val="center"/>
            <w:hideMark/>
          </w:tcPr>
          <w:p w14:paraId="7B2D7C91" w14:textId="77777777" w:rsidR="004A7112" w:rsidRPr="00821406" w:rsidRDefault="004A7112" w:rsidP="004A5D49">
            <w:pPr>
              <w:spacing w:line="240" w:lineRule="auto"/>
              <w:jc w:val="center"/>
              <w:rPr>
                <w:rFonts w:ascii="Calibri" w:eastAsia="Times New Roman" w:hAnsi="Calibri" w:cs="Times New Roman"/>
                <w:color w:val="000000"/>
                <w:lang w:eastAsia="it-IT"/>
              </w:rPr>
            </w:pPr>
            <w:r w:rsidRPr="00821406">
              <w:rPr>
                <w:rFonts w:ascii="Calibri" w:eastAsia="Times New Roman" w:hAnsi="Calibri" w:cs="Times New Roman"/>
                <w:color w:val="000000"/>
                <w:lang w:eastAsia="it-IT"/>
              </w:rPr>
              <w:t>53.1%</w:t>
            </w:r>
          </w:p>
        </w:tc>
      </w:tr>
    </w:tbl>
    <w:p w14:paraId="25D02D59" w14:textId="77777777" w:rsidR="004A7112" w:rsidRPr="00F2670D" w:rsidRDefault="004A7112" w:rsidP="0061220F">
      <w:pPr>
        <w:rPr>
          <w:lang w:val="en-US"/>
        </w:rPr>
      </w:pPr>
    </w:p>
    <w:p w14:paraId="22000BB1" w14:textId="77777777" w:rsidR="0061220F" w:rsidRPr="00F2670D" w:rsidRDefault="0061220F" w:rsidP="0061220F">
      <w:pPr>
        <w:rPr>
          <w:lang w:val="en-US"/>
        </w:rPr>
      </w:pPr>
      <w:r w:rsidRPr="00F2670D">
        <w:rPr>
          <w:lang w:val="en-US"/>
        </w:rPr>
        <w:t xml:space="preserve">The groundwater vulnerability maps, in the form of post-probability maps, obtained through the predictive spatio-temporal model are calibrated and partially validated. </w:t>
      </w:r>
      <w:r>
        <w:rPr>
          <w:lang w:val="en-US"/>
        </w:rPr>
        <w:t xml:space="preserve">The </w:t>
      </w:r>
      <w:r w:rsidRPr="00F2670D">
        <w:rPr>
          <w:lang w:val="en-US"/>
        </w:rPr>
        <w:t xml:space="preserve">AUC values of the </w:t>
      </w:r>
      <w:r>
        <w:rPr>
          <w:lang w:val="en-US"/>
        </w:rPr>
        <w:t>SRCs</w:t>
      </w:r>
      <w:r w:rsidRPr="00F2670D">
        <w:rPr>
          <w:lang w:val="en-US"/>
        </w:rPr>
        <w:t xml:space="preserve"> are high and </w:t>
      </w:r>
      <w:r>
        <w:rPr>
          <w:lang w:val="en-US"/>
        </w:rPr>
        <w:t xml:space="preserve">are </w:t>
      </w:r>
      <w:r w:rsidRPr="00F2670D">
        <w:rPr>
          <w:lang w:val="en-US"/>
        </w:rPr>
        <w:t xml:space="preserve">consistent with </w:t>
      </w:r>
      <w:r>
        <w:rPr>
          <w:lang w:val="en-US"/>
        </w:rPr>
        <w:t>those</w:t>
      </w:r>
      <w:r w:rsidRPr="00F2670D">
        <w:rPr>
          <w:lang w:val="en-US"/>
        </w:rPr>
        <w:t xml:space="preserve"> obtained </w:t>
      </w:r>
      <w:r>
        <w:rPr>
          <w:lang w:val="en-US"/>
        </w:rPr>
        <w:t>via</w:t>
      </w:r>
      <w:r w:rsidRPr="00F2670D">
        <w:rPr>
          <w:lang w:val="en-US"/>
        </w:rPr>
        <w:t xml:space="preserve"> the other models (spatial, temporal and spatio-temporal models). </w:t>
      </w:r>
      <w:r>
        <w:rPr>
          <w:lang w:val="en-US"/>
        </w:rPr>
        <w:t>Alternatively</w:t>
      </w:r>
      <w:r w:rsidRPr="00F2670D">
        <w:rPr>
          <w:lang w:val="en-US"/>
        </w:rPr>
        <w:t xml:space="preserve">, </w:t>
      </w:r>
      <w:r>
        <w:rPr>
          <w:lang w:val="en-US"/>
        </w:rPr>
        <w:t xml:space="preserve">the </w:t>
      </w:r>
      <w:r w:rsidRPr="00F2670D">
        <w:rPr>
          <w:lang w:val="en-US"/>
        </w:rPr>
        <w:t xml:space="preserve">AUC values of the </w:t>
      </w:r>
      <w:r>
        <w:rPr>
          <w:lang w:val="en-US"/>
        </w:rPr>
        <w:t>PRCs</w:t>
      </w:r>
      <w:r w:rsidRPr="00F2670D">
        <w:rPr>
          <w:lang w:val="en-US"/>
        </w:rPr>
        <w:t xml:space="preserve"> are comparable with </w:t>
      </w:r>
      <w:r>
        <w:rPr>
          <w:lang w:val="en-US"/>
        </w:rPr>
        <w:t>that</w:t>
      </w:r>
      <w:r w:rsidRPr="00F2670D">
        <w:rPr>
          <w:lang w:val="en-US"/>
        </w:rPr>
        <w:t xml:space="preserve"> obtained for the spatio-temporal model, confirming their capability to adequately describe groundwater vulnerability in the study area. </w:t>
      </w:r>
      <w:r>
        <w:rPr>
          <w:lang w:val="en-US"/>
        </w:rPr>
        <w:t>As</w:t>
      </w:r>
      <w:r w:rsidRPr="00F2670D">
        <w:rPr>
          <w:lang w:val="en-US"/>
        </w:rPr>
        <w:t xml:space="preserve"> the predictive spatio-temporal models are developed</w:t>
      </w:r>
      <w:r>
        <w:rPr>
          <w:lang w:val="en-US"/>
        </w:rPr>
        <w:t xml:space="preserve"> based on</w:t>
      </w:r>
      <w:r w:rsidRPr="00F2670D">
        <w:rPr>
          <w:lang w:val="en-US"/>
        </w:rPr>
        <w:t xml:space="preserve"> a potential or hypothetical evolution of nitrate contamination and nitrate sources, the validation technique used in the other three cases is not applicable</w:t>
      </w:r>
      <w:r>
        <w:rPr>
          <w:lang w:val="en-US"/>
        </w:rPr>
        <w:t>,</w:t>
      </w:r>
      <w:r w:rsidRPr="00F2670D">
        <w:rPr>
          <w:lang w:val="en-US"/>
        </w:rPr>
        <w:t xml:space="preserve"> as the future change is </w:t>
      </w:r>
      <w:r>
        <w:rPr>
          <w:lang w:val="en-US"/>
        </w:rPr>
        <w:t>merely</w:t>
      </w:r>
      <w:r w:rsidRPr="00F2670D">
        <w:rPr>
          <w:lang w:val="en-US"/>
        </w:rPr>
        <w:t xml:space="preserve"> a projection of future groundwater contamination (§ 4.1).</w:t>
      </w:r>
    </w:p>
    <w:p w14:paraId="76CD51CD" w14:textId="77777777" w:rsidR="0061220F" w:rsidRPr="00F2670D" w:rsidRDefault="0061220F" w:rsidP="0061220F">
      <w:pPr>
        <w:rPr>
          <w:lang w:val="en-US"/>
        </w:rPr>
      </w:pPr>
    </w:p>
    <w:p w14:paraId="3DC810C5" w14:textId="77777777" w:rsidR="0061220F" w:rsidRPr="00F2670D" w:rsidRDefault="0061220F" w:rsidP="0061220F">
      <w:pPr>
        <w:rPr>
          <w:lang w:val="en-US"/>
        </w:rPr>
      </w:pPr>
      <w:r w:rsidRPr="00F2670D">
        <w:rPr>
          <w:lang w:val="en-US"/>
        </w:rPr>
        <w:lastRenderedPageBreak/>
        <w:t>Finally, as described in § 3.4, in order to recognize the sever</w:t>
      </w:r>
      <w:r>
        <w:rPr>
          <w:lang w:val="en-US"/>
        </w:rPr>
        <w:t>ely contaminated</w:t>
      </w:r>
      <w:r w:rsidRPr="00F2670D">
        <w:rPr>
          <w:lang w:val="en-US"/>
        </w:rPr>
        <w:t xml:space="preserve"> areas in 2020, given the vulnerable areas in 2011, maps of severity </w:t>
      </w:r>
      <w:r>
        <w:rPr>
          <w:lang w:val="en-US"/>
        </w:rPr>
        <w:t>are</w:t>
      </w:r>
      <w:r w:rsidRPr="00F2670D">
        <w:rPr>
          <w:lang w:val="en-US"/>
        </w:rPr>
        <w:t xml:space="preserve"> generated (Fig. 7).</w:t>
      </w:r>
    </w:p>
    <w:p w14:paraId="22B8F3FD" w14:textId="18E66A3D" w:rsidR="0061220F" w:rsidRPr="00F2670D" w:rsidRDefault="0061220F" w:rsidP="0061220F">
      <w:pPr>
        <w:rPr>
          <w:lang w:val="en-US"/>
        </w:rPr>
      </w:pPr>
      <w:r w:rsidRPr="00F2670D">
        <w:rPr>
          <w:lang w:val="en-US"/>
        </w:rPr>
        <w:t>Maps of severity show that groundwater contamination remains a major problem in the northern sector</w:t>
      </w:r>
      <w:r>
        <w:rPr>
          <w:lang w:val="en-US"/>
        </w:rPr>
        <w:t xml:space="preserve"> of the study region</w:t>
      </w:r>
      <w:r w:rsidRPr="00F2670D">
        <w:rPr>
          <w:lang w:val="en-US"/>
        </w:rPr>
        <w:t xml:space="preserve">, with the prevalence of high classes of severity. </w:t>
      </w:r>
      <w:r>
        <w:rPr>
          <w:lang w:val="en-US"/>
        </w:rPr>
        <w:t>T</w:t>
      </w:r>
      <w:r w:rsidRPr="00F2670D">
        <w:rPr>
          <w:lang w:val="en-US"/>
        </w:rPr>
        <w:t>he southern sector is generally less vulnerable,</w:t>
      </w:r>
      <w:r>
        <w:rPr>
          <w:lang w:val="en-US"/>
        </w:rPr>
        <w:t xml:space="preserve"> while</w:t>
      </w:r>
      <w:r w:rsidRPr="00F2670D">
        <w:rPr>
          <w:lang w:val="en-US"/>
        </w:rPr>
        <w:t xml:space="preserve"> medium-high levels of severity are present in some areas in the central and east-southern sectors</w:t>
      </w:r>
      <w:r>
        <w:rPr>
          <w:lang w:val="en-US"/>
        </w:rPr>
        <w:t>. This</w:t>
      </w:r>
      <w:r w:rsidRPr="00F2670D">
        <w:rPr>
          <w:lang w:val="en-US"/>
        </w:rPr>
        <w:t xml:space="preserve"> highlight</w:t>
      </w:r>
      <w:r>
        <w:rPr>
          <w:lang w:val="en-US"/>
        </w:rPr>
        <w:t>s</w:t>
      </w:r>
      <w:r w:rsidRPr="00F2670D">
        <w:rPr>
          <w:lang w:val="en-US"/>
        </w:rPr>
        <w:t xml:space="preserve"> potential problems in groundwater quality if land-use policies are maintained as assumed in the two scenarios.</w:t>
      </w:r>
    </w:p>
    <w:p w14:paraId="2C74F745" w14:textId="77777777" w:rsidR="0061220F" w:rsidRPr="00F2670D" w:rsidRDefault="0061220F" w:rsidP="0061220F">
      <w:pPr>
        <w:rPr>
          <w:lang w:val="en-US"/>
        </w:rPr>
      </w:pPr>
    </w:p>
    <w:p w14:paraId="1E3EDB0D" w14:textId="77777777" w:rsidR="0061220F" w:rsidRPr="00F2670D" w:rsidRDefault="0061220F" w:rsidP="0061220F">
      <w:pPr>
        <w:pStyle w:val="Titolo1"/>
      </w:pPr>
      <w:r w:rsidRPr="00F2670D">
        <w:t>Discussion and conclusion</w:t>
      </w:r>
    </w:p>
    <w:p w14:paraId="6C66320D" w14:textId="77777777" w:rsidR="0061220F" w:rsidRPr="00F2670D" w:rsidRDefault="0061220F" w:rsidP="0061220F">
      <w:pPr>
        <w:rPr>
          <w:lang w:val="en-US"/>
        </w:rPr>
      </w:pPr>
      <w:r w:rsidRPr="00F2670D">
        <w:rPr>
          <w:lang w:val="en-US"/>
        </w:rPr>
        <w:t>The provision of safe groundwater is a crucial global challenge to sustain healthy living conditions in the ever-growing urban areas. Consequently, the associated increase of potential sources of contamination together with increasing urbanization causes a close interrelation between the presence of groundwater-contaminated areas</w:t>
      </w:r>
      <w:r>
        <w:rPr>
          <w:lang w:val="en-US"/>
        </w:rPr>
        <w:t>,</w:t>
      </w:r>
      <w:r w:rsidRPr="00F2670D">
        <w:rPr>
          <w:lang w:val="en-US"/>
        </w:rPr>
        <w:t xml:space="preserve"> and the difficult</w:t>
      </w:r>
      <w:r>
        <w:rPr>
          <w:lang w:val="en-US"/>
        </w:rPr>
        <w:t>ies of</w:t>
      </w:r>
      <w:r w:rsidRPr="00F2670D">
        <w:rPr>
          <w:lang w:val="en-US"/>
        </w:rPr>
        <w:t xml:space="preserve"> us</w:t>
      </w:r>
      <w:r>
        <w:rPr>
          <w:lang w:val="en-US"/>
        </w:rPr>
        <w:t>ing</w:t>
      </w:r>
      <w:r w:rsidRPr="00F2670D">
        <w:rPr>
          <w:lang w:val="en-US"/>
        </w:rPr>
        <w:t xml:space="preserve"> groundwater without considering investments needed to maintain the water quality.</w:t>
      </w:r>
    </w:p>
    <w:p w14:paraId="279AFCA2" w14:textId="77777777" w:rsidR="0061220F" w:rsidRPr="00F2670D" w:rsidRDefault="0061220F" w:rsidP="0061220F">
      <w:pPr>
        <w:rPr>
          <w:lang w:val="en-US"/>
        </w:rPr>
      </w:pPr>
      <w:r w:rsidRPr="00F2670D">
        <w:rPr>
          <w:lang w:val="en-US"/>
        </w:rPr>
        <w:t xml:space="preserve">Groundwater vulnerability must be evaluated considering the role of potential sources of contamination on groundwater quality. These data must be integrated with parameters related to climatic and hydrogeological factors </w:t>
      </w:r>
      <w:r>
        <w:rPr>
          <w:lang w:val="en-US"/>
        </w:rPr>
        <w:t xml:space="preserve">in order </w:t>
      </w:r>
      <w:r w:rsidRPr="00F2670D">
        <w:rPr>
          <w:lang w:val="en-US"/>
        </w:rPr>
        <w:t xml:space="preserve">to select a combination of factors most effective in characterizing groundwater quality. </w:t>
      </w:r>
    </w:p>
    <w:p w14:paraId="7FDA9981" w14:textId="77777777" w:rsidR="0061220F" w:rsidRPr="00F2670D" w:rsidRDefault="0061220F" w:rsidP="0061220F">
      <w:pPr>
        <w:rPr>
          <w:lang w:val="en-US"/>
        </w:rPr>
      </w:pPr>
      <w:r w:rsidRPr="00F2670D">
        <w:rPr>
          <w:lang w:val="en-US"/>
        </w:rPr>
        <w:t xml:space="preserve">The development of </w:t>
      </w:r>
      <w:r>
        <w:rPr>
          <w:lang w:val="en-US"/>
        </w:rPr>
        <w:t xml:space="preserve">a </w:t>
      </w:r>
      <w:r w:rsidRPr="00F2670D">
        <w:rPr>
          <w:lang w:val="en-US"/>
        </w:rPr>
        <w:t xml:space="preserve">dynamic and time-dependent groundwater vulnerability approach is a crucial tool to support sustainable land use practices that preserve groundwater quality </w:t>
      </w:r>
      <w:r>
        <w:rPr>
          <w:lang w:val="en-US"/>
        </w:rPr>
        <w:t>within</w:t>
      </w:r>
      <w:r w:rsidRPr="00F2670D">
        <w:rPr>
          <w:lang w:val="en-US"/>
        </w:rPr>
        <w:t xml:space="preserve"> </w:t>
      </w:r>
      <w:r>
        <w:rPr>
          <w:lang w:val="en-US"/>
        </w:rPr>
        <w:t>a</w:t>
      </w:r>
      <w:r w:rsidRPr="00F2670D">
        <w:rPr>
          <w:lang w:val="en-US"/>
        </w:rPr>
        <w:t xml:space="preserve"> regional hydrogeological context. By determining which natural and anthropogenic factors are the most responsible for groundwater deterioration, adequate environmental policies can be developed for the most effective implementation. The proposed approach </w:t>
      </w:r>
      <w:r>
        <w:rPr>
          <w:lang w:val="en-US"/>
        </w:rPr>
        <w:t>of</w:t>
      </w:r>
      <w:r w:rsidRPr="00F2670D">
        <w:rPr>
          <w:lang w:val="en-US"/>
        </w:rPr>
        <w:t xml:space="preserve"> a spatio-temporal vulnerability model is demonstrated to be valid </w:t>
      </w:r>
      <w:r>
        <w:rPr>
          <w:lang w:val="en-US"/>
        </w:rPr>
        <w:t>at</w:t>
      </w:r>
      <w:r w:rsidRPr="00F2670D">
        <w:rPr>
          <w:lang w:val="en-US"/>
        </w:rPr>
        <w:t xml:space="preserve"> identifying areas where natural and anthropogenic factors are responsible for combined effects of current nitrate concentration and increasing nitrate concentration trends. The approach utilizes the advantages that statistical methods have </w:t>
      </w:r>
      <w:r>
        <w:rPr>
          <w:lang w:val="en-US"/>
        </w:rPr>
        <w:t>over</w:t>
      </w:r>
      <w:r w:rsidRPr="00F2670D">
        <w:rPr>
          <w:lang w:val="en-US"/>
        </w:rPr>
        <w:t xml:space="preserve"> other methods used for assessing groundwater vulnerability, and further expands their capability by introducing the time dimension. The new advances enable an evaluation of the efficiency of new land use and urban development decisions </w:t>
      </w:r>
      <w:r w:rsidRPr="00F2670D">
        <w:rPr>
          <w:lang w:val="en-US"/>
        </w:rPr>
        <w:lastRenderedPageBreak/>
        <w:t>on aquifer protection to achieve mid</w:t>
      </w:r>
      <w:r>
        <w:rPr>
          <w:lang w:val="en-US"/>
        </w:rPr>
        <w:t>-</w:t>
      </w:r>
      <w:r w:rsidRPr="00F2670D">
        <w:rPr>
          <w:lang w:val="en-US"/>
        </w:rPr>
        <w:t xml:space="preserve"> to long-term safeguard</w:t>
      </w:r>
      <w:r>
        <w:rPr>
          <w:lang w:val="en-US"/>
        </w:rPr>
        <w:t>ing</w:t>
      </w:r>
      <w:r w:rsidRPr="00F2670D">
        <w:rPr>
          <w:lang w:val="en-US"/>
        </w:rPr>
        <w:t xml:space="preserve"> of groundwater quality (Lavoie et al., 2015). The proposed approach allows </w:t>
      </w:r>
      <w:r>
        <w:rPr>
          <w:lang w:val="en-US"/>
        </w:rPr>
        <w:t>for</w:t>
      </w:r>
      <w:r w:rsidRPr="00F2670D">
        <w:rPr>
          <w:lang w:val="en-US"/>
        </w:rPr>
        <w:t xml:space="preserve"> determination of what can happen to groundwater resources if policies are maintained at the status quo or </w:t>
      </w:r>
      <w:r>
        <w:rPr>
          <w:lang w:val="en-US"/>
        </w:rPr>
        <w:t xml:space="preserve">if </w:t>
      </w:r>
      <w:r w:rsidRPr="00F2670D">
        <w:rPr>
          <w:lang w:val="en-US"/>
        </w:rPr>
        <w:t>new measures are introduced as natural factors chang</w:t>
      </w:r>
      <w:r>
        <w:rPr>
          <w:lang w:val="en-US"/>
        </w:rPr>
        <w:t>e</w:t>
      </w:r>
      <w:r w:rsidRPr="00F2670D">
        <w:rPr>
          <w:lang w:val="en-US"/>
        </w:rPr>
        <w:t xml:space="preserve"> under climatic or anthropogenic stresses. In fact, the final calibrated spatio-temporal map can be projected in</w:t>
      </w:r>
      <w:r>
        <w:rPr>
          <w:lang w:val="en-US"/>
        </w:rPr>
        <w:t>to</w:t>
      </w:r>
      <w:r w:rsidRPr="00F2670D">
        <w:rPr>
          <w:lang w:val="en-US"/>
        </w:rPr>
        <w:t xml:space="preserve"> the future to predict potential effects with</w:t>
      </w:r>
      <w:r>
        <w:rPr>
          <w:lang w:val="en-US"/>
        </w:rPr>
        <w:t>in</w:t>
      </w:r>
      <w:r w:rsidRPr="00F2670D">
        <w:rPr>
          <w:lang w:val="en-US"/>
        </w:rPr>
        <w:t xml:space="preserve"> realistic scenarios that rely on observed land use and contamination trends. </w:t>
      </w:r>
    </w:p>
    <w:p w14:paraId="003FF516" w14:textId="77777777" w:rsidR="0061220F" w:rsidRPr="00F2670D" w:rsidRDefault="0061220F" w:rsidP="0061220F">
      <w:pPr>
        <w:rPr>
          <w:lang w:val="en-US"/>
        </w:rPr>
      </w:pPr>
      <w:r w:rsidRPr="00F2670D">
        <w:rPr>
          <w:lang w:val="en-US"/>
        </w:rPr>
        <w:t>The introduction of the time dimension makes this method the first that can include the recent history of contamination in groundwater vulnerability assessment to meet the requirements from the European Union (Groundwater Directive, 2006/118/EC) on both the contamination levels and their trends for groundwater protection and management. Moreover, the approach shows how time series of land use changes derived from satellite data can be efficiently integrated in groundwater vulnerability assessment</w:t>
      </w:r>
      <w:r>
        <w:rPr>
          <w:lang w:val="en-US"/>
        </w:rPr>
        <w:t>s</w:t>
      </w:r>
      <w:r w:rsidRPr="00F2670D">
        <w:rPr>
          <w:lang w:val="en-US"/>
        </w:rPr>
        <w:t>. The methodology can be then used to investigate more realistic future scenarios, based on more complex model</w:t>
      </w:r>
      <w:r>
        <w:rPr>
          <w:lang w:val="en-US"/>
        </w:rPr>
        <w:t>s</w:t>
      </w:r>
      <w:r w:rsidRPr="00F2670D">
        <w:rPr>
          <w:lang w:val="en-US"/>
        </w:rPr>
        <w:t xml:space="preserve"> </w:t>
      </w:r>
      <w:r>
        <w:rPr>
          <w:lang w:val="en-US"/>
        </w:rPr>
        <w:t>of</w:t>
      </w:r>
      <w:r w:rsidRPr="00F2670D">
        <w:rPr>
          <w:lang w:val="en-US"/>
        </w:rPr>
        <w:t xml:space="preserve"> the spatial evolution of both time-dependent natural and anthropogenic factors.</w:t>
      </w:r>
    </w:p>
    <w:p w14:paraId="30A9ECFD" w14:textId="77777777" w:rsidR="0061220F" w:rsidRPr="00F2670D" w:rsidRDefault="0061220F" w:rsidP="0061220F">
      <w:pPr>
        <w:rPr>
          <w:lang w:val="en-US"/>
        </w:rPr>
      </w:pPr>
      <w:r w:rsidRPr="00F2670D">
        <w:rPr>
          <w:lang w:val="en-US"/>
        </w:rPr>
        <w:t>In conclusion, the inclusion of the time dimension in groundwater vulnerability studies can provide breakthrough advances in identifying and mapping vulnerable areas on a regional or sub-regional scale, and in assessing the efficacy of land-use planning and policies for groundwater protection:</w:t>
      </w:r>
    </w:p>
    <w:p w14:paraId="01F56EE5" w14:textId="77777777" w:rsidR="0061220F" w:rsidRPr="00F2670D" w:rsidRDefault="0061220F" w:rsidP="0061220F">
      <w:pPr>
        <w:pStyle w:val="Paragrafoelenco"/>
        <w:numPr>
          <w:ilvl w:val="0"/>
          <w:numId w:val="14"/>
        </w:numPr>
        <w:rPr>
          <w:lang w:val="en-US"/>
        </w:rPr>
      </w:pPr>
      <w:r w:rsidRPr="00F2670D">
        <w:rPr>
          <w:lang w:val="en-US"/>
        </w:rPr>
        <w:t>The proposed spatio-temporal groundwater vulnerability maps derived through the spatial statistical approach are a reliable tool to combine natural and anthropogenic factors in order to identify areas with a critical combination of increasing nitrate concentration trends and current nitrate concentration.</w:t>
      </w:r>
    </w:p>
    <w:p w14:paraId="3FAC05E8" w14:textId="32D5D396" w:rsidR="0061220F" w:rsidRPr="00F2670D" w:rsidRDefault="00D3626A" w:rsidP="0061220F">
      <w:pPr>
        <w:pStyle w:val="Paragrafoelenco"/>
        <w:numPr>
          <w:ilvl w:val="0"/>
          <w:numId w:val="14"/>
        </w:numPr>
        <w:rPr>
          <w:lang w:val="en-US"/>
        </w:rPr>
      </w:pPr>
      <w:r>
        <w:rPr>
          <w:lang w:val="en-US"/>
        </w:rPr>
        <w:t>The introduction of a map of severity</w:t>
      </w:r>
      <w:r w:rsidR="0061220F" w:rsidRPr="00F2670D">
        <w:rPr>
          <w:lang w:val="en-US"/>
        </w:rPr>
        <w:t xml:space="preserve"> offers a new perspective in the projection of how different future scenarios would impact the quality of groundwater resources in a given area</w:t>
      </w:r>
      <w:r w:rsidR="0061220F">
        <w:rPr>
          <w:lang w:val="en-US"/>
        </w:rPr>
        <w:t>,</w:t>
      </w:r>
      <w:r w:rsidR="0061220F" w:rsidRPr="00F2670D">
        <w:rPr>
          <w:lang w:val="en-US"/>
        </w:rPr>
        <w:t xml:space="preserve"> and to help develop pro-active</w:t>
      </w:r>
      <w:r w:rsidR="0061220F">
        <w:rPr>
          <w:lang w:val="en-US"/>
        </w:rPr>
        <w:t>,</w:t>
      </w:r>
      <w:r w:rsidR="0061220F" w:rsidRPr="00F2670D">
        <w:rPr>
          <w:lang w:val="en-US"/>
        </w:rPr>
        <w:t xml:space="preserve"> and thus effective</w:t>
      </w:r>
      <w:r w:rsidR="0061220F">
        <w:rPr>
          <w:lang w:val="en-US"/>
        </w:rPr>
        <w:t>,</w:t>
      </w:r>
      <w:r w:rsidR="0061220F" w:rsidRPr="00F2670D">
        <w:rPr>
          <w:lang w:val="en-US"/>
        </w:rPr>
        <w:t xml:space="preserve"> land use policies to preserve groundwater quality.</w:t>
      </w:r>
    </w:p>
    <w:p w14:paraId="456B7065" w14:textId="77777777" w:rsidR="0061220F" w:rsidRPr="00F2670D" w:rsidRDefault="0061220F" w:rsidP="0061220F">
      <w:pPr>
        <w:pStyle w:val="Paragrafoelenco"/>
        <w:numPr>
          <w:ilvl w:val="0"/>
          <w:numId w:val="14"/>
        </w:numPr>
        <w:rPr>
          <w:lang w:val="en-US"/>
        </w:rPr>
      </w:pPr>
      <w:r w:rsidRPr="00F2670D">
        <w:rPr>
          <w:lang w:val="en-US"/>
        </w:rPr>
        <w:t xml:space="preserve">Through this approach, decision makers can have a high-level guide on the compatibility of a given policy or activity </w:t>
      </w:r>
      <w:r>
        <w:rPr>
          <w:lang w:val="en-US"/>
        </w:rPr>
        <w:t>in</w:t>
      </w:r>
      <w:r w:rsidRPr="00F2670D">
        <w:rPr>
          <w:lang w:val="en-US"/>
        </w:rPr>
        <w:t xml:space="preserve"> a given area to alleviate new groundwater diffuse contamination situations or avoid the deterioration of the existing ones.</w:t>
      </w:r>
    </w:p>
    <w:p w14:paraId="45C3BEBD" w14:textId="77777777" w:rsidR="0061220F" w:rsidRPr="00F2670D" w:rsidRDefault="0061220F" w:rsidP="0061220F">
      <w:pPr>
        <w:pStyle w:val="Paragrafoelenco"/>
        <w:numPr>
          <w:ilvl w:val="0"/>
          <w:numId w:val="14"/>
        </w:numPr>
        <w:rPr>
          <w:lang w:val="en-US"/>
        </w:rPr>
      </w:pPr>
      <w:r w:rsidRPr="00F2670D">
        <w:rPr>
          <w:lang w:val="en-US"/>
        </w:rPr>
        <w:lastRenderedPageBreak/>
        <w:t>Applicable to global satellite data together with ancillary ground data, the method can be used to obtain extensive results for an improved protection of groundwater quality</w:t>
      </w:r>
      <w:r>
        <w:rPr>
          <w:lang w:val="en-US"/>
        </w:rPr>
        <w:t>,</w:t>
      </w:r>
      <w:r w:rsidRPr="00F2670D">
        <w:rPr>
          <w:lang w:val="en-US"/>
        </w:rPr>
        <w:t xml:space="preserve"> which has clear advantages for the environment and for groundwater dependent ecosystems and a benefit to society </w:t>
      </w:r>
      <w:r>
        <w:rPr>
          <w:lang w:val="en-US"/>
        </w:rPr>
        <w:t>that transcends</w:t>
      </w:r>
      <w:r w:rsidRPr="00F2670D">
        <w:rPr>
          <w:lang w:val="en-US"/>
        </w:rPr>
        <w:t xml:space="preserve"> artificial political boundaries across the world.</w:t>
      </w:r>
    </w:p>
    <w:p w14:paraId="01792FA8" w14:textId="77777777" w:rsidR="0061220F" w:rsidRPr="00F2670D" w:rsidRDefault="0061220F" w:rsidP="0061220F">
      <w:pPr>
        <w:tabs>
          <w:tab w:val="left" w:pos="2120"/>
        </w:tabs>
        <w:rPr>
          <w:lang w:val="en-US"/>
        </w:rPr>
      </w:pPr>
    </w:p>
    <w:p w14:paraId="6FE61329" w14:textId="77777777" w:rsidR="00C2050E" w:rsidRPr="00821406" w:rsidRDefault="00C2050E" w:rsidP="00C2050E">
      <w:pPr>
        <w:pStyle w:val="Titolo1"/>
      </w:pPr>
      <w:r w:rsidRPr="00821406">
        <w:t>Acknowledgments</w:t>
      </w:r>
    </w:p>
    <w:p w14:paraId="687A061A" w14:textId="690A3ACD" w:rsidR="00C2050E" w:rsidRPr="00821406" w:rsidRDefault="00C2050E" w:rsidP="00C2050E">
      <w:pPr>
        <w:rPr>
          <w:lang w:val="en-US"/>
        </w:rPr>
      </w:pPr>
      <w:r w:rsidRPr="00821406">
        <w:rPr>
          <w:lang w:val="en-US"/>
        </w:rPr>
        <w:t>The research carried out at the Jet Propulsion Laboratory, California Institute of Technology, was supported by the NASA Land-Cover and Land-Use Change (LCLUC) Program. The research carried out at the Department of Geography and Environment, University of Southampton (UK), was done in the framework of the World</w:t>
      </w:r>
      <w:r w:rsidR="00037827">
        <w:rPr>
          <w:lang w:val="en-US"/>
        </w:rPr>
        <w:t>Pop Project (www.worldpop.org</w:t>
      </w:r>
      <w:r w:rsidRPr="00821406">
        <w:rPr>
          <w:lang w:val="en-US"/>
        </w:rPr>
        <w:t xml:space="preserve">) </w:t>
      </w:r>
      <w:r w:rsidR="00037827">
        <w:rPr>
          <w:lang w:val="en-US"/>
        </w:rPr>
        <w:t xml:space="preserve">and Flowminder Foundation </w:t>
      </w:r>
      <w:r w:rsidR="00037827" w:rsidRPr="00037827">
        <w:rPr>
          <w:lang w:val="en-US"/>
        </w:rPr>
        <w:t>(www.flowminder.org</w:t>
      </w:r>
      <w:r w:rsidRPr="00821406">
        <w:rPr>
          <w:lang w:val="en-US"/>
        </w:rPr>
        <w:t>).</w:t>
      </w:r>
    </w:p>
    <w:p w14:paraId="2C4902B7" w14:textId="77777777" w:rsidR="00C2050E" w:rsidRPr="00821406" w:rsidRDefault="00C2050E" w:rsidP="00C2050E">
      <w:pPr>
        <w:rPr>
          <w:lang w:val="en-US"/>
        </w:rPr>
      </w:pPr>
    </w:p>
    <w:p w14:paraId="07F9F635" w14:textId="77777777" w:rsidR="00C2050E" w:rsidRPr="00821406" w:rsidRDefault="00C2050E" w:rsidP="00C2050E">
      <w:pPr>
        <w:pStyle w:val="Titolo1"/>
      </w:pPr>
      <w:r w:rsidRPr="00821406">
        <w:t>References</w:t>
      </w:r>
    </w:p>
    <w:p w14:paraId="1B670CEC" w14:textId="77777777" w:rsidR="00C2050E" w:rsidRPr="00821406" w:rsidRDefault="00C2050E" w:rsidP="00C2050E">
      <w:pPr>
        <w:ind w:left="567" w:hanging="567"/>
        <w:rPr>
          <w:lang w:val="en-US"/>
        </w:rPr>
      </w:pPr>
      <w:r w:rsidRPr="00821406">
        <w:rPr>
          <w:lang w:val="en-US"/>
        </w:rPr>
        <w:t>Anderson, M., Woessner, W., 1992. Applied Groundwater Modeling: Simulation of flow and advection transport. Academic Press, Inc.</w:t>
      </w:r>
    </w:p>
    <w:p w14:paraId="5B678004" w14:textId="77777777" w:rsidR="00C2050E" w:rsidRPr="00821406" w:rsidRDefault="00C2050E" w:rsidP="00C2050E">
      <w:pPr>
        <w:ind w:left="567" w:hanging="567"/>
        <w:rPr>
          <w:lang w:val="en-US"/>
        </w:rPr>
      </w:pPr>
      <w:r w:rsidRPr="00821406">
        <w:rPr>
          <w:lang w:val="en-US"/>
        </w:rPr>
        <w:t>Arthur, J.D., Wood, H.A.R., Baker, A.E., Cichon, J.R., Raines, G.L., 2007. Development and Implementation of a Bayesian-based Aquifer Vulnerability Assessment in Florida. Natural Resources Research.  16(2), 93-107.</w:t>
      </w:r>
    </w:p>
    <w:p w14:paraId="2CA701D4" w14:textId="77777777" w:rsidR="00C2050E" w:rsidRPr="00821406" w:rsidRDefault="00C2050E" w:rsidP="00C2050E">
      <w:pPr>
        <w:ind w:left="567" w:hanging="567"/>
        <w:rPr>
          <w:lang w:val="en-US"/>
        </w:rPr>
      </w:pPr>
      <w:r w:rsidRPr="00821406">
        <w:rPr>
          <w:lang w:val="en-US"/>
        </w:rPr>
        <w:t>Bonham-Carter, G.F., 1994. Geographic Information Systems for Geoscientists-Modelling with GIS. Pergamon Press, 398 pp.</w:t>
      </w:r>
    </w:p>
    <w:p w14:paraId="1DFDFCD5" w14:textId="77777777" w:rsidR="00C2050E" w:rsidRPr="00821406" w:rsidRDefault="00C2050E" w:rsidP="00C2050E">
      <w:pPr>
        <w:ind w:left="567" w:hanging="567"/>
        <w:rPr>
          <w:lang w:val="en-US"/>
        </w:rPr>
      </w:pPr>
      <w:r w:rsidRPr="000D49E1">
        <w:rPr>
          <w:lang w:val="en-US"/>
        </w:rPr>
        <w:t xml:space="preserve">Chung, C.F., Fabbri, A.G., 1999. </w:t>
      </w:r>
      <w:r w:rsidRPr="00821406">
        <w:rPr>
          <w:lang w:val="en-US"/>
        </w:rPr>
        <w:t>Probabilistic prediction models for landslide hazard mapping, Photogrammetric Engineering and Remote Sensing.  65(12), 1389-1399.</w:t>
      </w:r>
    </w:p>
    <w:p w14:paraId="33D9308D" w14:textId="77777777" w:rsidR="00C2050E" w:rsidRPr="00821406" w:rsidRDefault="00C2050E" w:rsidP="00C2050E">
      <w:pPr>
        <w:ind w:left="567" w:hanging="567"/>
        <w:rPr>
          <w:lang w:val="en-GB"/>
        </w:rPr>
      </w:pPr>
      <w:r w:rsidRPr="00821406">
        <w:rPr>
          <w:lang w:val="en-US"/>
        </w:rPr>
        <w:t xml:space="preserve">Cinnirella, S., Buttafuoco, G., Pirrone, N., 2005. </w:t>
      </w:r>
      <w:r w:rsidRPr="00821406">
        <w:rPr>
          <w:lang w:val="en-GB"/>
        </w:rPr>
        <w:t>Stochastic analysis to assess the spatial distribution of groundwater nitrate concentrations in the Po catchment (Italy). Environmental Pollution.  133(3), 569-580, ISSN: 0269-7491, doi: 10.1016/j.envpol.2004.06.020.</w:t>
      </w:r>
    </w:p>
    <w:p w14:paraId="2E285B67" w14:textId="77777777" w:rsidR="00C2050E" w:rsidRPr="00821406" w:rsidRDefault="00C2050E" w:rsidP="00C2050E">
      <w:pPr>
        <w:ind w:left="567" w:hanging="567"/>
        <w:rPr>
          <w:lang w:val="en-US"/>
        </w:rPr>
      </w:pPr>
      <w:r w:rsidRPr="00821406">
        <w:rPr>
          <w:lang w:val="en-US"/>
        </w:rPr>
        <w:t>Cowan, N., 2001. The magical number 4 in short-term memory: a reconsideration of mental storage capacity. Behavioral and Brain Sciences.  24, 87-185, doi 10.1017/S0140525X01003922.</w:t>
      </w:r>
    </w:p>
    <w:p w14:paraId="5D475183" w14:textId="77777777" w:rsidR="00C2050E" w:rsidRPr="00821406" w:rsidRDefault="00C2050E" w:rsidP="00C2050E">
      <w:pPr>
        <w:ind w:left="567" w:hanging="567"/>
        <w:rPr>
          <w:lang w:val="en-US"/>
        </w:rPr>
      </w:pPr>
      <w:r w:rsidRPr="00821406">
        <w:rPr>
          <w:lang w:val="en-US"/>
        </w:rPr>
        <w:lastRenderedPageBreak/>
        <w:t>EEA – European Environment Agency, 2006. Urban sprawl in Europe: The ignored challenge (EEA Report No. 10/2006). Office for Official Publications of the European Communities, Luxembourg, ISSN: 1725-9177, 56 pp.</w:t>
      </w:r>
    </w:p>
    <w:p w14:paraId="140EF94A" w14:textId="77777777" w:rsidR="00C2050E" w:rsidRPr="002E3D82" w:rsidRDefault="00C2050E" w:rsidP="00C2050E">
      <w:pPr>
        <w:ind w:left="567" w:hanging="567"/>
        <w:rPr>
          <w:lang w:val="en-US"/>
        </w:rPr>
      </w:pPr>
      <w:r w:rsidRPr="00821406">
        <w:rPr>
          <w:lang w:val="en-US"/>
        </w:rPr>
        <w:t xml:space="preserve">ESRI – Environmental Systems Research Institute, 2008. </w:t>
      </w:r>
      <w:r w:rsidRPr="002E3D82">
        <w:rPr>
          <w:lang w:val="en-US"/>
        </w:rPr>
        <w:t>ArcGIS Desktop 9.3, Redlands, CA. http://www.esri.com/software/arcgis/arcgis-for-desktop.</w:t>
      </w:r>
    </w:p>
    <w:p w14:paraId="1D7E5889" w14:textId="77777777" w:rsidR="00C2050E" w:rsidRDefault="00C2050E" w:rsidP="00C2050E">
      <w:pPr>
        <w:ind w:left="567" w:hanging="567"/>
        <w:rPr>
          <w:lang w:val="en-US"/>
        </w:rPr>
      </w:pPr>
      <w:r w:rsidRPr="00821406">
        <w:rPr>
          <w:lang w:val="en-US"/>
        </w:rPr>
        <w:t>European Community, 2006. Directive 2006/118/EC on the protection of groundwater against pollution and deterioration, (Groundwater Directive). OJ L 372, 27 December 2006, pp. 19-31.</w:t>
      </w:r>
    </w:p>
    <w:p w14:paraId="131752A5" w14:textId="77777777" w:rsidR="00C2050E" w:rsidRPr="00821406" w:rsidRDefault="00C2050E" w:rsidP="00C2050E">
      <w:pPr>
        <w:ind w:left="567" w:hanging="567"/>
        <w:rPr>
          <w:lang w:val="en-US"/>
        </w:rPr>
      </w:pPr>
      <w:r w:rsidRPr="00755A6D">
        <w:rPr>
          <w:lang w:val="en-US"/>
        </w:rPr>
        <w:t>Focazio</w:t>
      </w:r>
      <w:r>
        <w:rPr>
          <w:lang w:val="en-US"/>
        </w:rPr>
        <w:t>,</w:t>
      </w:r>
      <w:r w:rsidRPr="00755A6D">
        <w:rPr>
          <w:lang w:val="en-US"/>
        </w:rPr>
        <w:t xml:space="preserve"> M.J., Reilly</w:t>
      </w:r>
      <w:r>
        <w:rPr>
          <w:lang w:val="en-US"/>
        </w:rPr>
        <w:t>,</w:t>
      </w:r>
      <w:r w:rsidRPr="00755A6D">
        <w:rPr>
          <w:lang w:val="en-US"/>
        </w:rPr>
        <w:t xml:space="preserve"> T.E., Rupert</w:t>
      </w:r>
      <w:r>
        <w:rPr>
          <w:lang w:val="en-US"/>
        </w:rPr>
        <w:t>,</w:t>
      </w:r>
      <w:r w:rsidRPr="00755A6D">
        <w:rPr>
          <w:lang w:val="en-US"/>
        </w:rPr>
        <w:t xml:space="preserve"> M.G.</w:t>
      </w:r>
      <w:r>
        <w:rPr>
          <w:lang w:val="en-US"/>
        </w:rPr>
        <w:t>,</w:t>
      </w:r>
      <w:r w:rsidRPr="00755A6D">
        <w:rPr>
          <w:lang w:val="en-US"/>
        </w:rPr>
        <w:t xml:space="preserve"> Helsel</w:t>
      </w:r>
      <w:r>
        <w:rPr>
          <w:lang w:val="en-US"/>
        </w:rPr>
        <w:t>,</w:t>
      </w:r>
      <w:r w:rsidRPr="00755A6D">
        <w:rPr>
          <w:lang w:val="en-US"/>
        </w:rPr>
        <w:t xml:space="preserve"> D.R.</w:t>
      </w:r>
      <w:r>
        <w:rPr>
          <w:lang w:val="en-US"/>
        </w:rPr>
        <w:t>, 2002.</w:t>
      </w:r>
      <w:r w:rsidRPr="00755A6D">
        <w:rPr>
          <w:lang w:val="en-US"/>
        </w:rPr>
        <w:t xml:space="preserve"> Assessing Ground-Water Vulnerability to Contamination: Providing Scientifically Defensible Information for Decision Makers. U.S. Geological Survey Circular 1224. ISBN: 0-607-89025-8.</w:t>
      </w:r>
    </w:p>
    <w:p w14:paraId="00CA3360" w14:textId="77777777" w:rsidR="00C2050E" w:rsidRPr="00821406" w:rsidRDefault="00C2050E" w:rsidP="00C2050E">
      <w:pPr>
        <w:ind w:left="567" w:hanging="567"/>
        <w:rPr>
          <w:lang w:val="en-US"/>
        </w:rPr>
      </w:pPr>
      <w:r w:rsidRPr="002E3D82">
        <w:rPr>
          <w:lang w:val="de-DE"/>
        </w:rPr>
        <w:t xml:space="preserve">Grath, J., Scheidleder, A., Uhlig, S., Weber, K., Kralik, M., Keimel, T., Gruber, D., 2001. </w:t>
      </w:r>
      <w:r w:rsidRPr="00821406">
        <w:rPr>
          <w:lang w:val="en-US"/>
        </w:rPr>
        <w:t>The EU Water Framework Directive: Statistical aspects of the identification of groundwater pollution trends, and aggregation of monitoring results. Final Report. Austrian Federal Ministry of Agriculture and Forestry, Environment and Water Management (Ref.: 41.046/01-IV1/00 and GZ 16 2500/2-I/6/00), European Commission (Grant Agreement Ref.: Subv 99/130794), in kind contributions by project partners. Vienna, Austria.</w:t>
      </w:r>
    </w:p>
    <w:p w14:paraId="68219C86" w14:textId="77777777" w:rsidR="00C2050E" w:rsidRPr="00821406" w:rsidRDefault="00C2050E" w:rsidP="00C2050E">
      <w:pPr>
        <w:ind w:left="567" w:hanging="567"/>
        <w:rPr>
          <w:lang w:val="en-US"/>
        </w:rPr>
      </w:pPr>
      <w:r w:rsidRPr="00821406">
        <w:rPr>
          <w:lang w:val="en-US"/>
        </w:rPr>
        <w:t>IPCC, 2012. Managing the Risks of Extreme Events and Disasters to Advance Climate Change Adaptation. A Special Report of Working Groups I and II of the Intergovernmental Panel on Climate Change [Field, C.B., V. Barros, T.F. Stocker, D. Qin, D.J. Dokken, K.L. Ebi, M.D. Mastrandrea, K.J. Mach, G.-K. Plattner, S.K. Allen, M. Tignor, and P.M. Midgley (Eds.)]. Cambridge University Press, Cambridge, UK, and New York, NY, USA, 582 pp.</w:t>
      </w:r>
    </w:p>
    <w:p w14:paraId="6C7EB8CA" w14:textId="77777777" w:rsidR="00C2050E" w:rsidRPr="00821406" w:rsidRDefault="00C2050E" w:rsidP="00C2050E">
      <w:pPr>
        <w:ind w:left="567" w:hanging="567"/>
        <w:rPr>
          <w:lang w:val="en-US"/>
        </w:rPr>
      </w:pPr>
      <w:r w:rsidRPr="00821406">
        <w:rPr>
          <w:lang w:val="en-US"/>
        </w:rPr>
        <w:t>Kumar, P., 2015. Hydrocomplexity: Addressing water security and emergent environmental risks. Water Resources Research, 51, 5827-5838, doi 10.1002/2015WR017342.</w:t>
      </w:r>
    </w:p>
    <w:p w14:paraId="54840934" w14:textId="77777777" w:rsidR="00C2050E" w:rsidRPr="00821406" w:rsidRDefault="00C2050E" w:rsidP="00C2050E">
      <w:pPr>
        <w:ind w:left="567" w:hanging="567"/>
        <w:rPr>
          <w:lang w:val="en-US"/>
        </w:rPr>
      </w:pPr>
      <w:r w:rsidRPr="00821406">
        <w:rPr>
          <w:lang w:val="en-US"/>
        </w:rPr>
        <w:t xml:space="preserve">Lavoie, R., Joerin, F., Vansnick, J.C., Rodriguez, M.J., 2015. Integrating groundwater into land planning: A risk assessment methodology. Journal of Environmental Management. 154, 358-371, doi 10.1016/j.jenvman.2015.02.020. </w:t>
      </w:r>
    </w:p>
    <w:p w14:paraId="6861F86A" w14:textId="77777777" w:rsidR="00C2050E" w:rsidRPr="00821406" w:rsidRDefault="00C2050E" w:rsidP="00C2050E">
      <w:pPr>
        <w:ind w:left="567" w:hanging="567"/>
      </w:pPr>
      <w:r w:rsidRPr="00D25763">
        <w:rPr>
          <w:lang w:val="en-US"/>
        </w:rPr>
        <w:lastRenderedPageBreak/>
        <w:t xml:space="preserve">Masetti, M., Poli, S., Sterlacchini, S., 2007. </w:t>
      </w:r>
      <w:r w:rsidRPr="00821406">
        <w:rPr>
          <w:lang w:val="en-US"/>
        </w:rPr>
        <w:t xml:space="preserve">The Use of the weights-of-evidence modeling technique to estimate the vulnerability of groundwater to nitrate contamination. </w:t>
      </w:r>
      <w:r w:rsidRPr="00821406">
        <w:t>Natural Resources Research.  16(2), 109-119, doi 10.1007/s11053-007-9045-6.</w:t>
      </w:r>
    </w:p>
    <w:p w14:paraId="1183E343" w14:textId="77777777" w:rsidR="00C2050E" w:rsidRPr="00821406" w:rsidRDefault="00C2050E" w:rsidP="00C2050E">
      <w:pPr>
        <w:ind w:left="567" w:hanging="567"/>
      </w:pPr>
      <w:r w:rsidRPr="00821406">
        <w:t xml:space="preserve">Masetti, M., Poli, S., Sterlacchini, S., Beretta, G.P., Facchi, A., 2008. </w:t>
      </w:r>
      <w:r w:rsidRPr="00821406">
        <w:rPr>
          <w:lang w:val="en-US"/>
        </w:rPr>
        <w:t xml:space="preserve">Spatial and statistical assessment of factors influencing nitrate contamination in groundwater. </w:t>
      </w:r>
      <w:r w:rsidRPr="00821406">
        <w:t>Journal of Environmental Management.  86(1), 272-281, doi 10.1016/j.jenvman.2006.12.023.</w:t>
      </w:r>
    </w:p>
    <w:p w14:paraId="0BB23246" w14:textId="77777777" w:rsidR="00C2050E" w:rsidRPr="00821406" w:rsidRDefault="00C2050E" w:rsidP="00C2050E">
      <w:pPr>
        <w:ind w:left="567" w:hanging="567"/>
        <w:rPr>
          <w:lang w:val="en-US"/>
        </w:rPr>
      </w:pPr>
      <w:r w:rsidRPr="00821406">
        <w:t xml:space="preserve">Masetti, M., Sterlacchini S., Ballabio C., Sorichetta A., Poli S., 2009. </w:t>
      </w:r>
      <w:r w:rsidRPr="00821406">
        <w:rPr>
          <w:lang w:val="en-US"/>
        </w:rPr>
        <w:t>Influence of threshold value in the use of statistical methods for groundwater vulnerability assessment. Science of the Total Environment.  407(12), 3836-3846, doi 10.1016/j.scitotenv.2009.01.055.</w:t>
      </w:r>
    </w:p>
    <w:p w14:paraId="4E3F4BFF" w14:textId="77777777" w:rsidR="00C2050E" w:rsidRPr="00821406" w:rsidRDefault="00C2050E" w:rsidP="00C2050E">
      <w:pPr>
        <w:ind w:left="567" w:hanging="567"/>
        <w:rPr>
          <w:lang w:val="en-US"/>
        </w:rPr>
      </w:pPr>
      <w:r w:rsidRPr="00821406">
        <w:rPr>
          <w:lang w:val="en-US"/>
        </w:rPr>
        <w:t>Nghiem, S.V., Balk, D., Rodriguez, E., Neumann, G., Sorichetta, A., Small, C., Elvidge, C.D., 2009. Observations of urban and suburban environments with global satellite scatterometer datam. ISPRS – Journal of Photogrammetry and Remote Sensing. 64(4), 367-380, doi 10.1016/j.isprsjprs.2009.01.004.</w:t>
      </w:r>
    </w:p>
    <w:p w14:paraId="6D5341B0" w14:textId="77777777" w:rsidR="00C2050E" w:rsidRPr="00821406" w:rsidRDefault="00C2050E" w:rsidP="00C2050E">
      <w:pPr>
        <w:ind w:left="567" w:hanging="567"/>
        <w:rPr>
          <w:lang w:val="en-US"/>
        </w:rPr>
      </w:pPr>
      <w:r w:rsidRPr="00821406">
        <w:rPr>
          <w:lang w:val="en-US"/>
        </w:rPr>
        <w:t>Raines, G.L., 1999. Evaluation of weights of evidence to predict epithermal-gold deposits in the Great Basin of the Western United States. Natural Resources Research.  8(4), 257-276.</w:t>
      </w:r>
    </w:p>
    <w:p w14:paraId="2E0BE4CA" w14:textId="77777777" w:rsidR="00C2050E" w:rsidRPr="002E3D82" w:rsidRDefault="00C2050E" w:rsidP="00C2050E">
      <w:pPr>
        <w:ind w:left="567" w:hanging="567"/>
        <w:rPr>
          <w:lang w:val="pt-PT"/>
        </w:rPr>
      </w:pPr>
      <w:r w:rsidRPr="00821406">
        <w:rPr>
          <w:lang w:val="en-US"/>
        </w:rPr>
        <w:t xml:space="preserve">Raines, G.L., Bonham-Carter, G.F., Kamp, L., 2000. Predictive Probabilistic Modeling Using ArcView GIS. </w:t>
      </w:r>
      <w:r w:rsidRPr="002E3D82">
        <w:rPr>
          <w:lang w:val="pt-PT"/>
        </w:rPr>
        <w:t>ArcUser.  3(2), 45-48.</w:t>
      </w:r>
    </w:p>
    <w:p w14:paraId="1954E9EF" w14:textId="77777777" w:rsidR="00C2050E" w:rsidRPr="00821406" w:rsidRDefault="00C2050E" w:rsidP="00C2050E">
      <w:pPr>
        <w:ind w:left="567" w:hanging="567"/>
      </w:pPr>
      <w:r w:rsidRPr="002E3D82">
        <w:rPr>
          <w:lang w:val="pt-PT"/>
        </w:rPr>
        <w:t xml:space="preserve">Rebelo, A., Ferra, I., Gonçalves, I., Marques, A.M., 2014. </w:t>
      </w:r>
      <w:r w:rsidRPr="00821406">
        <w:rPr>
          <w:lang w:val="en-US"/>
        </w:rPr>
        <w:t xml:space="preserve">A Risk Assessment Model for Water Resources: Releases of dangerous and hazardous substances. </w:t>
      </w:r>
      <w:r w:rsidRPr="00821406">
        <w:t>Journal of Environmental Management. 140, 51-59, doi 10.1016/j.jenvman.2014.02.025.</w:t>
      </w:r>
    </w:p>
    <w:p w14:paraId="699F336A" w14:textId="77777777" w:rsidR="00C2050E" w:rsidRPr="000D49E1" w:rsidRDefault="00C2050E" w:rsidP="00C2050E">
      <w:pPr>
        <w:ind w:left="567" w:hanging="567"/>
        <w:rPr>
          <w:lang w:val="en-US"/>
        </w:rPr>
      </w:pPr>
      <w:r w:rsidRPr="00821406">
        <w:t xml:space="preserve">Regione Lombardia, Eni Divisione Agip, 2002. Geologia degli acquiferi Padani della Regione Lombardia (Geology of the Po Valley aquifers in Lombardy Region). </w:t>
      </w:r>
      <w:r w:rsidRPr="000D49E1">
        <w:rPr>
          <w:lang w:val="en-US"/>
        </w:rPr>
        <w:t>S.EL.CA., Firenze, Italy.</w:t>
      </w:r>
    </w:p>
    <w:p w14:paraId="1B844F30" w14:textId="77777777" w:rsidR="00C2050E" w:rsidRPr="00821406" w:rsidRDefault="00C2050E" w:rsidP="00C2050E">
      <w:pPr>
        <w:ind w:left="567" w:hanging="567"/>
        <w:rPr>
          <w:lang w:val="en-US"/>
        </w:rPr>
      </w:pPr>
      <w:r w:rsidRPr="000D49E1">
        <w:rPr>
          <w:lang w:val="en-US"/>
        </w:rPr>
        <w:t xml:space="preserve">Sawatzky, D.L., Raines, G.L., Bonham-Carter, G.F., Looney, C.G., 2009. </w:t>
      </w:r>
      <w:r w:rsidRPr="00821406">
        <w:rPr>
          <w:lang w:val="en-US"/>
        </w:rPr>
        <w:t>Spatial Data Modeller (SDM): ArcMAP 9.3 geoprocessing tools for spatial data modelling using weights of evidence, logistic regression, fuzzy logic and neural networks, http://arcscripts.esri.com/details.asp?dbid=15341.</w:t>
      </w:r>
    </w:p>
    <w:p w14:paraId="3DDEAA92" w14:textId="77777777" w:rsidR="00C2050E" w:rsidRPr="00821406" w:rsidRDefault="00C2050E" w:rsidP="00C2050E">
      <w:pPr>
        <w:ind w:left="567" w:hanging="567"/>
      </w:pPr>
      <w:r w:rsidRPr="00821406">
        <w:t xml:space="preserve">Sorichetta, A., Masetti, M., Ballabio, C., Sterlacchini, S., Beretta, G.P., 2011. </w:t>
      </w:r>
      <w:r w:rsidRPr="00821406">
        <w:rPr>
          <w:lang w:val="en-US"/>
        </w:rPr>
        <w:t xml:space="preserve">Reliability of groundwater vulnerability maps obtained through statistical methods. Journal of Environmental Management.  </w:t>
      </w:r>
      <w:r w:rsidRPr="00821406">
        <w:t>92(4), 1215-1224, doi 10.1016/j.jenvman.2010.12.009.</w:t>
      </w:r>
    </w:p>
    <w:p w14:paraId="22427D7B" w14:textId="77777777" w:rsidR="00C2050E" w:rsidRPr="00821406" w:rsidRDefault="00C2050E" w:rsidP="00C2050E">
      <w:pPr>
        <w:ind w:left="567" w:hanging="567"/>
      </w:pPr>
      <w:r w:rsidRPr="00821406">
        <w:lastRenderedPageBreak/>
        <w:t xml:space="preserve">Sorichetta, A., Masetti, M., Ballabio, C., Sterlacchini, S., 2012. </w:t>
      </w:r>
      <w:r w:rsidRPr="00821406">
        <w:rPr>
          <w:lang w:val="en-US"/>
        </w:rPr>
        <w:t xml:space="preserve">Aquifer nitrate vulnerability assessment using positive and negative weights of evidence methods, Milan, Italy. </w:t>
      </w:r>
      <w:r w:rsidRPr="00821406">
        <w:t>Computers and Geosciences.  48, 199-210, doi 10.1016/j.cageo.2012.05.021.</w:t>
      </w:r>
    </w:p>
    <w:p w14:paraId="6BD49460" w14:textId="77777777" w:rsidR="00C2050E" w:rsidRPr="00821406" w:rsidRDefault="00C2050E" w:rsidP="00C2050E">
      <w:pPr>
        <w:ind w:left="567" w:hanging="567"/>
      </w:pPr>
      <w:r w:rsidRPr="00821406">
        <w:t xml:space="preserve">Sorichetta, A., Ballabio, C., Masetti, M., Robinson, G.R. Jr, Sterlacchini, S., 2013. </w:t>
      </w:r>
      <w:r w:rsidRPr="00821406">
        <w:rPr>
          <w:lang w:val="en-US"/>
        </w:rPr>
        <w:t xml:space="preserve">A Comparison of Data-Driven Groundwater Vulnerability Assessment Methods. Ground Water.  </w:t>
      </w:r>
      <w:r w:rsidRPr="00821406">
        <w:t>51(6), 866-879, doi: 10.1111/gwat.12012.</w:t>
      </w:r>
    </w:p>
    <w:p w14:paraId="554D05A9" w14:textId="77777777" w:rsidR="00C2050E" w:rsidRPr="00821406" w:rsidRDefault="00C2050E" w:rsidP="00C2050E">
      <w:pPr>
        <w:ind w:left="567" w:hanging="567"/>
        <w:rPr>
          <w:lang w:val="en-US"/>
        </w:rPr>
      </w:pPr>
      <w:r w:rsidRPr="00821406">
        <w:t xml:space="preserve">Stevenazzi, S., Masetti, M., Nghiem, S.V., Sorichetta, A., 2015. </w:t>
      </w:r>
      <w:r w:rsidRPr="00821406">
        <w:rPr>
          <w:lang w:val="en-US"/>
        </w:rPr>
        <w:t>Groundwater vulnerability maps derived from a time-dependent method using satellite scatterometer data. Hydrogeology Journal.  23(4), 631-647, doi 10.1007/s10040-015-1236-3.</w:t>
      </w:r>
    </w:p>
    <w:p w14:paraId="06DEF5B2" w14:textId="77777777" w:rsidR="00C2050E" w:rsidRDefault="00C2050E" w:rsidP="00C2050E">
      <w:pPr>
        <w:ind w:left="567" w:hanging="567"/>
        <w:rPr>
          <w:lang w:val="en-US"/>
        </w:rPr>
      </w:pPr>
      <w:r w:rsidRPr="00821406">
        <w:rPr>
          <w:lang w:val="en-US"/>
        </w:rPr>
        <w:t>Stillwell, W.G., Seaver, D.A., Edwards, W., 1981. A Comparison of weight approximation techniques in multiattribute utility decision making. Organizational Behavior and Human Performance. 28(1), 62-77.</w:t>
      </w:r>
    </w:p>
    <w:p w14:paraId="32846437" w14:textId="0C982661" w:rsidR="00C2050E" w:rsidRPr="00821406" w:rsidRDefault="00C2050E" w:rsidP="00C2050E">
      <w:pPr>
        <w:ind w:left="567" w:hanging="567"/>
        <w:rPr>
          <w:lang w:val="en-US"/>
        </w:rPr>
      </w:pPr>
      <w:r w:rsidRPr="00220261">
        <w:rPr>
          <w:lang w:val="en-US"/>
        </w:rPr>
        <w:t>Twarakavi, N.K.C., Kaluarachchi, J.J., 2006. Sustainability of ground water quality</w:t>
      </w:r>
      <w:r>
        <w:rPr>
          <w:lang w:val="en-US"/>
        </w:rPr>
        <w:t xml:space="preserve"> </w:t>
      </w:r>
      <w:r w:rsidRPr="00220261">
        <w:rPr>
          <w:lang w:val="en-US"/>
        </w:rPr>
        <w:t>considering land use changes and public health risks. Journal of Environmental</w:t>
      </w:r>
      <w:r>
        <w:rPr>
          <w:lang w:val="en-US"/>
        </w:rPr>
        <w:t xml:space="preserve"> </w:t>
      </w:r>
      <w:r w:rsidRPr="00220261">
        <w:rPr>
          <w:lang w:val="en-US"/>
        </w:rPr>
        <w:t>Management</w:t>
      </w:r>
      <w:r>
        <w:rPr>
          <w:lang w:val="en-US"/>
        </w:rPr>
        <w:t>. 81(4), 405-</w:t>
      </w:r>
      <w:r w:rsidRPr="00220261">
        <w:rPr>
          <w:lang w:val="en-US"/>
        </w:rPr>
        <w:t>419</w:t>
      </w:r>
      <w:r>
        <w:rPr>
          <w:lang w:val="en-US"/>
        </w:rPr>
        <w:t xml:space="preserve">, doi </w:t>
      </w:r>
      <w:r w:rsidRPr="00C2050E">
        <w:rPr>
          <w:lang w:val="en-US"/>
        </w:rPr>
        <w:t>10.1016/j.jenvman.2005.11.008</w:t>
      </w:r>
      <w:r w:rsidRPr="00220261">
        <w:rPr>
          <w:lang w:val="en-US"/>
        </w:rPr>
        <w:t>.</w:t>
      </w:r>
    </w:p>
    <w:p w14:paraId="1C054E73" w14:textId="77777777" w:rsidR="00C2050E" w:rsidRPr="00821406" w:rsidRDefault="00C2050E" w:rsidP="00C2050E">
      <w:pPr>
        <w:ind w:left="567" w:hanging="567"/>
        <w:rPr>
          <w:lang w:val="en-US"/>
        </w:rPr>
      </w:pPr>
      <w:r w:rsidRPr="00821406">
        <w:rPr>
          <w:lang w:val="en-US"/>
        </w:rPr>
        <w:t>Uhan, J., Vižintin, G., Pezdič, J., 2011. Groundwater nitrate vulnerability assessment in alluvial aquifer using process-based models and weights-of-evidence method: Lower Savinja Valley case study (Slovenia). Environmental Earth Sciences.  64(1), 97-105, doi 10.1007/s12665-010-0821-y.</w:t>
      </w:r>
    </w:p>
    <w:p w14:paraId="129F5BA9" w14:textId="77777777" w:rsidR="00C2050E" w:rsidRDefault="00C2050E" w:rsidP="00C2050E">
      <w:pPr>
        <w:ind w:left="567" w:hanging="567"/>
        <w:rPr>
          <w:lang w:val="en-US"/>
        </w:rPr>
      </w:pPr>
      <w:r w:rsidRPr="00821406">
        <w:rPr>
          <w:lang w:val="en-US"/>
        </w:rPr>
        <w:t>World Economic Forum, 2015. The Global Risks Report 2015, Geneva, Switzerland, 66 pp.</w:t>
      </w:r>
    </w:p>
    <w:p w14:paraId="068C199F" w14:textId="3BCCEDA0" w:rsidR="00C2050E" w:rsidRDefault="00C2050E" w:rsidP="00C2050E">
      <w:pPr>
        <w:ind w:left="567" w:hanging="567"/>
        <w:rPr>
          <w:lang w:val="en-US"/>
        </w:rPr>
      </w:pPr>
      <w:r w:rsidRPr="00623158">
        <w:rPr>
          <w:lang w:val="en-US"/>
        </w:rPr>
        <w:t>Worra</w:t>
      </w:r>
      <w:r w:rsidR="00037827">
        <w:rPr>
          <w:lang w:val="en-US"/>
        </w:rPr>
        <w:t>l</w:t>
      </w:r>
      <w:r w:rsidRPr="00623158">
        <w:rPr>
          <w:lang w:val="en-US"/>
        </w:rPr>
        <w:t>l</w:t>
      </w:r>
      <w:r>
        <w:rPr>
          <w:lang w:val="en-US"/>
        </w:rPr>
        <w:t>,</w:t>
      </w:r>
      <w:r w:rsidRPr="00623158">
        <w:rPr>
          <w:lang w:val="en-US"/>
        </w:rPr>
        <w:t xml:space="preserve"> F</w:t>
      </w:r>
      <w:r>
        <w:rPr>
          <w:lang w:val="en-US"/>
        </w:rPr>
        <w:t>.</w:t>
      </w:r>
      <w:r w:rsidRPr="00623158">
        <w:rPr>
          <w:lang w:val="en-US"/>
        </w:rPr>
        <w:t>, Besien</w:t>
      </w:r>
      <w:r>
        <w:rPr>
          <w:lang w:val="en-US"/>
        </w:rPr>
        <w:t>,</w:t>
      </w:r>
      <w:r w:rsidRPr="00623158">
        <w:rPr>
          <w:lang w:val="en-US"/>
        </w:rPr>
        <w:t xml:space="preserve"> T</w:t>
      </w:r>
      <w:r>
        <w:rPr>
          <w:lang w:val="en-US"/>
        </w:rPr>
        <w:t>., 2005</w:t>
      </w:r>
      <w:r w:rsidRPr="00623158">
        <w:rPr>
          <w:lang w:val="en-US"/>
        </w:rPr>
        <w:t>. The vulnerability of groundwater to pesticide contamination estimated</w:t>
      </w:r>
      <w:r>
        <w:rPr>
          <w:lang w:val="en-US"/>
        </w:rPr>
        <w:t xml:space="preserve"> </w:t>
      </w:r>
      <w:r w:rsidRPr="00623158">
        <w:rPr>
          <w:lang w:val="en-US"/>
        </w:rPr>
        <w:t>directly from observations of presence or absence in</w:t>
      </w:r>
      <w:r>
        <w:rPr>
          <w:lang w:val="en-US"/>
        </w:rPr>
        <w:t xml:space="preserve"> </w:t>
      </w:r>
      <w:r w:rsidRPr="00623158">
        <w:rPr>
          <w:lang w:val="en-US"/>
        </w:rPr>
        <w:t>wells. J</w:t>
      </w:r>
      <w:r>
        <w:rPr>
          <w:lang w:val="en-US"/>
        </w:rPr>
        <w:t>ournal of</w:t>
      </w:r>
      <w:r w:rsidRPr="00623158">
        <w:rPr>
          <w:lang w:val="en-US"/>
        </w:rPr>
        <w:t xml:space="preserve"> Hydrol</w:t>
      </w:r>
      <w:r>
        <w:rPr>
          <w:lang w:val="en-US"/>
        </w:rPr>
        <w:t xml:space="preserve">ogy. </w:t>
      </w:r>
      <w:r w:rsidRPr="00623158">
        <w:rPr>
          <w:lang w:val="en-US"/>
        </w:rPr>
        <w:t>303</w:t>
      </w:r>
      <w:r>
        <w:rPr>
          <w:lang w:val="en-US"/>
        </w:rPr>
        <w:t xml:space="preserve">(1-4), </w:t>
      </w:r>
      <w:r w:rsidRPr="00623158">
        <w:rPr>
          <w:lang w:val="en-US"/>
        </w:rPr>
        <w:t>92-107</w:t>
      </w:r>
      <w:r>
        <w:rPr>
          <w:lang w:val="en-US"/>
        </w:rPr>
        <w:t xml:space="preserve">, </w:t>
      </w:r>
      <w:r w:rsidRPr="0078713E">
        <w:rPr>
          <w:bCs/>
          <w:lang w:val="en-US"/>
        </w:rPr>
        <w:t>doi 10.1016/j.jhydrol.2004.08.019</w:t>
      </w:r>
      <w:r w:rsidRPr="00623158">
        <w:rPr>
          <w:lang w:val="en-US"/>
        </w:rPr>
        <w:t>.</w:t>
      </w:r>
    </w:p>
    <w:p w14:paraId="2125EF17" w14:textId="1FC37E2B" w:rsidR="00733F07" w:rsidRDefault="00733F07">
      <w:pPr>
        <w:rPr>
          <w:lang w:val="en-US"/>
        </w:rPr>
      </w:pPr>
      <w:r>
        <w:rPr>
          <w:lang w:val="en-US"/>
        </w:rPr>
        <w:br w:type="page"/>
      </w:r>
    </w:p>
    <w:p w14:paraId="076ABCC0" w14:textId="2A1E4FE1" w:rsidR="00733F07" w:rsidRPr="00821406" w:rsidRDefault="00733F07" w:rsidP="00733F07">
      <w:pPr>
        <w:pStyle w:val="Titolo1"/>
      </w:pPr>
      <w:r>
        <w:lastRenderedPageBreak/>
        <w:t>Figures</w:t>
      </w:r>
    </w:p>
    <w:p w14:paraId="7C0BE706" w14:textId="77777777" w:rsidR="00733F07" w:rsidRPr="00F2670D" w:rsidRDefault="00733F07" w:rsidP="00733F07">
      <w:pPr>
        <w:rPr>
          <w:lang w:val="en-US"/>
        </w:rPr>
      </w:pPr>
      <w:r>
        <w:rPr>
          <w:noProof/>
          <w:lang w:eastAsia="it-IT"/>
        </w:rPr>
        <w:drawing>
          <wp:inline distT="0" distB="0" distL="0" distR="0" wp14:anchorId="064978B3" wp14:editId="4BA81583">
            <wp:extent cx="6120130" cy="449199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8">
                      <a:extLst>
                        <a:ext uri="{28A0092B-C50C-407E-A947-70E740481C1C}">
                          <a14:useLocalDpi xmlns:a14="http://schemas.microsoft.com/office/drawing/2010/main" val="0"/>
                        </a:ext>
                      </a:extLst>
                    </a:blip>
                    <a:stretch>
                      <a:fillRect/>
                    </a:stretch>
                  </pic:blipFill>
                  <pic:spPr>
                    <a:xfrm>
                      <a:off x="0" y="0"/>
                      <a:ext cx="6120130" cy="4491990"/>
                    </a:xfrm>
                    <a:prstGeom prst="rect">
                      <a:avLst/>
                    </a:prstGeom>
                  </pic:spPr>
                </pic:pic>
              </a:graphicData>
            </a:graphic>
          </wp:inline>
        </w:drawing>
      </w:r>
    </w:p>
    <w:p w14:paraId="6FAACB63" w14:textId="2468EF97" w:rsidR="00733F07" w:rsidRDefault="00733F07" w:rsidP="00733F07">
      <w:pPr>
        <w:rPr>
          <w:i/>
          <w:lang w:val="en-US"/>
        </w:rPr>
      </w:pPr>
      <w:r w:rsidRPr="00F2670D">
        <w:rPr>
          <w:i/>
          <w:lang w:val="en-US"/>
        </w:rPr>
        <w:t>Fig. 1 – (a) Location of the study area in light grey. (b) Land cover in 2012. (c) Monitoring-well network. Coordinates refer to WGS 1984 – UTM Zone 32 N projection.</w:t>
      </w:r>
    </w:p>
    <w:p w14:paraId="68BC4586" w14:textId="5FAC9789" w:rsidR="00733F07" w:rsidRDefault="00733F07" w:rsidP="00733F07">
      <w:pPr>
        <w:rPr>
          <w:i/>
          <w:lang w:val="en-US"/>
        </w:rPr>
      </w:pPr>
    </w:p>
    <w:p w14:paraId="7B3E4B37" w14:textId="3B98A459" w:rsidR="00733F07" w:rsidRDefault="00733F07" w:rsidP="00733F07">
      <w:pPr>
        <w:rPr>
          <w:i/>
          <w:lang w:val="en-US"/>
        </w:rPr>
      </w:pPr>
    </w:p>
    <w:p w14:paraId="69E5D028" w14:textId="77777777" w:rsidR="00733F07" w:rsidRDefault="00733F07" w:rsidP="00733F07">
      <w:pPr>
        <w:rPr>
          <w:i/>
          <w:lang w:val="en-US"/>
        </w:rPr>
      </w:pPr>
    </w:p>
    <w:p w14:paraId="200B0F83" w14:textId="77777777" w:rsidR="00733F07" w:rsidRPr="00F2670D" w:rsidRDefault="00733F07" w:rsidP="00733F07">
      <w:pPr>
        <w:rPr>
          <w:lang w:val="en-US"/>
        </w:rPr>
      </w:pPr>
      <w:r>
        <w:rPr>
          <w:noProof/>
          <w:lang w:eastAsia="it-IT"/>
        </w:rPr>
        <w:lastRenderedPageBreak/>
        <w:drawing>
          <wp:inline distT="0" distB="0" distL="0" distR="0" wp14:anchorId="4622865D" wp14:editId="358987A9">
            <wp:extent cx="6119165" cy="2699309"/>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rev.tif"/>
                    <pic:cNvPicPr/>
                  </pic:nvPicPr>
                  <pic:blipFill>
                    <a:blip r:embed="rId9">
                      <a:extLst>
                        <a:ext uri="{28A0092B-C50C-407E-A947-70E740481C1C}">
                          <a14:useLocalDpi xmlns:a14="http://schemas.microsoft.com/office/drawing/2010/main" val="0"/>
                        </a:ext>
                      </a:extLst>
                    </a:blip>
                    <a:stretch>
                      <a:fillRect/>
                    </a:stretch>
                  </pic:blipFill>
                  <pic:spPr>
                    <a:xfrm>
                      <a:off x="0" y="0"/>
                      <a:ext cx="6119165" cy="2699309"/>
                    </a:xfrm>
                    <a:prstGeom prst="rect">
                      <a:avLst/>
                    </a:prstGeom>
                  </pic:spPr>
                </pic:pic>
              </a:graphicData>
            </a:graphic>
          </wp:inline>
        </w:drawing>
      </w:r>
    </w:p>
    <w:p w14:paraId="635EC7C4" w14:textId="17976C43" w:rsidR="00733F07" w:rsidRDefault="00733F07" w:rsidP="00733F07">
      <w:pPr>
        <w:rPr>
          <w:i/>
          <w:lang w:val="en-US"/>
        </w:rPr>
      </w:pPr>
      <w:r w:rsidRPr="00F2670D">
        <w:rPr>
          <w:i/>
          <w:lang w:val="en-US"/>
        </w:rPr>
        <w:t xml:space="preserve">Fig. 2 – (a) </w:t>
      </w:r>
      <w:r w:rsidRPr="00F2670D">
        <w:rPr>
          <w:bCs/>
          <w:i/>
          <w:lang w:val="en-US"/>
        </w:rPr>
        <w:t>Piezometric levels in 2014 (m a.s.l.) and location of the hydrogeological section</w:t>
      </w:r>
      <w:r>
        <w:rPr>
          <w:bCs/>
          <w:i/>
          <w:lang w:val="en-US"/>
        </w:rPr>
        <w:t>;</w:t>
      </w:r>
      <w:r w:rsidRPr="00F2670D">
        <w:rPr>
          <w:bCs/>
          <w:i/>
          <w:lang w:val="en-US"/>
        </w:rPr>
        <w:t xml:space="preserve"> (b) N-S hydrogeological section, modified from Regione Lombardia and ENI (2002)</w:t>
      </w:r>
      <w:r>
        <w:rPr>
          <w:bCs/>
          <w:i/>
          <w:lang w:val="en-US"/>
        </w:rPr>
        <w:t>;</w:t>
      </w:r>
      <w:r w:rsidRPr="00F2670D">
        <w:rPr>
          <w:i/>
          <w:lang w:val="en-US"/>
        </w:rPr>
        <w:t xml:space="preserve"> (c, d) Piezometric levels (m a.s.l.) in 2003 (dashed blue lines) and in 2014 (solid red lines) and monitoring well network (black dots) in areas around the city of Milan</w:t>
      </w:r>
      <w:r>
        <w:rPr>
          <w:i/>
          <w:lang w:val="en-US"/>
        </w:rPr>
        <w:t>;</w:t>
      </w:r>
      <w:r w:rsidRPr="00F2670D">
        <w:rPr>
          <w:i/>
          <w:lang w:val="en-US"/>
        </w:rPr>
        <w:t xml:space="preserve"> (e, f) Piezometric levels measured in two monitoring wells located in the northern (e) and in the southern (f) sector of the area, located as the green dots in maps (c) and (d).</w:t>
      </w:r>
    </w:p>
    <w:p w14:paraId="2720FCD1" w14:textId="1F89DFF2" w:rsidR="00733F07" w:rsidRDefault="00733F07" w:rsidP="00733F07">
      <w:pPr>
        <w:rPr>
          <w:i/>
          <w:lang w:val="en-US"/>
        </w:rPr>
      </w:pPr>
    </w:p>
    <w:p w14:paraId="076118D1" w14:textId="77777777" w:rsidR="00733F07" w:rsidRDefault="00733F07" w:rsidP="00733F07">
      <w:pPr>
        <w:rPr>
          <w:i/>
          <w:lang w:val="en-US"/>
        </w:rPr>
      </w:pPr>
    </w:p>
    <w:p w14:paraId="311414A9" w14:textId="77777777" w:rsidR="00733F07" w:rsidRPr="00F2670D" w:rsidRDefault="00733F07" w:rsidP="00733F07">
      <w:pPr>
        <w:rPr>
          <w:lang w:val="en-US"/>
        </w:rPr>
      </w:pPr>
      <w:r>
        <w:rPr>
          <w:noProof/>
          <w:lang w:eastAsia="it-IT"/>
        </w:rPr>
        <w:lastRenderedPageBreak/>
        <w:drawing>
          <wp:inline distT="0" distB="0" distL="0" distR="0" wp14:anchorId="692CE7D9" wp14:editId="7AC75A9A">
            <wp:extent cx="5579872" cy="4139184"/>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s_proposed_method_revrev.tif"/>
                    <pic:cNvPicPr/>
                  </pic:nvPicPr>
                  <pic:blipFill>
                    <a:blip r:embed="rId10">
                      <a:extLst>
                        <a:ext uri="{28A0092B-C50C-407E-A947-70E740481C1C}">
                          <a14:useLocalDpi xmlns:a14="http://schemas.microsoft.com/office/drawing/2010/main" val="0"/>
                        </a:ext>
                      </a:extLst>
                    </a:blip>
                    <a:stretch>
                      <a:fillRect/>
                    </a:stretch>
                  </pic:blipFill>
                  <pic:spPr>
                    <a:xfrm>
                      <a:off x="0" y="0"/>
                      <a:ext cx="5579872" cy="4139184"/>
                    </a:xfrm>
                    <a:prstGeom prst="rect">
                      <a:avLst/>
                    </a:prstGeom>
                  </pic:spPr>
                </pic:pic>
              </a:graphicData>
            </a:graphic>
          </wp:inline>
        </w:drawing>
      </w:r>
    </w:p>
    <w:p w14:paraId="6A696AA3" w14:textId="77777777" w:rsidR="00733F07" w:rsidRPr="00F2670D" w:rsidRDefault="00733F07" w:rsidP="00733F07">
      <w:pPr>
        <w:rPr>
          <w:i/>
          <w:lang w:val="en-US"/>
        </w:rPr>
      </w:pPr>
      <w:r w:rsidRPr="00F2670D">
        <w:rPr>
          <w:i/>
          <w:lang w:val="en-US"/>
        </w:rPr>
        <w:t>Fig. 3 – Study flow for groundwater vulnerability mapping.</w:t>
      </w:r>
    </w:p>
    <w:p w14:paraId="02BA63BB" w14:textId="1E1C0BD1" w:rsidR="00733F07" w:rsidRDefault="00733F07" w:rsidP="00733F07">
      <w:pPr>
        <w:rPr>
          <w:i/>
          <w:lang w:val="en-US"/>
        </w:rPr>
      </w:pPr>
    </w:p>
    <w:p w14:paraId="34FE126A" w14:textId="77777777" w:rsidR="00733F07" w:rsidRDefault="00733F07" w:rsidP="00733F07">
      <w:pPr>
        <w:rPr>
          <w:i/>
          <w:lang w:val="en-US"/>
        </w:rPr>
      </w:pPr>
    </w:p>
    <w:p w14:paraId="17123141" w14:textId="0D1ED692" w:rsidR="00733F07" w:rsidRPr="00F2670D" w:rsidRDefault="00733F07" w:rsidP="00733F07">
      <w:pPr>
        <w:rPr>
          <w:lang w:val="en-US"/>
        </w:rPr>
      </w:pPr>
      <w:r>
        <w:rPr>
          <w:noProof/>
          <w:lang w:eastAsia="it-IT"/>
        </w:rPr>
        <w:drawing>
          <wp:inline distT="0" distB="0" distL="0" distR="0" wp14:anchorId="650D8083" wp14:editId="52080ED6">
            <wp:extent cx="2161032" cy="252069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tif"/>
                    <pic:cNvPicPr/>
                  </pic:nvPicPr>
                  <pic:blipFill>
                    <a:blip r:embed="rId11">
                      <a:extLst>
                        <a:ext uri="{28A0092B-C50C-407E-A947-70E740481C1C}">
                          <a14:useLocalDpi xmlns:a14="http://schemas.microsoft.com/office/drawing/2010/main" val="0"/>
                        </a:ext>
                      </a:extLst>
                    </a:blip>
                    <a:stretch>
                      <a:fillRect/>
                    </a:stretch>
                  </pic:blipFill>
                  <pic:spPr>
                    <a:xfrm>
                      <a:off x="0" y="0"/>
                      <a:ext cx="2161032" cy="2520696"/>
                    </a:xfrm>
                    <a:prstGeom prst="rect">
                      <a:avLst/>
                    </a:prstGeom>
                  </pic:spPr>
                </pic:pic>
              </a:graphicData>
            </a:graphic>
          </wp:inline>
        </w:drawing>
      </w:r>
    </w:p>
    <w:p w14:paraId="2FF85624" w14:textId="77777777" w:rsidR="00733F07" w:rsidRPr="00F2670D" w:rsidRDefault="00733F07" w:rsidP="00733F07">
      <w:pPr>
        <w:rPr>
          <w:i/>
          <w:lang w:val="en-US"/>
        </w:rPr>
      </w:pPr>
      <w:r w:rsidRPr="00F2670D">
        <w:rPr>
          <w:i/>
          <w:lang w:val="en-US"/>
        </w:rPr>
        <w:t>Fig. 4 – Frequency histogram of the average rank.</w:t>
      </w:r>
    </w:p>
    <w:p w14:paraId="6CA6FAEC" w14:textId="48BB801B" w:rsidR="00733F07" w:rsidRDefault="00733F07" w:rsidP="00733F07">
      <w:pPr>
        <w:rPr>
          <w:i/>
          <w:lang w:val="en-US"/>
        </w:rPr>
      </w:pPr>
    </w:p>
    <w:p w14:paraId="5C2E76F4" w14:textId="65EC0D73" w:rsidR="00733F07" w:rsidRDefault="00733F07" w:rsidP="00733F07">
      <w:pPr>
        <w:rPr>
          <w:i/>
          <w:lang w:val="en-US"/>
        </w:rPr>
      </w:pPr>
    </w:p>
    <w:p w14:paraId="3F332815" w14:textId="77777777" w:rsidR="00733F07" w:rsidRPr="00F2670D" w:rsidRDefault="00733F07" w:rsidP="00733F07">
      <w:pPr>
        <w:rPr>
          <w:lang w:val="en-US"/>
        </w:rPr>
      </w:pPr>
      <w:r>
        <w:rPr>
          <w:noProof/>
          <w:lang w:eastAsia="it-IT"/>
        </w:rPr>
        <w:lastRenderedPageBreak/>
        <w:drawing>
          <wp:inline distT="0" distB="0" distL="0" distR="0" wp14:anchorId="0B91D73C" wp14:editId="74FAD137">
            <wp:extent cx="6120130" cy="3479165"/>
            <wp:effectExtent l="0" t="0" r="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tif"/>
                    <pic:cNvPicPr/>
                  </pic:nvPicPr>
                  <pic:blipFill>
                    <a:blip r:embed="rId12">
                      <a:extLst>
                        <a:ext uri="{28A0092B-C50C-407E-A947-70E740481C1C}">
                          <a14:useLocalDpi xmlns:a14="http://schemas.microsoft.com/office/drawing/2010/main" val="0"/>
                        </a:ext>
                      </a:extLst>
                    </a:blip>
                    <a:stretch>
                      <a:fillRect/>
                    </a:stretch>
                  </pic:blipFill>
                  <pic:spPr>
                    <a:xfrm>
                      <a:off x="0" y="0"/>
                      <a:ext cx="6120130" cy="3479165"/>
                    </a:xfrm>
                    <a:prstGeom prst="rect">
                      <a:avLst/>
                    </a:prstGeom>
                  </pic:spPr>
                </pic:pic>
              </a:graphicData>
            </a:graphic>
          </wp:inline>
        </w:drawing>
      </w:r>
    </w:p>
    <w:p w14:paraId="28958812" w14:textId="77777777" w:rsidR="00733F07" w:rsidRPr="00F2670D" w:rsidRDefault="00733F07" w:rsidP="00733F07">
      <w:pPr>
        <w:rPr>
          <w:i/>
          <w:lang w:val="en-US"/>
        </w:rPr>
      </w:pPr>
      <w:r w:rsidRPr="00F2670D">
        <w:rPr>
          <w:i/>
          <w:lang w:val="en-US"/>
        </w:rPr>
        <w:t>Fig. 5 – Vulnerability maps representing: (a) spatial model</w:t>
      </w:r>
      <w:r>
        <w:rPr>
          <w:i/>
          <w:lang w:val="en-US"/>
        </w:rPr>
        <w:t>,</w:t>
      </w:r>
      <w:r w:rsidRPr="00F2670D">
        <w:rPr>
          <w:i/>
          <w:lang w:val="en-US"/>
        </w:rPr>
        <w:t xml:space="preserve"> (b) temporal model (from Stevenazzi et al. 2015)</w:t>
      </w:r>
      <w:r>
        <w:rPr>
          <w:i/>
          <w:lang w:val="en-US"/>
        </w:rPr>
        <w:t>,</w:t>
      </w:r>
      <w:r w:rsidRPr="00F2670D">
        <w:rPr>
          <w:i/>
          <w:lang w:val="en-US"/>
        </w:rPr>
        <w:t xml:space="preserve"> (c) spatio-temporal model. Coordinates refer to WGS 1984 – UTM Zone 32 N projection.</w:t>
      </w:r>
    </w:p>
    <w:p w14:paraId="53B8C7CD" w14:textId="53317B7D" w:rsidR="00733F07" w:rsidRDefault="00733F07" w:rsidP="00733F07">
      <w:pPr>
        <w:rPr>
          <w:i/>
          <w:lang w:val="en-US"/>
        </w:rPr>
      </w:pPr>
    </w:p>
    <w:p w14:paraId="64BB42EC" w14:textId="77777777" w:rsidR="00733F07" w:rsidRDefault="00733F07" w:rsidP="00733F07">
      <w:pPr>
        <w:rPr>
          <w:lang w:val="en-US"/>
        </w:rPr>
      </w:pPr>
    </w:p>
    <w:p w14:paraId="6BFEC7A5" w14:textId="6059811E" w:rsidR="00733F07" w:rsidRPr="00F2670D" w:rsidRDefault="00733F07" w:rsidP="00733F07">
      <w:pPr>
        <w:rPr>
          <w:lang w:val="en-US"/>
        </w:rPr>
      </w:pPr>
      <w:r>
        <w:rPr>
          <w:noProof/>
          <w:lang w:eastAsia="it-IT"/>
        </w:rPr>
        <w:drawing>
          <wp:inline distT="0" distB="0" distL="0" distR="0" wp14:anchorId="6EB9E9CA" wp14:editId="6D4AD813">
            <wp:extent cx="6120130" cy="170116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tif"/>
                    <pic:cNvPicPr/>
                  </pic:nvPicPr>
                  <pic:blipFill>
                    <a:blip r:embed="rId13">
                      <a:extLst>
                        <a:ext uri="{28A0092B-C50C-407E-A947-70E740481C1C}">
                          <a14:useLocalDpi xmlns:a14="http://schemas.microsoft.com/office/drawing/2010/main" val="0"/>
                        </a:ext>
                      </a:extLst>
                    </a:blip>
                    <a:stretch>
                      <a:fillRect/>
                    </a:stretch>
                  </pic:blipFill>
                  <pic:spPr>
                    <a:xfrm>
                      <a:off x="0" y="0"/>
                      <a:ext cx="6120130" cy="1701165"/>
                    </a:xfrm>
                    <a:prstGeom prst="rect">
                      <a:avLst/>
                    </a:prstGeom>
                  </pic:spPr>
                </pic:pic>
              </a:graphicData>
            </a:graphic>
          </wp:inline>
        </w:drawing>
      </w:r>
    </w:p>
    <w:p w14:paraId="283E07B1" w14:textId="77777777" w:rsidR="00733F07" w:rsidRPr="00F2670D" w:rsidRDefault="00733F07" w:rsidP="00733F07">
      <w:pPr>
        <w:rPr>
          <w:i/>
          <w:lang w:val="en-US"/>
        </w:rPr>
      </w:pPr>
      <w:r w:rsidRPr="00F2670D">
        <w:rPr>
          <w:i/>
          <w:lang w:val="en-US"/>
        </w:rPr>
        <w:t>Fig. 6 – Histograms of (a)</w:t>
      </w:r>
      <w:r>
        <w:rPr>
          <w:i/>
          <w:lang w:val="en-US"/>
        </w:rPr>
        <w:t xml:space="preserve"> </w:t>
      </w:r>
      <w:r w:rsidRPr="00F2670D">
        <w:rPr>
          <w:i/>
          <w:lang w:val="en-US"/>
        </w:rPr>
        <w:t>the average nitrate concentration,</w:t>
      </w:r>
      <w:r>
        <w:rPr>
          <w:i/>
          <w:lang w:val="en-US"/>
        </w:rPr>
        <w:t xml:space="preserve"> (b)</w:t>
      </w:r>
      <w:r w:rsidRPr="00F2670D">
        <w:rPr>
          <w:i/>
          <w:lang w:val="en-US"/>
        </w:rPr>
        <w:t xml:space="preserve"> the average nitrate concentration trend*</w:t>
      </w:r>
      <w:r>
        <w:rPr>
          <w:i/>
          <w:lang w:val="en-US"/>
        </w:rPr>
        <w:t>,</w:t>
      </w:r>
      <w:r w:rsidRPr="00F2670D">
        <w:rPr>
          <w:i/>
          <w:lang w:val="en-US"/>
        </w:rPr>
        <w:t xml:space="preserve"> and </w:t>
      </w:r>
      <w:r>
        <w:rPr>
          <w:i/>
          <w:lang w:val="en-US"/>
        </w:rPr>
        <w:t xml:space="preserve">(c) </w:t>
      </w:r>
      <w:r w:rsidRPr="00F2670D">
        <w:rPr>
          <w:i/>
          <w:lang w:val="en-US"/>
        </w:rPr>
        <w:t>the average ranking in each vulnerability class of the spatial, temporal and spatio-temporal model, respectively. The degree of vulnerability increases from 1 to 5. *Data from Stevenazzi et al., 2015.</w:t>
      </w:r>
    </w:p>
    <w:p w14:paraId="2C5B46A6" w14:textId="319BCA75" w:rsidR="00733F07" w:rsidRDefault="00733F07" w:rsidP="00733F07">
      <w:pPr>
        <w:rPr>
          <w:i/>
          <w:lang w:val="en-US"/>
        </w:rPr>
      </w:pPr>
    </w:p>
    <w:p w14:paraId="28656967" w14:textId="77777777" w:rsidR="00733F07" w:rsidRPr="00F2670D" w:rsidRDefault="00733F07" w:rsidP="00733F07">
      <w:pPr>
        <w:rPr>
          <w:lang w:val="en-US"/>
        </w:rPr>
      </w:pPr>
      <w:r>
        <w:rPr>
          <w:noProof/>
          <w:lang w:eastAsia="it-IT"/>
        </w:rPr>
        <w:lastRenderedPageBreak/>
        <w:drawing>
          <wp:inline distT="0" distB="0" distL="0" distR="0" wp14:anchorId="113E4F58" wp14:editId="1E76AEE0">
            <wp:extent cx="6120130" cy="204216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7.tif"/>
                    <pic:cNvPicPr/>
                  </pic:nvPicPr>
                  <pic:blipFill>
                    <a:blip r:embed="rId14">
                      <a:extLst>
                        <a:ext uri="{28A0092B-C50C-407E-A947-70E740481C1C}">
                          <a14:useLocalDpi xmlns:a14="http://schemas.microsoft.com/office/drawing/2010/main" val="0"/>
                        </a:ext>
                      </a:extLst>
                    </a:blip>
                    <a:stretch>
                      <a:fillRect/>
                    </a:stretch>
                  </pic:blipFill>
                  <pic:spPr>
                    <a:xfrm>
                      <a:off x="0" y="0"/>
                      <a:ext cx="6120130" cy="2042160"/>
                    </a:xfrm>
                    <a:prstGeom prst="rect">
                      <a:avLst/>
                    </a:prstGeom>
                  </pic:spPr>
                </pic:pic>
              </a:graphicData>
            </a:graphic>
          </wp:inline>
        </w:drawing>
      </w:r>
    </w:p>
    <w:p w14:paraId="55895993" w14:textId="77777777" w:rsidR="00733F07" w:rsidRPr="00F2670D" w:rsidRDefault="00733F07" w:rsidP="00733F07">
      <w:pPr>
        <w:rPr>
          <w:i/>
          <w:lang w:val="en-US"/>
        </w:rPr>
      </w:pPr>
      <w:r w:rsidRPr="00F2670D">
        <w:rPr>
          <w:i/>
          <w:lang w:val="en-US"/>
        </w:rPr>
        <w:t>Fig. 7 – Maps of severity in 2020 according to Scenario 1 (a) and Scenario 2 (b). Coordinates refer to WGS 1984 – UTM Zone 32 N projection.</w:t>
      </w:r>
    </w:p>
    <w:p w14:paraId="23549FB8" w14:textId="68242AD1" w:rsidR="00733F07" w:rsidRDefault="00733F07" w:rsidP="00733F07">
      <w:pPr>
        <w:rPr>
          <w:i/>
          <w:lang w:val="en-US"/>
        </w:rPr>
      </w:pPr>
      <w:r>
        <w:rPr>
          <w:i/>
          <w:lang w:val="en-US"/>
        </w:rPr>
        <w:br w:type="page"/>
      </w:r>
    </w:p>
    <w:p w14:paraId="4BC85025" w14:textId="2C6D0B23" w:rsidR="00733F07" w:rsidRDefault="00733F07" w:rsidP="00733F07">
      <w:pPr>
        <w:pStyle w:val="Titolo1"/>
        <w:numPr>
          <w:ilvl w:val="0"/>
          <w:numId w:val="0"/>
        </w:numPr>
        <w:ind w:left="432" w:hanging="432"/>
        <w:jc w:val="left"/>
      </w:pPr>
      <w:r>
        <w:lastRenderedPageBreak/>
        <w:t>Supplementary Material</w:t>
      </w:r>
    </w:p>
    <w:p w14:paraId="07047EAD" w14:textId="77777777" w:rsidR="00733F07" w:rsidRPr="00733F07" w:rsidRDefault="00733F07" w:rsidP="00733F07">
      <w:pPr>
        <w:spacing w:line="360" w:lineRule="auto"/>
        <w:rPr>
          <w:lang w:val="en-US"/>
        </w:rPr>
      </w:pPr>
    </w:p>
    <w:p w14:paraId="0372763C" w14:textId="77777777" w:rsidR="00733F07" w:rsidRDefault="00733F07" w:rsidP="00733F07">
      <w:pPr>
        <w:spacing w:line="360" w:lineRule="auto"/>
        <w:rPr>
          <w:lang w:val="en-US"/>
        </w:rPr>
      </w:pPr>
      <w:r>
        <w:rPr>
          <w:lang w:val="en-US"/>
        </w:rPr>
        <w:t xml:space="preserve">Nitrate concentrations and nitrate concentration trends have been categorized in eleven and five classes according to the classification in Table S1 and S2, respectively. The high reliability of nitrate concentration measurements allows to distinguish a high number of classes, according to a 5 mg/L-stepping. Instead, nitrate concentration trends follow a wider discretization to recognize wells showing a clear increasing trend, wells showing a clear decreasing trend and wells characterized by an uncertainty in the slope coefficient value. </w:t>
      </w:r>
    </w:p>
    <w:p w14:paraId="592E7DBD" w14:textId="77777777" w:rsidR="00733F07" w:rsidRDefault="00733F07" w:rsidP="00733F07">
      <w:pPr>
        <w:spacing w:line="360" w:lineRule="auto"/>
        <w:rPr>
          <w:lang w:val="en-US"/>
        </w:rPr>
      </w:pPr>
      <w:bookmarkStart w:id="0" w:name="_Ref440986897"/>
    </w:p>
    <w:p w14:paraId="679AA05D" w14:textId="77777777" w:rsidR="00733F07" w:rsidRPr="006466E2" w:rsidRDefault="00733F07" w:rsidP="00733F07">
      <w:pPr>
        <w:rPr>
          <w:i/>
          <w:lang w:val="en-US"/>
        </w:rPr>
      </w:pPr>
      <w:r w:rsidRPr="006466E2">
        <w:rPr>
          <w:i/>
          <w:lang w:val="en-US"/>
        </w:rPr>
        <w:t>Table</w:t>
      </w:r>
      <w:bookmarkEnd w:id="0"/>
      <w:r>
        <w:rPr>
          <w:i/>
          <w:lang w:val="en-US"/>
        </w:rPr>
        <w:t xml:space="preserve"> S1</w:t>
      </w:r>
      <w:r w:rsidRPr="006466E2">
        <w:rPr>
          <w:i/>
          <w:lang w:val="en-US"/>
        </w:rPr>
        <w:t xml:space="preserve"> - Classification of the wells based on the last measured nitrate concentration, in 2011, or the closest </w:t>
      </w:r>
      <w:r w:rsidRPr="0097355B">
        <w:rPr>
          <w:i/>
          <w:lang w:val="en-US"/>
        </w:rPr>
        <w:t>year to 2011 (Sorichetta, 2011)</w:t>
      </w:r>
      <w:r>
        <w:rPr>
          <w:i/>
          <w:lang w:val="en-US"/>
        </w:rPr>
        <w:t>.</w:t>
      </w:r>
    </w:p>
    <w:tbl>
      <w:tblPr>
        <w:tblW w:w="4745" w:type="dxa"/>
        <w:jc w:val="center"/>
        <w:tblCellMar>
          <w:left w:w="70" w:type="dxa"/>
          <w:right w:w="70" w:type="dxa"/>
        </w:tblCellMar>
        <w:tblLook w:val="04A0" w:firstRow="1" w:lastRow="0" w:firstColumn="1" w:lastColumn="0" w:noHBand="0" w:noVBand="1"/>
      </w:tblPr>
      <w:tblGrid>
        <w:gridCol w:w="2080"/>
        <w:gridCol w:w="2665"/>
      </w:tblGrid>
      <w:tr w:rsidR="00733F07" w:rsidRPr="00554C30" w14:paraId="37B79481" w14:textId="77777777" w:rsidTr="00A87DC9">
        <w:trPr>
          <w:trHeight w:val="567"/>
          <w:jc w:val="center"/>
        </w:trPr>
        <w:tc>
          <w:tcPr>
            <w:tcW w:w="2080" w:type="dxa"/>
            <w:tcBorders>
              <w:top w:val="single" w:sz="4" w:space="0" w:color="auto"/>
              <w:left w:val="single" w:sz="4" w:space="0" w:color="auto"/>
              <w:bottom w:val="single" w:sz="4" w:space="0" w:color="auto"/>
            </w:tcBorders>
            <w:shd w:val="clear" w:color="auto" w:fill="auto"/>
            <w:noWrap/>
            <w:vAlign w:val="center"/>
            <w:hideMark/>
          </w:tcPr>
          <w:p w14:paraId="3206EE6C" w14:textId="77777777" w:rsidR="00733F07" w:rsidRPr="00554C30" w:rsidRDefault="00733F07" w:rsidP="00A87DC9">
            <w:pPr>
              <w:spacing w:line="240" w:lineRule="auto"/>
              <w:jc w:val="center"/>
              <w:rPr>
                <w:rFonts w:eastAsia="Times New Roman" w:cs="Arial"/>
                <w:b/>
                <w:bCs/>
                <w:color w:val="000000"/>
                <w:szCs w:val="21"/>
                <w:lang w:val="en-US" w:eastAsia="it-IT"/>
              </w:rPr>
            </w:pPr>
            <w:r w:rsidRPr="00554C30">
              <w:rPr>
                <w:rFonts w:eastAsia="Times New Roman" w:cs="Arial"/>
                <w:b/>
                <w:bCs/>
                <w:color w:val="000000"/>
                <w:szCs w:val="21"/>
                <w:lang w:val="en-US" w:eastAsia="it-IT"/>
              </w:rPr>
              <w:t>Concentration class</w:t>
            </w:r>
          </w:p>
        </w:tc>
        <w:tc>
          <w:tcPr>
            <w:tcW w:w="2665" w:type="dxa"/>
            <w:tcBorders>
              <w:top w:val="single" w:sz="4" w:space="0" w:color="auto"/>
              <w:bottom w:val="single" w:sz="4" w:space="0" w:color="auto"/>
              <w:right w:val="single" w:sz="4" w:space="0" w:color="auto"/>
            </w:tcBorders>
            <w:shd w:val="clear" w:color="auto" w:fill="auto"/>
            <w:vAlign w:val="center"/>
            <w:hideMark/>
          </w:tcPr>
          <w:p w14:paraId="4EF56885" w14:textId="77777777" w:rsidR="00733F07" w:rsidRPr="00554C30" w:rsidRDefault="00733F07" w:rsidP="00A87DC9">
            <w:pPr>
              <w:spacing w:line="240" w:lineRule="auto"/>
              <w:jc w:val="center"/>
              <w:rPr>
                <w:rFonts w:eastAsia="Times New Roman" w:cs="Arial"/>
                <w:b/>
                <w:bCs/>
                <w:color w:val="000000"/>
                <w:szCs w:val="21"/>
                <w:lang w:val="en-US" w:eastAsia="it-IT"/>
              </w:rPr>
            </w:pPr>
            <w:r w:rsidRPr="00554C30">
              <w:rPr>
                <w:rFonts w:eastAsia="Times New Roman" w:cs="Arial"/>
                <w:b/>
                <w:bCs/>
                <w:color w:val="000000"/>
                <w:szCs w:val="21"/>
                <w:lang w:val="en-US" w:eastAsia="it-IT"/>
              </w:rPr>
              <w:t>Concentration in mg/L</w:t>
            </w:r>
          </w:p>
        </w:tc>
      </w:tr>
      <w:tr w:rsidR="00733F07" w:rsidRPr="00554C30" w14:paraId="45A47824"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18C8D8B4"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1</w:t>
            </w:r>
          </w:p>
        </w:tc>
        <w:tc>
          <w:tcPr>
            <w:tcW w:w="2665" w:type="dxa"/>
            <w:tcBorders>
              <w:top w:val="nil"/>
              <w:left w:val="nil"/>
              <w:bottom w:val="nil"/>
              <w:right w:val="single" w:sz="4" w:space="0" w:color="auto"/>
            </w:tcBorders>
            <w:shd w:val="clear" w:color="auto" w:fill="auto"/>
            <w:noWrap/>
            <w:vAlign w:val="center"/>
            <w:hideMark/>
          </w:tcPr>
          <w:p w14:paraId="6C2E41F0"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C &gt; 50</w:t>
            </w:r>
          </w:p>
        </w:tc>
      </w:tr>
      <w:tr w:rsidR="00733F07" w:rsidRPr="00554C30" w14:paraId="45E8F8E4"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51A1E2E8"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2</w:t>
            </w:r>
          </w:p>
        </w:tc>
        <w:tc>
          <w:tcPr>
            <w:tcW w:w="2665" w:type="dxa"/>
            <w:tcBorders>
              <w:top w:val="nil"/>
              <w:left w:val="nil"/>
              <w:bottom w:val="nil"/>
              <w:right w:val="single" w:sz="4" w:space="0" w:color="auto"/>
            </w:tcBorders>
            <w:shd w:val="clear" w:color="auto" w:fill="auto"/>
            <w:noWrap/>
            <w:vAlign w:val="center"/>
            <w:hideMark/>
          </w:tcPr>
          <w:p w14:paraId="4A8AB25A"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45 &lt; C ≤ 50</w:t>
            </w:r>
          </w:p>
        </w:tc>
      </w:tr>
      <w:tr w:rsidR="00733F07" w:rsidRPr="00554C30" w14:paraId="48A85198"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15A126A3"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3</w:t>
            </w:r>
          </w:p>
        </w:tc>
        <w:tc>
          <w:tcPr>
            <w:tcW w:w="2665" w:type="dxa"/>
            <w:tcBorders>
              <w:top w:val="nil"/>
              <w:left w:val="nil"/>
              <w:bottom w:val="nil"/>
              <w:right w:val="single" w:sz="4" w:space="0" w:color="auto"/>
            </w:tcBorders>
            <w:shd w:val="clear" w:color="auto" w:fill="auto"/>
            <w:noWrap/>
            <w:vAlign w:val="center"/>
            <w:hideMark/>
          </w:tcPr>
          <w:p w14:paraId="6253EC97"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40 &lt; C ≤ 45</w:t>
            </w:r>
          </w:p>
        </w:tc>
      </w:tr>
      <w:tr w:rsidR="00733F07" w:rsidRPr="00554C30" w14:paraId="38EBD5DF"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7C4F0DE8"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4</w:t>
            </w:r>
          </w:p>
        </w:tc>
        <w:tc>
          <w:tcPr>
            <w:tcW w:w="2665" w:type="dxa"/>
            <w:tcBorders>
              <w:top w:val="nil"/>
              <w:left w:val="nil"/>
              <w:bottom w:val="nil"/>
              <w:right w:val="single" w:sz="4" w:space="0" w:color="auto"/>
            </w:tcBorders>
            <w:shd w:val="clear" w:color="auto" w:fill="auto"/>
            <w:noWrap/>
            <w:vAlign w:val="center"/>
            <w:hideMark/>
          </w:tcPr>
          <w:p w14:paraId="7FD56760"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35 &lt; C ≤ 40</w:t>
            </w:r>
          </w:p>
        </w:tc>
      </w:tr>
      <w:tr w:rsidR="00733F07" w:rsidRPr="00554C30" w14:paraId="3B8AE0F8"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4A789990"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5</w:t>
            </w:r>
          </w:p>
        </w:tc>
        <w:tc>
          <w:tcPr>
            <w:tcW w:w="2665" w:type="dxa"/>
            <w:tcBorders>
              <w:top w:val="nil"/>
              <w:left w:val="nil"/>
              <w:bottom w:val="nil"/>
              <w:right w:val="single" w:sz="4" w:space="0" w:color="auto"/>
            </w:tcBorders>
            <w:shd w:val="clear" w:color="auto" w:fill="auto"/>
            <w:noWrap/>
            <w:vAlign w:val="center"/>
            <w:hideMark/>
          </w:tcPr>
          <w:p w14:paraId="0FA80314"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30 &lt; C ≤ 35</w:t>
            </w:r>
          </w:p>
        </w:tc>
      </w:tr>
      <w:tr w:rsidR="00733F07" w:rsidRPr="00554C30" w14:paraId="1B82BB2C"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59E5679A"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6</w:t>
            </w:r>
          </w:p>
        </w:tc>
        <w:tc>
          <w:tcPr>
            <w:tcW w:w="2665" w:type="dxa"/>
            <w:tcBorders>
              <w:top w:val="nil"/>
              <w:left w:val="nil"/>
              <w:bottom w:val="nil"/>
              <w:right w:val="single" w:sz="4" w:space="0" w:color="auto"/>
            </w:tcBorders>
            <w:shd w:val="clear" w:color="auto" w:fill="auto"/>
            <w:noWrap/>
            <w:vAlign w:val="center"/>
            <w:hideMark/>
          </w:tcPr>
          <w:p w14:paraId="50C47329"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25 &lt; C ≤ 30</w:t>
            </w:r>
          </w:p>
        </w:tc>
      </w:tr>
      <w:tr w:rsidR="00733F07" w:rsidRPr="00554C30" w14:paraId="0321CBB0"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01534135"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7</w:t>
            </w:r>
          </w:p>
        </w:tc>
        <w:tc>
          <w:tcPr>
            <w:tcW w:w="2665" w:type="dxa"/>
            <w:tcBorders>
              <w:top w:val="nil"/>
              <w:left w:val="nil"/>
              <w:bottom w:val="nil"/>
              <w:right w:val="single" w:sz="4" w:space="0" w:color="auto"/>
            </w:tcBorders>
            <w:shd w:val="clear" w:color="auto" w:fill="auto"/>
            <w:noWrap/>
            <w:vAlign w:val="center"/>
            <w:hideMark/>
          </w:tcPr>
          <w:p w14:paraId="71F946E6"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20 &lt; C ≤ 25</w:t>
            </w:r>
          </w:p>
        </w:tc>
      </w:tr>
      <w:tr w:rsidR="00733F07" w:rsidRPr="00554C30" w14:paraId="212175E2"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428FCDC5"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8</w:t>
            </w:r>
          </w:p>
        </w:tc>
        <w:tc>
          <w:tcPr>
            <w:tcW w:w="2665" w:type="dxa"/>
            <w:tcBorders>
              <w:top w:val="nil"/>
              <w:left w:val="nil"/>
              <w:bottom w:val="nil"/>
              <w:right w:val="single" w:sz="4" w:space="0" w:color="auto"/>
            </w:tcBorders>
            <w:shd w:val="clear" w:color="auto" w:fill="auto"/>
            <w:noWrap/>
            <w:vAlign w:val="center"/>
            <w:hideMark/>
          </w:tcPr>
          <w:p w14:paraId="21D5C634"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15 &lt; C ≤ 20</w:t>
            </w:r>
          </w:p>
        </w:tc>
      </w:tr>
      <w:tr w:rsidR="00733F07" w:rsidRPr="00554C30" w14:paraId="74D3932F"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1BB43366"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9</w:t>
            </w:r>
          </w:p>
        </w:tc>
        <w:tc>
          <w:tcPr>
            <w:tcW w:w="2665" w:type="dxa"/>
            <w:tcBorders>
              <w:top w:val="nil"/>
              <w:left w:val="nil"/>
              <w:bottom w:val="nil"/>
              <w:right w:val="single" w:sz="4" w:space="0" w:color="auto"/>
            </w:tcBorders>
            <w:shd w:val="clear" w:color="auto" w:fill="auto"/>
            <w:noWrap/>
            <w:vAlign w:val="center"/>
            <w:hideMark/>
          </w:tcPr>
          <w:p w14:paraId="6B2490CA"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10 &lt; C ≤ 15</w:t>
            </w:r>
          </w:p>
        </w:tc>
      </w:tr>
      <w:tr w:rsidR="00733F07" w:rsidRPr="00554C30" w14:paraId="428D9AE1"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73C27160"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10</w:t>
            </w:r>
          </w:p>
        </w:tc>
        <w:tc>
          <w:tcPr>
            <w:tcW w:w="2665" w:type="dxa"/>
            <w:tcBorders>
              <w:top w:val="nil"/>
              <w:left w:val="nil"/>
              <w:bottom w:val="nil"/>
              <w:right w:val="single" w:sz="4" w:space="0" w:color="auto"/>
            </w:tcBorders>
            <w:shd w:val="clear" w:color="auto" w:fill="auto"/>
            <w:noWrap/>
            <w:vAlign w:val="center"/>
            <w:hideMark/>
          </w:tcPr>
          <w:p w14:paraId="05846118"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5 &lt; C ≤ 10</w:t>
            </w:r>
          </w:p>
        </w:tc>
      </w:tr>
      <w:tr w:rsidR="00733F07" w:rsidRPr="00554C30" w14:paraId="2CAFE96E" w14:textId="77777777" w:rsidTr="00A87DC9">
        <w:trPr>
          <w:trHeight w:val="340"/>
          <w:jc w:val="center"/>
        </w:trPr>
        <w:tc>
          <w:tcPr>
            <w:tcW w:w="2080" w:type="dxa"/>
            <w:tcBorders>
              <w:top w:val="nil"/>
              <w:left w:val="single" w:sz="4" w:space="0" w:color="auto"/>
              <w:bottom w:val="single" w:sz="4" w:space="0" w:color="auto"/>
            </w:tcBorders>
            <w:shd w:val="clear" w:color="auto" w:fill="auto"/>
            <w:noWrap/>
            <w:vAlign w:val="center"/>
            <w:hideMark/>
          </w:tcPr>
          <w:p w14:paraId="4D7B7651"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11</w:t>
            </w:r>
          </w:p>
        </w:tc>
        <w:tc>
          <w:tcPr>
            <w:tcW w:w="2665" w:type="dxa"/>
            <w:tcBorders>
              <w:top w:val="nil"/>
              <w:bottom w:val="single" w:sz="4" w:space="0" w:color="auto"/>
              <w:right w:val="single" w:sz="4" w:space="0" w:color="auto"/>
            </w:tcBorders>
            <w:shd w:val="clear" w:color="auto" w:fill="auto"/>
            <w:noWrap/>
            <w:vAlign w:val="center"/>
            <w:hideMark/>
          </w:tcPr>
          <w:p w14:paraId="1476CD55"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C ≤ 5</w:t>
            </w:r>
          </w:p>
        </w:tc>
      </w:tr>
    </w:tbl>
    <w:p w14:paraId="739AF999" w14:textId="77777777" w:rsidR="00733F07" w:rsidRPr="000C4E18" w:rsidRDefault="00733F07" w:rsidP="00733F07"/>
    <w:p w14:paraId="1B665E37" w14:textId="77777777" w:rsidR="00733F07" w:rsidRPr="006466E2" w:rsidRDefault="00733F07" w:rsidP="00733F07">
      <w:pPr>
        <w:rPr>
          <w:i/>
          <w:lang w:val="en-US"/>
        </w:rPr>
      </w:pPr>
      <w:r w:rsidRPr="006466E2">
        <w:rPr>
          <w:i/>
          <w:lang w:val="en-US"/>
        </w:rPr>
        <w:t xml:space="preserve">Table </w:t>
      </w:r>
      <w:r>
        <w:rPr>
          <w:i/>
          <w:lang w:val="en-US"/>
        </w:rPr>
        <w:t>S2</w:t>
      </w:r>
      <w:r w:rsidRPr="006466E2">
        <w:rPr>
          <w:i/>
          <w:lang w:val="en-US"/>
        </w:rPr>
        <w:t xml:space="preserve"> - Classification of the wells based on the nitrate concentration </w:t>
      </w:r>
      <w:r>
        <w:rPr>
          <w:i/>
          <w:lang w:val="en-US"/>
        </w:rPr>
        <w:t>trend of the period 2001–2011.</w:t>
      </w:r>
    </w:p>
    <w:tbl>
      <w:tblPr>
        <w:tblW w:w="4745" w:type="dxa"/>
        <w:jc w:val="center"/>
        <w:tblCellMar>
          <w:left w:w="70" w:type="dxa"/>
          <w:right w:w="70" w:type="dxa"/>
        </w:tblCellMar>
        <w:tblLook w:val="04A0" w:firstRow="1" w:lastRow="0" w:firstColumn="1" w:lastColumn="0" w:noHBand="0" w:noVBand="1"/>
      </w:tblPr>
      <w:tblGrid>
        <w:gridCol w:w="2080"/>
        <w:gridCol w:w="2665"/>
      </w:tblGrid>
      <w:tr w:rsidR="00733F07" w:rsidRPr="00733F07" w14:paraId="4762E8F0" w14:textId="77777777" w:rsidTr="00A87DC9">
        <w:trPr>
          <w:trHeight w:val="454"/>
          <w:jc w:val="center"/>
        </w:trPr>
        <w:tc>
          <w:tcPr>
            <w:tcW w:w="2080" w:type="dxa"/>
            <w:tcBorders>
              <w:top w:val="single" w:sz="4" w:space="0" w:color="auto"/>
              <w:left w:val="single" w:sz="4" w:space="0" w:color="auto"/>
              <w:bottom w:val="single" w:sz="4" w:space="0" w:color="auto"/>
              <w:right w:val="nil"/>
            </w:tcBorders>
            <w:shd w:val="clear" w:color="auto" w:fill="auto"/>
            <w:noWrap/>
            <w:vAlign w:val="center"/>
            <w:hideMark/>
          </w:tcPr>
          <w:p w14:paraId="413932BB" w14:textId="77777777" w:rsidR="00733F07" w:rsidRPr="00554C30" w:rsidRDefault="00733F07" w:rsidP="00A87DC9">
            <w:pPr>
              <w:spacing w:line="240" w:lineRule="auto"/>
              <w:jc w:val="center"/>
              <w:rPr>
                <w:rFonts w:eastAsia="Times New Roman" w:cs="Arial"/>
                <w:b/>
                <w:bCs/>
                <w:color w:val="000000"/>
                <w:szCs w:val="21"/>
                <w:lang w:val="en-US" w:eastAsia="it-IT"/>
              </w:rPr>
            </w:pPr>
            <w:r w:rsidRPr="00554C30">
              <w:rPr>
                <w:rFonts w:eastAsia="Times New Roman" w:cs="Arial"/>
                <w:b/>
                <w:bCs/>
                <w:color w:val="000000"/>
                <w:szCs w:val="21"/>
                <w:lang w:val="en-US" w:eastAsia="it-IT"/>
              </w:rPr>
              <w:t>Trend class</w:t>
            </w:r>
          </w:p>
        </w:tc>
        <w:tc>
          <w:tcPr>
            <w:tcW w:w="2665" w:type="dxa"/>
            <w:tcBorders>
              <w:top w:val="single" w:sz="4" w:space="0" w:color="auto"/>
              <w:left w:val="nil"/>
              <w:bottom w:val="single" w:sz="4" w:space="0" w:color="auto"/>
              <w:right w:val="single" w:sz="4" w:space="0" w:color="auto"/>
            </w:tcBorders>
            <w:shd w:val="clear" w:color="auto" w:fill="auto"/>
            <w:vAlign w:val="center"/>
            <w:hideMark/>
          </w:tcPr>
          <w:p w14:paraId="4A5C061A" w14:textId="77777777" w:rsidR="00733F07" w:rsidRPr="00554C30" w:rsidRDefault="00733F07" w:rsidP="00A87DC9">
            <w:pPr>
              <w:spacing w:line="240" w:lineRule="auto"/>
              <w:jc w:val="center"/>
              <w:rPr>
                <w:rFonts w:eastAsia="Times New Roman" w:cs="Arial"/>
                <w:b/>
                <w:bCs/>
                <w:color w:val="000000"/>
                <w:szCs w:val="21"/>
                <w:lang w:val="en-US" w:eastAsia="it-IT"/>
              </w:rPr>
            </w:pPr>
            <w:r w:rsidRPr="00554C30">
              <w:rPr>
                <w:rFonts w:eastAsia="Times New Roman" w:cs="Arial"/>
                <w:b/>
                <w:bCs/>
                <w:color w:val="000000"/>
                <w:szCs w:val="21"/>
                <w:lang w:val="en-US" w:eastAsia="it-IT"/>
              </w:rPr>
              <w:t>Trend in mg/L per day</w:t>
            </w:r>
          </w:p>
        </w:tc>
      </w:tr>
      <w:tr w:rsidR="00733F07" w:rsidRPr="00554C30" w14:paraId="445DBA44"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388F22B1"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1</w:t>
            </w:r>
          </w:p>
        </w:tc>
        <w:tc>
          <w:tcPr>
            <w:tcW w:w="2665" w:type="dxa"/>
            <w:tcBorders>
              <w:top w:val="nil"/>
              <w:left w:val="nil"/>
              <w:bottom w:val="nil"/>
              <w:right w:val="single" w:sz="4" w:space="0" w:color="auto"/>
            </w:tcBorders>
            <w:shd w:val="clear" w:color="auto" w:fill="auto"/>
            <w:noWrap/>
            <w:vAlign w:val="center"/>
            <w:hideMark/>
          </w:tcPr>
          <w:p w14:paraId="6632C288"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T &gt; + 0.0015</w:t>
            </w:r>
          </w:p>
        </w:tc>
      </w:tr>
      <w:tr w:rsidR="00733F07" w:rsidRPr="00554C30" w14:paraId="1580FB6B"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5ABF9AE4"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2</w:t>
            </w:r>
          </w:p>
        </w:tc>
        <w:tc>
          <w:tcPr>
            <w:tcW w:w="2665" w:type="dxa"/>
            <w:tcBorders>
              <w:top w:val="nil"/>
              <w:left w:val="nil"/>
              <w:bottom w:val="nil"/>
              <w:right w:val="single" w:sz="4" w:space="0" w:color="auto"/>
            </w:tcBorders>
            <w:shd w:val="clear" w:color="auto" w:fill="auto"/>
            <w:noWrap/>
            <w:vAlign w:val="center"/>
            <w:hideMark/>
          </w:tcPr>
          <w:p w14:paraId="03A61504"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+ 0.0003 &lt; T ≤ + 0.0015</w:t>
            </w:r>
          </w:p>
        </w:tc>
      </w:tr>
      <w:tr w:rsidR="00733F07" w:rsidRPr="00554C30" w14:paraId="106635C0"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1039FDDB"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3</w:t>
            </w:r>
          </w:p>
        </w:tc>
        <w:tc>
          <w:tcPr>
            <w:tcW w:w="2665" w:type="dxa"/>
            <w:tcBorders>
              <w:top w:val="nil"/>
              <w:left w:val="nil"/>
              <w:bottom w:val="nil"/>
              <w:right w:val="single" w:sz="4" w:space="0" w:color="auto"/>
            </w:tcBorders>
            <w:shd w:val="clear" w:color="auto" w:fill="auto"/>
            <w:noWrap/>
            <w:vAlign w:val="center"/>
            <w:hideMark/>
          </w:tcPr>
          <w:p w14:paraId="1BCC8710"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 0.0003 &lt; T ≤ + 0.0003</w:t>
            </w:r>
          </w:p>
        </w:tc>
      </w:tr>
      <w:tr w:rsidR="00733F07" w:rsidRPr="00554C30" w14:paraId="55F8C04A" w14:textId="77777777" w:rsidTr="00A87DC9">
        <w:trPr>
          <w:trHeight w:val="340"/>
          <w:jc w:val="center"/>
        </w:trPr>
        <w:tc>
          <w:tcPr>
            <w:tcW w:w="2080" w:type="dxa"/>
            <w:tcBorders>
              <w:top w:val="nil"/>
              <w:left w:val="single" w:sz="4" w:space="0" w:color="auto"/>
              <w:bottom w:val="nil"/>
              <w:right w:val="nil"/>
            </w:tcBorders>
            <w:shd w:val="clear" w:color="auto" w:fill="auto"/>
            <w:noWrap/>
            <w:vAlign w:val="center"/>
            <w:hideMark/>
          </w:tcPr>
          <w:p w14:paraId="3C28BE6C"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4</w:t>
            </w:r>
          </w:p>
        </w:tc>
        <w:tc>
          <w:tcPr>
            <w:tcW w:w="2665" w:type="dxa"/>
            <w:tcBorders>
              <w:top w:val="nil"/>
              <w:left w:val="nil"/>
              <w:bottom w:val="nil"/>
              <w:right w:val="single" w:sz="4" w:space="0" w:color="auto"/>
            </w:tcBorders>
            <w:shd w:val="clear" w:color="auto" w:fill="auto"/>
            <w:noWrap/>
            <w:vAlign w:val="center"/>
            <w:hideMark/>
          </w:tcPr>
          <w:p w14:paraId="021E0D81"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 0.0015 &lt; T ≤ – 0.0003</w:t>
            </w:r>
          </w:p>
        </w:tc>
      </w:tr>
      <w:tr w:rsidR="00733F07" w:rsidRPr="00554C30" w14:paraId="1F100FC3" w14:textId="77777777" w:rsidTr="00A87DC9">
        <w:trPr>
          <w:trHeight w:val="340"/>
          <w:jc w:val="center"/>
        </w:trPr>
        <w:tc>
          <w:tcPr>
            <w:tcW w:w="2080" w:type="dxa"/>
            <w:tcBorders>
              <w:top w:val="nil"/>
              <w:left w:val="single" w:sz="4" w:space="0" w:color="auto"/>
              <w:bottom w:val="single" w:sz="4" w:space="0" w:color="auto"/>
              <w:right w:val="nil"/>
            </w:tcBorders>
            <w:shd w:val="clear" w:color="auto" w:fill="auto"/>
            <w:noWrap/>
            <w:vAlign w:val="center"/>
            <w:hideMark/>
          </w:tcPr>
          <w:p w14:paraId="42F5BA17"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5</w:t>
            </w:r>
          </w:p>
        </w:tc>
        <w:tc>
          <w:tcPr>
            <w:tcW w:w="2665" w:type="dxa"/>
            <w:tcBorders>
              <w:top w:val="nil"/>
              <w:left w:val="nil"/>
              <w:bottom w:val="single" w:sz="4" w:space="0" w:color="auto"/>
              <w:right w:val="single" w:sz="4" w:space="0" w:color="auto"/>
            </w:tcBorders>
            <w:shd w:val="clear" w:color="auto" w:fill="auto"/>
            <w:noWrap/>
            <w:vAlign w:val="center"/>
            <w:hideMark/>
          </w:tcPr>
          <w:p w14:paraId="67F0E1B7" w14:textId="77777777" w:rsidR="00733F07" w:rsidRPr="00554C30" w:rsidRDefault="00733F07" w:rsidP="00A87DC9">
            <w:pPr>
              <w:spacing w:line="240" w:lineRule="auto"/>
              <w:jc w:val="center"/>
              <w:rPr>
                <w:rFonts w:eastAsia="Times New Roman" w:cs="Arial"/>
                <w:color w:val="000000"/>
                <w:szCs w:val="21"/>
                <w:lang w:val="en-US" w:eastAsia="it-IT"/>
              </w:rPr>
            </w:pPr>
            <w:r w:rsidRPr="00554C30">
              <w:rPr>
                <w:rFonts w:eastAsia="Times New Roman" w:cs="Arial"/>
                <w:color w:val="000000"/>
                <w:szCs w:val="21"/>
                <w:lang w:val="en-US" w:eastAsia="it-IT"/>
              </w:rPr>
              <w:t>T ≤ – 0.0015</w:t>
            </w:r>
          </w:p>
        </w:tc>
      </w:tr>
    </w:tbl>
    <w:p w14:paraId="46395CFE" w14:textId="77777777" w:rsidR="00733F07" w:rsidRPr="000C4E18" w:rsidRDefault="00733F07" w:rsidP="00733F07">
      <w:pPr>
        <w:spacing w:line="360" w:lineRule="auto"/>
      </w:pPr>
    </w:p>
    <w:p w14:paraId="2C275DDD" w14:textId="77777777" w:rsidR="00733F07" w:rsidRDefault="00733F07" w:rsidP="00733F07">
      <w:pPr>
        <w:pStyle w:val="Titolo1"/>
        <w:numPr>
          <w:ilvl w:val="0"/>
          <w:numId w:val="0"/>
        </w:numPr>
        <w:ind w:left="432" w:hanging="432"/>
      </w:pPr>
      <w:bookmarkStart w:id="1" w:name="_GoBack"/>
      <w:bookmarkEnd w:id="1"/>
      <w:r>
        <w:t>References</w:t>
      </w:r>
    </w:p>
    <w:p w14:paraId="21B199CD" w14:textId="4E2F0F80" w:rsidR="00733F07" w:rsidRPr="00733F07" w:rsidRDefault="00733F07" w:rsidP="00733F07">
      <w:pPr>
        <w:spacing w:line="360" w:lineRule="auto"/>
        <w:ind w:left="284" w:hanging="284"/>
      </w:pPr>
      <w:r w:rsidRPr="001C4A69">
        <w:rPr>
          <w:lang w:val="en-US"/>
        </w:rPr>
        <w:t xml:space="preserve">Sorichetta A., 2011. Groundwater vulnerability assessment using statistical methods. </w:t>
      </w:r>
      <w:r w:rsidRPr="000E20FC">
        <w:t>Università degli Studi di Milano, Academic year 2010, 141 pp. http://hdl.handle.net/2434/152913</w:t>
      </w:r>
    </w:p>
    <w:sectPr w:rsidR="00733F07" w:rsidRPr="00733F07" w:rsidSect="00733F07">
      <w:footerReference w:type="default" r:id="rId15"/>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53D61" w14:textId="77777777" w:rsidR="000C198D" w:rsidRDefault="000C198D">
      <w:pPr>
        <w:spacing w:line="240" w:lineRule="auto"/>
      </w:pPr>
      <w:r>
        <w:separator/>
      </w:r>
    </w:p>
  </w:endnote>
  <w:endnote w:type="continuationSeparator" w:id="0">
    <w:p w14:paraId="73EF995A" w14:textId="77777777" w:rsidR="000C198D" w:rsidRDefault="000C19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ltfxbAdvTT3713a231">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791607"/>
      <w:docPartObj>
        <w:docPartGallery w:val="Page Numbers (Bottom of Page)"/>
        <w:docPartUnique/>
      </w:docPartObj>
    </w:sdtPr>
    <w:sdtEndPr/>
    <w:sdtContent>
      <w:p w14:paraId="21A53F8D" w14:textId="576C2F05" w:rsidR="00CD456E" w:rsidRDefault="0061220F">
        <w:pPr>
          <w:pStyle w:val="Pidipagina"/>
          <w:jc w:val="right"/>
        </w:pPr>
        <w:r>
          <w:fldChar w:fldCharType="begin"/>
        </w:r>
        <w:r>
          <w:instrText>PAGE   \* MERGEFORMAT</w:instrText>
        </w:r>
        <w:r>
          <w:fldChar w:fldCharType="separate"/>
        </w:r>
        <w:r w:rsidR="00733F07">
          <w:rPr>
            <w:noProof/>
          </w:rPr>
          <w:t>24</w:t>
        </w:r>
        <w:r>
          <w:fldChar w:fldCharType="end"/>
        </w:r>
      </w:p>
    </w:sdtContent>
  </w:sdt>
  <w:p w14:paraId="5B83B8E5" w14:textId="77777777" w:rsidR="00CD456E" w:rsidRDefault="000C198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3DEC8" w14:textId="77777777" w:rsidR="000C198D" w:rsidRDefault="000C198D">
      <w:pPr>
        <w:spacing w:line="240" w:lineRule="auto"/>
      </w:pPr>
      <w:r>
        <w:separator/>
      </w:r>
    </w:p>
  </w:footnote>
  <w:footnote w:type="continuationSeparator" w:id="0">
    <w:p w14:paraId="4196FDC3" w14:textId="77777777" w:rsidR="000C198D" w:rsidRDefault="000C19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C556C"/>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 w15:restartNumberingAfterBreak="0">
    <w:nsid w:val="18633D17"/>
    <w:multiLevelType w:val="hybridMultilevel"/>
    <w:tmpl w:val="1C30CE5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0371BFB"/>
    <w:multiLevelType w:val="hybridMultilevel"/>
    <w:tmpl w:val="1D349802"/>
    <w:lvl w:ilvl="0" w:tplc="436CF4C8">
      <w:start w:val="1"/>
      <w:numFmt w:val="lowerLetter"/>
      <w:lvlText w:val="%1)"/>
      <w:lvlJc w:val="left"/>
      <w:pPr>
        <w:ind w:left="720" w:hanging="360"/>
      </w:pPr>
      <w:rPr>
        <w:rFonts w:hint="default"/>
        <w:b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CF14A24"/>
    <w:multiLevelType w:val="hybridMultilevel"/>
    <w:tmpl w:val="F410C8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2A05D93"/>
    <w:multiLevelType w:val="hybridMultilevel"/>
    <w:tmpl w:val="7E086A56"/>
    <w:lvl w:ilvl="0" w:tplc="D018AF8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2CB4060"/>
    <w:multiLevelType w:val="hybridMultilevel"/>
    <w:tmpl w:val="3E0CCF7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AE940A3"/>
    <w:multiLevelType w:val="hybridMultilevel"/>
    <w:tmpl w:val="4684A204"/>
    <w:lvl w:ilvl="0" w:tplc="1AD26E7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A630D13"/>
    <w:multiLevelType w:val="multilevel"/>
    <w:tmpl w:val="7CFC70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BCD3DF5"/>
    <w:multiLevelType w:val="hybridMultilevel"/>
    <w:tmpl w:val="DA32483E"/>
    <w:lvl w:ilvl="0" w:tplc="D10C651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8CE210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BC52E4D"/>
    <w:multiLevelType w:val="hybridMultilevel"/>
    <w:tmpl w:val="170CA9C2"/>
    <w:lvl w:ilvl="0" w:tplc="269EF78A">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8A360E3"/>
    <w:multiLevelType w:val="multilevel"/>
    <w:tmpl w:val="7CFC70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9F15ED5"/>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B065AE5"/>
    <w:multiLevelType w:val="hybridMultilevel"/>
    <w:tmpl w:val="5EDEF744"/>
    <w:lvl w:ilvl="0" w:tplc="063A3AC0">
      <w:start w:val="6"/>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11"/>
  </w:num>
  <w:num w:numId="5">
    <w:abstractNumId w:val="7"/>
  </w:num>
  <w:num w:numId="6">
    <w:abstractNumId w:val="8"/>
  </w:num>
  <w:num w:numId="7">
    <w:abstractNumId w:val="3"/>
  </w:num>
  <w:num w:numId="8">
    <w:abstractNumId w:val="0"/>
  </w:num>
  <w:num w:numId="9">
    <w:abstractNumId w:val="4"/>
  </w:num>
  <w:num w:numId="10">
    <w:abstractNumId w:val="13"/>
  </w:num>
  <w:num w:numId="11">
    <w:abstractNumId w:val="5"/>
  </w:num>
  <w:num w:numId="12">
    <w:abstractNumId w:val="6"/>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20F"/>
    <w:rsid w:val="00037827"/>
    <w:rsid w:val="000C198D"/>
    <w:rsid w:val="0022648F"/>
    <w:rsid w:val="0027234C"/>
    <w:rsid w:val="002E6785"/>
    <w:rsid w:val="004A7112"/>
    <w:rsid w:val="005F3B8D"/>
    <w:rsid w:val="0061220F"/>
    <w:rsid w:val="006D537F"/>
    <w:rsid w:val="006E46B8"/>
    <w:rsid w:val="00733F07"/>
    <w:rsid w:val="00771667"/>
    <w:rsid w:val="00785142"/>
    <w:rsid w:val="007945DE"/>
    <w:rsid w:val="008C69C6"/>
    <w:rsid w:val="00930B10"/>
    <w:rsid w:val="00975353"/>
    <w:rsid w:val="009E66A5"/>
    <w:rsid w:val="00B000D1"/>
    <w:rsid w:val="00B42F92"/>
    <w:rsid w:val="00C2050E"/>
    <w:rsid w:val="00D3626A"/>
    <w:rsid w:val="00D96A50"/>
    <w:rsid w:val="00DB12B6"/>
    <w:rsid w:val="00DC6F91"/>
    <w:rsid w:val="00F016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B3C2BD"/>
  <w14:defaultImageDpi w14:val="300"/>
  <w15:docId w15:val="{56599E94-4554-4625-8EAA-29394BE8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1220F"/>
    <w:pPr>
      <w:spacing w:line="480" w:lineRule="auto"/>
      <w:jc w:val="both"/>
    </w:pPr>
    <w:rPr>
      <w:sz w:val="22"/>
      <w:szCs w:val="22"/>
      <w:lang w:val="it-IT"/>
    </w:rPr>
  </w:style>
  <w:style w:type="paragraph" w:styleId="Titolo1">
    <w:name w:val="heading 1"/>
    <w:basedOn w:val="Normale"/>
    <w:next w:val="Normale"/>
    <w:link w:val="Titolo1Carattere"/>
    <w:uiPriority w:val="9"/>
    <w:qFormat/>
    <w:rsid w:val="0061220F"/>
    <w:pPr>
      <w:keepNext/>
      <w:keepLines/>
      <w:numPr>
        <w:numId w:val="8"/>
      </w:numPr>
      <w:spacing w:before="120" w:after="120" w:line="360" w:lineRule="auto"/>
      <w:outlineLvl w:val="0"/>
    </w:pPr>
    <w:rPr>
      <w:rFonts w:asciiTheme="majorHAnsi" w:eastAsiaTheme="majorEastAsia" w:hAnsiTheme="majorHAnsi" w:cstheme="majorBidi"/>
      <w:b/>
      <w:bCs/>
      <w:spacing w:val="4"/>
      <w:sz w:val="24"/>
      <w:szCs w:val="28"/>
      <w:lang w:val="en-US"/>
    </w:rPr>
  </w:style>
  <w:style w:type="paragraph" w:styleId="Titolo2">
    <w:name w:val="heading 2"/>
    <w:basedOn w:val="Normale"/>
    <w:next w:val="Normale"/>
    <w:link w:val="Titolo2Carattere"/>
    <w:uiPriority w:val="9"/>
    <w:unhideWhenUsed/>
    <w:qFormat/>
    <w:rsid w:val="0061220F"/>
    <w:pPr>
      <w:keepNext/>
      <w:keepLines/>
      <w:numPr>
        <w:ilvl w:val="1"/>
        <w:numId w:val="8"/>
      </w:numPr>
      <w:spacing w:before="120" w:after="120" w:line="360" w:lineRule="auto"/>
      <w:ind w:left="1145" w:hanging="578"/>
      <w:outlineLvl w:val="1"/>
    </w:pPr>
    <w:rPr>
      <w:rFonts w:asciiTheme="majorHAnsi" w:eastAsiaTheme="majorEastAsia" w:hAnsiTheme="majorHAnsi" w:cstheme="majorBidi"/>
      <w:b/>
      <w:bCs/>
      <w:szCs w:val="28"/>
      <w:lang w:val="en-US"/>
    </w:rPr>
  </w:style>
  <w:style w:type="paragraph" w:styleId="Titolo3">
    <w:name w:val="heading 3"/>
    <w:basedOn w:val="Normale"/>
    <w:next w:val="Normale"/>
    <w:link w:val="Titolo3Carattere"/>
    <w:uiPriority w:val="9"/>
    <w:semiHidden/>
    <w:unhideWhenUsed/>
    <w:qFormat/>
    <w:rsid w:val="0061220F"/>
    <w:pPr>
      <w:keepNext/>
      <w:keepLines/>
      <w:numPr>
        <w:ilvl w:val="2"/>
        <w:numId w:val="8"/>
      </w:numPr>
      <w:spacing w:before="120"/>
      <w:outlineLvl w:val="2"/>
    </w:pPr>
    <w:rPr>
      <w:rFonts w:asciiTheme="majorHAnsi" w:eastAsiaTheme="majorEastAsia" w:hAnsiTheme="majorHAnsi" w:cstheme="majorBidi"/>
      <w:spacing w:val="4"/>
      <w:sz w:val="24"/>
      <w:szCs w:val="24"/>
    </w:rPr>
  </w:style>
  <w:style w:type="paragraph" w:styleId="Titolo4">
    <w:name w:val="heading 4"/>
    <w:basedOn w:val="Normale"/>
    <w:next w:val="Normale"/>
    <w:link w:val="Titolo4Carattere"/>
    <w:uiPriority w:val="9"/>
    <w:semiHidden/>
    <w:unhideWhenUsed/>
    <w:qFormat/>
    <w:rsid w:val="0061220F"/>
    <w:pPr>
      <w:keepNext/>
      <w:keepLines/>
      <w:numPr>
        <w:ilvl w:val="3"/>
        <w:numId w:val="8"/>
      </w:numPr>
      <w:spacing w:before="120"/>
      <w:outlineLvl w:val="3"/>
    </w:pPr>
    <w:rPr>
      <w:rFonts w:asciiTheme="majorHAnsi" w:eastAsiaTheme="majorEastAsia" w:hAnsiTheme="majorHAnsi" w:cstheme="majorBidi"/>
      <w:i/>
      <w:iCs/>
      <w:sz w:val="24"/>
      <w:szCs w:val="24"/>
    </w:rPr>
  </w:style>
  <w:style w:type="paragraph" w:styleId="Titolo5">
    <w:name w:val="heading 5"/>
    <w:basedOn w:val="Normale"/>
    <w:next w:val="Normale"/>
    <w:link w:val="Titolo5Carattere"/>
    <w:uiPriority w:val="9"/>
    <w:semiHidden/>
    <w:unhideWhenUsed/>
    <w:qFormat/>
    <w:rsid w:val="0061220F"/>
    <w:pPr>
      <w:keepNext/>
      <w:keepLines/>
      <w:numPr>
        <w:ilvl w:val="4"/>
        <w:numId w:val="8"/>
      </w:numPr>
      <w:spacing w:before="120"/>
      <w:outlineLvl w:val="4"/>
    </w:pPr>
    <w:rPr>
      <w:rFonts w:asciiTheme="majorHAnsi" w:eastAsiaTheme="majorEastAsia" w:hAnsiTheme="majorHAnsi" w:cstheme="majorBidi"/>
      <w:b/>
      <w:bCs/>
    </w:rPr>
  </w:style>
  <w:style w:type="paragraph" w:styleId="Titolo6">
    <w:name w:val="heading 6"/>
    <w:basedOn w:val="Normale"/>
    <w:next w:val="Normale"/>
    <w:link w:val="Titolo6Carattere"/>
    <w:uiPriority w:val="9"/>
    <w:semiHidden/>
    <w:unhideWhenUsed/>
    <w:qFormat/>
    <w:rsid w:val="0061220F"/>
    <w:pPr>
      <w:keepNext/>
      <w:keepLines/>
      <w:numPr>
        <w:ilvl w:val="5"/>
        <w:numId w:val="8"/>
      </w:numPr>
      <w:spacing w:before="120"/>
      <w:outlineLvl w:val="5"/>
    </w:pPr>
    <w:rPr>
      <w:rFonts w:asciiTheme="majorHAnsi" w:eastAsiaTheme="majorEastAsia" w:hAnsiTheme="majorHAnsi" w:cstheme="majorBidi"/>
      <w:b/>
      <w:bCs/>
      <w:i/>
      <w:iCs/>
    </w:rPr>
  </w:style>
  <w:style w:type="paragraph" w:styleId="Titolo7">
    <w:name w:val="heading 7"/>
    <w:basedOn w:val="Normale"/>
    <w:next w:val="Normale"/>
    <w:link w:val="Titolo7Carattere"/>
    <w:uiPriority w:val="9"/>
    <w:semiHidden/>
    <w:unhideWhenUsed/>
    <w:qFormat/>
    <w:rsid w:val="0061220F"/>
    <w:pPr>
      <w:keepNext/>
      <w:keepLines/>
      <w:numPr>
        <w:ilvl w:val="6"/>
        <w:numId w:val="8"/>
      </w:numPr>
      <w:spacing w:before="120"/>
      <w:outlineLvl w:val="6"/>
    </w:pPr>
    <w:rPr>
      <w:i/>
      <w:iCs/>
    </w:rPr>
  </w:style>
  <w:style w:type="paragraph" w:styleId="Titolo8">
    <w:name w:val="heading 8"/>
    <w:basedOn w:val="Normale"/>
    <w:next w:val="Normale"/>
    <w:link w:val="Titolo8Carattere"/>
    <w:uiPriority w:val="9"/>
    <w:semiHidden/>
    <w:unhideWhenUsed/>
    <w:qFormat/>
    <w:rsid w:val="0061220F"/>
    <w:pPr>
      <w:keepNext/>
      <w:keepLines/>
      <w:numPr>
        <w:ilvl w:val="7"/>
        <w:numId w:val="8"/>
      </w:numPr>
      <w:spacing w:before="120"/>
      <w:outlineLvl w:val="7"/>
    </w:pPr>
    <w:rPr>
      <w:b/>
      <w:bCs/>
    </w:rPr>
  </w:style>
  <w:style w:type="paragraph" w:styleId="Titolo9">
    <w:name w:val="heading 9"/>
    <w:basedOn w:val="Normale"/>
    <w:next w:val="Normale"/>
    <w:link w:val="Titolo9Carattere"/>
    <w:uiPriority w:val="9"/>
    <w:semiHidden/>
    <w:unhideWhenUsed/>
    <w:qFormat/>
    <w:rsid w:val="0061220F"/>
    <w:pPr>
      <w:keepNext/>
      <w:keepLines/>
      <w:numPr>
        <w:ilvl w:val="8"/>
        <w:numId w:val="8"/>
      </w:numPr>
      <w:spacing w:before="120"/>
      <w:outlineLvl w:val="8"/>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1220F"/>
    <w:rPr>
      <w:rFonts w:asciiTheme="majorHAnsi" w:eastAsiaTheme="majorEastAsia" w:hAnsiTheme="majorHAnsi" w:cstheme="majorBidi"/>
      <w:b/>
      <w:bCs/>
      <w:spacing w:val="4"/>
      <w:szCs w:val="28"/>
    </w:rPr>
  </w:style>
  <w:style w:type="character" w:customStyle="1" w:styleId="Titolo2Carattere">
    <w:name w:val="Titolo 2 Carattere"/>
    <w:basedOn w:val="Carpredefinitoparagrafo"/>
    <w:link w:val="Titolo2"/>
    <w:uiPriority w:val="9"/>
    <w:rsid w:val="0061220F"/>
    <w:rPr>
      <w:rFonts w:asciiTheme="majorHAnsi" w:eastAsiaTheme="majorEastAsia" w:hAnsiTheme="majorHAnsi" w:cstheme="majorBidi"/>
      <w:b/>
      <w:bCs/>
      <w:sz w:val="22"/>
      <w:szCs w:val="28"/>
    </w:rPr>
  </w:style>
  <w:style w:type="character" w:customStyle="1" w:styleId="Titolo3Carattere">
    <w:name w:val="Titolo 3 Carattere"/>
    <w:basedOn w:val="Carpredefinitoparagrafo"/>
    <w:link w:val="Titolo3"/>
    <w:uiPriority w:val="9"/>
    <w:semiHidden/>
    <w:rsid w:val="0061220F"/>
    <w:rPr>
      <w:rFonts w:asciiTheme="majorHAnsi" w:eastAsiaTheme="majorEastAsia" w:hAnsiTheme="majorHAnsi" w:cstheme="majorBidi"/>
      <w:spacing w:val="4"/>
      <w:lang w:val="it-IT"/>
    </w:rPr>
  </w:style>
  <w:style w:type="character" w:customStyle="1" w:styleId="Titolo4Carattere">
    <w:name w:val="Titolo 4 Carattere"/>
    <w:basedOn w:val="Carpredefinitoparagrafo"/>
    <w:link w:val="Titolo4"/>
    <w:uiPriority w:val="9"/>
    <w:semiHidden/>
    <w:rsid w:val="0061220F"/>
    <w:rPr>
      <w:rFonts w:asciiTheme="majorHAnsi" w:eastAsiaTheme="majorEastAsia" w:hAnsiTheme="majorHAnsi" w:cstheme="majorBidi"/>
      <w:i/>
      <w:iCs/>
      <w:lang w:val="it-IT"/>
    </w:rPr>
  </w:style>
  <w:style w:type="character" w:customStyle="1" w:styleId="Titolo5Carattere">
    <w:name w:val="Titolo 5 Carattere"/>
    <w:basedOn w:val="Carpredefinitoparagrafo"/>
    <w:link w:val="Titolo5"/>
    <w:uiPriority w:val="9"/>
    <w:semiHidden/>
    <w:rsid w:val="0061220F"/>
    <w:rPr>
      <w:rFonts w:asciiTheme="majorHAnsi" w:eastAsiaTheme="majorEastAsia" w:hAnsiTheme="majorHAnsi" w:cstheme="majorBidi"/>
      <w:b/>
      <w:bCs/>
      <w:sz w:val="22"/>
      <w:szCs w:val="22"/>
      <w:lang w:val="it-IT"/>
    </w:rPr>
  </w:style>
  <w:style w:type="character" w:customStyle="1" w:styleId="Titolo6Carattere">
    <w:name w:val="Titolo 6 Carattere"/>
    <w:basedOn w:val="Carpredefinitoparagrafo"/>
    <w:link w:val="Titolo6"/>
    <w:uiPriority w:val="9"/>
    <w:semiHidden/>
    <w:rsid w:val="0061220F"/>
    <w:rPr>
      <w:rFonts w:asciiTheme="majorHAnsi" w:eastAsiaTheme="majorEastAsia" w:hAnsiTheme="majorHAnsi" w:cstheme="majorBidi"/>
      <w:b/>
      <w:bCs/>
      <w:i/>
      <w:iCs/>
      <w:sz w:val="22"/>
      <w:szCs w:val="22"/>
      <w:lang w:val="it-IT"/>
    </w:rPr>
  </w:style>
  <w:style w:type="character" w:customStyle="1" w:styleId="Titolo7Carattere">
    <w:name w:val="Titolo 7 Carattere"/>
    <w:basedOn w:val="Carpredefinitoparagrafo"/>
    <w:link w:val="Titolo7"/>
    <w:uiPriority w:val="9"/>
    <w:semiHidden/>
    <w:rsid w:val="0061220F"/>
    <w:rPr>
      <w:i/>
      <w:iCs/>
      <w:sz w:val="22"/>
      <w:szCs w:val="22"/>
      <w:lang w:val="it-IT"/>
    </w:rPr>
  </w:style>
  <w:style w:type="character" w:customStyle="1" w:styleId="Titolo8Carattere">
    <w:name w:val="Titolo 8 Carattere"/>
    <w:basedOn w:val="Carpredefinitoparagrafo"/>
    <w:link w:val="Titolo8"/>
    <w:uiPriority w:val="9"/>
    <w:semiHidden/>
    <w:rsid w:val="0061220F"/>
    <w:rPr>
      <w:b/>
      <w:bCs/>
      <w:sz w:val="22"/>
      <w:szCs w:val="22"/>
      <w:lang w:val="it-IT"/>
    </w:rPr>
  </w:style>
  <w:style w:type="character" w:customStyle="1" w:styleId="Titolo9Carattere">
    <w:name w:val="Titolo 9 Carattere"/>
    <w:basedOn w:val="Carpredefinitoparagrafo"/>
    <w:link w:val="Titolo9"/>
    <w:uiPriority w:val="9"/>
    <w:semiHidden/>
    <w:rsid w:val="0061220F"/>
    <w:rPr>
      <w:i/>
      <w:iCs/>
      <w:sz w:val="22"/>
      <w:szCs w:val="22"/>
      <w:lang w:val="it-IT"/>
    </w:rPr>
  </w:style>
  <w:style w:type="paragraph" w:styleId="Didascalia">
    <w:name w:val="caption"/>
    <w:basedOn w:val="Normale"/>
    <w:next w:val="Normale"/>
    <w:uiPriority w:val="35"/>
    <w:semiHidden/>
    <w:unhideWhenUsed/>
    <w:qFormat/>
    <w:rsid w:val="0061220F"/>
    <w:rPr>
      <w:b/>
      <w:bCs/>
      <w:sz w:val="18"/>
      <w:szCs w:val="18"/>
    </w:rPr>
  </w:style>
  <w:style w:type="paragraph" w:styleId="Titolo">
    <w:name w:val="Title"/>
    <w:basedOn w:val="Normale"/>
    <w:next w:val="Normale"/>
    <w:link w:val="TitoloCarattere"/>
    <w:uiPriority w:val="10"/>
    <w:qFormat/>
    <w:rsid w:val="0061220F"/>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oloCarattere">
    <w:name w:val="Titolo Carattere"/>
    <w:basedOn w:val="Carpredefinitoparagrafo"/>
    <w:link w:val="Titolo"/>
    <w:uiPriority w:val="10"/>
    <w:rsid w:val="0061220F"/>
    <w:rPr>
      <w:rFonts w:asciiTheme="majorHAnsi" w:eastAsiaTheme="majorEastAsia" w:hAnsiTheme="majorHAnsi" w:cstheme="majorBidi"/>
      <w:b/>
      <w:bCs/>
      <w:spacing w:val="-7"/>
      <w:sz w:val="48"/>
      <w:szCs w:val="48"/>
      <w:lang w:val="it-IT"/>
    </w:rPr>
  </w:style>
  <w:style w:type="paragraph" w:styleId="Sottotitolo">
    <w:name w:val="Subtitle"/>
    <w:basedOn w:val="Normale"/>
    <w:next w:val="Normale"/>
    <w:link w:val="SottotitoloCarattere"/>
    <w:uiPriority w:val="11"/>
    <w:qFormat/>
    <w:rsid w:val="0061220F"/>
    <w:pPr>
      <w:numPr>
        <w:ilvl w:val="1"/>
      </w:numPr>
      <w:spacing w:after="240"/>
      <w:jc w:val="center"/>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61220F"/>
    <w:rPr>
      <w:rFonts w:asciiTheme="majorHAnsi" w:eastAsiaTheme="majorEastAsia" w:hAnsiTheme="majorHAnsi" w:cstheme="majorBidi"/>
      <w:lang w:val="it-IT"/>
    </w:rPr>
  </w:style>
  <w:style w:type="character" w:styleId="Enfasigrassetto">
    <w:name w:val="Strong"/>
    <w:basedOn w:val="Carpredefinitoparagrafo"/>
    <w:uiPriority w:val="22"/>
    <w:qFormat/>
    <w:rsid w:val="0061220F"/>
    <w:rPr>
      <w:b/>
      <w:bCs/>
      <w:color w:val="auto"/>
    </w:rPr>
  </w:style>
  <w:style w:type="character" w:styleId="Enfasicorsivo">
    <w:name w:val="Emphasis"/>
    <w:basedOn w:val="Carpredefinitoparagrafo"/>
    <w:uiPriority w:val="20"/>
    <w:qFormat/>
    <w:rsid w:val="0061220F"/>
    <w:rPr>
      <w:i/>
      <w:iCs/>
      <w:color w:val="auto"/>
    </w:rPr>
  </w:style>
  <w:style w:type="paragraph" w:styleId="Nessunaspaziatura">
    <w:name w:val="No Spacing"/>
    <w:uiPriority w:val="99"/>
    <w:qFormat/>
    <w:rsid w:val="0061220F"/>
    <w:pPr>
      <w:jc w:val="both"/>
    </w:pPr>
    <w:rPr>
      <w:sz w:val="22"/>
      <w:szCs w:val="22"/>
      <w:lang w:val="it-IT"/>
    </w:rPr>
  </w:style>
  <w:style w:type="paragraph" w:styleId="Citazione">
    <w:name w:val="Quote"/>
    <w:basedOn w:val="Normale"/>
    <w:next w:val="Normale"/>
    <w:link w:val="CitazioneCarattere"/>
    <w:uiPriority w:val="29"/>
    <w:qFormat/>
    <w:rsid w:val="0061220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zioneCarattere">
    <w:name w:val="Citazione Carattere"/>
    <w:basedOn w:val="Carpredefinitoparagrafo"/>
    <w:link w:val="Citazione"/>
    <w:uiPriority w:val="29"/>
    <w:rsid w:val="0061220F"/>
    <w:rPr>
      <w:rFonts w:asciiTheme="majorHAnsi" w:eastAsiaTheme="majorEastAsia" w:hAnsiTheme="majorHAnsi" w:cstheme="majorBidi"/>
      <w:i/>
      <w:iCs/>
      <w:lang w:val="it-IT"/>
    </w:rPr>
  </w:style>
  <w:style w:type="paragraph" w:styleId="Citazioneintensa">
    <w:name w:val="Intense Quote"/>
    <w:basedOn w:val="Normale"/>
    <w:next w:val="Normale"/>
    <w:link w:val="CitazioneintensaCarattere"/>
    <w:uiPriority w:val="30"/>
    <w:qFormat/>
    <w:rsid w:val="0061220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zioneintensaCarattere">
    <w:name w:val="Citazione intensa Carattere"/>
    <w:basedOn w:val="Carpredefinitoparagrafo"/>
    <w:link w:val="Citazioneintensa"/>
    <w:uiPriority w:val="30"/>
    <w:rsid w:val="0061220F"/>
    <w:rPr>
      <w:rFonts w:asciiTheme="majorHAnsi" w:eastAsiaTheme="majorEastAsia" w:hAnsiTheme="majorHAnsi" w:cstheme="majorBidi"/>
      <w:sz w:val="26"/>
      <w:szCs w:val="26"/>
      <w:lang w:val="it-IT"/>
    </w:rPr>
  </w:style>
  <w:style w:type="character" w:styleId="Enfasidelicata">
    <w:name w:val="Subtle Emphasis"/>
    <w:basedOn w:val="Carpredefinitoparagrafo"/>
    <w:uiPriority w:val="19"/>
    <w:qFormat/>
    <w:rsid w:val="0061220F"/>
    <w:rPr>
      <w:i/>
      <w:iCs/>
      <w:color w:val="auto"/>
    </w:rPr>
  </w:style>
  <w:style w:type="character" w:styleId="Enfasiintensa">
    <w:name w:val="Intense Emphasis"/>
    <w:basedOn w:val="Carpredefinitoparagrafo"/>
    <w:uiPriority w:val="21"/>
    <w:qFormat/>
    <w:rsid w:val="0061220F"/>
    <w:rPr>
      <w:b/>
      <w:bCs/>
      <w:i/>
      <w:iCs/>
      <w:color w:val="auto"/>
    </w:rPr>
  </w:style>
  <w:style w:type="character" w:styleId="Riferimentodelicato">
    <w:name w:val="Subtle Reference"/>
    <w:basedOn w:val="Carpredefinitoparagrafo"/>
    <w:uiPriority w:val="31"/>
    <w:qFormat/>
    <w:rsid w:val="0061220F"/>
    <w:rPr>
      <w:smallCaps/>
      <w:color w:val="auto"/>
      <w:u w:val="single" w:color="7F7F7F" w:themeColor="text1" w:themeTint="80"/>
    </w:rPr>
  </w:style>
  <w:style w:type="character" w:styleId="Riferimentointenso">
    <w:name w:val="Intense Reference"/>
    <w:basedOn w:val="Carpredefinitoparagrafo"/>
    <w:uiPriority w:val="32"/>
    <w:qFormat/>
    <w:rsid w:val="0061220F"/>
    <w:rPr>
      <w:b/>
      <w:bCs/>
      <w:smallCaps/>
      <w:color w:val="auto"/>
      <w:u w:val="single"/>
    </w:rPr>
  </w:style>
  <w:style w:type="character" w:styleId="Titolodellibro">
    <w:name w:val="Book Title"/>
    <w:basedOn w:val="Carpredefinitoparagrafo"/>
    <w:uiPriority w:val="33"/>
    <w:qFormat/>
    <w:rsid w:val="0061220F"/>
    <w:rPr>
      <w:b/>
      <w:bCs/>
      <w:smallCaps/>
      <w:color w:val="auto"/>
    </w:rPr>
  </w:style>
  <w:style w:type="paragraph" w:styleId="Titolosommario">
    <w:name w:val="TOC Heading"/>
    <w:basedOn w:val="Titolo1"/>
    <w:next w:val="Normale"/>
    <w:uiPriority w:val="39"/>
    <w:semiHidden/>
    <w:unhideWhenUsed/>
    <w:qFormat/>
    <w:rsid w:val="0061220F"/>
    <w:pPr>
      <w:outlineLvl w:val="9"/>
    </w:pPr>
  </w:style>
  <w:style w:type="paragraph" w:styleId="Paragrafoelenco">
    <w:name w:val="List Paragraph"/>
    <w:basedOn w:val="Normale"/>
    <w:uiPriority w:val="34"/>
    <w:qFormat/>
    <w:rsid w:val="0061220F"/>
    <w:pPr>
      <w:ind w:left="720"/>
      <w:contextualSpacing/>
    </w:pPr>
  </w:style>
  <w:style w:type="character" w:styleId="Testosegnaposto">
    <w:name w:val="Placeholder Text"/>
    <w:basedOn w:val="Carpredefinitoparagrafo"/>
    <w:uiPriority w:val="99"/>
    <w:semiHidden/>
    <w:rsid w:val="0061220F"/>
    <w:rPr>
      <w:color w:val="808080"/>
    </w:rPr>
  </w:style>
  <w:style w:type="paragraph" w:styleId="NormaleWeb">
    <w:name w:val="Normal (Web)"/>
    <w:basedOn w:val="Normale"/>
    <w:uiPriority w:val="99"/>
    <w:semiHidden/>
    <w:unhideWhenUsed/>
    <w:rsid w:val="0061220F"/>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table" w:styleId="Grigliatabella">
    <w:name w:val="Table Grid"/>
    <w:basedOn w:val="Tabellanormale"/>
    <w:uiPriority w:val="39"/>
    <w:rsid w:val="0061220F"/>
    <w:pPr>
      <w:jc w:val="both"/>
    </w:pPr>
    <w:rPr>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chiara1">
    <w:name w:val="Griglia tabella chiara1"/>
    <w:basedOn w:val="Tabellanormale"/>
    <w:uiPriority w:val="40"/>
    <w:rsid w:val="0061220F"/>
    <w:rPr>
      <w:rFonts w:eastAsiaTheme="minorHAnsi"/>
      <w:sz w:val="22"/>
      <w:szCs w:val="22"/>
      <w:lang w:val="it-I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testazione">
    <w:name w:val="header"/>
    <w:basedOn w:val="Normale"/>
    <w:link w:val="IntestazioneCarattere"/>
    <w:uiPriority w:val="99"/>
    <w:unhideWhenUsed/>
    <w:rsid w:val="0061220F"/>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61220F"/>
    <w:rPr>
      <w:sz w:val="22"/>
      <w:szCs w:val="22"/>
      <w:lang w:val="it-IT"/>
    </w:rPr>
  </w:style>
  <w:style w:type="paragraph" w:styleId="Pidipagina">
    <w:name w:val="footer"/>
    <w:basedOn w:val="Normale"/>
    <w:link w:val="PidipaginaCarattere"/>
    <w:uiPriority w:val="99"/>
    <w:unhideWhenUsed/>
    <w:rsid w:val="0061220F"/>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61220F"/>
    <w:rPr>
      <w:sz w:val="22"/>
      <w:szCs w:val="22"/>
      <w:lang w:val="it-IT"/>
    </w:rPr>
  </w:style>
  <w:style w:type="character" w:styleId="Rimandocommento">
    <w:name w:val="annotation reference"/>
    <w:basedOn w:val="Carpredefinitoparagrafo"/>
    <w:uiPriority w:val="99"/>
    <w:semiHidden/>
    <w:unhideWhenUsed/>
    <w:rsid w:val="0061220F"/>
    <w:rPr>
      <w:sz w:val="16"/>
      <w:szCs w:val="16"/>
    </w:rPr>
  </w:style>
  <w:style w:type="paragraph" w:styleId="Testocommento">
    <w:name w:val="annotation text"/>
    <w:basedOn w:val="Normale"/>
    <w:link w:val="TestocommentoCarattere"/>
    <w:uiPriority w:val="99"/>
    <w:unhideWhenUsed/>
    <w:rsid w:val="0061220F"/>
    <w:pPr>
      <w:spacing w:line="240" w:lineRule="auto"/>
    </w:pPr>
    <w:rPr>
      <w:sz w:val="20"/>
      <w:szCs w:val="20"/>
    </w:rPr>
  </w:style>
  <w:style w:type="character" w:customStyle="1" w:styleId="TestocommentoCarattere">
    <w:name w:val="Testo commento Carattere"/>
    <w:basedOn w:val="Carpredefinitoparagrafo"/>
    <w:link w:val="Testocommento"/>
    <w:uiPriority w:val="99"/>
    <w:rsid w:val="0061220F"/>
    <w:rPr>
      <w:sz w:val="20"/>
      <w:szCs w:val="20"/>
      <w:lang w:val="it-IT"/>
    </w:rPr>
  </w:style>
  <w:style w:type="paragraph" w:styleId="Soggettocommento">
    <w:name w:val="annotation subject"/>
    <w:basedOn w:val="Testocommento"/>
    <w:next w:val="Testocommento"/>
    <w:link w:val="SoggettocommentoCarattere"/>
    <w:uiPriority w:val="99"/>
    <w:semiHidden/>
    <w:unhideWhenUsed/>
    <w:rsid w:val="0061220F"/>
    <w:rPr>
      <w:b/>
      <w:bCs/>
    </w:rPr>
  </w:style>
  <w:style w:type="character" w:customStyle="1" w:styleId="SoggettocommentoCarattere">
    <w:name w:val="Soggetto commento Carattere"/>
    <w:basedOn w:val="TestocommentoCarattere"/>
    <w:link w:val="Soggettocommento"/>
    <w:uiPriority w:val="99"/>
    <w:semiHidden/>
    <w:rsid w:val="0061220F"/>
    <w:rPr>
      <w:b/>
      <w:bCs/>
      <w:sz w:val="20"/>
      <w:szCs w:val="20"/>
      <w:lang w:val="it-IT"/>
    </w:rPr>
  </w:style>
  <w:style w:type="paragraph" w:styleId="Testofumetto">
    <w:name w:val="Balloon Text"/>
    <w:basedOn w:val="Normale"/>
    <w:link w:val="TestofumettoCarattere"/>
    <w:uiPriority w:val="99"/>
    <w:semiHidden/>
    <w:unhideWhenUsed/>
    <w:rsid w:val="0061220F"/>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1220F"/>
    <w:rPr>
      <w:rFonts w:ascii="Segoe UI" w:hAnsi="Segoe UI" w:cs="Segoe UI"/>
      <w:sz w:val="18"/>
      <w:szCs w:val="18"/>
      <w:lang w:val="it-IT"/>
    </w:rPr>
  </w:style>
  <w:style w:type="paragraph" w:styleId="Revisione">
    <w:name w:val="Revision"/>
    <w:hidden/>
    <w:uiPriority w:val="99"/>
    <w:semiHidden/>
    <w:rsid w:val="0061220F"/>
    <w:rPr>
      <w:sz w:val="22"/>
      <w:szCs w:val="22"/>
      <w:lang w:val="it-IT"/>
    </w:rPr>
  </w:style>
  <w:style w:type="character" w:styleId="Numeroriga">
    <w:name w:val="line number"/>
    <w:basedOn w:val="Carpredefinitoparagrafo"/>
    <w:uiPriority w:val="99"/>
    <w:semiHidden/>
    <w:unhideWhenUsed/>
    <w:rsid w:val="0061220F"/>
  </w:style>
  <w:style w:type="character" w:customStyle="1" w:styleId="sender">
    <w:name w:val="sender"/>
    <w:basedOn w:val="Carpredefinitoparagrafo"/>
    <w:rsid w:val="0061220F"/>
  </w:style>
  <w:style w:type="character" w:styleId="Collegamentoipertestuale">
    <w:name w:val="Hyperlink"/>
    <w:basedOn w:val="Carpredefinitoparagrafo"/>
    <w:uiPriority w:val="99"/>
    <w:unhideWhenUsed/>
    <w:rsid w:val="00037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BDAF1-814A-40E5-B8CF-A8C1D9E33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27</Pages>
  <Words>7370</Words>
  <Characters>42013</Characters>
  <Application>Microsoft Office Word</Application>
  <DocSecurity>0</DocSecurity>
  <Lines>350</Lines>
  <Paragraphs>98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Stefania Stevenazzi</cp:lastModifiedBy>
  <cp:revision>5</cp:revision>
  <dcterms:created xsi:type="dcterms:W3CDTF">2016-12-02T12:04:00Z</dcterms:created>
  <dcterms:modified xsi:type="dcterms:W3CDTF">2016-12-02T13:22:00Z</dcterms:modified>
</cp:coreProperties>
</file>