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5EE212" w14:textId="164D684F" w:rsidR="00174223" w:rsidRPr="00AD451B" w:rsidRDefault="00E608A7" w:rsidP="004C702B">
      <w:pPr>
        <w:spacing w:line="480" w:lineRule="auto"/>
        <w:rPr>
          <w:rFonts w:ascii="Arial" w:hAnsi="Arial" w:cs="Arial"/>
          <w:b/>
          <w:lang w:val="en-GB"/>
        </w:rPr>
      </w:pPr>
      <w:bookmarkStart w:id="0" w:name="_GoBack"/>
      <w:bookmarkEnd w:id="0"/>
      <w:r w:rsidRPr="00AD451B">
        <w:rPr>
          <w:rFonts w:ascii="Arial" w:hAnsi="Arial" w:cs="Arial"/>
          <w:b/>
          <w:lang w:val="en-GB"/>
        </w:rPr>
        <w:t xml:space="preserve">Title: </w:t>
      </w:r>
      <w:r w:rsidR="00174223">
        <w:rPr>
          <w:rFonts w:ascii="Arial" w:hAnsi="Arial" w:cs="Arial"/>
          <w:b/>
          <w:lang w:val="en-GB"/>
        </w:rPr>
        <w:t>Health-related quality of life and a cost-utility simulation of adults in the UK with osteogenesis imperfecta, X-linked hypophosphatemia and fibrous dysplasia</w:t>
      </w:r>
    </w:p>
    <w:p w14:paraId="13FB1BA4" w14:textId="26DC35BF" w:rsidR="00E608A7" w:rsidRPr="00AD451B" w:rsidRDefault="00E608A7" w:rsidP="00511F60">
      <w:pPr>
        <w:spacing w:line="480" w:lineRule="auto"/>
        <w:rPr>
          <w:rFonts w:ascii="Arial" w:hAnsi="Arial" w:cs="Arial"/>
          <w:b/>
          <w:lang w:val="en-GB"/>
        </w:rPr>
      </w:pPr>
    </w:p>
    <w:p w14:paraId="23601083" w14:textId="77777777" w:rsidR="00E608A7" w:rsidRPr="00AD451B" w:rsidRDefault="00E608A7" w:rsidP="00511F60">
      <w:pPr>
        <w:spacing w:line="480" w:lineRule="auto"/>
        <w:jc w:val="both"/>
        <w:rPr>
          <w:rFonts w:ascii="Arial" w:hAnsi="Arial" w:cs="Arial"/>
          <w:u w:val="single"/>
          <w:lang w:val="en-GB"/>
        </w:rPr>
      </w:pPr>
    </w:p>
    <w:p w14:paraId="37663254" w14:textId="77777777" w:rsidR="00E608A7" w:rsidRPr="00B51305" w:rsidRDefault="00E608A7" w:rsidP="00511F60">
      <w:pPr>
        <w:spacing w:line="480" w:lineRule="auto"/>
        <w:jc w:val="both"/>
        <w:rPr>
          <w:rFonts w:ascii="Arial" w:hAnsi="Arial" w:cs="Arial"/>
          <w:b/>
          <w:lang w:val="en-GB"/>
        </w:rPr>
      </w:pPr>
      <w:r w:rsidRPr="00B51305">
        <w:rPr>
          <w:rFonts w:ascii="Arial" w:hAnsi="Arial" w:cs="Arial"/>
          <w:b/>
          <w:lang w:val="en-GB"/>
        </w:rPr>
        <w:t>Authors</w:t>
      </w:r>
    </w:p>
    <w:p w14:paraId="66A597F4" w14:textId="77777777" w:rsidR="00E608A7" w:rsidRDefault="00E608A7" w:rsidP="00511F60">
      <w:pPr>
        <w:spacing w:line="480" w:lineRule="auto"/>
        <w:jc w:val="both"/>
        <w:rPr>
          <w:rFonts w:ascii="Arial" w:hAnsi="Arial" w:cs="Arial"/>
          <w:lang w:val="en-GB"/>
        </w:rPr>
      </w:pPr>
      <w:r w:rsidRPr="00E27A5B">
        <w:rPr>
          <w:rFonts w:ascii="Arial" w:hAnsi="Arial" w:cs="Arial"/>
          <w:lang w:val="en-GB"/>
        </w:rPr>
        <w:t>Forest</w:t>
      </w:r>
      <w:r>
        <w:rPr>
          <w:rFonts w:ascii="Arial" w:hAnsi="Arial" w:cs="Arial"/>
          <w:lang w:val="en-GB"/>
        </w:rPr>
        <w:t>ier-Zhang L</w:t>
      </w:r>
      <w:r>
        <w:rPr>
          <w:rFonts w:ascii="Arial" w:hAnsi="Arial" w:cs="Arial"/>
          <w:vertAlign w:val="superscript"/>
          <w:lang w:val="en-GB"/>
        </w:rPr>
        <w:t>1</w:t>
      </w:r>
      <w:r>
        <w:rPr>
          <w:rFonts w:ascii="Arial" w:hAnsi="Arial" w:cs="Arial"/>
          <w:lang w:val="en-GB"/>
        </w:rPr>
        <w:t>, Watts L</w:t>
      </w:r>
      <w:r>
        <w:rPr>
          <w:rFonts w:ascii="Arial" w:hAnsi="Arial" w:cs="Arial"/>
          <w:vertAlign w:val="superscript"/>
          <w:lang w:val="en-GB"/>
        </w:rPr>
        <w:t>1</w:t>
      </w:r>
      <w:r>
        <w:rPr>
          <w:rFonts w:ascii="Arial" w:hAnsi="Arial" w:cs="Arial"/>
          <w:lang w:val="en-GB"/>
        </w:rPr>
        <w:t>, Turner A</w:t>
      </w:r>
      <w:r>
        <w:rPr>
          <w:rFonts w:ascii="Arial" w:hAnsi="Arial" w:cs="Arial"/>
          <w:vertAlign w:val="superscript"/>
          <w:lang w:val="en-GB"/>
        </w:rPr>
        <w:t>1</w:t>
      </w:r>
      <w:r>
        <w:rPr>
          <w:rFonts w:ascii="Arial" w:hAnsi="Arial" w:cs="Arial"/>
          <w:lang w:val="en-GB"/>
        </w:rPr>
        <w:t>, Teare H</w:t>
      </w:r>
      <w:r>
        <w:rPr>
          <w:rFonts w:ascii="Arial" w:hAnsi="Arial" w:cs="Arial"/>
          <w:vertAlign w:val="superscript"/>
          <w:lang w:val="en-GB"/>
        </w:rPr>
        <w:t>2</w:t>
      </w:r>
      <w:r>
        <w:rPr>
          <w:rFonts w:ascii="Arial" w:hAnsi="Arial" w:cs="Arial"/>
          <w:lang w:val="en-GB"/>
        </w:rPr>
        <w:t xml:space="preserve">, </w:t>
      </w:r>
      <w:r w:rsidRPr="00E27A5B">
        <w:rPr>
          <w:rFonts w:ascii="Arial" w:hAnsi="Arial" w:cs="Arial"/>
          <w:lang w:val="en-GB"/>
        </w:rPr>
        <w:t>Kaye J</w:t>
      </w:r>
      <w:r>
        <w:rPr>
          <w:rFonts w:ascii="Arial" w:hAnsi="Arial" w:cs="Arial"/>
          <w:vertAlign w:val="superscript"/>
          <w:lang w:val="en-GB"/>
        </w:rPr>
        <w:t>2</w:t>
      </w:r>
      <w:r>
        <w:rPr>
          <w:rFonts w:ascii="Arial" w:hAnsi="Arial" w:cs="Arial"/>
          <w:lang w:val="en-GB"/>
        </w:rPr>
        <w:t>, Barrett J</w:t>
      </w:r>
      <w:r>
        <w:rPr>
          <w:rFonts w:ascii="Arial" w:hAnsi="Arial" w:cs="Arial"/>
          <w:vertAlign w:val="superscript"/>
          <w:lang w:val="en-GB"/>
        </w:rPr>
        <w:t>1</w:t>
      </w:r>
      <w:r w:rsidRPr="00E27A5B">
        <w:rPr>
          <w:rFonts w:ascii="Arial" w:hAnsi="Arial" w:cs="Arial"/>
          <w:lang w:val="en-GB"/>
        </w:rPr>
        <w:t>, Cooper C</w:t>
      </w:r>
      <w:r>
        <w:rPr>
          <w:rFonts w:ascii="Arial" w:hAnsi="Arial" w:cs="Arial"/>
          <w:vertAlign w:val="superscript"/>
          <w:lang w:val="en-GB"/>
        </w:rPr>
        <w:t>1,3</w:t>
      </w:r>
      <w:r w:rsidRPr="00E27A5B">
        <w:rPr>
          <w:rFonts w:ascii="Arial" w:hAnsi="Arial" w:cs="Arial"/>
          <w:lang w:val="en-GB"/>
        </w:rPr>
        <w:t>, Eastell R</w:t>
      </w:r>
      <w:r>
        <w:rPr>
          <w:rFonts w:ascii="Arial" w:hAnsi="Arial" w:cs="Arial"/>
          <w:vertAlign w:val="superscript"/>
          <w:lang w:val="en-GB"/>
        </w:rPr>
        <w:t>4</w:t>
      </w:r>
      <w:r w:rsidRPr="00E27A5B">
        <w:rPr>
          <w:rFonts w:ascii="Arial" w:hAnsi="Arial" w:cs="Arial"/>
          <w:lang w:val="en-GB"/>
        </w:rPr>
        <w:t>, Wordsworth P</w:t>
      </w:r>
      <w:r>
        <w:rPr>
          <w:rFonts w:ascii="Arial" w:hAnsi="Arial" w:cs="Arial"/>
          <w:vertAlign w:val="superscript"/>
          <w:lang w:val="en-GB"/>
        </w:rPr>
        <w:t>1</w:t>
      </w:r>
      <w:r w:rsidRPr="00E27A5B">
        <w:rPr>
          <w:rFonts w:ascii="Arial" w:hAnsi="Arial" w:cs="Arial"/>
          <w:lang w:val="en-GB"/>
        </w:rPr>
        <w:t xml:space="preserve">, </w:t>
      </w:r>
      <w:r>
        <w:rPr>
          <w:rFonts w:ascii="Arial" w:hAnsi="Arial" w:cs="Arial"/>
          <w:lang w:val="en-GB"/>
        </w:rPr>
        <w:t>Javaid MK</w:t>
      </w:r>
      <w:r>
        <w:rPr>
          <w:rFonts w:ascii="Arial" w:hAnsi="Arial" w:cs="Arial"/>
          <w:vertAlign w:val="superscript"/>
          <w:lang w:val="en-GB"/>
        </w:rPr>
        <w:t>1</w:t>
      </w:r>
      <w:r>
        <w:rPr>
          <w:rFonts w:ascii="Arial" w:hAnsi="Arial" w:cs="Arial"/>
          <w:lang w:val="en-GB"/>
        </w:rPr>
        <w:t>, Pinedo-Villanueva R</w:t>
      </w:r>
      <w:r>
        <w:rPr>
          <w:rFonts w:ascii="Arial" w:hAnsi="Arial" w:cs="Arial"/>
          <w:vertAlign w:val="superscript"/>
          <w:lang w:val="en-GB"/>
        </w:rPr>
        <w:t>1</w:t>
      </w:r>
      <w:r>
        <w:rPr>
          <w:rFonts w:ascii="Arial" w:hAnsi="Arial" w:cs="Arial"/>
          <w:lang w:val="en-GB"/>
        </w:rPr>
        <w:t>.</w:t>
      </w:r>
    </w:p>
    <w:p w14:paraId="79C36ADE" w14:textId="77777777" w:rsidR="00E608A7" w:rsidRPr="00E27A5B" w:rsidRDefault="00E608A7" w:rsidP="00511F60">
      <w:pPr>
        <w:spacing w:line="480" w:lineRule="auto"/>
        <w:jc w:val="both"/>
        <w:rPr>
          <w:rFonts w:ascii="Arial" w:hAnsi="Arial" w:cs="Arial"/>
          <w:lang w:val="en-GB"/>
        </w:rPr>
      </w:pPr>
    </w:p>
    <w:p w14:paraId="58E7B0D2" w14:textId="77777777" w:rsidR="00E608A7" w:rsidRPr="00B51305" w:rsidRDefault="00E608A7" w:rsidP="00511F60">
      <w:pPr>
        <w:spacing w:line="480" w:lineRule="auto"/>
        <w:jc w:val="both"/>
        <w:rPr>
          <w:rFonts w:ascii="Arial" w:hAnsi="Arial" w:cs="Arial"/>
          <w:b/>
          <w:lang w:val="en-GB"/>
        </w:rPr>
      </w:pPr>
      <w:r w:rsidRPr="00B51305">
        <w:rPr>
          <w:rFonts w:ascii="Arial" w:hAnsi="Arial" w:cs="Arial"/>
          <w:b/>
          <w:lang w:val="en-GB"/>
        </w:rPr>
        <w:t>Institutions</w:t>
      </w:r>
    </w:p>
    <w:p w14:paraId="4B7750F7" w14:textId="58586FA4" w:rsidR="00E608A7" w:rsidRDefault="00E608A7" w:rsidP="00511F60">
      <w:pPr>
        <w:spacing w:line="480" w:lineRule="auto"/>
        <w:jc w:val="both"/>
        <w:rPr>
          <w:rFonts w:ascii="Arial" w:hAnsi="Arial" w:cs="Arial"/>
          <w:lang w:val="en-GB"/>
        </w:rPr>
      </w:pPr>
      <w:r>
        <w:rPr>
          <w:rFonts w:ascii="Arial" w:hAnsi="Arial" w:cs="Arial"/>
          <w:vertAlign w:val="superscript"/>
          <w:lang w:val="en-GB"/>
        </w:rPr>
        <w:t>1</w:t>
      </w:r>
      <w:r>
        <w:rPr>
          <w:rFonts w:ascii="Arial" w:hAnsi="Arial" w:cs="Arial"/>
          <w:lang w:val="en-GB"/>
        </w:rPr>
        <w:t xml:space="preserve">Oxford NIHR Musculoskeletal </w:t>
      </w:r>
      <w:r w:rsidR="000B6A2C">
        <w:rPr>
          <w:rFonts w:ascii="Arial" w:hAnsi="Arial" w:cs="Arial"/>
          <w:lang w:val="en-GB"/>
        </w:rPr>
        <w:t>Biomedical</w:t>
      </w:r>
      <w:r>
        <w:rPr>
          <w:rFonts w:ascii="Arial" w:hAnsi="Arial" w:cs="Arial"/>
          <w:lang w:val="en-GB"/>
        </w:rPr>
        <w:t xml:space="preserve"> Research Unit, </w:t>
      </w:r>
      <w:r w:rsidRPr="00065374">
        <w:rPr>
          <w:rFonts w:ascii="Arial" w:hAnsi="Arial" w:cs="Arial"/>
          <w:lang w:val="en-GB"/>
        </w:rPr>
        <w:t>Nuffield Department of Orthopaedics, Rheumatolog</w:t>
      </w:r>
      <w:r>
        <w:rPr>
          <w:rFonts w:ascii="Arial" w:hAnsi="Arial" w:cs="Arial"/>
          <w:lang w:val="en-GB"/>
        </w:rPr>
        <w:t>y and Musculoskeletal Sciences, University of Oxford, Oxford, UK</w:t>
      </w:r>
    </w:p>
    <w:p w14:paraId="3B69E40E" w14:textId="77777777" w:rsidR="00E608A7" w:rsidRDefault="00E608A7" w:rsidP="00511F60">
      <w:pPr>
        <w:spacing w:line="480" w:lineRule="auto"/>
        <w:jc w:val="both"/>
        <w:rPr>
          <w:rFonts w:ascii="Arial" w:hAnsi="Arial" w:cs="Arial"/>
          <w:lang w:val="en-GB"/>
        </w:rPr>
      </w:pPr>
      <w:r>
        <w:rPr>
          <w:rFonts w:ascii="Arial" w:hAnsi="Arial" w:cs="Arial"/>
          <w:vertAlign w:val="superscript"/>
          <w:lang w:val="en-GB"/>
        </w:rPr>
        <w:t>2</w:t>
      </w:r>
      <w:r>
        <w:rPr>
          <w:rFonts w:ascii="Arial" w:hAnsi="Arial" w:cs="Arial"/>
          <w:lang w:val="en-GB"/>
        </w:rPr>
        <w:t>Department of Public Health, University of Oxford, Oxford, UK</w:t>
      </w:r>
    </w:p>
    <w:p w14:paraId="685EBC22" w14:textId="77777777" w:rsidR="00E608A7" w:rsidRDefault="00E608A7" w:rsidP="00511F60">
      <w:pPr>
        <w:spacing w:line="480" w:lineRule="auto"/>
        <w:jc w:val="both"/>
        <w:rPr>
          <w:rFonts w:ascii="Arial" w:hAnsi="Arial" w:cs="Arial"/>
          <w:lang w:val="en-GB"/>
        </w:rPr>
      </w:pPr>
      <w:r>
        <w:rPr>
          <w:rFonts w:ascii="Arial" w:hAnsi="Arial" w:cs="Arial"/>
          <w:vertAlign w:val="superscript"/>
          <w:lang w:val="en-GB"/>
        </w:rPr>
        <w:t>3</w:t>
      </w:r>
      <w:r>
        <w:rPr>
          <w:rFonts w:ascii="Arial" w:hAnsi="Arial" w:cs="Arial"/>
          <w:lang w:val="en-GB"/>
        </w:rPr>
        <w:t>MRC Lifecourse Epidemiology Unit, University of Southampton, Southampton, UK</w:t>
      </w:r>
    </w:p>
    <w:p w14:paraId="15645665" w14:textId="77777777" w:rsidR="00E608A7" w:rsidRPr="00767330" w:rsidRDefault="00E608A7" w:rsidP="00511F60">
      <w:pPr>
        <w:spacing w:line="480" w:lineRule="auto"/>
        <w:jc w:val="both"/>
        <w:rPr>
          <w:rFonts w:ascii="Arial" w:hAnsi="Arial" w:cs="Arial"/>
          <w:lang w:val="en-GB"/>
        </w:rPr>
      </w:pPr>
      <w:r>
        <w:rPr>
          <w:rFonts w:ascii="Arial" w:hAnsi="Arial" w:cs="Arial"/>
          <w:vertAlign w:val="superscript"/>
          <w:lang w:val="en-GB"/>
        </w:rPr>
        <w:t>4</w:t>
      </w:r>
      <w:r w:rsidRPr="00767330">
        <w:rPr>
          <w:rFonts w:ascii="Arial" w:hAnsi="Arial" w:cs="Arial"/>
          <w:lang w:val="en-GB"/>
        </w:rPr>
        <w:t>Academic Unit of Bone Metabolism, Metabolic Bone Centre, Northern General Hospital, Sheffield, UK.</w:t>
      </w:r>
    </w:p>
    <w:p w14:paraId="455325B3" w14:textId="77777777" w:rsidR="00E608A7" w:rsidRDefault="00E608A7" w:rsidP="00511F60">
      <w:pPr>
        <w:spacing w:line="480" w:lineRule="auto"/>
        <w:jc w:val="both"/>
        <w:rPr>
          <w:rFonts w:ascii="Arial" w:hAnsi="Arial" w:cs="Arial"/>
          <w:lang w:val="en-GB"/>
        </w:rPr>
      </w:pPr>
    </w:p>
    <w:p w14:paraId="21DA2908" w14:textId="77777777" w:rsidR="00E608A7" w:rsidRPr="00B51305" w:rsidRDefault="00E608A7" w:rsidP="00511F60">
      <w:pPr>
        <w:spacing w:line="480" w:lineRule="auto"/>
        <w:jc w:val="both"/>
        <w:rPr>
          <w:rFonts w:ascii="Arial" w:hAnsi="Arial" w:cs="Arial"/>
          <w:b/>
          <w:lang w:val="en-GB"/>
        </w:rPr>
      </w:pPr>
      <w:r w:rsidRPr="00B51305">
        <w:rPr>
          <w:rFonts w:ascii="Arial" w:hAnsi="Arial" w:cs="Arial"/>
          <w:b/>
          <w:lang w:val="en-GB"/>
        </w:rPr>
        <w:t>Corresponding Author</w:t>
      </w:r>
    </w:p>
    <w:p w14:paraId="4586AB43" w14:textId="5215D242" w:rsidR="00C605C7" w:rsidRDefault="00E608A7" w:rsidP="00C605C7">
      <w:pPr>
        <w:spacing w:line="480" w:lineRule="auto"/>
        <w:rPr>
          <w:rFonts w:ascii="Arial" w:hAnsi="Arial" w:cs="Arial"/>
          <w:lang w:val="en-GB"/>
        </w:rPr>
      </w:pPr>
      <w:r>
        <w:rPr>
          <w:rFonts w:ascii="Arial" w:hAnsi="Arial" w:cs="Arial"/>
          <w:lang w:val="en-GB"/>
        </w:rPr>
        <w:t>MK Javaid, The Botnar Research Centre, NIHR Oxford Musculoskeletal BRU, NDORMS, University of Oxford, Oxford, OX3 7HE UK</w:t>
      </w:r>
      <w:r w:rsidR="00C605C7">
        <w:rPr>
          <w:rFonts w:ascii="Arial" w:hAnsi="Arial" w:cs="Arial"/>
          <w:lang w:val="en-GB"/>
        </w:rPr>
        <w:t xml:space="preserve">. Email: </w:t>
      </w:r>
      <w:hyperlink r:id="rId9" w:history="1">
        <w:r w:rsidR="00C605C7" w:rsidRPr="00180BEB">
          <w:rPr>
            <w:rStyle w:val="Hyperlink"/>
            <w:rFonts w:ascii="Arial" w:hAnsi="Arial" w:cs="Arial"/>
            <w:lang w:val="en-GB"/>
          </w:rPr>
          <w:t>kassim.javaid@ndorms.ox.ac.uk</w:t>
        </w:r>
      </w:hyperlink>
      <w:r w:rsidR="00C605C7">
        <w:rPr>
          <w:rFonts w:ascii="Arial" w:hAnsi="Arial" w:cs="Arial"/>
          <w:lang w:val="en-GB"/>
        </w:rPr>
        <w:t xml:space="preserve">; tel 01865 737852. </w:t>
      </w:r>
      <w:r w:rsidR="00C605C7" w:rsidRPr="00BC6E9F">
        <w:rPr>
          <w:rFonts w:ascii="Arial" w:hAnsi="Arial" w:cs="Arial"/>
          <w:lang w:val="en-GB"/>
        </w:rPr>
        <w:t xml:space="preserve"> </w:t>
      </w:r>
    </w:p>
    <w:p w14:paraId="4964EC0D" w14:textId="66EA4C86" w:rsidR="00E608A7" w:rsidRDefault="00E608A7" w:rsidP="00511F60">
      <w:pPr>
        <w:spacing w:line="480" w:lineRule="auto"/>
        <w:jc w:val="both"/>
        <w:rPr>
          <w:rFonts w:ascii="Arial" w:hAnsi="Arial" w:cs="Arial"/>
          <w:lang w:val="en-GB"/>
        </w:rPr>
      </w:pPr>
    </w:p>
    <w:p w14:paraId="5829EF26" w14:textId="77777777" w:rsidR="00E608A7" w:rsidRPr="00B51305" w:rsidRDefault="00E608A7" w:rsidP="00511F60">
      <w:pPr>
        <w:spacing w:line="480" w:lineRule="auto"/>
        <w:jc w:val="both"/>
        <w:rPr>
          <w:rFonts w:ascii="Arial" w:hAnsi="Arial" w:cs="Arial"/>
          <w:b/>
          <w:lang w:val="en-GB"/>
        </w:rPr>
      </w:pPr>
      <w:r w:rsidRPr="00B51305">
        <w:rPr>
          <w:rFonts w:ascii="Arial" w:hAnsi="Arial" w:cs="Arial"/>
          <w:b/>
          <w:lang w:val="en-GB"/>
        </w:rPr>
        <w:t>Co-author emails</w:t>
      </w:r>
    </w:p>
    <w:p w14:paraId="5BC85CEB" w14:textId="11D96B48" w:rsidR="00E608A7" w:rsidRDefault="00E608A7" w:rsidP="00511F60">
      <w:pPr>
        <w:spacing w:line="480" w:lineRule="auto"/>
        <w:rPr>
          <w:rFonts w:ascii="Arial" w:hAnsi="Arial" w:cs="Arial"/>
          <w:lang w:val="en-GB"/>
        </w:rPr>
      </w:pPr>
      <w:r w:rsidRPr="00BC6E9F">
        <w:rPr>
          <w:rFonts w:ascii="Arial" w:hAnsi="Arial" w:cs="Arial"/>
          <w:lang w:val="en-GB"/>
        </w:rPr>
        <w:lastRenderedPageBreak/>
        <w:t>Lydia Forestier-Zha</w:t>
      </w:r>
      <w:r w:rsidR="00C605C7">
        <w:rPr>
          <w:rFonts w:ascii="Arial" w:hAnsi="Arial" w:cs="Arial"/>
          <w:lang w:val="en-GB"/>
        </w:rPr>
        <w:t>ng: lydiazhang@doctors.org.uk</w:t>
      </w:r>
    </w:p>
    <w:p w14:paraId="30A19497" w14:textId="2B666D73" w:rsidR="00E608A7" w:rsidRDefault="00E608A7" w:rsidP="00511F60">
      <w:pPr>
        <w:spacing w:line="480" w:lineRule="auto"/>
        <w:rPr>
          <w:rFonts w:ascii="Arial" w:hAnsi="Arial" w:cs="Arial"/>
          <w:lang w:val="en-GB"/>
        </w:rPr>
      </w:pPr>
      <w:r w:rsidRPr="00BC6E9F">
        <w:rPr>
          <w:rFonts w:ascii="Arial" w:hAnsi="Arial" w:cs="Arial"/>
          <w:lang w:val="en-GB"/>
        </w:rPr>
        <w:t>Laura Watts</w:t>
      </w:r>
      <w:r w:rsidR="00C605C7">
        <w:rPr>
          <w:rFonts w:ascii="Arial" w:hAnsi="Arial" w:cs="Arial"/>
          <w:lang w:val="en-GB"/>
        </w:rPr>
        <w:t>: laura.watts@medsci.ox.ac.uk</w:t>
      </w:r>
    </w:p>
    <w:p w14:paraId="41CE29F1" w14:textId="733F2D08" w:rsidR="00E608A7" w:rsidRDefault="00C605C7" w:rsidP="00511F60">
      <w:pPr>
        <w:spacing w:line="480" w:lineRule="auto"/>
        <w:rPr>
          <w:rFonts w:ascii="Arial" w:hAnsi="Arial" w:cs="Arial"/>
          <w:lang w:val="en-GB"/>
        </w:rPr>
      </w:pPr>
      <w:r>
        <w:rPr>
          <w:rFonts w:ascii="Arial" w:hAnsi="Arial" w:cs="Arial"/>
          <w:lang w:val="en-GB"/>
        </w:rPr>
        <w:t>Alison Turner: alison.turner@ndorms.ox.ac.uk</w:t>
      </w:r>
    </w:p>
    <w:p w14:paraId="1D2BC829" w14:textId="46BF526A" w:rsidR="00E608A7" w:rsidRDefault="00C605C7" w:rsidP="00511F60">
      <w:pPr>
        <w:spacing w:line="480" w:lineRule="auto"/>
        <w:rPr>
          <w:rFonts w:ascii="Arial" w:hAnsi="Arial" w:cs="Arial"/>
          <w:lang w:val="en-GB"/>
        </w:rPr>
      </w:pPr>
      <w:r>
        <w:rPr>
          <w:rFonts w:ascii="Arial" w:hAnsi="Arial" w:cs="Arial"/>
          <w:lang w:val="en-GB"/>
        </w:rPr>
        <w:t>Harriet Teare: harriet.teare@dph.ox.ac.uk</w:t>
      </w:r>
    </w:p>
    <w:p w14:paraId="33AA9CEB" w14:textId="3561AA68" w:rsidR="00E608A7" w:rsidRDefault="00C605C7" w:rsidP="00511F60">
      <w:pPr>
        <w:spacing w:line="480" w:lineRule="auto"/>
        <w:rPr>
          <w:rFonts w:ascii="Arial" w:hAnsi="Arial" w:cs="Arial"/>
          <w:lang w:val="en-GB"/>
        </w:rPr>
      </w:pPr>
      <w:r>
        <w:rPr>
          <w:rFonts w:ascii="Arial" w:hAnsi="Arial" w:cs="Arial"/>
          <w:lang w:val="en-GB"/>
        </w:rPr>
        <w:t>Jane Kaye: jane.kaye@law.ox.ac.uk</w:t>
      </w:r>
    </w:p>
    <w:p w14:paraId="3352BCE9" w14:textId="602AA121" w:rsidR="00E608A7" w:rsidRDefault="00C605C7" w:rsidP="00511F60">
      <w:pPr>
        <w:spacing w:line="480" w:lineRule="auto"/>
        <w:rPr>
          <w:rFonts w:ascii="Arial" w:hAnsi="Arial" w:cs="Arial"/>
          <w:lang w:val="en-GB"/>
        </w:rPr>
      </w:pPr>
      <w:r>
        <w:rPr>
          <w:rFonts w:ascii="Arial" w:hAnsi="Arial" w:cs="Arial"/>
          <w:lang w:val="en-GB"/>
        </w:rPr>
        <w:t>Joe Barrett: joe.barrett@ndorms.ox.ac.uk</w:t>
      </w:r>
      <w:r w:rsidR="00E608A7" w:rsidRPr="00BC6E9F">
        <w:rPr>
          <w:rFonts w:ascii="Arial" w:hAnsi="Arial" w:cs="Arial"/>
          <w:lang w:val="en-GB"/>
        </w:rPr>
        <w:t xml:space="preserve"> </w:t>
      </w:r>
    </w:p>
    <w:p w14:paraId="082612CF" w14:textId="4D9C0E27" w:rsidR="00E608A7" w:rsidRDefault="00C605C7" w:rsidP="00511F60">
      <w:pPr>
        <w:spacing w:line="480" w:lineRule="auto"/>
        <w:rPr>
          <w:rFonts w:ascii="Arial" w:hAnsi="Arial" w:cs="Arial"/>
          <w:lang w:val="en-GB"/>
        </w:rPr>
      </w:pPr>
      <w:r>
        <w:rPr>
          <w:rFonts w:ascii="Arial" w:hAnsi="Arial" w:cs="Arial"/>
          <w:lang w:val="en-GB"/>
        </w:rPr>
        <w:t>Cyrus Cooper: cc@mrc.soton.ac.uk</w:t>
      </w:r>
    </w:p>
    <w:p w14:paraId="37AC52B6" w14:textId="266E408E" w:rsidR="00E608A7" w:rsidRDefault="00E608A7" w:rsidP="00511F60">
      <w:pPr>
        <w:spacing w:line="480" w:lineRule="auto"/>
        <w:rPr>
          <w:rFonts w:ascii="Arial" w:hAnsi="Arial" w:cs="Arial"/>
          <w:lang w:val="en-GB"/>
        </w:rPr>
      </w:pPr>
      <w:r>
        <w:rPr>
          <w:rFonts w:ascii="Arial" w:hAnsi="Arial" w:cs="Arial"/>
          <w:lang w:val="en-GB"/>
        </w:rPr>
        <w:t>Richard Eastell</w:t>
      </w:r>
      <w:r w:rsidR="00C605C7">
        <w:rPr>
          <w:rFonts w:ascii="Arial" w:hAnsi="Arial" w:cs="Arial"/>
          <w:lang w:val="en-GB"/>
        </w:rPr>
        <w:t>: r.eastell@sheffield.ac.uk</w:t>
      </w:r>
      <w:r w:rsidRPr="00BC6E9F">
        <w:rPr>
          <w:rFonts w:ascii="Arial" w:hAnsi="Arial" w:cs="Arial"/>
          <w:lang w:val="en-GB"/>
        </w:rPr>
        <w:t xml:space="preserve"> </w:t>
      </w:r>
    </w:p>
    <w:p w14:paraId="68EDDCD7" w14:textId="5AA4F327" w:rsidR="00E608A7" w:rsidRDefault="00C605C7" w:rsidP="00511F60">
      <w:pPr>
        <w:spacing w:line="480" w:lineRule="auto"/>
        <w:rPr>
          <w:rFonts w:ascii="Arial" w:hAnsi="Arial" w:cs="Arial"/>
          <w:lang w:val="en-GB"/>
        </w:rPr>
      </w:pPr>
      <w:r>
        <w:rPr>
          <w:rFonts w:ascii="Arial" w:hAnsi="Arial" w:cs="Arial"/>
          <w:lang w:val="en-GB"/>
        </w:rPr>
        <w:t xml:space="preserve">Paul Wordsworth: </w:t>
      </w:r>
      <w:r w:rsidR="00E608A7" w:rsidRPr="00BC6E9F">
        <w:rPr>
          <w:rFonts w:ascii="Arial" w:hAnsi="Arial" w:cs="Arial"/>
          <w:lang w:val="en-GB"/>
        </w:rPr>
        <w:t>p</w:t>
      </w:r>
      <w:r>
        <w:rPr>
          <w:rFonts w:ascii="Arial" w:hAnsi="Arial" w:cs="Arial"/>
          <w:lang w:val="en-GB"/>
        </w:rPr>
        <w:t>aul.wordsworth@ndorms.ox.ac.uk</w:t>
      </w:r>
      <w:r w:rsidR="00E608A7" w:rsidRPr="00BC6E9F">
        <w:rPr>
          <w:rFonts w:ascii="Arial" w:hAnsi="Arial" w:cs="Arial"/>
          <w:lang w:val="en-GB"/>
        </w:rPr>
        <w:t xml:space="preserve"> </w:t>
      </w:r>
    </w:p>
    <w:p w14:paraId="5303BC5F" w14:textId="59632323" w:rsidR="00E608A7" w:rsidRPr="00536ACB" w:rsidRDefault="00E608A7" w:rsidP="00511F60">
      <w:pPr>
        <w:spacing w:line="480" w:lineRule="auto"/>
        <w:jc w:val="both"/>
        <w:rPr>
          <w:rFonts w:ascii="Arial" w:hAnsi="Arial" w:cs="Arial"/>
          <w:lang w:val="en-GB"/>
        </w:rPr>
      </w:pPr>
      <w:r w:rsidRPr="00536ACB">
        <w:rPr>
          <w:rFonts w:ascii="Arial" w:hAnsi="Arial" w:cs="Arial"/>
          <w:lang w:val="en-GB"/>
        </w:rPr>
        <w:t>Rafael Pinedo-Villanueva</w:t>
      </w:r>
      <w:r w:rsidR="00C605C7" w:rsidRPr="00536ACB">
        <w:rPr>
          <w:rFonts w:ascii="Arial" w:hAnsi="Arial" w:cs="Arial"/>
          <w:lang w:val="en-GB"/>
        </w:rPr>
        <w:t>: rafael.pinedo@ndorms.ox.ac.uk</w:t>
      </w:r>
    </w:p>
    <w:p w14:paraId="515E61E7" w14:textId="77777777" w:rsidR="00E608A7" w:rsidRPr="00536ACB" w:rsidRDefault="00E608A7" w:rsidP="00511F60">
      <w:pPr>
        <w:spacing w:line="480" w:lineRule="auto"/>
        <w:jc w:val="both"/>
        <w:rPr>
          <w:rFonts w:ascii="Arial" w:hAnsi="Arial" w:cs="Arial"/>
          <w:u w:val="single"/>
          <w:lang w:val="en-GB"/>
        </w:rPr>
      </w:pPr>
    </w:p>
    <w:p w14:paraId="2CDEA925" w14:textId="77777777" w:rsidR="00E608A7" w:rsidRPr="0030626C" w:rsidRDefault="00E608A7" w:rsidP="00511F60">
      <w:pPr>
        <w:spacing w:line="480" w:lineRule="auto"/>
        <w:jc w:val="both"/>
        <w:rPr>
          <w:rFonts w:ascii="Arial" w:hAnsi="Arial" w:cs="Arial"/>
          <w:b/>
          <w:lang w:val="en-GB"/>
        </w:rPr>
      </w:pPr>
      <w:r w:rsidRPr="0030626C">
        <w:rPr>
          <w:rFonts w:ascii="Arial" w:hAnsi="Arial" w:cs="Arial"/>
          <w:b/>
          <w:lang w:val="en-GB"/>
        </w:rPr>
        <w:t>Keywords</w:t>
      </w:r>
    </w:p>
    <w:p w14:paraId="750BBC31" w14:textId="28B52323" w:rsidR="00E608A7" w:rsidRPr="00065374" w:rsidRDefault="00E608A7" w:rsidP="00511F60">
      <w:pPr>
        <w:spacing w:line="480" w:lineRule="auto"/>
        <w:jc w:val="both"/>
        <w:rPr>
          <w:rFonts w:ascii="Arial" w:hAnsi="Arial" w:cs="Arial"/>
          <w:lang w:val="en-GB"/>
        </w:rPr>
      </w:pPr>
      <w:r>
        <w:rPr>
          <w:rFonts w:ascii="Arial" w:hAnsi="Arial" w:cs="Arial"/>
          <w:lang w:val="en-GB"/>
        </w:rPr>
        <w:t>Quality of life, economic evaluation, osteogenesis imperfecta, fibrous dysplasia, McCune Albright Syndrome, X</w:t>
      </w:r>
      <w:r w:rsidRPr="00AD451B">
        <w:rPr>
          <w:rFonts w:ascii="Arial" w:hAnsi="Arial" w:cs="Arial"/>
          <w:lang w:val="en-GB"/>
        </w:rPr>
        <w:t xml:space="preserve">-linked </w:t>
      </w:r>
      <w:r w:rsidR="000B6A2C" w:rsidRPr="00AD451B">
        <w:rPr>
          <w:rFonts w:ascii="Arial" w:hAnsi="Arial" w:cs="Arial"/>
          <w:lang w:val="en-GB"/>
        </w:rPr>
        <w:t>hypophosphatemia</w:t>
      </w:r>
    </w:p>
    <w:p w14:paraId="5E3F9624" w14:textId="77777777" w:rsidR="00E608A7" w:rsidRDefault="00E608A7" w:rsidP="00511F60">
      <w:pPr>
        <w:spacing w:line="480" w:lineRule="auto"/>
        <w:jc w:val="both"/>
        <w:rPr>
          <w:rFonts w:ascii="Arial" w:hAnsi="Arial" w:cs="Arial"/>
          <w:u w:val="single"/>
          <w:lang w:val="en-GB"/>
        </w:rPr>
      </w:pPr>
    </w:p>
    <w:p w14:paraId="486FC41C" w14:textId="77777777" w:rsidR="00E608A7" w:rsidRDefault="00E608A7" w:rsidP="00511F60">
      <w:pPr>
        <w:spacing w:line="480" w:lineRule="auto"/>
        <w:jc w:val="both"/>
        <w:rPr>
          <w:rFonts w:ascii="Arial" w:hAnsi="Arial" w:cs="Arial"/>
          <w:u w:val="single"/>
          <w:lang w:val="en-GB"/>
        </w:rPr>
      </w:pPr>
    </w:p>
    <w:p w14:paraId="02C348A2" w14:textId="77777777" w:rsidR="00E608A7" w:rsidRDefault="00E608A7" w:rsidP="00511F60">
      <w:pPr>
        <w:spacing w:line="480" w:lineRule="auto"/>
        <w:rPr>
          <w:rFonts w:ascii="Arial" w:hAnsi="Arial" w:cs="Arial"/>
          <w:u w:val="single"/>
          <w:lang w:val="en-GB"/>
        </w:rPr>
      </w:pPr>
      <w:r>
        <w:rPr>
          <w:rFonts w:ascii="Arial" w:hAnsi="Arial" w:cs="Arial"/>
          <w:u w:val="single"/>
          <w:lang w:val="en-GB"/>
        </w:rPr>
        <w:br w:type="page"/>
      </w:r>
    </w:p>
    <w:p w14:paraId="18C615E4" w14:textId="77777777" w:rsidR="00E608A7" w:rsidRPr="00AD451B" w:rsidRDefault="00E608A7" w:rsidP="00511F60">
      <w:pPr>
        <w:spacing w:line="480" w:lineRule="auto"/>
        <w:jc w:val="both"/>
        <w:rPr>
          <w:rFonts w:ascii="Arial" w:hAnsi="Arial" w:cs="Arial"/>
          <w:u w:val="single"/>
          <w:lang w:val="en-GB"/>
        </w:rPr>
      </w:pPr>
    </w:p>
    <w:p w14:paraId="024297A9" w14:textId="77777777" w:rsidR="00E608A7" w:rsidRPr="00AA7CC6" w:rsidRDefault="00E608A7" w:rsidP="00511F60">
      <w:pPr>
        <w:spacing w:line="480" w:lineRule="auto"/>
        <w:jc w:val="both"/>
        <w:rPr>
          <w:rFonts w:ascii="Arial" w:hAnsi="Arial" w:cs="Arial"/>
          <w:b/>
          <w:lang w:val="en-GB"/>
        </w:rPr>
      </w:pPr>
      <w:r w:rsidRPr="00AA7CC6">
        <w:rPr>
          <w:rFonts w:ascii="Arial" w:hAnsi="Arial" w:cs="Arial"/>
          <w:b/>
          <w:lang w:val="en-GB"/>
        </w:rPr>
        <w:t>Abstract</w:t>
      </w:r>
    </w:p>
    <w:p w14:paraId="4FC0F1FB" w14:textId="77777777" w:rsidR="00E608A7" w:rsidRPr="003365BC" w:rsidRDefault="00E608A7" w:rsidP="00511F60">
      <w:pPr>
        <w:spacing w:line="480" w:lineRule="auto"/>
        <w:jc w:val="both"/>
        <w:rPr>
          <w:rFonts w:ascii="Arial" w:hAnsi="Arial" w:cs="Arial"/>
          <w:b/>
          <w:lang w:val="en-GB"/>
        </w:rPr>
      </w:pPr>
      <w:r w:rsidRPr="003365BC">
        <w:rPr>
          <w:rFonts w:ascii="Arial" w:hAnsi="Arial" w:cs="Arial"/>
          <w:b/>
          <w:lang w:val="en-GB"/>
        </w:rPr>
        <w:t>Background</w:t>
      </w:r>
    </w:p>
    <w:p w14:paraId="380FFDE2" w14:textId="0087E8AC" w:rsidR="00E608A7" w:rsidRDefault="00E608A7" w:rsidP="00511F60">
      <w:pPr>
        <w:spacing w:line="480" w:lineRule="auto"/>
        <w:jc w:val="both"/>
        <w:rPr>
          <w:rFonts w:ascii="Arial" w:hAnsi="Arial" w:cs="Arial"/>
          <w:lang w:val="en-GB"/>
        </w:rPr>
      </w:pPr>
      <w:r>
        <w:rPr>
          <w:rFonts w:ascii="Arial" w:hAnsi="Arial" w:cs="Arial"/>
          <w:lang w:val="en-GB"/>
        </w:rPr>
        <w:t>Health-</w:t>
      </w:r>
      <w:r w:rsidRPr="00AD451B">
        <w:rPr>
          <w:rFonts w:ascii="Arial" w:hAnsi="Arial" w:cs="Arial"/>
          <w:lang w:val="en-GB"/>
        </w:rPr>
        <w:t xml:space="preserve">related quality of life of adults with </w:t>
      </w:r>
      <w:r>
        <w:rPr>
          <w:rFonts w:ascii="Arial" w:hAnsi="Arial" w:cs="Arial"/>
          <w:lang w:val="en-GB"/>
        </w:rPr>
        <w:t>osteogenesis imperfecta (OI)</w:t>
      </w:r>
      <w:r w:rsidRPr="00AD451B">
        <w:rPr>
          <w:rFonts w:ascii="Arial" w:hAnsi="Arial" w:cs="Arial"/>
          <w:lang w:val="en-GB"/>
        </w:rPr>
        <w:t>, fibrous dysplasia</w:t>
      </w:r>
      <w:r w:rsidR="00174223">
        <w:rPr>
          <w:rFonts w:ascii="Arial" w:hAnsi="Arial" w:cs="Arial"/>
          <w:lang w:val="en-GB"/>
        </w:rPr>
        <w:t xml:space="preserve"> (FD)</w:t>
      </w:r>
      <w:r w:rsidRPr="00AD451B">
        <w:rPr>
          <w:rFonts w:ascii="Arial" w:hAnsi="Arial" w:cs="Arial"/>
          <w:lang w:val="en-GB"/>
        </w:rPr>
        <w:t xml:space="preserve"> and </w:t>
      </w:r>
      <w:r w:rsidR="00174223">
        <w:rPr>
          <w:rFonts w:ascii="Arial" w:hAnsi="Arial" w:cs="Arial"/>
          <w:lang w:val="en-GB"/>
        </w:rPr>
        <w:t>X</w:t>
      </w:r>
      <w:r w:rsidRPr="00AD451B">
        <w:rPr>
          <w:rFonts w:ascii="Arial" w:hAnsi="Arial" w:cs="Arial"/>
          <w:lang w:val="en-GB"/>
        </w:rPr>
        <w:t xml:space="preserve">-linked </w:t>
      </w:r>
      <w:r w:rsidR="000B6A2C" w:rsidRPr="00AD451B">
        <w:rPr>
          <w:rFonts w:ascii="Arial" w:hAnsi="Arial" w:cs="Arial"/>
          <w:lang w:val="en-GB"/>
        </w:rPr>
        <w:t>hypophosphatemia</w:t>
      </w:r>
      <w:r w:rsidR="00174223">
        <w:rPr>
          <w:rFonts w:ascii="Arial" w:hAnsi="Arial" w:cs="Arial"/>
          <w:lang w:val="en-GB"/>
        </w:rPr>
        <w:t xml:space="preserve"> (XLH)</w:t>
      </w:r>
      <w:r w:rsidRPr="00AD451B">
        <w:rPr>
          <w:rFonts w:ascii="Arial" w:hAnsi="Arial" w:cs="Arial"/>
          <w:lang w:val="en-GB"/>
        </w:rPr>
        <w:t xml:space="preserve"> remains poorly </w:t>
      </w:r>
      <w:r>
        <w:rPr>
          <w:rFonts w:ascii="Arial" w:hAnsi="Arial" w:cs="Arial"/>
          <w:lang w:val="en-GB"/>
        </w:rPr>
        <w:t xml:space="preserve">described. </w:t>
      </w:r>
      <w:r w:rsidRPr="00AD451B">
        <w:rPr>
          <w:rFonts w:ascii="Arial" w:hAnsi="Arial" w:cs="Arial"/>
          <w:lang w:val="en-GB"/>
        </w:rPr>
        <w:t xml:space="preserve">The aim of this study was to describe the HRQoL of adults with </w:t>
      </w:r>
      <w:r>
        <w:rPr>
          <w:rFonts w:ascii="Arial" w:hAnsi="Arial" w:cs="Arial"/>
          <w:lang w:val="en-GB"/>
        </w:rPr>
        <w:t>osteogenesis imperfecta, fibrous dysplasia and X-linked hypophophataemia and</w:t>
      </w:r>
      <w:r w:rsidRPr="00AD451B">
        <w:rPr>
          <w:rFonts w:ascii="Arial" w:hAnsi="Arial" w:cs="Arial"/>
          <w:lang w:val="en-GB"/>
        </w:rPr>
        <w:t xml:space="preserve"> perform a cost-utility simulation to calculate the maximum cost </w:t>
      </w:r>
      <w:r>
        <w:rPr>
          <w:rFonts w:ascii="Arial" w:hAnsi="Arial" w:cs="Arial"/>
          <w:lang w:val="en-GB"/>
        </w:rPr>
        <w:t xml:space="preserve">that </w:t>
      </w:r>
      <w:r w:rsidRPr="00AD451B">
        <w:rPr>
          <w:rFonts w:ascii="Arial" w:hAnsi="Arial" w:cs="Arial"/>
          <w:lang w:val="en-GB"/>
        </w:rPr>
        <w:t>a health care system would be willing to pay for a hypothetical treatment of a rare bone disease.</w:t>
      </w:r>
      <w:r>
        <w:rPr>
          <w:rFonts w:ascii="Arial" w:hAnsi="Arial" w:cs="Arial"/>
          <w:lang w:val="en-GB"/>
        </w:rPr>
        <w:t xml:space="preserve"> </w:t>
      </w:r>
    </w:p>
    <w:p w14:paraId="588B8D75" w14:textId="77777777" w:rsidR="00E608A7" w:rsidRDefault="00E608A7" w:rsidP="00511F60">
      <w:pPr>
        <w:spacing w:line="480" w:lineRule="auto"/>
        <w:jc w:val="both"/>
        <w:rPr>
          <w:rFonts w:ascii="Arial" w:hAnsi="Arial" w:cs="Arial"/>
          <w:lang w:val="en-GB"/>
        </w:rPr>
      </w:pPr>
    </w:p>
    <w:p w14:paraId="7CBEB0D8" w14:textId="77777777" w:rsidR="00E608A7" w:rsidRPr="00AA7CC6" w:rsidRDefault="00E608A7" w:rsidP="00511F60">
      <w:pPr>
        <w:spacing w:line="480" w:lineRule="auto"/>
        <w:jc w:val="both"/>
        <w:rPr>
          <w:rFonts w:ascii="Arial" w:hAnsi="Arial" w:cs="Arial"/>
          <w:b/>
          <w:lang w:val="en-GB"/>
        </w:rPr>
      </w:pPr>
      <w:r w:rsidRPr="00AA7CC6">
        <w:rPr>
          <w:rFonts w:ascii="Arial" w:hAnsi="Arial" w:cs="Arial"/>
          <w:b/>
          <w:lang w:val="en-GB"/>
        </w:rPr>
        <w:t>Results</w:t>
      </w:r>
    </w:p>
    <w:p w14:paraId="3A934B86" w14:textId="77777777" w:rsidR="00E608A7" w:rsidRDefault="00E608A7" w:rsidP="00511F60">
      <w:pPr>
        <w:spacing w:line="480" w:lineRule="auto"/>
        <w:jc w:val="both"/>
        <w:rPr>
          <w:rFonts w:ascii="Arial" w:hAnsi="Arial" w:cs="Arial"/>
          <w:lang w:val="en-GB"/>
        </w:rPr>
      </w:pPr>
      <w:r w:rsidRPr="00AD451B">
        <w:rPr>
          <w:rFonts w:ascii="Arial" w:hAnsi="Arial"/>
          <w:lang w:val="en-GB"/>
        </w:rPr>
        <w:t>Participants complete</w:t>
      </w:r>
      <w:r>
        <w:rPr>
          <w:rFonts w:ascii="Arial" w:hAnsi="Arial"/>
          <w:lang w:val="en-GB"/>
        </w:rPr>
        <w:t>d</w:t>
      </w:r>
      <w:r w:rsidRPr="00AD451B">
        <w:rPr>
          <w:rFonts w:ascii="Arial" w:hAnsi="Arial"/>
          <w:lang w:val="en-GB"/>
        </w:rPr>
        <w:t xml:space="preserve"> the EQ-5D-5L questionnaire</w:t>
      </w:r>
      <w:r>
        <w:rPr>
          <w:rFonts w:ascii="Arial" w:hAnsi="Arial"/>
          <w:lang w:val="en-GB"/>
        </w:rPr>
        <w:t xml:space="preserve"> between </w:t>
      </w:r>
      <w:r w:rsidRPr="00AD451B">
        <w:rPr>
          <w:rFonts w:ascii="Arial" w:hAnsi="Arial"/>
          <w:lang w:val="en-GB"/>
        </w:rPr>
        <w:t xml:space="preserve">September 2014 </w:t>
      </w:r>
      <w:r>
        <w:rPr>
          <w:rFonts w:ascii="Arial" w:hAnsi="Arial"/>
          <w:lang w:val="en-GB"/>
        </w:rPr>
        <w:t>and</w:t>
      </w:r>
      <w:r w:rsidRPr="00AD451B">
        <w:rPr>
          <w:rFonts w:ascii="Arial" w:hAnsi="Arial"/>
          <w:lang w:val="en-GB"/>
        </w:rPr>
        <w:t xml:space="preserve"> March 2016</w:t>
      </w:r>
      <w:r>
        <w:rPr>
          <w:rFonts w:ascii="Arial" w:hAnsi="Arial"/>
          <w:lang w:val="en-GB"/>
        </w:rPr>
        <w:t xml:space="preserve">. </w:t>
      </w:r>
      <w:r w:rsidRPr="00AD451B">
        <w:rPr>
          <w:rFonts w:ascii="Arial" w:hAnsi="Arial" w:cs="Arial"/>
          <w:lang w:val="en-GB"/>
        </w:rPr>
        <w:t xml:space="preserve">For </w:t>
      </w:r>
      <w:r>
        <w:rPr>
          <w:rFonts w:ascii="Arial" w:hAnsi="Arial" w:cs="Arial"/>
          <w:lang w:val="en-GB"/>
        </w:rPr>
        <w:t>the economic</w:t>
      </w:r>
      <w:r w:rsidRPr="00AD451B">
        <w:rPr>
          <w:rFonts w:ascii="Arial" w:hAnsi="Arial" w:cs="Arial"/>
          <w:lang w:val="en-GB"/>
        </w:rPr>
        <w:t xml:space="preserve"> simulation, we considered a </w:t>
      </w:r>
      <w:r>
        <w:rPr>
          <w:rFonts w:ascii="Arial" w:hAnsi="Arial" w:cs="Arial"/>
          <w:lang w:val="en-GB"/>
        </w:rPr>
        <w:t xml:space="preserve">hypothetical </w:t>
      </w:r>
      <w:r w:rsidRPr="00AD451B">
        <w:rPr>
          <w:rFonts w:ascii="Arial" w:hAnsi="Arial" w:cs="Arial"/>
          <w:lang w:val="en-GB"/>
        </w:rPr>
        <w:t xml:space="preserve">treatment that would be applied to </w:t>
      </w:r>
      <w:r>
        <w:rPr>
          <w:rFonts w:ascii="Arial" w:hAnsi="Arial" w:cs="Arial"/>
          <w:lang w:val="en-GB"/>
        </w:rPr>
        <w:t xml:space="preserve">OI participants in </w:t>
      </w:r>
      <w:r w:rsidRPr="00AD451B">
        <w:rPr>
          <w:rFonts w:ascii="Arial" w:hAnsi="Arial" w:cs="Arial"/>
          <w:lang w:val="en-GB"/>
        </w:rPr>
        <w:t xml:space="preserve">the lower tertile </w:t>
      </w:r>
      <w:r>
        <w:rPr>
          <w:rFonts w:ascii="Arial" w:hAnsi="Arial" w:cs="Arial"/>
          <w:lang w:val="en-GB"/>
        </w:rPr>
        <w:t xml:space="preserve">of the health utility score. </w:t>
      </w:r>
    </w:p>
    <w:p w14:paraId="3FC533AA" w14:textId="77777777" w:rsidR="00E608A7" w:rsidRDefault="00E608A7" w:rsidP="00511F60">
      <w:pPr>
        <w:spacing w:line="480" w:lineRule="auto"/>
        <w:jc w:val="both"/>
        <w:rPr>
          <w:rFonts w:ascii="Arial" w:hAnsi="Arial" w:cs="Arial"/>
          <w:lang w:val="en-GB"/>
        </w:rPr>
      </w:pPr>
    </w:p>
    <w:p w14:paraId="3521EF06" w14:textId="7053A613" w:rsidR="00174223" w:rsidRDefault="00E608A7" w:rsidP="00511F60">
      <w:pPr>
        <w:spacing w:line="480" w:lineRule="auto"/>
        <w:jc w:val="both"/>
        <w:rPr>
          <w:rFonts w:ascii="Arial" w:hAnsi="Arial" w:cs="Arial"/>
          <w:lang w:val="en-GB"/>
        </w:rPr>
      </w:pPr>
      <w:r w:rsidRPr="00AD451B">
        <w:rPr>
          <w:rFonts w:ascii="Arial" w:hAnsi="Arial" w:cs="Arial"/>
          <w:lang w:val="en-GB"/>
        </w:rPr>
        <w:t xml:space="preserve">A total of 109 </w:t>
      </w:r>
      <w:r>
        <w:rPr>
          <w:rFonts w:ascii="Arial" w:hAnsi="Arial" w:cs="Arial"/>
          <w:lang w:val="en-GB"/>
        </w:rPr>
        <w:t xml:space="preserve">study </w:t>
      </w:r>
      <w:r w:rsidRPr="00AD451B">
        <w:rPr>
          <w:rFonts w:ascii="Arial" w:hAnsi="Arial" w:cs="Arial"/>
          <w:lang w:val="en-GB"/>
        </w:rPr>
        <w:t xml:space="preserve">participants fully completed the EQ-5D-5L questionnaire (response rate 63%). </w:t>
      </w:r>
      <w:r>
        <w:rPr>
          <w:rFonts w:ascii="Arial" w:hAnsi="Arial" w:cs="Arial"/>
          <w:lang w:val="en-GB"/>
        </w:rPr>
        <w:t xml:space="preserve"> </w:t>
      </w:r>
      <w:r w:rsidRPr="00AD451B">
        <w:rPr>
          <w:rFonts w:ascii="Arial" w:hAnsi="Arial" w:cs="Arial"/>
          <w:lang w:val="en-GB"/>
        </w:rPr>
        <w:t>Pain</w:t>
      </w:r>
      <w:r>
        <w:rPr>
          <w:rFonts w:ascii="Arial" w:hAnsi="Arial" w:cs="Arial"/>
          <w:lang w:val="en-GB"/>
        </w:rPr>
        <w:t>/</w:t>
      </w:r>
      <w:r w:rsidRPr="00AD451B">
        <w:rPr>
          <w:rFonts w:ascii="Arial" w:hAnsi="Arial" w:cs="Arial"/>
          <w:lang w:val="en-GB"/>
        </w:rPr>
        <w:t>discomfort was the most problematic domain for participants with all three diseases</w:t>
      </w:r>
      <w:r>
        <w:rPr>
          <w:rFonts w:ascii="Arial" w:hAnsi="Arial" w:cs="Arial"/>
          <w:lang w:val="en-GB"/>
        </w:rPr>
        <w:t xml:space="preserve"> (FD 31%, XLH 25%, OI 16%)</w:t>
      </w:r>
      <w:r w:rsidRPr="00AD451B">
        <w:rPr>
          <w:rFonts w:ascii="Arial" w:hAnsi="Arial" w:cs="Arial"/>
          <w:lang w:val="en-GB"/>
        </w:rPr>
        <w:t xml:space="preserve">. </w:t>
      </w:r>
    </w:p>
    <w:p w14:paraId="4E2DE99D" w14:textId="77777777" w:rsidR="004A015D" w:rsidRDefault="004A015D" w:rsidP="00511F60">
      <w:pPr>
        <w:spacing w:line="480" w:lineRule="auto"/>
        <w:jc w:val="both"/>
        <w:rPr>
          <w:rFonts w:ascii="Arial" w:hAnsi="Arial" w:cs="Arial"/>
          <w:lang w:val="en-GB"/>
        </w:rPr>
      </w:pPr>
    </w:p>
    <w:p w14:paraId="0B5BCE63" w14:textId="22148E43" w:rsidR="00E608A7" w:rsidRDefault="00E608A7" w:rsidP="00511F60">
      <w:pPr>
        <w:spacing w:line="480" w:lineRule="auto"/>
        <w:jc w:val="both"/>
        <w:rPr>
          <w:rFonts w:ascii="Arial" w:hAnsi="Arial" w:cs="Arial"/>
          <w:lang w:val="en-GB"/>
        </w:rPr>
      </w:pPr>
      <w:r>
        <w:rPr>
          <w:rFonts w:ascii="Arial" w:hAnsi="Arial" w:cs="Arial"/>
          <w:lang w:val="en-GB"/>
        </w:rPr>
        <w:t xml:space="preserve">The economic simulation identified an expected treatment </w:t>
      </w:r>
      <w:r w:rsidRPr="00AD451B">
        <w:rPr>
          <w:rFonts w:ascii="Arial" w:hAnsi="Arial" w:cs="Arial"/>
          <w:lang w:val="en-GB"/>
        </w:rPr>
        <w:t>impact of +2.5 QALYs gained per person during the 10-year period</w:t>
      </w:r>
      <w:r>
        <w:rPr>
          <w:rFonts w:ascii="Arial" w:hAnsi="Arial" w:cs="Arial"/>
          <w:lang w:val="en-GB"/>
        </w:rPr>
        <w:t xml:space="preserve">, which led to a </w:t>
      </w:r>
      <w:r w:rsidRPr="00AD451B">
        <w:rPr>
          <w:rFonts w:ascii="Arial" w:hAnsi="Arial" w:cs="Arial"/>
          <w:lang w:val="en-GB"/>
        </w:rPr>
        <w:t xml:space="preserve">willing to pay </w:t>
      </w:r>
      <w:r>
        <w:rPr>
          <w:rFonts w:ascii="Arial" w:hAnsi="Arial" w:cs="Arial"/>
          <w:lang w:val="en-GB"/>
        </w:rPr>
        <w:t xml:space="preserve">of </w:t>
      </w:r>
      <w:r w:rsidRPr="00AD451B">
        <w:rPr>
          <w:rFonts w:ascii="Arial" w:hAnsi="Arial" w:cs="Arial"/>
          <w:lang w:val="en-GB"/>
        </w:rPr>
        <w:t>£14,355 annually</w:t>
      </w:r>
      <w:r>
        <w:rPr>
          <w:rFonts w:ascii="Arial" w:hAnsi="Arial" w:cs="Arial"/>
          <w:lang w:val="en-GB"/>
        </w:rPr>
        <w:t xml:space="preserve"> for a </w:t>
      </w:r>
      <w:r w:rsidRPr="00AD451B">
        <w:rPr>
          <w:rFonts w:ascii="Arial" w:hAnsi="Arial" w:cs="Arial"/>
          <w:lang w:val="en-GB"/>
        </w:rPr>
        <w:t>health care system willing to pay up to £50,000 for each additional QALY gained by an intervention</w:t>
      </w:r>
      <w:r>
        <w:rPr>
          <w:rFonts w:ascii="Arial" w:hAnsi="Arial" w:cs="Arial"/>
          <w:lang w:val="en-GB"/>
        </w:rPr>
        <w:t>.</w:t>
      </w:r>
    </w:p>
    <w:p w14:paraId="5C096655" w14:textId="77777777" w:rsidR="00E608A7" w:rsidRDefault="00E608A7" w:rsidP="00511F60">
      <w:pPr>
        <w:spacing w:line="480" w:lineRule="auto"/>
        <w:jc w:val="both"/>
        <w:rPr>
          <w:rFonts w:ascii="Arial" w:hAnsi="Arial" w:cs="Arial"/>
          <w:lang w:val="en-GB"/>
        </w:rPr>
      </w:pPr>
    </w:p>
    <w:p w14:paraId="6FA7B7D2" w14:textId="77777777" w:rsidR="00E608A7" w:rsidRPr="00A4184C" w:rsidRDefault="00E608A7" w:rsidP="00511F60">
      <w:pPr>
        <w:spacing w:line="480" w:lineRule="auto"/>
        <w:jc w:val="both"/>
        <w:rPr>
          <w:rFonts w:ascii="Arial" w:hAnsi="Arial" w:cs="Arial"/>
          <w:b/>
          <w:lang w:val="en-GB"/>
        </w:rPr>
      </w:pPr>
      <w:r w:rsidRPr="00A4184C">
        <w:rPr>
          <w:rFonts w:ascii="Arial" w:hAnsi="Arial" w:cs="Arial"/>
          <w:b/>
          <w:lang w:val="en-GB"/>
        </w:rPr>
        <w:t>Conclusions</w:t>
      </w:r>
    </w:p>
    <w:p w14:paraId="1043F78A" w14:textId="77777777" w:rsidR="00E608A7" w:rsidRDefault="00E608A7" w:rsidP="00511F60">
      <w:pPr>
        <w:spacing w:line="480" w:lineRule="auto"/>
        <w:jc w:val="both"/>
        <w:rPr>
          <w:rFonts w:ascii="Arial" w:hAnsi="Arial" w:cs="Arial"/>
          <w:u w:val="single"/>
          <w:lang w:val="en-GB"/>
        </w:rPr>
      </w:pPr>
      <w:r w:rsidRPr="00AD451B">
        <w:rPr>
          <w:rFonts w:ascii="Arial" w:hAnsi="Arial" w:cs="Arial"/>
          <w:lang w:val="en-GB"/>
        </w:rPr>
        <w:t>This is the first study to quantitatively measure and compare the HRQoL of adults with OI, FD and XLH</w:t>
      </w:r>
      <w:r>
        <w:rPr>
          <w:rFonts w:ascii="Arial" w:hAnsi="Arial" w:cs="Arial"/>
          <w:lang w:val="en-GB"/>
        </w:rPr>
        <w:t xml:space="preserve"> and the first to use such data to conduct an economic simulation leading to healthcare system willingness-to-pay estimates for treatment of musculoskeletal rare diseases at various cost-effectiveness thresholds</w:t>
      </w:r>
      <w:r w:rsidRPr="00AD451B">
        <w:rPr>
          <w:rFonts w:ascii="Arial" w:hAnsi="Arial" w:cs="Arial"/>
          <w:lang w:val="en-GB"/>
        </w:rPr>
        <w:t>.</w:t>
      </w:r>
      <w:r>
        <w:rPr>
          <w:rFonts w:ascii="Arial" w:hAnsi="Arial" w:cs="Arial"/>
          <w:lang w:val="en-GB"/>
        </w:rPr>
        <w:t xml:space="preserve">  </w:t>
      </w:r>
    </w:p>
    <w:p w14:paraId="1A7C338A" w14:textId="77777777" w:rsidR="00E608A7" w:rsidRDefault="00E608A7" w:rsidP="00511F60">
      <w:pPr>
        <w:spacing w:line="480" w:lineRule="auto"/>
        <w:jc w:val="both"/>
        <w:rPr>
          <w:rFonts w:ascii="Arial" w:hAnsi="Arial" w:cs="Arial"/>
          <w:u w:val="single"/>
          <w:lang w:val="en-GB"/>
        </w:rPr>
      </w:pPr>
    </w:p>
    <w:p w14:paraId="29D1F6C6" w14:textId="77777777" w:rsidR="00E608A7" w:rsidRDefault="00E608A7" w:rsidP="00511F60">
      <w:pPr>
        <w:spacing w:line="480" w:lineRule="auto"/>
        <w:rPr>
          <w:rFonts w:ascii="Arial" w:hAnsi="Arial" w:cs="Arial"/>
          <w:u w:val="single"/>
          <w:lang w:val="en-GB"/>
        </w:rPr>
      </w:pPr>
      <w:r>
        <w:rPr>
          <w:rFonts w:ascii="Arial" w:hAnsi="Arial" w:cs="Arial"/>
          <w:u w:val="single"/>
          <w:lang w:val="en-GB"/>
        </w:rPr>
        <w:br w:type="page"/>
      </w:r>
    </w:p>
    <w:p w14:paraId="26BF88B2" w14:textId="53E9CEA0" w:rsidR="00E608A7" w:rsidRPr="00A4184C" w:rsidRDefault="00430ECA" w:rsidP="00511F60">
      <w:pPr>
        <w:spacing w:line="480" w:lineRule="auto"/>
        <w:jc w:val="both"/>
        <w:rPr>
          <w:rFonts w:ascii="Arial" w:hAnsi="Arial" w:cs="Arial"/>
          <w:b/>
          <w:lang w:val="en-GB"/>
        </w:rPr>
      </w:pPr>
      <w:r>
        <w:rPr>
          <w:rFonts w:ascii="Arial" w:hAnsi="Arial" w:cs="Arial"/>
          <w:b/>
          <w:lang w:val="en-GB"/>
        </w:rPr>
        <w:lastRenderedPageBreak/>
        <w:t>B</w:t>
      </w:r>
      <w:r w:rsidR="00E608A7" w:rsidRPr="00A4184C">
        <w:rPr>
          <w:rFonts w:ascii="Arial" w:hAnsi="Arial" w:cs="Arial"/>
          <w:b/>
          <w:lang w:val="en-GB"/>
        </w:rPr>
        <w:t>ackground</w:t>
      </w:r>
    </w:p>
    <w:p w14:paraId="1CEBDD1F" w14:textId="1F555CB6" w:rsidR="00E608A7" w:rsidRPr="00AD451B" w:rsidRDefault="00E608A7" w:rsidP="00511F60">
      <w:pPr>
        <w:spacing w:line="480" w:lineRule="auto"/>
        <w:jc w:val="both"/>
        <w:rPr>
          <w:rFonts w:ascii="Arial" w:hAnsi="Arial" w:cs="Arial"/>
          <w:lang w:val="en-GB"/>
        </w:rPr>
      </w:pPr>
      <w:r w:rsidRPr="00AD451B">
        <w:rPr>
          <w:rFonts w:ascii="Arial" w:hAnsi="Arial" w:cs="Arial"/>
          <w:lang w:val="en-GB"/>
        </w:rPr>
        <w:t>Living with a chronic rare disease often poses medical, psychological, financial and educational challenges.</w:t>
      </w:r>
      <w:r w:rsidRPr="00AD451B">
        <w:rPr>
          <w:rFonts w:ascii="Arial" w:hAnsi="Arial" w:cs="Arial"/>
          <w:noProof/>
          <w:lang w:val="en-GB"/>
        </w:rPr>
        <w:t>(1)</w:t>
      </w:r>
      <w:r w:rsidRPr="00AD451B">
        <w:rPr>
          <w:rFonts w:ascii="Arial" w:hAnsi="Arial" w:cs="Arial"/>
          <w:lang w:val="en-GB"/>
        </w:rPr>
        <w:t xml:space="preserve"> Most rare diseases are genetic disorders, which are o</w:t>
      </w:r>
      <w:r>
        <w:rPr>
          <w:rFonts w:ascii="Arial" w:hAnsi="Arial" w:cs="Arial"/>
          <w:lang w:val="en-GB"/>
        </w:rPr>
        <w:t>ften debilitating and have long-</w:t>
      </w:r>
      <w:r w:rsidRPr="00AD451B">
        <w:rPr>
          <w:rFonts w:ascii="Arial" w:hAnsi="Arial" w:cs="Arial"/>
          <w:lang w:val="en-GB"/>
        </w:rPr>
        <w:t>term impact on the quality of life of individuals and their famil</w:t>
      </w:r>
      <w:r>
        <w:rPr>
          <w:rFonts w:ascii="Arial" w:hAnsi="Arial" w:cs="Arial"/>
          <w:lang w:val="en-GB"/>
        </w:rPr>
        <w:t>ies</w:t>
      </w:r>
      <w:r w:rsidRPr="00AD451B">
        <w:rPr>
          <w:rFonts w:ascii="Arial" w:hAnsi="Arial" w:cs="Arial"/>
          <w:lang w:val="en-GB"/>
        </w:rPr>
        <w:t>.</w:t>
      </w:r>
      <w:r w:rsidRPr="00AD451B">
        <w:rPr>
          <w:rFonts w:ascii="Arial" w:hAnsi="Arial" w:cs="Arial"/>
          <w:noProof/>
          <w:lang w:val="en-GB"/>
        </w:rPr>
        <w:t>(2)</w:t>
      </w:r>
      <w:r w:rsidRPr="00AD451B">
        <w:rPr>
          <w:rFonts w:ascii="Arial" w:hAnsi="Arial" w:cs="Arial"/>
          <w:lang w:val="en-GB"/>
        </w:rPr>
        <w:t xml:space="preserve"> Rare diseases that affect the musculoskeletal system can pose significant mobility issues </w:t>
      </w:r>
      <w:r>
        <w:rPr>
          <w:rFonts w:ascii="Arial" w:hAnsi="Arial" w:cs="Arial"/>
          <w:lang w:val="en-GB"/>
        </w:rPr>
        <w:t>from</w:t>
      </w:r>
      <w:r w:rsidRPr="00AD451B">
        <w:rPr>
          <w:rFonts w:ascii="Arial" w:hAnsi="Arial" w:cs="Arial"/>
          <w:lang w:val="en-GB"/>
        </w:rPr>
        <w:t xml:space="preserve"> painful fractures, deformity and</w:t>
      </w:r>
      <w:r>
        <w:rPr>
          <w:rFonts w:ascii="Arial" w:hAnsi="Arial" w:cs="Arial"/>
          <w:lang w:val="en-GB"/>
        </w:rPr>
        <w:t>/</w:t>
      </w:r>
      <w:r w:rsidRPr="00AD451B">
        <w:rPr>
          <w:rFonts w:ascii="Arial" w:hAnsi="Arial" w:cs="Arial"/>
          <w:lang w:val="en-GB"/>
        </w:rPr>
        <w:t xml:space="preserve"> or bone pai</w:t>
      </w:r>
      <w:r>
        <w:rPr>
          <w:rFonts w:ascii="Arial" w:hAnsi="Arial" w:cs="Arial"/>
          <w:lang w:val="en-GB"/>
        </w:rPr>
        <w:t xml:space="preserve">n and include </w:t>
      </w:r>
      <w:r w:rsidRPr="00AD451B">
        <w:rPr>
          <w:rFonts w:ascii="Arial" w:hAnsi="Arial" w:cs="Arial"/>
          <w:lang w:val="en-GB"/>
        </w:rPr>
        <w:t xml:space="preserve">Osteogenesis imperfecta (OI), fibrous dysplasia (FD) and </w:t>
      </w:r>
      <w:r>
        <w:rPr>
          <w:rFonts w:ascii="Arial" w:hAnsi="Arial" w:cs="Arial"/>
          <w:lang w:val="en-GB"/>
        </w:rPr>
        <w:t>X-</w:t>
      </w:r>
      <w:r w:rsidRPr="00AD451B">
        <w:rPr>
          <w:rFonts w:ascii="Arial" w:hAnsi="Arial" w:cs="Arial"/>
          <w:lang w:val="en-GB"/>
        </w:rPr>
        <w:t xml:space="preserve">linked </w:t>
      </w:r>
      <w:r w:rsidR="000B6A2C" w:rsidRPr="00AD451B">
        <w:rPr>
          <w:rFonts w:ascii="Arial" w:hAnsi="Arial" w:cs="Arial"/>
          <w:lang w:val="en-GB"/>
        </w:rPr>
        <w:t>hypophosphatemia</w:t>
      </w:r>
      <w:r w:rsidRPr="00AD451B">
        <w:rPr>
          <w:rFonts w:ascii="Arial" w:hAnsi="Arial" w:cs="Arial"/>
          <w:lang w:val="en-GB"/>
        </w:rPr>
        <w:t xml:space="preserve"> (XLH)</w:t>
      </w:r>
      <w:r>
        <w:rPr>
          <w:rFonts w:ascii="Arial" w:hAnsi="Arial" w:cs="Arial"/>
          <w:lang w:val="en-GB"/>
        </w:rPr>
        <w:t xml:space="preserve">. </w:t>
      </w:r>
    </w:p>
    <w:p w14:paraId="1F8EBA8B" w14:textId="77777777" w:rsidR="00E608A7" w:rsidRPr="00AD451B" w:rsidRDefault="00E608A7" w:rsidP="00511F60">
      <w:pPr>
        <w:spacing w:line="480" w:lineRule="auto"/>
        <w:jc w:val="both"/>
        <w:rPr>
          <w:rFonts w:ascii="Arial" w:hAnsi="Arial" w:cs="Arial"/>
          <w:lang w:val="en-GB"/>
        </w:rPr>
      </w:pPr>
    </w:p>
    <w:p w14:paraId="3D55053C" w14:textId="14D99873" w:rsidR="005B7B4F" w:rsidRDefault="00E608A7" w:rsidP="00511F60">
      <w:pPr>
        <w:spacing w:line="480" w:lineRule="auto"/>
        <w:jc w:val="both"/>
        <w:rPr>
          <w:rFonts w:ascii="Arial" w:hAnsi="Arial" w:cs="Arial"/>
          <w:noProof/>
          <w:lang w:val="en-GB"/>
        </w:rPr>
      </w:pPr>
      <w:r w:rsidRPr="00AD451B">
        <w:rPr>
          <w:rFonts w:ascii="Arial" w:hAnsi="Arial" w:cs="Arial"/>
          <w:lang w:val="en-GB"/>
        </w:rPr>
        <w:t>Historically, research in rare diseases has focused on the pathogenesis and clinical manifestations</w:t>
      </w:r>
      <w:r w:rsidR="000B6A2C">
        <w:rPr>
          <w:rFonts w:ascii="Arial" w:hAnsi="Arial" w:cs="Arial"/>
          <w:lang w:val="en-GB"/>
        </w:rPr>
        <w:t>.</w:t>
      </w:r>
      <w:r>
        <w:rPr>
          <w:rFonts w:ascii="Arial" w:hAnsi="Arial" w:cs="Arial"/>
          <w:noProof/>
          <w:lang w:val="en-GB"/>
        </w:rPr>
        <w:t>(3)</w:t>
      </w:r>
      <w:r w:rsidRPr="00AD451B">
        <w:rPr>
          <w:rFonts w:ascii="Arial" w:hAnsi="Arial" w:cs="Arial"/>
          <w:lang w:val="en-GB"/>
        </w:rPr>
        <w:t xml:space="preserve"> In recent years</w:t>
      </w:r>
      <w:r>
        <w:rPr>
          <w:rFonts w:ascii="Arial" w:hAnsi="Arial" w:cs="Arial"/>
          <w:lang w:val="en-GB"/>
        </w:rPr>
        <w:t>,</w:t>
      </w:r>
      <w:r w:rsidRPr="00AD451B">
        <w:rPr>
          <w:rFonts w:ascii="Arial" w:hAnsi="Arial" w:cs="Arial"/>
          <w:lang w:val="en-GB"/>
        </w:rPr>
        <w:t xml:space="preserve"> </w:t>
      </w:r>
      <w:r>
        <w:rPr>
          <w:rFonts w:ascii="Arial" w:hAnsi="Arial" w:cs="Arial"/>
          <w:lang w:val="en-GB"/>
        </w:rPr>
        <w:t>health-</w:t>
      </w:r>
      <w:r w:rsidRPr="00AD451B">
        <w:rPr>
          <w:rFonts w:ascii="Arial" w:hAnsi="Arial" w:cs="Arial"/>
          <w:lang w:val="en-GB"/>
        </w:rPr>
        <w:t xml:space="preserve">related quality of life </w:t>
      </w:r>
      <w:r>
        <w:rPr>
          <w:rFonts w:ascii="Arial" w:hAnsi="Arial" w:cs="Arial"/>
          <w:lang w:val="en-GB"/>
        </w:rPr>
        <w:t>(</w:t>
      </w:r>
      <w:r w:rsidRPr="00AD451B">
        <w:rPr>
          <w:rFonts w:ascii="Arial" w:hAnsi="Arial" w:cs="Arial"/>
          <w:lang w:val="en-GB"/>
        </w:rPr>
        <w:t>HRQoL</w:t>
      </w:r>
      <w:r>
        <w:rPr>
          <w:rFonts w:ascii="Arial" w:hAnsi="Arial" w:cs="Arial"/>
          <w:lang w:val="en-GB"/>
        </w:rPr>
        <w:t>)</w:t>
      </w:r>
      <w:r w:rsidRPr="00AD451B">
        <w:rPr>
          <w:rFonts w:ascii="Arial" w:hAnsi="Arial" w:cs="Arial"/>
          <w:lang w:val="en-GB"/>
        </w:rPr>
        <w:t xml:space="preserve"> has in</w:t>
      </w:r>
      <w:r>
        <w:rPr>
          <w:rFonts w:ascii="Arial" w:hAnsi="Arial" w:cs="Arial"/>
          <w:lang w:val="en-GB"/>
        </w:rPr>
        <w:t xml:space="preserve">creasingly been studied. </w:t>
      </w:r>
      <w:r w:rsidRPr="00AD451B">
        <w:rPr>
          <w:rFonts w:ascii="Arial" w:hAnsi="Arial" w:cs="Arial"/>
          <w:lang w:val="en-GB"/>
        </w:rPr>
        <w:t>HRQoL is one’s perception and self-assessment of their physical, psychological and social domains of health.</w:t>
      </w:r>
      <w:r>
        <w:rPr>
          <w:rFonts w:ascii="Arial" w:hAnsi="Arial" w:cs="Arial"/>
          <w:noProof/>
          <w:lang w:val="en-GB"/>
        </w:rPr>
        <w:t>(4)</w:t>
      </w:r>
      <w:r w:rsidRPr="00AD451B">
        <w:rPr>
          <w:rFonts w:ascii="Arial" w:hAnsi="Arial" w:cs="Arial"/>
          <w:lang w:val="en-GB"/>
        </w:rPr>
        <w:t xml:space="preserve"> Assessments of HRQoL in patients with rare diseases can be used in the evaluation of disease severity, </w:t>
      </w:r>
      <w:r w:rsidR="008066EC">
        <w:rPr>
          <w:rFonts w:ascii="Arial" w:hAnsi="Arial" w:cs="Arial"/>
          <w:lang w:val="en-GB"/>
        </w:rPr>
        <w:t xml:space="preserve">treatments, </w:t>
      </w:r>
      <w:r w:rsidR="00C56A15">
        <w:rPr>
          <w:rFonts w:ascii="Arial" w:hAnsi="Arial" w:cs="Arial"/>
          <w:lang w:val="en-GB"/>
        </w:rPr>
        <w:t xml:space="preserve">the </w:t>
      </w:r>
      <w:r w:rsidRPr="00AD451B">
        <w:rPr>
          <w:rFonts w:ascii="Arial" w:hAnsi="Arial" w:cs="Arial"/>
          <w:lang w:val="en-GB"/>
        </w:rPr>
        <w:t>identif</w:t>
      </w:r>
      <w:r w:rsidR="00C56A15">
        <w:rPr>
          <w:rFonts w:ascii="Arial" w:hAnsi="Arial" w:cs="Arial"/>
          <w:lang w:val="en-GB"/>
        </w:rPr>
        <w:t>ication of</w:t>
      </w:r>
      <w:r w:rsidRPr="00AD451B">
        <w:rPr>
          <w:rFonts w:ascii="Arial" w:hAnsi="Arial" w:cs="Arial"/>
          <w:lang w:val="en-GB"/>
        </w:rPr>
        <w:t xml:space="preserve"> health needs, and monitor</w:t>
      </w:r>
      <w:r w:rsidR="00C56A15">
        <w:rPr>
          <w:rFonts w:ascii="Arial" w:hAnsi="Arial" w:cs="Arial"/>
          <w:lang w:val="en-GB"/>
        </w:rPr>
        <w:t>ing of</w:t>
      </w:r>
      <w:r w:rsidRPr="00AD451B">
        <w:rPr>
          <w:rFonts w:ascii="Arial" w:hAnsi="Arial" w:cs="Arial"/>
          <w:lang w:val="en-GB"/>
        </w:rPr>
        <w:t xml:space="preserve"> progression through a patient</w:t>
      </w:r>
      <w:r>
        <w:rPr>
          <w:rFonts w:ascii="Arial" w:hAnsi="Arial" w:cs="Arial"/>
          <w:lang w:val="en-GB"/>
        </w:rPr>
        <w:t>’</w:t>
      </w:r>
      <w:r w:rsidRPr="00AD451B">
        <w:rPr>
          <w:rFonts w:ascii="Arial" w:hAnsi="Arial" w:cs="Arial"/>
          <w:lang w:val="en-GB"/>
        </w:rPr>
        <w:t>s life-course.</w:t>
      </w:r>
      <w:r>
        <w:rPr>
          <w:rFonts w:ascii="Arial" w:hAnsi="Arial" w:cs="Arial"/>
          <w:noProof/>
          <w:lang w:val="en-GB"/>
        </w:rPr>
        <w:t>(5)</w:t>
      </w:r>
      <w:r w:rsidR="00B54972">
        <w:rPr>
          <w:rFonts w:ascii="Arial" w:hAnsi="Arial" w:cs="Arial"/>
          <w:noProof/>
          <w:lang w:val="en-GB"/>
        </w:rPr>
        <w:t xml:space="preserve"> </w:t>
      </w:r>
    </w:p>
    <w:p w14:paraId="1CE2602E" w14:textId="77777777" w:rsidR="005B7B4F" w:rsidRDefault="005B7B4F" w:rsidP="00511F60">
      <w:pPr>
        <w:spacing w:line="480" w:lineRule="auto"/>
        <w:jc w:val="both"/>
        <w:rPr>
          <w:rFonts w:ascii="Arial" w:hAnsi="Arial" w:cs="Arial"/>
          <w:noProof/>
          <w:lang w:val="en-GB"/>
        </w:rPr>
      </w:pPr>
    </w:p>
    <w:p w14:paraId="41971686" w14:textId="52CCE28B" w:rsidR="00E608A7" w:rsidRPr="00AD451B" w:rsidRDefault="008066EC" w:rsidP="00511F60">
      <w:pPr>
        <w:spacing w:line="480" w:lineRule="auto"/>
        <w:jc w:val="both"/>
        <w:rPr>
          <w:rFonts w:ascii="Arial" w:hAnsi="Arial" w:cs="Arial"/>
          <w:noProof/>
          <w:lang w:val="en-GB"/>
        </w:rPr>
      </w:pPr>
      <w:r>
        <w:rPr>
          <w:rFonts w:ascii="Arial" w:hAnsi="Arial" w:cs="Arial"/>
          <w:noProof/>
          <w:lang w:val="en-GB"/>
        </w:rPr>
        <w:t xml:space="preserve">One </w:t>
      </w:r>
      <w:r w:rsidR="00B82CDD">
        <w:rPr>
          <w:rFonts w:ascii="Arial" w:hAnsi="Arial" w:cs="Arial"/>
          <w:noProof/>
          <w:lang w:val="en-GB"/>
        </w:rPr>
        <w:t>reason why HRQoL</w:t>
      </w:r>
      <w:r>
        <w:rPr>
          <w:rFonts w:ascii="Arial" w:hAnsi="Arial" w:cs="Arial"/>
          <w:noProof/>
          <w:lang w:val="en-GB"/>
        </w:rPr>
        <w:t xml:space="preserve"> in rare diseases</w:t>
      </w:r>
      <w:r w:rsidR="00B82CDD">
        <w:rPr>
          <w:rFonts w:ascii="Arial" w:hAnsi="Arial" w:cs="Arial"/>
          <w:noProof/>
          <w:lang w:val="en-GB"/>
        </w:rPr>
        <w:t xml:space="preserve"> is </w:t>
      </w:r>
      <w:r>
        <w:rPr>
          <w:rFonts w:ascii="Arial" w:hAnsi="Arial" w:cs="Arial"/>
          <w:noProof/>
          <w:lang w:val="en-GB"/>
        </w:rPr>
        <w:t xml:space="preserve">now of increasing </w:t>
      </w:r>
      <w:r w:rsidR="00B82CDD">
        <w:rPr>
          <w:rFonts w:ascii="Arial" w:hAnsi="Arial" w:cs="Arial"/>
          <w:noProof/>
          <w:lang w:val="en-GB"/>
        </w:rPr>
        <w:t xml:space="preserve">interest </w:t>
      </w:r>
      <w:r>
        <w:rPr>
          <w:rFonts w:ascii="Arial" w:hAnsi="Arial" w:cs="Arial"/>
          <w:noProof/>
          <w:lang w:val="en-GB"/>
        </w:rPr>
        <w:t>is the change in drug development practice. In the past rare diseases were neglected by pharmac</w:t>
      </w:r>
      <w:r w:rsidR="000004D6">
        <w:rPr>
          <w:rFonts w:ascii="Arial" w:hAnsi="Arial" w:cs="Arial"/>
          <w:noProof/>
          <w:lang w:val="en-GB"/>
        </w:rPr>
        <w:t>e</w:t>
      </w:r>
      <w:r>
        <w:rPr>
          <w:rFonts w:ascii="Arial" w:hAnsi="Arial" w:cs="Arial"/>
          <w:noProof/>
          <w:lang w:val="en-GB"/>
        </w:rPr>
        <w:t>utical companies</w:t>
      </w:r>
      <w:r w:rsidR="00BF41D9">
        <w:rPr>
          <w:rFonts w:ascii="Arial" w:hAnsi="Arial" w:cs="Arial"/>
          <w:noProof/>
          <w:lang w:val="en-GB"/>
        </w:rPr>
        <w:t xml:space="preserve"> as drug development was not</w:t>
      </w:r>
      <w:r>
        <w:rPr>
          <w:rFonts w:ascii="Arial" w:hAnsi="Arial" w:cs="Arial"/>
          <w:noProof/>
          <w:lang w:val="en-GB"/>
        </w:rPr>
        <w:t xml:space="preserve"> commercially viable. </w:t>
      </w:r>
      <w:r w:rsidR="00BF41D9">
        <w:rPr>
          <w:rFonts w:ascii="Arial" w:hAnsi="Arial" w:cs="Arial"/>
          <w:noProof/>
          <w:lang w:val="en-GB"/>
        </w:rPr>
        <w:t>This disc</w:t>
      </w:r>
      <w:r w:rsidR="005B7B4F">
        <w:rPr>
          <w:rFonts w:ascii="Arial" w:hAnsi="Arial" w:cs="Arial"/>
          <w:noProof/>
          <w:lang w:val="en-GB"/>
        </w:rPr>
        <w:t>rep</w:t>
      </w:r>
      <w:r w:rsidR="000004D6">
        <w:rPr>
          <w:rFonts w:ascii="Arial" w:hAnsi="Arial" w:cs="Arial"/>
          <w:noProof/>
          <w:lang w:val="en-GB"/>
        </w:rPr>
        <w:t>a</w:t>
      </w:r>
      <w:r w:rsidR="005B7B4F">
        <w:rPr>
          <w:rFonts w:ascii="Arial" w:hAnsi="Arial" w:cs="Arial"/>
          <w:noProof/>
          <w:lang w:val="en-GB"/>
        </w:rPr>
        <w:t>ncy was recognised</w:t>
      </w:r>
      <w:r w:rsidR="00BF41D9">
        <w:rPr>
          <w:rFonts w:ascii="Arial" w:hAnsi="Arial" w:cs="Arial"/>
          <w:noProof/>
          <w:lang w:val="en-GB"/>
        </w:rPr>
        <w:t xml:space="preserve"> worldwide and legislations now exist to encourage drug development for rare disease.</w:t>
      </w:r>
      <w:r w:rsidR="006C2979">
        <w:rPr>
          <w:rFonts w:ascii="Arial" w:hAnsi="Arial" w:cs="Arial"/>
          <w:noProof/>
          <w:lang w:val="en-GB"/>
        </w:rPr>
        <w:t>(6)</w:t>
      </w:r>
      <w:r w:rsidR="00BF41D9">
        <w:rPr>
          <w:rFonts w:ascii="Arial" w:hAnsi="Arial" w:cs="Arial"/>
          <w:noProof/>
          <w:lang w:val="en-GB"/>
        </w:rPr>
        <w:t xml:space="preserve"> </w:t>
      </w:r>
      <w:r w:rsidR="005B7B4F">
        <w:rPr>
          <w:rFonts w:ascii="Arial" w:hAnsi="Arial" w:cs="Arial"/>
          <w:noProof/>
          <w:lang w:val="en-GB"/>
        </w:rPr>
        <w:t xml:space="preserve">In the US, </w:t>
      </w:r>
      <w:r w:rsidR="00C56A15">
        <w:rPr>
          <w:rFonts w:ascii="Arial" w:hAnsi="Arial" w:cs="Arial"/>
          <w:noProof/>
          <w:lang w:val="en-GB"/>
        </w:rPr>
        <w:t xml:space="preserve">since 1983 </w:t>
      </w:r>
      <w:r w:rsidR="005B7B4F">
        <w:rPr>
          <w:rFonts w:ascii="Arial" w:hAnsi="Arial" w:cs="Arial"/>
          <w:noProof/>
          <w:lang w:val="en-GB"/>
        </w:rPr>
        <w:t xml:space="preserve">when the </w:t>
      </w:r>
      <w:r w:rsidR="00BF41D9">
        <w:rPr>
          <w:rFonts w:ascii="Arial" w:hAnsi="Arial" w:cs="Arial"/>
          <w:noProof/>
          <w:lang w:val="en-GB"/>
        </w:rPr>
        <w:t>Orphan Drug Act was passed</w:t>
      </w:r>
      <w:r w:rsidR="00C56A15">
        <w:rPr>
          <w:rFonts w:ascii="Arial" w:hAnsi="Arial" w:cs="Arial"/>
          <w:noProof/>
          <w:lang w:val="en-GB"/>
        </w:rPr>
        <w:t>,</w:t>
      </w:r>
      <w:r w:rsidR="00BF41D9">
        <w:rPr>
          <w:rFonts w:ascii="Arial" w:hAnsi="Arial" w:cs="Arial"/>
          <w:noProof/>
          <w:lang w:val="en-GB"/>
        </w:rPr>
        <w:t xml:space="preserve"> </w:t>
      </w:r>
      <w:r w:rsidR="005B7B4F">
        <w:rPr>
          <w:rFonts w:ascii="Arial" w:hAnsi="Arial" w:cs="Arial"/>
          <w:noProof/>
          <w:lang w:val="en-GB"/>
        </w:rPr>
        <w:t>over 500 drugs and biological products have become available</w:t>
      </w:r>
      <w:r w:rsidR="006C2979">
        <w:rPr>
          <w:rFonts w:ascii="Arial" w:hAnsi="Arial" w:cs="Arial"/>
          <w:noProof/>
          <w:lang w:val="en-GB"/>
        </w:rPr>
        <w:t>.(7)</w:t>
      </w:r>
      <w:r w:rsidR="004A015D">
        <w:rPr>
          <w:rFonts w:ascii="Arial" w:hAnsi="Arial" w:cs="Arial"/>
          <w:noProof/>
          <w:lang w:val="en-GB"/>
        </w:rPr>
        <w:t xml:space="preserve"> </w:t>
      </w:r>
      <w:r w:rsidR="005B7B4F">
        <w:rPr>
          <w:rFonts w:ascii="Arial" w:hAnsi="Arial" w:cs="Arial"/>
          <w:lang w:val="en-GB"/>
        </w:rPr>
        <w:t xml:space="preserve">Tools to measure </w:t>
      </w:r>
      <w:r w:rsidR="00E608A7" w:rsidRPr="00AD451B">
        <w:rPr>
          <w:rFonts w:ascii="Arial" w:hAnsi="Arial" w:cs="Arial"/>
          <w:lang w:val="en-GB"/>
        </w:rPr>
        <w:t xml:space="preserve">HRQoL </w:t>
      </w:r>
      <w:r w:rsidR="004A015D">
        <w:rPr>
          <w:rFonts w:ascii="Arial" w:hAnsi="Arial" w:cs="Arial"/>
          <w:lang w:val="en-GB"/>
        </w:rPr>
        <w:t>can aid treatment decision-making and monitor</w:t>
      </w:r>
      <w:r w:rsidR="00903609">
        <w:rPr>
          <w:rFonts w:ascii="Arial" w:hAnsi="Arial" w:cs="Arial"/>
          <w:lang w:val="en-GB"/>
        </w:rPr>
        <w:t>ing of</w:t>
      </w:r>
      <w:r w:rsidR="004A015D">
        <w:rPr>
          <w:rFonts w:ascii="Arial" w:hAnsi="Arial" w:cs="Arial"/>
          <w:lang w:val="en-GB"/>
        </w:rPr>
        <w:t xml:space="preserve"> treatment effects. They </w:t>
      </w:r>
      <w:r w:rsidR="004A015D">
        <w:rPr>
          <w:rFonts w:ascii="Arial" w:hAnsi="Arial" w:cs="Arial"/>
          <w:lang w:val="en-GB"/>
        </w:rPr>
        <w:lastRenderedPageBreak/>
        <w:t>are</w:t>
      </w:r>
      <w:r w:rsidR="005B7B4F">
        <w:rPr>
          <w:rFonts w:ascii="Arial" w:hAnsi="Arial" w:cs="Arial"/>
          <w:lang w:val="en-GB"/>
        </w:rPr>
        <w:t xml:space="preserve"> </w:t>
      </w:r>
      <w:r w:rsidR="00E608A7" w:rsidRPr="00AD451B">
        <w:rPr>
          <w:rFonts w:ascii="Arial" w:hAnsi="Arial" w:cs="Arial"/>
          <w:lang w:val="en-GB"/>
        </w:rPr>
        <w:t xml:space="preserve">required for economic evaluation and health technology assessment (HTA) of novel therapies in </w:t>
      </w:r>
      <w:r w:rsidR="00C56A15">
        <w:rPr>
          <w:rFonts w:ascii="Arial" w:hAnsi="Arial" w:cs="Arial"/>
          <w:lang w:val="en-GB"/>
        </w:rPr>
        <w:t>many</w:t>
      </w:r>
      <w:r w:rsidR="00C56A15" w:rsidRPr="00AD451B">
        <w:rPr>
          <w:rFonts w:ascii="Arial" w:hAnsi="Arial" w:cs="Arial"/>
          <w:lang w:val="en-GB"/>
        </w:rPr>
        <w:t xml:space="preserve"> </w:t>
      </w:r>
      <w:r w:rsidR="00E608A7" w:rsidRPr="00AD451B">
        <w:rPr>
          <w:rFonts w:ascii="Arial" w:hAnsi="Arial" w:cs="Arial"/>
          <w:lang w:val="en-GB"/>
        </w:rPr>
        <w:t>countrie</w:t>
      </w:r>
      <w:r w:rsidR="004A015D">
        <w:rPr>
          <w:rFonts w:ascii="Arial" w:hAnsi="Arial" w:cs="Arial"/>
          <w:lang w:val="en-GB"/>
        </w:rPr>
        <w:t xml:space="preserve">s including the UK. </w:t>
      </w:r>
    </w:p>
    <w:p w14:paraId="50C4BF68" w14:textId="77777777" w:rsidR="00E608A7" w:rsidRPr="00AD451B" w:rsidRDefault="00E608A7" w:rsidP="00511F60">
      <w:pPr>
        <w:spacing w:line="480" w:lineRule="auto"/>
        <w:jc w:val="both"/>
        <w:rPr>
          <w:rFonts w:ascii="Arial" w:hAnsi="Arial" w:cs="Arial"/>
          <w:lang w:val="en-GB"/>
        </w:rPr>
      </w:pPr>
    </w:p>
    <w:p w14:paraId="26EFDC23" w14:textId="5A59368D" w:rsidR="00E608A7" w:rsidRPr="00AD451B" w:rsidRDefault="00E608A7" w:rsidP="00511F60">
      <w:pPr>
        <w:spacing w:line="480" w:lineRule="auto"/>
        <w:jc w:val="both"/>
        <w:rPr>
          <w:rFonts w:ascii="Arial" w:hAnsi="Arial" w:cs="Arial"/>
          <w:lang w:val="en-GB"/>
        </w:rPr>
      </w:pPr>
      <w:r w:rsidRPr="00AD451B">
        <w:rPr>
          <w:rFonts w:ascii="Arial" w:hAnsi="Arial" w:cs="Arial"/>
          <w:lang w:val="en-GB"/>
        </w:rPr>
        <w:t xml:space="preserve">HRQoL of adults with OI, XLH and FD remains poorly understood. Several previous studies </w:t>
      </w:r>
      <w:r>
        <w:rPr>
          <w:rFonts w:ascii="Arial" w:hAnsi="Arial" w:cs="Arial"/>
          <w:noProof/>
          <w:lang w:val="en-GB"/>
        </w:rPr>
        <w:t>(</w:t>
      </w:r>
      <w:r w:rsidR="006C2979">
        <w:rPr>
          <w:rFonts w:ascii="Arial" w:hAnsi="Arial" w:cs="Arial"/>
          <w:noProof/>
          <w:lang w:val="en-GB"/>
        </w:rPr>
        <w:t>8</w:t>
      </w:r>
      <w:r>
        <w:rPr>
          <w:rFonts w:ascii="Arial" w:hAnsi="Arial" w:cs="Arial"/>
          <w:noProof/>
          <w:lang w:val="en-GB"/>
        </w:rPr>
        <w:t>-</w:t>
      </w:r>
      <w:r w:rsidR="006C2979">
        <w:rPr>
          <w:rFonts w:ascii="Arial" w:hAnsi="Arial" w:cs="Arial"/>
          <w:noProof/>
          <w:lang w:val="en-GB"/>
        </w:rPr>
        <w:t>10</w:t>
      </w:r>
      <w:r>
        <w:rPr>
          <w:rFonts w:ascii="Arial" w:hAnsi="Arial" w:cs="Arial"/>
          <w:noProof/>
          <w:lang w:val="en-GB"/>
        </w:rPr>
        <w:t>)</w:t>
      </w:r>
      <w:r w:rsidRPr="00AD451B">
        <w:rPr>
          <w:rFonts w:ascii="Arial" w:hAnsi="Arial" w:cs="Arial"/>
          <w:lang w:val="en-GB"/>
        </w:rPr>
        <w:t xml:space="preserve"> have assessed HRQoL in adults with OI using the generic instrument Short Form Health Survey (SF-36). Each study of between 15-30 patients showed significantly lower physical functioning compared with population norms but no difference in mental functioning scores. A similar study </w:t>
      </w:r>
      <w:r>
        <w:rPr>
          <w:rFonts w:ascii="Arial" w:hAnsi="Arial" w:cs="Arial"/>
          <w:noProof/>
          <w:lang w:val="en-GB"/>
        </w:rPr>
        <w:t>(</w:t>
      </w:r>
      <w:r w:rsidR="006C2979">
        <w:rPr>
          <w:rFonts w:ascii="Arial" w:hAnsi="Arial" w:cs="Arial"/>
          <w:noProof/>
          <w:lang w:val="en-GB"/>
        </w:rPr>
        <w:t>11</w:t>
      </w:r>
      <w:r>
        <w:rPr>
          <w:rFonts w:ascii="Arial" w:hAnsi="Arial" w:cs="Arial"/>
          <w:noProof/>
          <w:lang w:val="en-GB"/>
        </w:rPr>
        <w:t>)</w:t>
      </w:r>
      <w:r w:rsidRPr="00AD451B">
        <w:rPr>
          <w:rFonts w:ascii="Arial" w:hAnsi="Arial" w:cs="Arial"/>
          <w:lang w:val="en-GB"/>
        </w:rPr>
        <w:t xml:space="preserve"> of adults with FD again shows reduced physical function but same mental functioning compared with the US norm. In XLH, lower QoL was found compared with patients with axial spondyloarthritis</w:t>
      </w:r>
      <w:r w:rsidR="000B6A2C">
        <w:rPr>
          <w:rFonts w:ascii="Arial" w:hAnsi="Arial" w:cs="Arial"/>
          <w:lang w:val="en-GB"/>
        </w:rPr>
        <w:t>.</w:t>
      </w:r>
      <w:r>
        <w:rPr>
          <w:rFonts w:ascii="Arial" w:hAnsi="Arial" w:cs="Arial"/>
          <w:noProof/>
          <w:lang w:val="en-GB"/>
        </w:rPr>
        <w:t>(1</w:t>
      </w:r>
      <w:r w:rsidR="006C2979">
        <w:rPr>
          <w:rFonts w:ascii="Arial" w:hAnsi="Arial" w:cs="Arial"/>
          <w:noProof/>
          <w:lang w:val="en-GB"/>
        </w:rPr>
        <w:t>2</w:t>
      </w:r>
      <w:r>
        <w:rPr>
          <w:rFonts w:ascii="Arial" w:hAnsi="Arial" w:cs="Arial"/>
          <w:noProof/>
          <w:lang w:val="en-GB"/>
        </w:rPr>
        <w:t>)</w:t>
      </w:r>
    </w:p>
    <w:p w14:paraId="5ADCFF02" w14:textId="77777777" w:rsidR="00E608A7" w:rsidRPr="00AD451B" w:rsidRDefault="00E608A7" w:rsidP="00511F60">
      <w:pPr>
        <w:spacing w:line="480" w:lineRule="auto"/>
        <w:jc w:val="both"/>
        <w:rPr>
          <w:rFonts w:ascii="Arial" w:hAnsi="Arial" w:cs="Arial"/>
          <w:lang w:val="en-GB"/>
        </w:rPr>
      </w:pPr>
    </w:p>
    <w:p w14:paraId="6B2FD6D3" w14:textId="77777777" w:rsidR="00E608A7" w:rsidRPr="00AD451B" w:rsidRDefault="00E608A7" w:rsidP="00511F60">
      <w:pPr>
        <w:spacing w:line="480" w:lineRule="auto"/>
        <w:jc w:val="both"/>
        <w:rPr>
          <w:rFonts w:ascii="Arial" w:hAnsi="Arial" w:cs="Arial"/>
          <w:lang w:val="en-GB"/>
        </w:rPr>
      </w:pPr>
      <w:r w:rsidRPr="00AD451B">
        <w:rPr>
          <w:rFonts w:ascii="Arial" w:hAnsi="Arial" w:cs="Arial"/>
          <w:lang w:val="en-GB"/>
        </w:rPr>
        <w:t>However</w:t>
      </w:r>
      <w:r>
        <w:rPr>
          <w:rFonts w:ascii="Arial" w:hAnsi="Arial" w:cs="Arial"/>
          <w:lang w:val="en-GB"/>
        </w:rPr>
        <w:t>,</w:t>
      </w:r>
      <w:r w:rsidRPr="00AD451B">
        <w:rPr>
          <w:rFonts w:ascii="Arial" w:hAnsi="Arial" w:cs="Arial"/>
          <w:lang w:val="en-GB"/>
        </w:rPr>
        <w:t xml:space="preserve"> conceptual and methodological issues have limited progress in this area. Different terminology is used to describe quality of life and widely varying evaluation tools are adopted.</w:t>
      </w:r>
      <w:r>
        <w:rPr>
          <w:rFonts w:ascii="Arial" w:hAnsi="Arial" w:cs="Arial"/>
          <w:noProof/>
          <w:lang w:val="en-GB"/>
        </w:rPr>
        <w:t>(3)</w:t>
      </w:r>
      <w:r w:rsidRPr="00AD451B">
        <w:rPr>
          <w:rFonts w:ascii="Arial" w:hAnsi="Arial" w:cs="Arial"/>
          <w:lang w:val="en-GB"/>
        </w:rPr>
        <w:t xml:space="preserve"> This causes difficulty when reviewing the literature and comparing HRQoL of different disease groups. A major potential limitation of many of these studies is that they recruit participants from secondary or tertiary care settings and so findings may not be representative of adult population with rare diseases</w:t>
      </w:r>
      <w:r>
        <w:rPr>
          <w:rFonts w:ascii="Arial" w:hAnsi="Arial" w:cs="Arial"/>
          <w:lang w:val="en-GB"/>
        </w:rPr>
        <w:t xml:space="preserve"> who may have milder symptoms</w:t>
      </w:r>
      <w:r w:rsidRPr="00AD451B">
        <w:rPr>
          <w:rFonts w:ascii="Arial" w:hAnsi="Arial" w:cs="Arial"/>
          <w:lang w:val="en-GB"/>
        </w:rPr>
        <w:t xml:space="preserve">. </w:t>
      </w:r>
    </w:p>
    <w:p w14:paraId="25515A75" w14:textId="77777777" w:rsidR="00E608A7" w:rsidRPr="00AD451B" w:rsidRDefault="00E608A7" w:rsidP="00511F60">
      <w:pPr>
        <w:spacing w:line="480" w:lineRule="auto"/>
        <w:jc w:val="both"/>
        <w:rPr>
          <w:rFonts w:ascii="Arial" w:hAnsi="Arial" w:cs="Arial"/>
          <w:lang w:val="en-GB"/>
        </w:rPr>
      </w:pPr>
    </w:p>
    <w:p w14:paraId="3D081372" w14:textId="1DC21167" w:rsidR="00E608A7" w:rsidRPr="00AD451B" w:rsidRDefault="00E608A7" w:rsidP="00511F60">
      <w:pPr>
        <w:spacing w:line="480" w:lineRule="auto"/>
        <w:jc w:val="both"/>
        <w:rPr>
          <w:rFonts w:ascii="Arial" w:hAnsi="Arial" w:cs="Arial"/>
          <w:lang w:val="en-GB"/>
        </w:rPr>
      </w:pPr>
      <w:r w:rsidRPr="00AD451B">
        <w:rPr>
          <w:rFonts w:ascii="Arial" w:hAnsi="Arial" w:cs="Arial"/>
          <w:lang w:val="en-GB"/>
        </w:rPr>
        <w:t>The aim of this study was to describe the HRQoL of adults with OI, FD and XLH using a web-based platform that recruits participants from the community as well as hospital setting (</w:t>
      </w:r>
      <w:r w:rsidR="00536ACB">
        <w:rPr>
          <w:rFonts w:ascii="Arial" w:hAnsi="Arial" w:cs="Arial"/>
          <w:lang w:val="en-GB"/>
        </w:rPr>
        <w:t>13</w:t>
      </w:r>
      <w:r w:rsidRPr="00AD451B">
        <w:rPr>
          <w:rFonts w:ascii="Arial" w:hAnsi="Arial" w:cs="Arial"/>
          <w:lang w:val="en-GB"/>
        </w:rPr>
        <w:t xml:space="preserve">). The secondary aims were to compare HRQoL between the three diseases, and perform a cost-utility simulation to calculate </w:t>
      </w:r>
      <w:r w:rsidRPr="00AD451B">
        <w:rPr>
          <w:rFonts w:ascii="Arial" w:hAnsi="Arial" w:cs="Arial"/>
          <w:lang w:val="en-GB"/>
        </w:rPr>
        <w:lastRenderedPageBreak/>
        <w:t>the maximum cost a health care system would be willing to pay for a hypothetical treatment of a rare bone disease.</w:t>
      </w:r>
    </w:p>
    <w:p w14:paraId="79DEC730" w14:textId="77777777" w:rsidR="00E608A7" w:rsidRPr="00AD451B" w:rsidRDefault="00E608A7" w:rsidP="00511F60">
      <w:pPr>
        <w:spacing w:line="480" w:lineRule="auto"/>
        <w:jc w:val="both"/>
        <w:rPr>
          <w:rFonts w:ascii="Arial" w:hAnsi="Arial" w:cs="Arial"/>
          <w:lang w:val="en-GB"/>
        </w:rPr>
      </w:pPr>
    </w:p>
    <w:p w14:paraId="5B951A0F" w14:textId="539A9F2C" w:rsidR="00E608A7" w:rsidRPr="00302263" w:rsidRDefault="00E608A7" w:rsidP="00511F60">
      <w:pPr>
        <w:spacing w:line="480" w:lineRule="auto"/>
        <w:rPr>
          <w:rFonts w:ascii="Arial" w:hAnsi="Arial"/>
          <w:b/>
          <w:lang w:val="en-GB"/>
        </w:rPr>
      </w:pPr>
      <w:r w:rsidRPr="00302263">
        <w:rPr>
          <w:rFonts w:ascii="Arial" w:hAnsi="Arial"/>
          <w:b/>
          <w:lang w:val="en-GB"/>
        </w:rPr>
        <w:t>Method</w:t>
      </w:r>
      <w:r w:rsidR="00E67B21">
        <w:rPr>
          <w:rFonts w:ascii="Arial" w:hAnsi="Arial"/>
          <w:b/>
          <w:lang w:val="en-GB"/>
        </w:rPr>
        <w:t>s</w:t>
      </w:r>
    </w:p>
    <w:p w14:paraId="0215915D" w14:textId="77777777" w:rsidR="00E608A7" w:rsidRPr="00AD451B" w:rsidRDefault="00E608A7" w:rsidP="00511F60">
      <w:pPr>
        <w:spacing w:line="480" w:lineRule="auto"/>
        <w:jc w:val="both"/>
        <w:rPr>
          <w:rFonts w:ascii="Arial" w:hAnsi="Arial"/>
          <w:lang w:val="en-GB"/>
        </w:rPr>
      </w:pPr>
    </w:p>
    <w:p w14:paraId="10763D15" w14:textId="77777777" w:rsidR="00E608A7" w:rsidRPr="00302263" w:rsidRDefault="00E608A7" w:rsidP="00511F60">
      <w:pPr>
        <w:spacing w:line="480" w:lineRule="auto"/>
        <w:jc w:val="both"/>
        <w:rPr>
          <w:rFonts w:ascii="Arial" w:hAnsi="Arial"/>
          <w:b/>
          <w:lang w:val="en-GB"/>
        </w:rPr>
      </w:pPr>
      <w:r w:rsidRPr="00302263">
        <w:rPr>
          <w:rFonts w:ascii="Arial" w:hAnsi="Arial"/>
          <w:b/>
          <w:lang w:val="en-GB"/>
        </w:rPr>
        <w:t>Data sources</w:t>
      </w:r>
    </w:p>
    <w:p w14:paraId="23120D20" w14:textId="0E0B2DE1" w:rsidR="00E608A7" w:rsidRPr="00AD451B" w:rsidRDefault="00E608A7" w:rsidP="00511F60">
      <w:pPr>
        <w:spacing w:line="480" w:lineRule="auto"/>
        <w:jc w:val="both"/>
        <w:rPr>
          <w:rFonts w:ascii="Arial" w:hAnsi="Arial"/>
          <w:lang w:val="en-GB"/>
        </w:rPr>
      </w:pPr>
      <w:r w:rsidRPr="00AD451B">
        <w:rPr>
          <w:rFonts w:ascii="Arial" w:hAnsi="Arial"/>
          <w:lang w:val="en-GB"/>
        </w:rPr>
        <w:t xml:space="preserve">This study used cross-sectional data from </w:t>
      </w:r>
      <w:r w:rsidR="001257DD">
        <w:rPr>
          <w:rFonts w:ascii="Arial" w:hAnsi="Arial"/>
          <w:lang w:val="en-GB"/>
        </w:rPr>
        <w:t>an</w:t>
      </w:r>
      <w:r w:rsidR="001257DD" w:rsidRPr="00AD451B">
        <w:rPr>
          <w:rFonts w:ascii="Arial" w:hAnsi="Arial"/>
          <w:lang w:val="en-GB"/>
        </w:rPr>
        <w:t xml:space="preserve"> </w:t>
      </w:r>
      <w:r w:rsidRPr="00AD451B">
        <w:rPr>
          <w:rFonts w:ascii="Arial" w:hAnsi="Arial"/>
          <w:lang w:val="en-GB"/>
        </w:rPr>
        <w:t xml:space="preserve">ongoing </w:t>
      </w:r>
      <w:r w:rsidR="009D22CA">
        <w:rPr>
          <w:rFonts w:ascii="Arial" w:hAnsi="Arial"/>
          <w:lang w:val="en-GB"/>
        </w:rPr>
        <w:t>UK</w:t>
      </w:r>
      <w:r w:rsidR="001257DD">
        <w:rPr>
          <w:rFonts w:ascii="Arial" w:hAnsi="Arial"/>
          <w:lang w:val="en-GB"/>
        </w:rPr>
        <w:t>-</w:t>
      </w:r>
      <w:r w:rsidR="009D22CA">
        <w:rPr>
          <w:rFonts w:ascii="Arial" w:hAnsi="Arial"/>
          <w:lang w:val="en-GB"/>
        </w:rPr>
        <w:t xml:space="preserve">based </w:t>
      </w:r>
      <w:r w:rsidRPr="00AD451B">
        <w:rPr>
          <w:rFonts w:ascii="Arial" w:hAnsi="Arial"/>
          <w:lang w:val="en-GB"/>
        </w:rPr>
        <w:t>multi-centre prospective cohort study</w:t>
      </w:r>
      <w:r w:rsidR="001257DD">
        <w:rPr>
          <w:rFonts w:ascii="Arial" w:hAnsi="Arial"/>
          <w:lang w:val="en-GB"/>
        </w:rPr>
        <w:t>:</w:t>
      </w:r>
      <w:r w:rsidRPr="00AD451B">
        <w:rPr>
          <w:rFonts w:ascii="Arial" w:hAnsi="Arial"/>
          <w:lang w:val="en-GB"/>
        </w:rPr>
        <w:t xml:space="preserve"> RUDY </w:t>
      </w:r>
      <w:r w:rsidR="009D22CA" w:rsidRPr="00F35968">
        <w:rPr>
          <w:rFonts w:ascii="Arial" w:hAnsi="Arial" w:cs="Arial"/>
        </w:rPr>
        <w:t>(</w:t>
      </w:r>
      <w:r w:rsidR="001257DD">
        <w:rPr>
          <w:rFonts w:ascii="Arial" w:hAnsi="Arial" w:cs="Arial"/>
        </w:rPr>
        <w:t>R</w:t>
      </w:r>
      <w:r w:rsidR="009D22CA" w:rsidRPr="00F35968">
        <w:rPr>
          <w:rFonts w:ascii="Arial" w:hAnsi="Arial" w:cs="Arial"/>
        </w:rPr>
        <w:t xml:space="preserve">are </w:t>
      </w:r>
      <w:r w:rsidR="009D22CA">
        <w:rPr>
          <w:rFonts w:ascii="Arial" w:hAnsi="Arial" w:cs="Arial"/>
        </w:rPr>
        <w:t xml:space="preserve">and </w:t>
      </w:r>
      <w:r w:rsidR="001257DD">
        <w:rPr>
          <w:rFonts w:ascii="Arial" w:hAnsi="Arial" w:cs="Arial"/>
        </w:rPr>
        <w:t>U</w:t>
      </w:r>
      <w:r w:rsidR="009D22CA">
        <w:rPr>
          <w:rFonts w:ascii="Arial" w:hAnsi="Arial" w:cs="Arial"/>
        </w:rPr>
        <w:t xml:space="preserve">ndiagnosed </w:t>
      </w:r>
      <w:r w:rsidR="001257DD">
        <w:rPr>
          <w:rFonts w:ascii="Arial" w:hAnsi="Arial" w:cs="Arial"/>
        </w:rPr>
        <w:t>D</w:t>
      </w:r>
      <w:r w:rsidR="009D22CA">
        <w:rPr>
          <w:rFonts w:ascii="Arial" w:hAnsi="Arial" w:cs="Arial"/>
        </w:rPr>
        <w:t xml:space="preserve">iseases </w:t>
      </w:r>
      <w:r w:rsidR="001257DD">
        <w:rPr>
          <w:rFonts w:ascii="Arial" w:hAnsi="Arial" w:cs="Arial"/>
        </w:rPr>
        <w:t>S</w:t>
      </w:r>
      <w:r w:rsidR="009D22CA" w:rsidRPr="00F35968">
        <w:rPr>
          <w:rFonts w:ascii="Arial" w:hAnsi="Arial" w:cs="Arial"/>
        </w:rPr>
        <w:t>tudy)</w:t>
      </w:r>
      <w:r w:rsidR="009D22CA" w:rsidRPr="00AD451B">
        <w:rPr>
          <w:rFonts w:ascii="Arial" w:hAnsi="Arial"/>
          <w:lang w:val="en-GB"/>
        </w:rPr>
        <w:t xml:space="preserve">. </w:t>
      </w:r>
      <w:r w:rsidR="009D22CA">
        <w:rPr>
          <w:rFonts w:ascii="Arial" w:hAnsi="Arial"/>
          <w:lang w:val="en-GB"/>
        </w:rPr>
        <w:t xml:space="preserve"> RUDY is a novel </w:t>
      </w:r>
      <w:r w:rsidR="009D22CA">
        <w:rPr>
          <w:rFonts w:ascii="Arial" w:hAnsi="Arial" w:cs="Arial"/>
        </w:rPr>
        <w:t>web-based registry and patient-driven research platform</w:t>
      </w:r>
      <w:r w:rsidR="009D22CA" w:rsidRPr="00F52DCA">
        <w:rPr>
          <w:rFonts w:ascii="Arial" w:hAnsi="Arial" w:cs="Arial"/>
        </w:rPr>
        <w:t xml:space="preserve"> </w:t>
      </w:r>
      <w:r w:rsidR="009D22CA">
        <w:rPr>
          <w:rFonts w:ascii="Arial" w:hAnsi="Arial" w:cs="Arial"/>
        </w:rPr>
        <w:t xml:space="preserve">designed to </w:t>
      </w:r>
      <w:r w:rsidR="001257DD">
        <w:rPr>
          <w:rFonts w:ascii="Arial" w:hAnsi="Arial" w:cs="Arial"/>
        </w:rPr>
        <w:t xml:space="preserve">improve the understanding of all aspects of </w:t>
      </w:r>
      <w:r w:rsidR="009D22CA">
        <w:rPr>
          <w:rFonts w:ascii="Arial" w:hAnsi="Arial" w:cs="Arial"/>
        </w:rPr>
        <w:t>rare musculoskeletal disease</w:t>
      </w:r>
      <w:r w:rsidR="001257DD">
        <w:rPr>
          <w:rFonts w:ascii="Arial" w:hAnsi="Arial" w:cs="Arial"/>
        </w:rPr>
        <w:t>s</w:t>
      </w:r>
      <w:r w:rsidR="009D22CA">
        <w:rPr>
          <w:rFonts w:ascii="Arial" w:hAnsi="Arial" w:cs="Arial"/>
        </w:rPr>
        <w:t>.</w:t>
      </w:r>
      <w:r w:rsidR="00536ACB">
        <w:rPr>
          <w:rFonts w:ascii="Arial" w:hAnsi="Arial" w:cs="Arial"/>
        </w:rPr>
        <w:t>(13)</w:t>
      </w:r>
      <w:r w:rsidR="009D22CA">
        <w:rPr>
          <w:rFonts w:ascii="Arial" w:hAnsi="Arial"/>
          <w:lang w:val="en-GB"/>
        </w:rPr>
        <w:t xml:space="preserve"> </w:t>
      </w:r>
      <w:r w:rsidRPr="00AD451B">
        <w:rPr>
          <w:rFonts w:ascii="Arial" w:hAnsi="Arial"/>
          <w:lang w:val="en-GB"/>
        </w:rPr>
        <w:t xml:space="preserve">Ethical approval was obtained from the </w:t>
      </w:r>
      <w:r w:rsidR="001257DD">
        <w:rPr>
          <w:rFonts w:ascii="Arial" w:hAnsi="Arial"/>
          <w:lang w:val="en-GB"/>
        </w:rPr>
        <w:t xml:space="preserve">UK’s </w:t>
      </w:r>
      <w:r w:rsidRPr="00AD451B">
        <w:rPr>
          <w:rFonts w:ascii="Arial" w:hAnsi="Arial"/>
          <w:lang w:val="en-GB"/>
        </w:rPr>
        <w:t xml:space="preserve">South Central Research Ethics Committee (LREC 14/SC/0126). </w:t>
      </w:r>
    </w:p>
    <w:p w14:paraId="068E3B7A" w14:textId="77777777" w:rsidR="00E608A7" w:rsidRPr="00AD451B" w:rsidRDefault="00E608A7" w:rsidP="00511F60">
      <w:pPr>
        <w:spacing w:line="480" w:lineRule="auto"/>
        <w:jc w:val="both"/>
        <w:rPr>
          <w:rFonts w:ascii="Arial" w:hAnsi="Arial"/>
          <w:lang w:val="en-GB"/>
        </w:rPr>
      </w:pPr>
    </w:p>
    <w:p w14:paraId="198C694D" w14:textId="77777777" w:rsidR="00E608A7" w:rsidRPr="00AD451B" w:rsidRDefault="00E608A7" w:rsidP="00511F60">
      <w:pPr>
        <w:spacing w:line="480" w:lineRule="auto"/>
        <w:jc w:val="both"/>
        <w:rPr>
          <w:rFonts w:ascii="Arial" w:hAnsi="Arial"/>
          <w:lang w:val="en-GB"/>
        </w:rPr>
      </w:pPr>
      <w:r w:rsidRPr="00AD451B">
        <w:rPr>
          <w:rFonts w:ascii="Arial" w:hAnsi="Arial"/>
          <w:lang w:val="en-GB"/>
        </w:rPr>
        <w:t>Study Population</w:t>
      </w:r>
    </w:p>
    <w:p w14:paraId="3AB0685E" w14:textId="5D58F2DC" w:rsidR="00E608A7" w:rsidRPr="00AD451B" w:rsidRDefault="00E608A7" w:rsidP="00511F60">
      <w:pPr>
        <w:spacing w:line="480" w:lineRule="auto"/>
        <w:jc w:val="both"/>
        <w:rPr>
          <w:rFonts w:ascii="Arial" w:hAnsi="Arial" w:cs="Arial"/>
          <w:lang w:val="en-GB"/>
        </w:rPr>
      </w:pPr>
      <w:r w:rsidRPr="00AD451B">
        <w:rPr>
          <w:rFonts w:ascii="Arial" w:hAnsi="Arial"/>
          <w:lang w:val="en-GB"/>
        </w:rPr>
        <w:t>Potential participants were informed of the study and invited to visit the study website (</w:t>
      </w:r>
      <w:hyperlink r:id="rId10" w:history="1">
        <w:r w:rsidRPr="00AD451B">
          <w:rPr>
            <w:rStyle w:val="Hyperlink"/>
            <w:rFonts w:ascii="Arial" w:hAnsi="Arial"/>
            <w:lang w:val="en-GB"/>
          </w:rPr>
          <w:t>www.rudystudy.org</w:t>
        </w:r>
      </w:hyperlink>
      <w:r w:rsidRPr="00AD451B">
        <w:rPr>
          <w:rFonts w:ascii="Arial" w:hAnsi="Arial"/>
          <w:lang w:val="en-GB"/>
        </w:rPr>
        <w:t>) during clinic visits at participating sites, through relevant patient groups, Facebook, Twitter and the web searches (</w:t>
      </w:r>
      <w:r w:rsidR="00536ACB">
        <w:rPr>
          <w:rFonts w:ascii="Arial" w:hAnsi="Arial"/>
          <w:lang w:val="en-GB"/>
        </w:rPr>
        <w:t>13</w:t>
      </w:r>
      <w:r w:rsidRPr="00AD451B">
        <w:rPr>
          <w:rFonts w:ascii="Arial" w:hAnsi="Arial"/>
          <w:lang w:val="en-GB"/>
        </w:rPr>
        <w:t>). Potential participants registered on the website and provided basic demographic information. Inclusion criteria included individuals aged 18 and above with a clinical diagnosis of OI, FD or XLH. Once registered, eligible individuals were contacted via email to arrange a telephone consent appointment. Once informed consent was received</w:t>
      </w:r>
      <w:r>
        <w:rPr>
          <w:rFonts w:ascii="Arial" w:hAnsi="Arial"/>
          <w:lang w:val="en-GB"/>
        </w:rPr>
        <w:t>,</w:t>
      </w:r>
      <w:r w:rsidRPr="00AD451B">
        <w:rPr>
          <w:rFonts w:ascii="Arial" w:hAnsi="Arial"/>
          <w:lang w:val="en-GB"/>
        </w:rPr>
        <w:t xml:space="preserve"> participants were granted full access to a secure personalised homepage on the study website. </w:t>
      </w:r>
      <w:r w:rsidRPr="00AD451B">
        <w:rPr>
          <w:rFonts w:ascii="Arial" w:hAnsi="Arial" w:cs="Arial"/>
          <w:lang w:val="en-GB"/>
        </w:rPr>
        <w:t>Demographic information collected via the study website included age, sex and patient-reported comorbidities.</w:t>
      </w:r>
      <w:r w:rsidRPr="00AD451B">
        <w:rPr>
          <w:rFonts w:ascii="Arial" w:hAnsi="Arial"/>
          <w:lang w:val="en-GB"/>
        </w:rPr>
        <w:t xml:space="preserve"> A recent clinic letter was requested from </w:t>
      </w:r>
      <w:r w:rsidRPr="00AD451B">
        <w:rPr>
          <w:rFonts w:ascii="Arial" w:hAnsi="Arial"/>
          <w:lang w:val="en-GB"/>
        </w:rPr>
        <w:lastRenderedPageBreak/>
        <w:t>the participant’s doctor to verify their diagnosis. Participants were invited to complete the EQ-5D-5L questionnaire</w:t>
      </w:r>
      <w:r>
        <w:rPr>
          <w:rFonts w:ascii="Arial" w:hAnsi="Arial"/>
          <w:noProof/>
          <w:lang w:val="en-GB"/>
        </w:rPr>
        <w:t>(1</w:t>
      </w:r>
      <w:r w:rsidR="00536ACB">
        <w:rPr>
          <w:rFonts w:ascii="Arial" w:hAnsi="Arial"/>
          <w:noProof/>
          <w:lang w:val="en-GB"/>
        </w:rPr>
        <w:t>4</w:t>
      </w:r>
      <w:r>
        <w:rPr>
          <w:rFonts w:ascii="Arial" w:hAnsi="Arial"/>
          <w:noProof/>
          <w:lang w:val="en-GB"/>
        </w:rPr>
        <w:t>)</w:t>
      </w:r>
      <w:r w:rsidRPr="00AD451B">
        <w:rPr>
          <w:rFonts w:ascii="Arial" w:hAnsi="Arial"/>
          <w:lang w:val="en-GB"/>
        </w:rPr>
        <w:t xml:space="preserve"> electronically via their study website homepage or using the paper version which was sent via post. Non-responders were sent reminders via email and social media during the data collection period. Participants were excluded if they had not fully completed the EQ-5D-5L questionnaire by the final day of the data collection period. Data was collected from September 2014 to March 2016. </w:t>
      </w:r>
    </w:p>
    <w:p w14:paraId="1CA0BD3C" w14:textId="77777777" w:rsidR="00E608A7" w:rsidRPr="00AD451B" w:rsidRDefault="00E608A7" w:rsidP="00511F60">
      <w:pPr>
        <w:spacing w:line="480" w:lineRule="auto"/>
        <w:rPr>
          <w:rFonts w:ascii="Arial" w:hAnsi="Arial"/>
          <w:lang w:val="en-GB"/>
        </w:rPr>
      </w:pPr>
    </w:p>
    <w:p w14:paraId="5D886D87" w14:textId="13CD34D2" w:rsidR="00E608A7" w:rsidRPr="00AD451B" w:rsidRDefault="00E608A7" w:rsidP="00511F60">
      <w:pPr>
        <w:spacing w:line="480" w:lineRule="auto"/>
        <w:jc w:val="both"/>
        <w:rPr>
          <w:rFonts w:ascii="Arial" w:hAnsi="Arial" w:cs="Arial"/>
          <w:lang w:val="en-GB"/>
        </w:rPr>
      </w:pPr>
      <w:r w:rsidRPr="00AD451B">
        <w:rPr>
          <w:rFonts w:ascii="Arial" w:hAnsi="Arial"/>
          <w:lang w:val="en-GB"/>
        </w:rPr>
        <w:t>The EQ-5D-5L is a widely used generic preference-based tool developed by the Euroqol group for measuring health-related quality of life</w:t>
      </w:r>
      <w:r w:rsidR="000B6A2C">
        <w:rPr>
          <w:rFonts w:ascii="Arial" w:hAnsi="Arial"/>
          <w:lang w:val="en-GB"/>
        </w:rPr>
        <w:t>.</w:t>
      </w:r>
      <w:r>
        <w:rPr>
          <w:rFonts w:ascii="Arial" w:hAnsi="Arial"/>
          <w:noProof/>
          <w:lang w:val="en-GB"/>
        </w:rPr>
        <w:t>(1</w:t>
      </w:r>
      <w:r w:rsidR="00536ACB">
        <w:rPr>
          <w:rFonts w:ascii="Arial" w:hAnsi="Arial"/>
          <w:noProof/>
          <w:lang w:val="en-GB"/>
        </w:rPr>
        <w:t>4</w:t>
      </w:r>
      <w:r>
        <w:rPr>
          <w:rFonts w:ascii="Arial" w:hAnsi="Arial"/>
          <w:noProof/>
          <w:lang w:val="en-GB"/>
        </w:rPr>
        <w:t>)</w:t>
      </w:r>
      <w:r w:rsidRPr="00AD451B">
        <w:rPr>
          <w:rFonts w:ascii="Arial" w:hAnsi="Arial"/>
          <w:lang w:val="en-GB"/>
        </w:rPr>
        <w:t xml:space="preserve"> </w:t>
      </w:r>
      <w:r w:rsidRPr="00AD451B">
        <w:rPr>
          <w:rFonts w:ascii="Arial" w:hAnsi="Arial" w:cs="Arial"/>
          <w:lang w:val="en-GB"/>
        </w:rPr>
        <w:t xml:space="preserve">The EQ-5D-5L divides health into five dimensions </w:t>
      </w:r>
      <w:r>
        <w:rPr>
          <w:rFonts w:ascii="Arial" w:hAnsi="Arial" w:cs="Arial"/>
          <w:lang w:val="en-GB"/>
        </w:rPr>
        <w:t>(</w:t>
      </w:r>
      <w:r w:rsidRPr="00AD451B">
        <w:rPr>
          <w:rFonts w:ascii="Arial" w:hAnsi="Arial" w:cs="Arial"/>
          <w:lang w:val="en-GB"/>
        </w:rPr>
        <w:t>mobility, self-care, usual activity, pain/ discomfort and anxiety/depression</w:t>
      </w:r>
      <w:r>
        <w:rPr>
          <w:rFonts w:ascii="Arial" w:hAnsi="Arial" w:cs="Arial"/>
          <w:lang w:val="en-GB"/>
        </w:rPr>
        <w:t>), each assessed with a 5-</w:t>
      </w:r>
      <w:r w:rsidR="00462751">
        <w:rPr>
          <w:rFonts w:ascii="Arial" w:hAnsi="Arial" w:cs="Arial"/>
          <w:lang w:val="en-GB"/>
        </w:rPr>
        <w:t>response-</w:t>
      </w:r>
      <w:r>
        <w:rPr>
          <w:rFonts w:ascii="Arial" w:hAnsi="Arial" w:cs="Arial"/>
          <w:lang w:val="en-GB"/>
        </w:rPr>
        <w:t>level question</w:t>
      </w:r>
      <w:r w:rsidR="00462751">
        <w:rPr>
          <w:rFonts w:ascii="Arial" w:hAnsi="Arial" w:cs="Arial"/>
          <w:lang w:val="en-GB"/>
        </w:rPr>
        <w:t>s</w:t>
      </w:r>
      <w:r w:rsidR="000B6A2C">
        <w:rPr>
          <w:rFonts w:ascii="Arial" w:hAnsi="Arial" w:cs="Arial"/>
          <w:lang w:val="en-GB"/>
        </w:rPr>
        <w:t>.</w:t>
      </w:r>
      <w:r>
        <w:rPr>
          <w:rFonts w:ascii="Arial" w:hAnsi="Arial" w:cs="Arial"/>
          <w:noProof/>
          <w:lang w:val="en-GB"/>
        </w:rPr>
        <w:t>(1</w:t>
      </w:r>
      <w:r w:rsidR="00536ACB">
        <w:rPr>
          <w:rFonts w:ascii="Arial" w:hAnsi="Arial" w:cs="Arial"/>
          <w:noProof/>
          <w:lang w:val="en-GB"/>
        </w:rPr>
        <w:t>5</w:t>
      </w:r>
      <w:r>
        <w:rPr>
          <w:rFonts w:ascii="Arial" w:hAnsi="Arial" w:cs="Arial"/>
          <w:noProof/>
          <w:lang w:val="en-GB"/>
        </w:rPr>
        <w:t>)</w:t>
      </w:r>
      <w:r w:rsidRPr="00AD451B">
        <w:rPr>
          <w:rFonts w:ascii="Arial" w:hAnsi="Arial" w:cs="Arial"/>
          <w:lang w:val="en-GB"/>
        </w:rPr>
        <w:t xml:space="preserve"> Health states can then be weighted using country-spe</w:t>
      </w:r>
      <w:r>
        <w:rPr>
          <w:rFonts w:ascii="Arial" w:hAnsi="Arial" w:cs="Arial"/>
          <w:lang w:val="en-GB"/>
        </w:rPr>
        <w:t>cific ‘value sets</w:t>
      </w:r>
      <w:r w:rsidRPr="00AD451B">
        <w:rPr>
          <w:rFonts w:ascii="Arial" w:hAnsi="Arial" w:cs="Arial"/>
          <w:lang w:val="en-GB"/>
        </w:rPr>
        <w:t>’, which reflect the preferences of the general population. This results in a health utility score for each 3125 health states on a scale ranging from -0.</w:t>
      </w:r>
      <w:r>
        <w:rPr>
          <w:rFonts w:ascii="Arial" w:hAnsi="Arial" w:cs="Arial"/>
          <w:lang w:val="en-GB"/>
        </w:rPr>
        <w:t>28</w:t>
      </w:r>
      <w:r w:rsidRPr="00AD451B">
        <w:rPr>
          <w:rFonts w:ascii="Arial" w:hAnsi="Arial" w:cs="Arial"/>
          <w:lang w:val="en-GB"/>
        </w:rPr>
        <w:t xml:space="preserve"> (</w:t>
      </w:r>
      <w:r>
        <w:rPr>
          <w:rFonts w:ascii="Arial" w:hAnsi="Arial" w:cs="Arial"/>
          <w:lang w:val="en-GB"/>
        </w:rPr>
        <w:t xml:space="preserve">negative scores denoting health </w:t>
      </w:r>
      <w:r w:rsidRPr="00AD451B">
        <w:rPr>
          <w:rFonts w:ascii="Arial" w:hAnsi="Arial" w:cs="Arial"/>
          <w:lang w:val="en-GB"/>
        </w:rPr>
        <w:t>state</w:t>
      </w:r>
      <w:r>
        <w:rPr>
          <w:rFonts w:ascii="Arial" w:hAnsi="Arial" w:cs="Arial"/>
          <w:lang w:val="en-GB"/>
        </w:rPr>
        <w:t>s</w:t>
      </w:r>
      <w:r w:rsidRPr="00AD451B">
        <w:rPr>
          <w:rFonts w:ascii="Arial" w:hAnsi="Arial" w:cs="Arial"/>
          <w:lang w:val="en-GB"/>
        </w:rPr>
        <w:t xml:space="preserve"> worse than death) through 0 (dead) to 1 (full health).  The recently published value set for England</w:t>
      </w:r>
      <w:r>
        <w:rPr>
          <w:rFonts w:ascii="Arial" w:hAnsi="Arial" w:cs="Arial"/>
          <w:noProof/>
          <w:lang w:val="en-GB"/>
        </w:rPr>
        <w:t>(1</w:t>
      </w:r>
      <w:r w:rsidR="00462751">
        <w:rPr>
          <w:rFonts w:ascii="Arial" w:hAnsi="Arial" w:cs="Arial"/>
          <w:noProof/>
          <w:lang w:val="en-GB"/>
        </w:rPr>
        <w:t>6</w:t>
      </w:r>
      <w:r>
        <w:rPr>
          <w:rFonts w:ascii="Arial" w:hAnsi="Arial" w:cs="Arial"/>
          <w:noProof/>
          <w:lang w:val="en-GB"/>
        </w:rPr>
        <w:t>)</w:t>
      </w:r>
      <w:r w:rsidRPr="00AD451B">
        <w:rPr>
          <w:rFonts w:ascii="Arial" w:hAnsi="Arial" w:cs="Arial"/>
          <w:lang w:val="en-GB"/>
        </w:rPr>
        <w:t xml:space="preserve"> was used in this study as a value set for the whole United Kingdom remains in development</w:t>
      </w:r>
      <w:r>
        <w:rPr>
          <w:rFonts w:ascii="Arial" w:hAnsi="Arial" w:cs="Arial"/>
          <w:lang w:val="en-GB"/>
        </w:rPr>
        <w:t xml:space="preserve"> and most participants came from England</w:t>
      </w:r>
      <w:r w:rsidRPr="00AD451B">
        <w:rPr>
          <w:rFonts w:ascii="Arial" w:hAnsi="Arial" w:cs="Arial"/>
          <w:lang w:val="en-GB"/>
        </w:rPr>
        <w:t>.</w:t>
      </w:r>
    </w:p>
    <w:p w14:paraId="55DEBFDD" w14:textId="77777777" w:rsidR="00E608A7" w:rsidRPr="00AD451B" w:rsidRDefault="00E608A7" w:rsidP="00511F60">
      <w:pPr>
        <w:spacing w:line="480" w:lineRule="auto"/>
        <w:jc w:val="both"/>
        <w:rPr>
          <w:rFonts w:ascii="Arial" w:hAnsi="Arial" w:cs="Arial"/>
          <w:lang w:val="en-GB"/>
        </w:rPr>
      </w:pPr>
    </w:p>
    <w:p w14:paraId="5D7369BC" w14:textId="4D63B0B5" w:rsidR="00E608A7" w:rsidRPr="00AD451B" w:rsidRDefault="00E608A7" w:rsidP="00511F60">
      <w:pPr>
        <w:spacing w:line="480" w:lineRule="auto"/>
        <w:jc w:val="both"/>
        <w:rPr>
          <w:rFonts w:ascii="Arial" w:hAnsi="Arial" w:cs="Arial"/>
          <w:lang w:val="en-GB"/>
        </w:rPr>
      </w:pPr>
      <w:r w:rsidRPr="00AD451B">
        <w:rPr>
          <w:rFonts w:ascii="Arial" w:hAnsi="Arial" w:cs="Arial"/>
          <w:lang w:val="en-GB"/>
        </w:rPr>
        <w:t xml:space="preserve">The EQ-5D-5L also </w:t>
      </w:r>
      <w:r>
        <w:rPr>
          <w:rFonts w:ascii="Arial" w:hAnsi="Arial" w:cs="Arial"/>
          <w:lang w:val="en-GB"/>
        </w:rPr>
        <w:t>includes</w:t>
      </w:r>
      <w:r w:rsidRPr="00AD451B">
        <w:rPr>
          <w:rFonts w:ascii="Arial" w:hAnsi="Arial" w:cs="Arial"/>
          <w:lang w:val="en-GB"/>
        </w:rPr>
        <w:t xml:space="preserve"> a visual analogue </w:t>
      </w:r>
      <w:r>
        <w:rPr>
          <w:rFonts w:ascii="Arial" w:hAnsi="Arial" w:cs="Arial"/>
          <w:lang w:val="en-GB"/>
        </w:rPr>
        <w:t xml:space="preserve">scale </w:t>
      </w:r>
      <w:r w:rsidRPr="00AD451B">
        <w:rPr>
          <w:rFonts w:ascii="Arial" w:hAnsi="Arial" w:cs="Arial"/>
          <w:lang w:val="en-GB"/>
        </w:rPr>
        <w:t>(VAS) from 0 (worst health) to 100 (best health), which participants use to self</w:t>
      </w:r>
      <w:r w:rsidR="00EC7A4A">
        <w:rPr>
          <w:rFonts w:ascii="Arial" w:hAnsi="Arial" w:cs="Arial"/>
          <w:lang w:val="en-GB"/>
        </w:rPr>
        <w:t>-</w:t>
      </w:r>
      <w:r w:rsidRPr="00AD451B">
        <w:rPr>
          <w:rFonts w:ascii="Arial" w:hAnsi="Arial" w:cs="Arial"/>
          <w:lang w:val="en-GB"/>
        </w:rPr>
        <w:t xml:space="preserve">rate their health status on the day of completing the questionnaire. </w:t>
      </w:r>
    </w:p>
    <w:p w14:paraId="2FAC3314" w14:textId="77777777" w:rsidR="00E608A7" w:rsidRPr="00AD451B" w:rsidRDefault="00E608A7" w:rsidP="00511F60">
      <w:pPr>
        <w:spacing w:line="480" w:lineRule="auto"/>
        <w:rPr>
          <w:rFonts w:ascii="Arial" w:hAnsi="Arial" w:cs="Arial"/>
          <w:b/>
          <w:lang w:val="en-GB"/>
        </w:rPr>
      </w:pPr>
    </w:p>
    <w:p w14:paraId="7C3061AD" w14:textId="77777777" w:rsidR="00E608A7" w:rsidRPr="00AD451B" w:rsidRDefault="00E608A7" w:rsidP="00511F60">
      <w:pPr>
        <w:spacing w:line="480" w:lineRule="auto"/>
        <w:rPr>
          <w:rFonts w:ascii="Arial" w:hAnsi="Arial" w:cs="Arial"/>
          <w:b/>
          <w:lang w:val="en-GB"/>
        </w:rPr>
      </w:pPr>
      <w:r w:rsidRPr="00AD451B">
        <w:rPr>
          <w:rFonts w:ascii="Arial" w:hAnsi="Arial" w:cs="Arial"/>
          <w:b/>
          <w:lang w:val="en-GB"/>
        </w:rPr>
        <w:t xml:space="preserve">Data analysis </w:t>
      </w:r>
    </w:p>
    <w:p w14:paraId="67201AC3" w14:textId="75871BF0" w:rsidR="00E608A7" w:rsidRPr="00AD451B" w:rsidRDefault="00E608A7" w:rsidP="00511F60">
      <w:pPr>
        <w:spacing w:line="480" w:lineRule="auto"/>
        <w:jc w:val="both"/>
        <w:rPr>
          <w:rFonts w:ascii="Arial" w:hAnsi="Arial" w:cs="Arial"/>
          <w:lang w:val="en-GB"/>
        </w:rPr>
      </w:pPr>
      <w:r w:rsidRPr="00AD451B">
        <w:rPr>
          <w:rFonts w:ascii="Arial" w:hAnsi="Arial" w:cs="Arial"/>
          <w:lang w:val="en-GB"/>
        </w:rPr>
        <w:lastRenderedPageBreak/>
        <w:t xml:space="preserve">Descriptive statistics were used to present participants’ baseline characteristics and EQ-5D-5L responses. Health states were converted </w:t>
      </w:r>
      <w:r>
        <w:rPr>
          <w:rFonts w:ascii="Arial" w:hAnsi="Arial" w:cs="Arial"/>
          <w:lang w:val="en-GB"/>
        </w:rPr>
        <w:t>in</w:t>
      </w:r>
      <w:r w:rsidRPr="00AD451B">
        <w:rPr>
          <w:rFonts w:ascii="Arial" w:hAnsi="Arial" w:cs="Arial"/>
          <w:lang w:val="en-GB"/>
        </w:rPr>
        <w:t xml:space="preserve">to health </w:t>
      </w:r>
      <w:r>
        <w:rPr>
          <w:rFonts w:ascii="Arial" w:hAnsi="Arial" w:cs="Arial"/>
          <w:lang w:val="en-GB"/>
        </w:rPr>
        <w:t xml:space="preserve">utility </w:t>
      </w:r>
      <w:r w:rsidRPr="00AD451B">
        <w:rPr>
          <w:rFonts w:ascii="Arial" w:hAnsi="Arial" w:cs="Arial"/>
          <w:lang w:val="en-GB"/>
        </w:rPr>
        <w:t>scores using the England value set</w:t>
      </w:r>
      <w:r>
        <w:rPr>
          <w:rFonts w:ascii="Arial" w:hAnsi="Arial" w:cs="Arial"/>
          <w:lang w:val="en-GB"/>
        </w:rPr>
        <w:t xml:space="preserve"> using all five response levels.</w:t>
      </w:r>
      <w:r>
        <w:rPr>
          <w:rFonts w:ascii="Arial" w:hAnsi="Arial" w:cs="Arial"/>
          <w:noProof/>
          <w:lang w:val="en-GB"/>
        </w:rPr>
        <w:t>(1</w:t>
      </w:r>
      <w:r w:rsidR="003834D8">
        <w:rPr>
          <w:rFonts w:ascii="Arial" w:hAnsi="Arial" w:cs="Arial"/>
          <w:noProof/>
          <w:lang w:val="en-GB"/>
        </w:rPr>
        <w:t>6</w:t>
      </w:r>
      <w:r>
        <w:rPr>
          <w:rFonts w:ascii="Arial" w:hAnsi="Arial" w:cs="Arial"/>
          <w:noProof/>
          <w:lang w:val="en-GB"/>
        </w:rPr>
        <w:t>)</w:t>
      </w:r>
      <w:r w:rsidRPr="00AD451B">
        <w:rPr>
          <w:rFonts w:ascii="Arial" w:hAnsi="Arial" w:cs="Arial"/>
          <w:lang w:val="en-GB"/>
        </w:rPr>
        <w:t xml:space="preserve"> Mean and standard deviation of the VAS score and health </w:t>
      </w:r>
      <w:r>
        <w:rPr>
          <w:rFonts w:ascii="Arial" w:hAnsi="Arial" w:cs="Arial"/>
          <w:lang w:val="en-GB"/>
        </w:rPr>
        <w:t xml:space="preserve">utility </w:t>
      </w:r>
      <w:r w:rsidRPr="00AD451B">
        <w:rPr>
          <w:rFonts w:ascii="Arial" w:hAnsi="Arial" w:cs="Arial"/>
          <w:lang w:val="en-GB"/>
        </w:rPr>
        <w:t xml:space="preserve">score were calculated for each disease group. The one-way analysis of variance (ANOVA) test was used to assess statistical significant differences between mean scores for each disease group. </w:t>
      </w:r>
      <w:r>
        <w:rPr>
          <w:rFonts w:ascii="Arial" w:hAnsi="Arial" w:cs="Arial"/>
          <w:lang w:val="en-GB"/>
        </w:rPr>
        <w:t xml:space="preserve">To aid interpretation, </w:t>
      </w:r>
      <w:r>
        <w:rPr>
          <w:rFonts w:ascii="Arial" w:eastAsia="MS Gothic" w:hAnsi="Arial" w:cs="Arial"/>
          <w:color w:val="000000"/>
          <w:lang w:val="en-GB"/>
        </w:rPr>
        <w:t>r</w:t>
      </w:r>
      <w:r w:rsidRPr="00AD451B">
        <w:rPr>
          <w:rFonts w:ascii="Arial" w:eastAsia="MS Gothic" w:hAnsi="Arial" w:cs="Arial"/>
          <w:color w:val="000000"/>
          <w:lang w:val="en-GB"/>
        </w:rPr>
        <w:t xml:space="preserve">esponse levels for each dimension were divided into three categories: ‘no and slight problems’ (level 1 and 2), ‘moderate; (level 3) and, ‘severe and extreme problems’ (level 4 and 5). Significant differences between the three disease groups for the proportion of participants’ responses in each category were assessed using the Fisher’s exact test.  </w:t>
      </w:r>
      <w:r w:rsidRPr="00AD451B">
        <w:rPr>
          <w:rFonts w:ascii="Arial" w:hAnsi="Arial" w:cs="Arial"/>
          <w:lang w:val="en-GB"/>
        </w:rPr>
        <w:t xml:space="preserve">Statistical significance was set as </w:t>
      </w:r>
      <w:r w:rsidRPr="00B00A4F">
        <w:rPr>
          <w:rFonts w:ascii="Arial" w:eastAsia="MS Gothic" w:hAnsi="Arial" w:cs="Arial"/>
          <w:color w:val="000000"/>
          <w:lang w:val="en-GB"/>
        </w:rPr>
        <w:t>p≤0.05.</w:t>
      </w:r>
      <w:r w:rsidRPr="00AD451B">
        <w:rPr>
          <w:rFonts w:ascii="Arial" w:hAnsi="Arial" w:cs="Arial"/>
          <w:lang w:val="en-GB"/>
        </w:rPr>
        <w:t xml:space="preserve"> </w:t>
      </w:r>
    </w:p>
    <w:p w14:paraId="55AFA0DA" w14:textId="77777777" w:rsidR="00E608A7" w:rsidRPr="00AD451B" w:rsidRDefault="00E608A7" w:rsidP="00511F60">
      <w:pPr>
        <w:spacing w:line="480" w:lineRule="auto"/>
        <w:jc w:val="both"/>
        <w:rPr>
          <w:rFonts w:ascii="Arial" w:hAnsi="Arial" w:cs="Arial"/>
          <w:lang w:val="en-GB"/>
        </w:rPr>
      </w:pPr>
    </w:p>
    <w:p w14:paraId="4DBAA841" w14:textId="77777777" w:rsidR="00E608A7" w:rsidRPr="00AD451B" w:rsidRDefault="00E608A7" w:rsidP="00511F60">
      <w:pPr>
        <w:spacing w:line="480" w:lineRule="auto"/>
        <w:jc w:val="both"/>
        <w:rPr>
          <w:rFonts w:ascii="Arial" w:hAnsi="Arial" w:cs="Arial"/>
          <w:lang w:val="en-GB"/>
        </w:rPr>
      </w:pPr>
      <w:r w:rsidRPr="00AD451B">
        <w:rPr>
          <w:rFonts w:ascii="Arial" w:hAnsi="Arial" w:cs="Arial"/>
          <w:lang w:val="en-GB"/>
        </w:rPr>
        <w:t xml:space="preserve">For the economic simulation, we chose OI as the case study because it reported the largest number of individuals. We split the group into tertiles to identify those individuals reporting the lowest health </w:t>
      </w:r>
      <w:r>
        <w:rPr>
          <w:rFonts w:ascii="Arial" w:hAnsi="Arial" w:cs="Arial"/>
          <w:lang w:val="en-GB"/>
        </w:rPr>
        <w:t xml:space="preserve">utility </w:t>
      </w:r>
      <w:r w:rsidRPr="00AD451B">
        <w:rPr>
          <w:rFonts w:ascii="Arial" w:hAnsi="Arial" w:cs="Arial"/>
          <w:lang w:val="en-GB"/>
        </w:rPr>
        <w:t xml:space="preserve">scores and therefore the greater potential improvement (Supplementary figure 1). For our simulation, we considered a </w:t>
      </w:r>
      <w:r>
        <w:rPr>
          <w:rFonts w:ascii="Arial" w:hAnsi="Arial" w:cs="Arial"/>
          <w:lang w:val="en-GB"/>
        </w:rPr>
        <w:t xml:space="preserve">hypothetical </w:t>
      </w:r>
      <w:r w:rsidRPr="00AD451B">
        <w:rPr>
          <w:rFonts w:ascii="Arial" w:hAnsi="Arial" w:cs="Arial"/>
          <w:lang w:val="en-GB"/>
        </w:rPr>
        <w:t xml:space="preserve">treatment that would be applied to those in the lower tertile </w:t>
      </w:r>
      <w:r>
        <w:rPr>
          <w:rFonts w:ascii="Arial" w:hAnsi="Arial" w:cs="Arial"/>
          <w:lang w:val="en-GB"/>
        </w:rPr>
        <w:t xml:space="preserve">of health utility scores </w:t>
      </w:r>
      <w:r w:rsidRPr="00AD451B">
        <w:rPr>
          <w:rFonts w:ascii="Arial" w:hAnsi="Arial" w:cs="Arial"/>
          <w:lang w:val="en-GB"/>
        </w:rPr>
        <w:t>over a period of 10 years</w:t>
      </w:r>
      <w:r>
        <w:rPr>
          <w:rFonts w:ascii="Arial" w:hAnsi="Arial" w:cs="Arial"/>
          <w:lang w:val="en-GB"/>
        </w:rPr>
        <w:t>. P</w:t>
      </w:r>
      <w:r w:rsidRPr="00AD451B">
        <w:rPr>
          <w:rFonts w:ascii="Arial" w:hAnsi="Arial" w:cs="Arial"/>
          <w:lang w:val="en-GB"/>
        </w:rPr>
        <w:t xml:space="preserve">atients under treatment would attain 75% of their individual potential improvement </w:t>
      </w:r>
      <w:r>
        <w:rPr>
          <w:rFonts w:ascii="Arial" w:hAnsi="Arial" w:cs="Arial"/>
          <w:lang w:val="en-GB"/>
        </w:rPr>
        <w:t xml:space="preserve">(the difference </w:t>
      </w:r>
      <w:r w:rsidRPr="00AD451B">
        <w:rPr>
          <w:rFonts w:ascii="Arial" w:hAnsi="Arial" w:cs="Arial"/>
          <w:lang w:val="en-GB"/>
        </w:rPr>
        <w:t>between their reported score and 0.745</w:t>
      </w:r>
      <w:r>
        <w:rPr>
          <w:rFonts w:ascii="Arial" w:hAnsi="Arial" w:cs="Arial"/>
          <w:lang w:val="en-GB"/>
        </w:rPr>
        <w:t xml:space="preserve">, </w:t>
      </w:r>
      <w:r w:rsidRPr="00AD451B">
        <w:rPr>
          <w:rFonts w:ascii="Arial" w:hAnsi="Arial" w:cs="Arial"/>
          <w:lang w:val="en-GB"/>
        </w:rPr>
        <w:t xml:space="preserve">the mean of the middle tertile). We conducted sensitivity analysis on </w:t>
      </w:r>
      <w:r>
        <w:rPr>
          <w:rFonts w:ascii="Arial" w:hAnsi="Arial" w:cs="Arial"/>
          <w:lang w:val="en-GB"/>
        </w:rPr>
        <w:t xml:space="preserve">the </w:t>
      </w:r>
      <w:r w:rsidRPr="00AD451B">
        <w:rPr>
          <w:rFonts w:ascii="Arial" w:hAnsi="Arial" w:cs="Arial"/>
          <w:lang w:val="en-GB"/>
        </w:rPr>
        <w:t xml:space="preserve">percentage improvement producing results for 55%, 65%, 75%, 85% and 95%. </w:t>
      </w:r>
    </w:p>
    <w:p w14:paraId="0CD5B662" w14:textId="77777777" w:rsidR="00E608A7" w:rsidRPr="00AD451B" w:rsidRDefault="00E608A7" w:rsidP="00511F60">
      <w:pPr>
        <w:spacing w:line="480" w:lineRule="auto"/>
        <w:jc w:val="both"/>
        <w:rPr>
          <w:rFonts w:ascii="Arial" w:hAnsi="Arial" w:cs="Arial"/>
          <w:lang w:val="en-GB"/>
        </w:rPr>
      </w:pPr>
    </w:p>
    <w:p w14:paraId="7DC28F3C" w14:textId="0EF0CCD7" w:rsidR="00E608A7" w:rsidRPr="00AD451B" w:rsidRDefault="00E608A7" w:rsidP="00511F60">
      <w:pPr>
        <w:spacing w:line="480" w:lineRule="auto"/>
        <w:jc w:val="both"/>
        <w:rPr>
          <w:rFonts w:ascii="Arial" w:hAnsi="Arial" w:cs="Arial"/>
          <w:lang w:val="en-GB"/>
        </w:rPr>
      </w:pPr>
      <w:r w:rsidRPr="00AD451B">
        <w:rPr>
          <w:rFonts w:ascii="Arial" w:hAnsi="Arial" w:cs="Arial"/>
          <w:lang w:val="en-GB"/>
        </w:rPr>
        <w:t>The treatment</w:t>
      </w:r>
      <w:r>
        <w:rPr>
          <w:rFonts w:ascii="Arial" w:hAnsi="Arial" w:cs="Arial"/>
          <w:lang w:val="en-GB"/>
        </w:rPr>
        <w:t xml:space="preserve"> </w:t>
      </w:r>
      <w:r w:rsidRPr="00AD451B">
        <w:rPr>
          <w:rFonts w:ascii="Arial" w:hAnsi="Arial" w:cs="Arial"/>
          <w:lang w:val="en-GB"/>
        </w:rPr>
        <w:t>was considered to have a constant nominal cost per year. Where total costs are reported, they are discounted at the standard rate of 3.5% per year, as are health utilities according to NICE’s guidance for technology assessments</w:t>
      </w:r>
      <w:r w:rsidR="004C702B">
        <w:rPr>
          <w:rFonts w:ascii="Arial" w:hAnsi="Arial" w:cs="Arial"/>
          <w:lang w:val="en-GB"/>
        </w:rPr>
        <w:t xml:space="preserve"> </w:t>
      </w:r>
      <w:r>
        <w:rPr>
          <w:rFonts w:ascii="Arial" w:hAnsi="Arial" w:cs="Arial"/>
          <w:noProof/>
          <w:lang w:val="en-GB"/>
        </w:rPr>
        <w:t>(1</w:t>
      </w:r>
      <w:r w:rsidR="003834D8">
        <w:rPr>
          <w:rFonts w:ascii="Arial" w:hAnsi="Arial" w:cs="Arial"/>
          <w:noProof/>
          <w:lang w:val="en-GB"/>
        </w:rPr>
        <w:t>7</w:t>
      </w:r>
      <w:r>
        <w:rPr>
          <w:rFonts w:ascii="Arial" w:hAnsi="Arial" w:cs="Arial"/>
          <w:noProof/>
          <w:lang w:val="en-GB"/>
        </w:rPr>
        <w:t>)</w:t>
      </w:r>
      <w:r w:rsidRPr="00AD451B">
        <w:rPr>
          <w:rFonts w:ascii="Arial" w:hAnsi="Arial" w:cs="Arial"/>
          <w:lang w:val="en-GB"/>
        </w:rPr>
        <w:t>. Full treatment effect was assumed to be achieved linearly within the first 12 months. We further assumed no effect on mortality in either arm as the simulation was run for 10 years only. Health utility was however decreased every year by the coefficient found associated with age for all OI patients (-0.005 per year) in a linear regression on reported health utility. Quality-adjusted life years were estimated for each individual in each arm and added over the 10 year period.</w:t>
      </w:r>
    </w:p>
    <w:p w14:paraId="2BFDF57F" w14:textId="77777777" w:rsidR="00E608A7" w:rsidRPr="00AD451B" w:rsidRDefault="00E608A7" w:rsidP="00511F60">
      <w:pPr>
        <w:spacing w:line="480" w:lineRule="auto"/>
        <w:jc w:val="both"/>
        <w:rPr>
          <w:rFonts w:ascii="Arial" w:hAnsi="Arial" w:cs="Arial"/>
          <w:u w:val="single"/>
          <w:lang w:val="en-GB"/>
        </w:rPr>
      </w:pPr>
      <w:r w:rsidRPr="00AD451B">
        <w:rPr>
          <w:rFonts w:ascii="Arial" w:hAnsi="Arial" w:cs="Arial"/>
          <w:lang w:val="en-GB"/>
        </w:rPr>
        <w:t>All data analysis was carried out using STATA IC version 14.</w:t>
      </w:r>
    </w:p>
    <w:p w14:paraId="48BFD6FD" w14:textId="77777777" w:rsidR="00E608A7" w:rsidRPr="00AD451B" w:rsidRDefault="00E608A7" w:rsidP="00511F60">
      <w:pPr>
        <w:spacing w:line="480" w:lineRule="auto"/>
        <w:jc w:val="both"/>
        <w:rPr>
          <w:rFonts w:ascii="Arial" w:hAnsi="Arial" w:cs="Arial"/>
          <w:u w:val="single"/>
          <w:lang w:val="en-GB"/>
        </w:rPr>
      </w:pPr>
    </w:p>
    <w:p w14:paraId="02A77730" w14:textId="4C00A85C" w:rsidR="00E608A7" w:rsidRPr="00E67B21" w:rsidRDefault="00E608A7" w:rsidP="00511F60">
      <w:pPr>
        <w:spacing w:line="480" w:lineRule="auto"/>
        <w:jc w:val="both"/>
        <w:rPr>
          <w:rFonts w:ascii="Arial" w:hAnsi="Arial" w:cs="Arial"/>
          <w:b/>
          <w:lang w:val="en-GB"/>
        </w:rPr>
      </w:pPr>
      <w:r w:rsidRPr="00E67B21">
        <w:rPr>
          <w:rFonts w:ascii="Arial" w:hAnsi="Arial" w:cs="Arial"/>
          <w:b/>
          <w:lang w:val="en-GB"/>
        </w:rPr>
        <w:t>Result</w:t>
      </w:r>
      <w:r w:rsidR="0092789B" w:rsidRPr="00E67B21">
        <w:rPr>
          <w:rFonts w:ascii="Arial" w:hAnsi="Arial" w:cs="Arial"/>
          <w:b/>
          <w:lang w:val="en-GB"/>
        </w:rPr>
        <w:t>s</w:t>
      </w:r>
    </w:p>
    <w:p w14:paraId="679BDA0A" w14:textId="047EF237" w:rsidR="00E608A7" w:rsidRPr="00AD451B" w:rsidRDefault="00E608A7" w:rsidP="00511F60">
      <w:pPr>
        <w:spacing w:line="480" w:lineRule="auto"/>
        <w:jc w:val="both"/>
        <w:rPr>
          <w:rFonts w:ascii="Arial" w:hAnsi="Arial" w:cs="Arial"/>
          <w:lang w:val="en-GB"/>
        </w:rPr>
      </w:pPr>
      <w:r w:rsidRPr="00AD451B">
        <w:rPr>
          <w:rFonts w:ascii="Arial" w:hAnsi="Arial" w:cs="Arial"/>
          <w:b/>
          <w:lang w:val="en-GB"/>
        </w:rPr>
        <w:t>Baseline characteristics</w:t>
      </w:r>
    </w:p>
    <w:p w14:paraId="6108AED6" w14:textId="77777777" w:rsidR="00E608A7" w:rsidRPr="00AD451B" w:rsidRDefault="00E608A7" w:rsidP="00511F60">
      <w:pPr>
        <w:spacing w:line="480" w:lineRule="auto"/>
        <w:jc w:val="both"/>
        <w:rPr>
          <w:rFonts w:ascii="Arial" w:hAnsi="Arial" w:cs="Arial"/>
          <w:lang w:val="en-GB"/>
        </w:rPr>
      </w:pPr>
      <w:r w:rsidRPr="00AD451B">
        <w:rPr>
          <w:rFonts w:ascii="Arial" w:hAnsi="Arial" w:cs="Arial"/>
          <w:lang w:val="en-GB"/>
        </w:rPr>
        <w:t xml:space="preserve">A total of 174 participants were recruited to the study. 109 participants fully completed the EQ-5D-5L questionnaire (response rate 63%). The baseline characteristics of respondents are shown in </w:t>
      </w:r>
      <w:r>
        <w:rPr>
          <w:rFonts w:ascii="Arial" w:hAnsi="Arial" w:cs="Arial"/>
          <w:lang w:val="en-GB"/>
        </w:rPr>
        <w:t>T</w:t>
      </w:r>
      <w:r w:rsidRPr="00AD451B">
        <w:rPr>
          <w:rFonts w:ascii="Arial" w:hAnsi="Arial" w:cs="Arial"/>
          <w:lang w:val="en-GB"/>
        </w:rPr>
        <w:t>able 1 and there were no statistically significant difference between baseline characteristics of the responders and non-responders (p&gt;0.05) for age, gender and number of comorbidities. Amongst those diagnosed with OI</w:t>
      </w:r>
      <w:r>
        <w:rPr>
          <w:rFonts w:ascii="Arial" w:hAnsi="Arial" w:cs="Arial"/>
          <w:lang w:val="en-GB"/>
        </w:rPr>
        <w:t xml:space="preserve"> and</w:t>
      </w:r>
      <w:r w:rsidRPr="00AD451B">
        <w:rPr>
          <w:rFonts w:ascii="Arial" w:hAnsi="Arial" w:cs="Arial"/>
          <w:lang w:val="en-GB"/>
        </w:rPr>
        <w:t xml:space="preserve"> using Sillence’s classification</w:t>
      </w:r>
      <w:r>
        <w:rPr>
          <w:rFonts w:ascii="Arial" w:hAnsi="Arial" w:cs="Arial"/>
          <w:lang w:val="en-GB"/>
        </w:rPr>
        <w:t>,</w:t>
      </w:r>
      <w:r w:rsidRPr="00AD451B">
        <w:rPr>
          <w:rFonts w:ascii="Arial" w:hAnsi="Arial" w:cs="Arial"/>
          <w:lang w:val="en-GB"/>
        </w:rPr>
        <w:t xml:space="preserve"> 18 participants had type I, five had type III, five had type IV and 15 reported an unknown type.</w:t>
      </w:r>
    </w:p>
    <w:p w14:paraId="338D5A17" w14:textId="77777777" w:rsidR="00903609" w:rsidRPr="00B63822" w:rsidRDefault="00903609" w:rsidP="00903609">
      <w:pPr>
        <w:spacing w:line="480" w:lineRule="auto"/>
        <w:jc w:val="both"/>
        <w:rPr>
          <w:rFonts w:ascii="Arial" w:hAnsi="Arial" w:cs="Arial"/>
          <w:b/>
          <w:lang w:val="en-GB"/>
        </w:rPr>
      </w:pPr>
      <w:r w:rsidRPr="00B63822">
        <w:rPr>
          <w:rFonts w:ascii="Arial" w:hAnsi="Arial" w:cs="Arial"/>
          <w:b/>
          <w:lang w:val="en-GB"/>
        </w:rPr>
        <w:t>Table 1: Descriptive statistics of respondents</w:t>
      </w:r>
    </w:p>
    <w:tbl>
      <w:tblPr>
        <w:tblStyle w:val="TableGrid"/>
        <w:tblW w:w="0" w:type="auto"/>
        <w:tblLook w:val="04A0" w:firstRow="1" w:lastRow="0" w:firstColumn="1" w:lastColumn="0" w:noHBand="0" w:noVBand="1"/>
      </w:tblPr>
      <w:tblGrid>
        <w:gridCol w:w="2937"/>
        <w:gridCol w:w="1377"/>
        <w:gridCol w:w="1377"/>
        <w:gridCol w:w="1377"/>
        <w:gridCol w:w="1377"/>
      </w:tblGrid>
      <w:tr w:rsidR="00903609" w:rsidRPr="00AD451B" w14:paraId="243BBE78" w14:textId="77777777" w:rsidTr="00903609">
        <w:tc>
          <w:tcPr>
            <w:tcW w:w="0" w:type="auto"/>
          </w:tcPr>
          <w:p w14:paraId="50C5EAF0" w14:textId="77777777" w:rsidR="00903609" w:rsidRPr="00AD451B" w:rsidRDefault="00903609" w:rsidP="00903609">
            <w:pPr>
              <w:spacing w:line="480" w:lineRule="auto"/>
              <w:rPr>
                <w:rFonts w:ascii="Arial" w:hAnsi="Arial" w:cs="Arial"/>
                <w:b/>
                <w:lang w:val="en-GB"/>
              </w:rPr>
            </w:pPr>
          </w:p>
        </w:tc>
        <w:tc>
          <w:tcPr>
            <w:tcW w:w="0" w:type="auto"/>
            <w:gridSpan w:val="3"/>
          </w:tcPr>
          <w:p w14:paraId="53D2D712" w14:textId="77777777" w:rsidR="00903609" w:rsidRPr="00AD451B" w:rsidRDefault="00903609" w:rsidP="00903609">
            <w:pPr>
              <w:spacing w:line="480" w:lineRule="auto"/>
              <w:jc w:val="center"/>
              <w:rPr>
                <w:rFonts w:ascii="Arial" w:hAnsi="Arial" w:cs="Arial"/>
                <w:b/>
                <w:lang w:val="en-GB"/>
              </w:rPr>
            </w:pPr>
            <w:r w:rsidRPr="00AD451B">
              <w:rPr>
                <w:rFonts w:ascii="Arial" w:hAnsi="Arial" w:cs="Arial"/>
                <w:b/>
                <w:lang w:val="en-GB"/>
              </w:rPr>
              <w:t xml:space="preserve">Diagnosis </w:t>
            </w:r>
          </w:p>
        </w:tc>
        <w:tc>
          <w:tcPr>
            <w:tcW w:w="0" w:type="auto"/>
          </w:tcPr>
          <w:p w14:paraId="5A91BE3B" w14:textId="77777777" w:rsidR="00903609" w:rsidRPr="00AD451B" w:rsidRDefault="00903609" w:rsidP="00903609">
            <w:pPr>
              <w:spacing w:line="480" w:lineRule="auto"/>
              <w:rPr>
                <w:rFonts w:ascii="Arial" w:hAnsi="Arial" w:cs="Arial"/>
                <w:b/>
                <w:lang w:val="en-GB"/>
              </w:rPr>
            </w:pPr>
          </w:p>
        </w:tc>
      </w:tr>
      <w:tr w:rsidR="00903609" w:rsidRPr="00AD451B" w14:paraId="61B6DCE8" w14:textId="77777777" w:rsidTr="00903609">
        <w:tc>
          <w:tcPr>
            <w:tcW w:w="0" w:type="auto"/>
          </w:tcPr>
          <w:p w14:paraId="2306BDB0" w14:textId="77777777" w:rsidR="00903609" w:rsidRPr="00AD451B" w:rsidRDefault="00903609" w:rsidP="00903609">
            <w:pPr>
              <w:spacing w:line="480" w:lineRule="auto"/>
              <w:rPr>
                <w:rFonts w:ascii="Arial" w:hAnsi="Arial" w:cs="Arial"/>
                <w:b/>
                <w:lang w:val="en-GB"/>
              </w:rPr>
            </w:pPr>
          </w:p>
        </w:tc>
        <w:tc>
          <w:tcPr>
            <w:tcW w:w="0" w:type="auto"/>
          </w:tcPr>
          <w:p w14:paraId="54A7D656" w14:textId="77777777" w:rsidR="00903609" w:rsidRPr="00AD451B" w:rsidRDefault="00903609" w:rsidP="00903609">
            <w:pPr>
              <w:spacing w:line="480" w:lineRule="auto"/>
              <w:rPr>
                <w:rFonts w:ascii="Arial" w:hAnsi="Arial" w:cs="Arial"/>
                <w:b/>
                <w:lang w:val="en-GB"/>
              </w:rPr>
            </w:pPr>
            <w:r w:rsidRPr="00AD451B">
              <w:rPr>
                <w:rFonts w:ascii="Arial" w:hAnsi="Arial" w:cs="Arial"/>
                <w:b/>
                <w:lang w:val="en-GB"/>
              </w:rPr>
              <w:t>OI</w:t>
            </w:r>
          </w:p>
        </w:tc>
        <w:tc>
          <w:tcPr>
            <w:tcW w:w="0" w:type="auto"/>
          </w:tcPr>
          <w:p w14:paraId="45D6936F" w14:textId="77777777" w:rsidR="00903609" w:rsidRPr="00AD451B" w:rsidRDefault="00903609" w:rsidP="00903609">
            <w:pPr>
              <w:spacing w:line="480" w:lineRule="auto"/>
              <w:rPr>
                <w:rFonts w:ascii="Arial" w:hAnsi="Arial" w:cs="Arial"/>
                <w:b/>
                <w:lang w:val="en-GB"/>
              </w:rPr>
            </w:pPr>
            <w:r w:rsidRPr="00AD451B">
              <w:rPr>
                <w:rFonts w:ascii="Arial" w:hAnsi="Arial" w:cs="Arial"/>
                <w:b/>
                <w:lang w:val="en-GB"/>
              </w:rPr>
              <w:t>FD</w:t>
            </w:r>
          </w:p>
        </w:tc>
        <w:tc>
          <w:tcPr>
            <w:tcW w:w="0" w:type="auto"/>
          </w:tcPr>
          <w:p w14:paraId="53E2DC45" w14:textId="77777777" w:rsidR="00903609" w:rsidRPr="00AD451B" w:rsidRDefault="00903609" w:rsidP="00903609">
            <w:pPr>
              <w:spacing w:line="480" w:lineRule="auto"/>
              <w:rPr>
                <w:rFonts w:ascii="Arial" w:hAnsi="Arial" w:cs="Arial"/>
                <w:b/>
                <w:lang w:val="en-GB"/>
              </w:rPr>
            </w:pPr>
            <w:r w:rsidRPr="00AD451B">
              <w:rPr>
                <w:rFonts w:ascii="Arial" w:hAnsi="Arial" w:cs="Arial"/>
                <w:b/>
                <w:lang w:val="en-GB"/>
              </w:rPr>
              <w:t xml:space="preserve">XLH </w:t>
            </w:r>
          </w:p>
        </w:tc>
        <w:tc>
          <w:tcPr>
            <w:tcW w:w="0" w:type="auto"/>
          </w:tcPr>
          <w:p w14:paraId="41291FD4" w14:textId="77777777" w:rsidR="00903609" w:rsidRPr="00AD451B" w:rsidRDefault="00903609" w:rsidP="00903609">
            <w:pPr>
              <w:spacing w:line="480" w:lineRule="auto"/>
              <w:rPr>
                <w:rFonts w:ascii="Arial" w:hAnsi="Arial" w:cs="Arial"/>
                <w:b/>
                <w:lang w:val="en-GB"/>
              </w:rPr>
            </w:pPr>
            <w:r w:rsidRPr="00AD451B">
              <w:rPr>
                <w:rFonts w:ascii="Arial" w:hAnsi="Arial" w:cs="Arial"/>
                <w:b/>
                <w:lang w:val="en-GB"/>
              </w:rPr>
              <w:t>Total</w:t>
            </w:r>
          </w:p>
        </w:tc>
      </w:tr>
      <w:tr w:rsidR="00903609" w:rsidRPr="00AD451B" w14:paraId="4A2B505E" w14:textId="77777777" w:rsidTr="00903609">
        <w:tc>
          <w:tcPr>
            <w:tcW w:w="0" w:type="auto"/>
          </w:tcPr>
          <w:p w14:paraId="3F45A8C4" w14:textId="77777777" w:rsidR="00903609" w:rsidRPr="00AD451B" w:rsidRDefault="00903609" w:rsidP="00903609">
            <w:pPr>
              <w:spacing w:line="480" w:lineRule="auto"/>
              <w:rPr>
                <w:rFonts w:ascii="Arial" w:hAnsi="Arial" w:cs="Arial"/>
                <w:b/>
                <w:lang w:val="en-GB"/>
              </w:rPr>
            </w:pPr>
            <w:r w:rsidRPr="00AD451B">
              <w:rPr>
                <w:rFonts w:ascii="Arial" w:hAnsi="Arial" w:cs="Arial"/>
                <w:b/>
                <w:lang w:val="en-GB"/>
              </w:rPr>
              <w:t>n</w:t>
            </w:r>
          </w:p>
        </w:tc>
        <w:tc>
          <w:tcPr>
            <w:tcW w:w="0" w:type="auto"/>
          </w:tcPr>
          <w:p w14:paraId="6E684409" w14:textId="77777777" w:rsidR="00903609" w:rsidRPr="00AD451B" w:rsidRDefault="00903609" w:rsidP="00903609">
            <w:pPr>
              <w:spacing w:line="480" w:lineRule="auto"/>
              <w:rPr>
                <w:rFonts w:ascii="Arial" w:hAnsi="Arial" w:cs="Arial"/>
                <w:lang w:val="en-GB"/>
              </w:rPr>
            </w:pPr>
            <w:r w:rsidRPr="00AD451B">
              <w:rPr>
                <w:rFonts w:ascii="Arial" w:hAnsi="Arial" w:cs="Arial"/>
                <w:lang w:val="en-GB"/>
              </w:rPr>
              <w:t>43</w:t>
            </w:r>
          </w:p>
        </w:tc>
        <w:tc>
          <w:tcPr>
            <w:tcW w:w="0" w:type="auto"/>
          </w:tcPr>
          <w:p w14:paraId="31070F7F" w14:textId="77777777" w:rsidR="00903609" w:rsidRPr="00AD451B" w:rsidRDefault="00903609" w:rsidP="00903609">
            <w:pPr>
              <w:spacing w:line="480" w:lineRule="auto"/>
              <w:rPr>
                <w:rFonts w:ascii="Arial" w:hAnsi="Arial" w:cs="Arial"/>
                <w:lang w:val="en-GB"/>
              </w:rPr>
            </w:pPr>
            <w:r w:rsidRPr="00AD451B">
              <w:rPr>
                <w:rFonts w:ascii="Arial" w:hAnsi="Arial" w:cs="Arial"/>
                <w:lang w:val="en-GB"/>
              </w:rPr>
              <w:t>42</w:t>
            </w:r>
          </w:p>
        </w:tc>
        <w:tc>
          <w:tcPr>
            <w:tcW w:w="0" w:type="auto"/>
          </w:tcPr>
          <w:p w14:paraId="76EA4949" w14:textId="77777777" w:rsidR="00903609" w:rsidRPr="00AD451B" w:rsidRDefault="00903609" w:rsidP="00903609">
            <w:pPr>
              <w:spacing w:line="480" w:lineRule="auto"/>
              <w:rPr>
                <w:rFonts w:ascii="Arial" w:hAnsi="Arial" w:cs="Arial"/>
                <w:lang w:val="en-GB"/>
              </w:rPr>
            </w:pPr>
            <w:r w:rsidRPr="00AD451B">
              <w:rPr>
                <w:rFonts w:ascii="Arial" w:hAnsi="Arial" w:cs="Arial"/>
                <w:lang w:val="en-GB"/>
              </w:rPr>
              <w:t>24</w:t>
            </w:r>
          </w:p>
        </w:tc>
        <w:tc>
          <w:tcPr>
            <w:tcW w:w="0" w:type="auto"/>
          </w:tcPr>
          <w:p w14:paraId="150A60AC" w14:textId="77777777" w:rsidR="00903609" w:rsidRPr="00AD451B" w:rsidRDefault="00903609" w:rsidP="00903609">
            <w:pPr>
              <w:spacing w:line="480" w:lineRule="auto"/>
              <w:rPr>
                <w:rFonts w:ascii="Arial" w:hAnsi="Arial" w:cs="Arial"/>
                <w:lang w:val="en-GB"/>
              </w:rPr>
            </w:pPr>
            <w:r w:rsidRPr="00AD451B">
              <w:rPr>
                <w:rFonts w:ascii="Arial" w:hAnsi="Arial" w:cs="Arial"/>
                <w:lang w:val="en-GB"/>
              </w:rPr>
              <w:t>109</w:t>
            </w:r>
          </w:p>
        </w:tc>
      </w:tr>
      <w:tr w:rsidR="00903609" w:rsidRPr="00AD451B" w14:paraId="60E0EDB3" w14:textId="77777777" w:rsidTr="00903609">
        <w:tc>
          <w:tcPr>
            <w:tcW w:w="0" w:type="auto"/>
          </w:tcPr>
          <w:p w14:paraId="7AB71497" w14:textId="77777777" w:rsidR="00903609" w:rsidRPr="00AD451B" w:rsidRDefault="00903609" w:rsidP="00903609">
            <w:pPr>
              <w:spacing w:line="480" w:lineRule="auto"/>
              <w:rPr>
                <w:rFonts w:ascii="Arial" w:hAnsi="Arial" w:cs="Arial"/>
                <w:b/>
                <w:lang w:val="en-GB"/>
              </w:rPr>
            </w:pPr>
            <w:r w:rsidRPr="00AD451B">
              <w:rPr>
                <w:rFonts w:ascii="Arial" w:hAnsi="Arial" w:cs="Arial"/>
                <w:b/>
                <w:lang w:val="en-GB"/>
              </w:rPr>
              <w:t>Age (mean (years) (SD))</w:t>
            </w:r>
          </w:p>
        </w:tc>
        <w:tc>
          <w:tcPr>
            <w:tcW w:w="0" w:type="auto"/>
          </w:tcPr>
          <w:p w14:paraId="5C9DDB04" w14:textId="77777777" w:rsidR="00903609" w:rsidRPr="00AD451B" w:rsidRDefault="00903609" w:rsidP="00903609">
            <w:pPr>
              <w:spacing w:line="480" w:lineRule="auto"/>
              <w:rPr>
                <w:rFonts w:ascii="Arial" w:hAnsi="Arial" w:cs="Arial"/>
                <w:lang w:val="en-GB"/>
              </w:rPr>
            </w:pPr>
            <w:r w:rsidRPr="00AD451B">
              <w:rPr>
                <w:rFonts w:ascii="Arial" w:hAnsi="Arial" w:cs="Arial"/>
                <w:lang w:val="en-GB"/>
              </w:rPr>
              <w:t>40.4 (14.4)</w:t>
            </w:r>
          </w:p>
        </w:tc>
        <w:tc>
          <w:tcPr>
            <w:tcW w:w="0" w:type="auto"/>
          </w:tcPr>
          <w:p w14:paraId="2EE81387" w14:textId="77777777" w:rsidR="00903609" w:rsidRPr="00AD451B" w:rsidRDefault="00903609" w:rsidP="00903609">
            <w:pPr>
              <w:spacing w:line="480" w:lineRule="auto"/>
              <w:rPr>
                <w:rFonts w:ascii="Arial" w:hAnsi="Arial" w:cs="Arial"/>
                <w:lang w:val="en-GB"/>
              </w:rPr>
            </w:pPr>
            <w:r w:rsidRPr="00AD451B">
              <w:rPr>
                <w:rFonts w:ascii="Arial" w:hAnsi="Arial" w:cs="Arial"/>
                <w:lang w:val="en-GB"/>
              </w:rPr>
              <w:t>44.3 (14.5)</w:t>
            </w:r>
          </w:p>
        </w:tc>
        <w:tc>
          <w:tcPr>
            <w:tcW w:w="0" w:type="auto"/>
          </w:tcPr>
          <w:p w14:paraId="1841EB2D" w14:textId="77777777" w:rsidR="00903609" w:rsidRPr="00AD451B" w:rsidRDefault="00903609" w:rsidP="00903609">
            <w:pPr>
              <w:spacing w:line="480" w:lineRule="auto"/>
              <w:rPr>
                <w:rFonts w:ascii="Arial" w:hAnsi="Arial" w:cs="Arial"/>
                <w:lang w:val="en-GB"/>
              </w:rPr>
            </w:pPr>
            <w:r w:rsidRPr="00AD451B">
              <w:rPr>
                <w:rFonts w:ascii="Arial" w:hAnsi="Arial" w:cs="Arial"/>
                <w:lang w:val="en-GB"/>
              </w:rPr>
              <w:t>46.3 (16.3)</w:t>
            </w:r>
          </w:p>
        </w:tc>
        <w:tc>
          <w:tcPr>
            <w:tcW w:w="0" w:type="auto"/>
          </w:tcPr>
          <w:p w14:paraId="33E7DB9D" w14:textId="77777777" w:rsidR="00903609" w:rsidRPr="00AD451B" w:rsidRDefault="00903609" w:rsidP="00903609">
            <w:pPr>
              <w:spacing w:line="480" w:lineRule="auto"/>
              <w:rPr>
                <w:rFonts w:ascii="Arial" w:hAnsi="Arial" w:cs="Arial"/>
                <w:lang w:val="en-GB"/>
              </w:rPr>
            </w:pPr>
            <w:r w:rsidRPr="00AD451B">
              <w:rPr>
                <w:rFonts w:ascii="Arial" w:hAnsi="Arial" w:cs="Arial"/>
                <w:lang w:val="en-GB"/>
              </w:rPr>
              <w:t xml:space="preserve">43.2 (14.9) </w:t>
            </w:r>
          </w:p>
        </w:tc>
      </w:tr>
      <w:tr w:rsidR="00903609" w:rsidRPr="00AD451B" w14:paraId="12B6B0A5" w14:textId="77777777" w:rsidTr="00903609">
        <w:tc>
          <w:tcPr>
            <w:tcW w:w="0" w:type="auto"/>
          </w:tcPr>
          <w:p w14:paraId="300BD9CC" w14:textId="77777777" w:rsidR="00903609" w:rsidRPr="00AD451B" w:rsidRDefault="00903609" w:rsidP="00903609">
            <w:pPr>
              <w:spacing w:line="480" w:lineRule="auto"/>
              <w:rPr>
                <w:rFonts w:ascii="Arial" w:hAnsi="Arial" w:cs="Arial"/>
                <w:b/>
                <w:lang w:val="en-GB"/>
              </w:rPr>
            </w:pPr>
            <w:r w:rsidRPr="00AD451B">
              <w:rPr>
                <w:rFonts w:ascii="Arial" w:hAnsi="Arial" w:cs="Arial"/>
                <w:b/>
                <w:lang w:val="en-GB"/>
              </w:rPr>
              <w:t>Age (range years)</w:t>
            </w:r>
          </w:p>
        </w:tc>
        <w:tc>
          <w:tcPr>
            <w:tcW w:w="0" w:type="auto"/>
          </w:tcPr>
          <w:p w14:paraId="51AF44EB" w14:textId="1A979DCC" w:rsidR="00903609" w:rsidRPr="00AD451B" w:rsidRDefault="00903609" w:rsidP="00903609">
            <w:pPr>
              <w:spacing w:line="480" w:lineRule="auto"/>
              <w:rPr>
                <w:rFonts w:ascii="Arial" w:hAnsi="Arial" w:cs="Arial"/>
                <w:lang w:val="en-GB"/>
              </w:rPr>
            </w:pPr>
            <w:r w:rsidRPr="00AD451B">
              <w:rPr>
                <w:rFonts w:ascii="Arial" w:hAnsi="Arial" w:cs="Arial"/>
                <w:lang w:val="en-GB"/>
              </w:rPr>
              <w:t>18</w:t>
            </w:r>
            <w:r w:rsidR="00AE659C">
              <w:rPr>
                <w:rFonts w:ascii="Arial" w:hAnsi="Arial" w:cs="Arial"/>
                <w:lang w:val="en-GB"/>
              </w:rPr>
              <w:t xml:space="preserve"> </w:t>
            </w:r>
            <w:r w:rsidRPr="00AD451B">
              <w:rPr>
                <w:rFonts w:ascii="Arial" w:hAnsi="Arial" w:cs="Arial"/>
                <w:lang w:val="en-GB"/>
              </w:rPr>
              <w:t>- 70</w:t>
            </w:r>
          </w:p>
        </w:tc>
        <w:tc>
          <w:tcPr>
            <w:tcW w:w="0" w:type="auto"/>
          </w:tcPr>
          <w:p w14:paraId="4BF3D518" w14:textId="458D52A2" w:rsidR="00903609" w:rsidRPr="00AD451B" w:rsidRDefault="00903609" w:rsidP="00903609">
            <w:pPr>
              <w:spacing w:line="480" w:lineRule="auto"/>
              <w:rPr>
                <w:rFonts w:ascii="Arial" w:hAnsi="Arial" w:cs="Arial"/>
                <w:lang w:val="en-GB"/>
              </w:rPr>
            </w:pPr>
            <w:r w:rsidRPr="00AD451B">
              <w:rPr>
                <w:rFonts w:ascii="Arial" w:hAnsi="Arial" w:cs="Arial"/>
                <w:lang w:val="en-GB"/>
              </w:rPr>
              <w:t>18</w:t>
            </w:r>
            <w:r w:rsidR="00AE659C">
              <w:rPr>
                <w:rFonts w:ascii="Arial" w:hAnsi="Arial" w:cs="Arial"/>
                <w:lang w:val="en-GB"/>
              </w:rPr>
              <w:t xml:space="preserve"> </w:t>
            </w:r>
            <w:r w:rsidRPr="00AD451B">
              <w:rPr>
                <w:rFonts w:ascii="Arial" w:hAnsi="Arial" w:cs="Arial"/>
                <w:lang w:val="en-GB"/>
              </w:rPr>
              <w:t>- 75</w:t>
            </w:r>
          </w:p>
        </w:tc>
        <w:tc>
          <w:tcPr>
            <w:tcW w:w="0" w:type="auto"/>
          </w:tcPr>
          <w:p w14:paraId="6442DEDF" w14:textId="77777777" w:rsidR="00903609" w:rsidRPr="00AD451B" w:rsidRDefault="00903609" w:rsidP="00903609">
            <w:pPr>
              <w:spacing w:line="480" w:lineRule="auto"/>
              <w:rPr>
                <w:rFonts w:ascii="Arial" w:hAnsi="Arial" w:cs="Arial"/>
                <w:lang w:val="en-GB"/>
              </w:rPr>
            </w:pPr>
            <w:r w:rsidRPr="00AD451B">
              <w:rPr>
                <w:rFonts w:ascii="Arial" w:hAnsi="Arial" w:cs="Arial"/>
                <w:lang w:val="en-GB"/>
              </w:rPr>
              <w:t>22 - 78</w:t>
            </w:r>
          </w:p>
        </w:tc>
        <w:tc>
          <w:tcPr>
            <w:tcW w:w="0" w:type="auto"/>
          </w:tcPr>
          <w:p w14:paraId="746CF317" w14:textId="170FDF7B" w:rsidR="00903609" w:rsidRPr="00AD451B" w:rsidRDefault="00903609" w:rsidP="00AE659C">
            <w:pPr>
              <w:spacing w:line="480" w:lineRule="auto"/>
              <w:rPr>
                <w:rFonts w:ascii="Arial" w:hAnsi="Arial" w:cs="Arial"/>
                <w:lang w:val="en-GB"/>
              </w:rPr>
            </w:pPr>
            <w:r w:rsidRPr="00AD451B">
              <w:rPr>
                <w:rFonts w:ascii="Arial" w:hAnsi="Arial" w:cs="Arial"/>
                <w:lang w:val="en-GB"/>
              </w:rPr>
              <w:t xml:space="preserve">18 </w:t>
            </w:r>
            <w:r w:rsidR="00AE659C">
              <w:rPr>
                <w:rFonts w:ascii="Arial" w:hAnsi="Arial" w:cs="Arial"/>
                <w:lang w:val="en-GB"/>
              </w:rPr>
              <w:t>-</w:t>
            </w:r>
            <w:r w:rsidRPr="00AD451B">
              <w:rPr>
                <w:rFonts w:ascii="Arial" w:hAnsi="Arial" w:cs="Arial"/>
                <w:lang w:val="en-GB"/>
              </w:rPr>
              <w:t xml:space="preserve"> 78</w:t>
            </w:r>
          </w:p>
        </w:tc>
      </w:tr>
      <w:tr w:rsidR="00903609" w:rsidRPr="00AD451B" w14:paraId="1067254A" w14:textId="77777777" w:rsidTr="00903609">
        <w:tc>
          <w:tcPr>
            <w:tcW w:w="0" w:type="auto"/>
          </w:tcPr>
          <w:p w14:paraId="05A36404" w14:textId="77777777" w:rsidR="00903609" w:rsidRPr="00AD451B" w:rsidRDefault="00903609" w:rsidP="00903609">
            <w:pPr>
              <w:spacing w:line="480" w:lineRule="auto"/>
              <w:rPr>
                <w:rFonts w:ascii="Arial" w:hAnsi="Arial" w:cs="Arial"/>
                <w:b/>
                <w:lang w:val="en-GB"/>
              </w:rPr>
            </w:pPr>
            <w:r w:rsidRPr="00AD451B">
              <w:rPr>
                <w:rFonts w:ascii="Arial" w:hAnsi="Arial" w:cs="Arial"/>
                <w:b/>
                <w:lang w:val="en-GB"/>
              </w:rPr>
              <w:t>Gender n (%)      Female</w:t>
            </w:r>
          </w:p>
          <w:p w14:paraId="68409829" w14:textId="77777777" w:rsidR="00903609" w:rsidRPr="00AD451B" w:rsidRDefault="00903609" w:rsidP="00903609">
            <w:pPr>
              <w:spacing w:line="480" w:lineRule="auto"/>
              <w:rPr>
                <w:rFonts w:ascii="Arial" w:hAnsi="Arial" w:cs="Arial"/>
                <w:b/>
                <w:lang w:val="en-GB"/>
              </w:rPr>
            </w:pPr>
            <w:r w:rsidRPr="00AD451B">
              <w:rPr>
                <w:rFonts w:ascii="Arial" w:hAnsi="Arial" w:cs="Arial"/>
                <w:b/>
                <w:lang w:val="en-GB"/>
              </w:rPr>
              <w:t xml:space="preserve">                      </w:t>
            </w:r>
          </w:p>
        </w:tc>
        <w:tc>
          <w:tcPr>
            <w:tcW w:w="0" w:type="auto"/>
          </w:tcPr>
          <w:p w14:paraId="111A4B44" w14:textId="77777777" w:rsidR="00903609" w:rsidRPr="00AD451B" w:rsidRDefault="00903609" w:rsidP="00903609">
            <w:pPr>
              <w:spacing w:line="480" w:lineRule="auto"/>
              <w:rPr>
                <w:rFonts w:ascii="Arial" w:hAnsi="Arial" w:cs="Arial"/>
                <w:lang w:val="en-GB"/>
              </w:rPr>
            </w:pPr>
            <w:r w:rsidRPr="00AD451B">
              <w:rPr>
                <w:rFonts w:ascii="Arial" w:hAnsi="Arial" w:cs="Arial"/>
                <w:lang w:val="en-GB"/>
              </w:rPr>
              <w:t>33 (77)</w:t>
            </w:r>
          </w:p>
        </w:tc>
        <w:tc>
          <w:tcPr>
            <w:tcW w:w="0" w:type="auto"/>
          </w:tcPr>
          <w:p w14:paraId="38C63889" w14:textId="77777777" w:rsidR="00903609" w:rsidRPr="00AD451B" w:rsidRDefault="00903609" w:rsidP="00903609">
            <w:pPr>
              <w:spacing w:line="480" w:lineRule="auto"/>
              <w:rPr>
                <w:rFonts w:ascii="Arial" w:hAnsi="Arial" w:cs="Arial"/>
                <w:lang w:val="en-GB"/>
              </w:rPr>
            </w:pPr>
            <w:r w:rsidRPr="00AD451B">
              <w:rPr>
                <w:rFonts w:ascii="Arial" w:hAnsi="Arial" w:cs="Arial"/>
                <w:lang w:val="en-GB"/>
              </w:rPr>
              <w:t>29 (69)</w:t>
            </w:r>
          </w:p>
        </w:tc>
        <w:tc>
          <w:tcPr>
            <w:tcW w:w="0" w:type="auto"/>
          </w:tcPr>
          <w:p w14:paraId="2773A887" w14:textId="77777777" w:rsidR="00903609" w:rsidRPr="00AD451B" w:rsidRDefault="00903609" w:rsidP="00903609">
            <w:pPr>
              <w:spacing w:line="480" w:lineRule="auto"/>
              <w:rPr>
                <w:rFonts w:ascii="Arial" w:hAnsi="Arial" w:cs="Arial"/>
                <w:lang w:val="en-GB"/>
              </w:rPr>
            </w:pPr>
            <w:r w:rsidRPr="00AD451B">
              <w:rPr>
                <w:rFonts w:ascii="Arial" w:hAnsi="Arial" w:cs="Arial"/>
                <w:lang w:val="en-GB"/>
              </w:rPr>
              <w:t xml:space="preserve"> 19 (79) </w:t>
            </w:r>
          </w:p>
        </w:tc>
        <w:tc>
          <w:tcPr>
            <w:tcW w:w="0" w:type="auto"/>
          </w:tcPr>
          <w:p w14:paraId="1B1504D5" w14:textId="77777777" w:rsidR="00903609" w:rsidRPr="00AD451B" w:rsidRDefault="00903609" w:rsidP="00903609">
            <w:pPr>
              <w:spacing w:line="480" w:lineRule="auto"/>
              <w:rPr>
                <w:rFonts w:ascii="Arial" w:hAnsi="Arial" w:cs="Arial"/>
                <w:lang w:val="en-GB"/>
              </w:rPr>
            </w:pPr>
            <w:r w:rsidRPr="00AD451B">
              <w:rPr>
                <w:rFonts w:ascii="Arial" w:hAnsi="Arial" w:cs="Arial"/>
                <w:lang w:val="en-GB"/>
              </w:rPr>
              <w:t>81 (74)</w:t>
            </w:r>
          </w:p>
        </w:tc>
      </w:tr>
    </w:tbl>
    <w:p w14:paraId="25283597" w14:textId="77777777" w:rsidR="00E608A7" w:rsidRPr="00AD451B" w:rsidRDefault="00E608A7" w:rsidP="00511F60">
      <w:pPr>
        <w:spacing w:line="480" w:lineRule="auto"/>
        <w:jc w:val="both"/>
        <w:rPr>
          <w:rFonts w:ascii="Arial" w:hAnsi="Arial" w:cs="Arial"/>
          <w:lang w:val="en-GB"/>
        </w:rPr>
      </w:pPr>
    </w:p>
    <w:p w14:paraId="129CA046" w14:textId="77777777" w:rsidR="00E608A7" w:rsidRPr="00AD451B" w:rsidRDefault="00E608A7" w:rsidP="00511F60">
      <w:pPr>
        <w:spacing w:line="480" w:lineRule="auto"/>
        <w:jc w:val="both"/>
        <w:rPr>
          <w:rFonts w:ascii="Arial" w:hAnsi="Arial" w:cs="Arial"/>
          <w:b/>
          <w:lang w:val="en-GB"/>
        </w:rPr>
      </w:pPr>
      <w:r w:rsidRPr="00AD451B">
        <w:rPr>
          <w:rFonts w:ascii="Arial" w:hAnsi="Arial" w:cs="Arial"/>
          <w:b/>
          <w:lang w:val="en-GB"/>
        </w:rPr>
        <w:t xml:space="preserve">EQ-5D-5L response levels </w:t>
      </w:r>
    </w:p>
    <w:p w14:paraId="1E88A049" w14:textId="151ECF05" w:rsidR="00CD22FB" w:rsidRDefault="00921EBD" w:rsidP="00511F60">
      <w:pPr>
        <w:spacing w:line="480" w:lineRule="auto"/>
        <w:jc w:val="both"/>
        <w:rPr>
          <w:rFonts w:ascii="Arial" w:hAnsi="Arial" w:cs="Arial"/>
          <w:lang w:val="en-GB"/>
        </w:rPr>
      </w:pPr>
      <w:r>
        <w:rPr>
          <w:rFonts w:ascii="Arial" w:hAnsi="Arial" w:cs="Arial"/>
          <w:lang w:val="en-GB"/>
        </w:rPr>
        <w:t>Response level frequencies for</w:t>
      </w:r>
      <w:r w:rsidRPr="00AD451B">
        <w:rPr>
          <w:rFonts w:ascii="Arial" w:hAnsi="Arial" w:cs="Arial"/>
          <w:lang w:val="en-GB"/>
        </w:rPr>
        <w:t xml:space="preserve"> </w:t>
      </w:r>
      <w:r w:rsidR="00E608A7" w:rsidRPr="00AD451B">
        <w:rPr>
          <w:rFonts w:ascii="Arial" w:hAnsi="Arial" w:cs="Arial"/>
          <w:lang w:val="en-GB"/>
        </w:rPr>
        <w:t>each domain by disease is shown in Table 2. The response groups by no/slight vs. moderate vs. severe/extr</w:t>
      </w:r>
      <w:r w:rsidR="00E608A7">
        <w:rPr>
          <w:rFonts w:ascii="Arial" w:hAnsi="Arial" w:cs="Arial"/>
          <w:lang w:val="en-GB"/>
        </w:rPr>
        <w:t>eme are shown in Figure 1. Pain/</w:t>
      </w:r>
      <w:r w:rsidR="00E608A7" w:rsidRPr="00AD451B">
        <w:rPr>
          <w:rFonts w:ascii="Arial" w:hAnsi="Arial" w:cs="Arial"/>
          <w:lang w:val="en-GB"/>
        </w:rPr>
        <w:t>discomfort was the most problematic domain for participants with</w:t>
      </w:r>
      <w:r w:rsidR="00E608A7">
        <w:rPr>
          <w:rFonts w:ascii="Arial" w:hAnsi="Arial" w:cs="Arial"/>
          <w:lang w:val="en-GB"/>
        </w:rPr>
        <w:t>in</w:t>
      </w:r>
      <w:r w:rsidR="00E608A7" w:rsidRPr="00AD451B">
        <w:rPr>
          <w:rFonts w:ascii="Arial" w:hAnsi="Arial" w:cs="Arial"/>
          <w:lang w:val="en-GB"/>
        </w:rPr>
        <w:t xml:space="preserve"> all three diseases. </w:t>
      </w:r>
      <w:r w:rsidR="00CD22FB">
        <w:rPr>
          <w:rFonts w:ascii="Arial" w:hAnsi="Arial" w:cs="Arial"/>
          <w:lang w:val="en-GB"/>
        </w:rPr>
        <w:t xml:space="preserve">Overall 94% of respondents reported problems with pain or discomfort. </w:t>
      </w:r>
      <w:r w:rsidR="00E608A7" w:rsidRPr="00AD451B">
        <w:rPr>
          <w:rFonts w:ascii="Arial" w:hAnsi="Arial" w:cs="Arial"/>
          <w:lang w:val="en-GB"/>
        </w:rPr>
        <w:t xml:space="preserve">Thirty one percent of adults with FD reported severe/extreme problems with pain, with </w:t>
      </w:r>
      <w:r w:rsidR="00E608A7">
        <w:rPr>
          <w:rFonts w:ascii="Arial" w:hAnsi="Arial" w:cs="Arial"/>
          <w:lang w:val="en-GB"/>
        </w:rPr>
        <w:t>a quarter of those with</w:t>
      </w:r>
      <w:r w:rsidR="00E608A7" w:rsidRPr="00AD451B">
        <w:rPr>
          <w:rFonts w:ascii="Arial" w:hAnsi="Arial" w:cs="Arial"/>
          <w:lang w:val="en-GB"/>
        </w:rPr>
        <w:t xml:space="preserve"> XLH and </w:t>
      </w:r>
      <w:r w:rsidR="00E608A7">
        <w:rPr>
          <w:rFonts w:ascii="Arial" w:hAnsi="Arial" w:cs="Arial"/>
          <w:lang w:val="en-GB"/>
        </w:rPr>
        <w:t xml:space="preserve">16% of those </w:t>
      </w:r>
      <w:r w:rsidR="00E608A7" w:rsidRPr="00AD451B">
        <w:rPr>
          <w:rFonts w:ascii="Arial" w:hAnsi="Arial" w:cs="Arial"/>
          <w:lang w:val="en-GB"/>
        </w:rPr>
        <w:t>with OI</w:t>
      </w:r>
      <w:r w:rsidR="00E608A7">
        <w:rPr>
          <w:rFonts w:ascii="Arial" w:hAnsi="Arial" w:cs="Arial"/>
          <w:lang w:val="en-GB"/>
        </w:rPr>
        <w:t xml:space="preserve"> reporting similar levels of problem</w:t>
      </w:r>
      <w:r w:rsidR="00E608A7" w:rsidRPr="00AD451B">
        <w:rPr>
          <w:rFonts w:ascii="Arial" w:hAnsi="Arial" w:cs="Arial"/>
          <w:lang w:val="en-GB"/>
        </w:rPr>
        <w:t xml:space="preserve">. </w:t>
      </w:r>
    </w:p>
    <w:p w14:paraId="6119CACE" w14:textId="77777777" w:rsidR="00FE21A7" w:rsidRDefault="00FE21A7" w:rsidP="00511F60">
      <w:pPr>
        <w:spacing w:line="480" w:lineRule="auto"/>
        <w:jc w:val="both"/>
        <w:rPr>
          <w:rFonts w:ascii="Arial" w:hAnsi="Arial" w:cs="Arial"/>
          <w:lang w:val="en-GB"/>
        </w:rPr>
      </w:pPr>
    </w:p>
    <w:p w14:paraId="6E64E1E8" w14:textId="152DEB3B" w:rsidR="008F060C" w:rsidRDefault="00CD22FB" w:rsidP="00511F60">
      <w:pPr>
        <w:spacing w:line="480" w:lineRule="auto"/>
        <w:jc w:val="both"/>
        <w:rPr>
          <w:rFonts w:ascii="Arial" w:hAnsi="Arial" w:cs="Arial"/>
          <w:lang w:val="en-GB"/>
        </w:rPr>
      </w:pPr>
      <w:r>
        <w:rPr>
          <w:rFonts w:ascii="Arial" w:hAnsi="Arial" w:cs="Arial"/>
          <w:lang w:val="en-GB"/>
        </w:rPr>
        <w:t xml:space="preserve">Mobility also caused problems to a significant proportion of respondents. Overall 73% reported some level of problem </w:t>
      </w:r>
      <w:r w:rsidR="00FE21A7">
        <w:rPr>
          <w:rFonts w:ascii="Arial" w:hAnsi="Arial" w:cs="Arial"/>
          <w:lang w:val="en-GB"/>
        </w:rPr>
        <w:t>with mobility and s</w:t>
      </w:r>
      <w:r w:rsidR="00E608A7">
        <w:rPr>
          <w:rFonts w:ascii="Arial" w:hAnsi="Arial" w:cs="Arial"/>
          <w:lang w:val="en-GB"/>
        </w:rPr>
        <w:t>evere/e</w:t>
      </w:r>
      <w:r w:rsidR="00E608A7" w:rsidRPr="00AD451B">
        <w:rPr>
          <w:rFonts w:ascii="Arial" w:hAnsi="Arial" w:cs="Arial"/>
          <w:lang w:val="en-GB"/>
        </w:rPr>
        <w:t xml:space="preserve">xtreme problems were </w:t>
      </w:r>
      <w:r w:rsidR="00FE21A7">
        <w:rPr>
          <w:rFonts w:ascii="Arial" w:hAnsi="Arial" w:cs="Arial"/>
          <w:lang w:val="en-GB"/>
        </w:rPr>
        <w:t xml:space="preserve">reported by </w:t>
      </w:r>
      <w:r w:rsidR="00E608A7" w:rsidRPr="00AD451B">
        <w:rPr>
          <w:rFonts w:ascii="Arial" w:hAnsi="Arial" w:cs="Arial"/>
          <w:lang w:val="en-GB"/>
        </w:rPr>
        <w:t>2</w:t>
      </w:r>
      <w:r w:rsidR="00E608A7">
        <w:rPr>
          <w:rFonts w:ascii="Arial" w:hAnsi="Arial" w:cs="Arial"/>
          <w:lang w:val="en-GB"/>
        </w:rPr>
        <w:t>1</w:t>
      </w:r>
      <w:r w:rsidR="00E608A7" w:rsidRPr="00AD451B">
        <w:rPr>
          <w:rFonts w:ascii="Arial" w:hAnsi="Arial" w:cs="Arial"/>
          <w:lang w:val="en-GB"/>
        </w:rPr>
        <w:t xml:space="preserve">% of total respondents. </w:t>
      </w:r>
      <w:r w:rsidR="00FE21A7">
        <w:rPr>
          <w:rFonts w:ascii="Arial" w:hAnsi="Arial" w:cs="Arial"/>
          <w:lang w:val="en-GB"/>
        </w:rPr>
        <w:t xml:space="preserve">FD respondents compared with the other condition groups reported mobility as least problematic, 43% reporting no problems compared with 19% in the OI group and 13% in the XLH group. </w:t>
      </w:r>
    </w:p>
    <w:p w14:paraId="15C4DD45" w14:textId="77777777" w:rsidR="00FE21A7" w:rsidRDefault="00FE21A7" w:rsidP="00511F60">
      <w:pPr>
        <w:spacing w:line="480" w:lineRule="auto"/>
        <w:jc w:val="both"/>
        <w:rPr>
          <w:rFonts w:ascii="Arial" w:hAnsi="Arial" w:cs="Arial"/>
          <w:lang w:val="en-GB"/>
        </w:rPr>
      </w:pPr>
    </w:p>
    <w:p w14:paraId="6F01A8FB" w14:textId="77777777" w:rsidR="003A79E8" w:rsidRDefault="00E608A7" w:rsidP="00511F60">
      <w:pPr>
        <w:spacing w:line="480" w:lineRule="auto"/>
        <w:jc w:val="both"/>
        <w:rPr>
          <w:rFonts w:ascii="Arial" w:hAnsi="Arial" w:cs="Arial"/>
          <w:lang w:val="en-GB"/>
        </w:rPr>
      </w:pPr>
      <w:r w:rsidRPr="00AD451B">
        <w:rPr>
          <w:rFonts w:ascii="Arial" w:hAnsi="Arial" w:cs="Arial"/>
          <w:lang w:val="en-GB"/>
        </w:rPr>
        <w:lastRenderedPageBreak/>
        <w:t>Self-care was least problematic overall for participants (82% reported no or slight problems)</w:t>
      </w:r>
      <w:r w:rsidR="00FE21A7">
        <w:rPr>
          <w:rFonts w:ascii="Arial" w:hAnsi="Arial" w:cs="Arial"/>
          <w:lang w:val="en-GB"/>
        </w:rPr>
        <w:t xml:space="preserve">. Less than 10% of all respondents reported severe or extreme problems with self-care. </w:t>
      </w:r>
    </w:p>
    <w:p w14:paraId="7828ECD2" w14:textId="77777777" w:rsidR="003A79E8" w:rsidRDefault="003A79E8" w:rsidP="00511F60">
      <w:pPr>
        <w:spacing w:line="480" w:lineRule="auto"/>
        <w:jc w:val="both"/>
        <w:rPr>
          <w:rFonts w:ascii="Arial" w:hAnsi="Arial" w:cs="Arial"/>
          <w:lang w:val="en-GB"/>
        </w:rPr>
      </w:pPr>
    </w:p>
    <w:p w14:paraId="0741A3E3" w14:textId="1DA5E4F7" w:rsidR="00FE21A7" w:rsidRDefault="00E740D6" w:rsidP="00511F60">
      <w:pPr>
        <w:spacing w:line="480" w:lineRule="auto"/>
        <w:jc w:val="both"/>
        <w:rPr>
          <w:rFonts w:ascii="Arial" w:hAnsi="Arial" w:cs="Arial"/>
          <w:lang w:val="en-GB"/>
        </w:rPr>
      </w:pPr>
      <w:r>
        <w:rPr>
          <w:rFonts w:ascii="Arial" w:hAnsi="Arial" w:cs="Arial"/>
          <w:lang w:val="en-GB"/>
        </w:rPr>
        <w:t>Overall t</w:t>
      </w:r>
      <w:r w:rsidR="003A79E8">
        <w:rPr>
          <w:rFonts w:ascii="Arial" w:hAnsi="Arial" w:cs="Arial"/>
          <w:lang w:val="en-GB"/>
        </w:rPr>
        <w:t>he majority of respondents</w:t>
      </w:r>
      <w:r>
        <w:rPr>
          <w:rFonts w:ascii="Arial" w:hAnsi="Arial" w:cs="Arial"/>
          <w:lang w:val="en-GB"/>
        </w:rPr>
        <w:t xml:space="preserve"> (68%) reported </w:t>
      </w:r>
      <w:r w:rsidR="003A79E8">
        <w:rPr>
          <w:rFonts w:ascii="Arial" w:hAnsi="Arial" w:cs="Arial"/>
          <w:lang w:val="en-GB"/>
        </w:rPr>
        <w:t xml:space="preserve">problems with usual activity to varying extent. </w:t>
      </w:r>
      <w:r>
        <w:rPr>
          <w:rFonts w:ascii="Arial" w:hAnsi="Arial" w:cs="Arial"/>
          <w:lang w:val="en-GB"/>
        </w:rPr>
        <w:t>However m</w:t>
      </w:r>
      <w:r w:rsidR="003A79E8">
        <w:rPr>
          <w:rFonts w:ascii="Arial" w:hAnsi="Arial" w:cs="Arial"/>
          <w:lang w:val="en-GB"/>
        </w:rPr>
        <w:t xml:space="preserve">ost reported slight problems (30% OI, 31% FD, 42% XLH) and the percentage of respondents reporting problems decreased as the severity of the response option increased. </w:t>
      </w:r>
    </w:p>
    <w:p w14:paraId="3E37EE48" w14:textId="77777777" w:rsidR="00FE21A7" w:rsidRDefault="00FE21A7" w:rsidP="00511F60">
      <w:pPr>
        <w:spacing w:line="480" w:lineRule="auto"/>
        <w:jc w:val="both"/>
        <w:rPr>
          <w:rFonts w:ascii="Arial" w:hAnsi="Arial" w:cs="Arial"/>
          <w:lang w:val="en-GB"/>
        </w:rPr>
      </w:pPr>
    </w:p>
    <w:p w14:paraId="2E38AA99" w14:textId="24E5450F" w:rsidR="008F060C" w:rsidRDefault="003A79E8" w:rsidP="00511F60">
      <w:pPr>
        <w:spacing w:line="480" w:lineRule="auto"/>
        <w:jc w:val="both"/>
        <w:rPr>
          <w:rFonts w:ascii="Arial" w:hAnsi="Arial" w:cs="Arial"/>
          <w:lang w:val="en-GB"/>
        </w:rPr>
      </w:pPr>
      <w:r>
        <w:rPr>
          <w:rFonts w:ascii="Arial" w:hAnsi="Arial" w:cs="Arial"/>
          <w:lang w:val="en-GB"/>
        </w:rPr>
        <w:t xml:space="preserve">Low </w:t>
      </w:r>
      <w:r w:rsidR="00FE21A7">
        <w:rPr>
          <w:rFonts w:ascii="Arial" w:hAnsi="Arial" w:cs="Arial"/>
          <w:lang w:val="en-GB"/>
        </w:rPr>
        <w:t xml:space="preserve">levels of </w:t>
      </w:r>
      <w:r w:rsidR="00AC6723">
        <w:rPr>
          <w:rFonts w:ascii="Arial" w:hAnsi="Arial" w:cs="Arial"/>
          <w:lang w:val="en-GB"/>
        </w:rPr>
        <w:t xml:space="preserve">severe or extreme </w:t>
      </w:r>
      <w:r w:rsidR="00FE21A7">
        <w:rPr>
          <w:rFonts w:ascii="Arial" w:hAnsi="Arial" w:cs="Arial"/>
          <w:lang w:val="en-GB"/>
        </w:rPr>
        <w:t xml:space="preserve">anxiety and depression </w:t>
      </w:r>
      <w:r w:rsidR="00AC6723">
        <w:rPr>
          <w:rFonts w:ascii="Arial" w:hAnsi="Arial" w:cs="Arial"/>
          <w:lang w:val="en-GB"/>
        </w:rPr>
        <w:t>were reported in</w:t>
      </w:r>
      <w:r w:rsidR="00FE21A7">
        <w:rPr>
          <w:rFonts w:ascii="Arial" w:hAnsi="Arial" w:cs="Arial"/>
          <w:lang w:val="en-GB"/>
        </w:rPr>
        <w:t xml:space="preserve"> all three groups (less than 10% in each group). </w:t>
      </w:r>
      <w:r w:rsidR="00AC6723">
        <w:rPr>
          <w:rFonts w:ascii="Arial" w:hAnsi="Arial" w:cs="Arial"/>
          <w:lang w:val="en-GB"/>
        </w:rPr>
        <w:t xml:space="preserve">Overall most respondents reported no and slight problems in this domain (78%). The highest percentage of FD respondents reported moderate problems (24%) compared to the other groups. </w:t>
      </w:r>
    </w:p>
    <w:p w14:paraId="568DEB07" w14:textId="77777777" w:rsidR="008923B4" w:rsidRDefault="008923B4" w:rsidP="00511F60">
      <w:pPr>
        <w:spacing w:line="480" w:lineRule="auto"/>
        <w:jc w:val="both"/>
        <w:rPr>
          <w:rFonts w:ascii="Arial" w:hAnsi="Arial" w:cs="Arial"/>
          <w:lang w:val="en-GB"/>
        </w:rPr>
      </w:pPr>
    </w:p>
    <w:p w14:paraId="1DBD5CAC" w14:textId="25D7E66F" w:rsidR="00E608A7" w:rsidRPr="00AD451B" w:rsidRDefault="00E608A7" w:rsidP="00511F60">
      <w:pPr>
        <w:spacing w:line="480" w:lineRule="auto"/>
        <w:jc w:val="both"/>
        <w:rPr>
          <w:rFonts w:ascii="Arial" w:hAnsi="Arial" w:cs="Arial"/>
          <w:lang w:val="en-GB"/>
        </w:rPr>
      </w:pPr>
      <w:r w:rsidRPr="00AD451B">
        <w:rPr>
          <w:rFonts w:ascii="Arial" w:hAnsi="Arial" w:cs="Arial"/>
          <w:lang w:val="en-GB"/>
        </w:rPr>
        <w:t xml:space="preserve">There was no statistically significant difference, using the </w:t>
      </w:r>
      <w:r>
        <w:rPr>
          <w:rFonts w:ascii="Arial" w:hAnsi="Arial" w:cs="Arial"/>
          <w:lang w:val="en-GB"/>
        </w:rPr>
        <w:t>F</w:t>
      </w:r>
      <w:r w:rsidRPr="00AD451B">
        <w:rPr>
          <w:rFonts w:ascii="Arial" w:hAnsi="Arial" w:cs="Arial"/>
          <w:lang w:val="en-GB"/>
        </w:rPr>
        <w:t>isher’s exact test, in responses between disease groups for all dimensions of the EQ-5L-5D (</w:t>
      </w:r>
      <w:r w:rsidR="00AE659C">
        <w:rPr>
          <w:rFonts w:ascii="Arial" w:hAnsi="Arial" w:cs="Arial"/>
          <w:lang w:val="en-GB"/>
        </w:rPr>
        <w:t>Mobility p=0.775, Self-</w:t>
      </w:r>
      <w:r w:rsidRPr="00AD451B">
        <w:rPr>
          <w:rFonts w:ascii="Arial" w:hAnsi="Arial" w:cs="Arial"/>
          <w:lang w:val="en-GB"/>
        </w:rPr>
        <w:t xml:space="preserve">care p=0.322, </w:t>
      </w:r>
      <w:r w:rsidR="00AE659C">
        <w:rPr>
          <w:rFonts w:ascii="Arial" w:hAnsi="Arial" w:cs="Arial"/>
          <w:lang w:val="en-GB"/>
        </w:rPr>
        <w:t>U</w:t>
      </w:r>
      <w:r w:rsidR="00912995">
        <w:rPr>
          <w:rFonts w:ascii="Arial" w:hAnsi="Arial" w:cs="Arial"/>
          <w:lang w:val="en-GB"/>
        </w:rPr>
        <w:t xml:space="preserve">sual </w:t>
      </w:r>
      <w:r w:rsidRPr="00AD451B">
        <w:rPr>
          <w:rFonts w:ascii="Arial" w:hAnsi="Arial" w:cs="Arial"/>
          <w:lang w:val="en-GB"/>
        </w:rPr>
        <w:t xml:space="preserve">activities p=1.000, </w:t>
      </w:r>
      <w:r w:rsidR="00AE659C">
        <w:rPr>
          <w:rFonts w:ascii="Arial" w:hAnsi="Arial" w:cs="Arial"/>
          <w:lang w:val="en-GB"/>
        </w:rPr>
        <w:t>P</w:t>
      </w:r>
      <w:r w:rsidRPr="00AD451B">
        <w:rPr>
          <w:rFonts w:ascii="Arial" w:hAnsi="Arial" w:cs="Arial"/>
          <w:lang w:val="en-GB"/>
        </w:rPr>
        <w:t xml:space="preserve">ain/discomfort p=0.627, </w:t>
      </w:r>
      <w:r w:rsidR="00AE659C">
        <w:rPr>
          <w:rFonts w:ascii="Arial" w:hAnsi="Arial" w:cs="Arial"/>
          <w:lang w:val="en-GB"/>
        </w:rPr>
        <w:t>A</w:t>
      </w:r>
      <w:r w:rsidRPr="00AD451B">
        <w:rPr>
          <w:rFonts w:ascii="Arial" w:hAnsi="Arial" w:cs="Arial"/>
          <w:lang w:val="en-GB"/>
        </w:rPr>
        <w:t xml:space="preserve">nxiety/depression p=0.100). </w:t>
      </w:r>
      <w:r w:rsidR="00106302">
        <w:rPr>
          <w:rFonts w:ascii="Arial" w:hAnsi="Arial" w:cs="Arial"/>
          <w:lang w:val="en-GB"/>
        </w:rPr>
        <w:t>Among OI respondents linear regression showed a statistically significant positive correlation be</w:t>
      </w:r>
      <w:r w:rsidR="00BC0F56">
        <w:rPr>
          <w:rFonts w:ascii="Arial" w:hAnsi="Arial" w:cs="Arial"/>
          <w:lang w:val="en-GB"/>
        </w:rPr>
        <w:t>tween age and</w:t>
      </w:r>
      <w:r w:rsidR="00106302">
        <w:rPr>
          <w:rFonts w:ascii="Arial" w:hAnsi="Arial" w:cs="Arial"/>
          <w:lang w:val="en-GB"/>
        </w:rPr>
        <w:t xml:space="preserve"> response level (p= </w:t>
      </w:r>
      <w:r w:rsidR="00BC0F56">
        <w:rPr>
          <w:rFonts w:ascii="Arial" w:hAnsi="Arial" w:cs="Arial"/>
          <w:lang w:val="en-GB"/>
        </w:rPr>
        <w:t>0.01, Pearson’s</w:t>
      </w:r>
      <w:r w:rsidR="00552EAF">
        <w:rPr>
          <w:rFonts w:ascii="Arial" w:hAnsi="Arial" w:cs="Arial"/>
          <w:lang w:val="en-GB"/>
        </w:rPr>
        <w:t xml:space="preserve"> r =0.39</w:t>
      </w:r>
      <w:r w:rsidR="00BC0F56">
        <w:rPr>
          <w:rFonts w:ascii="Arial" w:hAnsi="Arial" w:cs="Arial"/>
          <w:lang w:val="en-GB"/>
        </w:rPr>
        <w:t xml:space="preserve">) in the </w:t>
      </w:r>
      <w:r w:rsidR="007173EB">
        <w:rPr>
          <w:rFonts w:ascii="Arial" w:hAnsi="Arial" w:cs="Arial"/>
          <w:lang w:val="en-GB"/>
        </w:rPr>
        <w:t>U</w:t>
      </w:r>
      <w:r w:rsidR="00BC0F56">
        <w:rPr>
          <w:rFonts w:ascii="Arial" w:hAnsi="Arial" w:cs="Arial"/>
          <w:lang w:val="en-GB"/>
        </w:rPr>
        <w:t xml:space="preserve">sual </w:t>
      </w:r>
      <w:r w:rsidR="007173EB">
        <w:rPr>
          <w:rFonts w:ascii="Arial" w:hAnsi="Arial" w:cs="Arial"/>
          <w:lang w:val="en-GB"/>
        </w:rPr>
        <w:t>A</w:t>
      </w:r>
      <w:r w:rsidR="00BC0F56">
        <w:rPr>
          <w:rFonts w:ascii="Arial" w:hAnsi="Arial" w:cs="Arial"/>
          <w:lang w:val="en-GB"/>
        </w:rPr>
        <w:t>ctivit</w:t>
      </w:r>
      <w:r w:rsidR="007173EB">
        <w:rPr>
          <w:rFonts w:ascii="Arial" w:hAnsi="Arial" w:cs="Arial"/>
          <w:lang w:val="en-GB"/>
        </w:rPr>
        <w:t>ies</w:t>
      </w:r>
      <w:r w:rsidR="00BC0F56">
        <w:rPr>
          <w:rFonts w:ascii="Arial" w:hAnsi="Arial" w:cs="Arial"/>
          <w:lang w:val="en-GB"/>
        </w:rPr>
        <w:t xml:space="preserve"> domain</w:t>
      </w:r>
      <w:r w:rsidR="007173EB">
        <w:rPr>
          <w:rFonts w:ascii="Arial" w:hAnsi="Arial" w:cs="Arial"/>
          <w:lang w:val="en-GB"/>
        </w:rPr>
        <w:t>, meaning that older age is associated to more problems in performing daily activities</w:t>
      </w:r>
      <w:r w:rsidR="00BC0F56">
        <w:rPr>
          <w:rFonts w:ascii="Arial" w:hAnsi="Arial" w:cs="Arial"/>
          <w:lang w:val="en-GB"/>
        </w:rPr>
        <w:t xml:space="preserve">. For all other domains no significant correlation between age and response levels was found across all three disease groups.  </w:t>
      </w:r>
    </w:p>
    <w:p w14:paraId="0498F1A7" w14:textId="77777777" w:rsidR="00E608A7" w:rsidRPr="00AD451B" w:rsidRDefault="00E608A7" w:rsidP="00511F60">
      <w:pPr>
        <w:spacing w:line="480" w:lineRule="auto"/>
        <w:jc w:val="both"/>
        <w:rPr>
          <w:rFonts w:ascii="Arial" w:hAnsi="Arial" w:cs="Arial"/>
          <w:b/>
          <w:lang w:val="en-GB"/>
        </w:rPr>
      </w:pPr>
    </w:p>
    <w:p w14:paraId="7A7B4BDC" w14:textId="77777777" w:rsidR="00E608A7" w:rsidRPr="00AD451B" w:rsidRDefault="00E608A7" w:rsidP="00511F60">
      <w:pPr>
        <w:spacing w:line="480" w:lineRule="auto"/>
        <w:jc w:val="both"/>
        <w:rPr>
          <w:rFonts w:ascii="Arial" w:hAnsi="Arial" w:cs="Arial"/>
          <w:b/>
          <w:lang w:val="en-GB"/>
        </w:rPr>
      </w:pPr>
      <w:r w:rsidRPr="00AD451B">
        <w:rPr>
          <w:rFonts w:ascii="Arial" w:hAnsi="Arial" w:cs="Arial"/>
          <w:b/>
          <w:lang w:val="en-GB"/>
        </w:rPr>
        <w:t>Health utility score</w:t>
      </w:r>
    </w:p>
    <w:p w14:paraId="671A3FF7" w14:textId="367CBE18" w:rsidR="00E608A7" w:rsidRPr="00AD451B" w:rsidRDefault="00E608A7" w:rsidP="00511F60">
      <w:pPr>
        <w:spacing w:line="480" w:lineRule="auto"/>
        <w:jc w:val="both"/>
        <w:rPr>
          <w:rFonts w:ascii="Arial" w:hAnsi="Arial" w:cs="Arial"/>
          <w:lang w:val="en-GB"/>
        </w:rPr>
      </w:pPr>
      <w:r w:rsidRPr="00AD451B">
        <w:rPr>
          <w:rFonts w:ascii="Arial" w:hAnsi="Arial" w:cs="Arial"/>
          <w:lang w:val="en-GB"/>
        </w:rPr>
        <w:t xml:space="preserve">The mean health utility scores generated using the England value set </w:t>
      </w:r>
      <w:r w:rsidR="00F22FCB">
        <w:rPr>
          <w:rFonts w:ascii="Arial" w:hAnsi="Arial" w:cs="Arial"/>
          <w:noProof/>
          <w:lang w:val="en-GB"/>
        </w:rPr>
        <w:t>(1</w:t>
      </w:r>
      <w:r w:rsidR="003834D8">
        <w:rPr>
          <w:rFonts w:ascii="Arial" w:hAnsi="Arial" w:cs="Arial"/>
          <w:noProof/>
          <w:lang w:val="en-GB"/>
        </w:rPr>
        <w:t>6</w:t>
      </w:r>
      <w:r>
        <w:rPr>
          <w:rFonts w:ascii="Arial" w:hAnsi="Arial" w:cs="Arial"/>
          <w:noProof/>
          <w:lang w:val="en-GB"/>
        </w:rPr>
        <w:t>)</w:t>
      </w:r>
      <w:r w:rsidRPr="00AD451B">
        <w:rPr>
          <w:rFonts w:ascii="Arial" w:hAnsi="Arial" w:cs="Arial"/>
          <w:lang w:val="en-GB"/>
        </w:rPr>
        <w:t xml:space="preserve"> were high for all disease groups (OI 0.656</w:t>
      </w:r>
      <w:r>
        <w:rPr>
          <w:rFonts w:ascii="Arial" w:hAnsi="Arial" w:cs="Arial"/>
          <w:lang w:val="en-GB"/>
        </w:rPr>
        <w:t>,</w:t>
      </w:r>
      <w:r w:rsidRPr="00AD451B">
        <w:rPr>
          <w:rFonts w:ascii="Arial" w:hAnsi="Arial" w:cs="Arial"/>
          <w:lang w:val="en-GB"/>
        </w:rPr>
        <w:t xml:space="preserve"> SD 0.283; FD 0.656</w:t>
      </w:r>
      <w:r>
        <w:rPr>
          <w:rFonts w:ascii="Arial" w:hAnsi="Arial" w:cs="Arial"/>
          <w:lang w:val="en-GB"/>
        </w:rPr>
        <w:t>,</w:t>
      </w:r>
      <w:r w:rsidRPr="00AD451B">
        <w:rPr>
          <w:rFonts w:ascii="Arial" w:hAnsi="Arial" w:cs="Arial"/>
          <w:lang w:val="en-GB"/>
        </w:rPr>
        <w:t xml:space="preserve"> SD 0.288; XLH 0.64</w:t>
      </w:r>
      <w:r>
        <w:rPr>
          <w:rFonts w:ascii="Arial" w:hAnsi="Arial" w:cs="Arial"/>
          <w:lang w:val="en-GB"/>
        </w:rPr>
        <w:t>8,</w:t>
      </w:r>
      <w:r w:rsidRPr="00AD451B">
        <w:rPr>
          <w:rFonts w:ascii="Arial" w:hAnsi="Arial" w:cs="Arial"/>
          <w:lang w:val="en-GB"/>
        </w:rPr>
        <w:t xml:space="preserve"> SD 0.290; Overall 0.654</w:t>
      </w:r>
      <w:r>
        <w:rPr>
          <w:rFonts w:ascii="Arial" w:hAnsi="Arial" w:cs="Arial"/>
          <w:lang w:val="en-GB"/>
        </w:rPr>
        <w:t>,</w:t>
      </w:r>
      <w:r w:rsidRPr="00AD451B">
        <w:rPr>
          <w:rFonts w:ascii="Arial" w:hAnsi="Arial" w:cs="Arial"/>
          <w:lang w:val="en-GB"/>
        </w:rPr>
        <w:t xml:space="preserve"> SD 0.284), with wide distributions (</w:t>
      </w:r>
      <w:r w:rsidRPr="00AD451B">
        <w:rPr>
          <w:rFonts w:ascii="Arial" w:hAnsi="Arial" w:cs="Arial"/>
          <w:b/>
          <w:lang w:val="en-GB"/>
        </w:rPr>
        <w:t>Figure 2</w:t>
      </w:r>
      <w:r w:rsidRPr="00AD451B">
        <w:rPr>
          <w:rFonts w:ascii="Arial" w:hAnsi="Arial" w:cs="Arial"/>
          <w:lang w:val="en-GB"/>
        </w:rPr>
        <w:t xml:space="preserve">). For all three conditions the distribution of health utility was bimodal, this pattern was most evident for XLH.  No statistically significant difference between the three groups for the health utility score was found (p=0.993). </w:t>
      </w:r>
    </w:p>
    <w:p w14:paraId="7514C91C" w14:textId="77777777" w:rsidR="00E608A7" w:rsidRPr="00AD451B" w:rsidRDefault="00E608A7" w:rsidP="00511F60">
      <w:pPr>
        <w:spacing w:line="480" w:lineRule="auto"/>
        <w:jc w:val="both"/>
        <w:rPr>
          <w:rFonts w:ascii="Arial" w:hAnsi="Arial" w:cs="Arial"/>
          <w:lang w:val="en-GB"/>
        </w:rPr>
      </w:pPr>
    </w:p>
    <w:p w14:paraId="397423F8" w14:textId="77777777" w:rsidR="00E608A7" w:rsidRPr="00AD451B" w:rsidRDefault="00E608A7" w:rsidP="00511F60">
      <w:pPr>
        <w:spacing w:line="480" w:lineRule="auto"/>
        <w:jc w:val="both"/>
        <w:rPr>
          <w:rFonts w:ascii="Arial" w:hAnsi="Arial" w:cs="Arial"/>
          <w:b/>
          <w:lang w:val="en-GB"/>
        </w:rPr>
      </w:pPr>
      <w:r w:rsidRPr="00AD451B">
        <w:rPr>
          <w:rFonts w:ascii="Arial" w:hAnsi="Arial" w:cs="Arial"/>
          <w:b/>
          <w:lang w:val="en-GB"/>
        </w:rPr>
        <w:t xml:space="preserve">VAS score </w:t>
      </w:r>
    </w:p>
    <w:p w14:paraId="3794B10B" w14:textId="3FBF4BD7" w:rsidR="00E608A7" w:rsidRPr="00AD451B" w:rsidRDefault="00E608A7" w:rsidP="00511F60">
      <w:pPr>
        <w:spacing w:line="480" w:lineRule="auto"/>
        <w:jc w:val="both"/>
        <w:rPr>
          <w:rFonts w:ascii="Arial" w:hAnsi="Arial" w:cs="Arial"/>
          <w:lang w:val="en-GB"/>
        </w:rPr>
      </w:pPr>
      <w:r w:rsidRPr="00AD451B">
        <w:rPr>
          <w:rFonts w:ascii="Arial" w:hAnsi="Arial" w:cs="Arial"/>
          <w:lang w:val="en-GB"/>
        </w:rPr>
        <w:t>The reported VAS scores were 69.4 (SD 21.4) for OI, 64.1 (SD 23.0) for FD and 60.8 (SD 26.9) for XLH adult patients. For all diseases the distribution was skewed to high VAS scores (</w:t>
      </w:r>
      <w:r w:rsidRPr="00AD451B">
        <w:rPr>
          <w:rFonts w:ascii="Arial" w:hAnsi="Arial" w:cs="Arial"/>
          <w:b/>
          <w:lang w:val="en-GB"/>
        </w:rPr>
        <w:t>Figure 3</w:t>
      </w:r>
      <w:r w:rsidRPr="00AD451B">
        <w:rPr>
          <w:rFonts w:ascii="Arial" w:hAnsi="Arial" w:cs="Arial"/>
          <w:lang w:val="en-GB"/>
        </w:rPr>
        <w:t>). The graph shows a higher proportion of respondents with OI reporting high VAS scores compared with the other diseases.</w:t>
      </w:r>
      <w:r w:rsidR="00BC0F56">
        <w:rPr>
          <w:rFonts w:ascii="Arial" w:hAnsi="Arial" w:cs="Arial"/>
          <w:lang w:val="en-GB"/>
        </w:rPr>
        <w:t xml:space="preserve"> A statistically significant negative correlation between VAS score and age was found in the OI group using linear regression (p=</w:t>
      </w:r>
      <w:r w:rsidR="00552EAF">
        <w:rPr>
          <w:rFonts w:ascii="Arial" w:hAnsi="Arial" w:cs="Arial"/>
          <w:lang w:val="en-GB"/>
        </w:rPr>
        <w:t>0.005 Pearson’s r = -0.42)</w:t>
      </w:r>
      <w:r w:rsidR="007173EB">
        <w:rPr>
          <w:rFonts w:ascii="Arial" w:hAnsi="Arial" w:cs="Arial"/>
          <w:lang w:val="en-GB"/>
        </w:rPr>
        <w:t>, showing that older age is associated with worse perception of self-rated health</w:t>
      </w:r>
      <w:r w:rsidR="00552EAF">
        <w:rPr>
          <w:rFonts w:ascii="Arial" w:hAnsi="Arial" w:cs="Arial"/>
          <w:lang w:val="en-GB"/>
        </w:rPr>
        <w:t xml:space="preserve">. </w:t>
      </w:r>
    </w:p>
    <w:p w14:paraId="5E58C591" w14:textId="77777777" w:rsidR="00E608A7" w:rsidRPr="00AD451B" w:rsidRDefault="00E608A7" w:rsidP="00511F60">
      <w:pPr>
        <w:spacing w:line="480" w:lineRule="auto"/>
        <w:jc w:val="both"/>
        <w:rPr>
          <w:rFonts w:ascii="Arial" w:hAnsi="Arial" w:cs="Arial"/>
          <w:lang w:val="en-GB"/>
        </w:rPr>
      </w:pPr>
    </w:p>
    <w:p w14:paraId="0EA02BF6" w14:textId="77777777" w:rsidR="00E608A7" w:rsidRPr="00AD451B" w:rsidRDefault="00E608A7" w:rsidP="00511F60">
      <w:pPr>
        <w:spacing w:line="480" w:lineRule="auto"/>
        <w:jc w:val="both"/>
        <w:rPr>
          <w:rFonts w:ascii="Arial" w:hAnsi="Arial" w:cs="Arial"/>
          <w:b/>
          <w:lang w:val="en-GB"/>
        </w:rPr>
      </w:pPr>
      <w:r w:rsidRPr="00AD451B">
        <w:rPr>
          <w:rFonts w:ascii="Arial" w:hAnsi="Arial" w:cs="Arial"/>
          <w:b/>
          <w:lang w:val="en-GB"/>
        </w:rPr>
        <w:t xml:space="preserve">Economic Simulation </w:t>
      </w:r>
    </w:p>
    <w:p w14:paraId="31C33F81" w14:textId="77777777" w:rsidR="00E608A7" w:rsidRPr="00AD451B" w:rsidRDefault="00E608A7" w:rsidP="00511F60">
      <w:pPr>
        <w:spacing w:line="480" w:lineRule="auto"/>
        <w:jc w:val="both"/>
        <w:rPr>
          <w:rFonts w:ascii="Arial" w:hAnsi="Arial" w:cs="Arial"/>
          <w:lang w:val="en-GB"/>
        </w:rPr>
      </w:pPr>
      <w:r w:rsidRPr="00AD451B">
        <w:rPr>
          <w:rFonts w:ascii="Arial" w:hAnsi="Arial" w:cs="Arial"/>
          <w:lang w:val="en-GB"/>
        </w:rPr>
        <w:t xml:space="preserve">For our base case, where 75% of the individual potential improvement would be achieved during the first 12 months, the simulated treatment group would have accumulated 78 QALYs over the following 10 years (mean of 5.2 per person). The no-treatment group would have accrued 41 QALYs in total (2.8 </w:t>
      </w:r>
      <w:r w:rsidRPr="00AD451B">
        <w:rPr>
          <w:rFonts w:ascii="Arial" w:hAnsi="Arial" w:cs="Arial"/>
          <w:lang w:val="en-GB"/>
        </w:rPr>
        <w:lastRenderedPageBreak/>
        <w:t xml:space="preserve">per person), leaving the simulated treatment with an associated impact of +2.5 QALYs gained per person during the 10-year period. Given the small sample size, the mean QALY gain reported a high standard deviation (1.66), thus producing a wide confidence interval (-0.78 to 5.72). Figure 4 shows the progression over time of the simulated mean health utility index for each group. The QALY gain is related to the individual potential improvement at one year. </w:t>
      </w:r>
      <w:r>
        <w:rPr>
          <w:rFonts w:ascii="Arial" w:hAnsi="Arial" w:cs="Arial"/>
          <w:lang w:val="en-GB"/>
        </w:rPr>
        <w:t>E</w:t>
      </w:r>
      <w:r w:rsidRPr="00AD451B">
        <w:rPr>
          <w:rFonts w:ascii="Arial" w:hAnsi="Arial" w:cs="Arial"/>
          <w:lang w:val="en-GB"/>
        </w:rPr>
        <w:t>xpected QALY gain per person over a 10 year period for other potent</w:t>
      </w:r>
      <w:r>
        <w:rPr>
          <w:rFonts w:ascii="Arial" w:hAnsi="Arial" w:cs="Arial"/>
          <w:lang w:val="en-GB"/>
        </w:rPr>
        <w:t>ial</w:t>
      </w:r>
      <w:r w:rsidRPr="00AD451B">
        <w:rPr>
          <w:rFonts w:ascii="Arial" w:hAnsi="Arial" w:cs="Arial"/>
          <w:lang w:val="en-GB"/>
        </w:rPr>
        <w:t xml:space="preserve"> improvements</w:t>
      </w:r>
      <w:r>
        <w:rPr>
          <w:rFonts w:ascii="Arial" w:hAnsi="Arial" w:cs="Arial"/>
          <w:lang w:val="en-GB"/>
        </w:rPr>
        <w:t xml:space="preserve"> were</w:t>
      </w:r>
      <w:r w:rsidRPr="00AD451B">
        <w:rPr>
          <w:rFonts w:ascii="Arial" w:hAnsi="Arial" w:cs="Arial"/>
          <w:lang w:val="en-GB"/>
        </w:rPr>
        <w:t xml:space="preserve"> +1.83 (55%</w:t>
      </w:r>
      <w:r>
        <w:rPr>
          <w:rFonts w:ascii="Arial" w:hAnsi="Arial" w:cs="Arial"/>
          <w:lang w:val="en-GB"/>
        </w:rPr>
        <w:t xml:space="preserve"> improvement during the first year</w:t>
      </w:r>
      <w:r w:rsidRPr="00AD451B">
        <w:rPr>
          <w:rFonts w:ascii="Arial" w:hAnsi="Arial" w:cs="Arial"/>
          <w:lang w:val="en-GB"/>
        </w:rPr>
        <w:t>), +2.15 (65%), +2.79 (85%) and +3.11 (95%).</w:t>
      </w:r>
    </w:p>
    <w:p w14:paraId="2A68081D" w14:textId="77777777" w:rsidR="00E608A7" w:rsidRPr="00AD451B" w:rsidRDefault="00E608A7" w:rsidP="00511F60">
      <w:pPr>
        <w:spacing w:line="480" w:lineRule="auto"/>
        <w:jc w:val="both"/>
        <w:rPr>
          <w:b/>
          <w:lang w:val="en-GB"/>
        </w:rPr>
      </w:pPr>
    </w:p>
    <w:p w14:paraId="740C089D" w14:textId="40893115" w:rsidR="00E608A7" w:rsidRPr="00AD451B" w:rsidRDefault="00E608A7" w:rsidP="00511F60">
      <w:pPr>
        <w:spacing w:line="480" w:lineRule="auto"/>
        <w:jc w:val="both"/>
        <w:rPr>
          <w:rFonts w:ascii="Arial" w:hAnsi="Arial" w:cs="Arial"/>
          <w:lang w:val="en-GB"/>
        </w:rPr>
      </w:pPr>
      <w:r w:rsidRPr="00AD451B">
        <w:rPr>
          <w:rFonts w:ascii="Arial" w:hAnsi="Arial" w:cs="Arial"/>
          <w:lang w:val="en-GB"/>
        </w:rPr>
        <w:t>Based on these results, we calculated the corresponding maximum annual discounted cost that a health care system would be willing to pay for the treatment at various thresholds of cost-effectiv</w:t>
      </w:r>
      <w:r w:rsidR="002D5563">
        <w:rPr>
          <w:rFonts w:ascii="Arial" w:hAnsi="Arial" w:cs="Arial"/>
          <w:lang w:val="en-GB"/>
        </w:rPr>
        <w:t>eness over the 10 years (Table 3</w:t>
      </w:r>
      <w:r w:rsidRPr="00AD451B">
        <w:rPr>
          <w:rFonts w:ascii="Arial" w:hAnsi="Arial" w:cs="Arial"/>
          <w:lang w:val="en-GB"/>
        </w:rPr>
        <w:t xml:space="preserve">).  </w:t>
      </w:r>
    </w:p>
    <w:p w14:paraId="74F4D6B3" w14:textId="0691239B" w:rsidR="00903609" w:rsidRPr="004C702B" w:rsidRDefault="00903609" w:rsidP="00903609">
      <w:pPr>
        <w:spacing w:line="480" w:lineRule="auto"/>
        <w:rPr>
          <w:b/>
          <w:lang w:val="en-GB"/>
        </w:rPr>
      </w:pPr>
      <w:r>
        <w:rPr>
          <w:rFonts w:ascii="Arial" w:hAnsi="Arial" w:cs="Arial"/>
          <w:b/>
          <w:lang w:val="en-GB"/>
        </w:rPr>
        <w:t>Table 3</w:t>
      </w:r>
      <w:r w:rsidRPr="00AD451B">
        <w:rPr>
          <w:rFonts w:ascii="Arial" w:hAnsi="Arial" w:cs="Arial"/>
          <w:b/>
          <w:lang w:val="en-GB"/>
        </w:rPr>
        <w:t>: Maximum annual cost of intervention (over 10 years) per patient to be cost-effective at various cost-effectiveness thresholds</w:t>
      </w:r>
    </w:p>
    <w:tbl>
      <w:tblPr>
        <w:tblStyle w:val="TableGrid"/>
        <w:tblW w:w="0" w:type="auto"/>
        <w:tblLook w:val="04A0" w:firstRow="1" w:lastRow="0" w:firstColumn="1" w:lastColumn="0" w:noHBand="0" w:noVBand="1"/>
      </w:tblPr>
      <w:tblGrid>
        <w:gridCol w:w="1428"/>
        <w:gridCol w:w="1418"/>
        <w:gridCol w:w="1417"/>
        <w:gridCol w:w="1417"/>
        <w:gridCol w:w="1418"/>
        <w:gridCol w:w="1418"/>
      </w:tblGrid>
      <w:tr w:rsidR="00903609" w:rsidRPr="00AD451B" w14:paraId="59321437" w14:textId="77777777" w:rsidTr="00903609">
        <w:tc>
          <w:tcPr>
            <w:tcW w:w="1428" w:type="dxa"/>
            <w:vMerge w:val="restart"/>
            <w:shd w:val="clear" w:color="auto" w:fill="95B3D7" w:themeFill="accent1" w:themeFillTint="99"/>
          </w:tcPr>
          <w:p w14:paraId="6FDD7C06" w14:textId="77777777" w:rsidR="00903609" w:rsidRPr="00AD451B" w:rsidRDefault="00903609" w:rsidP="00903609">
            <w:pPr>
              <w:spacing w:line="480" w:lineRule="auto"/>
              <w:jc w:val="center"/>
              <w:rPr>
                <w:color w:val="FFFFFF" w:themeColor="background1"/>
                <w:lang w:val="en-GB"/>
              </w:rPr>
            </w:pPr>
            <w:r w:rsidRPr="00AD451B">
              <w:rPr>
                <w:color w:val="FFFFFF" w:themeColor="background1"/>
                <w:sz w:val="22"/>
                <w:szCs w:val="22"/>
                <w:lang w:val="en-GB"/>
              </w:rPr>
              <w:t>Willing-to-pay threshold</w:t>
            </w:r>
          </w:p>
        </w:tc>
        <w:tc>
          <w:tcPr>
            <w:tcW w:w="7088" w:type="dxa"/>
            <w:gridSpan w:val="5"/>
            <w:shd w:val="clear" w:color="auto" w:fill="95B3D7" w:themeFill="accent1" w:themeFillTint="99"/>
          </w:tcPr>
          <w:p w14:paraId="1EEBDAB5" w14:textId="77777777" w:rsidR="00903609" w:rsidRPr="00AD451B" w:rsidRDefault="00903609" w:rsidP="00903609">
            <w:pPr>
              <w:spacing w:line="480" w:lineRule="auto"/>
              <w:jc w:val="center"/>
              <w:rPr>
                <w:color w:val="FFFFFF" w:themeColor="background1"/>
                <w:lang w:val="en-GB"/>
              </w:rPr>
            </w:pPr>
            <w:r w:rsidRPr="00AD451B">
              <w:rPr>
                <w:rFonts w:ascii="Calibri" w:eastAsia="Times New Roman" w:hAnsi="Calibri" w:cs="Times New Roman"/>
                <w:color w:val="FFFFFF" w:themeColor="background1"/>
                <w:sz w:val="22"/>
                <w:szCs w:val="22"/>
                <w:lang w:val="en-GB"/>
              </w:rPr>
              <w:t>% of potential improvement attained during first 12 months of treatment</w:t>
            </w:r>
          </w:p>
        </w:tc>
      </w:tr>
      <w:tr w:rsidR="00903609" w:rsidRPr="00AD451B" w14:paraId="3E1D0982" w14:textId="77777777" w:rsidTr="00903609">
        <w:tc>
          <w:tcPr>
            <w:tcW w:w="1428" w:type="dxa"/>
            <w:vMerge/>
            <w:shd w:val="clear" w:color="auto" w:fill="95B3D7" w:themeFill="accent1" w:themeFillTint="99"/>
          </w:tcPr>
          <w:p w14:paraId="713E603D" w14:textId="77777777" w:rsidR="00903609" w:rsidRPr="00AD451B" w:rsidRDefault="00903609" w:rsidP="00903609">
            <w:pPr>
              <w:spacing w:line="480" w:lineRule="auto"/>
              <w:jc w:val="center"/>
              <w:rPr>
                <w:color w:val="FFFFFF" w:themeColor="background1"/>
                <w:sz w:val="22"/>
                <w:szCs w:val="22"/>
                <w:lang w:val="en-GB"/>
              </w:rPr>
            </w:pPr>
          </w:p>
        </w:tc>
        <w:tc>
          <w:tcPr>
            <w:tcW w:w="1418" w:type="dxa"/>
            <w:shd w:val="clear" w:color="auto" w:fill="95B3D7" w:themeFill="accent1" w:themeFillTint="99"/>
          </w:tcPr>
          <w:p w14:paraId="00FEF156" w14:textId="77777777" w:rsidR="00903609" w:rsidRPr="00AD451B" w:rsidRDefault="00903609" w:rsidP="00903609">
            <w:pPr>
              <w:spacing w:line="480" w:lineRule="auto"/>
              <w:jc w:val="center"/>
              <w:rPr>
                <w:color w:val="FFFFFF" w:themeColor="background1"/>
                <w:sz w:val="22"/>
                <w:szCs w:val="22"/>
                <w:lang w:val="en-GB"/>
              </w:rPr>
            </w:pPr>
            <w:r w:rsidRPr="00AD451B">
              <w:rPr>
                <w:rFonts w:ascii="Calibri" w:eastAsia="Times New Roman" w:hAnsi="Calibri" w:cs="Times New Roman"/>
                <w:color w:val="FFFFFF" w:themeColor="background1"/>
                <w:sz w:val="22"/>
                <w:szCs w:val="22"/>
                <w:lang w:val="en-GB"/>
              </w:rPr>
              <w:t>55%</w:t>
            </w:r>
          </w:p>
        </w:tc>
        <w:tc>
          <w:tcPr>
            <w:tcW w:w="1417" w:type="dxa"/>
            <w:shd w:val="clear" w:color="auto" w:fill="95B3D7" w:themeFill="accent1" w:themeFillTint="99"/>
          </w:tcPr>
          <w:p w14:paraId="4F7D1661" w14:textId="77777777" w:rsidR="00903609" w:rsidRPr="00AD451B" w:rsidRDefault="00903609" w:rsidP="00903609">
            <w:pPr>
              <w:spacing w:line="480" w:lineRule="auto"/>
              <w:jc w:val="center"/>
              <w:rPr>
                <w:color w:val="FFFFFF" w:themeColor="background1"/>
                <w:sz w:val="22"/>
                <w:szCs w:val="22"/>
                <w:lang w:val="en-GB"/>
              </w:rPr>
            </w:pPr>
            <w:r w:rsidRPr="00AD451B">
              <w:rPr>
                <w:rFonts w:ascii="Calibri" w:eastAsia="Times New Roman" w:hAnsi="Calibri" w:cs="Times New Roman"/>
                <w:color w:val="FFFFFF" w:themeColor="background1"/>
                <w:sz w:val="22"/>
                <w:szCs w:val="22"/>
                <w:lang w:val="en-GB"/>
              </w:rPr>
              <w:t>65%</w:t>
            </w:r>
          </w:p>
        </w:tc>
        <w:tc>
          <w:tcPr>
            <w:tcW w:w="1417" w:type="dxa"/>
            <w:shd w:val="clear" w:color="auto" w:fill="95B3D7" w:themeFill="accent1" w:themeFillTint="99"/>
          </w:tcPr>
          <w:p w14:paraId="0CD0728A" w14:textId="77777777" w:rsidR="00903609" w:rsidRPr="00AD451B" w:rsidRDefault="00903609" w:rsidP="00903609">
            <w:pPr>
              <w:spacing w:line="480" w:lineRule="auto"/>
              <w:jc w:val="center"/>
              <w:rPr>
                <w:color w:val="FFFFFF" w:themeColor="background1"/>
                <w:sz w:val="22"/>
                <w:szCs w:val="22"/>
                <w:lang w:val="en-GB"/>
              </w:rPr>
            </w:pPr>
            <w:r w:rsidRPr="00AD451B">
              <w:rPr>
                <w:rFonts w:ascii="Calibri" w:eastAsia="Times New Roman" w:hAnsi="Calibri" w:cs="Times New Roman"/>
                <w:color w:val="FFFFFF" w:themeColor="background1"/>
                <w:sz w:val="22"/>
                <w:szCs w:val="22"/>
                <w:lang w:val="en-GB"/>
              </w:rPr>
              <w:t>75%</w:t>
            </w:r>
            <w:r w:rsidRPr="00AD451B">
              <w:rPr>
                <w:rFonts w:ascii="Calibri" w:eastAsia="Times New Roman" w:hAnsi="Calibri" w:cs="Times New Roman"/>
                <w:color w:val="FFFFFF" w:themeColor="background1"/>
                <w:sz w:val="22"/>
                <w:szCs w:val="22"/>
                <w:lang w:val="en-GB"/>
              </w:rPr>
              <w:br/>
              <w:t>(Base case)</w:t>
            </w:r>
          </w:p>
        </w:tc>
        <w:tc>
          <w:tcPr>
            <w:tcW w:w="1418" w:type="dxa"/>
            <w:shd w:val="clear" w:color="auto" w:fill="95B3D7" w:themeFill="accent1" w:themeFillTint="99"/>
          </w:tcPr>
          <w:p w14:paraId="33C6DB45" w14:textId="77777777" w:rsidR="00903609" w:rsidRPr="00AD451B" w:rsidRDefault="00903609" w:rsidP="00903609">
            <w:pPr>
              <w:spacing w:line="480" w:lineRule="auto"/>
              <w:jc w:val="center"/>
              <w:rPr>
                <w:color w:val="FFFFFF" w:themeColor="background1"/>
                <w:sz w:val="22"/>
                <w:szCs w:val="22"/>
                <w:lang w:val="en-GB"/>
              </w:rPr>
            </w:pPr>
            <w:r w:rsidRPr="00AD451B">
              <w:rPr>
                <w:rFonts w:ascii="Calibri" w:eastAsia="Times New Roman" w:hAnsi="Calibri" w:cs="Times New Roman"/>
                <w:color w:val="FFFFFF" w:themeColor="background1"/>
                <w:sz w:val="22"/>
                <w:szCs w:val="22"/>
                <w:lang w:val="en-GB"/>
              </w:rPr>
              <w:t>85%</w:t>
            </w:r>
          </w:p>
        </w:tc>
        <w:tc>
          <w:tcPr>
            <w:tcW w:w="1418" w:type="dxa"/>
            <w:shd w:val="clear" w:color="auto" w:fill="95B3D7" w:themeFill="accent1" w:themeFillTint="99"/>
          </w:tcPr>
          <w:p w14:paraId="6ED6B650" w14:textId="77777777" w:rsidR="00903609" w:rsidRPr="00AD451B" w:rsidRDefault="00903609" w:rsidP="00903609">
            <w:pPr>
              <w:spacing w:line="480" w:lineRule="auto"/>
              <w:jc w:val="center"/>
              <w:rPr>
                <w:color w:val="FFFFFF" w:themeColor="background1"/>
                <w:sz w:val="22"/>
                <w:szCs w:val="22"/>
                <w:lang w:val="en-GB"/>
              </w:rPr>
            </w:pPr>
            <w:r w:rsidRPr="00AD451B">
              <w:rPr>
                <w:rFonts w:ascii="Calibri" w:eastAsia="Times New Roman" w:hAnsi="Calibri" w:cs="Times New Roman"/>
                <w:color w:val="FFFFFF" w:themeColor="background1"/>
                <w:sz w:val="22"/>
                <w:szCs w:val="22"/>
                <w:lang w:val="en-GB"/>
              </w:rPr>
              <w:t>95%</w:t>
            </w:r>
          </w:p>
        </w:tc>
      </w:tr>
      <w:tr w:rsidR="00903609" w:rsidRPr="00AD451B" w14:paraId="79A57E41" w14:textId="77777777" w:rsidTr="00903609">
        <w:tc>
          <w:tcPr>
            <w:tcW w:w="1428" w:type="dxa"/>
            <w:vAlign w:val="bottom"/>
          </w:tcPr>
          <w:p w14:paraId="7B02902C" w14:textId="77777777" w:rsidR="00903609" w:rsidRPr="00AD451B" w:rsidRDefault="00903609" w:rsidP="00903609">
            <w:pPr>
              <w:spacing w:line="480" w:lineRule="auto"/>
              <w:jc w:val="center"/>
              <w:rPr>
                <w:b/>
                <w:lang w:val="en-GB"/>
              </w:rPr>
            </w:pPr>
            <w:r w:rsidRPr="00AD451B">
              <w:rPr>
                <w:rFonts w:ascii="Calibri" w:eastAsia="Times New Roman" w:hAnsi="Calibri" w:cs="Times New Roman"/>
                <w:b/>
                <w:color w:val="000000"/>
                <w:sz w:val="22"/>
                <w:szCs w:val="22"/>
                <w:lang w:val="en-GB"/>
              </w:rPr>
              <w:t>20,000</w:t>
            </w:r>
          </w:p>
        </w:tc>
        <w:tc>
          <w:tcPr>
            <w:tcW w:w="1418" w:type="dxa"/>
            <w:vAlign w:val="bottom"/>
          </w:tcPr>
          <w:p w14:paraId="2C61E0EC" w14:textId="77777777" w:rsidR="00903609" w:rsidRPr="00AD451B" w:rsidRDefault="00903609" w:rsidP="00903609">
            <w:pPr>
              <w:spacing w:line="480" w:lineRule="auto"/>
              <w:jc w:val="center"/>
              <w:rPr>
                <w:b/>
                <w:lang w:val="en-GB"/>
              </w:rPr>
            </w:pPr>
            <w:r w:rsidRPr="00AD451B">
              <w:rPr>
                <w:rFonts w:ascii="Calibri" w:hAnsi="Calibri"/>
                <w:color w:val="000000"/>
                <w:sz w:val="22"/>
                <w:szCs w:val="22"/>
                <w:lang w:val="en-GB"/>
              </w:rPr>
              <w:t>4,254</w:t>
            </w:r>
          </w:p>
        </w:tc>
        <w:tc>
          <w:tcPr>
            <w:tcW w:w="1417" w:type="dxa"/>
            <w:vAlign w:val="bottom"/>
          </w:tcPr>
          <w:p w14:paraId="41FE77CE" w14:textId="77777777" w:rsidR="00903609" w:rsidRPr="00AD451B" w:rsidRDefault="00903609" w:rsidP="00903609">
            <w:pPr>
              <w:spacing w:line="480" w:lineRule="auto"/>
              <w:jc w:val="center"/>
              <w:rPr>
                <w:b/>
                <w:lang w:val="en-GB"/>
              </w:rPr>
            </w:pPr>
            <w:r w:rsidRPr="00AD451B">
              <w:rPr>
                <w:rFonts w:ascii="Calibri" w:hAnsi="Calibri"/>
                <w:color w:val="000000"/>
                <w:sz w:val="22"/>
                <w:szCs w:val="22"/>
                <w:lang w:val="en-GB"/>
              </w:rPr>
              <w:t>5,000</w:t>
            </w:r>
          </w:p>
        </w:tc>
        <w:tc>
          <w:tcPr>
            <w:tcW w:w="1417" w:type="dxa"/>
            <w:vAlign w:val="bottom"/>
          </w:tcPr>
          <w:p w14:paraId="5A46EAE8" w14:textId="77777777" w:rsidR="00903609" w:rsidRPr="00AD451B" w:rsidRDefault="00903609" w:rsidP="00903609">
            <w:pPr>
              <w:spacing w:line="480" w:lineRule="auto"/>
              <w:jc w:val="center"/>
              <w:rPr>
                <w:b/>
                <w:lang w:val="en-GB"/>
              </w:rPr>
            </w:pPr>
            <w:r w:rsidRPr="00AD451B">
              <w:rPr>
                <w:rFonts w:ascii="Calibri" w:hAnsi="Calibri"/>
                <w:color w:val="000000"/>
                <w:sz w:val="22"/>
                <w:szCs w:val="22"/>
                <w:lang w:val="en-GB"/>
              </w:rPr>
              <w:t>5,742</w:t>
            </w:r>
          </w:p>
        </w:tc>
        <w:tc>
          <w:tcPr>
            <w:tcW w:w="1418" w:type="dxa"/>
            <w:vAlign w:val="bottom"/>
          </w:tcPr>
          <w:p w14:paraId="6DAEB4A6" w14:textId="77777777" w:rsidR="00903609" w:rsidRPr="00AD451B" w:rsidRDefault="00903609" w:rsidP="00903609">
            <w:pPr>
              <w:spacing w:line="480" w:lineRule="auto"/>
              <w:jc w:val="center"/>
              <w:rPr>
                <w:b/>
                <w:lang w:val="en-GB"/>
              </w:rPr>
            </w:pPr>
            <w:r w:rsidRPr="00AD451B">
              <w:rPr>
                <w:rFonts w:ascii="Calibri" w:hAnsi="Calibri"/>
                <w:color w:val="000000"/>
                <w:sz w:val="22"/>
                <w:szCs w:val="22"/>
                <w:lang w:val="en-GB"/>
              </w:rPr>
              <w:t>6,481</w:t>
            </w:r>
          </w:p>
        </w:tc>
        <w:tc>
          <w:tcPr>
            <w:tcW w:w="1418" w:type="dxa"/>
            <w:vAlign w:val="bottom"/>
          </w:tcPr>
          <w:p w14:paraId="6255337F" w14:textId="77777777" w:rsidR="00903609" w:rsidRPr="00AD451B" w:rsidRDefault="00903609" w:rsidP="00903609">
            <w:pPr>
              <w:spacing w:line="480" w:lineRule="auto"/>
              <w:jc w:val="center"/>
              <w:rPr>
                <w:b/>
                <w:lang w:val="en-GB"/>
              </w:rPr>
            </w:pPr>
            <w:r w:rsidRPr="00AD451B">
              <w:rPr>
                <w:rFonts w:ascii="Calibri" w:hAnsi="Calibri"/>
                <w:color w:val="000000"/>
                <w:sz w:val="22"/>
                <w:szCs w:val="22"/>
                <w:lang w:val="en-GB"/>
              </w:rPr>
              <w:t>7,218</w:t>
            </w:r>
          </w:p>
        </w:tc>
      </w:tr>
      <w:tr w:rsidR="00903609" w:rsidRPr="00AD451B" w14:paraId="7B884851" w14:textId="77777777" w:rsidTr="00903609">
        <w:tc>
          <w:tcPr>
            <w:tcW w:w="1428" w:type="dxa"/>
            <w:vAlign w:val="bottom"/>
          </w:tcPr>
          <w:p w14:paraId="5CE96BC3" w14:textId="77777777" w:rsidR="00903609" w:rsidRPr="00AD451B" w:rsidRDefault="00903609" w:rsidP="00903609">
            <w:pPr>
              <w:spacing w:line="480" w:lineRule="auto"/>
              <w:jc w:val="center"/>
              <w:rPr>
                <w:b/>
                <w:lang w:val="en-GB"/>
              </w:rPr>
            </w:pPr>
            <w:r w:rsidRPr="00AD451B">
              <w:rPr>
                <w:rFonts w:ascii="Calibri" w:eastAsia="Times New Roman" w:hAnsi="Calibri" w:cs="Times New Roman"/>
                <w:b/>
                <w:color w:val="000000"/>
                <w:sz w:val="22"/>
                <w:szCs w:val="22"/>
                <w:lang w:val="en-GB"/>
              </w:rPr>
              <w:t>30,000</w:t>
            </w:r>
          </w:p>
        </w:tc>
        <w:tc>
          <w:tcPr>
            <w:tcW w:w="1418" w:type="dxa"/>
            <w:vAlign w:val="bottom"/>
          </w:tcPr>
          <w:p w14:paraId="01D80444" w14:textId="77777777" w:rsidR="00903609" w:rsidRPr="00AD451B" w:rsidRDefault="00903609" w:rsidP="00903609">
            <w:pPr>
              <w:spacing w:line="480" w:lineRule="auto"/>
              <w:jc w:val="center"/>
              <w:rPr>
                <w:b/>
                <w:lang w:val="en-GB"/>
              </w:rPr>
            </w:pPr>
            <w:r w:rsidRPr="00AD451B">
              <w:rPr>
                <w:rFonts w:ascii="Calibri" w:hAnsi="Calibri"/>
                <w:color w:val="000000"/>
                <w:sz w:val="22"/>
                <w:szCs w:val="22"/>
                <w:lang w:val="en-GB"/>
              </w:rPr>
              <w:t>6,382</w:t>
            </w:r>
          </w:p>
        </w:tc>
        <w:tc>
          <w:tcPr>
            <w:tcW w:w="1417" w:type="dxa"/>
            <w:vAlign w:val="bottom"/>
          </w:tcPr>
          <w:p w14:paraId="572851CF" w14:textId="77777777" w:rsidR="00903609" w:rsidRPr="00AD451B" w:rsidRDefault="00903609" w:rsidP="00903609">
            <w:pPr>
              <w:spacing w:line="480" w:lineRule="auto"/>
              <w:jc w:val="center"/>
              <w:rPr>
                <w:b/>
                <w:lang w:val="en-GB"/>
              </w:rPr>
            </w:pPr>
            <w:r w:rsidRPr="00AD451B">
              <w:rPr>
                <w:rFonts w:ascii="Calibri" w:hAnsi="Calibri"/>
                <w:color w:val="000000"/>
                <w:sz w:val="22"/>
                <w:szCs w:val="22"/>
                <w:lang w:val="en-GB"/>
              </w:rPr>
              <w:t>7,499</w:t>
            </w:r>
          </w:p>
        </w:tc>
        <w:tc>
          <w:tcPr>
            <w:tcW w:w="1417" w:type="dxa"/>
            <w:vAlign w:val="bottom"/>
          </w:tcPr>
          <w:p w14:paraId="40D75961" w14:textId="77777777" w:rsidR="00903609" w:rsidRPr="00AD451B" w:rsidRDefault="00903609" w:rsidP="00903609">
            <w:pPr>
              <w:spacing w:line="480" w:lineRule="auto"/>
              <w:jc w:val="center"/>
              <w:rPr>
                <w:b/>
                <w:lang w:val="en-GB"/>
              </w:rPr>
            </w:pPr>
            <w:r w:rsidRPr="00AD451B">
              <w:rPr>
                <w:rFonts w:ascii="Calibri" w:hAnsi="Calibri"/>
                <w:color w:val="000000"/>
                <w:sz w:val="22"/>
                <w:szCs w:val="22"/>
                <w:lang w:val="en-GB"/>
              </w:rPr>
              <w:t>8,613</w:t>
            </w:r>
          </w:p>
        </w:tc>
        <w:tc>
          <w:tcPr>
            <w:tcW w:w="1418" w:type="dxa"/>
            <w:vAlign w:val="bottom"/>
          </w:tcPr>
          <w:p w14:paraId="208CAD4A" w14:textId="77777777" w:rsidR="00903609" w:rsidRPr="00AD451B" w:rsidRDefault="00903609" w:rsidP="00903609">
            <w:pPr>
              <w:spacing w:line="480" w:lineRule="auto"/>
              <w:jc w:val="center"/>
              <w:rPr>
                <w:b/>
                <w:lang w:val="en-GB"/>
              </w:rPr>
            </w:pPr>
            <w:r w:rsidRPr="00AD451B">
              <w:rPr>
                <w:rFonts w:ascii="Calibri" w:hAnsi="Calibri"/>
                <w:color w:val="000000"/>
                <w:sz w:val="22"/>
                <w:szCs w:val="22"/>
                <w:lang w:val="en-GB"/>
              </w:rPr>
              <w:t>9,722</w:t>
            </w:r>
          </w:p>
        </w:tc>
        <w:tc>
          <w:tcPr>
            <w:tcW w:w="1418" w:type="dxa"/>
            <w:vAlign w:val="bottom"/>
          </w:tcPr>
          <w:p w14:paraId="4FE0BB8F" w14:textId="77777777" w:rsidR="00903609" w:rsidRPr="00AD451B" w:rsidRDefault="00903609" w:rsidP="00903609">
            <w:pPr>
              <w:spacing w:line="480" w:lineRule="auto"/>
              <w:jc w:val="center"/>
              <w:rPr>
                <w:b/>
                <w:lang w:val="en-GB"/>
              </w:rPr>
            </w:pPr>
            <w:r w:rsidRPr="00AD451B">
              <w:rPr>
                <w:rFonts w:ascii="Calibri" w:hAnsi="Calibri"/>
                <w:color w:val="000000"/>
                <w:sz w:val="22"/>
                <w:szCs w:val="22"/>
                <w:lang w:val="en-GB"/>
              </w:rPr>
              <w:t>10,827</w:t>
            </w:r>
          </w:p>
        </w:tc>
      </w:tr>
      <w:tr w:rsidR="00903609" w:rsidRPr="00AD451B" w14:paraId="1ECA0E91" w14:textId="77777777" w:rsidTr="00903609">
        <w:tc>
          <w:tcPr>
            <w:tcW w:w="1428" w:type="dxa"/>
            <w:vAlign w:val="bottom"/>
          </w:tcPr>
          <w:p w14:paraId="364B56CB" w14:textId="77777777" w:rsidR="00903609" w:rsidRPr="00AD451B" w:rsidRDefault="00903609" w:rsidP="00903609">
            <w:pPr>
              <w:spacing w:line="480" w:lineRule="auto"/>
              <w:jc w:val="center"/>
              <w:rPr>
                <w:b/>
                <w:lang w:val="en-GB"/>
              </w:rPr>
            </w:pPr>
            <w:r w:rsidRPr="00AD451B">
              <w:rPr>
                <w:rFonts w:ascii="Calibri" w:eastAsia="Times New Roman" w:hAnsi="Calibri" w:cs="Times New Roman"/>
                <w:b/>
                <w:color w:val="000000"/>
                <w:sz w:val="22"/>
                <w:szCs w:val="22"/>
                <w:lang w:val="en-GB"/>
              </w:rPr>
              <w:t>40,000</w:t>
            </w:r>
          </w:p>
        </w:tc>
        <w:tc>
          <w:tcPr>
            <w:tcW w:w="1418" w:type="dxa"/>
            <w:vAlign w:val="bottom"/>
          </w:tcPr>
          <w:p w14:paraId="034D7DE5" w14:textId="77777777" w:rsidR="00903609" w:rsidRPr="00AD451B" w:rsidRDefault="00903609" w:rsidP="00903609">
            <w:pPr>
              <w:spacing w:line="480" w:lineRule="auto"/>
              <w:jc w:val="center"/>
              <w:rPr>
                <w:b/>
                <w:lang w:val="en-GB"/>
              </w:rPr>
            </w:pPr>
            <w:r w:rsidRPr="00AD451B">
              <w:rPr>
                <w:rFonts w:ascii="Calibri" w:hAnsi="Calibri"/>
                <w:color w:val="000000"/>
                <w:sz w:val="22"/>
                <w:szCs w:val="22"/>
                <w:lang w:val="en-GB"/>
              </w:rPr>
              <w:t>8,509</w:t>
            </w:r>
          </w:p>
        </w:tc>
        <w:tc>
          <w:tcPr>
            <w:tcW w:w="1417" w:type="dxa"/>
            <w:vAlign w:val="bottom"/>
          </w:tcPr>
          <w:p w14:paraId="4EE36CFE" w14:textId="77777777" w:rsidR="00903609" w:rsidRPr="00AD451B" w:rsidRDefault="00903609" w:rsidP="00903609">
            <w:pPr>
              <w:spacing w:line="480" w:lineRule="auto"/>
              <w:jc w:val="center"/>
              <w:rPr>
                <w:b/>
                <w:lang w:val="en-GB"/>
              </w:rPr>
            </w:pPr>
            <w:r w:rsidRPr="00AD451B">
              <w:rPr>
                <w:rFonts w:ascii="Calibri" w:hAnsi="Calibri"/>
                <w:color w:val="000000"/>
                <w:sz w:val="22"/>
                <w:szCs w:val="22"/>
                <w:lang w:val="en-GB"/>
              </w:rPr>
              <w:t>9,999</w:t>
            </w:r>
          </w:p>
        </w:tc>
        <w:tc>
          <w:tcPr>
            <w:tcW w:w="1417" w:type="dxa"/>
            <w:vAlign w:val="bottom"/>
          </w:tcPr>
          <w:p w14:paraId="05D92BF7" w14:textId="77777777" w:rsidR="00903609" w:rsidRPr="00AD451B" w:rsidRDefault="00903609" w:rsidP="00903609">
            <w:pPr>
              <w:spacing w:line="480" w:lineRule="auto"/>
              <w:jc w:val="center"/>
              <w:rPr>
                <w:b/>
                <w:lang w:val="en-GB"/>
              </w:rPr>
            </w:pPr>
            <w:r w:rsidRPr="00AD451B">
              <w:rPr>
                <w:rFonts w:ascii="Calibri" w:hAnsi="Calibri"/>
                <w:color w:val="000000"/>
                <w:sz w:val="22"/>
                <w:szCs w:val="22"/>
                <w:lang w:val="en-GB"/>
              </w:rPr>
              <w:t>11,484</w:t>
            </w:r>
          </w:p>
        </w:tc>
        <w:tc>
          <w:tcPr>
            <w:tcW w:w="1418" w:type="dxa"/>
            <w:vAlign w:val="bottom"/>
          </w:tcPr>
          <w:p w14:paraId="7778451F" w14:textId="77777777" w:rsidR="00903609" w:rsidRPr="00AD451B" w:rsidRDefault="00903609" w:rsidP="00903609">
            <w:pPr>
              <w:spacing w:line="480" w:lineRule="auto"/>
              <w:jc w:val="center"/>
              <w:rPr>
                <w:b/>
                <w:lang w:val="en-GB"/>
              </w:rPr>
            </w:pPr>
            <w:r w:rsidRPr="00AD451B">
              <w:rPr>
                <w:rFonts w:ascii="Calibri" w:hAnsi="Calibri"/>
                <w:color w:val="000000"/>
                <w:sz w:val="22"/>
                <w:szCs w:val="22"/>
                <w:lang w:val="en-GB"/>
              </w:rPr>
              <w:t>12,963</w:t>
            </w:r>
          </w:p>
        </w:tc>
        <w:tc>
          <w:tcPr>
            <w:tcW w:w="1418" w:type="dxa"/>
            <w:vAlign w:val="bottom"/>
          </w:tcPr>
          <w:p w14:paraId="5C009E69" w14:textId="77777777" w:rsidR="00903609" w:rsidRPr="00AD451B" w:rsidRDefault="00903609" w:rsidP="00903609">
            <w:pPr>
              <w:spacing w:line="480" w:lineRule="auto"/>
              <w:jc w:val="center"/>
              <w:rPr>
                <w:b/>
                <w:lang w:val="en-GB"/>
              </w:rPr>
            </w:pPr>
            <w:r w:rsidRPr="00AD451B">
              <w:rPr>
                <w:rFonts w:ascii="Calibri" w:hAnsi="Calibri"/>
                <w:color w:val="000000"/>
                <w:sz w:val="22"/>
                <w:szCs w:val="22"/>
                <w:lang w:val="en-GB"/>
              </w:rPr>
              <w:t>14,436</w:t>
            </w:r>
          </w:p>
        </w:tc>
      </w:tr>
      <w:tr w:rsidR="00903609" w:rsidRPr="00AD451B" w14:paraId="34BA8BE6" w14:textId="77777777" w:rsidTr="00903609">
        <w:tc>
          <w:tcPr>
            <w:tcW w:w="1428" w:type="dxa"/>
            <w:vAlign w:val="bottom"/>
          </w:tcPr>
          <w:p w14:paraId="489DA425" w14:textId="77777777" w:rsidR="00903609" w:rsidRPr="00AD451B" w:rsidRDefault="00903609" w:rsidP="00903609">
            <w:pPr>
              <w:spacing w:line="480" w:lineRule="auto"/>
              <w:jc w:val="center"/>
              <w:rPr>
                <w:b/>
                <w:lang w:val="en-GB"/>
              </w:rPr>
            </w:pPr>
            <w:r w:rsidRPr="00AD451B">
              <w:rPr>
                <w:rFonts w:ascii="Calibri" w:eastAsia="Times New Roman" w:hAnsi="Calibri" w:cs="Times New Roman"/>
                <w:b/>
                <w:color w:val="000000"/>
                <w:sz w:val="22"/>
                <w:szCs w:val="22"/>
                <w:lang w:val="en-GB"/>
              </w:rPr>
              <w:t>50,000</w:t>
            </w:r>
          </w:p>
        </w:tc>
        <w:tc>
          <w:tcPr>
            <w:tcW w:w="1418" w:type="dxa"/>
            <w:vAlign w:val="bottom"/>
          </w:tcPr>
          <w:p w14:paraId="62AF069E" w14:textId="77777777" w:rsidR="00903609" w:rsidRPr="00AD451B" w:rsidRDefault="00903609" w:rsidP="00903609">
            <w:pPr>
              <w:spacing w:line="480" w:lineRule="auto"/>
              <w:jc w:val="center"/>
              <w:rPr>
                <w:b/>
                <w:lang w:val="en-GB"/>
              </w:rPr>
            </w:pPr>
            <w:r w:rsidRPr="00AD451B">
              <w:rPr>
                <w:rFonts w:ascii="Calibri" w:hAnsi="Calibri"/>
                <w:color w:val="000000"/>
                <w:sz w:val="22"/>
                <w:szCs w:val="22"/>
                <w:lang w:val="en-GB"/>
              </w:rPr>
              <w:t>10,636</w:t>
            </w:r>
          </w:p>
        </w:tc>
        <w:tc>
          <w:tcPr>
            <w:tcW w:w="1417" w:type="dxa"/>
            <w:vAlign w:val="bottom"/>
          </w:tcPr>
          <w:p w14:paraId="6F9DB9CE" w14:textId="77777777" w:rsidR="00903609" w:rsidRPr="00AD451B" w:rsidRDefault="00903609" w:rsidP="00903609">
            <w:pPr>
              <w:spacing w:line="480" w:lineRule="auto"/>
              <w:jc w:val="center"/>
              <w:rPr>
                <w:b/>
                <w:lang w:val="en-GB"/>
              </w:rPr>
            </w:pPr>
            <w:r w:rsidRPr="00AD451B">
              <w:rPr>
                <w:rFonts w:ascii="Calibri" w:hAnsi="Calibri"/>
                <w:color w:val="000000"/>
                <w:sz w:val="22"/>
                <w:szCs w:val="22"/>
                <w:lang w:val="en-GB"/>
              </w:rPr>
              <w:t>12,499</w:t>
            </w:r>
          </w:p>
        </w:tc>
        <w:tc>
          <w:tcPr>
            <w:tcW w:w="1417" w:type="dxa"/>
            <w:vAlign w:val="bottom"/>
          </w:tcPr>
          <w:p w14:paraId="10EE0EF2" w14:textId="77777777" w:rsidR="00903609" w:rsidRPr="00AD451B" w:rsidRDefault="00903609" w:rsidP="00903609">
            <w:pPr>
              <w:spacing w:line="480" w:lineRule="auto"/>
              <w:jc w:val="center"/>
              <w:rPr>
                <w:b/>
                <w:lang w:val="en-GB"/>
              </w:rPr>
            </w:pPr>
            <w:r w:rsidRPr="00AD451B">
              <w:rPr>
                <w:rFonts w:ascii="Calibri" w:hAnsi="Calibri"/>
                <w:color w:val="000000"/>
                <w:sz w:val="22"/>
                <w:szCs w:val="22"/>
                <w:lang w:val="en-GB"/>
              </w:rPr>
              <w:t>14,355</w:t>
            </w:r>
          </w:p>
        </w:tc>
        <w:tc>
          <w:tcPr>
            <w:tcW w:w="1418" w:type="dxa"/>
            <w:vAlign w:val="bottom"/>
          </w:tcPr>
          <w:p w14:paraId="17C01E2D" w14:textId="77777777" w:rsidR="00903609" w:rsidRPr="00AD451B" w:rsidRDefault="00903609" w:rsidP="00903609">
            <w:pPr>
              <w:spacing w:line="480" w:lineRule="auto"/>
              <w:jc w:val="center"/>
              <w:rPr>
                <w:b/>
                <w:lang w:val="en-GB"/>
              </w:rPr>
            </w:pPr>
            <w:r w:rsidRPr="00AD451B">
              <w:rPr>
                <w:rFonts w:ascii="Calibri" w:hAnsi="Calibri"/>
                <w:color w:val="000000"/>
                <w:sz w:val="22"/>
                <w:szCs w:val="22"/>
                <w:lang w:val="en-GB"/>
              </w:rPr>
              <w:t>16,203</w:t>
            </w:r>
          </w:p>
        </w:tc>
        <w:tc>
          <w:tcPr>
            <w:tcW w:w="1418" w:type="dxa"/>
            <w:vAlign w:val="bottom"/>
          </w:tcPr>
          <w:p w14:paraId="40526A08" w14:textId="77777777" w:rsidR="00903609" w:rsidRPr="00AD451B" w:rsidRDefault="00903609" w:rsidP="00903609">
            <w:pPr>
              <w:spacing w:line="480" w:lineRule="auto"/>
              <w:jc w:val="center"/>
              <w:rPr>
                <w:b/>
                <w:lang w:val="en-GB"/>
              </w:rPr>
            </w:pPr>
            <w:r w:rsidRPr="00AD451B">
              <w:rPr>
                <w:rFonts w:ascii="Calibri" w:hAnsi="Calibri"/>
                <w:color w:val="000000"/>
                <w:sz w:val="22"/>
                <w:szCs w:val="22"/>
                <w:lang w:val="en-GB"/>
              </w:rPr>
              <w:t>18,045</w:t>
            </w:r>
          </w:p>
        </w:tc>
      </w:tr>
      <w:tr w:rsidR="00903609" w:rsidRPr="00AD451B" w14:paraId="1818005E" w14:textId="77777777" w:rsidTr="00903609">
        <w:tc>
          <w:tcPr>
            <w:tcW w:w="1428" w:type="dxa"/>
            <w:vAlign w:val="bottom"/>
          </w:tcPr>
          <w:p w14:paraId="7395CBF8" w14:textId="77777777" w:rsidR="00903609" w:rsidRPr="00AD451B" w:rsidRDefault="00903609" w:rsidP="00903609">
            <w:pPr>
              <w:spacing w:line="480" w:lineRule="auto"/>
              <w:jc w:val="center"/>
              <w:rPr>
                <w:b/>
                <w:lang w:val="en-GB"/>
              </w:rPr>
            </w:pPr>
            <w:r w:rsidRPr="00AD451B">
              <w:rPr>
                <w:rFonts w:ascii="Calibri" w:eastAsia="Times New Roman" w:hAnsi="Calibri" w:cs="Times New Roman"/>
                <w:b/>
                <w:color w:val="000000"/>
                <w:sz w:val="22"/>
                <w:szCs w:val="22"/>
                <w:lang w:val="en-GB"/>
              </w:rPr>
              <w:t>60,000</w:t>
            </w:r>
          </w:p>
        </w:tc>
        <w:tc>
          <w:tcPr>
            <w:tcW w:w="1418" w:type="dxa"/>
            <w:vAlign w:val="bottom"/>
          </w:tcPr>
          <w:p w14:paraId="54BEEBFE" w14:textId="77777777" w:rsidR="00903609" w:rsidRPr="00AD451B" w:rsidRDefault="00903609" w:rsidP="00903609">
            <w:pPr>
              <w:spacing w:line="480" w:lineRule="auto"/>
              <w:jc w:val="center"/>
              <w:rPr>
                <w:b/>
                <w:lang w:val="en-GB"/>
              </w:rPr>
            </w:pPr>
            <w:r w:rsidRPr="00AD451B">
              <w:rPr>
                <w:rFonts w:ascii="Calibri" w:hAnsi="Calibri"/>
                <w:color w:val="000000"/>
                <w:sz w:val="22"/>
                <w:szCs w:val="22"/>
                <w:lang w:val="en-GB"/>
              </w:rPr>
              <w:t>12,763</w:t>
            </w:r>
          </w:p>
        </w:tc>
        <w:tc>
          <w:tcPr>
            <w:tcW w:w="1417" w:type="dxa"/>
            <w:vAlign w:val="bottom"/>
          </w:tcPr>
          <w:p w14:paraId="3B7055B3" w14:textId="77777777" w:rsidR="00903609" w:rsidRPr="00AD451B" w:rsidRDefault="00903609" w:rsidP="00903609">
            <w:pPr>
              <w:spacing w:line="480" w:lineRule="auto"/>
              <w:jc w:val="center"/>
              <w:rPr>
                <w:b/>
                <w:lang w:val="en-GB"/>
              </w:rPr>
            </w:pPr>
            <w:r w:rsidRPr="00AD451B">
              <w:rPr>
                <w:rFonts w:ascii="Calibri" w:hAnsi="Calibri"/>
                <w:color w:val="000000"/>
                <w:sz w:val="22"/>
                <w:szCs w:val="22"/>
                <w:lang w:val="en-GB"/>
              </w:rPr>
              <w:t>14,999</w:t>
            </w:r>
          </w:p>
        </w:tc>
        <w:tc>
          <w:tcPr>
            <w:tcW w:w="1417" w:type="dxa"/>
            <w:vAlign w:val="bottom"/>
          </w:tcPr>
          <w:p w14:paraId="5F94997B" w14:textId="77777777" w:rsidR="00903609" w:rsidRPr="00AD451B" w:rsidRDefault="00903609" w:rsidP="00903609">
            <w:pPr>
              <w:spacing w:line="480" w:lineRule="auto"/>
              <w:jc w:val="center"/>
              <w:rPr>
                <w:b/>
                <w:lang w:val="en-GB"/>
              </w:rPr>
            </w:pPr>
            <w:r w:rsidRPr="00AD451B">
              <w:rPr>
                <w:rFonts w:ascii="Calibri" w:hAnsi="Calibri"/>
                <w:color w:val="000000"/>
                <w:sz w:val="22"/>
                <w:szCs w:val="22"/>
                <w:lang w:val="en-GB"/>
              </w:rPr>
              <w:t>17,226</w:t>
            </w:r>
          </w:p>
        </w:tc>
        <w:tc>
          <w:tcPr>
            <w:tcW w:w="1418" w:type="dxa"/>
            <w:vAlign w:val="bottom"/>
          </w:tcPr>
          <w:p w14:paraId="62D0DB46" w14:textId="77777777" w:rsidR="00903609" w:rsidRPr="00AD451B" w:rsidRDefault="00903609" w:rsidP="00903609">
            <w:pPr>
              <w:spacing w:line="480" w:lineRule="auto"/>
              <w:jc w:val="center"/>
              <w:rPr>
                <w:b/>
                <w:lang w:val="en-GB"/>
              </w:rPr>
            </w:pPr>
            <w:r w:rsidRPr="00AD451B">
              <w:rPr>
                <w:rFonts w:ascii="Calibri" w:hAnsi="Calibri"/>
                <w:color w:val="000000"/>
                <w:sz w:val="22"/>
                <w:szCs w:val="22"/>
                <w:lang w:val="en-GB"/>
              </w:rPr>
              <w:t>19,444</w:t>
            </w:r>
          </w:p>
        </w:tc>
        <w:tc>
          <w:tcPr>
            <w:tcW w:w="1418" w:type="dxa"/>
            <w:vAlign w:val="bottom"/>
          </w:tcPr>
          <w:p w14:paraId="0178F33C" w14:textId="77777777" w:rsidR="00903609" w:rsidRPr="00AD451B" w:rsidRDefault="00903609" w:rsidP="00903609">
            <w:pPr>
              <w:spacing w:line="480" w:lineRule="auto"/>
              <w:jc w:val="center"/>
              <w:rPr>
                <w:b/>
                <w:lang w:val="en-GB"/>
              </w:rPr>
            </w:pPr>
            <w:r w:rsidRPr="00AD451B">
              <w:rPr>
                <w:rFonts w:ascii="Calibri" w:hAnsi="Calibri"/>
                <w:color w:val="000000"/>
                <w:sz w:val="22"/>
                <w:szCs w:val="22"/>
                <w:lang w:val="en-GB"/>
              </w:rPr>
              <w:t>21,653</w:t>
            </w:r>
          </w:p>
        </w:tc>
      </w:tr>
      <w:tr w:rsidR="00903609" w:rsidRPr="00AD451B" w14:paraId="30647A09" w14:textId="77777777" w:rsidTr="00903609">
        <w:tc>
          <w:tcPr>
            <w:tcW w:w="1428" w:type="dxa"/>
            <w:vAlign w:val="bottom"/>
          </w:tcPr>
          <w:p w14:paraId="6BD2D922" w14:textId="77777777" w:rsidR="00903609" w:rsidRPr="00AD451B" w:rsidRDefault="00903609" w:rsidP="00903609">
            <w:pPr>
              <w:spacing w:line="480" w:lineRule="auto"/>
              <w:jc w:val="center"/>
              <w:rPr>
                <w:rFonts w:ascii="Calibri" w:eastAsia="Times New Roman" w:hAnsi="Calibri" w:cs="Times New Roman"/>
                <w:b/>
                <w:color w:val="000000"/>
                <w:sz w:val="22"/>
                <w:szCs w:val="22"/>
                <w:lang w:val="en-GB"/>
              </w:rPr>
            </w:pPr>
            <w:r w:rsidRPr="00AD451B">
              <w:rPr>
                <w:rFonts w:ascii="Calibri" w:eastAsia="Times New Roman" w:hAnsi="Calibri" w:cs="Times New Roman"/>
                <w:b/>
                <w:color w:val="000000"/>
                <w:sz w:val="22"/>
                <w:szCs w:val="22"/>
                <w:lang w:val="en-GB"/>
              </w:rPr>
              <w:t>70,000</w:t>
            </w:r>
          </w:p>
        </w:tc>
        <w:tc>
          <w:tcPr>
            <w:tcW w:w="1418" w:type="dxa"/>
            <w:vAlign w:val="bottom"/>
          </w:tcPr>
          <w:p w14:paraId="12E0E188" w14:textId="77777777" w:rsidR="00903609" w:rsidRPr="00AD451B" w:rsidRDefault="00903609" w:rsidP="00903609">
            <w:pPr>
              <w:spacing w:line="480" w:lineRule="auto"/>
              <w:jc w:val="center"/>
              <w:rPr>
                <w:b/>
                <w:lang w:val="en-GB"/>
              </w:rPr>
            </w:pPr>
            <w:r w:rsidRPr="00AD451B">
              <w:rPr>
                <w:rFonts w:ascii="Calibri" w:hAnsi="Calibri"/>
                <w:color w:val="000000"/>
                <w:sz w:val="22"/>
                <w:szCs w:val="22"/>
                <w:lang w:val="en-GB"/>
              </w:rPr>
              <w:t>14,890</w:t>
            </w:r>
          </w:p>
        </w:tc>
        <w:tc>
          <w:tcPr>
            <w:tcW w:w="1417" w:type="dxa"/>
            <w:vAlign w:val="bottom"/>
          </w:tcPr>
          <w:p w14:paraId="5838D720" w14:textId="77777777" w:rsidR="00903609" w:rsidRPr="00AD451B" w:rsidRDefault="00903609" w:rsidP="00903609">
            <w:pPr>
              <w:spacing w:line="480" w:lineRule="auto"/>
              <w:jc w:val="center"/>
              <w:rPr>
                <w:b/>
                <w:lang w:val="en-GB"/>
              </w:rPr>
            </w:pPr>
            <w:r w:rsidRPr="00AD451B">
              <w:rPr>
                <w:rFonts w:ascii="Calibri" w:hAnsi="Calibri"/>
                <w:color w:val="000000"/>
                <w:sz w:val="22"/>
                <w:szCs w:val="22"/>
                <w:lang w:val="en-GB"/>
              </w:rPr>
              <w:t>17,498</w:t>
            </w:r>
          </w:p>
        </w:tc>
        <w:tc>
          <w:tcPr>
            <w:tcW w:w="1417" w:type="dxa"/>
            <w:vAlign w:val="bottom"/>
          </w:tcPr>
          <w:p w14:paraId="17A1D3B9" w14:textId="77777777" w:rsidR="00903609" w:rsidRPr="00AD451B" w:rsidRDefault="00903609" w:rsidP="00903609">
            <w:pPr>
              <w:spacing w:line="480" w:lineRule="auto"/>
              <w:jc w:val="center"/>
              <w:rPr>
                <w:b/>
                <w:lang w:val="en-GB"/>
              </w:rPr>
            </w:pPr>
            <w:r w:rsidRPr="00AD451B">
              <w:rPr>
                <w:rFonts w:ascii="Calibri" w:hAnsi="Calibri"/>
                <w:color w:val="000000"/>
                <w:sz w:val="22"/>
                <w:szCs w:val="22"/>
                <w:lang w:val="en-GB"/>
              </w:rPr>
              <w:t>20,097</w:t>
            </w:r>
          </w:p>
        </w:tc>
        <w:tc>
          <w:tcPr>
            <w:tcW w:w="1418" w:type="dxa"/>
            <w:vAlign w:val="bottom"/>
          </w:tcPr>
          <w:p w14:paraId="364425AB" w14:textId="77777777" w:rsidR="00903609" w:rsidRPr="00AD451B" w:rsidRDefault="00903609" w:rsidP="00903609">
            <w:pPr>
              <w:spacing w:line="480" w:lineRule="auto"/>
              <w:jc w:val="center"/>
              <w:rPr>
                <w:b/>
                <w:lang w:val="en-GB"/>
              </w:rPr>
            </w:pPr>
            <w:r w:rsidRPr="00AD451B">
              <w:rPr>
                <w:rFonts w:ascii="Calibri" w:hAnsi="Calibri"/>
                <w:color w:val="000000"/>
                <w:sz w:val="22"/>
                <w:szCs w:val="22"/>
                <w:lang w:val="en-GB"/>
              </w:rPr>
              <w:t>22,685</w:t>
            </w:r>
          </w:p>
        </w:tc>
        <w:tc>
          <w:tcPr>
            <w:tcW w:w="1418" w:type="dxa"/>
            <w:vAlign w:val="bottom"/>
          </w:tcPr>
          <w:p w14:paraId="6F65D335" w14:textId="77777777" w:rsidR="00903609" w:rsidRPr="00AD451B" w:rsidRDefault="00903609" w:rsidP="00903609">
            <w:pPr>
              <w:spacing w:line="480" w:lineRule="auto"/>
              <w:jc w:val="center"/>
              <w:rPr>
                <w:b/>
                <w:lang w:val="en-GB"/>
              </w:rPr>
            </w:pPr>
            <w:r w:rsidRPr="00AD451B">
              <w:rPr>
                <w:rFonts w:ascii="Calibri" w:hAnsi="Calibri"/>
                <w:color w:val="000000"/>
                <w:sz w:val="22"/>
                <w:szCs w:val="22"/>
                <w:lang w:val="en-GB"/>
              </w:rPr>
              <w:t>25,262</w:t>
            </w:r>
          </w:p>
        </w:tc>
      </w:tr>
      <w:tr w:rsidR="00903609" w:rsidRPr="00AD451B" w14:paraId="44F54B61" w14:textId="77777777" w:rsidTr="00903609">
        <w:tc>
          <w:tcPr>
            <w:tcW w:w="1428" w:type="dxa"/>
            <w:vAlign w:val="bottom"/>
          </w:tcPr>
          <w:p w14:paraId="19AA86C2" w14:textId="77777777" w:rsidR="00903609" w:rsidRPr="00AD451B" w:rsidRDefault="00903609" w:rsidP="00903609">
            <w:pPr>
              <w:spacing w:line="480" w:lineRule="auto"/>
              <w:jc w:val="center"/>
              <w:rPr>
                <w:rFonts w:ascii="Calibri" w:eastAsia="Times New Roman" w:hAnsi="Calibri" w:cs="Times New Roman"/>
                <w:b/>
                <w:color w:val="000000"/>
                <w:sz w:val="22"/>
                <w:szCs w:val="22"/>
                <w:lang w:val="en-GB"/>
              </w:rPr>
            </w:pPr>
            <w:r w:rsidRPr="00AD451B">
              <w:rPr>
                <w:rFonts w:ascii="Calibri" w:eastAsia="Times New Roman" w:hAnsi="Calibri" w:cs="Times New Roman"/>
                <w:b/>
                <w:color w:val="000000"/>
                <w:sz w:val="22"/>
                <w:szCs w:val="22"/>
                <w:lang w:val="en-GB"/>
              </w:rPr>
              <w:lastRenderedPageBreak/>
              <w:t>80,000</w:t>
            </w:r>
          </w:p>
        </w:tc>
        <w:tc>
          <w:tcPr>
            <w:tcW w:w="1418" w:type="dxa"/>
            <w:vAlign w:val="bottom"/>
          </w:tcPr>
          <w:p w14:paraId="3E009200" w14:textId="77777777" w:rsidR="00903609" w:rsidRPr="00AD451B" w:rsidRDefault="00903609" w:rsidP="00903609">
            <w:pPr>
              <w:spacing w:line="480" w:lineRule="auto"/>
              <w:jc w:val="center"/>
              <w:rPr>
                <w:b/>
                <w:lang w:val="en-GB"/>
              </w:rPr>
            </w:pPr>
            <w:r w:rsidRPr="00AD451B">
              <w:rPr>
                <w:rFonts w:ascii="Calibri" w:hAnsi="Calibri"/>
                <w:color w:val="000000"/>
                <w:sz w:val="22"/>
                <w:szCs w:val="22"/>
                <w:lang w:val="en-GB"/>
              </w:rPr>
              <w:t>17,017</w:t>
            </w:r>
          </w:p>
        </w:tc>
        <w:tc>
          <w:tcPr>
            <w:tcW w:w="1417" w:type="dxa"/>
            <w:vAlign w:val="bottom"/>
          </w:tcPr>
          <w:p w14:paraId="36EDD574" w14:textId="77777777" w:rsidR="00903609" w:rsidRPr="00AD451B" w:rsidRDefault="00903609" w:rsidP="00903609">
            <w:pPr>
              <w:spacing w:line="480" w:lineRule="auto"/>
              <w:jc w:val="center"/>
              <w:rPr>
                <w:b/>
                <w:lang w:val="en-GB"/>
              </w:rPr>
            </w:pPr>
            <w:r w:rsidRPr="00AD451B">
              <w:rPr>
                <w:rFonts w:ascii="Calibri" w:hAnsi="Calibri"/>
                <w:color w:val="000000"/>
                <w:sz w:val="22"/>
                <w:szCs w:val="22"/>
                <w:lang w:val="en-GB"/>
              </w:rPr>
              <w:t>19,998</w:t>
            </w:r>
          </w:p>
        </w:tc>
        <w:tc>
          <w:tcPr>
            <w:tcW w:w="1417" w:type="dxa"/>
            <w:vAlign w:val="bottom"/>
          </w:tcPr>
          <w:p w14:paraId="5D22999B" w14:textId="77777777" w:rsidR="00903609" w:rsidRPr="00AD451B" w:rsidRDefault="00903609" w:rsidP="00903609">
            <w:pPr>
              <w:spacing w:line="480" w:lineRule="auto"/>
              <w:jc w:val="center"/>
              <w:rPr>
                <w:b/>
                <w:lang w:val="en-GB"/>
              </w:rPr>
            </w:pPr>
            <w:r w:rsidRPr="00AD451B">
              <w:rPr>
                <w:rFonts w:ascii="Calibri" w:hAnsi="Calibri"/>
                <w:color w:val="000000"/>
                <w:sz w:val="22"/>
                <w:szCs w:val="22"/>
                <w:lang w:val="en-GB"/>
              </w:rPr>
              <w:t>22,967</w:t>
            </w:r>
          </w:p>
        </w:tc>
        <w:tc>
          <w:tcPr>
            <w:tcW w:w="1418" w:type="dxa"/>
            <w:vAlign w:val="bottom"/>
          </w:tcPr>
          <w:p w14:paraId="136BC0AE" w14:textId="77777777" w:rsidR="00903609" w:rsidRPr="00AD451B" w:rsidRDefault="00903609" w:rsidP="00903609">
            <w:pPr>
              <w:spacing w:line="480" w:lineRule="auto"/>
              <w:jc w:val="center"/>
              <w:rPr>
                <w:b/>
                <w:lang w:val="en-GB"/>
              </w:rPr>
            </w:pPr>
            <w:r w:rsidRPr="00AD451B">
              <w:rPr>
                <w:rFonts w:ascii="Calibri" w:hAnsi="Calibri"/>
                <w:color w:val="000000"/>
                <w:sz w:val="22"/>
                <w:szCs w:val="22"/>
                <w:lang w:val="en-GB"/>
              </w:rPr>
              <w:t>25,925</w:t>
            </w:r>
          </w:p>
        </w:tc>
        <w:tc>
          <w:tcPr>
            <w:tcW w:w="1418" w:type="dxa"/>
            <w:vAlign w:val="bottom"/>
          </w:tcPr>
          <w:p w14:paraId="27CB7FDF" w14:textId="77777777" w:rsidR="00903609" w:rsidRPr="00AD451B" w:rsidRDefault="00903609" w:rsidP="00903609">
            <w:pPr>
              <w:spacing w:line="480" w:lineRule="auto"/>
              <w:jc w:val="center"/>
              <w:rPr>
                <w:b/>
                <w:lang w:val="en-GB"/>
              </w:rPr>
            </w:pPr>
            <w:r w:rsidRPr="00AD451B">
              <w:rPr>
                <w:rFonts w:ascii="Calibri" w:hAnsi="Calibri"/>
                <w:color w:val="000000"/>
                <w:sz w:val="22"/>
                <w:szCs w:val="22"/>
                <w:lang w:val="en-GB"/>
              </w:rPr>
              <w:t>28,871</w:t>
            </w:r>
          </w:p>
        </w:tc>
      </w:tr>
      <w:tr w:rsidR="00903609" w:rsidRPr="00AD451B" w14:paraId="28D94983" w14:textId="77777777" w:rsidTr="00903609">
        <w:tc>
          <w:tcPr>
            <w:tcW w:w="1428" w:type="dxa"/>
            <w:vAlign w:val="bottom"/>
          </w:tcPr>
          <w:p w14:paraId="11599904" w14:textId="77777777" w:rsidR="00903609" w:rsidRPr="00AD451B" w:rsidRDefault="00903609" w:rsidP="00903609">
            <w:pPr>
              <w:spacing w:line="480" w:lineRule="auto"/>
              <w:jc w:val="center"/>
              <w:rPr>
                <w:rFonts w:ascii="Calibri" w:eastAsia="Times New Roman" w:hAnsi="Calibri" w:cs="Times New Roman"/>
                <w:b/>
                <w:color w:val="000000"/>
                <w:sz w:val="22"/>
                <w:szCs w:val="22"/>
                <w:lang w:val="en-GB"/>
              </w:rPr>
            </w:pPr>
            <w:r w:rsidRPr="00AD451B">
              <w:rPr>
                <w:rFonts w:ascii="Calibri" w:eastAsia="Times New Roman" w:hAnsi="Calibri" w:cs="Times New Roman"/>
                <w:b/>
                <w:color w:val="000000"/>
                <w:sz w:val="22"/>
                <w:szCs w:val="22"/>
                <w:lang w:val="en-GB"/>
              </w:rPr>
              <w:t>90,000</w:t>
            </w:r>
          </w:p>
        </w:tc>
        <w:tc>
          <w:tcPr>
            <w:tcW w:w="1418" w:type="dxa"/>
            <w:vAlign w:val="bottom"/>
          </w:tcPr>
          <w:p w14:paraId="354FDA96" w14:textId="77777777" w:rsidR="00903609" w:rsidRPr="00AD451B" w:rsidRDefault="00903609" w:rsidP="00903609">
            <w:pPr>
              <w:spacing w:line="480" w:lineRule="auto"/>
              <w:jc w:val="center"/>
              <w:rPr>
                <w:b/>
                <w:lang w:val="en-GB"/>
              </w:rPr>
            </w:pPr>
            <w:r w:rsidRPr="00AD451B">
              <w:rPr>
                <w:rFonts w:ascii="Calibri" w:hAnsi="Calibri"/>
                <w:color w:val="000000"/>
                <w:sz w:val="22"/>
                <w:szCs w:val="22"/>
                <w:lang w:val="en-GB"/>
              </w:rPr>
              <w:t>19,145</w:t>
            </w:r>
          </w:p>
        </w:tc>
        <w:tc>
          <w:tcPr>
            <w:tcW w:w="1417" w:type="dxa"/>
            <w:vAlign w:val="bottom"/>
          </w:tcPr>
          <w:p w14:paraId="538185CE" w14:textId="77777777" w:rsidR="00903609" w:rsidRPr="00AD451B" w:rsidRDefault="00903609" w:rsidP="00903609">
            <w:pPr>
              <w:spacing w:line="480" w:lineRule="auto"/>
              <w:jc w:val="center"/>
              <w:rPr>
                <w:b/>
                <w:lang w:val="en-GB"/>
              </w:rPr>
            </w:pPr>
            <w:r w:rsidRPr="00AD451B">
              <w:rPr>
                <w:rFonts w:ascii="Calibri" w:hAnsi="Calibri"/>
                <w:color w:val="000000"/>
                <w:sz w:val="22"/>
                <w:szCs w:val="22"/>
                <w:lang w:val="en-GB"/>
              </w:rPr>
              <w:t>22,498</w:t>
            </w:r>
          </w:p>
        </w:tc>
        <w:tc>
          <w:tcPr>
            <w:tcW w:w="1417" w:type="dxa"/>
            <w:vAlign w:val="bottom"/>
          </w:tcPr>
          <w:p w14:paraId="2AF71D75" w14:textId="77777777" w:rsidR="00903609" w:rsidRPr="00AD451B" w:rsidRDefault="00903609" w:rsidP="00903609">
            <w:pPr>
              <w:spacing w:line="480" w:lineRule="auto"/>
              <w:jc w:val="center"/>
              <w:rPr>
                <w:b/>
                <w:lang w:val="en-GB"/>
              </w:rPr>
            </w:pPr>
            <w:r w:rsidRPr="00AD451B">
              <w:rPr>
                <w:rFonts w:ascii="Calibri" w:hAnsi="Calibri"/>
                <w:color w:val="000000"/>
                <w:sz w:val="22"/>
                <w:szCs w:val="22"/>
                <w:lang w:val="en-GB"/>
              </w:rPr>
              <w:t>25,838</w:t>
            </w:r>
          </w:p>
        </w:tc>
        <w:tc>
          <w:tcPr>
            <w:tcW w:w="1418" w:type="dxa"/>
            <w:vAlign w:val="bottom"/>
          </w:tcPr>
          <w:p w14:paraId="6531E160" w14:textId="77777777" w:rsidR="00903609" w:rsidRPr="00AD451B" w:rsidRDefault="00903609" w:rsidP="00903609">
            <w:pPr>
              <w:spacing w:line="480" w:lineRule="auto"/>
              <w:jc w:val="center"/>
              <w:rPr>
                <w:b/>
                <w:lang w:val="en-GB"/>
              </w:rPr>
            </w:pPr>
            <w:r w:rsidRPr="00AD451B">
              <w:rPr>
                <w:rFonts w:ascii="Calibri" w:hAnsi="Calibri"/>
                <w:color w:val="000000"/>
                <w:sz w:val="22"/>
                <w:szCs w:val="22"/>
                <w:lang w:val="en-GB"/>
              </w:rPr>
              <w:t>29,166</w:t>
            </w:r>
          </w:p>
        </w:tc>
        <w:tc>
          <w:tcPr>
            <w:tcW w:w="1418" w:type="dxa"/>
            <w:vAlign w:val="bottom"/>
          </w:tcPr>
          <w:p w14:paraId="45A011D7" w14:textId="77777777" w:rsidR="00903609" w:rsidRPr="00AD451B" w:rsidRDefault="00903609" w:rsidP="00903609">
            <w:pPr>
              <w:spacing w:line="480" w:lineRule="auto"/>
              <w:jc w:val="center"/>
              <w:rPr>
                <w:b/>
                <w:lang w:val="en-GB"/>
              </w:rPr>
            </w:pPr>
            <w:r w:rsidRPr="00AD451B">
              <w:rPr>
                <w:rFonts w:ascii="Calibri" w:hAnsi="Calibri"/>
                <w:color w:val="000000"/>
                <w:sz w:val="22"/>
                <w:szCs w:val="22"/>
                <w:lang w:val="en-GB"/>
              </w:rPr>
              <w:t>32,480</w:t>
            </w:r>
          </w:p>
        </w:tc>
      </w:tr>
      <w:tr w:rsidR="00903609" w:rsidRPr="00AD451B" w14:paraId="50D1436A" w14:textId="77777777" w:rsidTr="00903609">
        <w:tc>
          <w:tcPr>
            <w:tcW w:w="1428" w:type="dxa"/>
            <w:vAlign w:val="bottom"/>
          </w:tcPr>
          <w:p w14:paraId="32E5E95A" w14:textId="77777777" w:rsidR="00903609" w:rsidRPr="00AD451B" w:rsidRDefault="00903609" w:rsidP="00903609">
            <w:pPr>
              <w:spacing w:line="480" w:lineRule="auto"/>
              <w:jc w:val="center"/>
              <w:rPr>
                <w:rFonts w:ascii="Calibri" w:eastAsia="Times New Roman" w:hAnsi="Calibri" w:cs="Times New Roman"/>
                <w:b/>
                <w:color w:val="000000"/>
                <w:sz w:val="22"/>
                <w:szCs w:val="22"/>
                <w:lang w:val="en-GB"/>
              </w:rPr>
            </w:pPr>
            <w:r w:rsidRPr="00AD451B">
              <w:rPr>
                <w:rFonts w:ascii="Calibri" w:eastAsia="Times New Roman" w:hAnsi="Calibri" w:cs="Times New Roman"/>
                <w:b/>
                <w:color w:val="000000"/>
                <w:sz w:val="22"/>
                <w:szCs w:val="22"/>
                <w:lang w:val="en-GB"/>
              </w:rPr>
              <w:t>100,000</w:t>
            </w:r>
          </w:p>
        </w:tc>
        <w:tc>
          <w:tcPr>
            <w:tcW w:w="1418" w:type="dxa"/>
            <w:vAlign w:val="bottom"/>
          </w:tcPr>
          <w:p w14:paraId="3935F577" w14:textId="77777777" w:rsidR="00903609" w:rsidRPr="00AD451B" w:rsidRDefault="00903609" w:rsidP="00903609">
            <w:pPr>
              <w:spacing w:line="480" w:lineRule="auto"/>
              <w:jc w:val="center"/>
              <w:rPr>
                <w:b/>
                <w:lang w:val="en-GB"/>
              </w:rPr>
            </w:pPr>
            <w:r w:rsidRPr="00AD451B">
              <w:rPr>
                <w:rFonts w:ascii="Calibri" w:hAnsi="Calibri"/>
                <w:color w:val="000000"/>
                <w:sz w:val="22"/>
                <w:szCs w:val="22"/>
                <w:lang w:val="en-GB"/>
              </w:rPr>
              <w:t>21,272</w:t>
            </w:r>
          </w:p>
        </w:tc>
        <w:tc>
          <w:tcPr>
            <w:tcW w:w="1417" w:type="dxa"/>
            <w:vAlign w:val="bottom"/>
          </w:tcPr>
          <w:p w14:paraId="6616B2EA" w14:textId="77777777" w:rsidR="00903609" w:rsidRPr="00AD451B" w:rsidRDefault="00903609" w:rsidP="00903609">
            <w:pPr>
              <w:spacing w:line="480" w:lineRule="auto"/>
              <w:jc w:val="center"/>
              <w:rPr>
                <w:b/>
                <w:lang w:val="en-GB"/>
              </w:rPr>
            </w:pPr>
            <w:r w:rsidRPr="00AD451B">
              <w:rPr>
                <w:rFonts w:ascii="Calibri" w:hAnsi="Calibri"/>
                <w:color w:val="000000"/>
                <w:sz w:val="22"/>
                <w:szCs w:val="22"/>
                <w:lang w:val="en-GB"/>
              </w:rPr>
              <w:t>24,998</w:t>
            </w:r>
          </w:p>
        </w:tc>
        <w:tc>
          <w:tcPr>
            <w:tcW w:w="1417" w:type="dxa"/>
            <w:vAlign w:val="bottom"/>
          </w:tcPr>
          <w:p w14:paraId="0FDAAF4D" w14:textId="77777777" w:rsidR="00903609" w:rsidRPr="00AD451B" w:rsidRDefault="00903609" w:rsidP="00903609">
            <w:pPr>
              <w:spacing w:line="480" w:lineRule="auto"/>
              <w:jc w:val="center"/>
              <w:rPr>
                <w:b/>
                <w:lang w:val="en-GB"/>
              </w:rPr>
            </w:pPr>
            <w:r w:rsidRPr="00AD451B">
              <w:rPr>
                <w:rFonts w:ascii="Calibri" w:hAnsi="Calibri"/>
                <w:color w:val="000000"/>
                <w:sz w:val="22"/>
                <w:szCs w:val="22"/>
                <w:lang w:val="en-GB"/>
              </w:rPr>
              <w:t>28,709</w:t>
            </w:r>
          </w:p>
        </w:tc>
        <w:tc>
          <w:tcPr>
            <w:tcW w:w="1418" w:type="dxa"/>
            <w:vAlign w:val="bottom"/>
          </w:tcPr>
          <w:p w14:paraId="5383CCDA" w14:textId="77777777" w:rsidR="00903609" w:rsidRPr="00AD451B" w:rsidRDefault="00903609" w:rsidP="00903609">
            <w:pPr>
              <w:spacing w:line="480" w:lineRule="auto"/>
              <w:jc w:val="center"/>
              <w:rPr>
                <w:b/>
                <w:lang w:val="en-GB"/>
              </w:rPr>
            </w:pPr>
            <w:r w:rsidRPr="00AD451B">
              <w:rPr>
                <w:rFonts w:ascii="Calibri" w:hAnsi="Calibri"/>
                <w:color w:val="000000"/>
                <w:sz w:val="22"/>
                <w:szCs w:val="22"/>
                <w:lang w:val="en-GB"/>
              </w:rPr>
              <w:t>32,406</w:t>
            </w:r>
          </w:p>
        </w:tc>
        <w:tc>
          <w:tcPr>
            <w:tcW w:w="1418" w:type="dxa"/>
            <w:vAlign w:val="bottom"/>
          </w:tcPr>
          <w:p w14:paraId="0256A3A9" w14:textId="77777777" w:rsidR="00903609" w:rsidRPr="00AD451B" w:rsidRDefault="00903609" w:rsidP="00903609">
            <w:pPr>
              <w:spacing w:line="480" w:lineRule="auto"/>
              <w:jc w:val="center"/>
              <w:rPr>
                <w:b/>
                <w:lang w:val="en-GB"/>
              </w:rPr>
            </w:pPr>
            <w:r w:rsidRPr="00AD451B">
              <w:rPr>
                <w:rFonts w:ascii="Calibri" w:hAnsi="Calibri"/>
                <w:color w:val="000000"/>
                <w:sz w:val="22"/>
                <w:szCs w:val="22"/>
                <w:lang w:val="en-GB"/>
              </w:rPr>
              <w:t>36,089</w:t>
            </w:r>
          </w:p>
        </w:tc>
      </w:tr>
    </w:tbl>
    <w:p w14:paraId="07141C1F" w14:textId="77777777" w:rsidR="00903609" w:rsidRPr="00AD451B" w:rsidRDefault="00903609" w:rsidP="00903609">
      <w:pPr>
        <w:spacing w:line="480" w:lineRule="auto"/>
        <w:rPr>
          <w:lang w:val="en-GB"/>
        </w:rPr>
      </w:pPr>
    </w:p>
    <w:p w14:paraId="0CB36533" w14:textId="77777777" w:rsidR="00E608A7" w:rsidRPr="00AD451B" w:rsidRDefault="00E608A7" w:rsidP="00511F60">
      <w:pPr>
        <w:spacing w:line="480" w:lineRule="auto"/>
        <w:rPr>
          <w:lang w:val="en-GB"/>
        </w:rPr>
      </w:pPr>
    </w:p>
    <w:p w14:paraId="593E1A3C" w14:textId="77777777" w:rsidR="00E608A7" w:rsidRPr="00AD451B" w:rsidRDefault="00E608A7" w:rsidP="00511F60">
      <w:pPr>
        <w:spacing w:line="480" w:lineRule="auto"/>
        <w:jc w:val="both"/>
        <w:rPr>
          <w:rFonts w:ascii="Arial" w:hAnsi="Arial" w:cs="Arial"/>
          <w:lang w:val="en-GB"/>
        </w:rPr>
      </w:pPr>
      <w:r w:rsidRPr="00AD451B">
        <w:rPr>
          <w:rFonts w:ascii="Arial" w:hAnsi="Arial" w:cs="Arial"/>
          <w:lang w:val="en-GB"/>
        </w:rPr>
        <w:t xml:space="preserve">For example, a health care system willing to pay up to £50,000 for each additional QALY gained by an intervention for OI patients, would be willing to pay £14,355 annually for such treatment achieving 75% of the potential improvement during the first year. After the appropriate discounting has been applied, this annual cost amounts to £123,561 over the 10 years of treatment which, expected to improve patient outcomes by </w:t>
      </w:r>
      <w:r>
        <w:rPr>
          <w:rFonts w:ascii="Arial" w:hAnsi="Arial" w:cs="Arial"/>
          <w:lang w:val="en-GB"/>
        </w:rPr>
        <w:t>a</w:t>
      </w:r>
      <w:r w:rsidRPr="00AD451B">
        <w:rPr>
          <w:rFonts w:ascii="Arial" w:hAnsi="Arial" w:cs="Arial"/>
          <w:lang w:val="en-GB"/>
        </w:rPr>
        <w:t xml:space="preserve">n average 2.47 QALYs over the period, would equate to an incremental cost-effectiveness ratio of £50,000 per QALY. Higher treatment costs would not be considered value for money for a health care system with this willingness to pay, whereas a lower cost would be likely to represent </w:t>
      </w:r>
      <w:r>
        <w:rPr>
          <w:rFonts w:ascii="Arial" w:hAnsi="Arial" w:cs="Arial"/>
          <w:lang w:val="en-GB"/>
        </w:rPr>
        <w:t>value for money for this health care system</w:t>
      </w:r>
      <w:r w:rsidRPr="00AD451B">
        <w:rPr>
          <w:rFonts w:ascii="Arial" w:hAnsi="Arial" w:cs="Arial"/>
          <w:lang w:val="en-GB"/>
        </w:rPr>
        <w:t xml:space="preserve">. </w:t>
      </w:r>
    </w:p>
    <w:p w14:paraId="3E815F4A" w14:textId="77777777" w:rsidR="00E608A7" w:rsidRPr="00AD451B" w:rsidRDefault="00E608A7" w:rsidP="00511F60">
      <w:pPr>
        <w:spacing w:line="480" w:lineRule="auto"/>
        <w:rPr>
          <w:b/>
          <w:lang w:val="en-GB"/>
        </w:rPr>
      </w:pPr>
    </w:p>
    <w:p w14:paraId="04317E84" w14:textId="77777777" w:rsidR="00E608A7" w:rsidRPr="00A8078D" w:rsidRDefault="00E608A7" w:rsidP="00511F60">
      <w:pPr>
        <w:spacing w:line="480" w:lineRule="auto"/>
        <w:jc w:val="both"/>
        <w:rPr>
          <w:rFonts w:ascii="Arial" w:hAnsi="Arial" w:cs="Arial"/>
          <w:b/>
          <w:lang w:val="en-GB"/>
        </w:rPr>
      </w:pPr>
      <w:r w:rsidRPr="00A8078D">
        <w:rPr>
          <w:rFonts w:ascii="Arial" w:hAnsi="Arial" w:cs="Arial"/>
          <w:b/>
          <w:lang w:val="en-GB"/>
        </w:rPr>
        <w:t xml:space="preserve">Discussion </w:t>
      </w:r>
    </w:p>
    <w:p w14:paraId="70EB3EE8" w14:textId="0ED79753" w:rsidR="00883E56" w:rsidRDefault="00E608A7" w:rsidP="00511F60">
      <w:pPr>
        <w:spacing w:line="480" w:lineRule="auto"/>
        <w:jc w:val="both"/>
        <w:rPr>
          <w:rFonts w:ascii="Arial" w:hAnsi="Arial" w:cs="Arial"/>
          <w:lang w:val="en-GB"/>
        </w:rPr>
      </w:pPr>
      <w:r w:rsidRPr="00AD451B">
        <w:rPr>
          <w:rFonts w:ascii="Arial" w:hAnsi="Arial" w:cs="Arial"/>
          <w:lang w:val="en-GB"/>
        </w:rPr>
        <w:t>This is the first study to quantitatively measure and compare the HRQoL of adults with OI, FD and XLH. We found on average the recruited participants with the three diseases have a high HRQoL, as shown by high mean health utility scores and correspondingly high mean VAS scores.</w:t>
      </w:r>
      <w:r w:rsidR="00883E56" w:rsidRPr="00883E56">
        <w:rPr>
          <w:rFonts w:ascii="Arial" w:hAnsi="Arial" w:cs="Arial"/>
          <w:lang w:val="en-GB"/>
        </w:rPr>
        <w:t xml:space="preserve"> </w:t>
      </w:r>
      <w:r w:rsidR="00903609">
        <w:rPr>
          <w:rFonts w:ascii="Arial" w:hAnsi="Arial" w:cs="Arial"/>
          <w:lang w:val="en-GB"/>
        </w:rPr>
        <w:t xml:space="preserve">There was </w:t>
      </w:r>
      <w:r w:rsidR="00883E56" w:rsidRPr="00AD451B">
        <w:rPr>
          <w:rFonts w:ascii="Arial" w:hAnsi="Arial" w:cs="Arial"/>
          <w:lang w:val="en-GB"/>
        </w:rPr>
        <w:t xml:space="preserve">no </w:t>
      </w:r>
      <w:r w:rsidR="004A015D">
        <w:rPr>
          <w:rFonts w:ascii="Arial" w:hAnsi="Arial" w:cs="Arial"/>
          <w:lang w:val="en-GB"/>
        </w:rPr>
        <w:t>significant difference</w:t>
      </w:r>
      <w:r w:rsidR="00883E56" w:rsidRPr="00AD451B">
        <w:rPr>
          <w:rFonts w:ascii="Arial" w:hAnsi="Arial" w:cs="Arial"/>
          <w:lang w:val="en-GB"/>
        </w:rPr>
        <w:t xml:space="preserve"> in distribution of EQ-5D-5L responses between the three rare disease groups. </w:t>
      </w:r>
    </w:p>
    <w:p w14:paraId="1EBA8E63" w14:textId="77777777" w:rsidR="00E608A7" w:rsidRPr="00AD451B" w:rsidRDefault="00E608A7" w:rsidP="00511F60">
      <w:pPr>
        <w:spacing w:line="480" w:lineRule="auto"/>
        <w:jc w:val="both"/>
        <w:rPr>
          <w:rFonts w:ascii="Arial" w:hAnsi="Arial" w:cs="Arial"/>
          <w:lang w:val="en-GB"/>
        </w:rPr>
      </w:pPr>
    </w:p>
    <w:p w14:paraId="75F5237C" w14:textId="7B7A0AF3" w:rsidR="00E608A7" w:rsidRPr="00AD451B" w:rsidRDefault="00E608A7" w:rsidP="00511F60">
      <w:pPr>
        <w:spacing w:line="480" w:lineRule="auto"/>
        <w:jc w:val="both"/>
        <w:rPr>
          <w:rFonts w:ascii="Arial" w:hAnsi="Arial" w:cs="Arial"/>
          <w:lang w:val="en-GB"/>
        </w:rPr>
      </w:pPr>
      <w:r w:rsidRPr="00AD451B">
        <w:rPr>
          <w:rFonts w:ascii="Arial" w:hAnsi="Arial" w:cs="Arial"/>
          <w:lang w:val="en-GB"/>
        </w:rPr>
        <w:lastRenderedPageBreak/>
        <w:t xml:space="preserve"> As the England value set for EQ-5D-5L response weighting has only recently been published (</w:t>
      </w:r>
      <w:r>
        <w:rPr>
          <w:rFonts w:ascii="Arial" w:hAnsi="Arial" w:cs="Arial"/>
          <w:lang w:val="en-GB"/>
        </w:rPr>
        <w:t>1</w:t>
      </w:r>
      <w:r w:rsidR="003834D8">
        <w:rPr>
          <w:rFonts w:ascii="Arial" w:hAnsi="Arial" w:cs="Arial"/>
          <w:lang w:val="en-GB"/>
        </w:rPr>
        <w:t>6</w:t>
      </w:r>
      <w:r w:rsidRPr="00AD451B">
        <w:rPr>
          <w:rFonts w:ascii="Arial" w:hAnsi="Arial" w:cs="Arial"/>
          <w:lang w:val="en-GB"/>
        </w:rPr>
        <w:t>), there are currently no studies of other disease groups or the general population to directly compare the health utility scores with. However, the VAS score, which does not require weighting to interpret, has been reported for other disease groups. A multi-country study of 3919 patients with a range of medical conditions reports a mean VAS score of 60 (SD 25) for adults with rheumatoid arthritis and 52 (SD 19) for those with chronic back pain.</w:t>
      </w:r>
      <w:r>
        <w:rPr>
          <w:rFonts w:ascii="Arial" w:hAnsi="Arial" w:cs="Arial"/>
          <w:noProof/>
          <w:lang w:val="en-GB"/>
        </w:rPr>
        <w:t>(1</w:t>
      </w:r>
      <w:r w:rsidR="003834D8">
        <w:rPr>
          <w:rFonts w:ascii="Arial" w:hAnsi="Arial" w:cs="Arial"/>
          <w:noProof/>
          <w:lang w:val="en-GB"/>
        </w:rPr>
        <w:t>8</w:t>
      </w:r>
      <w:r>
        <w:rPr>
          <w:rFonts w:ascii="Arial" w:hAnsi="Arial" w:cs="Arial"/>
          <w:noProof/>
          <w:lang w:val="en-GB"/>
        </w:rPr>
        <w:t>)</w:t>
      </w:r>
      <w:r w:rsidRPr="00AD451B">
        <w:rPr>
          <w:rFonts w:ascii="Arial" w:hAnsi="Arial" w:cs="Arial"/>
          <w:lang w:val="en-GB"/>
        </w:rPr>
        <w:t xml:space="preserve"> Non-institutionalised adults with cystic fibrosis reported a mean VAS score of 62 (SD 20).</w:t>
      </w:r>
      <w:r>
        <w:rPr>
          <w:rFonts w:ascii="Arial" w:hAnsi="Arial" w:cs="Arial"/>
          <w:noProof/>
          <w:lang w:val="en-GB"/>
        </w:rPr>
        <w:t>(1</w:t>
      </w:r>
      <w:r w:rsidR="003834D8">
        <w:rPr>
          <w:rFonts w:ascii="Arial" w:hAnsi="Arial" w:cs="Arial"/>
          <w:noProof/>
          <w:lang w:val="en-GB"/>
        </w:rPr>
        <w:t>9</w:t>
      </w:r>
      <w:r>
        <w:rPr>
          <w:rFonts w:ascii="Arial" w:hAnsi="Arial" w:cs="Arial"/>
          <w:noProof/>
          <w:lang w:val="en-GB"/>
        </w:rPr>
        <w:t>)</w:t>
      </w:r>
      <w:r w:rsidRPr="00AD451B">
        <w:rPr>
          <w:rFonts w:ascii="Arial" w:hAnsi="Arial" w:cs="Arial"/>
          <w:lang w:val="en-GB"/>
        </w:rPr>
        <w:t xml:space="preserve"> The mean scores for OI (67.6 SD 22.7), FD (64.4 SD 26.1) and XLH (63.3 SD 25.2) were marginally higher than these conditions.  </w:t>
      </w:r>
    </w:p>
    <w:p w14:paraId="585F3CBD" w14:textId="77777777" w:rsidR="00E608A7" w:rsidRPr="00AD451B" w:rsidRDefault="00E608A7" w:rsidP="00511F60">
      <w:pPr>
        <w:spacing w:line="480" w:lineRule="auto"/>
        <w:jc w:val="both"/>
        <w:rPr>
          <w:rFonts w:ascii="Arial" w:hAnsi="Arial" w:cs="Arial"/>
          <w:lang w:val="en-GB"/>
        </w:rPr>
      </w:pPr>
    </w:p>
    <w:p w14:paraId="18AB404E" w14:textId="3FDBCC8B" w:rsidR="00787112" w:rsidRDefault="00E608A7" w:rsidP="00511F60">
      <w:pPr>
        <w:spacing w:line="480" w:lineRule="auto"/>
        <w:jc w:val="both"/>
        <w:rPr>
          <w:rFonts w:ascii="Arial" w:hAnsi="Arial" w:cs="Arial"/>
          <w:lang w:val="en-GB"/>
        </w:rPr>
      </w:pPr>
      <w:r w:rsidRPr="00AD451B">
        <w:rPr>
          <w:rFonts w:ascii="Arial" w:hAnsi="Arial" w:cs="Arial"/>
          <w:lang w:val="en-GB"/>
        </w:rPr>
        <w:t xml:space="preserve">When analysing the individual domains of the EQ-5D-5L we found </w:t>
      </w:r>
      <w:r>
        <w:rPr>
          <w:rFonts w:ascii="Arial" w:hAnsi="Arial" w:cs="Arial"/>
          <w:lang w:val="en-GB"/>
        </w:rPr>
        <w:t xml:space="preserve">that </w:t>
      </w:r>
      <w:r w:rsidR="00511F60">
        <w:rPr>
          <w:rFonts w:ascii="Arial" w:hAnsi="Arial" w:cs="Arial"/>
          <w:lang w:val="en-GB"/>
        </w:rPr>
        <w:t>for all three</w:t>
      </w:r>
      <w:r w:rsidR="00552EAF">
        <w:rPr>
          <w:rFonts w:ascii="Arial" w:hAnsi="Arial" w:cs="Arial"/>
          <w:lang w:val="en-GB"/>
        </w:rPr>
        <w:t xml:space="preserve"> </w:t>
      </w:r>
      <w:r w:rsidRPr="00AD451B">
        <w:rPr>
          <w:rFonts w:ascii="Arial" w:hAnsi="Arial" w:cs="Arial"/>
          <w:lang w:val="en-GB"/>
        </w:rPr>
        <w:t>disease groups pain</w:t>
      </w:r>
      <w:r>
        <w:rPr>
          <w:rFonts w:ascii="Arial" w:hAnsi="Arial" w:cs="Arial"/>
          <w:lang w:val="en-GB"/>
        </w:rPr>
        <w:t>/</w:t>
      </w:r>
      <w:r w:rsidRPr="00AD451B">
        <w:rPr>
          <w:rFonts w:ascii="Arial" w:hAnsi="Arial" w:cs="Arial"/>
          <w:lang w:val="en-GB"/>
        </w:rPr>
        <w:t xml:space="preserve">discomfort was the most problematic domain followed by mobility, suggesting these </w:t>
      </w:r>
      <w:r w:rsidR="00E740D6">
        <w:rPr>
          <w:rFonts w:ascii="Arial" w:hAnsi="Arial" w:cs="Arial"/>
          <w:lang w:val="en-GB"/>
        </w:rPr>
        <w:t>aspects of life</w:t>
      </w:r>
      <w:r w:rsidRPr="00AD451B">
        <w:rPr>
          <w:rFonts w:ascii="Arial" w:hAnsi="Arial" w:cs="Arial"/>
          <w:lang w:val="en-GB"/>
        </w:rPr>
        <w:t xml:space="preserve"> should be prioritized for health care research and interventions.  Despite physical burdens, </w:t>
      </w:r>
      <w:r w:rsidR="00E740D6">
        <w:rPr>
          <w:rFonts w:ascii="Arial" w:hAnsi="Arial" w:cs="Arial"/>
          <w:lang w:val="en-GB"/>
        </w:rPr>
        <w:t xml:space="preserve">the majority of </w:t>
      </w:r>
      <w:r w:rsidRPr="00AD451B">
        <w:rPr>
          <w:rFonts w:ascii="Arial" w:hAnsi="Arial" w:cs="Arial"/>
          <w:lang w:val="en-GB"/>
        </w:rPr>
        <w:t>participants reported low levels of anxiety</w:t>
      </w:r>
      <w:r>
        <w:rPr>
          <w:rFonts w:ascii="Arial" w:hAnsi="Arial" w:cs="Arial"/>
          <w:lang w:val="en-GB"/>
        </w:rPr>
        <w:t>/</w:t>
      </w:r>
      <w:r w:rsidRPr="00AD451B">
        <w:rPr>
          <w:rFonts w:ascii="Arial" w:hAnsi="Arial" w:cs="Arial"/>
          <w:lang w:val="en-GB"/>
        </w:rPr>
        <w:t>depression</w:t>
      </w:r>
      <w:r w:rsidR="00552EAF">
        <w:rPr>
          <w:rFonts w:ascii="Arial" w:hAnsi="Arial" w:cs="Arial"/>
          <w:lang w:val="en-GB"/>
        </w:rPr>
        <w:t xml:space="preserve">, and </w:t>
      </w:r>
      <w:r w:rsidR="00E740D6">
        <w:rPr>
          <w:rFonts w:ascii="Arial" w:hAnsi="Arial" w:cs="Arial"/>
          <w:lang w:val="en-GB"/>
        </w:rPr>
        <w:t xml:space="preserve">minimal </w:t>
      </w:r>
      <w:r w:rsidR="00552EAF">
        <w:rPr>
          <w:rFonts w:ascii="Arial" w:hAnsi="Arial" w:cs="Arial"/>
          <w:lang w:val="en-GB"/>
        </w:rPr>
        <w:t xml:space="preserve">problems with self-care and usual activity across all three conditions. </w:t>
      </w:r>
      <w:r w:rsidRPr="00AD451B">
        <w:rPr>
          <w:rFonts w:ascii="Arial" w:hAnsi="Arial" w:cs="Arial"/>
          <w:lang w:val="en-GB"/>
        </w:rPr>
        <w:t>This could indicate the ability of adults with OI, XLH and FD to cope with the physical limitations of their chronic disease and prevent these from impinging on their</w:t>
      </w:r>
      <w:r w:rsidR="00E740D6">
        <w:rPr>
          <w:rFonts w:ascii="Arial" w:hAnsi="Arial" w:cs="Arial"/>
          <w:lang w:val="en-GB"/>
        </w:rPr>
        <w:t xml:space="preserve"> daily life and</w:t>
      </w:r>
      <w:r w:rsidRPr="00AD451B">
        <w:rPr>
          <w:rFonts w:ascii="Arial" w:hAnsi="Arial" w:cs="Arial"/>
          <w:lang w:val="en-GB"/>
        </w:rPr>
        <w:t xml:space="preserve"> mental health. </w:t>
      </w:r>
      <w:r w:rsidR="006B3BB7">
        <w:rPr>
          <w:rFonts w:ascii="Arial" w:hAnsi="Arial" w:cs="Arial"/>
          <w:lang w:val="en-GB"/>
        </w:rPr>
        <w:t>P</w:t>
      </w:r>
      <w:r w:rsidRPr="00AD451B">
        <w:rPr>
          <w:rFonts w:ascii="Arial" w:hAnsi="Arial" w:cs="Arial"/>
          <w:lang w:val="en-GB"/>
        </w:rPr>
        <w:t>revious studies</w:t>
      </w:r>
      <w:r w:rsidR="00E001B5">
        <w:rPr>
          <w:rFonts w:ascii="Arial" w:hAnsi="Arial" w:cs="Arial"/>
          <w:lang w:val="en-GB"/>
        </w:rPr>
        <w:t xml:space="preserve"> </w:t>
      </w:r>
      <w:r>
        <w:rPr>
          <w:rFonts w:ascii="Arial" w:hAnsi="Arial" w:cs="Arial"/>
          <w:noProof/>
          <w:lang w:val="en-GB"/>
        </w:rPr>
        <w:t>(</w:t>
      </w:r>
      <w:r w:rsidR="00E001B5" w:rsidRPr="00E001B5">
        <w:rPr>
          <w:rFonts w:ascii="Arial" w:hAnsi="Arial" w:cs="Arial"/>
          <w:noProof/>
          <w:lang w:val="en-GB"/>
        </w:rPr>
        <w:t>8</w:t>
      </w:r>
      <w:r w:rsidRPr="00E001B5">
        <w:rPr>
          <w:rFonts w:ascii="Arial" w:hAnsi="Arial" w:cs="Arial"/>
          <w:noProof/>
          <w:lang w:val="en-GB"/>
        </w:rPr>
        <w:t xml:space="preserve">, </w:t>
      </w:r>
      <w:r w:rsidR="00E001B5" w:rsidRPr="00E001B5">
        <w:rPr>
          <w:rFonts w:ascii="Arial" w:hAnsi="Arial" w:cs="Arial"/>
          <w:noProof/>
          <w:lang w:val="en-GB"/>
        </w:rPr>
        <w:t>11</w:t>
      </w:r>
      <w:r w:rsidR="006B3BB7" w:rsidRPr="00E001B5">
        <w:rPr>
          <w:rFonts w:ascii="Arial" w:hAnsi="Arial" w:cs="Arial"/>
          <w:noProof/>
          <w:lang w:val="en-GB"/>
        </w:rPr>
        <w:t xml:space="preserve">, </w:t>
      </w:r>
      <w:r w:rsidR="003834D8">
        <w:rPr>
          <w:rFonts w:ascii="Arial" w:hAnsi="Arial" w:cs="Arial"/>
          <w:lang w:val="en-GB"/>
        </w:rPr>
        <w:t>20</w:t>
      </w:r>
      <w:r>
        <w:rPr>
          <w:rFonts w:ascii="Arial" w:hAnsi="Arial" w:cs="Arial"/>
          <w:noProof/>
          <w:lang w:val="en-GB"/>
        </w:rPr>
        <w:t>)</w:t>
      </w:r>
      <w:r w:rsidRPr="00AD451B">
        <w:rPr>
          <w:rFonts w:ascii="Arial" w:hAnsi="Arial" w:cs="Arial"/>
          <w:lang w:val="en-GB"/>
        </w:rPr>
        <w:t xml:space="preserve"> of adults with FD and OI </w:t>
      </w:r>
      <w:r w:rsidR="006B3BB7">
        <w:rPr>
          <w:rFonts w:ascii="Arial" w:hAnsi="Arial" w:cs="Arial"/>
          <w:lang w:val="en-GB"/>
        </w:rPr>
        <w:t xml:space="preserve">have also </w:t>
      </w:r>
      <w:r w:rsidR="006E2D87">
        <w:rPr>
          <w:rFonts w:ascii="Arial" w:hAnsi="Arial" w:cs="Arial"/>
          <w:lang w:val="en-GB"/>
        </w:rPr>
        <w:t xml:space="preserve">reported </w:t>
      </w:r>
      <w:r w:rsidR="006B3BB7">
        <w:rPr>
          <w:rFonts w:ascii="Arial" w:hAnsi="Arial" w:cs="Arial"/>
          <w:lang w:val="en-GB"/>
        </w:rPr>
        <w:t xml:space="preserve">high </w:t>
      </w:r>
      <w:r w:rsidR="006E2D87">
        <w:rPr>
          <w:rFonts w:ascii="Arial" w:hAnsi="Arial" w:cs="Arial"/>
          <w:lang w:val="en-GB"/>
        </w:rPr>
        <w:t xml:space="preserve">life satisfaction </w:t>
      </w:r>
      <w:r w:rsidR="006B3BB7">
        <w:rPr>
          <w:rFonts w:ascii="Arial" w:hAnsi="Arial" w:cs="Arial"/>
          <w:lang w:val="en-GB"/>
        </w:rPr>
        <w:t>and ‘resilience’.</w:t>
      </w:r>
    </w:p>
    <w:p w14:paraId="0AD36010" w14:textId="77777777" w:rsidR="00787112" w:rsidRDefault="00787112" w:rsidP="00511F60">
      <w:pPr>
        <w:spacing w:line="480" w:lineRule="auto"/>
        <w:jc w:val="both"/>
        <w:rPr>
          <w:rFonts w:ascii="Arial" w:hAnsi="Arial" w:cs="Arial"/>
          <w:lang w:val="en-GB"/>
        </w:rPr>
      </w:pPr>
    </w:p>
    <w:p w14:paraId="58A9FFB1" w14:textId="0B92F994" w:rsidR="00E608A7" w:rsidRPr="004C702B" w:rsidRDefault="00787112" w:rsidP="004C702B">
      <w:pPr>
        <w:widowControl w:val="0"/>
        <w:autoSpaceDE w:val="0"/>
        <w:autoSpaceDN w:val="0"/>
        <w:adjustRightInd w:val="0"/>
        <w:spacing w:line="480" w:lineRule="auto"/>
        <w:jc w:val="both"/>
        <w:rPr>
          <w:rFonts w:ascii="Arial" w:hAnsi="Arial" w:cs="Arial"/>
        </w:rPr>
      </w:pPr>
      <w:r>
        <w:rPr>
          <w:rFonts w:ascii="Arial" w:hAnsi="Arial" w:cs="Arial"/>
          <w:lang w:val="en-GB"/>
        </w:rPr>
        <w:t>One study has reported the distribution of EQ-5D-5L responses of 996 adults from the general population in England</w:t>
      </w:r>
      <w:r w:rsidR="00E001B5">
        <w:rPr>
          <w:rFonts w:ascii="Arial" w:hAnsi="Arial" w:cs="Arial"/>
          <w:lang w:val="en-GB"/>
        </w:rPr>
        <w:t xml:space="preserve"> (2</w:t>
      </w:r>
      <w:r w:rsidR="003834D8">
        <w:rPr>
          <w:rFonts w:ascii="Arial" w:hAnsi="Arial" w:cs="Arial"/>
          <w:lang w:val="en-GB"/>
        </w:rPr>
        <w:t>1</w:t>
      </w:r>
      <w:r w:rsidR="00E001B5">
        <w:rPr>
          <w:rFonts w:ascii="Arial" w:hAnsi="Arial" w:cs="Arial"/>
          <w:lang w:val="en-GB"/>
        </w:rPr>
        <w:t>)</w:t>
      </w:r>
      <w:r w:rsidR="003862AC" w:rsidRPr="00E001B5">
        <w:rPr>
          <w:rFonts w:ascii="Arial" w:hAnsi="Arial" w:cs="Arial"/>
          <w:lang w:val="en-GB"/>
        </w:rPr>
        <w:t>.</w:t>
      </w:r>
      <w:r w:rsidR="00472915" w:rsidRPr="00B14B4F">
        <w:rPr>
          <w:rFonts w:ascii="Arial" w:hAnsi="Arial" w:cs="Arial"/>
          <w:lang w:val="en-GB"/>
        </w:rPr>
        <w:t xml:space="preserve"> </w:t>
      </w:r>
      <w:r w:rsidR="00472915">
        <w:rPr>
          <w:rFonts w:ascii="Arial" w:hAnsi="Arial" w:cs="Arial"/>
          <w:lang w:val="en-GB"/>
        </w:rPr>
        <w:t>The age range of the general population sample was similar</w:t>
      </w:r>
      <w:r w:rsidR="001506E9">
        <w:rPr>
          <w:rFonts w:ascii="Arial" w:hAnsi="Arial" w:cs="Arial"/>
          <w:lang w:val="en-GB"/>
        </w:rPr>
        <w:t xml:space="preserve"> to our cohort and 26.9% </w:t>
      </w:r>
      <w:r w:rsidR="00472915">
        <w:rPr>
          <w:rFonts w:ascii="Arial" w:hAnsi="Arial" w:cs="Arial"/>
          <w:lang w:val="en-GB"/>
        </w:rPr>
        <w:t xml:space="preserve">had a long lasting </w:t>
      </w:r>
      <w:r w:rsidR="00472915">
        <w:rPr>
          <w:rFonts w:ascii="Arial" w:hAnsi="Arial" w:cs="Arial"/>
          <w:lang w:val="en-GB"/>
        </w:rPr>
        <w:lastRenderedPageBreak/>
        <w:t>illness.</w:t>
      </w:r>
      <w:r w:rsidR="003862AC">
        <w:rPr>
          <w:rFonts w:ascii="Arial" w:hAnsi="Arial" w:cs="Arial"/>
          <w:lang w:val="en-GB"/>
        </w:rPr>
        <w:t xml:space="preserve"> Overall the respondents with OI, FD and XLH reported more problems in every domain compared to the general population. Twenty-six percent of the general population</w:t>
      </w:r>
      <w:r w:rsidR="00472915">
        <w:rPr>
          <w:rFonts w:ascii="Arial" w:hAnsi="Arial" w:cs="Arial"/>
          <w:lang w:val="en-GB"/>
        </w:rPr>
        <w:t xml:space="preserve"> sample</w:t>
      </w:r>
      <w:r w:rsidR="003862AC">
        <w:rPr>
          <w:rFonts w:ascii="Arial" w:hAnsi="Arial" w:cs="Arial"/>
          <w:lang w:val="en-GB"/>
        </w:rPr>
        <w:t xml:space="preserve"> reported any problems (level 2 and above)</w:t>
      </w:r>
      <w:r w:rsidR="00472915">
        <w:rPr>
          <w:rFonts w:ascii="Arial" w:hAnsi="Arial" w:cs="Arial"/>
          <w:lang w:val="en-GB"/>
        </w:rPr>
        <w:t xml:space="preserve"> with mobility</w:t>
      </w:r>
      <w:r w:rsidR="003862AC">
        <w:rPr>
          <w:rFonts w:ascii="Arial" w:hAnsi="Arial" w:cs="Arial"/>
          <w:lang w:val="en-GB"/>
        </w:rPr>
        <w:t xml:space="preserve"> compared with </w:t>
      </w:r>
      <w:r w:rsidR="00472915">
        <w:rPr>
          <w:rFonts w:ascii="Arial" w:hAnsi="Arial" w:cs="Arial"/>
          <w:lang w:val="en-GB"/>
        </w:rPr>
        <w:t xml:space="preserve">81% of OI, 56% of FD and 83% of XLH respondents. </w:t>
      </w:r>
      <w:r w:rsidR="00F93ECF">
        <w:rPr>
          <w:rFonts w:ascii="Arial" w:hAnsi="Arial" w:cs="Arial"/>
          <w:lang w:val="en-GB"/>
        </w:rPr>
        <w:t xml:space="preserve">Likewise 41.6% of the general population reported pain and discomfort problems in comparison with 94% overall across the three disease groups. Though self-care was the domain that caused least problems for our </w:t>
      </w:r>
      <w:r w:rsidR="001506E9">
        <w:rPr>
          <w:rFonts w:ascii="Arial" w:hAnsi="Arial" w:cs="Arial"/>
          <w:lang w:val="en-GB"/>
        </w:rPr>
        <w:t>respondents, the percentage reporting</w:t>
      </w:r>
      <w:r w:rsidR="00F93ECF">
        <w:rPr>
          <w:rFonts w:ascii="Arial" w:hAnsi="Arial" w:cs="Arial"/>
          <w:lang w:val="en-GB"/>
        </w:rPr>
        <w:t xml:space="preserve"> any problems</w:t>
      </w:r>
      <w:r w:rsidR="001506E9">
        <w:rPr>
          <w:rFonts w:ascii="Arial" w:hAnsi="Arial" w:cs="Arial"/>
          <w:lang w:val="en-GB"/>
        </w:rPr>
        <w:t xml:space="preserve"> (overall 41%)</w:t>
      </w:r>
      <w:r w:rsidR="00F93ECF">
        <w:rPr>
          <w:rFonts w:ascii="Arial" w:hAnsi="Arial" w:cs="Arial"/>
          <w:lang w:val="en-GB"/>
        </w:rPr>
        <w:t xml:space="preserve"> was still much higher than in the general population</w:t>
      </w:r>
      <w:r w:rsidR="00B14B4F">
        <w:rPr>
          <w:rFonts w:ascii="Arial" w:hAnsi="Arial" w:cs="Arial"/>
          <w:lang w:val="en-GB"/>
        </w:rPr>
        <w:t xml:space="preserve"> sample</w:t>
      </w:r>
      <w:r w:rsidR="00F93ECF">
        <w:rPr>
          <w:rFonts w:ascii="Arial" w:hAnsi="Arial" w:cs="Arial"/>
          <w:lang w:val="en-GB"/>
        </w:rPr>
        <w:t xml:space="preserve"> (9.2%)</w:t>
      </w:r>
      <w:r w:rsidR="001506E9">
        <w:rPr>
          <w:rFonts w:ascii="Arial" w:hAnsi="Arial" w:cs="Arial"/>
          <w:lang w:val="en-GB"/>
        </w:rPr>
        <w:t xml:space="preserve">. This suggests that although this study reports overall high HRQoL in OI, FD and XLH, adults do have more problems in </w:t>
      </w:r>
      <w:r w:rsidR="00820727">
        <w:rPr>
          <w:rFonts w:ascii="Arial" w:hAnsi="Arial" w:cs="Arial"/>
          <w:lang w:val="en-GB"/>
        </w:rPr>
        <w:t>health-related</w:t>
      </w:r>
      <w:r w:rsidR="001506E9">
        <w:rPr>
          <w:rFonts w:ascii="Arial" w:hAnsi="Arial" w:cs="Arial"/>
          <w:lang w:val="en-GB"/>
        </w:rPr>
        <w:t xml:space="preserve"> aspects of </w:t>
      </w:r>
      <w:r w:rsidR="00820727">
        <w:rPr>
          <w:rFonts w:ascii="Arial" w:hAnsi="Arial" w:cs="Arial"/>
          <w:lang w:val="en-GB"/>
        </w:rPr>
        <w:t xml:space="preserve">their </w:t>
      </w:r>
      <w:r w:rsidR="001506E9">
        <w:rPr>
          <w:rFonts w:ascii="Arial" w:hAnsi="Arial" w:cs="Arial"/>
          <w:lang w:val="en-GB"/>
        </w:rPr>
        <w:t xml:space="preserve">life, compared with the general population, for which necessary support should be available. </w:t>
      </w:r>
    </w:p>
    <w:p w14:paraId="0CC30BC3" w14:textId="77777777" w:rsidR="00E608A7" w:rsidRPr="00AD451B" w:rsidRDefault="00E608A7" w:rsidP="00511F60">
      <w:pPr>
        <w:spacing w:line="480" w:lineRule="auto"/>
        <w:jc w:val="both"/>
        <w:rPr>
          <w:rFonts w:ascii="Arial" w:hAnsi="Arial" w:cs="Arial"/>
          <w:lang w:val="en-GB"/>
        </w:rPr>
      </w:pPr>
    </w:p>
    <w:p w14:paraId="31A6DEE1" w14:textId="2B7F1940" w:rsidR="00E608A7" w:rsidRPr="00AD451B" w:rsidRDefault="00E608A7" w:rsidP="00511F60">
      <w:pPr>
        <w:spacing w:line="480" w:lineRule="auto"/>
        <w:jc w:val="both"/>
        <w:rPr>
          <w:rFonts w:ascii="Arial" w:hAnsi="Arial" w:cs="Arial"/>
          <w:lang w:val="en-GB"/>
        </w:rPr>
      </w:pPr>
      <w:r w:rsidRPr="00AD451B">
        <w:rPr>
          <w:rFonts w:ascii="Arial" w:hAnsi="Arial" w:cs="Arial"/>
          <w:lang w:val="en-GB"/>
        </w:rPr>
        <w:t xml:space="preserve">The overall high utility scores for participants with OI, FD and XLH, and </w:t>
      </w:r>
      <w:r>
        <w:rPr>
          <w:rFonts w:ascii="Arial" w:hAnsi="Arial" w:cs="Arial"/>
          <w:lang w:val="en-GB"/>
        </w:rPr>
        <w:t xml:space="preserve">the fact that these were </w:t>
      </w:r>
      <w:r w:rsidRPr="00AD451B">
        <w:rPr>
          <w:rFonts w:ascii="Arial" w:hAnsi="Arial" w:cs="Arial"/>
          <w:lang w:val="en-GB"/>
        </w:rPr>
        <w:t xml:space="preserve">higher than VAS scores for some participants suggest the </w:t>
      </w:r>
      <w:r>
        <w:rPr>
          <w:rFonts w:ascii="Arial" w:hAnsi="Arial" w:cs="Arial"/>
          <w:lang w:val="en-GB"/>
        </w:rPr>
        <w:t xml:space="preserve">health utility estimated through the </w:t>
      </w:r>
      <w:r w:rsidRPr="00AD451B">
        <w:rPr>
          <w:rFonts w:ascii="Arial" w:hAnsi="Arial" w:cs="Arial"/>
          <w:lang w:val="en-GB"/>
        </w:rPr>
        <w:t>EQ-5D-5L instrument may be over-estimating HRQoL and failing to capture the negative effects of these rare chronic conditions. This has been shown for other physical and psychological chronic conditions.</w:t>
      </w:r>
      <w:r>
        <w:rPr>
          <w:rFonts w:ascii="Arial" w:hAnsi="Arial" w:cs="Arial"/>
          <w:noProof/>
          <w:lang w:val="en-GB"/>
        </w:rPr>
        <w:t>(</w:t>
      </w:r>
      <w:r w:rsidR="00E001B5">
        <w:rPr>
          <w:rFonts w:ascii="Arial" w:hAnsi="Arial" w:cs="Arial"/>
          <w:noProof/>
          <w:lang w:val="en-GB"/>
        </w:rPr>
        <w:t>2</w:t>
      </w:r>
      <w:r w:rsidR="003834D8">
        <w:rPr>
          <w:rFonts w:ascii="Arial" w:hAnsi="Arial" w:cs="Arial"/>
          <w:noProof/>
          <w:lang w:val="en-GB"/>
        </w:rPr>
        <w:t>2</w:t>
      </w:r>
      <w:r>
        <w:rPr>
          <w:rFonts w:ascii="Arial" w:hAnsi="Arial" w:cs="Arial"/>
          <w:noProof/>
          <w:lang w:val="en-GB"/>
        </w:rPr>
        <w:t>)</w:t>
      </w:r>
      <w:r w:rsidRPr="00AD451B">
        <w:rPr>
          <w:rFonts w:ascii="Arial" w:hAnsi="Arial" w:cs="Arial"/>
          <w:lang w:val="en-GB"/>
        </w:rPr>
        <w:t xml:space="preserve"> When health utility is then used for resource allocation for these conditions underfunding would be likely. This is therefore an argument for disease specific HRQoL measures, which would be more sensitive in detecting changes in HRQoL for a particular condition. Such tool</w:t>
      </w:r>
      <w:r>
        <w:rPr>
          <w:rFonts w:ascii="Arial" w:hAnsi="Arial" w:cs="Arial"/>
          <w:lang w:val="en-GB"/>
        </w:rPr>
        <w:t>s</w:t>
      </w:r>
      <w:r w:rsidRPr="00AD451B">
        <w:rPr>
          <w:rFonts w:ascii="Arial" w:hAnsi="Arial" w:cs="Arial"/>
          <w:lang w:val="en-GB"/>
        </w:rPr>
        <w:t xml:space="preserve"> </w:t>
      </w:r>
      <w:r>
        <w:rPr>
          <w:rFonts w:ascii="Arial" w:hAnsi="Arial" w:cs="Arial"/>
          <w:lang w:val="en-GB"/>
        </w:rPr>
        <w:t>are</w:t>
      </w:r>
      <w:r w:rsidRPr="00AD451B">
        <w:rPr>
          <w:rFonts w:ascii="Arial" w:hAnsi="Arial" w:cs="Arial"/>
          <w:lang w:val="en-GB"/>
        </w:rPr>
        <w:t xml:space="preserve"> currently being developed for children with OI</w:t>
      </w:r>
      <w:r>
        <w:rPr>
          <w:rFonts w:ascii="Arial" w:hAnsi="Arial" w:cs="Arial"/>
          <w:noProof/>
          <w:lang w:val="en-GB"/>
        </w:rPr>
        <w:t>(</w:t>
      </w:r>
      <w:r w:rsidR="00E001B5">
        <w:rPr>
          <w:rFonts w:ascii="Arial" w:hAnsi="Arial" w:cs="Arial"/>
          <w:noProof/>
          <w:lang w:val="en-GB"/>
        </w:rPr>
        <w:t>2</w:t>
      </w:r>
      <w:r w:rsidR="003834D8">
        <w:rPr>
          <w:rFonts w:ascii="Arial" w:hAnsi="Arial" w:cs="Arial"/>
          <w:noProof/>
          <w:lang w:val="en-GB"/>
        </w:rPr>
        <w:t>3</w:t>
      </w:r>
      <w:r>
        <w:rPr>
          <w:rFonts w:ascii="Arial" w:hAnsi="Arial" w:cs="Arial"/>
          <w:noProof/>
          <w:lang w:val="en-GB"/>
        </w:rPr>
        <w:t>)</w:t>
      </w:r>
      <w:r w:rsidRPr="00AD451B">
        <w:rPr>
          <w:rFonts w:ascii="Arial" w:hAnsi="Arial" w:cs="Arial"/>
          <w:lang w:val="en-GB"/>
        </w:rPr>
        <w:t xml:space="preserve"> and we suggest similar instruments would be useful for adults with rare bone diseases. </w:t>
      </w:r>
    </w:p>
    <w:p w14:paraId="69C12990" w14:textId="77777777" w:rsidR="00E608A7" w:rsidRPr="00AD451B" w:rsidRDefault="00E608A7" w:rsidP="00511F60">
      <w:pPr>
        <w:spacing w:line="480" w:lineRule="auto"/>
        <w:jc w:val="both"/>
        <w:rPr>
          <w:rFonts w:ascii="Arial" w:hAnsi="Arial" w:cs="Arial"/>
          <w:lang w:val="en-GB"/>
        </w:rPr>
      </w:pPr>
    </w:p>
    <w:p w14:paraId="3264729F" w14:textId="77777777" w:rsidR="00E608A7" w:rsidRPr="00AD451B" w:rsidRDefault="00E608A7" w:rsidP="00511F60">
      <w:pPr>
        <w:spacing w:line="480" w:lineRule="auto"/>
        <w:jc w:val="both"/>
        <w:rPr>
          <w:rFonts w:ascii="Arial" w:hAnsi="Arial" w:cs="Arial"/>
          <w:lang w:val="en-GB"/>
        </w:rPr>
      </w:pPr>
      <w:r w:rsidRPr="00AD451B">
        <w:rPr>
          <w:rFonts w:ascii="Arial" w:hAnsi="Arial" w:cs="Arial"/>
          <w:lang w:val="en-GB"/>
        </w:rPr>
        <w:lastRenderedPageBreak/>
        <w:t xml:space="preserve">Nonetheless we were able to use the EQ-5D-5L utility scores of OI participants to generate a cost-utility simulation, which has not previously been done. This gives industries and health-care providers a target cost figure for the development of treatments and services for adults with OI based on various cost-effectiveness thresholds.   However, undoubtedly, given that rare disease individuals face an adverse scarcity of available treatments, any decision of reimbursement of an intervention should consider, in addition to its value for money, other ethical issues of inequality in access to adequate health care. </w:t>
      </w:r>
    </w:p>
    <w:p w14:paraId="528E1A86" w14:textId="77777777" w:rsidR="00E608A7" w:rsidRPr="00AD451B" w:rsidRDefault="00E608A7" w:rsidP="00511F60">
      <w:pPr>
        <w:spacing w:line="480" w:lineRule="auto"/>
        <w:jc w:val="both"/>
        <w:rPr>
          <w:rFonts w:ascii="Arial" w:hAnsi="Arial" w:cs="Arial"/>
          <w:lang w:val="en-GB"/>
        </w:rPr>
      </w:pPr>
    </w:p>
    <w:p w14:paraId="7DC0D1B2" w14:textId="77777777" w:rsidR="00787112" w:rsidRDefault="00E608A7" w:rsidP="00883E56">
      <w:pPr>
        <w:spacing w:line="480" w:lineRule="auto"/>
        <w:jc w:val="both"/>
        <w:rPr>
          <w:rFonts w:ascii="Arial" w:hAnsi="Arial" w:cs="Arial"/>
          <w:lang w:val="en-GB"/>
        </w:rPr>
      </w:pPr>
      <w:r w:rsidRPr="00AD451B">
        <w:rPr>
          <w:rFonts w:ascii="Arial" w:hAnsi="Arial" w:cs="Arial"/>
          <w:lang w:val="en-GB"/>
        </w:rPr>
        <w:t xml:space="preserve">We acknowledge the limitations in the study methodology. The narrow range of baseline characteristics that were collected from participants limits the findings of this study. Factors such as disease severity, previous treatments, occupation, marriage status and education may have confounding effects on HRQoL. </w:t>
      </w:r>
    </w:p>
    <w:p w14:paraId="2D60D656" w14:textId="77777777" w:rsidR="00787112" w:rsidRDefault="00787112" w:rsidP="00883E56">
      <w:pPr>
        <w:spacing w:line="480" w:lineRule="auto"/>
        <w:jc w:val="both"/>
        <w:rPr>
          <w:rFonts w:ascii="Arial" w:hAnsi="Arial" w:cs="Arial"/>
          <w:lang w:val="en-GB"/>
        </w:rPr>
      </w:pPr>
    </w:p>
    <w:p w14:paraId="0F5078F5" w14:textId="35549F51" w:rsidR="00883E56" w:rsidRDefault="00E608A7" w:rsidP="00883E56">
      <w:pPr>
        <w:spacing w:line="480" w:lineRule="auto"/>
        <w:jc w:val="both"/>
        <w:rPr>
          <w:rFonts w:ascii="Arial" w:hAnsi="Arial" w:cs="Arial"/>
          <w:lang w:val="en-GB"/>
        </w:rPr>
      </w:pPr>
      <w:r w:rsidRPr="00AD451B">
        <w:rPr>
          <w:rFonts w:ascii="Arial" w:hAnsi="Arial" w:cs="Arial"/>
          <w:lang w:val="en-GB"/>
        </w:rPr>
        <w:t>Other potential sources of bias were that most participants were fe</w:t>
      </w:r>
      <w:r>
        <w:rPr>
          <w:rFonts w:ascii="Arial" w:hAnsi="Arial" w:cs="Arial"/>
          <w:lang w:val="en-GB"/>
        </w:rPr>
        <w:t>male and participants were self-</w:t>
      </w:r>
      <w:r w:rsidRPr="00AD451B">
        <w:rPr>
          <w:rFonts w:ascii="Arial" w:hAnsi="Arial" w:cs="Arial"/>
          <w:lang w:val="en-GB"/>
        </w:rPr>
        <w:t>referred via the Internet, which may indicate a better health state</w:t>
      </w:r>
      <w:r>
        <w:rPr>
          <w:rFonts w:ascii="Arial" w:hAnsi="Arial" w:cs="Arial"/>
          <w:lang w:val="en-GB"/>
        </w:rPr>
        <w:t xml:space="preserve"> or bias towards younger computer literate population who may have fewer mobility/ self-care problems</w:t>
      </w:r>
      <w:r w:rsidRPr="00AD451B">
        <w:rPr>
          <w:rFonts w:ascii="Arial" w:hAnsi="Arial" w:cs="Arial"/>
          <w:lang w:val="en-GB"/>
        </w:rPr>
        <w:t>. However, the large heterogeneity in results suggests that the participants were not only those with better health and confirms the RUDY platform captures a wide spectrum of disease severity.</w:t>
      </w:r>
      <w:r w:rsidR="00883E56">
        <w:rPr>
          <w:rFonts w:ascii="Arial" w:hAnsi="Arial" w:cs="Arial"/>
          <w:lang w:val="en-GB"/>
        </w:rPr>
        <w:t xml:space="preserve">  The wide range of health utility and VAS scores reported </w:t>
      </w:r>
      <w:r w:rsidR="002178AD">
        <w:rPr>
          <w:rFonts w:ascii="Arial" w:hAnsi="Arial" w:cs="Arial"/>
          <w:lang w:val="en-GB"/>
        </w:rPr>
        <w:t xml:space="preserve">also shows the high variability in how OI, FD and XLH </w:t>
      </w:r>
      <w:r w:rsidR="00883E56">
        <w:rPr>
          <w:rFonts w:ascii="Arial" w:hAnsi="Arial" w:cs="Arial"/>
          <w:lang w:val="en-GB"/>
        </w:rPr>
        <w:t xml:space="preserve">impact on individuals’ HRQoL. </w:t>
      </w:r>
      <w:r w:rsidR="00787112">
        <w:rPr>
          <w:rFonts w:ascii="Arial" w:hAnsi="Arial" w:cs="Arial"/>
          <w:lang w:val="en-GB"/>
        </w:rPr>
        <w:t xml:space="preserve">It may be important </w:t>
      </w:r>
      <w:r w:rsidR="00883E56">
        <w:rPr>
          <w:rFonts w:ascii="Arial" w:hAnsi="Arial" w:cs="Arial"/>
          <w:lang w:val="en-GB"/>
        </w:rPr>
        <w:t xml:space="preserve">to assess patient’s self-reported HRQoL alongside objective </w:t>
      </w:r>
      <w:r w:rsidR="00883E56">
        <w:rPr>
          <w:rFonts w:ascii="Arial" w:hAnsi="Arial" w:cs="Arial"/>
          <w:lang w:val="en-GB"/>
        </w:rPr>
        <w:lastRenderedPageBreak/>
        <w:t>physical measures to determine disease severity.</w:t>
      </w:r>
      <w:r w:rsidR="002178AD">
        <w:rPr>
          <w:rFonts w:ascii="Arial" w:hAnsi="Arial" w:cs="Arial"/>
          <w:lang w:val="en-GB"/>
        </w:rPr>
        <w:t xml:space="preserve"> Tosi et al </w:t>
      </w:r>
      <w:r w:rsidR="00CF4608">
        <w:rPr>
          <w:rFonts w:ascii="Arial" w:hAnsi="Arial" w:cs="Arial"/>
          <w:lang w:val="en-GB"/>
        </w:rPr>
        <w:t>(</w:t>
      </w:r>
      <w:r w:rsidR="003834D8">
        <w:rPr>
          <w:rFonts w:ascii="Arial" w:hAnsi="Arial" w:cs="Arial"/>
          <w:lang w:val="en-GB"/>
        </w:rPr>
        <w:t>20</w:t>
      </w:r>
      <w:r w:rsidR="00CF4608">
        <w:rPr>
          <w:rFonts w:ascii="Arial" w:hAnsi="Arial" w:cs="Arial"/>
          <w:lang w:val="en-GB"/>
        </w:rPr>
        <w:t xml:space="preserve">) </w:t>
      </w:r>
      <w:r w:rsidR="002178AD">
        <w:rPr>
          <w:rFonts w:ascii="Arial" w:hAnsi="Arial" w:cs="Arial"/>
          <w:lang w:val="en-GB"/>
        </w:rPr>
        <w:t xml:space="preserve">also suggested this in a study of adults with OI. They </w:t>
      </w:r>
      <w:r w:rsidR="00883E56">
        <w:rPr>
          <w:rFonts w:ascii="Arial" w:hAnsi="Arial" w:cs="Arial"/>
          <w:lang w:val="en-GB"/>
        </w:rPr>
        <w:t xml:space="preserve">found self-reported symptom severity to not always correlate with disease severity classified using height and Sillence’s types. </w:t>
      </w:r>
    </w:p>
    <w:p w14:paraId="3F0E729A" w14:textId="520E897A" w:rsidR="00883E56" w:rsidRDefault="00883E56" w:rsidP="00511F60">
      <w:pPr>
        <w:spacing w:line="480" w:lineRule="auto"/>
        <w:jc w:val="both"/>
        <w:rPr>
          <w:rFonts w:ascii="Arial" w:hAnsi="Arial" w:cs="Arial"/>
          <w:lang w:val="en-GB"/>
        </w:rPr>
      </w:pPr>
    </w:p>
    <w:p w14:paraId="69DAF35E" w14:textId="77777777" w:rsidR="00883E56" w:rsidRDefault="00883E56" w:rsidP="00511F60">
      <w:pPr>
        <w:spacing w:line="480" w:lineRule="auto"/>
        <w:jc w:val="both"/>
        <w:rPr>
          <w:rFonts w:ascii="Arial" w:hAnsi="Arial" w:cs="Arial"/>
          <w:lang w:val="en-GB"/>
        </w:rPr>
      </w:pPr>
    </w:p>
    <w:p w14:paraId="14E08840" w14:textId="12BCEAC2" w:rsidR="002178AD" w:rsidRDefault="00E608A7" w:rsidP="00511F60">
      <w:pPr>
        <w:spacing w:line="480" w:lineRule="auto"/>
        <w:jc w:val="both"/>
        <w:rPr>
          <w:rFonts w:ascii="Arial" w:hAnsi="Arial" w:cs="Arial"/>
          <w:lang w:val="en-GB"/>
        </w:rPr>
      </w:pPr>
      <w:r w:rsidRPr="00AD451B">
        <w:rPr>
          <w:rFonts w:ascii="Arial" w:hAnsi="Arial" w:cs="Arial"/>
          <w:lang w:val="en-GB"/>
        </w:rPr>
        <w:t>For OI participants varying disease severity was expected, as participants with different types of OI were included.</w:t>
      </w:r>
      <w:r w:rsidR="00C220C6">
        <w:rPr>
          <w:rFonts w:ascii="Arial" w:hAnsi="Arial" w:cs="Arial"/>
          <w:lang w:val="en-GB"/>
        </w:rPr>
        <w:t xml:space="preserve"> However, 34% of respondents with OI had an unknown type</w:t>
      </w:r>
      <w:r w:rsidR="00883E56">
        <w:rPr>
          <w:rFonts w:ascii="Arial" w:hAnsi="Arial" w:cs="Arial"/>
          <w:lang w:val="en-GB"/>
        </w:rPr>
        <w:t xml:space="preserve"> and </w:t>
      </w:r>
      <w:r w:rsidR="002178AD">
        <w:rPr>
          <w:rFonts w:ascii="Arial" w:hAnsi="Arial" w:cs="Arial"/>
          <w:lang w:val="en-GB"/>
        </w:rPr>
        <w:t>analysing the relationship between HRQoL</w:t>
      </w:r>
      <w:r w:rsidR="00883E56">
        <w:rPr>
          <w:rFonts w:ascii="Arial" w:hAnsi="Arial" w:cs="Arial"/>
          <w:lang w:val="en-GB"/>
        </w:rPr>
        <w:t xml:space="preserve"> Sill</w:t>
      </w:r>
      <w:r w:rsidR="002178AD">
        <w:rPr>
          <w:rFonts w:ascii="Arial" w:hAnsi="Arial" w:cs="Arial"/>
          <w:lang w:val="en-GB"/>
        </w:rPr>
        <w:t>ence’s types was not possible</w:t>
      </w:r>
      <w:r w:rsidRPr="00AD451B">
        <w:rPr>
          <w:rFonts w:ascii="Arial" w:hAnsi="Arial" w:cs="Arial"/>
          <w:lang w:val="en-GB"/>
        </w:rPr>
        <w:t xml:space="preserve"> </w:t>
      </w:r>
      <w:r w:rsidR="00261204">
        <w:rPr>
          <w:rFonts w:ascii="Arial" w:hAnsi="Arial" w:cs="Arial"/>
          <w:lang w:val="en-GB"/>
        </w:rPr>
        <w:t>due to</w:t>
      </w:r>
      <w:r w:rsidR="002178AD">
        <w:rPr>
          <w:rFonts w:ascii="Arial" w:hAnsi="Arial" w:cs="Arial"/>
          <w:lang w:val="en-GB"/>
        </w:rPr>
        <w:t xml:space="preserve"> the</w:t>
      </w:r>
      <w:r w:rsidR="00261204">
        <w:rPr>
          <w:rFonts w:ascii="Arial" w:hAnsi="Arial" w:cs="Arial"/>
          <w:lang w:val="en-GB"/>
        </w:rPr>
        <w:t xml:space="preserve"> small sample size. </w:t>
      </w:r>
      <w:r w:rsidR="00903BB7">
        <w:rPr>
          <w:rFonts w:ascii="Arial" w:hAnsi="Arial" w:cs="Arial"/>
          <w:lang w:val="en-GB"/>
        </w:rPr>
        <w:t>In the OI group t</w:t>
      </w:r>
      <w:r w:rsidR="00707FDB">
        <w:rPr>
          <w:rFonts w:ascii="Arial" w:hAnsi="Arial" w:cs="Arial"/>
          <w:lang w:val="en-GB"/>
        </w:rPr>
        <w:t>here w</w:t>
      </w:r>
      <w:r w:rsidR="00903BB7">
        <w:rPr>
          <w:rFonts w:ascii="Arial" w:hAnsi="Arial" w:cs="Arial"/>
          <w:lang w:val="en-GB"/>
        </w:rPr>
        <w:t xml:space="preserve">as statistically significant </w:t>
      </w:r>
      <w:r w:rsidR="00707FDB">
        <w:rPr>
          <w:rFonts w:ascii="Arial" w:hAnsi="Arial" w:cs="Arial"/>
          <w:lang w:val="en-GB"/>
        </w:rPr>
        <w:t xml:space="preserve">correlation between age and </w:t>
      </w:r>
      <w:r w:rsidR="00903BB7">
        <w:rPr>
          <w:rFonts w:ascii="Arial" w:hAnsi="Arial" w:cs="Arial"/>
          <w:lang w:val="en-GB"/>
        </w:rPr>
        <w:t>decreasing VAS score as well as age and increasing problems with usual activity</w:t>
      </w:r>
      <w:r w:rsidR="00524216">
        <w:rPr>
          <w:rFonts w:ascii="Arial" w:hAnsi="Arial" w:cs="Arial"/>
          <w:lang w:val="en-GB"/>
        </w:rPr>
        <w:t xml:space="preserve">. This suggests </w:t>
      </w:r>
      <w:r w:rsidR="00744A26">
        <w:rPr>
          <w:rFonts w:ascii="Arial" w:hAnsi="Arial" w:cs="Arial"/>
          <w:lang w:val="en-GB"/>
        </w:rPr>
        <w:t>reduced self</w:t>
      </w:r>
      <w:r w:rsidR="00CF4608">
        <w:rPr>
          <w:rFonts w:ascii="Arial" w:hAnsi="Arial" w:cs="Arial"/>
          <w:lang w:val="en-GB"/>
        </w:rPr>
        <w:t>-</w:t>
      </w:r>
      <w:r w:rsidR="00744A26">
        <w:rPr>
          <w:rFonts w:ascii="Arial" w:hAnsi="Arial" w:cs="Arial"/>
          <w:lang w:val="en-GB"/>
        </w:rPr>
        <w:t xml:space="preserve">perceived quality of life with age might be related to worsening health, which restricts their usual activities. </w:t>
      </w:r>
    </w:p>
    <w:p w14:paraId="2CE2F417" w14:textId="77777777" w:rsidR="002178AD" w:rsidRDefault="002178AD" w:rsidP="00511F60">
      <w:pPr>
        <w:spacing w:line="480" w:lineRule="auto"/>
        <w:jc w:val="both"/>
        <w:rPr>
          <w:rFonts w:ascii="Arial" w:hAnsi="Arial" w:cs="Arial"/>
          <w:lang w:val="en-GB"/>
        </w:rPr>
      </w:pPr>
    </w:p>
    <w:p w14:paraId="309C5B93" w14:textId="04D7CDEE" w:rsidR="00E608A7" w:rsidRPr="00AD451B" w:rsidRDefault="00E608A7" w:rsidP="00511F60">
      <w:pPr>
        <w:spacing w:line="480" w:lineRule="auto"/>
        <w:jc w:val="both"/>
        <w:rPr>
          <w:rFonts w:ascii="Arial" w:hAnsi="Arial" w:cs="Arial"/>
          <w:lang w:val="en-GB"/>
        </w:rPr>
      </w:pPr>
      <w:r w:rsidRPr="00AD451B">
        <w:rPr>
          <w:rFonts w:ascii="Arial" w:hAnsi="Arial" w:cs="Arial"/>
          <w:lang w:val="en-GB"/>
        </w:rPr>
        <w:t>The EQ</w:t>
      </w:r>
      <w:r>
        <w:rPr>
          <w:rFonts w:ascii="Arial" w:hAnsi="Arial" w:cs="Arial"/>
          <w:lang w:val="en-GB"/>
        </w:rPr>
        <w:t>-</w:t>
      </w:r>
      <w:r w:rsidRPr="00AD451B">
        <w:rPr>
          <w:rFonts w:ascii="Arial" w:hAnsi="Arial" w:cs="Arial"/>
          <w:lang w:val="en-GB"/>
        </w:rPr>
        <w:t>5D</w:t>
      </w:r>
      <w:r>
        <w:rPr>
          <w:rFonts w:ascii="Arial" w:hAnsi="Arial" w:cs="Arial"/>
          <w:lang w:val="en-GB"/>
        </w:rPr>
        <w:t>-</w:t>
      </w:r>
      <w:r w:rsidRPr="00AD451B">
        <w:rPr>
          <w:rFonts w:ascii="Arial" w:hAnsi="Arial" w:cs="Arial"/>
          <w:lang w:val="en-GB"/>
        </w:rPr>
        <w:t>5L is a generic health</w:t>
      </w:r>
      <w:r>
        <w:rPr>
          <w:rFonts w:ascii="Arial" w:hAnsi="Arial" w:cs="Arial"/>
          <w:lang w:val="en-GB"/>
        </w:rPr>
        <w:t>-related</w:t>
      </w:r>
      <w:r w:rsidRPr="00AD451B">
        <w:rPr>
          <w:rFonts w:ascii="Arial" w:hAnsi="Arial" w:cs="Arial"/>
          <w:lang w:val="en-GB"/>
        </w:rPr>
        <w:t xml:space="preserve"> quality of life measure and may not capture specific problems </w:t>
      </w:r>
      <w:r>
        <w:rPr>
          <w:rFonts w:ascii="Arial" w:hAnsi="Arial" w:cs="Arial"/>
          <w:lang w:val="en-GB"/>
        </w:rPr>
        <w:t>for</w:t>
      </w:r>
      <w:r w:rsidRPr="00AD451B">
        <w:rPr>
          <w:rFonts w:ascii="Arial" w:hAnsi="Arial" w:cs="Arial"/>
          <w:lang w:val="en-GB"/>
        </w:rPr>
        <w:t xml:space="preserve"> this patient group; also the utility score is derived from the preferences </w:t>
      </w:r>
      <w:r>
        <w:rPr>
          <w:rFonts w:ascii="Arial" w:hAnsi="Arial" w:cs="Arial"/>
          <w:lang w:val="en-GB"/>
        </w:rPr>
        <w:t xml:space="preserve">of the </w:t>
      </w:r>
      <w:r w:rsidRPr="00AD451B">
        <w:rPr>
          <w:rFonts w:ascii="Arial" w:hAnsi="Arial" w:cs="Arial"/>
          <w:lang w:val="en-GB"/>
        </w:rPr>
        <w:t xml:space="preserve">general population and the preferences for patients with rare bone diseases may differ, giving different utility weights. </w:t>
      </w:r>
    </w:p>
    <w:p w14:paraId="7971E885" w14:textId="77777777" w:rsidR="00E608A7" w:rsidRPr="00AD451B" w:rsidRDefault="00E608A7" w:rsidP="00511F60">
      <w:pPr>
        <w:spacing w:line="480" w:lineRule="auto"/>
        <w:jc w:val="both"/>
        <w:rPr>
          <w:rFonts w:ascii="Arial" w:hAnsi="Arial" w:cs="Arial"/>
          <w:lang w:val="en-GB"/>
        </w:rPr>
      </w:pPr>
    </w:p>
    <w:p w14:paraId="21F23985" w14:textId="1B50FF28" w:rsidR="00E608A7" w:rsidRPr="00AD451B" w:rsidRDefault="00E608A7" w:rsidP="00511F60">
      <w:pPr>
        <w:spacing w:line="480" w:lineRule="auto"/>
        <w:jc w:val="both"/>
        <w:rPr>
          <w:rFonts w:ascii="Arial" w:hAnsi="Arial" w:cs="Arial"/>
          <w:lang w:val="en-GB"/>
        </w:rPr>
      </w:pPr>
      <w:r w:rsidRPr="00AD451B">
        <w:rPr>
          <w:rFonts w:ascii="Arial" w:hAnsi="Arial" w:cs="Arial"/>
          <w:lang w:val="en-GB"/>
        </w:rPr>
        <w:t xml:space="preserve">The economic simulation is also limited by a small sample size. As the analysis was conducted for 15 patients only, this simulation is expectedly associated to a significant level of uncertainty, confirmed by a wide 95% confidence interval over the QALY gain per person. Nevertheless, this simulation does not intend to provide hard estimates contextualized by the </w:t>
      </w:r>
      <w:r w:rsidRPr="00AD451B">
        <w:rPr>
          <w:rFonts w:ascii="Arial" w:hAnsi="Arial" w:cs="Arial"/>
          <w:lang w:val="en-GB"/>
        </w:rPr>
        <w:lastRenderedPageBreak/>
        <w:t xml:space="preserve">uncertainty reflected in confidence intervals, but rather to examine possible scenarios of treatment costs based on expected levels of health gains under the assumptions made and based on unique health utility scores reported by a small group of individuals with rare musculoskeletal diseases. </w:t>
      </w:r>
      <w:r w:rsidR="00C069EB">
        <w:rPr>
          <w:rFonts w:ascii="Arial" w:hAnsi="Arial" w:cs="Arial"/>
          <w:lang w:val="en-GB"/>
        </w:rPr>
        <w:t xml:space="preserve">Further replication studies are needed to validate these findings in larger numbers. </w:t>
      </w:r>
    </w:p>
    <w:p w14:paraId="649558E3" w14:textId="77777777" w:rsidR="00E608A7" w:rsidRDefault="00E608A7" w:rsidP="00511F60">
      <w:pPr>
        <w:spacing w:line="480" w:lineRule="auto"/>
        <w:jc w:val="both"/>
        <w:rPr>
          <w:rFonts w:ascii="Arial" w:hAnsi="Arial" w:cs="Arial"/>
          <w:lang w:val="en-GB"/>
        </w:rPr>
      </w:pPr>
    </w:p>
    <w:p w14:paraId="507FF7CC" w14:textId="77777777" w:rsidR="00E608A7" w:rsidRPr="00D712C2" w:rsidRDefault="00E608A7" w:rsidP="00511F60">
      <w:pPr>
        <w:spacing w:line="480" w:lineRule="auto"/>
        <w:jc w:val="both"/>
        <w:rPr>
          <w:rFonts w:ascii="Arial" w:hAnsi="Arial" w:cs="Arial"/>
          <w:b/>
          <w:lang w:val="en-GB"/>
        </w:rPr>
      </w:pPr>
      <w:r w:rsidRPr="00D712C2">
        <w:rPr>
          <w:rFonts w:ascii="Arial" w:hAnsi="Arial" w:cs="Arial"/>
          <w:b/>
          <w:lang w:val="en-GB"/>
        </w:rPr>
        <w:t>Conclusion</w:t>
      </w:r>
    </w:p>
    <w:p w14:paraId="58522633" w14:textId="77777777" w:rsidR="00E608A7" w:rsidRPr="00AD451B" w:rsidRDefault="00E608A7" w:rsidP="00511F60">
      <w:pPr>
        <w:spacing w:line="480" w:lineRule="auto"/>
        <w:jc w:val="both"/>
        <w:rPr>
          <w:rFonts w:ascii="Arial" w:hAnsi="Arial" w:cs="Arial"/>
          <w:lang w:val="en-GB"/>
        </w:rPr>
      </w:pPr>
      <w:r w:rsidRPr="00AD451B">
        <w:rPr>
          <w:rFonts w:ascii="Arial" w:hAnsi="Arial" w:cs="Arial"/>
          <w:lang w:val="en-GB"/>
        </w:rPr>
        <w:t>In conclusion</w:t>
      </w:r>
      <w:r>
        <w:rPr>
          <w:rFonts w:ascii="Arial" w:hAnsi="Arial" w:cs="Arial"/>
          <w:lang w:val="en-GB"/>
        </w:rPr>
        <w:t>,</w:t>
      </w:r>
      <w:r w:rsidRPr="00AD451B">
        <w:rPr>
          <w:rFonts w:ascii="Arial" w:hAnsi="Arial" w:cs="Arial"/>
          <w:lang w:val="en-GB"/>
        </w:rPr>
        <w:t xml:space="preserve"> we compared and found similar HRQoL of adults with OI, FD </w:t>
      </w:r>
      <w:r w:rsidRPr="00EC24BB">
        <w:rPr>
          <w:rFonts w:ascii="Arial" w:hAnsi="Arial" w:cs="Arial"/>
          <w:i/>
          <w:lang w:val="en-GB"/>
        </w:rPr>
        <w:t>and</w:t>
      </w:r>
      <w:r w:rsidRPr="00AD451B">
        <w:rPr>
          <w:rFonts w:ascii="Arial" w:hAnsi="Arial" w:cs="Arial"/>
          <w:lang w:val="en-GB"/>
        </w:rPr>
        <w:t xml:space="preserve"> XLH. Our findings show that overall, despite the burdens of their rare chronic conditions, adults with OI, FD and XLH maintain a good quality of life. For these patients</w:t>
      </w:r>
      <w:r>
        <w:rPr>
          <w:rFonts w:ascii="Arial" w:hAnsi="Arial" w:cs="Arial"/>
          <w:lang w:val="en-GB"/>
        </w:rPr>
        <w:t>,</w:t>
      </w:r>
      <w:r w:rsidRPr="00AD451B">
        <w:rPr>
          <w:rFonts w:ascii="Arial" w:hAnsi="Arial" w:cs="Arial"/>
          <w:lang w:val="en-GB"/>
        </w:rPr>
        <w:t xml:space="preserve"> pain</w:t>
      </w:r>
      <w:r>
        <w:rPr>
          <w:rFonts w:ascii="Arial" w:hAnsi="Arial" w:cs="Arial"/>
          <w:lang w:val="en-GB"/>
        </w:rPr>
        <w:t>/</w:t>
      </w:r>
      <w:r w:rsidRPr="00AD451B">
        <w:rPr>
          <w:rFonts w:ascii="Arial" w:hAnsi="Arial" w:cs="Arial"/>
          <w:lang w:val="en-GB"/>
        </w:rPr>
        <w:t xml:space="preserve">discomfort is the aspect of life future treatment developments should aim to improve. Our findings suggest disease-specific HRQoL measures for these conditions would be beneficial and an area for future research. Finally we have, for the first time, conducted a simulation to examine the maximum cost that a health care system would be willing to pay for a potential treatment for OI based on various cost-effectiveness thresholds.  </w:t>
      </w:r>
    </w:p>
    <w:p w14:paraId="62904B3E" w14:textId="77777777" w:rsidR="00E608A7" w:rsidRDefault="00E608A7" w:rsidP="00511F60">
      <w:pPr>
        <w:spacing w:line="480" w:lineRule="auto"/>
        <w:jc w:val="both"/>
        <w:rPr>
          <w:rFonts w:ascii="Arial" w:hAnsi="Arial" w:cs="Arial"/>
          <w:b/>
          <w:lang w:val="en-GB"/>
        </w:rPr>
      </w:pPr>
    </w:p>
    <w:p w14:paraId="54A365C2" w14:textId="77777777" w:rsidR="00E608A7" w:rsidRDefault="00E608A7" w:rsidP="00511F60">
      <w:pPr>
        <w:spacing w:line="480" w:lineRule="auto"/>
        <w:jc w:val="both"/>
        <w:rPr>
          <w:rFonts w:ascii="Arial" w:hAnsi="Arial" w:cs="Arial"/>
          <w:b/>
          <w:lang w:val="en-GB"/>
        </w:rPr>
      </w:pPr>
      <w:r>
        <w:rPr>
          <w:rFonts w:ascii="Arial" w:hAnsi="Arial" w:cs="Arial"/>
          <w:b/>
          <w:lang w:val="en-GB"/>
        </w:rPr>
        <w:t>Abbreviations</w:t>
      </w:r>
    </w:p>
    <w:p w14:paraId="1B83B452" w14:textId="162203C9" w:rsidR="00E608A7" w:rsidRDefault="00E608A7" w:rsidP="00511F60">
      <w:pPr>
        <w:spacing w:line="480" w:lineRule="auto"/>
        <w:jc w:val="both"/>
        <w:rPr>
          <w:rFonts w:ascii="Arial" w:hAnsi="Arial" w:cs="Arial"/>
          <w:lang w:val="en-GB"/>
        </w:rPr>
      </w:pPr>
      <w:r>
        <w:rPr>
          <w:rFonts w:ascii="Arial" w:hAnsi="Arial" w:cs="Arial"/>
          <w:lang w:val="en-GB"/>
        </w:rPr>
        <w:t xml:space="preserve">ANOVA, one-way analysis of variance; FD, </w:t>
      </w:r>
      <w:r w:rsidRPr="00AD451B">
        <w:rPr>
          <w:rFonts w:ascii="Arial" w:hAnsi="Arial" w:cs="Arial"/>
          <w:lang w:val="en-GB"/>
        </w:rPr>
        <w:t>fibrous dysplasia</w:t>
      </w:r>
      <w:r>
        <w:rPr>
          <w:rFonts w:ascii="Arial" w:hAnsi="Arial" w:cs="Arial"/>
          <w:lang w:val="en-GB"/>
        </w:rPr>
        <w:t xml:space="preserve">; OI, osteogenesis imperfecta; </w:t>
      </w:r>
      <w:r w:rsidRPr="00AD451B">
        <w:rPr>
          <w:rFonts w:ascii="Arial" w:hAnsi="Arial" w:cs="Arial"/>
          <w:lang w:val="en-GB"/>
        </w:rPr>
        <w:t>HRQoL</w:t>
      </w:r>
      <w:r>
        <w:rPr>
          <w:rFonts w:ascii="Arial" w:hAnsi="Arial" w:cs="Arial"/>
          <w:lang w:val="en-GB"/>
        </w:rPr>
        <w:t>, health-</w:t>
      </w:r>
      <w:r w:rsidRPr="00AD451B">
        <w:rPr>
          <w:rFonts w:ascii="Arial" w:hAnsi="Arial" w:cs="Arial"/>
          <w:lang w:val="en-GB"/>
        </w:rPr>
        <w:t>related quality of life</w:t>
      </w:r>
      <w:r>
        <w:rPr>
          <w:rFonts w:ascii="Arial" w:hAnsi="Arial" w:cs="Arial"/>
          <w:lang w:val="en-GB"/>
        </w:rPr>
        <w:t>; HTA, health technology assessment;</w:t>
      </w:r>
      <w:r w:rsidRPr="00441C2B">
        <w:rPr>
          <w:rFonts w:ascii="Arial" w:hAnsi="Arial" w:cs="Arial"/>
          <w:lang w:val="en-GB"/>
        </w:rPr>
        <w:t xml:space="preserve"> </w:t>
      </w:r>
      <w:r w:rsidRPr="00AD451B">
        <w:rPr>
          <w:rFonts w:ascii="Arial" w:hAnsi="Arial" w:cs="Arial"/>
          <w:lang w:val="en-GB"/>
        </w:rPr>
        <w:t>QALY</w:t>
      </w:r>
      <w:r>
        <w:rPr>
          <w:rFonts w:ascii="Arial" w:hAnsi="Arial" w:cs="Arial"/>
          <w:lang w:val="en-GB"/>
        </w:rPr>
        <w:t xml:space="preserve">, quality-adjusted life year; </w:t>
      </w:r>
      <w:r w:rsidRPr="00AD451B">
        <w:rPr>
          <w:rFonts w:ascii="Arial" w:hAnsi="Arial" w:cs="Arial"/>
          <w:lang w:val="en-GB"/>
        </w:rPr>
        <w:t>XLH</w:t>
      </w:r>
      <w:r>
        <w:rPr>
          <w:rFonts w:ascii="Arial" w:hAnsi="Arial" w:cs="Arial"/>
          <w:lang w:val="en-GB"/>
        </w:rPr>
        <w:t xml:space="preserve">, X-linked </w:t>
      </w:r>
      <w:r w:rsidR="000B6A2C">
        <w:rPr>
          <w:rFonts w:ascii="Arial" w:hAnsi="Arial" w:cs="Arial"/>
          <w:lang w:val="en-GB"/>
        </w:rPr>
        <w:t>hypophosphatemia</w:t>
      </w:r>
      <w:r>
        <w:rPr>
          <w:rFonts w:ascii="Arial" w:hAnsi="Arial" w:cs="Arial"/>
          <w:lang w:val="en-GB"/>
        </w:rPr>
        <w:t>; VAS, visual analogue scale.</w:t>
      </w:r>
    </w:p>
    <w:p w14:paraId="26A97665" w14:textId="77777777" w:rsidR="00E608A7" w:rsidRDefault="00E608A7" w:rsidP="00511F60">
      <w:pPr>
        <w:spacing w:line="480" w:lineRule="auto"/>
        <w:jc w:val="both"/>
        <w:rPr>
          <w:rFonts w:ascii="Arial" w:hAnsi="Arial" w:cs="Arial"/>
          <w:lang w:val="en-GB"/>
        </w:rPr>
      </w:pPr>
    </w:p>
    <w:p w14:paraId="4E2FDAE8" w14:textId="77777777" w:rsidR="00E608A7" w:rsidRDefault="00E608A7" w:rsidP="00511F60">
      <w:pPr>
        <w:spacing w:line="480" w:lineRule="auto"/>
        <w:jc w:val="both"/>
        <w:rPr>
          <w:rFonts w:ascii="Arial" w:hAnsi="Arial" w:cs="Arial"/>
          <w:b/>
          <w:lang w:val="en-GB"/>
        </w:rPr>
      </w:pPr>
      <w:r>
        <w:rPr>
          <w:rFonts w:ascii="Arial" w:hAnsi="Arial" w:cs="Arial"/>
          <w:b/>
          <w:lang w:val="en-GB"/>
        </w:rPr>
        <w:t>Declarations</w:t>
      </w:r>
    </w:p>
    <w:p w14:paraId="1CEDC46F" w14:textId="77777777" w:rsidR="00E608A7" w:rsidRPr="00326BE5" w:rsidRDefault="00E608A7" w:rsidP="00511F60">
      <w:pPr>
        <w:spacing w:line="480" w:lineRule="auto"/>
        <w:jc w:val="both"/>
        <w:rPr>
          <w:rFonts w:ascii="Arial" w:hAnsi="Arial" w:cs="Arial"/>
          <w:b/>
          <w:lang w:val="en-GB"/>
        </w:rPr>
      </w:pPr>
    </w:p>
    <w:p w14:paraId="68959B1B" w14:textId="77777777" w:rsidR="00E608A7" w:rsidRPr="00CE5546" w:rsidRDefault="00E608A7" w:rsidP="00511F60">
      <w:pPr>
        <w:spacing w:line="480" w:lineRule="auto"/>
        <w:rPr>
          <w:rFonts w:ascii="Arial" w:eastAsia="Times New Roman" w:hAnsi="Arial" w:cs="Arial"/>
          <w:b/>
        </w:rPr>
      </w:pPr>
      <w:r w:rsidRPr="00CE5546">
        <w:rPr>
          <w:rFonts w:ascii="Arial" w:eastAsia="Times New Roman" w:hAnsi="Arial" w:cs="Arial"/>
          <w:b/>
        </w:rPr>
        <w:t>Ethics approval and consent to participate</w:t>
      </w:r>
    </w:p>
    <w:p w14:paraId="4E6C5145" w14:textId="77777777" w:rsidR="00E608A7" w:rsidRPr="00CE5546" w:rsidRDefault="00E608A7" w:rsidP="00511F60">
      <w:pPr>
        <w:spacing w:line="480" w:lineRule="auto"/>
        <w:rPr>
          <w:rFonts w:ascii="Arial" w:eastAsia="Times New Roman" w:hAnsi="Arial" w:cs="Arial"/>
          <w:b/>
        </w:rPr>
      </w:pPr>
      <w:r w:rsidRPr="00CE5546">
        <w:rPr>
          <w:rFonts w:ascii="Arial" w:hAnsi="Arial" w:cs="Arial"/>
          <w:lang w:val="en-GB"/>
        </w:rPr>
        <w:t>Ethical approval was obtained from the South Central Research Ethics Committee (LREC 14/SC/0126).</w:t>
      </w:r>
      <w:r w:rsidRPr="00CE5546">
        <w:rPr>
          <w:rFonts w:ascii="Arial" w:eastAsia="Times New Roman" w:hAnsi="Arial" w:cs="Arial"/>
        </w:rPr>
        <w:br/>
      </w:r>
    </w:p>
    <w:p w14:paraId="2C76A493" w14:textId="77777777" w:rsidR="00E608A7" w:rsidRPr="00CE5546" w:rsidRDefault="00E608A7" w:rsidP="00511F60">
      <w:pPr>
        <w:spacing w:line="480" w:lineRule="auto"/>
        <w:rPr>
          <w:rFonts w:ascii="Arial" w:eastAsia="Times New Roman" w:hAnsi="Arial" w:cs="Arial"/>
          <w:b/>
        </w:rPr>
      </w:pPr>
      <w:r w:rsidRPr="00CE5546">
        <w:rPr>
          <w:rFonts w:ascii="Arial" w:eastAsia="Times New Roman" w:hAnsi="Arial" w:cs="Arial"/>
          <w:b/>
        </w:rPr>
        <w:t>Consent for publication</w:t>
      </w:r>
    </w:p>
    <w:p w14:paraId="5E947371" w14:textId="77777777" w:rsidR="00E608A7" w:rsidRPr="00CE5546" w:rsidRDefault="00E608A7" w:rsidP="00511F60">
      <w:pPr>
        <w:spacing w:line="480" w:lineRule="auto"/>
        <w:rPr>
          <w:rFonts w:ascii="Arial" w:eastAsia="Times New Roman" w:hAnsi="Arial" w:cs="Arial"/>
        </w:rPr>
      </w:pPr>
      <w:r w:rsidRPr="00CE5546">
        <w:rPr>
          <w:rFonts w:ascii="Arial" w:eastAsia="Times New Roman" w:hAnsi="Arial" w:cs="Arial"/>
        </w:rPr>
        <w:t>Not applicable</w:t>
      </w:r>
      <w:r w:rsidRPr="00CE5546">
        <w:rPr>
          <w:rFonts w:ascii="Arial" w:eastAsia="Times New Roman" w:hAnsi="Arial" w:cs="Arial"/>
        </w:rPr>
        <w:br/>
      </w:r>
    </w:p>
    <w:p w14:paraId="001DA04E" w14:textId="77777777" w:rsidR="00E608A7" w:rsidRPr="00CE5546" w:rsidRDefault="00E608A7" w:rsidP="00511F60">
      <w:pPr>
        <w:spacing w:line="480" w:lineRule="auto"/>
        <w:rPr>
          <w:rFonts w:ascii="Arial" w:eastAsia="Times New Roman" w:hAnsi="Arial" w:cs="Arial"/>
        </w:rPr>
      </w:pPr>
      <w:r w:rsidRPr="00CE5546">
        <w:rPr>
          <w:rFonts w:ascii="Arial" w:eastAsia="Times New Roman" w:hAnsi="Arial" w:cs="Arial"/>
          <w:b/>
        </w:rPr>
        <w:t>Availability of data and material</w:t>
      </w:r>
      <w:r w:rsidRPr="00CE5546">
        <w:rPr>
          <w:rFonts w:ascii="Arial" w:eastAsia="Times New Roman" w:hAnsi="Arial" w:cs="Arial"/>
          <w:b/>
        </w:rPr>
        <w:br/>
      </w:r>
      <w:r w:rsidRPr="00CE5546">
        <w:rPr>
          <w:rFonts w:ascii="Arial" w:eastAsia="Times New Roman" w:hAnsi="Arial" w:cs="Arial"/>
        </w:rPr>
        <w:t>We are willing to share our test database to reviewers. The link is </w:t>
      </w:r>
      <w:hyperlink r:id="rId11" w:history="1">
        <w:r w:rsidRPr="00CE5546">
          <w:rPr>
            <w:rStyle w:val="Hyperlink"/>
            <w:rFonts w:ascii="Arial" w:eastAsia="Times New Roman" w:hAnsi="Arial" w:cs="Arial"/>
          </w:rPr>
          <w:t>https://research.ndorms.ox.ac.uk/rudytest/</w:t>
        </w:r>
      </w:hyperlink>
      <w:r w:rsidRPr="00CE5546">
        <w:rPr>
          <w:rFonts w:ascii="Arial" w:eastAsia="Times New Roman" w:hAnsi="Arial" w:cs="Arial"/>
        </w:rPr>
        <w:t xml:space="preserve"> (username: </w:t>
      </w:r>
      <w:hyperlink r:id="rId12" w:history="1">
        <w:r w:rsidRPr="00CE5546">
          <w:rPr>
            <w:rStyle w:val="Hyperlink"/>
            <w:rFonts w:ascii="Arial" w:eastAsia="Times New Roman" w:hAnsi="Arial" w:cs="Arial"/>
          </w:rPr>
          <w:t>20@test.com</w:t>
        </w:r>
      </w:hyperlink>
      <w:r w:rsidRPr="00CE5546">
        <w:rPr>
          <w:rFonts w:ascii="Arial" w:eastAsia="Times New Roman" w:hAnsi="Arial" w:cs="Arial"/>
        </w:rPr>
        <w:t>;</w:t>
      </w:r>
    </w:p>
    <w:p w14:paraId="0B9B732E" w14:textId="77777777" w:rsidR="00E608A7" w:rsidRPr="00CE5546" w:rsidRDefault="00E608A7" w:rsidP="00511F60">
      <w:pPr>
        <w:spacing w:line="480" w:lineRule="auto"/>
        <w:rPr>
          <w:rFonts w:ascii="Arial" w:eastAsia="Times New Roman" w:hAnsi="Arial" w:cs="Arial"/>
        </w:rPr>
      </w:pPr>
      <w:r w:rsidRPr="00CE5546">
        <w:rPr>
          <w:rFonts w:ascii="Arial" w:eastAsia="Times New Roman" w:hAnsi="Arial" w:cs="Arial"/>
        </w:rPr>
        <w:t>Password: 12341234)</w:t>
      </w:r>
    </w:p>
    <w:p w14:paraId="659E70F2" w14:textId="77777777" w:rsidR="00E608A7" w:rsidRPr="00CE5546" w:rsidRDefault="00E608A7" w:rsidP="00511F60">
      <w:pPr>
        <w:spacing w:line="480" w:lineRule="auto"/>
        <w:rPr>
          <w:rFonts w:ascii="Arial" w:eastAsia="Times New Roman" w:hAnsi="Arial" w:cs="Arial"/>
        </w:rPr>
      </w:pPr>
      <w:r w:rsidRPr="00CE5546">
        <w:rPr>
          <w:rFonts w:ascii="Arial" w:eastAsia="Times New Roman" w:hAnsi="Arial" w:cs="Arial"/>
        </w:rPr>
        <w:t>We are willing to share the raw data for reviewers on request.</w:t>
      </w:r>
    </w:p>
    <w:p w14:paraId="0A5FD5D7" w14:textId="77777777" w:rsidR="00E608A7" w:rsidRPr="00CE5546" w:rsidRDefault="00E608A7" w:rsidP="00511F60">
      <w:pPr>
        <w:spacing w:line="480" w:lineRule="auto"/>
        <w:rPr>
          <w:rFonts w:ascii="Arial" w:eastAsia="Times New Roman" w:hAnsi="Arial" w:cs="Arial"/>
        </w:rPr>
      </w:pPr>
    </w:p>
    <w:p w14:paraId="199B4CCF" w14:textId="77777777" w:rsidR="00E608A7" w:rsidRPr="00CE5546" w:rsidRDefault="00E608A7" w:rsidP="00511F60">
      <w:pPr>
        <w:spacing w:line="480" w:lineRule="auto"/>
        <w:rPr>
          <w:rFonts w:ascii="Arial" w:eastAsia="Times New Roman" w:hAnsi="Arial" w:cs="Arial"/>
        </w:rPr>
      </w:pPr>
      <w:r w:rsidRPr="00CE5546">
        <w:rPr>
          <w:rFonts w:ascii="Arial" w:eastAsia="Times New Roman" w:hAnsi="Arial" w:cs="Arial"/>
          <w:b/>
        </w:rPr>
        <w:t>Competing interests</w:t>
      </w:r>
      <w:r w:rsidRPr="00CE5546">
        <w:rPr>
          <w:rFonts w:ascii="Arial" w:eastAsia="Times New Roman" w:hAnsi="Arial" w:cs="Arial"/>
          <w:b/>
        </w:rPr>
        <w:br/>
      </w:r>
      <w:r w:rsidRPr="00CE5546">
        <w:rPr>
          <w:rFonts w:ascii="Arial" w:eastAsia="Times New Roman" w:hAnsi="Arial" w:cs="Arial"/>
        </w:rPr>
        <w:t>The authors have no competing interests concerning the manuscript.</w:t>
      </w:r>
    </w:p>
    <w:p w14:paraId="75DE6169" w14:textId="77777777" w:rsidR="00E608A7" w:rsidRPr="00CE5546" w:rsidRDefault="00E608A7" w:rsidP="00511F60">
      <w:pPr>
        <w:spacing w:line="480" w:lineRule="auto"/>
        <w:rPr>
          <w:rFonts w:ascii="Arial" w:eastAsia="Times New Roman" w:hAnsi="Arial" w:cs="Arial"/>
          <w:b/>
        </w:rPr>
      </w:pPr>
    </w:p>
    <w:p w14:paraId="6F4BEC88" w14:textId="77777777" w:rsidR="00E608A7" w:rsidRPr="00CE5546" w:rsidRDefault="00E608A7" w:rsidP="00511F60">
      <w:pPr>
        <w:spacing w:line="480" w:lineRule="auto"/>
        <w:rPr>
          <w:rFonts w:ascii="Arial" w:eastAsia="Times New Roman" w:hAnsi="Arial" w:cs="Arial"/>
        </w:rPr>
      </w:pPr>
      <w:r w:rsidRPr="00CE5546">
        <w:rPr>
          <w:rFonts w:ascii="Arial" w:eastAsia="Times New Roman" w:hAnsi="Arial" w:cs="Arial"/>
          <w:b/>
        </w:rPr>
        <w:t>Funding</w:t>
      </w:r>
      <w:r w:rsidRPr="00CE5546">
        <w:rPr>
          <w:rFonts w:ascii="Arial" w:eastAsia="Times New Roman" w:hAnsi="Arial" w:cs="Arial"/>
          <w:b/>
        </w:rPr>
        <w:br/>
      </w:r>
      <w:r w:rsidRPr="00CE5546">
        <w:rPr>
          <w:rFonts w:ascii="Arial" w:eastAsia="Times New Roman" w:hAnsi="Arial" w:cs="Arial"/>
        </w:rPr>
        <w:t>The RUDY study was funded by the UK National Institute of Health Research (NIHR) Rare Diseases Translational Research Collaboration in Musculoskeletal Diseases and the Oxford NIHR Musculoskeletal Biomedical Research Unit. The funders had no role in the design of the study and collection, analysis, and interpretation of data and in writing the manuscript.</w:t>
      </w:r>
    </w:p>
    <w:p w14:paraId="4EBE131E" w14:textId="77777777" w:rsidR="00E608A7" w:rsidRPr="008B75E1" w:rsidRDefault="00E608A7" w:rsidP="00511F60">
      <w:pPr>
        <w:spacing w:line="480" w:lineRule="auto"/>
        <w:rPr>
          <w:rFonts w:eastAsia="Times New Roman" w:cs="Times New Roman"/>
        </w:rPr>
      </w:pPr>
    </w:p>
    <w:p w14:paraId="6CF04D86" w14:textId="77777777" w:rsidR="00E608A7" w:rsidRPr="00174223" w:rsidRDefault="00E608A7" w:rsidP="00511F60">
      <w:pPr>
        <w:spacing w:line="480" w:lineRule="auto"/>
        <w:jc w:val="both"/>
        <w:rPr>
          <w:rFonts w:ascii="Arial" w:hAnsi="Arial" w:cs="Arial"/>
          <w:b/>
          <w:lang w:val="en-GB"/>
        </w:rPr>
      </w:pPr>
      <w:r w:rsidRPr="004C702B">
        <w:rPr>
          <w:rFonts w:ascii="Arial" w:eastAsia="Times New Roman" w:hAnsi="Arial" w:cs="Arial"/>
          <w:b/>
        </w:rPr>
        <w:t>Authors' contributions</w:t>
      </w:r>
    </w:p>
    <w:p w14:paraId="59DAEF89" w14:textId="77777777" w:rsidR="00E608A7" w:rsidRPr="00275D50" w:rsidRDefault="00E608A7" w:rsidP="00511F60">
      <w:pPr>
        <w:spacing w:line="480" w:lineRule="auto"/>
        <w:jc w:val="both"/>
        <w:rPr>
          <w:rFonts w:ascii="Arial" w:hAnsi="Arial" w:cs="Arial"/>
          <w:lang w:val="en-GB"/>
        </w:rPr>
      </w:pPr>
      <w:r w:rsidRPr="00275D50">
        <w:rPr>
          <w:rFonts w:ascii="Arial" w:hAnsi="Arial" w:cs="Arial"/>
          <w:lang w:val="en-GB"/>
        </w:rPr>
        <w:lastRenderedPageBreak/>
        <w:t xml:space="preserve">LFZ participated in the design of the study, performed the statistical analysis and drafted the manuscript. LW participated in the data collection and drafting the manuscript. AT participated in the design of the study, ethics application and data collection. HT participated in the patient involvement, ethics application and data collection. JK participated in design of the study. JB designed and programmed the web-based interface. CC/RE and PW participated in the design of the study. KJ conceived of the parent RUDY study, led its design and delivery and helped to draft the manuscript. RPV led the economic evaluation, supervised the data analysis and drafting of the manuscript. All authors read, commented and approved of the final manuscript. </w:t>
      </w:r>
    </w:p>
    <w:p w14:paraId="3F243D4D" w14:textId="77777777" w:rsidR="00E608A7" w:rsidRPr="00984E1D" w:rsidRDefault="00E608A7" w:rsidP="00511F60">
      <w:pPr>
        <w:spacing w:line="480" w:lineRule="auto"/>
        <w:rPr>
          <w:rFonts w:eastAsia="Times New Roman" w:cs="Times New Roman"/>
          <w:b/>
        </w:rPr>
      </w:pPr>
    </w:p>
    <w:p w14:paraId="6C508757" w14:textId="77777777" w:rsidR="00E608A7" w:rsidRPr="008E6D74" w:rsidRDefault="00E608A7" w:rsidP="00511F60">
      <w:pPr>
        <w:spacing w:line="480" w:lineRule="auto"/>
        <w:rPr>
          <w:rFonts w:ascii="Arial" w:eastAsia="Times New Roman" w:hAnsi="Arial" w:cs="Arial"/>
          <w:b/>
        </w:rPr>
      </w:pPr>
      <w:r w:rsidRPr="008E6D74">
        <w:rPr>
          <w:rFonts w:ascii="Arial" w:eastAsia="Times New Roman" w:hAnsi="Arial" w:cs="Arial"/>
          <w:b/>
        </w:rPr>
        <w:t>Acknowledgements</w:t>
      </w:r>
    </w:p>
    <w:p w14:paraId="686502AC" w14:textId="77777777" w:rsidR="00E608A7" w:rsidRPr="008E6D74" w:rsidRDefault="00E608A7" w:rsidP="00511F60">
      <w:pPr>
        <w:spacing w:line="480" w:lineRule="auto"/>
        <w:rPr>
          <w:rFonts w:ascii="Arial" w:hAnsi="Arial" w:cs="Arial"/>
          <w:lang w:val="en-GB"/>
        </w:rPr>
      </w:pPr>
      <w:r w:rsidRPr="008E6D74">
        <w:rPr>
          <w:rFonts w:ascii="Arial" w:hAnsi="Arial" w:cs="Arial"/>
          <w:lang w:val="en-GB"/>
        </w:rPr>
        <w:t xml:space="preserve">Not applicable. </w:t>
      </w:r>
    </w:p>
    <w:p w14:paraId="06247A3F" w14:textId="77777777" w:rsidR="00E608A7" w:rsidRPr="00EC24BB" w:rsidRDefault="00E608A7" w:rsidP="00511F60">
      <w:pPr>
        <w:spacing w:line="480" w:lineRule="auto"/>
        <w:jc w:val="both"/>
        <w:rPr>
          <w:rFonts w:ascii="Arial" w:hAnsi="Arial" w:cs="Arial"/>
          <w:lang w:val="en-GB"/>
        </w:rPr>
      </w:pPr>
    </w:p>
    <w:p w14:paraId="40727CBB" w14:textId="77777777" w:rsidR="00E608A7" w:rsidRPr="00CE5546" w:rsidRDefault="00E608A7" w:rsidP="00511F60">
      <w:pPr>
        <w:spacing w:line="480" w:lineRule="auto"/>
        <w:jc w:val="both"/>
        <w:rPr>
          <w:rFonts w:ascii="Arial" w:hAnsi="Arial" w:cs="Arial"/>
          <w:lang w:val="en-GB"/>
        </w:rPr>
      </w:pPr>
      <w:r w:rsidRPr="00CE5546">
        <w:rPr>
          <w:rFonts w:ascii="Arial" w:hAnsi="Arial" w:cs="Arial"/>
          <w:lang w:val="en-GB"/>
        </w:rPr>
        <w:t xml:space="preserve">References </w:t>
      </w:r>
    </w:p>
    <w:p w14:paraId="0327F478" w14:textId="199FEF9A" w:rsidR="00E608A7" w:rsidRPr="00CE5546" w:rsidRDefault="00E608A7" w:rsidP="00511F60">
      <w:pPr>
        <w:pStyle w:val="EndNoteBibliography"/>
        <w:spacing w:line="480" w:lineRule="auto"/>
        <w:rPr>
          <w:rFonts w:ascii="Arial" w:hAnsi="Arial" w:cs="Arial"/>
          <w:noProof/>
        </w:rPr>
      </w:pPr>
      <w:r w:rsidRPr="00CE5546">
        <w:rPr>
          <w:rFonts w:ascii="Arial" w:hAnsi="Arial" w:cs="Arial"/>
          <w:noProof/>
        </w:rPr>
        <w:t>1.</w:t>
      </w:r>
      <w:r w:rsidRPr="00CE5546">
        <w:rPr>
          <w:rFonts w:ascii="Arial" w:hAnsi="Arial" w:cs="Arial"/>
          <w:noProof/>
        </w:rPr>
        <w:tab/>
        <w:t xml:space="preserve">Dogba MJ, Bedos C, Durigova M, Montpetit K, Wong T, Glorieux FH, </w:t>
      </w:r>
      <w:r w:rsidR="00FC51E7">
        <w:rPr>
          <w:rFonts w:ascii="Arial" w:hAnsi="Arial" w:cs="Arial"/>
          <w:noProof/>
        </w:rPr>
        <w:t>Rauch, F</w:t>
      </w:r>
      <w:r w:rsidRPr="00CE5546">
        <w:rPr>
          <w:rFonts w:ascii="Arial" w:hAnsi="Arial" w:cs="Arial"/>
          <w:noProof/>
        </w:rPr>
        <w:t>. The impact of severe osteogenesis imperfecta on the lives of young patients and their parents - a qualitative analysis. BMC pediatrics. 2013;13:153.</w:t>
      </w:r>
    </w:p>
    <w:p w14:paraId="2EDA4D9A" w14:textId="77777777" w:rsidR="00E608A7" w:rsidRPr="00CE5546" w:rsidRDefault="00E608A7" w:rsidP="00511F60">
      <w:pPr>
        <w:pStyle w:val="EndNoteBibliography"/>
        <w:spacing w:line="480" w:lineRule="auto"/>
        <w:rPr>
          <w:rFonts w:ascii="Arial" w:hAnsi="Arial" w:cs="Arial"/>
          <w:noProof/>
        </w:rPr>
      </w:pPr>
      <w:r w:rsidRPr="00CE5546">
        <w:rPr>
          <w:rFonts w:ascii="Arial" w:hAnsi="Arial" w:cs="Arial"/>
          <w:noProof/>
        </w:rPr>
        <w:t>2.</w:t>
      </w:r>
      <w:r w:rsidRPr="00CE5546">
        <w:rPr>
          <w:rFonts w:ascii="Arial" w:hAnsi="Arial" w:cs="Arial"/>
          <w:noProof/>
        </w:rPr>
        <w:tab/>
        <w:t>Schieppati A, Henter JI, Daina E, Aperia A. Why rare diseases are an important medical and social issue. Lancet. 2008;371(9629):2039-41.</w:t>
      </w:r>
    </w:p>
    <w:p w14:paraId="07DFD4A8" w14:textId="77777777" w:rsidR="00E608A7" w:rsidRDefault="00E608A7" w:rsidP="00511F60">
      <w:pPr>
        <w:pStyle w:val="EndNoteBibliography"/>
        <w:spacing w:line="480" w:lineRule="auto"/>
        <w:rPr>
          <w:rFonts w:ascii="Arial" w:hAnsi="Arial" w:cs="Arial"/>
          <w:noProof/>
        </w:rPr>
      </w:pPr>
      <w:r w:rsidRPr="00CE5546">
        <w:rPr>
          <w:rFonts w:ascii="Arial" w:hAnsi="Arial" w:cs="Arial"/>
          <w:noProof/>
        </w:rPr>
        <w:t>3.</w:t>
      </w:r>
      <w:r w:rsidRPr="00CE5546">
        <w:rPr>
          <w:rFonts w:ascii="Arial" w:hAnsi="Arial" w:cs="Arial"/>
          <w:noProof/>
        </w:rPr>
        <w:tab/>
        <w:t>Cohen JS, Biesecker BB. Quality of life in rare genetic conditions: a systematic review of the literature. Am J Med Genet A. 2010;152A(5):1136-56.</w:t>
      </w:r>
    </w:p>
    <w:p w14:paraId="30EDF4FE" w14:textId="7362FFA1" w:rsidR="00E608A7" w:rsidRPr="00CE5546" w:rsidRDefault="00FC51E7" w:rsidP="00511F60">
      <w:pPr>
        <w:pStyle w:val="EndNoteBibliography"/>
        <w:spacing w:line="480" w:lineRule="auto"/>
        <w:rPr>
          <w:rFonts w:ascii="Arial" w:hAnsi="Arial" w:cs="Arial"/>
          <w:noProof/>
        </w:rPr>
      </w:pPr>
      <w:r>
        <w:rPr>
          <w:rFonts w:ascii="Arial" w:hAnsi="Arial" w:cs="Arial"/>
          <w:noProof/>
        </w:rPr>
        <w:lastRenderedPageBreak/>
        <w:t>4.</w:t>
      </w:r>
      <w:r>
        <w:rPr>
          <w:rFonts w:ascii="Arial" w:hAnsi="Arial" w:cs="Arial"/>
          <w:noProof/>
        </w:rPr>
        <w:tab/>
      </w:r>
      <w:r w:rsidR="00E608A7" w:rsidRPr="00CE5546">
        <w:rPr>
          <w:rFonts w:ascii="Arial" w:hAnsi="Arial" w:cs="Arial"/>
          <w:noProof/>
        </w:rPr>
        <w:t>Testa MA, Simonson DC. Assesment of quality-of-life outcomes. N Engl J Med. 1996;334(13):835-40.</w:t>
      </w:r>
    </w:p>
    <w:p w14:paraId="33DC8473" w14:textId="77777777" w:rsidR="00E608A7" w:rsidRDefault="00E608A7" w:rsidP="00511F60">
      <w:pPr>
        <w:pStyle w:val="EndNoteBibliography"/>
        <w:spacing w:line="480" w:lineRule="auto"/>
        <w:rPr>
          <w:rFonts w:ascii="Arial" w:hAnsi="Arial" w:cs="Arial"/>
          <w:noProof/>
        </w:rPr>
      </w:pPr>
      <w:r w:rsidRPr="00CE5546">
        <w:rPr>
          <w:rFonts w:ascii="Arial" w:hAnsi="Arial" w:cs="Arial"/>
          <w:noProof/>
        </w:rPr>
        <w:t>5.</w:t>
      </w:r>
      <w:r w:rsidRPr="00CE5546">
        <w:rPr>
          <w:rFonts w:ascii="Arial" w:hAnsi="Arial" w:cs="Arial"/>
          <w:noProof/>
        </w:rPr>
        <w:tab/>
        <w:t>Rajmil L, Perestelo-Pérez L, Herdman M. Quality of life and rare diseases. Adv Exp Med Biol. 2010;686:251-72.</w:t>
      </w:r>
    </w:p>
    <w:p w14:paraId="7B4128D4" w14:textId="77B28B39" w:rsidR="006C2979" w:rsidRDefault="006C2979" w:rsidP="006C2979">
      <w:pPr>
        <w:pStyle w:val="EndNoteBibliography"/>
        <w:spacing w:line="480" w:lineRule="auto"/>
        <w:rPr>
          <w:rFonts w:ascii="Arial" w:hAnsi="Arial" w:cs="Arial"/>
          <w:noProof/>
        </w:rPr>
      </w:pPr>
      <w:r>
        <w:rPr>
          <w:rFonts w:ascii="Arial" w:hAnsi="Arial" w:cs="Arial"/>
          <w:noProof/>
        </w:rPr>
        <w:t>6.</w:t>
      </w:r>
      <w:r>
        <w:rPr>
          <w:rFonts w:ascii="Arial" w:hAnsi="Arial" w:cs="Arial"/>
          <w:noProof/>
        </w:rPr>
        <w:tab/>
      </w:r>
      <w:r w:rsidRPr="004338CD">
        <w:rPr>
          <w:rFonts w:ascii="Arial" w:hAnsi="Arial" w:cs="Arial"/>
          <w:noProof/>
        </w:rPr>
        <w:t>Drummond MF, Wilson DA, Kanavos P, Ubel P, Rovira J</w:t>
      </w:r>
      <w:r w:rsidR="00FC51E7">
        <w:rPr>
          <w:rFonts w:ascii="Arial" w:hAnsi="Arial" w:cs="Arial"/>
          <w:noProof/>
        </w:rPr>
        <w:t>.</w:t>
      </w:r>
      <w:r w:rsidRPr="004338CD">
        <w:rPr>
          <w:rFonts w:ascii="Arial" w:hAnsi="Arial" w:cs="Arial"/>
          <w:noProof/>
        </w:rPr>
        <w:t xml:space="preserve"> Assessing the economic challenges posed by orphan drugs. Int J Technol Assess Health Care</w:t>
      </w:r>
      <w:r w:rsidR="00FC51E7">
        <w:rPr>
          <w:rFonts w:ascii="Arial" w:hAnsi="Arial" w:cs="Arial"/>
          <w:noProof/>
        </w:rPr>
        <w:t>.</w:t>
      </w:r>
      <w:r w:rsidR="00FB66D5">
        <w:rPr>
          <w:rFonts w:ascii="Arial" w:hAnsi="Arial" w:cs="Arial"/>
          <w:noProof/>
        </w:rPr>
        <w:t xml:space="preserve"> 2007; 23(1):36-42</w:t>
      </w:r>
      <w:r w:rsidRPr="004338CD">
        <w:rPr>
          <w:rFonts w:ascii="Arial" w:hAnsi="Arial" w:cs="Arial"/>
          <w:noProof/>
        </w:rPr>
        <w:t>.</w:t>
      </w:r>
    </w:p>
    <w:p w14:paraId="5522534D" w14:textId="5CED8470" w:rsidR="006C2979" w:rsidRDefault="006C2979" w:rsidP="006C2979">
      <w:pPr>
        <w:pStyle w:val="EndNoteBibliography"/>
        <w:spacing w:line="480" w:lineRule="auto"/>
        <w:rPr>
          <w:rFonts w:ascii="Arial" w:hAnsi="Arial" w:cs="Arial"/>
          <w:noProof/>
        </w:rPr>
      </w:pPr>
      <w:r>
        <w:rPr>
          <w:rFonts w:ascii="Arial" w:hAnsi="Arial" w:cs="Arial"/>
          <w:noProof/>
        </w:rPr>
        <w:t>7.</w:t>
      </w:r>
      <w:r>
        <w:rPr>
          <w:rFonts w:ascii="Arial" w:hAnsi="Arial" w:cs="Arial"/>
          <w:noProof/>
        </w:rPr>
        <w:tab/>
      </w:r>
      <w:r w:rsidRPr="004338CD">
        <w:rPr>
          <w:rFonts w:ascii="Arial" w:hAnsi="Arial" w:cs="Arial"/>
          <w:noProof/>
        </w:rPr>
        <w:t>U.S. Food &amp; Drug Administration. Developing Products for Rare Diseases &amp; Conditions. Available from: http://www.fda.gov/ForIndustry/DevelopingProductsforRareDiseasesConditions/ucm2005525.htm (accessed 25 October 2016</w:t>
      </w:r>
      <w:r>
        <w:rPr>
          <w:rFonts w:ascii="Arial" w:hAnsi="Arial" w:cs="Arial"/>
          <w:noProof/>
        </w:rPr>
        <w:t>)</w:t>
      </w:r>
      <w:r w:rsidRPr="004338CD">
        <w:rPr>
          <w:rFonts w:ascii="Arial" w:hAnsi="Arial" w:cs="Arial"/>
          <w:noProof/>
        </w:rPr>
        <w:t>.</w:t>
      </w:r>
    </w:p>
    <w:p w14:paraId="2DD1F0E4" w14:textId="5869700C" w:rsidR="00E608A7" w:rsidRPr="00CE5546" w:rsidRDefault="00E001B5" w:rsidP="00511F60">
      <w:pPr>
        <w:pStyle w:val="EndNoteBibliography"/>
        <w:spacing w:line="480" w:lineRule="auto"/>
        <w:rPr>
          <w:rFonts w:ascii="Arial" w:hAnsi="Arial" w:cs="Arial"/>
          <w:noProof/>
        </w:rPr>
      </w:pPr>
      <w:r>
        <w:rPr>
          <w:rFonts w:ascii="Arial" w:hAnsi="Arial" w:cs="Arial"/>
          <w:noProof/>
        </w:rPr>
        <w:t>8</w:t>
      </w:r>
      <w:r w:rsidR="00E608A7" w:rsidRPr="00CE5546">
        <w:rPr>
          <w:rFonts w:ascii="Arial" w:hAnsi="Arial" w:cs="Arial"/>
          <w:noProof/>
        </w:rPr>
        <w:t>.</w:t>
      </w:r>
      <w:r w:rsidR="00E608A7" w:rsidRPr="00CE5546">
        <w:rPr>
          <w:rFonts w:ascii="Arial" w:hAnsi="Arial" w:cs="Arial"/>
          <w:noProof/>
        </w:rPr>
        <w:tab/>
        <w:t>Widmann RF, Laplaza FJ, Bitan FD, Brooks CE, Root L. Quality of life in osteogenesis imperfecta. Int Orthop. 2002;26(1):3-6.</w:t>
      </w:r>
    </w:p>
    <w:p w14:paraId="6A132EBF" w14:textId="1BBF1CDF" w:rsidR="00E608A7" w:rsidRPr="00CE5546" w:rsidRDefault="00E001B5" w:rsidP="00511F60">
      <w:pPr>
        <w:pStyle w:val="EndNoteBibliography"/>
        <w:spacing w:line="480" w:lineRule="auto"/>
        <w:rPr>
          <w:rFonts w:ascii="Arial" w:hAnsi="Arial" w:cs="Arial"/>
          <w:noProof/>
        </w:rPr>
      </w:pPr>
      <w:r>
        <w:rPr>
          <w:rFonts w:ascii="Arial" w:hAnsi="Arial" w:cs="Arial"/>
          <w:noProof/>
        </w:rPr>
        <w:t>9</w:t>
      </w:r>
      <w:r w:rsidR="00E608A7" w:rsidRPr="00CE5546">
        <w:rPr>
          <w:rFonts w:ascii="Arial" w:hAnsi="Arial" w:cs="Arial"/>
          <w:noProof/>
        </w:rPr>
        <w:t>.</w:t>
      </w:r>
      <w:r w:rsidR="00E608A7" w:rsidRPr="00CE5546">
        <w:rPr>
          <w:rFonts w:ascii="Arial" w:hAnsi="Arial" w:cs="Arial"/>
          <w:noProof/>
        </w:rPr>
        <w:tab/>
        <w:t>Widmann RF, Bitan FD, Laplaza FJ, Burke SW, DiMaio MF, Schneider R. Spinal deformity, pulmonary compromise, and quality of life in osteogenesis imperfecta. Spine (Phila Pa 1976). 1999;24(16):1673-8.</w:t>
      </w:r>
    </w:p>
    <w:p w14:paraId="7CF54002" w14:textId="4588E96A" w:rsidR="00E608A7" w:rsidRPr="00CE5546" w:rsidRDefault="00E001B5" w:rsidP="00511F60">
      <w:pPr>
        <w:pStyle w:val="EndNoteBibliography"/>
        <w:spacing w:line="480" w:lineRule="auto"/>
        <w:rPr>
          <w:rFonts w:ascii="Arial" w:hAnsi="Arial" w:cs="Arial"/>
          <w:noProof/>
        </w:rPr>
      </w:pPr>
      <w:r>
        <w:rPr>
          <w:rFonts w:ascii="Arial" w:hAnsi="Arial" w:cs="Arial"/>
          <w:noProof/>
        </w:rPr>
        <w:t>10</w:t>
      </w:r>
      <w:r w:rsidR="00E608A7" w:rsidRPr="00CE5546">
        <w:rPr>
          <w:rFonts w:ascii="Arial" w:hAnsi="Arial" w:cs="Arial"/>
          <w:noProof/>
        </w:rPr>
        <w:t>.</w:t>
      </w:r>
      <w:r w:rsidR="00E608A7" w:rsidRPr="00CE5546">
        <w:rPr>
          <w:rFonts w:ascii="Arial" w:hAnsi="Arial" w:cs="Arial"/>
          <w:noProof/>
        </w:rPr>
        <w:tab/>
        <w:t>Balkefors V, Mattsson E, Pernow Y, Sääf M. Functioning and quality of life in adults with mild-to-moderate osteogenesis imperfecta. Physiother Res Int. 2013;18(4):203-11.</w:t>
      </w:r>
    </w:p>
    <w:p w14:paraId="67A578C5" w14:textId="0A272C3F" w:rsidR="00E608A7" w:rsidRPr="00CE5546" w:rsidRDefault="00E001B5" w:rsidP="00511F60">
      <w:pPr>
        <w:pStyle w:val="EndNoteBibliography"/>
        <w:spacing w:line="480" w:lineRule="auto"/>
        <w:rPr>
          <w:rFonts w:ascii="Arial" w:hAnsi="Arial" w:cs="Arial"/>
          <w:noProof/>
        </w:rPr>
      </w:pPr>
      <w:r>
        <w:rPr>
          <w:rFonts w:ascii="Arial" w:hAnsi="Arial" w:cs="Arial"/>
          <w:noProof/>
        </w:rPr>
        <w:t>11</w:t>
      </w:r>
      <w:r w:rsidR="00E608A7" w:rsidRPr="00CE5546">
        <w:rPr>
          <w:rFonts w:ascii="Arial" w:hAnsi="Arial" w:cs="Arial"/>
          <w:noProof/>
        </w:rPr>
        <w:t>.</w:t>
      </w:r>
      <w:r w:rsidR="00E608A7" w:rsidRPr="00CE5546">
        <w:rPr>
          <w:rFonts w:ascii="Arial" w:hAnsi="Arial" w:cs="Arial"/>
          <w:noProof/>
        </w:rPr>
        <w:tab/>
        <w:t>Kelly MH, Brillante B, Kushner H, Gehron Robey P, Collins MT. Physical function is impaired but quality of life preserved in patients with fibrous dysplasia of bone. Bone. 2005;37(3):388-94.</w:t>
      </w:r>
    </w:p>
    <w:p w14:paraId="52171B12" w14:textId="140D52A0" w:rsidR="00E608A7" w:rsidRDefault="00E001B5" w:rsidP="00511F60">
      <w:pPr>
        <w:pStyle w:val="EndNoteBibliography"/>
        <w:spacing w:line="480" w:lineRule="auto"/>
        <w:rPr>
          <w:rFonts w:ascii="Arial" w:hAnsi="Arial" w:cs="Arial"/>
          <w:noProof/>
        </w:rPr>
      </w:pPr>
      <w:r>
        <w:rPr>
          <w:rFonts w:ascii="Arial" w:hAnsi="Arial" w:cs="Arial"/>
          <w:noProof/>
        </w:rPr>
        <w:t>12</w:t>
      </w:r>
      <w:r w:rsidR="00E608A7" w:rsidRPr="00CE5546">
        <w:rPr>
          <w:rFonts w:ascii="Arial" w:hAnsi="Arial" w:cs="Arial"/>
          <w:noProof/>
        </w:rPr>
        <w:t>.</w:t>
      </w:r>
      <w:r w:rsidR="00E608A7" w:rsidRPr="00CE5546">
        <w:rPr>
          <w:rFonts w:ascii="Arial" w:hAnsi="Arial" w:cs="Arial"/>
          <w:noProof/>
        </w:rPr>
        <w:tab/>
        <w:t xml:space="preserve">Che H, Roux C, Etcheto A, Rothenbuhler A, Kamenicky P, Linglart A, </w:t>
      </w:r>
      <w:r w:rsidR="00FC51E7">
        <w:rPr>
          <w:rFonts w:ascii="Arial" w:hAnsi="Arial" w:cs="Arial"/>
          <w:noProof/>
        </w:rPr>
        <w:t>Briot, K</w:t>
      </w:r>
      <w:r w:rsidR="00E608A7" w:rsidRPr="00CE5546">
        <w:rPr>
          <w:rFonts w:ascii="Arial" w:hAnsi="Arial" w:cs="Arial"/>
          <w:noProof/>
        </w:rPr>
        <w:t>. Impaired quality of life in adults with X-linked hypophosphatemia and skeletal symptoms. Eur J Endocrinol. 2016;174(3):325-33.</w:t>
      </w:r>
    </w:p>
    <w:p w14:paraId="51E892B6" w14:textId="77777777" w:rsidR="00462751" w:rsidRPr="00CE5546" w:rsidRDefault="00462751" w:rsidP="00462751">
      <w:pPr>
        <w:pStyle w:val="EndNoteBibliography"/>
        <w:spacing w:line="480" w:lineRule="auto"/>
        <w:rPr>
          <w:rFonts w:ascii="Arial" w:hAnsi="Arial" w:cs="Arial"/>
          <w:noProof/>
        </w:rPr>
      </w:pPr>
      <w:r>
        <w:rPr>
          <w:rFonts w:ascii="Arial" w:hAnsi="Arial" w:cs="Arial"/>
          <w:noProof/>
        </w:rPr>
        <w:lastRenderedPageBreak/>
        <w:t>13.</w:t>
      </w:r>
      <w:r>
        <w:rPr>
          <w:rFonts w:ascii="Arial" w:hAnsi="Arial" w:cs="Arial"/>
          <w:noProof/>
        </w:rPr>
        <w:tab/>
      </w:r>
      <w:r w:rsidRPr="00FC51E7">
        <w:rPr>
          <w:rFonts w:ascii="Arial" w:hAnsi="Arial" w:cs="Arial"/>
          <w:noProof/>
        </w:rPr>
        <w:t>Javaid MK</w:t>
      </w:r>
      <w:r>
        <w:rPr>
          <w:rFonts w:ascii="Arial" w:hAnsi="Arial" w:cs="Arial"/>
          <w:noProof/>
        </w:rPr>
        <w:t xml:space="preserve">, Forestier-Zhang L, Watts L, Turner A, Ponte C, Teare H, Gray D, Gray N, Popert R, Hogg J, Barrett J, Pinedo-Villanueva R, Cooper C, Eastell R, Bishop N, Luqmani R, Wordsworth P, Kaye J. </w:t>
      </w:r>
      <w:r w:rsidRPr="00FC51E7">
        <w:rPr>
          <w:rFonts w:ascii="Arial" w:hAnsi="Arial" w:cs="Arial"/>
          <w:noProof/>
        </w:rPr>
        <w:t>The RUDY Study Platform – a novel approach to patient driven research in rare musculoskeletal diseases</w:t>
      </w:r>
      <w:r>
        <w:rPr>
          <w:rFonts w:ascii="Arial" w:hAnsi="Arial" w:cs="Arial"/>
          <w:noProof/>
        </w:rPr>
        <w:t xml:space="preserve">. </w:t>
      </w:r>
      <w:r w:rsidRPr="00FB66D5">
        <w:rPr>
          <w:rFonts w:ascii="Arial" w:hAnsi="Arial" w:cs="Arial"/>
          <w:noProof/>
        </w:rPr>
        <w:t>Orphanet J Rare Dis</w:t>
      </w:r>
      <w:r>
        <w:rPr>
          <w:rFonts w:ascii="Arial" w:hAnsi="Arial" w:cs="Arial"/>
          <w:noProof/>
        </w:rPr>
        <w:t>. 2016.</w:t>
      </w:r>
    </w:p>
    <w:p w14:paraId="5B7664E5" w14:textId="375406FB" w:rsidR="00E608A7" w:rsidRPr="00CE5546" w:rsidRDefault="00E608A7" w:rsidP="00511F60">
      <w:pPr>
        <w:pStyle w:val="EndNoteBibliography"/>
        <w:spacing w:line="480" w:lineRule="auto"/>
        <w:rPr>
          <w:rFonts w:ascii="Arial" w:hAnsi="Arial" w:cs="Arial"/>
          <w:noProof/>
        </w:rPr>
      </w:pPr>
      <w:r w:rsidRPr="00CE5546">
        <w:rPr>
          <w:rFonts w:ascii="Arial" w:hAnsi="Arial" w:cs="Arial"/>
          <w:noProof/>
        </w:rPr>
        <w:t>1</w:t>
      </w:r>
      <w:r w:rsidR="00462751">
        <w:rPr>
          <w:rFonts w:ascii="Arial" w:hAnsi="Arial" w:cs="Arial"/>
          <w:noProof/>
        </w:rPr>
        <w:t>4</w:t>
      </w:r>
      <w:r w:rsidRPr="00CE5546">
        <w:rPr>
          <w:rFonts w:ascii="Arial" w:hAnsi="Arial" w:cs="Arial"/>
          <w:noProof/>
        </w:rPr>
        <w:t>.</w:t>
      </w:r>
      <w:r w:rsidRPr="00CE5546">
        <w:rPr>
          <w:rFonts w:ascii="Arial" w:hAnsi="Arial" w:cs="Arial"/>
          <w:noProof/>
        </w:rPr>
        <w:tab/>
        <w:t xml:space="preserve">Herdman M, Gudex C, Lloyd A, Janssen M, Kind P, Parkin D, </w:t>
      </w:r>
      <w:r w:rsidR="00FC51E7">
        <w:rPr>
          <w:rFonts w:ascii="Arial" w:hAnsi="Arial" w:cs="Arial"/>
          <w:noProof/>
        </w:rPr>
        <w:t>Bonsel G, Badia X</w:t>
      </w:r>
      <w:r w:rsidRPr="00CE5546">
        <w:rPr>
          <w:rFonts w:ascii="Arial" w:hAnsi="Arial" w:cs="Arial"/>
          <w:noProof/>
        </w:rPr>
        <w:t>. Development and preliminary testing of the new five-level version of EQ-5D (EQ-5D-5L). Qual Life Res. 2011;20(10):1727-36.</w:t>
      </w:r>
    </w:p>
    <w:p w14:paraId="6809797C" w14:textId="606508D8" w:rsidR="00E608A7" w:rsidRPr="00CE5546" w:rsidRDefault="00E001B5" w:rsidP="00511F60">
      <w:pPr>
        <w:pStyle w:val="EndNoteBibliography"/>
        <w:spacing w:line="480" w:lineRule="auto"/>
        <w:rPr>
          <w:rFonts w:ascii="Arial" w:hAnsi="Arial" w:cs="Arial"/>
          <w:noProof/>
        </w:rPr>
      </w:pPr>
      <w:r>
        <w:rPr>
          <w:rFonts w:ascii="Arial" w:hAnsi="Arial" w:cs="Arial"/>
          <w:noProof/>
        </w:rPr>
        <w:t>1</w:t>
      </w:r>
      <w:r w:rsidR="00462751">
        <w:rPr>
          <w:rFonts w:ascii="Arial" w:hAnsi="Arial" w:cs="Arial"/>
          <w:noProof/>
        </w:rPr>
        <w:t>5</w:t>
      </w:r>
      <w:r w:rsidR="00E608A7" w:rsidRPr="00CE5546">
        <w:rPr>
          <w:rFonts w:ascii="Arial" w:hAnsi="Arial" w:cs="Arial"/>
          <w:noProof/>
        </w:rPr>
        <w:t>.</w:t>
      </w:r>
      <w:r w:rsidR="00E608A7" w:rsidRPr="00CE5546">
        <w:rPr>
          <w:rFonts w:ascii="Arial" w:hAnsi="Arial" w:cs="Arial"/>
          <w:noProof/>
        </w:rPr>
        <w:tab/>
        <w:t xml:space="preserve">Conner-Spady BL, Marshall DA, Bohm E, Dunbar MJ, Loucks L, Khudairy AA, </w:t>
      </w:r>
      <w:r w:rsidR="00FC51E7">
        <w:rPr>
          <w:rFonts w:ascii="Arial" w:hAnsi="Arial" w:cs="Arial"/>
          <w:noProof/>
        </w:rPr>
        <w:t>Noseworthy TW</w:t>
      </w:r>
      <w:r w:rsidR="00E608A7" w:rsidRPr="00CE5546">
        <w:rPr>
          <w:rFonts w:ascii="Arial" w:hAnsi="Arial" w:cs="Arial"/>
          <w:noProof/>
        </w:rPr>
        <w:t>. Reliability and validity of the EQ-5D-5L compared to the EQ-5D-3L in patients with osteoarthritis referred for hip and knee replacement. Qual Life Res. 2015;24(7):1775-84.</w:t>
      </w:r>
    </w:p>
    <w:p w14:paraId="4E867126" w14:textId="7E18EB45" w:rsidR="00E608A7" w:rsidRPr="00CE5546" w:rsidRDefault="00E001B5" w:rsidP="00511F60">
      <w:pPr>
        <w:pStyle w:val="EndNoteBibliography"/>
        <w:spacing w:line="480" w:lineRule="auto"/>
        <w:rPr>
          <w:rFonts w:ascii="Arial" w:hAnsi="Arial" w:cs="Arial"/>
          <w:noProof/>
        </w:rPr>
      </w:pPr>
      <w:r>
        <w:rPr>
          <w:rFonts w:ascii="Arial" w:hAnsi="Arial" w:cs="Arial"/>
          <w:noProof/>
        </w:rPr>
        <w:t>1</w:t>
      </w:r>
      <w:r w:rsidR="00462751">
        <w:rPr>
          <w:rFonts w:ascii="Arial" w:hAnsi="Arial" w:cs="Arial"/>
          <w:noProof/>
        </w:rPr>
        <w:t>6</w:t>
      </w:r>
      <w:r w:rsidR="00E608A7" w:rsidRPr="00CE5546">
        <w:rPr>
          <w:rFonts w:ascii="Arial" w:hAnsi="Arial" w:cs="Arial"/>
          <w:noProof/>
        </w:rPr>
        <w:t>.</w:t>
      </w:r>
      <w:r w:rsidR="00E608A7" w:rsidRPr="00CE5546">
        <w:rPr>
          <w:rFonts w:ascii="Arial" w:hAnsi="Arial" w:cs="Arial"/>
          <w:noProof/>
        </w:rPr>
        <w:tab/>
      </w:r>
      <w:r w:rsidR="005C59D3" w:rsidRPr="005C59D3">
        <w:rPr>
          <w:rFonts w:ascii="Arial" w:hAnsi="Arial" w:cs="Arial"/>
          <w:noProof/>
        </w:rPr>
        <w:t>Devlin N, Shah K, Feng Y, Mulhern B, Van Hout B. Valuing Health-Related Quality of Life: An EQ-5D-5L Value Set for England. London: Office of Health Economics; 2016. Research Paper 16/01.</w:t>
      </w:r>
    </w:p>
    <w:p w14:paraId="16AF9640" w14:textId="31D27838" w:rsidR="00E608A7" w:rsidRPr="00CE5546" w:rsidRDefault="00E001B5" w:rsidP="00511F60">
      <w:pPr>
        <w:pStyle w:val="EndNoteBibliography"/>
        <w:spacing w:line="480" w:lineRule="auto"/>
        <w:rPr>
          <w:rFonts w:ascii="Arial" w:hAnsi="Arial" w:cs="Arial"/>
          <w:noProof/>
        </w:rPr>
      </w:pPr>
      <w:r>
        <w:rPr>
          <w:rFonts w:ascii="Arial" w:hAnsi="Arial" w:cs="Arial"/>
          <w:noProof/>
        </w:rPr>
        <w:t>1</w:t>
      </w:r>
      <w:r w:rsidR="00462751">
        <w:rPr>
          <w:rFonts w:ascii="Arial" w:hAnsi="Arial" w:cs="Arial"/>
          <w:noProof/>
        </w:rPr>
        <w:t>7</w:t>
      </w:r>
      <w:r w:rsidR="00E608A7" w:rsidRPr="00CE5546">
        <w:rPr>
          <w:rFonts w:ascii="Arial" w:hAnsi="Arial" w:cs="Arial"/>
          <w:noProof/>
        </w:rPr>
        <w:t>.</w:t>
      </w:r>
      <w:r w:rsidR="00E608A7" w:rsidRPr="00CE5546">
        <w:rPr>
          <w:rFonts w:ascii="Arial" w:hAnsi="Arial" w:cs="Arial"/>
          <w:noProof/>
        </w:rPr>
        <w:tab/>
        <w:t>NICE. Guide to the methods of technology appraisal 2013. London: National Institute of Health and Care Excellence; 2013.</w:t>
      </w:r>
    </w:p>
    <w:p w14:paraId="1CB2FAED" w14:textId="4A049D8A" w:rsidR="00E608A7" w:rsidRPr="00FC51E7" w:rsidRDefault="00462751" w:rsidP="00511F60">
      <w:pPr>
        <w:pStyle w:val="EndNoteBibliography"/>
        <w:spacing w:line="480" w:lineRule="auto"/>
        <w:rPr>
          <w:rFonts w:ascii="Arial" w:hAnsi="Arial" w:cs="Arial"/>
          <w:noProof/>
          <w:lang w:val="es-VE"/>
        </w:rPr>
      </w:pPr>
      <w:r>
        <w:rPr>
          <w:rFonts w:ascii="Arial" w:hAnsi="Arial" w:cs="Arial"/>
          <w:noProof/>
        </w:rPr>
        <w:t>18</w:t>
      </w:r>
      <w:r w:rsidR="00E608A7" w:rsidRPr="00CE5546">
        <w:rPr>
          <w:rFonts w:ascii="Arial" w:hAnsi="Arial" w:cs="Arial"/>
          <w:noProof/>
        </w:rPr>
        <w:t>.</w:t>
      </w:r>
      <w:r w:rsidR="00E608A7" w:rsidRPr="00CE5546">
        <w:rPr>
          <w:rFonts w:ascii="Arial" w:hAnsi="Arial" w:cs="Arial"/>
          <w:noProof/>
        </w:rPr>
        <w:tab/>
        <w:t xml:space="preserve">Clemens S, Begum N, Harper C, Whitty JA, Scuffham PA. A comparison of EQ-5D-3L population norms in Queensland, Australia, estimated using utility value sets from Australia, the UK and USA. </w:t>
      </w:r>
      <w:r w:rsidR="00E608A7" w:rsidRPr="004C702B">
        <w:rPr>
          <w:rFonts w:ascii="Arial" w:hAnsi="Arial" w:cs="Arial"/>
          <w:noProof/>
          <w:lang w:val="es-VE"/>
        </w:rPr>
        <w:t>Qu</w:t>
      </w:r>
      <w:r w:rsidR="00942C89">
        <w:rPr>
          <w:rFonts w:ascii="Arial" w:hAnsi="Arial" w:cs="Arial"/>
          <w:noProof/>
          <w:lang w:val="es-VE"/>
        </w:rPr>
        <w:t>al Life Res. 2014;23(8):2375-</w:t>
      </w:r>
      <w:r>
        <w:rPr>
          <w:rFonts w:ascii="Arial" w:hAnsi="Arial" w:cs="Arial"/>
          <w:noProof/>
          <w:lang w:val="es-VE"/>
        </w:rPr>
        <w:t>19</w:t>
      </w:r>
      <w:r w:rsidR="00E608A7" w:rsidRPr="004C702B">
        <w:rPr>
          <w:rFonts w:ascii="Arial" w:hAnsi="Arial" w:cs="Arial"/>
          <w:noProof/>
          <w:lang w:val="es-VE"/>
        </w:rPr>
        <w:t>.</w:t>
      </w:r>
      <w:r w:rsidR="00E608A7" w:rsidRPr="004C702B">
        <w:rPr>
          <w:rFonts w:ascii="Arial" w:hAnsi="Arial" w:cs="Arial"/>
          <w:noProof/>
          <w:lang w:val="es-VE"/>
        </w:rPr>
        <w:tab/>
        <w:t xml:space="preserve">Angelis A, Kanavos P, López-Bastida J, Linertová R, Nicod E, Serrano-Aguilar P, </w:t>
      </w:r>
      <w:r w:rsidR="00FC51E7" w:rsidRPr="00FC51E7">
        <w:rPr>
          <w:rFonts w:ascii="Arial" w:hAnsi="Arial" w:cs="Arial"/>
          <w:noProof/>
          <w:lang w:val="es-VE"/>
        </w:rPr>
        <w:t>BURQOL-RD Research Network</w:t>
      </w:r>
      <w:r w:rsidR="00E608A7" w:rsidRPr="004C702B">
        <w:rPr>
          <w:rFonts w:ascii="Arial" w:hAnsi="Arial" w:cs="Arial"/>
          <w:noProof/>
          <w:lang w:val="es-VE"/>
        </w:rPr>
        <w:t xml:space="preserve">. </w:t>
      </w:r>
      <w:r w:rsidR="00E608A7" w:rsidRPr="00CE5546">
        <w:rPr>
          <w:rFonts w:ascii="Arial" w:hAnsi="Arial" w:cs="Arial"/>
          <w:noProof/>
        </w:rPr>
        <w:t>Social and economic costs and health-related quality of life in non-institutionalised patients with cystic fibrosis in the United Kingdom. BMC Health Serv Res. 2015;15:428.</w:t>
      </w:r>
    </w:p>
    <w:p w14:paraId="0B8EEE07" w14:textId="2E68D0F3" w:rsidR="00E001B5" w:rsidRDefault="00462751" w:rsidP="00E001B5">
      <w:pPr>
        <w:pStyle w:val="EndNoteBibliography"/>
        <w:spacing w:line="480" w:lineRule="auto"/>
        <w:rPr>
          <w:rFonts w:ascii="Arial" w:hAnsi="Arial" w:cs="Arial"/>
          <w:noProof/>
        </w:rPr>
      </w:pPr>
      <w:r>
        <w:rPr>
          <w:rFonts w:ascii="Arial" w:hAnsi="Arial" w:cs="Arial"/>
          <w:noProof/>
          <w:lang w:val="en-GB"/>
        </w:rPr>
        <w:lastRenderedPageBreak/>
        <w:t>20</w:t>
      </w:r>
      <w:r w:rsidR="00E608A7" w:rsidRPr="00E001B5">
        <w:rPr>
          <w:rFonts w:ascii="Arial" w:hAnsi="Arial" w:cs="Arial"/>
          <w:noProof/>
          <w:lang w:val="en-GB"/>
        </w:rPr>
        <w:t>.</w:t>
      </w:r>
      <w:r w:rsidR="00E608A7" w:rsidRPr="00E001B5">
        <w:rPr>
          <w:rFonts w:ascii="Arial" w:hAnsi="Arial" w:cs="Arial"/>
          <w:noProof/>
          <w:lang w:val="en-GB"/>
        </w:rPr>
        <w:tab/>
      </w:r>
      <w:r w:rsidR="00E001B5" w:rsidRPr="004338CD">
        <w:rPr>
          <w:rFonts w:ascii="Arial" w:hAnsi="Arial" w:cs="Arial"/>
          <w:noProof/>
        </w:rPr>
        <w:t>Tosi LL, Oetgen ME, Floor MK, Huber MB, Kennelly AM, McCarter RJ, Rak MF, Simmonds BJ, Simpson MD, Tucker CA, McKiernan FE</w:t>
      </w:r>
      <w:r>
        <w:rPr>
          <w:rFonts w:ascii="Arial" w:hAnsi="Arial" w:cs="Arial"/>
          <w:noProof/>
        </w:rPr>
        <w:t>.</w:t>
      </w:r>
      <w:r w:rsidR="00E001B5" w:rsidRPr="004338CD">
        <w:rPr>
          <w:rFonts w:ascii="Arial" w:hAnsi="Arial" w:cs="Arial"/>
          <w:noProof/>
        </w:rPr>
        <w:t xml:space="preserve"> Initial report of the osteogenesis imperfecta adult natural history initiative. Orphanet J Rare Dis</w:t>
      </w:r>
      <w:r w:rsidR="00FC51E7">
        <w:rPr>
          <w:rFonts w:ascii="Arial" w:hAnsi="Arial" w:cs="Arial"/>
          <w:noProof/>
        </w:rPr>
        <w:t>. 2015; 10</w:t>
      </w:r>
      <w:r w:rsidR="00E670B4">
        <w:rPr>
          <w:rFonts w:ascii="Arial" w:hAnsi="Arial" w:cs="Arial"/>
          <w:noProof/>
        </w:rPr>
        <w:t>:146</w:t>
      </w:r>
      <w:r w:rsidR="00E001B5" w:rsidRPr="004338CD">
        <w:rPr>
          <w:rFonts w:ascii="Arial" w:hAnsi="Arial" w:cs="Arial"/>
          <w:noProof/>
        </w:rPr>
        <w:t>.</w:t>
      </w:r>
    </w:p>
    <w:p w14:paraId="15EFA6DF" w14:textId="5119CECE" w:rsidR="00E001B5" w:rsidRDefault="00462751" w:rsidP="00E001B5">
      <w:pPr>
        <w:pStyle w:val="EndNoteBibliography"/>
        <w:spacing w:line="480" w:lineRule="auto"/>
        <w:rPr>
          <w:rFonts w:ascii="Arial" w:hAnsi="Arial" w:cs="Arial"/>
          <w:noProof/>
        </w:rPr>
      </w:pPr>
      <w:r>
        <w:rPr>
          <w:rFonts w:ascii="Arial" w:hAnsi="Arial" w:cs="Arial"/>
          <w:noProof/>
          <w:lang w:val="en-GB"/>
        </w:rPr>
        <w:t>21</w:t>
      </w:r>
      <w:r w:rsidR="00E001B5" w:rsidRPr="00E001B5">
        <w:rPr>
          <w:rFonts w:ascii="Arial" w:hAnsi="Arial" w:cs="Arial"/>
          <w:noProof/>
          <w:lang w:val="en-GB"/>
        </w:rPr>
        <w:t>.</w:t>
      </w:r>
      <w:r w:rsidR="00E001B5" w:rsidRPr="00E001B5">
        <w:rPr>
          <w:rFonts w:ascii="Arial" w:hAnsi="Arial" w:cs="Arial"/>
          <w:noProof/>
        </w:rPr>
        <w:t xml:space="preserve"> </w:t>
      </w:r>
      <w:r w:rsidR="00612837">
        <w:rPr>
          <w:rFonts w:ascii="Arial" w:hAnsi="Arial" w:cs="Arial"/>
          <w:noProof/>
        </w:rPr>
        <w:tab/>
      </w:r>
      <w:r w:rsidR="00E001B5" w:rsidRPr="004338CD">
        <w:rPr>
          <w:rFonts w:ascii="Arial" w:hAnsi="Arial" w:cs="Arial"/>
          <w:noProof/>
        </w:rPr>
        <w:t>Feng Y, Devlin N, Herdman M</w:t>
      </w:r>
      <w:r>
        <w:rPr>
          <w:rFonts w:ascii="Arial" w:hAnsi="Arial" w:cs="Arial"/>
          <w:noProof/>
        </w:rPr>
        <w:t>.</w:t>
      </w:r>
      <w:r w:rsidR="00E001B5" w:rsidRPr="004338CD">
        <w:rPr>
          <w:rFonts w:ascii="Arial" w:hAnsi="Arial" w:cs="Arial"/>
          <w:noProof/>
        </w:rPr>
        <w:t xml:space="preserve"> Assessing the health of the general population in England: how do the three- and five-level versions of EQ-5D compare? Health Qual Life Outcomes</w:t>
      </w:r>
      <w:r w:rsidR="00FC51E7">
        <w:rPr>
          <w:rFonts w:ascii="Arial" w:hAnsi="Arial" w:cs="Arial"/>
          <w:noProof/>
        </w:rPr>
        <w:t>. 2015; 13(1)</w:t>
      </w:r>
      <w:r w:rsidR="00E670B4">
        <w:rPr>
          <w:rFonts w:ascii="Arial" w:hAnsi="Arial" w:cs="Arial"/>
          <w:noProof/>
        </w:rPr>
        <w:t>:171</w:t>
      </w:r>
      <w:r w:rsidR="00E001B5" w:rsidRPr="004338CD">
        <w:rPr>
          <w:rFonts w:ascii="Arial" w:hAnsi="Arial" w:cs="Arial"/>
          <w:noProof/>
        </w:rPr>
        <w:t>.</w:t>
      </w:r>
    </w:p>
    <w:p w14:paraId="19511856" w14:textId="0F3FCBF7" w:rsidR="00E608A7" w:rsidRPr="00CE5546" w:rsidRDefault="00462751" w:rsidP="00511F60">
      <w:pPr>
        <w:pStyle w:val="EndNoteBibliography"/>
        <w:spacing w:line="480" w:lineRule="auto"/>
        <w:rPr>
          <w:rFonts w:ascii="Arial" w:hAnsi="Arial" w:cs="Arial"/>
          <w:noProof/>
        </w:rPr>
      </w:pPr>
      <w:r w:rsidRPr="00462751">
        <w:rPr>
          <w:rFonts w:ascii="Arial" w:hAnsi="Arial" w:cs="Arial"/>
          <w:noProof/>
          <w:lang w:val="en-GB"/>
        </w:rPr>
        <w:t>22</w:t>
      </w:r>
      <w:r w:rsidR="00E001B5" w:rsidRPr="00462751">
        <w:rPr>
          <w:rFonts w:ascii="Arial" w:hAnsi="Arial" w:cs="Arial"/>
          <w:noProof/>
          <w:lang w:val="en-GB"/>
        </w:rPr>
        <w:t xml:space="preserve">. </w:t>
      </w:r>
      <w:r w:rsidR="00612837" w:rsidRPr="00462751">
        <w:rPr>
          <w:rFonts w:ascii="Arial" w:hAnsi="Arial" w:cs="Arial"/>
          <w:noProof/>
          <w:lang w:val="en-GB"/>
        </w:rPr>
        <w:tab/>
      </w:r>
      <w:r w:rsidR="00E608A7" w:rsidRPr="00462751">
        <w:rPr>
          <w:rFonts w:ascii="Arial" w:hAnsi="Arial" w:cs="Arial"/>
          <w:noProof/>
          <w:lang w:val="en-GB"/>
        </w:rPr>
        <w:t xml:space="preserve">Böckerman P, Johansson E, Saarni SI. </w:t>
      </w:r>
      <w:r w:rsidR="00E608A7" w:rsidRPr="00CE5546">
        <w:rPr>
          <w:rFonts w:ascii="Arial" w:hAnsi="Arial" w:cs="Arial"/>
          <w:noProof/>
        </w:rPr>
        <w:t>Do established health-related quality-of-life measures adequately capture the impact of chronic conditions on subjective well-being? Health Policy. 2011;100(1):91-5.</w:t>
      </w:r>
    </w:p>
    <w:p w14:paraId="571F6499" w14:textId="082921DA" w:rsidR="00E608A7" w:rsidRDefault="00462751" w:rsidP="00511F60">
      <w:pPr>
        <w:pStyle w:val="EndNoteBibliography"/>
        <w:spacing w:line="480" w:lineRule="auto"/>
        <w:rPr>
          <w:rFonts w:ascii="Arial" w:hAnsi="Arial" w:cs="Arial"/>
          <w:noProof/>
        </w:rPr>
      </w:pPr>
      <w:r>
        <w:rPr>
          <w:rFonts w:ascii="Arial" w:hAnsi="Arial" w:cs="Arial"/>
          <w:noProof/>
        </w:rPr>
        <w:t>23</w:t>
      </w:r>
      <w:r w:rsidR="00E608A7" w:rsidRPr="00CE5546">
        <w:rPr>
          <w:rFonts w:ascii="Arial" w:hAnsi="Arial" w:cs="Arial"/>
          <w:noProof/>
        </w:rPr>
        <w:t>.</w:t>
      </w:r>
      <w:r w:rsidR="00E608A7" w:rsidRPr="00CE5546">
        <w:rPr>
          <w:rFonts w:ascii="Arial" w:hAnsi="Arial" w:cs="Arial"/>
          <w:noProof/>
        </w:rPr>
        <w:tab/>
        <w:t>Hill CL, Baird WO, Walters SJ. Quality of life in children and adolescents with Osteogenesis Imperfecta: a qualitative interview based study. Health Qual Life Outcomes. 2014;12:54.</w:t>
      </w:r>
    </w:p>
    <w:p w14:paraId="66CEC61C" w14:textId="77777777" w:rsidR="004338CD" w:rsidRDefault="004338CD" w:rsidP="00511F60">
      <w:pPr>
        <w:pStyle w:val="EndNoteBibliography"/>
        <w:spacing w:line="480" w:lineRule="auto"/>
        <w:rPr>
          <w:rFonts w:ascii="Arial" w:hAnsi="Arial" w:cs="Arial"/>
          <w:noProof/>
        </w:rPr>
      </w:pPr>
    </w:p>
    <w:p w14:paraId="2DB59A12" w14:textId="5283F296" w:rsidR="00A46458" w:rsidRDefault="00A46458" w:rsidP="00CA19BA">
      <w:pPr>
        <w:spacing w:line="480" w:lineRule="auto"/>
        <w:rPr>
          <w:rFonts w:ascii="Arial" w:hAnsi="Arial" w:cs="Arial"/>
          <w:noProof/>
        </w:rPr>
      </w:pPr>
      <w:r>
        <w:rPr>
          <w:rFonts w:ascii="Arial" w:hAnsi="Arial" w:cs="Arial"/>
          <w:noProof/>
        </w:rPr>
        <w:br w:type="page"/>
      </w:r>
    </w:p>
    <w:p w14:paraId="66D66B54" w14:textId="4C801E48" w:rsidR="00A46458" w:rsidRDefault="00A46458" w:rsidP="00CA19BA">
      <w:pPr>
        <w:spacing w:line="480" w:lineRule="auto"/>
        <w:jc w:val="center"/>
        <w:rPr>
          <w:rFonts w:ascii="Arial" w:hAnsi="Arial"/>
          <w:b/>
        </w:rPr>
      </w:pPr>
      <w:r w:rsidRPr="00CA53A3">
        <w:rPr>
          <w:rFonts w:ascii="Arial" w:hAnsi="Arial"/>
          <w:b/>
        </w:rPr>
        <w:lastRenderedPageBreak/>
        <w:t>Figures Titles and Legends</w:t>
      </w:r>
    </w:p>
    <w:p w14:paraId="283C3EBF" w14:textId="77777777" w:rsidR="000F30B2" w:rsidRPr="00CA53A3" w:rsidRDefault="000F30B2" w:rsidP="00CA19BA">
      <w:pPr>
        <w:spacing w:line="480" w:lineRule="auto"/>
        <w:jc w:val="center"/>
        <w:rPr>
          <w:rFonts w:ascii="Arial" w:hAnsi="Arial"/>
          <w:b/>
        </w:rPr>
      </w:pPr>
    </w:p>
    <w:p w14:paraId="613E8C95" w14:textId="77777777" w:rsidR="00A46458" w:rsidRPr="00CA53A3" w:rsidRDefault="00A46458" w:rsidP="00CA19BA">
      <w:pPr>
        <w:spacing w:line="480" w:lineRule="auto"/>
        <w:rPr>
          <w:rFonts w:ascii="Arial" w:hAnsi="Arial"/>
        </w:rPr>
      </w:pPr>
      <w:r w:rsidRPr="00CA53A3">
        <w:rPr>
          <w:rFonts w:ascii="Arial" w:hAnsi="Arial"/>
          <w:b/>
        </w:rPr>
        <w:t>Figure 1:</w:t>
      </w:r>
      <w:r w:rsidRPr="00CA53A3">
        <w:rPr>
          <w:rFonts w:ascii="Arial" w:hAnsi="Arial"/>
        </w:rPr>
        <w:t xml:space="preserve"> Percentage of respondents in each disease group reporting no/slight, moderate and severe/extreme for each EQ-5D-5L dimension</w:t>
      </w:r>
    </w:p>
    <w:p w14:paraId="37A41788" w14:textId="77777777" w:rsidR="00A46458" w:rsidRPr="00CA53A3" w:rsidRDefault="00A46458" w:rsidP="00CA19BA">
      <w:pPr>
        <w:spacing w:line="480" w:lineRule="auto"/>
        <w:rPr>
          <w:rFonts w:ascii="Arial" w:hAnsi="Arial"/>
        </w:rPr>
      </w:pPr>
      <w:r w:rsidRPr="00CA53A3">
        <w:rPr>
          <w:rFonts w:ascii="Arial" w:hAnsi="Arial"/>
        </w:rPr>
        <w:t xml:space="preserve"> </w:t>
      </w:r>
    </w:p>
    <w:p w14:paraId="2D27895C" w14:textId="77777777" w:rsidR="00A46458" w:rsidRPr="00CA53A3" w:rsidRDefault="00A46458" w:rsidP="00CA19BA">
      <w:pPr>
        <w:spacing w:line="480" w:lineRule="auto"/>
        <w:rPr>
          <w:rFonts w:ascii="Arial" w:hAnsi="Arial"/>
        </w:rPr>
      </w:pPr>
      <w:r w:rsidRPr="00CA53A3">
        <w:rPr>
          <w:rFonts w:ascii="Arial" w:hAnsi="Arial"/>
          <w:b/>
        </w:rPr>
        <w:t>Figure 2:</w:t>
      </w:r>
      <w:r w:rsidRPr="00CA53A3">
        <w:rPr>
          <w:rFonts w:ascii="Arial" w:hAnsi="Arial"/>
        </w:rPr>
        <w:t xml:space="preserve"> Distribution of EQ-5D-5L health state summary score based on the England value set for each disease group</w:t>
      </w:r>
    </w:p>
    <w:p w14:paraId="60CD56CD" w14:textId="77777777" w:rsidR="00A46458" w:rsidRPr="00CA53A3" w:rsidRDefault="00A46458" w:rsidP="00CA19BA">
      <w:pPr>
        <w:spacing w:line="480" w:lineRule="auto"/>
        <w:rPr>
          <w:rFonts w:ascii="Arial" w:hAnsi="Arial"/>
        </w:rPr>
      </w:pPr>
      <w:r w:rsidRPr="000F30B2">
        <w:rPr>
          <w:rFonts w:ascii="Arial" w:hAnsi="Arial"/>
          <w:b/>
        </w:rPr>
        <w:t xml:space="preserve"> Legend:</w:t>
      </w:r>
      <w:r w:rsidRPr="00CA53A3">
        <w:rPr>
          <w:rFonts w:ascii="Arial" w:hAnsi="Arial"/>
        </w:rPr>
        <w:t xml:space="preserve"> Kernal density of EQ5D health utility scores shown for adults with Osteogenesis Imperfecta (OI), Fibrous Dysplasia (FD) and X-Linked Hypophosphataemia (XLH). </w:t>
      </w:r>
    </w:p>
    <w:p w14:paraId="4087E225" w14:textId="77777777" w:rsidR="00A46458" w:rsidRPr="00CA53A3" w:rsidRDefault="00A46458" w:rsidP="00CA19BA">
      <w:pPr>
        <w:spacing w:line="480" w:lineRule="auto"/>
        <w:rPr>
          <w:rFonts w:ascii="Arial" w:hAnsi="Arial"/>
        </w:rPr>
      </w:pPr>
      <w:r w:rsidRPr="00CA53A3">
        <w:rPr>
          <w:rFonts w:ascii="Arial" w:hAnsi="Arial"/>
        </w:rPr>
        <w:t xml:space="preserve"> </w:t>
      </w:r>
    </w:p>
    <w:p w14:paraId="37FB7FF5" w14:textId="77777777" w:rsidR="00A46458" w:rsidRPr="00CA53A3" w:rsidRDefault="00A46458" w:rsidP="00CA19BA">
      <w:pPr>
        <w:spacing w:line="480" w:lineRule="auto"/>
        <w:rPr>
          <w:rFonts w:ascii="Arial" w:hAnsi="Arial"/>
        </w:rPr>
      </w:pPr>
      <w:r w:rsidRPr="00CA53A3">
        <w:rPr>
          <w:rFonts w:ascii="Arial" w:hAnsi="Arial"/>
          <w:b/>
        </w:rPr>
        <w:t>Figure 3:</w:t>
      </w:r>
      <w:r w:rsidRPr="00CA53A3">
        <w:rPr>
          <w:rFonts w:ascii="Arial" w:hAnsi="Arial"/>
        </w:rPr>
        <w:t xml:space="preserve"> Distribution of EQ-5D-5L Visual Analogue Score for each disease group</w:t>
      </w:r>
    </w:p>
    <w:p w14:paraId="46689DAA" w14:textId="77777777" w:rsidR="00A46458" w:rsidRPr="00CA53A3" w:rsidRDefault="00A46458" w:rsidP="00CA19BA">
      <w:pPr>
        <w:spacing w:line="480" w:lineRule="auto"/>
        <w:rPr>
          <w:rFonts w:ascii="Arial" w:hAnsi="Arial"/>
        </w:rPr>
      </w:pPr>
      <w:r w:rsidRPr="000F30B2">
        <w:rPr>
          <w:rFonts w:ascii="Arial" w:hAnsi="Arial"/>
          <w:b/>
        </w:rPr>
        <w:t>Legend:</w:t>
      </w:r>
      <w:r w:rsidRPr="00CA53A3">
        <w:rPr>
          <w:rFonts w:ascii="Arial" w:hAnsi="Arial"/>
        </w:rPr>
        <w:t xml:space="preserve"> Kernal density of EQ5D Visual analogue scale for health shown for adults with Osteogenesis Imperfecta (OI), Fibrous Dysplasia (FD) and X-Linked Hypophosphataemia (XLH). </w:t>
      </w:r>
    </w:p>
    <w:p w14:paraId="36755D6C" w14:textId="77777777" w:rsidR="00A46458" w:rsidRPr="00CA53A3" w:rsidRDefault="00A46458" w:rsidP="00CA19BA">
      <w:pPr>
        <w:spacing w:line="480" w:lineRule="auto"/>
        <w:rPr>
          <w:rFonts w:ascii="Arial" w:hAnsi="Arial"/>
        </w:rPr>
      </w:pPr>
      <w:r w:rsidRPr="00CA53A3">
        <w:rPr>
          <w:rFonts w:ascii="Arial" w:hAnsi="Arial"/>
        </w:rPr>
        <w:t xml:space="preserve"> </w:t>
      </w:r>
    </w:p>
    <w:p w14:paraId="393204D2" w14:textId="5FF3A44C" w:rsidR="00A46458" w:rsidRPr="00CA53A3" w:rsidRDefault="00A46458" w:rsidP="00CA19BA">
      <w:pPr>
        <w:spacing w:line="480" w:lineRule="auto"/>
        <w:rPr>
          <w:rFonts w:ascii="Arial" w:hAnsi="Arial"/>
        </w:rPr>
      </w:pPr>
      <w:r w:rsidRPr="00CA53A3">
        <w:rPr>
          <w:rFonts w:ascii="Arial" w:hAnsi="Arial"/>
          <w:b/>
        </w:rPr>
        <w:t>Supplementary figure</w:t>
      </w:r>
      <w:r w:rsidR="000F30B2">
        <w:rPr>
          <w:rFonts w:ascii="Arial" w:hAnsi="Arial"/>
          <w:b/>
        </w:rPr>
        <w:t xml:space="preserve"> 1</w:t>
      </w:r>
      <w:r w:rsidRPr="00CA53A3">
        <w:rPr>
          <w:rFonts w:ascii="Arial" w:hAnsi="Arial"/>
          <w:b/>
        </w:rPr>
        <w:t>:</w:t>
      </w:r>
      <w:r w:rsidRPr="00CA53A3">
        <w:rPr>
          <w:rFonts w:ascii="Arial" w:hAnsi="Arial"/>
        </w:rPr>
        <w:t xml:space="preserve"> Health utility by EQ-5D tertiles for adults with Osteogenesis Imperfecta</w:t>
      </w:r>
    </w:p>
    <w:p w14:paraId="050AA4AC" w14:textId="7028CBE5" w:rsidR="00CA19BA" w:rsidRPr="00CA53A3" w:rsidRDefault="00A46458" w:rsidP="004C702B">
      <w:pPr>
        <w:spacing w:line="480" w:lineRule="auto"/>
        <w:rPr>
          <w:rFonts w:ascii="Arial" w:hAnsi="Arial"/>
        </w:rPr>
      </w:pPr>
      <w:r w:rsidRPr="00CA53A3">
        <w:rPr>
          <w:rFonts w:ascii="Arial" w:hAnsi="Arial"/>
          <w:b/>
        </w:rPr>
        <w:t>Legend:</w:t>
      </w:r>
      <w:r w:rsidRPr="00CA53A3">
        <w:rPr>
          <w:rFonts w:ascii="Arial" w:hAnsi="Arial"/>
        </w:rPr>
        <w:t xml:space="preserve"> The top tertile scored between 0.817 and 1 and averaged 0.896, and those in the middle tertile reported scores ranging from 0.676 to 0.816, with a mean estimated health utility of 0.745. The lowest tertile comprised individuals scoring as low as -0.180 and no higher than 0.673, with a mean for the group at 0.350.</w:t>
      </w:r>
    </w:p>
    <w:p w14:paraId="6E68464E" w14:textId="77777777" w:rsidR="000F30B2" w:rsidRDefault="000F30B2" w:rsidP="004C702B">
      <w:pPr>
        <w:spacing w:line="480" w:lineRule="auto"/>
        <w:rPr>
          <w:rFonts w:ascii="Arial" w:hAnsi="Arial"/>
          <w:b/>
          <w:lang w:val="en-GB"/>
        </w:rPr>
      </w:pPr>
    </w:p>
    <w:p w14:paraId="12D71E8A" w14:textId="77777777" w:rsidR="000F30B2" w:rsidRDefault="000F30B2" w:rsidP="004C702B">
      <w:pPr>
        <w:spacing w:line="480" w:lineRule="auto"/>
        <w:rPr>
          <w:rFonts w:ascii="Arial" w:hAnsi="Arial"/>
          <w:b/>
          <w:lang w:val="en-GB"/>
        </w:rPr>
      </w:pPr>
    </w:p>
    <w:p w14:paraId="06D688E7" w14:textId="7486DB5B" w:rsidR="00F97FD8" w:rsidRDefault="00E608A7" w:rsidP="004C702B">
      <w:pPr>
        <w:spacing w:line="480" w:lineRule="auto"/>
        <w:rPr>
          <w:rFonts w:ascii="Arial" w:hAnsi="Arial" w:cs="Arial"/>
          <w:b/>
          <w:lang w:val="en-GB"/>
        </w:rPr>
      </w:pPr>
      <w:r w:rsidRPr="003520DA">
        <w:rPr>
          <w:rFonts w:ascii="Arial" w:hAnsi="Arial"/>
          <w:b/>
          <w:lang w:val="en-GB"/>
        </w:rPr>
        <w:t>Tables</w:t>
      </w:r>
    </w:p>
    <w:p w14:paraId="164B4F29" w14:textId="7853E73B" w:rsidR="003520DA" w:rsidRDefault="00903609" w:rsidP="00511F60">
      <w:pPr>
        <w:spacing w:line="480" w:lineRule="auto"/>
        <w:rPr>
          <w:b/>
          <w:lang w:val="en-GB"/>
        </w:rPr>
      </w:pPr>
      <w:r>
        <w:rPr>
          <w:rFonts w:ascii="Arial" w:hAnsi="Arial" w:cs="Arial"/>
          <w:b/>
          <w:lang w:val="en-GB"/>
        </w:rPr>
        <w:t xml:space="preserve">(Table 2 is to be positioned at line 248) </w:t>
      </w:r>
    </w:p>
    <w:p w14:paraId="5FFAFC73" w14:textId="77777777" w:rsidR="00E608A7" w:rsidRPr="00AD451B" w:rsidRDefault="00E608A7" w:rsidP="00511F60">
      <w:pPr>
        <w:spacing w:line="480" w:lineRule="auto"/>
        <w:rPr>
          <w:rFonts w:ascii="Arial" w:hAnsi="Arial"/>
          <w:b/>
          <w:lang w:val="en-GB"/>
        </w:rPr>
      </w:pPr>
      <w:r w:rsidRPr="00511F60">
        <w:rPr>
          <w:rFonts w:ascii="Arial" w:hAnsi="Arial"/>
          <w:b/>
          <w:lang w:val="en-GB"/>
        </w:rPr>
        <w:t xml:space="preserve">Table 2: </w:t>
      </w:r>
      <w:r w:rsidRPr="00AD451B">
        <w:rPr>
          <w:rFonts w:ascii="Arial" w:hAnsi="Arial"/>
          <w:b/>
          <w:lang w:val="en-GB"/>
        </w:rPr>
        <w:t xml:space="preserve">Percentage of participants reporting level 1-5 for each EQ-5D-5L dimension by disease group </w:t>
      </w:r>
    </w:p>
    <w:p w14:paraId="1A5164CB" w14:textId="77777777" w:rsidR="00E608A7" w:rsidRPr="00AD451B" w:rsidRDefault="00E608A7" w:rsidP="00511F60">
      <w:pPr>
        <w:spacing w:line="480" w:lineRule="auto"/>
        <w:rPr>
          <w:lang w:val="en-GB"/>
        </w:rPr>
      </w:pPr>
    </w:p>
    <w:tbl>
      <w:tblPr>
        <w:tblStyle w:val="TableGrid"/>
        <w:tblW w:w="8755" w:type="dxa"/>
        <w:tblLayout w:type="fixed"/>
        <w:tblLook w:val="04A0" w:firstRow="1" w:lastRow="0" w:firstColumn="1" w:lastColumn="0" w:noHBand="0" w:noVBand="1"/>
      </w:tblPr>
      <w:tblGrid>
        <w:gridCol w:w="2689"/>
        <w:gridCol w:w="1559"/>
        <w:gridCol w:w="1559"/>
        <w:gridCol w:w="1559"/>
        <w:gridCol w:w="1389"/>
      </w:tblGrid>
      <w:tr w:rsidR="000C1AFB" w:rsidRPr="00AD451B" w14:paraId="445B4C7A" w14:textId="77777777" w:rsidTr="00C60956">
        <w:tc>
          <w:tcPr>
            <w:tcW w:w="2689" w:type="dxa"/>
            <w:vMerge w:val="restart"/>
          </w:tcPr>
          <w:p w14:paraId="40D5382F" w14:textId="300DE813" w:rsidR="000C1AFB" w:rsidRPr="00AD451B" w:rsidRDefault="000C1AFB" w:rsidP="00511F60">
            <w:pPr>
              <w:spacing w:line="480" w:lineRule="auto"/>
              <w:rPr>
                <w:rFonts w:ascii="Arial" w:hAnsi="Arial" w:cs="Arial"/>
                <w:b/>
                <w:lang w:val="en-GB"/>
              </w:rPr>
            </w:pPr>
            <w:r w:rsidRPr="00AD451B">
              <w:rPr>
                <w:rFonts w:ascii="Arial" w:hAnsi="Arial" w:cs="Arial"/>
                <w:b/>
                <w:lang w:val="en-GB"/>
              </w:rPr>
              <w:t>EQ-5D-5L dimensions</w:t>
            </w:r>
          </w:p>
        </w:tc>
        <w:tc>
          <w:tcPr>
            <w:tcW w:w="4677" w:type="dxa"/>
            <w:gridSpan w:val="3"/>
          </w:tcPr>
          <w:p w14:paraId="4ED9411C" w14:textId="45DAACC2" w:rsidR="000C1AFB" w:rsidRPr="00AD451B" w:rsidRDefault="000C1AFB" w:rsidP="00511F60">
            <w:pPr>
              <w:spacing w:line="480" w:lineRule="auto"/>
              <w:jc w:val="center"/>
              <w:rPr>
                <w:rFonts w:ascii="Arial" w:hAnsi="Arial" w:cs="Arial"/>
                <w:b/>
                <w:lang w:val="en-GB"/>
              </w:rPr>
            </w:pPr>
            <w:r>
              <w:rPr>
                <w:rFonts w:ascii="Arial" w:hAnsi="Arial" w:cs="Arial"/>
                <w:b/>
                <w:lang w:val="en-GB"/>
              </w:rPr>
              <w:t>Distribution of responses n (%)</w:t>
            </w:r>
          </w:p>
        </w:tc>
        <w:tc>
          <w:tcPr>
            <w:tcW w:w="1389" w:type="dxa"/>
          </w:tcPr>
          <w:p w14:paraId="7FA3A76F" w14:textId="77777777" w:rsidR="000C1AFB" w:rsidRPr="00AD451B" w:rsidRDefault="000C1AFB" w:rsidP="00511F60">
            <w:pPr>
              <w:spacing w:line="480" w:lineRule="auto"/>
              <w:rPr>
                <w:rFonts w:ascii="Arial" w:hAnsi="Arial" w:cs="Arial"/>
                <w:b/>
                <w:lang w:val="en-GB"/>
              </w:rPr>
            </w:pPr>
          </w:p>
        </w:tc>
      </w:tr>
      <w:tr w:rsidR="000C1AFB" w:rsidRPr="00AD451B" w14:paraId="76CE2577" w14:textId="77777777" w:rsidTr="00C60956">
        <w:tc>
          <w:tcPr>
            <w:tcW w:w="2689" w:type="dxa"/>
            <w:vMerge/>
          </w:tcPr>
          <w:p w14:paraId="3A7F3AD5" w14:textId="4FE8C657" w:rsidR="000C1AFB" w:rsidRPr="00AD451B" w:rsidRDefault="000C1AFB" w:rsidP="00511F60">
            <w:pPr>
              <w:spacing w:line="480" w:lineRule="auto"/>
              <w:rPr>
                <w:rFonts w:ascii="Arial" w:hAnsi="Arial" w:cs="Arial"/>
                <w:b/>
                <w:lang w:val="en-GB"/>
              </w:rPr>
            </w:pPr>
          </w:p>
        </w:tc>
        <w:tc>
          <w:tcPr>
            <w:tcW w:w="4677" w:type="dxa"/>
            <w:gridSpan w:val="3"/>
          </w:tcPr>
          <w:p w14:paraId="2CDBD1E7" w14:textId="1C907E16" w:rsidR="000C1AFB" w:rsidRPr="00AD451B" w:rsidRDefault="000C1AFB" w:rsidP="004C702B">
            <w:pPr>
              <w:spacing w:line="480" w:lineRule="auto"/>
              <w:jc w:val="center"/>
              <w:rPr>
                <w:rFonts w:ascii="Arial" w:hAnsi="Arial" w:cs="Arial"/>
                <w:b/>
                <w:lang w:val="en-GB"/>
              </w:rPr>
            </w:pPr>
            <w:r w:rsidRPr="00AD451B">
              <w:rPr>
                <w:rFonts w:ascii="Arial" w:hAnsi="Arial" w:cs="Arial"/>
                <w:b/>
                <w:lang w:val="en-GB"/>
              </w:rPr>
              <w:t>Diagnosis</w:t>
            </w:r>
          </w:p>
        </w:tc>
        <w:tc>
          <w:tcPr>
            <w:tcW w:w="1389" w:type="dxa"/>
          </w:tcPr>
          <w:p w14:paraId="08105D0B" w14:textId="77777777" w:rsidR="000C1AFB" w:rsidRPr="00AD451B" w:rsidRDefault="000C1AFB" w:rsidP="00511F60">
            <w:pPr>
              <w:spacing w:line="480" w:lineRule="auto"/>
              <w:rPr>
                <w:rFonts w:ascii="Arial" w:hAnsi="Arial" w:cs="Arial"/>
                <w:b/>
                <w:lang w:val="en-GB"/>
              </w:rPr>
            </w:pPr>
          </w:p>
        </w:tc>
      </w:tr>
      <w:tr w:rsidR="000C1AFB" w:rsidRPr="00AD451B" w14:paraId="7027CAFD" w14:textId="77777777" w:rsidTr="00C60956">
        <w:tc>
          <w:tcPr>
            <w:tcW w:w="2689" w:type="dxa"/>
            <w:vMerge/>
          </w:tcPr>
          <w:p w14:paraId="7D91C799" w14:textId="57E15731" w:rsidR="000C1AFB" w:rsidRPr="00AD451B" w:rsidRDefault="000C1AFB" w:rsidP="00511F60">
            <w:pPr>
              <w:spacing w:line="480" w:lineRule="auto"/>
              <w:rPr>
                <w:rFonts w:ascii="Arial" w:hAnsi="Arial" w:cs="Arial"/>
                <w:b/>
                <w:lang w:val="en-GB"/>
              </w:rPr>
            </w:pPr>
          </w:p>
        </w:tc>
        <w:tc>
          <w:tcPr>
            <w:tcW w:w="1559" w:type="dxa"/>
          </w:tcPr>
          <w:p w14:paraId="5CA32C45" w14:textId="77777777" w:rsidR="000C1AFB" w:rsidRPr="00AD451B" w:rsidRDefault="000C1AFB" w:rsidP="00511F60">
            <w:pPr>
              <w:spacing w:line="480" w:lineRule="auto"/>
              <w:rPr>
                <w:rFonts w:ascii="Arial" w:hAnsi="Arial" w:cs="Arial"/>
                <w:b/>
                <w:lang w:val="en-GB"/>
              </w:rPr>
            </w:pPr>
            <w:r w:rsidRPr="00AD451B">
              <w:rPr>
                <w:rFonts w:ascii="Arial" w:hAnsi="Arial" w:cs="Arial"/>
                <w:b/>
                <w:lang w:val="en-GB"/>
              </w:rPr>
              <w:t>OI</w:t>
            </w:r>
          </w:p>
        </w:tc>
        <w:tc>
          <w:tcPr>
            <w:tcW w:w="1559" w:type="dxa"/>
          </w:tcPr>
          <w:p w14:paraId="7AE63E49" w14:textId="77777777" w:rsidR="000C1AFB" w:rsidRPr="00AD451B" w:rsidRDefault="000C1AFB" w:rsidP="00511F60">
            <w:pPr>
              <w:spacing w:line="480" w:lineRule="auto"/>
              <w:rPr>
                <w:rFonts w:ascii="Arial" w:hAnsi="Arial" w:cs="Arial"/>
                <w:b/>
                <w:lang w:val="en-GB"/>
              </w:rPr>
            </w:pPr>
            <w:r w:rsidRPr="00AD451B">
              <w:rPr>
                <w:rFonts w:ascii="Arial" w:hAnsi="Arial" w:cs="Arial"/>
                <w:b/>
                <w:lang w:val="en-GB"/>
              </w:rPr>
              <w:t>FD</w:t>
            </w:r>
          </w:p>
        </w:tc>
        <w:tc>
          <w:tcPr>
            <w:tcW w:w="1559" w:type="dxa"/>
          </w:tcPr>
          <w:p w14:paraId="6DF073F2" w14:textId="77777777" w:rsidR="000C1AFB" w:rsidRPr="00AD451B" w:rsidRDefault="000C1AFB" w:rsidP="00511F60">
            <w:pPr>
              <w:spacing w:line="480" w:lineRule="auto"/>
              <w:rPr>
                <w:rFonts w:ascii="Arial" w:hAnsi="Arial" w:cs="Arial"/>
                <w:b/>
                <w:lang w:val="en-GB"/>
              </w:rPr>
            </w:pPr>
            <w:r w:rsidRPr="00AD451B">
              <w:rPr>
                <w:rFonts w:ascii="Arial" w:hAnsi="Arial" w:cs="Arial"/>
                <w:b/>
                <w:lang w:val="en-GB"/>
              </w:rPr>
              <w:t>XLH</w:t>
            </w:r>
          </w:p>
        </w:tc>
        <w:tc>
          <w:tcPr>
            <w:tcW w:w="1389" w:type="dxa"/>
          </w:tcPr>
          <w:p w14:paraId="3C9D0DD0" w14:textId="77777777" w:rsidR="000C1AFB" w:rsidRPr="00AD451B" w:rsidRDefault="000C1AFB" w:rsidP="00511F60">
            <w:pPr>
              <w:spacing w:line="480" w:lineRule="auto"/>
              <w:rPr>
                <w:rFonts w:ascii="Arial" w:hAnsi="Arial" w:cs="Arial"/>
                <w:b/>
                <w:lang w:val="en-GB"/>
              </w:rPr>
            </w:pPr>
            <w:r w:rsidRPr="00AD451B">
              <w:rPr>
                <w:rFonts w:ascii="Arial" w:hAnsi="Arial" w:cs="Arial"/>
                <w:b/>
                <w:lang w:val="en-GB"/>
              </w:rPr>
              <w:t>Total</w:t>
            </w:r>
          </w:p>
        </w:tc>
      </w:tr>
      <w:tr w:rsidR="00E608A7" w:rsidRPr="00AD451B" w14:paraId="484F6B54" w14:textId="77777777" w:rsidTr="00C60956">
        <w:tc>
          <w:tcPr>
            <w:tcW w:w="2689" w:type="dxa"/>
          </w:tcPr>
          <w:p w14:paraId="12385F29" w14:textId="71225EB9" w:rsidR="000C1AFB" w:rsidRPr="00AD451B" w:rsidRDefault="00E608A7" w:rsidP="00511F60">
            <w:pPr>
              <w:spacing w:line="480" w:lineRule="auto"/>
              <w:rPr>
                <w:rFonts w:ascii="Arial" w:hAnsi="Arial" w:cs="Arial"/>
                <w:b/>
                <w:lang w:val="en-GB"/>
              </w:rPr>
            </w:pPr>
            <w:r w:rsidRPr="00AD451B">
              <w:rPr>
                <w:rFonts w:ascii="Arial" w:hAnsi="Arial" w:cs="Arial"/>
                <w:b/>
                <w:lang w:val="en-GB"/>
              </w:rPr>
              <w:t xml:space="preserve">Mobility </w:t>
            </w:r>
          </w:p>
          <w:p w14:paraId="5B80D75A" w14:textId="094E2A02" w:rsidR="00C60956" w:rsidRPr="00AD451B" w:rsidRDefault="00C60956" w:rsidP="00511F60">
            <w:pPr>
              <w:spacing w:line="480" w:lineRule="auto"/>
              <w:rPr>
                <w:rFonts w:ascii="Arial" w:hAnsi="Arial" w:cs="Arial"/>
                <w:b/>
                <w:lang w:val="en-GB"/>
              </w:rPr>
            </w:pPr>
            <w:r>
              <w:rPr>
                <w:rFonts w:ascii="Arial" w:hAnsi="Arial" w:cs="Arial"/>
                <w:b/>
                <w:lang w:val="en-GB"/>
              </w:rPr>
              <w:t>No problems</w:t>
            </w:r>
          </w:p>
          <w:p w14:paraId="0CDC5B90" w14:textId="3161CD60" w:rsidR="00E608A7" w:rsidRPr="00AD451B" w:rsidRDefault="00C60956" w:rsidP="00511F60">
            <w:pPr>
              <w:spacing w:line="480" w:lineRule="auto"/>
              <w:rPr>
                <w:rFonts w:ascii="Arial" w:hAnsi="Arial" w:cs="Arial"/>
                <w:b/>
                <w:lang w:val="en-GB"/>
              </w:rPr>
            </w:pPr>
            <w:r>
              <w:rPr>
                <w:rFonts w:ascii="Arial" w:hAnsi="Arial" w:cs="Arial"/>
                <w:b/>
                <w:lang w:val="en-GB"/>
              </w:rPr>
              <w:t>Slight problems</w:t>
            </w:r>
          </w:p>
          <w:p w14:paraId="7CB1670C" w14:textId="31143B05" w:rsidR="00E608A7" w:rsidRPr="00AD451B" w:rsidRDefault="00C60956" w:rsidP="00511F60">
            <w:pPr>
              <w:spacing w:line="480" w:lineRule="auto"/>
              <w:rPr>
                <w:rFonts w:ascii="Arial" w:hAnsi="Arial" w:cs="Arial"/>
                <w:b/>
                <w:lang w:val="en-GB"/>
              </w:rPr>
            </w:pPr>
            <w:r>
              <w:rPr>
                <w:rFonts w:ascii="Arial" w:hAnsi="Arial" w:cs="Arial"/>
                <w:b/>
                <w:lang w:val="en-GB"/>
              </w:rPr>
              <w:t>Moderate problems</w:t>
            </w:r>
          </w:p>
          <w:p w14:paraId="3CCB247E" w14:textId="0AFD5424" w:rsidR="00E608A7" w:rsidRPr="00AD451B" w:rsidRDefault="00C60956" w:rsidP="00511F60">
            <w:pPr>
              <w:spacing w:line="480" w:lineRule="auto"/>
              <w:rPr>
                <w:rFonts w:ascii="Arial" w:hAnsi="Arial" w:cs="Arial"/>
                <w:b/>
                <w:lang w:val="en-GB"/>
              </w:rPr>
            </w:pPr>
            <w:r>
              <w:rPr>
                <w:rFonts w:ascii="Arial" w:hAnsi="Arial" w:cs="Arial"/>
                <w:b/>
                <w:lang w:val="en-GB"/>
              </w:rPr>
              <w:t>Severe problems</w:t>
            </w:r>
          </w:p>
          <w:p w14:paraId="5843D202" w14:textId="3B1E04F3" w:rsidR="00C60956" w:rsidRPr="00AD451B" w:rsidRDefault="00C60956" w:rsidP="00C60956">
            <w:pPr>
              <w:spacing w:line="480" w:lineRule="auto"/>
              <w:rPr>
                <w:rFonts w:ascii="Arial" w:hAnsi="Arial" w:cs="Arial"/>
                <w:b/>
                <w:lang w:val="en-GB"/>
              </w:rPr>
            </w:pPr>
            <w:r>
              <w:rPr>
                <w:rFonts w:ascii="Arial" w:hAnsi="Arial" w:cs="Arial"/>
                <w:b/>
                <w:lang w:val="en-GB"/>
              </w:rPr>
              <w:t>Extreme problems</w:t>
            </w:r>
          </w:p>
        </w:tc>
        <w:tc>
          <w:tcPr>
            <w:tcW w:w="1559" w:type="dxa"/>
          </w:tcPr>
          <w:p w14:paraId="7349B4A4" w14:textId="77777777" w:rsidR="00E608A7" w:rsidRPr="00AD451B" w:rsidRDefault="00E608A7" w:rsidP="00511F60">
            <w:pPr>
              <w:spacing w:line="480" w:lineRule="auto"/>
              <w:rPr>
                <w:rFonts w:ascii="Arial" w:hAnsi="Arial" w:cs="Arial"/>
                <w:lang w:val="en-GB"/>
              </w:rPr>
            </w:pPr>
          </w:p>
          <w:p w14:paraId="750839D2" w14:textId="16AE43B4" w:rsidR="00C60956" w:rsidRPr="00AD451B" w:rsidRDefault="00E608A7" w:rsidP="00511F60">
            <w:pPr>
              <w:spacing w:line="480" w:lineRule="auto"/>
              <w:rPr>
                <w:rFonts w:ascii="Arial" w:hAnsi="Arial" w:cs="Arial"/>
                <w:lang w:val="en-GB"/>
              </w:rPr>
            </w:pPr>
            <w:r w:rsidRPr="00AD451B">
              <w:rPr>
                <w:rFonts w:ascii="Arial" w:hAnsi="Arial" w:cs="Arial"/>
                <w:lang w:val="en-GB"/>
              </w:rPr>
              <w:t>8    (19)</w:t>
            </w:r>
          </w:p>
          <w:p w14:paraId="4673E4AE"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14  (33)           </w:t>
            </w:r>
          </w:p>
          <w:p w14:paraId="6718D26E"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10  (23)          </w:t>
            </w:r>
          </w:p>
          <w:p w14:paraId="3E4DC364"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6    (14)            </w:t>
            </w:r>
          </w:p>
          <w:p w14:paraId="675AD7E5" w14:textId="57164F9E" w:rsidR="00E608A7" w:rsidRPr="00AD451B" w:rsidRDefault="00E608A7" w:rsidP="00511F60">
            <w:pPr>
              <w:spacing w:line="480" w:lineRule="auto"/>
              <w:rPr>
                <w:rFonts w:ascii="Arial" w:hAnsi="Arial" w:cs="Arial"/>
                <w:lang w:val="en-GB"/>
              </w:rPr>
            </w:pPr>
            <w:r w:rsidRPr="00AD451B">
              <w:rPr>
                <w:rFonts w:ascii="Arial" w:hAnsi="Arial" w:cs="Arial"/>
                <w:lang w:val="en-GB"/>
              </w:rPr>
              <w:t>5    (12)</w:t>
            </w:r>
          </w:p>
        </w:tc>
        <w:tc>
          <w:tcPr>
            <w:tcW w:w="1559" w:type="dxa"/>
          </w:tcPr>
          <w:p w14:paraId="1D8EDC56" w14:textId="0DF932F9" w:rsidR="00E608A7" w:rsidRPr="00AD451B" w:rsidRDefault="00E608A7" w:rsidP="00511F60">
            <w:pPr>
              <w:spacing w:line="480" w:lineRule="auto"/>
              <w:rPr>
                <w:rFonts w:ascii="Arial" w:hAnsi="Arial" w:cs="Arial"/>
                <w:lang w:val="en-GB"/>
              </w:rPr>
            </w:pPr>
          </w:p>
          <w:p w14:paraId="0CA7965A" w14:textId="366813FA"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18  (43)      </w:t>
            </w:r>
          </w:p>
          <w:p w14:paraId="143FBCA3"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9    (21)      </w:t>
            </w:r>
          </w:p>
          <w:p w14:paraId="6C3466B2"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8    (19)     </w:t>
            </w:r>
          </w:p>
          <w:p w14:paraId="31549E52"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7    (17)           </w:t>
            </w:r>
          </w:p>
          <w:p w14:paraId="164A79BF"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0    (0) </w:t>
            </w:r>
          </w:p>
        </w:tc>
        <w:tc>
          <w:tcPr>
            <w:tcW w:w="1559" w:type="dxa"/>
          </w:tcPr>
          <w:p w14:paraId="5FC5C876" w14:textId="77777777" w:rsidR="00E608A7" w:rsidRPr="00AD451B" w:rsidRDefault="00E608A7" w:rsidP="00511F60">
            <w:pPr>
              <w:spacing w:line="480" w:lineRule="auto"/>
              <w:rPr>
                <w:rFonts w:ascii="Arial" w:hAnsi="Arial" w:cs="Arial"/>
                <w:lang w:val="en-GB"/>
              </w:rPr>
            </w:pPr>
          </w:p>
          <w:p w14:paraId="41A848C2" w14:textId="47E32A22"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3   (13)   </w:t>
            </w:r>
          </w:p>
          <w:p w14:paraId="6FFC17E9"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10 (42)       </w:t>
            </w:r>
          </w:p>
          <w:p w14:paraId="352E32E4"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6   (25)       </w:t>
            </w:r>
          </w:p>
          <w:p w14:paraId="4863285F"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2   (8)       </w:t>
            </w:r>
          </w:p>
          <w:p w14:paraId="1F10B2A9"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3   (13) </w:t>
            </w:r>
          </w:p>
        </w:tc>
        <w:tc>
          <w:tcPr>
            <w:tcW w:w="1389" w:type="dxa"/>
          </w:tcPr>
          <w:p w14:paraId="22796BE9" w14:textId="77777777" w:rsidR="00E608A7" w:rsidRPr="00AD451B" w:rsidRDefault="00E608A7" w:rsidP="00511F60">
            <w:pPr>
              <w:spacing w:line="480" w:lineRule="auto"/>
              <w:rPr>
                <w:rFonts w:ascii="Arial" w:hAnsi="Arial" w:cs="Arial"/>
                <w:lang w:val="en-GB"/>
              </w:rPr>
            </w:pPr>
          </w:p>
          <w:p w14:paraId="41F66F3A" w14:textId="18EB8194" w:rsidR="00C60956" w:rsidRPr="00AD451B" w:rsidRDefault="00E608A7" w:rsidP="00511F60">
            <w:pPr>
              <w:spacing w:line="480" w:lineRule="auto"/>
              <w:rPr>
                <w:rFonts w:ascii="Arial" w:hAnsi="Arial" w:cs="Arial"/>
                <w:lang w:val="en-GB"/>
              </w:rPr>
            </w:pPr>
            <w:r w:rsidRPr="00AD451B">
              <w:rPr>
                <w:rFonts w:ascii="Arial" w:hAnsi="Arial" w:cs="Arial"/>
                <w:lang w:val="en-GB"/>
              </w:rPr>
              <w:t xml:space="preserve">29 (27) </w:t>
            </w:r>
          </w:p>
          <w:p w14:paraId="191FC92D"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33  (30)     </w:t>
            </w:r>
          </w:p>
          <w:p w14:paraId="737579F8"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24  (22) </w:t>
            </w:r>
          </w:p>
          <w:p w14:paraId="7CD508E4"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15  (14) </w:t>
            </w:r>
          </w:p>
          <w:p w14:paraId="3ABB8E50" w14:textId="2C253461" w:rsidR="00E608A7" w:rsidRPr="00AD451B" w:rsidRDefault="00E608A7" w:rsidP="00511F60">
            <w:pPr>
              <w:spacing w:line="480" w:lineRule="auto"/>
              <w:rPr>
                <w:rFonts w:ascii="Arial" w:hAnsi="Arial" w:cs="Arial"/>
                <w:lang w:val="en-GB"/>
              </w:rPr>
            </w:pPr>
            <w:r w:rsidRPr="00AD451B">
              <w:rPr>
                <w:rFonts w:ascii="Arial" w:hAnsi="Arial" w:cs="Arial"/>
                <w:lang w:val="en-GB"/>
              </w:rPr>
              <w:t>8    (7)</w:t>
            </w:r>
          </w:p>
        </w:tc>
      </w:tr>
      <w:tr w:rsidR="00E608A7" w:rsidRPr="00AD451B" w14:paraId="14F1E0F5" w14:textId="77777777" w:rsidTr="00C60956">
        <w:tc>
          <w:tcPr>
            <w:tcW w:w="2689" w:type="dxa"/>
          </w:tcPr>
          <w:p w14:paraId="29D54E4F" w14:textId="2A573060" w:rsidR="00E608A7" w:rsidRPr="00AD451B" w:rsidRDefault="00E608A7" w:rsidP="00511F60">
            <w:pPr>
              <w:spacing w:line="480" w:lineRule="auto"/>
              <w:rPr>
                <w:rFonts w:ascii="Arial" w:hAnsi="Arial" w:cs="Arial"/>
                <w:b/>
                <w:lang w:val="en-GB"/>
              </w:rPr>
            </w:pPr>
            <w:r w:rsidRPr="00AD451B">
              <w:rPr>
                <w:rFonts w:ascii="Arial" w:hAnsi="Arial" w:cs="Arial"/>
                <w:b/>
                <w:lang w:val="en-GB"/>
              </w:rPr>
              <w:t>Self</w:t>
            </w:r>
            <w:r w:rsidR="00FE21A7">
              <w:rPr>
                <w:rFonts w:ascii="Arial" w:hAnsi="Arial" w:cs="Arial"/>
                <w:b/>
                <w:lang w:val="en-GB"/>
              </w:rPr>
              <w:t>-</w:t>
            </w:r>
            <w:r w:rsidRPr="00AD451B">
              <w:rPr>
                <w:rFonts w:ascii="Arial" w:hAnsi="Arial" w:cs="Arial"/>
                <w:b/>
                <w:lang w:val="en-GB"/>
              </w:rPr>
              <w:t xml:space="preserve">care </w:t>
            </w:r>
          </w:p>
          <w:p w14:paraId="1A326D9E" w14:textId="77777777" w:rsidR="00C60956" w:rsidRPr="00AD451B" w:rsidRDefault="00C60956" w:rsidP="00C60956">
            <w:pPr>
              <w:spacing w:line="480" w:lineRule="auto"/>
              <w:rPr>
                <w:rFonts w:ascii="Arial" w:hAnsi="Arial" w:cs="Arial"/>
                <w:b/>
                <w:lang w:val="en-GB"/>
              </w:rPr>
            </w:pPr>
            <w:r>
              <w:rPr>
                <w:rFonts w:ascii="Arial" w:hAnsi="Arial" w:cs="Arial"/>
                <w:b/>
                <w:lang w:val="en-GB"/>
              </w:rPr>
              <w:t>No problems</w:t>
            </w:r>
          </w:p>
          <w:p w14:paraId="1BA3FE86" w14:textId="77777777" w:rsidR="00C60956" w:rsidRPr="00AD451B" w:rsidRDefault="00C60956" w:rsidP="00C60956">
            <w:pPr>
              <w:spacing w:line="480" w:lineRule="auto"/>
              <w:rPr>
                <w:rFonts w:ascii="Arial" w:hAnsi="Arial" w:cs="Arial"/>
                <w:b/>
                <w:lang w:val="en-GB"/>
              </w:rPr>
            </w:pPr>
            <w:r>
              <w:rPr>
                <w:rFonts w:ascii="Arial" w:hAnsi="Arial" w:cs="Arial"/>
                <w:b/>
                <w:lang w:val="en-GB"/>
              </w:rPr>
              <w:t>Slight problems</w:t>
            </w:r>
          </w:p>
          <w:p w14:paraId="7D681006" w14:textId="77777777" w:rsidR="00C60956" w:rsidRPr="00AD451B" w:rsidRDefault="00C60956" w:rsidP="00C60956">
            <w:pPr>
              <w:spacing w:line="480" w:lineRule="auto"/>
              <w:rPr>
                <w:rFonts w:ascii="Arial" w:hAnsi="Arial" w:cs="Arial"/>
                <w:b/>
                <w:lang w:val="en-GB"/>
              </w:rPr>
            </w:pPr>
            <w:r>
              <w:rPr>
                <w:rFonts w:ascii="Arial" w:hAnsi="Arial" w:cs="Arial"/>
                <w:b/>
                <w:lang w:val="en-GB"/>
              </w:rPr>
              <w:t>Moderate problems</w:t>
            </w:r>
          </w:p>
          <w:p w14:paraId="1C3BC2F9" w14:textId="77777777" w:rsidR="00C60956" w:rsidRPr="00AD451B" w:rsidRDefault="00C60956" w:rsidP="00C60956">
            <w:pPr>
              <w:spacing w:line="480" w:lineRule="auto"/>
              <w:rPr>
                <w:rFonts w:ascii="Arial" w:hAnsi="Arial" w:cs="Arial"/>
                <w:b/>
                <w:lang w:val="en-GB"/>
              </w:rPr>
            </w:pPr>
            <w:r>
              <w:rPr>
                <w:rFonts w:ascii="Arial" w:hAnsi="Arial" w:cs="Arial"/>
                <w:b/>
                <w:lang w:val="en-GB"/>
              </w:rPr>
              <w:t>Severe problems</w:t>
            </w:r>
          </w:p>
          <w:p w14:paraId="1892862D" w14:textId="3BB3899F" w:rsidR="00E608A7" w:rsidRPr="00AD451B" w:rsidRDefault="00C60956" w:rsidP="00C60956">
            <w:pPr>
              <w:spacing w:line="480" w:lineRule="auto"/>
              <w:rPr>
                <w:rFonts w:ascii="Arial" w:hAnsi="Arial" w:cs="Arial"/>
                <w:b/>
                <w:lang w:val="en-GB"/>
              </w:rPr>
            </w:pPr>
            <w:r>
              <w:rPr>
                <w:rFonts w:ascii="Arial" w:hAnsi="Arial" w:cs="Arial"/>
                <w:b/>
                <w:lang w:val="en-GB"/>
              </w:rPr>
              <w:t>Extreme problems</w:t>
            </w:r>
          </w:p>
        </w:tc>
        <w:tc>
          <w:tcPr>
            <w:tcW w:w="1559" w:type="dxa"/>
          </w:tcPr>
          <w:p w14:paraId="471B2664" w14:textId="77777777" w:rsidR="00E608A7" w:rsidRPr="00AD451B" w:rsidRDefault="00E608A7" w:rsidP="00511F60">
            <w:pPr>
              <w:spacing w:line="480" w:lineRule="auto"/>
              <w:rPr>
                <w:rFonts w:ascii="Arial" w:hAnsi="Arial" w:cs="Arial"/>
                <w:lang w:val="en-GB"/>
              </w:rPr>
            </w:pPr>
          </w:p>
          <w:p w14:paraId="779CAD9B"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26  (61)</w:t>
            </w:r>
          </w:p>
          <w:p w14:paraId="50BD06FF"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10  (23)         </w:t>
            </w:r>
          </w:p>
          <w:p w14:paraId="7EC24FDB"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3    (7)     </w:t>
            </w:r>
          </w:p>
          <w:p w14:paraId="7F7E81FC"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2    (5)     </w:t>
            </w:r>
          </w:p>
          <w:p w14:paraId="334DA373"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2    (5)  </w:t>
            </w:r>
          </w:p>
        </w:tc>
        <w:tc>
          <w:tcPr>
            <w:tcW w:w="1559" w:type="dxa"/>
          </w:tcPr>
          <w:p w14:paraId="1E9F4790" w14:textId="77777777" w:rsidR="00E608A7" w:rsidRPr="00AD451B" w:rsidRDefault="00E608A7" w:rsidP="00511F60">
            <w:pPr>
              <w:spacing w:line="480" w:lineRule="auto"/>
              <w:rPr>
                <w:rFonts w:ascii="Arial" w:hAnsi="Arial" w:cs="Arial"/>
                <w:lang w:val="en-GB"/>
              </w:rPr>
            </w:pPr>
          </w:p>
          <w:p w14:paraId="5F89108A"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26 (62)     </w:t>
            </w:r>
          </w:p>
          <w:p w14:paraId="284C64F0"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11  (26)    </w:t>
            </w:r>
          </w:p>
          <w:p w14:paraId="15C906C2"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4   (10)      </w:t>
            </w:r>
          </w:p>
          <w:p w14:paraId="5C150376"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1   (3)      </w:t>
            </w:r>
          </w:p>
          <w:p w14:paraId="0C5EDAD3" w14:textId="6A69CAB4" w:rsidR="00E608A7" w:rsidRPr="00AD451B" w:rsidRDefault="00E608A7" w:rsidP="00511F60">
            <w:pPr>
              <w:spacing w:line="480" w:lineRule="auto"/>
              <w:rPr>
                <w:rFonts w:ascii="Arial" w:hAnsi="Arial" w:cs="Arial"/>
                <w:lang w:val="en-GB"/>
              </w:rPr>
            </w:pPr>
            <w:r w:rsidRPr="00AD451B">
              <w:rPr>
                <w:rFonts w:ascii="Arial" w:hAnsi="Arial" w:cs="Arial"/>
                <w:lang w:val="en-GB"/>
              </w:rPr>
              <w:t>0   (0)</w:t>
            </w:r>
          </w:p>
        </w:tc>
        <w:tc>
          <w:tcPr>
            <w:tcW w:w="1559" w:type="dxa"/>
          </w:tcPr>
          <w:p w14:paraId="7024CA48" w14:textId="77777777" w:rsidR="00E608A7" w:rsidRPr="00AD451B" w:rsidRDefault="00E608A7" w:rsidP="00511F60">
            <w:pPr>
              <w:spacing w:line="480" w:lineRule="auto"/>
              <w:rPr>
                <w:rFonts w:ascii="Arial" w:hAnsi="Arial" w:cs="Arial"/>
                <w:lang w:val="en-GB"/>
              </w:rPr>
            </w:pPr>
          </w:p>
          <w:p w14:paraId="4E711787"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12 (50)        </w:t>
            </w:r>
          </w:p>
          <w:p w14:paraId="63A07B1F"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7   (29.)      </w:t>
            </w:r>
          </w:p>
          <w:p w14:paraId="1EA02F60"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1   (4)     </w:t>
            </w:r>
          </w:p>
          <w:p w14:paraId="02464AEC"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2   (8)      </w:t>
            </w:r>
          </w:p>
          <w:p w14:paraId="5DB4F96D"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2   (8) </w:t>
            </w:r>
          </w:p>
        </w:tc>
        <w:tc>
          <w:tcPr>
            <w:tcW w:w="1389" w:type="dxa"/>
          </w:tcPr>
          <w:p w14:paraId="4494CC33" w14:textId="77777777" w:rsidR="00E608A7" w:rsidRPr="00AD451B" w:rsidRDefault="00E608A7" w:rsidP="00511F60">
            <w:pPr>
              <w:spacing w:line="480" w:lineRule="auto"/>
              <w:rPr>
                <w:rFonts w:ascii="Arial" w:hAnsi="Arial" w:cs="Arial"/>
                <w:lang w:val="en-GB"/>
              </w:rPr>
            </w:pPr>
          </w:p>
          <w:p w14:paraId="1B6AA4C9"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64  (59)       </w:t>
            </w:r>
          </w:p>
          <w:p w14:paraId="65407ED8"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28  (26)      </w:t>
            </w:r>
          </w:p>
          <w:p w14:paraId="764F1DC6"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8    (7)    </w:t>
            </w:r>
          </w:p>
          <w:p w14:paraId="5436380E"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5    (5)     </w:t>
            </w:r>
          </w:p>
          <w:p w14:paraId="14BC400D" w14:textId="779251B3" w:rsidR="00E608A7" w:rsidRPr="00AD451B" w:rsidRDefault="00E608A7" w:rsidP="00511F60">
            <w:pPr>
              <w:spacing w:line="480" w:lineRule="auto"/>
              <w:rPr>
                <w:rFonts w:ascii="Arial" w:hAnsi="Arial" w:cs="Arial"/>
                <w:lang w:val="en-GB"/>
              </w:rPr>
            </w:pPr>
            <w:r w:rsidRPr="00AD451B">
              <w:rPr>
                <w:rFonts w:ascii="Arial" w:hAnsi="Arial" w:cs="Arial"/>
                <w:lang w:val="en-GB"/>
              </w:rPr>
              <w:t>4    (4)</w:t>
            </w:r>
          </w:p>
        </w:tc>
      </w:tr>
      <w:tr w:rsidR="00E608A7" w:rsidRPr="00AD451B" w14:paraId="6ECDD460" w14:textId="77777777" w:rsidTr="00C60956">
        <w:tc>
          <w:tcPr>
            <w:tcW w:w="2689" w:type="dxa"/>
          </w:tcPr>
          <w:p w14:paraId="1E4FCD41" w14:textId="77777777" w:rsidR="00E608A7" w:rsidRPr="00AD451B" w:rsidRDefault="00E608A7" w:rsidP="00511F60">
            <w:pPr>
              <w:spacing w:line="480" w:lineRule="auto"/>
              <w:rPr>
                <w:rFonts w:ascii="Arial" w:hAnsi="Arial" w:cs="Arial"/>
                <w:b/>
                <w:lang w:val="en-GB"/>
              </w:rPr>
            </w:pPr>
            <w:r w:rsidRPr="00AD451B">
              <w:rPr>
                <w:rFonts w:ascii="Arial" w:hAnsi="Arial" w:cs="Arial"/>
                <w:b/>
                <w:lang w:val="en-GB"/>
              </w:rPr>
              <w:t xml:space="preserve">Usual activity </w:t>
            </w:r>
          </w:p>
          <w:p w14:paraId="470C3E90" w14:textId="77777777" w:rsidR="00C60956" w:rsidRPr="00AD451B" w:rsidRDefault="00C60956" w:rsidP="00C60956">
            <w:pPr>
              <w:spacing w:line="480" w:lineRule="auto"/>
              <w:rPr>
                <w:rFonts w:ascii="Arial" w:hAnsi="Arial" w:cs="Arial"/>
                <w:b/>
                <w:lang w:val="en-GB"/>
              </w:rPr>
            </w:pPr>
            <w:r>
              <w:rPr>
                <w:rFonts w:ascii="Arial" w:hAnsi="Arial" w:cs="Arial"/>
                <w:b/>
                <w:lang w:val="en-GB"/>
              </w:rPr>
              <w:t>No problems</w:t>
            </w:r>
          </w:p>
          <w:p w14:paraId="3BC8ECE2" w14:textId="77777777" w:rsidR="00C60956" w:rsidRPr="00AD451B" w:rsidRDefault="00C60956" w:rsidP="00C60956">
            <w:pPr>
              <w:spacing w:line="480" w:lineRule="auto"/>
              <w:rPr>
                <w:rFonts w:ascii="Arial" w:hAnsi="Arial" w:cs="Arial"/>
                <w:b/>
                <w:lang w:val="en-GB"/>
              </w:rPr>
            </w:pPr>
            <w:r>
              <w:rPr>
                <w:rFonts w:ascii="Arial" w:hAnsi="Arial" w:cs="Arial"/>
                <w:b/>
                <w:lang w:val="en-GB"/>
              </w:rPr>
              <w:t>Slight problems</w:t>
            </w:r>
          </w:p>
          <w:p w14:paraId="26347A63" w14:textId="77777777" w:rsidR="00C60956" w:rsidRPr="00AD451B" w:rsidRDefault="00C60956" w:rsidP="00C60956">
            <w:pPr>
              <w:spacing w:line="480" w:lineRule="auto"/>
              <w:rPr>
                <w:rFonts w:ascii="Arial" w:hAnsi="Arial" w:cs="Arial"/>
                <w:b/>
                <w:lang w:val="en-GB"/>
              </w:rPr>
            </w:pPr>
            <w:r>
              <w:rPr>
                <w:rFonts w:ascii="Arial" w:hAnsi="Arial" w:cs="Arial"/>
                <w:b/>
                <w:lang w:val="en-GB"/>
              </w:rPr>
              <w:t>Moderate problems</w:t>
            </w:r>
          </w:p>
          <w:p w14:paraId="4647EB1A" w14:textId="77777777" w:rsidR="00C60956" w:rsidRPr="00AD451B" w:rsidRDefault="00C60956" w:rsidP="00C60956">
            <w:pPr>
              <w:spacing w:line="480" w:lineRule="auto"/>
              <w:rPr>
                <w:rFonts w:ascii="Arial" w:hAnsi="Arial" w:cs="Arial"/>
                <w:b/>
                <w:lang w:val="en-GB"/>
              </w:rPr>
            </w:pPr>
            <w:r>
              <w:rPr>
                <w:rFonts w:ascii="Arial" w:hAnsi="Arial" w:cs="Arial"/>
                <w:b/>
                <w:lang w:val="en-GB"/>
              </w:rPr>
              <w:lastRenderedPageBreak/>
              <w:t>Severe problems</w:t>
            </w:r>
          </w:p>
          <w:p w14:paraId="6AE78E44" w14:textId="501314B1" w:rsidR="00E608A7" w:rsidRPr="00AD451B" w:rsidRDefault="00C60956" w:rsidP="00C60956">
            <w:pPr>
              <w:spacing w:line="480" w:lineRule="auto"/>
              <w:rPr>
                <w:rFonts w:ascii="Arial" w:hAnsi="Arial" w:cs="Arial"/>
                <w:b/>
                <w:lang w:val="en-GB"/>
              </w:rPr>
            </w:pPr>
            <w:r>
              <w:rPr>
                <w:rFonts w:ascii="Arial" w:hAnsi="Arial" w:cs="Arial"/>
                <w:b/>
                <w:lang w:val="en-GB"/>
              </w:rPr>
              <w:t>Extreme problems</w:t>
            </w:r>
          </w:p>
        </w:tc>
        <w:tc>
          <w:tcPr>
            <w:tcW w:w="1559" w:type="dxa"/>
          </w:tcPr>
          <w:p w14:paraId="37AE777B" w14:textId="77777777" w:rsidR="00E608A7" w:rsidRPr="00AD451B" w:rsidRDefault="00E608A7" w:rsidP="00511F60">
            <w:pPr>
              <w:spacing w:line="480" w:lineRule="auto"/>
              <w:rPr>
                <w:rFonts w:ascii="Arial" w:hAnsi="Arial" w:cs="Arial"/>
                <w:lang w:val="en-GB"/>
              </w:rPr>
            </w:pPr>
          </w:p>
          <w:p w14:paraId="3B2A8B8A"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15  (35)       </w:t>
            </w:r>
          </w:p>
          <w:p w14:paraId="6A380F83"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13  (30)       </w:t>
            </w:r>
          </w:p>
          <w:p w14:paraId="03B80164"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8    (19)     </w:t>
            </w:r>
          </w:p>
          <w:p w14:paraId="451A02EA"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lastRenderedPageBreak/>
              <w:t xml:space="preserve">5    (12)      </w:t>
            </w:r>
          </w:p>
          <w:p w14:paraId="0A20170D" w14:textId="377715CD" w:rsidR="00E608A7" w:rsidRPr="00AD451B" w:rsidRDefault="00E608A7" w:rsidP="00511F60">
            <w:pPr>
              <w:spacing w:line="480" w:lineRule="auto"/>
              <w:rPr>
                <w:rFonts w:ascii="Arial" w:hAnsi="Arial" w:cs="Arial"/>
                <w:lang w:val="en-GB"/>
              </w:rPr>
            </w:pPr>
            <w:r w:rsidRPr="00AD451B">
              <w:rPr>
                <w:rFonts w:ascii="Arial" w:hAnsi="Arial" w:cs="Arial"/>
                <w:lang w:val="en-GB"/>
              </w:rPr>
              <w:t>2    (5)</w:t>
            </w:r>
          </w:p>
        </w:tc>
        <w:tc>
          <w:tcPr>
            <w:tcW w:w="1559" w:type="dxa"/>
          </w:tcPr>
          <w:p w14:paraId="6B90982B" w14:textId="77777777" w:rsidR="00E608A7" w:rsidRPr="00AD451B" w:rsidRDefault="00E608A7" w:rsidP="00511F60">
            <w:pPr>
              <w:spacing w:line="480" w:lineRule="auto"/>
              <w:rPr>
                <w:rFonts w:ascii="Arial" w:hAnsi="Arial" w:cs="Arial"/>
                <w:lang w:val="en-GB"/>
              </w:rPr>
            </w:pPr>
          </w:p>
          <w:p w14:paraId="252A9811"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14 (33)         </w:t>
            </w:r>
          </w:p>
          <w:p w14:paraId="6E18941F"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13   (31)     </w:t>
            </w:r>
          </w:p>
          <w:p w14:paraId="3FF76232"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8   (19)      </w:t>
            </w:r>
          </w:p>
          <w:p w14:paraId="107EF89A"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lastRenderedPageBreak/>
              <w:t xml:space="preserve">4   (10)      </w:t>
            </w:r>
          </w:p>
          <w:p w14:paraId="7E1EB309" w14:textId="6E8C2A8B"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3   (7) </w:t>
            </w:r>
          </w:p>
        </w:tc>
        <w:tc>
          <w:tcPr>
            <w:tcW w:w="1559" w:type="dxa"/>
          </w:tcPr>
          <w:p w14:paraId="4B4330EE" w14:textId="77777777" w:rsidR="00E608A7" w:rsidRPr="00AD451B" w:rsidRDefault="00E608A7" w:rsidP="00511F60">
            <w:pPr>
              <w:spacing w:line="480" w:lineRule="auto"/>
              <w:rPr>
                <w:rFonts w:ascii="Arial" w:hAnsi="Arial" w:cs="Arial"/>
                <w:lang w:val="en-GB"/>
              </w:rPr>
            </w:pPr>
          </w:p>
          <w:p w14:paraId="6BB90588"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6   (25)            </w:t>
            </w:r>
          </w:p>
          <w:p w14:paraId="341621E7"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10  (42)      </w:t>
            </w:r>
          </w:p>
          <w:p w14:paraId="501F592F"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5   (21)       </w:t>
            </w:r>
          </w:p>
          <w:p w14:paraId="5DAD37BD"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lastRenderedPageBreak/>
              <w:t xml:space="preserve">3   (13)      </w:t>
            </w:r>
          </w:p>
          <w:p w14:paraId="1034C8C6" w14:textId="124904DE" w:rsidR="00E608A7" w:rsidRPr="00AD451B" w:rsidRDefault="00E608A7" w:rsidP="00511F60">
            <w:pPr>
              <w:spacing w:line="480" w:lineRule="auto"/>
              <w:rPr>
                <w:rFonts w:ascii="Arial" w:hAnsi="Arial" w:cs="Arial"/>
                <w:lang w:val="en-GB"/>
              </w:rPr>
            </w:pPr>
            <w:r w:rsidRPr="00AD451B">
              <w:rPr>
                <w:rFonts w:ascii="Arial" w:hAnsi="Arial" w:cs="Arial"/>
                <w:lang w:val="en-GB"/>
              </w:rPr>
              <w:t>0   (0)</w:t>
            </w:r>
          </w:p>
        </w:tc>
        <w:tc>
          <w:tcPr>
            <w:tcW w:w="1389" w:type="dxa"/>
          </w:tcPr>
          <w:p w14:paraId="2F15570A" w14:textId="77777777" w:rsidR="00E608A7" w:rsidRPr="00AD451B" w:rsidRDefault="00E608A7" w:rsidP="00511F60">
            <w:pPr>
              <w:spacing w:line="480" w:lineRule="auto"/>
              <w:rPr>
                <w:rFonts w:ascii="Arial" w:hAnsi="Arial" w:cs="Arial"/>
                <w:lang w:val="en-GB"/>
              </w:rPr>
            </w:pPr>
          </w:p>
          <w:p w14:paraId="60B8D659"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35   (32)     </w:t>
            </w:r>
          </w:p>
          <w:p w14:paraId="2E040B9F"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36   (33)     </w:t>
            </w:r>
          </w:p>
          <w:p w14:paraId="6C3E8CD4"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21   (19)     </w:t>
            </w:r>
          </w:p>
          <w:p w14:paraId="36AD9874"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lastRenderedPageBreak/>
              <w:t xml:space="preserve">12   (11)   </w:t>
            </w:r>
          </w:p>
          <w:p w14:paraId="3CBE624C"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5     (5)</w:t>
            </w:r>
          </w:p>
        </w:tc>
      </w:tr>
      <w:tr w:rsidR="00E608A7" w:rsidRPr="00AD451B" w14:paraId="6025D2E9" w14:textId="77777777" w:rsidTr="00C60956">
        <w:tc>
          <w:tcPr>
            <w:tcW w:w="2689" w:type="dxa"/>
          </w:tcPr>
          <w:p w14:paraId="69594DC0" w14:textId="77777777" w:rsidR="00E608A7" w:rsidRPr="00AD451B" w:rsidRDefault="00E608A7" w:rsidP="00511F60">
            <w:pPr>
              <w:spacing w:line="480" w:lineRule="auto"/>
              <w:rPr>
                <w:rFonts w:ascii="Arial" w:hAnsi="Arial" w:cs="Arial"/>
                <w:b/>
                <w:lang w:val="en-GB"/>
              </w:rPr>
            </w:pPr>
            <w:r w:rsidRPr="00AD451B">
              <w:rPr>
                <w:rFonts w:ascii="Arial" w:hAnsi="Arial" w:cs="Arial"/>
                <w:b/>
                <w:lang w:val="en-GB"/>
              </w:rPr>
              <w:lastRenderedPageBreak/>
              <w:t xml:space="preserve">Pain/ Discomfort </w:t>
            </w:r>
          </w:p>
          <w:p w14:paraId="34754730" w14:textId="77777777" w:rsidR="00C60956" w:rsidRPr="00AD451B" w:rsidRDefault="00C60956" w:rsidP="00C60956">
            <w:pPr>
              <w:spacing w:line="480" w:lineRule="auto"/>
              <w:rPr>
                <w:rFonts w:ascii="Arial" w:hAnsi="Arial" w:cs="Arial"/>
                <w:b/>
                <w:lang w:val="en-GB"/>
              </w:rPr>
            </w:pPr>
            <w:r>
              <w:rPr>
                <w:rFonts w:ascii="Arial" w:hAnsi="Arial" w:cs="Arial"/>
                <w:b/>
                <w:lang w:val="en-GB"/>
              </w:rPr>
              <w:t>No problems</w:t>
            </w:r>
          </w:p>
          <w:p w14:paraId="1238C113" w14:textId="77777777" w:rsidR="00C60956" w:rsidRPr="00AD451B" w:rsidRDefault="00C60956" w:rsidP="00C60956">
            <w:pPr>
              <w:spacing w:line="480" w:lineRule="auto"/>
              <w:rPr>
                <w:rFonts w:ascii="Arial" w:hAnsi="Arial" w:cs="Arial"/>
                <w:b/>
                <w:lang w:val="en-GB"/>
              </w:rPr>
            </w:pPr>
            <w:r>
              <w:rPr>
                <w:rFonts w:ascii="Arial" w:hAnsi="Arial" w:cs="Arial"/>
                <w:b/>
                <w:lang w:val="en-GB"/>
              </w:rPr>
              <w:t>Slight problems</w:t>
            </w:r>
          </w:p>
          <w:p w14:paraId="2653B811" w14:textId="77777777" w:rsidR="00C60956" w:rsidRPr="00AD451B" w:rsidRDefault="00C60956" w:rsidP="00C60956">
            <w:pPr>
              <w:spacing w:line="480" w:lineRule="auto"/>
              <w:rPr>
                <w:rFonts w:ascii="Arial" w:hAnsi="Arial" w:cs="Arial"/>
                <w:b/>
                <w:lang w:val="en-GB"/>
              </w:rPr>
            </w:pPr>
            <w:r>
              <w:rPr>
                <w:rFonts w:ascii="Arial" w:hAnsi="Arial" w:cs="Arial"/>
                <w:b/>
                <w:lang w:val="en-GB"/>
              </w:rPr>
              <w:t>Moderate problems</w:t>
            </w:r>
          </w:p>
          <w:p w14:paraId="74C9268F" w14:textId="77777777" w:rsidR="00C60956" w:rsidRPr="00AD451B" w:rsidRDefault="00C60956" w:rsidP="00C60956">
            <w:pPr>
              <w:spacing w:line="480" w:lineRule="auto"/>
              <w:rPr>
                <w:rFonts w:ascii="Arial" w:hAnsi="Arial" w:cs="Arial"/>
                <w:b/>
                <w:lang w:val="en-GB"/>
              </w:rPr>
            </w:pPr>
            <w:r>
              <w:rPr>
                <w:rFonts w:ascii="Arial" w:hAnsi="Arial" w:cs="Arial"/>
                <w:b/>
                <w:lang w:val="en-GB"/>
              </w:rPr>
              <w:t>Severe problems</w:t>
            </w:r>
          </w:p>
          <w:p w14:paraId="5DB2E7E6" w14:textId="63D9399A" w:rsidR="00E608A7" w:rsidRPr="00AD451B" w:rsidRDefault="00C60956" w:rsidP="00C60956">
            <w:pPr>
              <w:spacing w:line="480" w:lineRule="auto"/>
              <w:rPr>
                <w:rFonts w:ascii="Arial" w:hAnsi="Arial" w:cs="Arial"/>
                <w:b/>
                <w:lang w:val="en-GB"/>
              </w:rPr>
            </w:pPr>
            <w:r>
              <w:rPr>
                <w:rFonts w:ascii="Arial" w:hAnsi="Arial" w:cs="Arial"/>
                <w:b/>
                <w:lang w:val="en-GB"/>
              </w:rPr>
              <w:t>Extreme problems</w:t>
            </w:r>
          </w:p>
        </w:tc>
        <w:tc>
          <w:tcPr>
            <w:tcW w:w="1559" w:type="dxa"/>
          </w:tcPr>
          <w:p w14:paraId="24FE768D" w14:textId="77777777" w:rsidR="00E608A7" w:rsidRPr="00AD451B" w:rsidRDefault="00E608A7" w:rsidP="00511F60">
            <w:pPr>
              <w:spacing w:line="480" w:lineRule="auto"/>
              <w:rPr>
                <w:rFonts w:ascii="Arial" w:hAnsi="Arial" w:cs="Arial"/>
                <w:lang w:val="en-GB"/>
              </w:rPr>
            </w:pPr>
          </w:p>
          <w:p w14:paraId="5116D671"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3    (7)    </w:t>
            </w:r>
          </w:p>
          <w:p w14:paraId="742D7C82"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14  (33)         19  (44)      </w:t>
            </w:r>
          </w:p>
          <w:p w14:paraId="100E8C74"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4    (9)           </w:t>
            </w:r>
          </w:p>
          <w:p w14:paraId="192EF01F"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3    (7)</w:t>
            </w:r>
          </w:p>
        </w:tc>
        <w:tc>
          <w:tcPr>
            <w:tcW w:w="1559" w:type="dxa"/>
          </w:tcPr>
          <w:p w14:paraId="4C1F1FA1" w14:textId="77777777" w:rsidR="00E608A7" w:rsidRPr="00AD451B" w:rsidRDefault="00E608A7" w:rsidP="00511F60">
            <w:pPr>
              <w:spacing w:line="480" w:lineRule="auto"/>
              <w:rPr>
                <w:rFonts w:ascii="Arial" w:hAnsi="Arial" w:cs="Arial"/>
                <w:lang w:val="en-GB"/>
              </w:rPr>
            </w:pPr>
          </w:p>
          <w:p w14:paraId="610D4F4F"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1     (2)             </w:t>
            </w:r>
          </w:p>
          <w:p w14:paraId="56A87D9D"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13   (31)               </w:t>
            </w:r>
          </w:p>
          <w:p w14:paraId="18E7C9CD"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15   (36)           </w:t>
            </w:r>
          </w:p>
          <w:p w14:paraId="0F35882E"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9     (21)            </w:t>
            </w:r>
          </w:p>
          <w:p w14:paraId="48BEDCC6" w14:textId="1012F450" w:rsidR="00E608A7" w:rsidRPr="00AD451B" w:rsidRDefault="00E608A7" w:rsidP="00511F60">
            <w:pPr>
              <w:spacing w:line="480" w:lineRule="auto"/>
              <w:rPr>
                <w:rFonts w:ascii="Arial" w:hAnsi="Arial" w:cs="Arial"/>
                <w:lang w:val="en-GB"/>
              </w:rPr>
            </w:pPr>
            <w:r w:rsidRPr="00AD451B">
              <w:rPr>
                <w:rFonts w:ascii="Arial" w:hAnsi="Arial" w:cs="Arial"/>
                <w:lang w:val="en-GB"/>
              </w:rPr>
              <w:t>4     (10)</w:t>
            </w:r>
          </w:p>
        </w:tc>
        <w:tc>
          <w:tcPr>
            <w:tcW w:w="1559" w:type="dxa"/>
          </w:tcPr>
          <w:p w14:paraId="54C6FEF7" w14:textId="77777777" w:rsidR="00E608A7" w:rsidRPr="00AD451B" w:rsidRDefault="00E608A7" w:rsidP="00511F60">
            <w:pPr>
              <w:spacing w:line="480" w:lineRule="auto"/>
              <w:rPr>
                <w:rFonts w:ascii="Arial" w:hAnsi="Arial" w:cs="Arial"/>
                <w:lang w:val="en-GB"/>
              </w:rPr>
            </w:pPr>
          </w:p>
          <w:p w14:paraId="71302FDB"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2    (8)         </w:t>
            </w:r>
          </w:p>
          <w:p w14:paraId="60A8D480"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6    (25)      </w:t>
            </w:r>
          </w:p>
          <w:p w14:paraId="47ED1ABA"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10  (42)       </w:t>
            </w:r>
          </w:p>
          <w:p w14:paraId="6E271E72"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5    (21)      </w:t>
            </w:r>
          </w:p>
          <w:p w14:paraId="6DC7E330"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1    (4)</w:t>
            </w:r>
          </w:p>
        </w:tc>
        <w:tc>
          <w:tcPr>
            <w:tcW w:w="1389" w:type="dxa"/>
          </w:tcPr>
          <w:p w14:paraId="3DFDBD59" w14:textId="77777777" w:rsidR="00E608A7" w:rsidRPr="00AD451B" w:rsidRDefault="00E608A7" w:rsidP="00511F60">
            <w:pPr>
              <w:spacing w:line="480" w:lineRule="auto"/>
              <w:rPr>
                <w:rFonts w:ascii="Arial" w:hAnsi="Arial" w:cs="Arial"/>
                <w:lang w:val="en-GB"/>
              </w:rPr>
            </w:pPr>
          </w:p>
          <w:p w14:paraId="4A55C47E"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6    (6)        </w:t>
            </w:r>
          </w:p>
          <w:p w14:paraId="575FE259"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33  (30)           </w:t>
            </w:r>
          </w:p>
          <w:p w14:paraId="147B629A"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44  (40)            </w:t>
            </w:r>
          </w:p>
          <w:p w14:paraId="5C82617F"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18  (17)          </w:t>
            </w:r>
          </w:p>
          <w:p w14:paraId="73FA308F" w14:textId="42335EBB" w:rsidR="00E608A7" w:rsidRPr="00AD451B" w:rsidRDefault="00E608A7" w:rsidP="00511F60">
            <w:pPr>
              <w:spacing w:line="480" w:lineRule="auto"/>
              <w:rPr>
                <w:rFonts w:ascii="Arial" w:hAnsi="Arial" w:cs="Arial"/>
                <w:lang w:val="en-GB"/>
              </w:rPr>
            </w:pPr>
            <w:r w:rsidRPr="00AD451B">
              <w:rPr>
                <w:rFonts w:ascii="Arial" w:hAnsi="Arial" w:cs="Arial"/>
                <w:lang w:val="en-GB"/>
              </w:rPr>
              <w:t>8    (7)</w:t>
            </w:r>
          </w:p>
        </w:tc>
      </w:tr>
      <w:tr w:rsidR="00E608A7" w:rsidRPr="00AD451B" w14:paraId="767E4958" w14:textId="77777777" w:rsidTr="00C60956">
        <w:tc>
          <w:tcPr>
            <w:tcW w:w="2689" w:type="dxa"/>
          </w:tcPr>
          <w:p w14:paraId="26192351" w14:textId="77777777" w:rsidR="00E608A7" w:rsidRPr="00AD451B" w:rsidRDefault="00E608A7" w:rsidP="00511F60">
            <w:pPr>
              <w:spacing w:line="480" w:lineRule="auto"/>
              <w:rPr>
                <w:rFonts w:ascii="Arial" w:hAnsi="Arial" w:cs="Arial"/>
                <w:b/>
                <w:lang w:val="en-GB"/>
              </w:rPr>
            </w:pPr>
            <w:r w:rsidRPr="00AD451B">
              <w:rPr>
                <w:rFonts w:ascii="Arial" w:hAnsi="Arial" w:cs="Arial"/>
                <w:b/>
                <w:lang w:val="en-GB"/>
              </w:rPr>
              <w:t>Anxiety/ Depression</w:t>
            </w:r>
          </w:p>
          <w:p w14:paraId="4718976E" w14:textId="77777777" w:rsidR="00C60956" w:rsidRPr="00AD451B" w:rsidRDefault="00C60956" w:rsidP="00C60956">
            <w:pPr>
              <w:spacing w:line="480" w:lineRule="auto"/>
              <w:rPr>
                <w:rFonts w:ascii="Arial" w:hAnsi="Arial" w:cs="Arial"/>
                <w:b/>
                <w:lang w:val="en-GB"/>
              </w:rPr>
            </w:pPr>
            <w:r>
              <w:rPr>
                <w:rFonts w:ascii="Arial" w:hAnsi="Arial" w:cs="Arial"/>
                <w:b/>
                <w:lang w:val="en-GB"/>
              </w:rPr>
              <w:t>No problems</w:t>
            </w:r>
          </w:p>
          <w:p w14:paraId="15762125" w14:textId="77777777" w:rsidR="00C60956" w:rsidRPr="00AD451B" w:rsidRDefault="00C60956" w:rsidP="00C60956">
            <w:pPr>
              <w:spacing w:line="480" w:lineRule="auto"/>
              <w:rPr>
                <w:rFonts w:ascii="Arial" w:hAnsi="Arial" w:cs="Arial"/>
                <w:b/>
                <w:lang w:val="en-GB"/>
              </w:rPr>
            </w:pPr>
            <w:r>
              <w:rPr>
                <w:rFonts w:ascii="Arial" w:hAnsi="Arial" w:cs="Arial"/>
                <w:b/>
                <w:lang w:val="en-GB"/>
              </w:rPr>
              <w:t>Slight problems</w:t>
            </w:r>
          </w:p>
          <w:p w14:paraId="6FE2352C" w14:textId="77777777" w:rsidR="00C60956" w:rsidRPr="00AD451B" w:rsidRDefault="00C60956" w:rsidP="00C60956">
            <w:pPr>
              <w:spacing w:line="480" w:lineRule="auto"/>
              <w:rPr>
                <w:rFonts w:ascii="Arial" w:hAnsi="Arial" w:cs="Arial"/>
                <w:b/>
                <w:lang w:val="en-GB"/>
              </w:rPr>
            </w:pPr>
            <w:r>
              <w:rPr>
                <w:rFonts w:ascii="Arial" w:hAnsi="Arial" w:cs="Arial"/>
                <w:b/>
                <w:lang w:val="en-GB"/>
              </w:rPr>
              <w:t>Moderate problems</w:t>
            </w:r>
          </w:p>
          <w:p w14:paraId="541EC3AE" w14:textId="77777777" w:rsidR="00C60956" w:rsidRPr="00AD451B" w:rsidRDefault="00C60956" w:rsidP="00C60956">
            <w:pPr>
              <w:spacing w:line="480" w:lineRule="auto"/>
              <w:rPr>
                <w:rFonts w:ascii="Arial" w:hAnsi="Arial" w:cs="Arial"/>
                <w:b/>
                <w:lang w:val="en-GB"/>
              </w:rPr>
            </w:pPr>
            <w:r>
              <w:rPr>
                <w:rFonts w:ascii="Arial" w:hAnsi="Arial" w:cs="Arial"/>
                <w:b/>
                <w:lang w:val="en-GB"/>
              </w:rPr>
              <w:t>Severe problems</w:t>
            </w:r>
          </w:p>
          <w:p w14:paraId="3F01BD2A" w14:textId="3B45DD3A" w:rsidR="00E608A7" w:rsidRPr="00AD451B" w:rsidRDefault="00C60956" w:rsidP="00C60956">
            <w:pPr>
              <w:spacing w:line="480" w:lineRule="auto"/>
              <w:rPr>
                <w:rFonts w:ascii="Arial" w:hAnsi="Arial" w:cs="Arial"/>
                <w:b/>
                <w:lang w:val="en-GB"/>
              </w:rPr>
            </w:pPr>
            <w:r>
              <w:rPr>
                <w:rFonts w:ascii="Arial" w:hAnsi="Arial" w:cs="Arial"/>
                <w:b/>
                <w:lang w:val="en-GB"/>
              </w:rPr>
              <w:t>Extreme problems</w:t>
            </w:r>
          </w:p>
        </w:tc>
        <w:tc>
          <w:tcPr>
            <w:tcW w:w="1559" w:type="dxa"/>
          </w:tcPr>
          <w:p w14:paraId="40C2D417" w14:textId="77777777" w:rsidR="00E608A7" w:rsidRPr="00AD451B" w:rsidRDefault="00E608A7" w:rsidP="00511F60">
            <w:pPr>
              <w:spacing w:line="480" w:lineRule="auto"/>
              <w:rPr>
                <w:rFonts w:ascii="Arial" w:hAnsi="Arial" w:cs="Arial"/>
                <w:lang w:val="en-GB"/>
              </w:rPr>
            </w:pPr>
          </w:p>
          <w:p w14:paraId="5D72DA4F"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17   (40)      </w:t>
            </w:r>
          </w:p>
          <w:p w14:paraId="1A2DEDA1"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17   (40)       </w:t>
            </w:r>
          </w:p>
          <w:p w14:paraId="6F0206A9"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6     (14)     </w:t>
            </w:r>
          </w:p>
          <w:p w14:paraId="3BC6850B"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3     (7)</w:t>
            </w:r>
          </w:p>
          <w:p w14:paraId="49EAD661"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0     (0    </w:t>
            </w:r>
          </w:p>
        </w:tc>
        <w:tc>
          <w:tcPr>
            <w:tcW w:w="1559" w:type="dxa"/>
          </w:tcPr>
          <w:p w14:paraId="575BAEC9" w14:textId="77777777" w:rsidR="00E608A7" w:rsidRPr="00AD451B" w:rsidRDefault="00E608A7" w:rsidP="00511F60">
            <w:pPr>
              <w:spacing w:line="480" w:lineRule="auto"/>
              <w:rPr>
                <w:rFonts w:ascii="Arial" w:hAnsi="Arial" w:cs="Arial"/>
                <w:lang w:val="en-GB"/>
              </w:rPr>
            </w:pPr>
          </w:p>
          <w:p w14:paraId="734D28B6"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16  (38)            </w:t>
            </w:r>
          </w:p>
          <w:p w14:paraId="721FCA32"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12   (29)       </w:t>
            </w:r>
          </w:p>
          <w:p w14:paraId="489CD893"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10   (24)      </w:t>
            </w:r>
          </w:p>
          <w:p w14:paraId="442D5558"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4     (10)</w:t>
            </w:r>
          </w:p>
          <w:p w14:paraId="3D46E23D" w14:textId="0FEA105C" w:rsidR="00E608A7" w:rsidRPr="00AD451B" w:rsidRDefault="00E608A7" w:rsidP="00511F60">
            <w:pPr>
              <w:spacing w:line="480" w:lineRule="auto"/>
              <w:rPr>
                <w:rFonts w:ascii="Arial" w:hAnsi="Arial" w:cs="Arial"/>
                <w:lang w:val="en-GB"/>
              </w:rPr>
            </w:pPr>
            <w:r w:rsidRPr="00AD451B">
              <w:rPr>
                <w:rFonts w:ascii="Arial" w:hAnsi="Arial" w:cs="Arial"/>
                <w:lang w:val="en-GB"/>
              </w:rPr>
              <w:t>0     (0)</w:t>
            </w:r>
          </w:p>
        </w:tc>
        <w:tc>
          <w:tcPr>
            <w:tcW w:w="1559" w:type="dxa"/>
          </w:tcPr>
          <w:p w14:paraId="7A3F8444" w14:textId="77777777" w:rsidR="00E608A7" w:rsidRPr="00AD451B" w:rsidRDefault="00E608A7" w:rsidP="00511F60">
            <w:pPr>
              <w:spacing w:line="480" w:lineRule="auto"/>
              <w:rPr>
                <w:rFonts w:ascii="Arial" w:hAnsi="Arial" w:cs="Arial"/>
                <w:lang w:val="en-GB"/>
              </w:rPr>
            </w:pPr>
          </w:p>
          <w:p w14:paraId="71C21744"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10    (42)       </w:t>
            </w:r>
          </w:p>
          <w:p w14:paraId="3E038191"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13   (54)           </w:t>
            </w:r>
          </w:p>
          <w:p w14:paraId="278E66E0"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1     (4)  </w:t>
            </w:r>
          </w:p>
          <w:p w14:paraId="1D0D78FE"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0     (0)     </w:t>
            </w:r>
          </w:p>
          <w:p w14:paraId="501C1663" w14:textId="1EF2438C"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0     (0) </w:t>
            </w:r>
          </w:p>
        </w:tc>
        <w:tc>
          <w:tcPr>
            <w:tcW w:w="1389" w:type="dxa"/>
          </w:tcPr>
          <w:p w14:paraId="2908C834" w14:textId="77777777" w:rsidR="00E608A7" w:rsidRPr="00AD451B" w:rsidRDefault="00E608A7" w:rsidP="00511F60">
            <w:pPr>
              <w:spacing w:line="480" w:lineRule="auto"/>
              <w:rPr>
                <w:rFonts w:ascii="Arial" w:hAnsi="Arial" w:cs="Arial"/>
                <w:lang w:val="en-GB"/>
              </w:rPr>
            </w:pPr>
          </w:p>
          <w:p w14:paraId="50F54E27"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43    (39)           42    (39)      </w:t>
            </w:r>
          </w:p>
          <w:p w14:paraId="6DC41125"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17    (16)            </w:t>
            </w:r>
          </w:p>
          <w:p w14:paraId="15D2B6A0" w14:textId="77777777" w:rsidR="00E608A7" w:rsidRPr="00AD451B" w:rsidRDefault="00E608A7" w:rsidP="00511F60">
            <w:pPr>
              <w:spacing w:line="480" w:lineRule="auto"/>
              <w:rPr>
                <w:rFonts w:ascii="Arial" w:hAnsi="Arial" w:cs="Arial"/>
                <w:lang w:val="en-GB"/>
              </w:rPr>
            </w:pPr>
            <w:r w:rsidRPr="00AD451B">
              <w:rPr>
                <w:rFonts w:ascii="Arial" w:hAnsi="Arial" w:cs="Arial"/>
                <w:lang w:val="en-GB"/>
              </w:rPr>
              <w:t>7      (6)</w:t>
            </w:r>
          </w:p>
          <w:p w14:paraId="65472C60" w14:textId="4F161C0A" w:rsidR="00E608A7" w:rsidRPr="00AD451B" w:rsidRDefault="00E608A7" w:rsidP="00511F60">
            <w:pPr>
              <w:spacing w:line="480" w:lineRule="auto"/>
              <w:rPr>
                <w:rFonts w:ascii="Arial" w:hAnsi="Arial" w:cs="Arial"/>
                <w:lang w:val="en-GB"/>
              </w:rPr>
            </w:pPr>
            <w:r w:rsidRPr="00AD451B">
              <w:rPr>
                <w:rFonts w:ascii="Arial" w:hAnsi="Arial" w:cs="Arial"/>
                <w:lang w:val="en-GB"/>
              </w:rPr>
              <w:t xml:space="preserve">0      (0)     </w:t>
            </w:r>
          </w:p>
        </w:tc>
      </w:tr>
    </w:tbl>
    <w:p w14:paraId="65D0B971" w14:textId="77777777" w:rsidR="00E608A7" w:rsidRPr="00AD451B" w:rsidRDefault="00E608A7" w:rsidP="00511F60">
      <w:pPr>
        <w:spacing w:line="480" w:lineRule="auto"/>
        <w:rPr>
          <w:lang w:val="en-GB"/>
        </w:rPr>
      </w:pPr>
    </w:p>
    <w:p w14:paraId="1367034A" w14:textId="77777777" w:rsidR="00E608A7" w:rsidRPr="00AD451B" w:rsidRDefault="00E608A7" w:rsidP="00511F60">
      <w:pPr>
        <w:spacing w:line="480" w:lineRule="auto"/>
        <w:rPr>
          <w:lang w:val="en-GB"/>
        </w:rPr>
      </w:pPr>
    </w:p>
    <w:p w14:paraId="74525285" w14:textId="57DA4343" w:rsidR="000A1DE0" w:rsidRDefault="000A1DE0" w:rsidP="00511F60">
      <w:pPr>
        <w:spacing w:line="480" w:lineRule="auto"/>
      </w:pPr>
    </w:p>
    <w:sectPr w:rsidR="000A1DE0" w:rsidSect="000C0486">
      <w:footerReference w:type="even" r:id="rId13"/>
      <w:footerReference w:type="default" r:id="rId14"/>
      <w:pgSz w:w="11900" w:h="16840"/>
      <w:pgMar w:top="1440" w:right="1800" w:bottom="1440" w:left="180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383BC2" w14:textId="77777777" w:rsidR="00765429" w:rsidRDefault="00765429" w:rsidP="00A53290">
      <w:r>
        <w:separator/>
      </w:r>
    </w:p>
  </w:endnote>
  <w:endnote w:type="continuationSeparator" w:id="0">
    <w:p w14:paraId="5E50C3C8" w14:textId="77777777" w:rsidR="00765429" w:rsidRDefault="00765429" w:rsidP="00A53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56EAE" w14:textId="77777777" w:rsidR="004F7C8C" w:rsidRDefault="004F7C8C" w:rsidP="004A62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88A241" w14:textId="77777777" w:rsidR="004F7C8C" w:rsidRDefault="004F7C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F7B5D" w14:textId="77777777" w:rsidR="004F7C8C" w:rsidRDefault="004F7C8C" w:rsidP="004A62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74CD">
      <w:rPr>
        <w:rStyle w:val="PageNumber"/>
        <w:noProof/>
      </w:rPr>
      <w:t>1</w:t>
    </w:r>
    <w:r>
      <w:rPr>
        <w:rStyle w:val="PageNumber"/>
      </w:rPr>
      <w:fldChar w:fldCharType="end"/>
    </w:r>
  </w:p>
  <w:p w14:paraId="4AFBF6FF" w14:textId="77777777" w:rsidR="004F7C8C" w:rsidRDefault="004F7C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B0BB5A" w14:textId="77777777" w:rsidR="00765429" w:rsidRDefault="00765429" w:rsidP="00A53290">
      <w:r>
        <w:separator/>
      </w:r>
    </w:p>
  </w:footnote>
  <w:footnote w:type="continuationSeparator" w:id="0">
    <w:p w14:paraId="264A4541" w14:textId="77777777" w:rsidR="00765429" w:rsidRDefault="00765429" w:rsidP="00A532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218D3"/>
    <w:multiLevelType w:val="hybridMultilevel"/>
    <w:tmpl w:val="256AB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E608A7"/>
    <w:rsid w:val="000004D6"/>
    <w:rsid w:val="000065AC"/>
    <w:rsid w:val="00007B13"/>
    <w:rsid w:val="000474CD"/>
    <w:rsid w:val="00057D15"/>
    <w:rsid w:val="000A1DE0"/>
    <w:rsid w:val="000B6A2C"/>
    <w:rsid w:val="000C0486"/>
    <w:rsid w:val="000C121B"/>
    <w:rsid w:val="000C1AFB"/>
    <w:rsid w:val="000F30B2"/>
    <w:rsid w:val="00106302"/>
    <w:rsid w:val="001257DD"/>
    <w:rsid w:val="001506E9"/>
    <w:rsid w:val="00157825"/>
    <w:rsid w:val="00170E23"/>
    <w:rsid w:val="00174223"/>
    <w:rsid w:val="00181C26"/>
    <w:rsid w:val="001B13F4"/>
    <w:rsid w:val="001E158F"/>
    <w:rsid w:val="00202564"/>
    <w:rsid w:val="002139F7"/>
    <w:rsid w:val="002178AD"/>
    <w:rsid w:val="00261204"/>
    <w:rsid w:val="002D5563"/>
    <w:rsid w:val="002F56CD"/>
    <w:rsid w:val="00302263"/>
    <w:rsid w:val="0030626C"/>
    <w:rsid w:val="00320806"/>
    <w:rsid w:val="003365BC"/>
    <w:rsid w:val="003520DA"/>
    <w:rsid w:val="003834D8"/>
    <w:rsid w:val="003862AC"/>
    <w:rsid w:val="003A79E8"/>
    <w:rsid w:val="00423795"/>
    <w:rsid w:val="00430ECA"/>
    <w:rsid w:val="004338CD"/>
    <w:rsid w:val="00443E2F"/>
    <w:rsid w:val="00462751"/>
    <w:rsid w:val="00472915"/>
    <w:rsid w:val="004A015D"/>
    <w:rsid w:val="004A62D3"/>
    <w:rsid w:val="004C702B"/>
    <w:rsid w:val="004E5D1A"/>
    <w:rsid w:val="004F7C8C"/>
    <w:rsid w:val="00511F60"/>
    <w:rsid w:val="00524216"/>
    <w:rsid w:val="00536ACB"/>
    <w:rsid w:val="00552EAF"/>
    <w:rsid w:val="005B7B4F"/>
    <w:rsid w:val="005C59D3"/>
    <w:rsid w:val="005E4539"/>
    <w:rsid w:val="00612837"/>
    <w:rsid w:val="0064547A"/>
    <w:rsid w:val="006B3BB7"/>
    <w:rsid w:val="006C2979"/>
    <w:rsid w:val="006E2D87"/>
    <w:rsid w:val="00707FDB"/>
    <w:rsid w:val="007173EB"/>
    <w:rsid w:val="00744A26"/>
    <w:rsid w:val="00765429"/>
    <w:rsid w:val="007758D2"/>
    <w:rsid w:val="00787112"/>
    <w:rsid w:val="008066EC"/>
    <w:rsid w:val="00820727"/>
    <w:rsid w:val="00883E56"/>
    <w:rsid w:val="008923B4"/>
    <w:rsid w:val="008E6D74"/>
    <w:rsid w:val="008F060C"/>
    <w:rsid w:val="00903609"/>
    <w:rsid w:val="00903BB7"/>
    <w:rsid w:val="00912995"/>
    <w:rsid w:val="00921EBD"/>
    <w:rsid w:val="0092789B"/>
    <w:rsid w:val="00942C89"/>
    <w:rsid w:val="009D22CA"/>
    <w:rsid w:val="00A25C3B"/>
    <w:rsid w:val="00A46458"/>
    <w:rsid w:val="00A53290"/>
    <w:rsid w:val="00AC6723"/>
    <w:rsid w:val="00AE659C"/>
    <w:rsid w:val="00B14B4F"/>
    <w:rsid w:val="00B50359"/>
    <w:rsid w:val="00B51305"/>
    <w:rsid w:val="00B54972"/>
    <w:rsid w:val="00B63822"/>
    <w:rsid w:val="00B82CDD"/>
    <w:rsid w:val="00B878B2"/>
    <w:rsid w:val="00BC0F56"/>
    <w:rsid w:val="00BF41D9"/>
    <w:rsid w:val="00C069EB"/>
    <w:rsid w:val="00C220C6"/>
    <w:rsid w:val="00C56A15"/>
    <w:rsid w:val="00C605C7"/>
    <w:rsid w:val="00C60956"/>
    <w:rsid w:val="00CA19BA"/>
    <w:rsid w:val="00CA53A3"/>
    <w:rsid w:val="00CD22FB"/>
    <w:rsid w:val="00CE5546"/>
    <w:rsid w:val="00CF4608"/>
    <w:rsid w:val="00D2755F"/>
    <w:rsid w:val="00D67E2E"/>
    <w:rsid w:val="00DE6C64"/>
    <w:rsid w:val="00E001B5"/>
    <w:rsid w:val="00E54E45"/>
    <w:rsid w:val="00E608A7"/>
    <w:rsid w:val="00E670B4"/>
    <w:rsid w:val="00E67B21"/>
    <w:rsid w:val="00E740D6"/>
    <w:rsid w:val="00EB0B55"/>
    <w:rsid w:val="00EC7A4A"/>
    <w:rsid w:val="00F00D23"/>
    <w:rsid w:val="00F043E9"/>
    <w:rsid w:val="00F22FCB"/>
    <w:rsid w:val="00F66506"/>
    <w:rsid w:val="00F71E1E"/>
    <w:rsid w:val="00F93ECF"/>
    <w:rsid w:val="00F97FD8"/>
    <w:rsid w:val="00FB66D5"/>
    <w:rsid w:val="00FC51E7"/>
    <w:rsid w:val="00FE21A7"/>
    <w:rsid w:val="00FF4B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951C7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8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rsid w:val="00E608A7"/>
    <w:pPr>
      <w:jc w:val="both"/>
    </w:pPr>
    <w:rPr>
      <w:rFonts w:ascii="Cambria" w:hAnsi="Cambria"/>
    </w:rPr>
  </w:style>
  <w:style w:type="character" w:styleId="Hyperlink">
    <w:name w:val="Hyperlink"/>
    <w:basedOn w:val="DefaultParagraphFont"/>
    <w:uiPriority w:val="99"/>
    <w:unhideWhenUsed/>
    <w:rsid w:val="00E608A7"/>
    <w:rPr>
      <w:color w:val="0000FF" w:themeColor="hyperlink"/>
      <w:u w:val="single"/>
    </w:rPr>
  </w:style>
  <w:style w:type="table" w:styleId="TableGrid">
    <w:name w:val="Table Grid"/>
    <w:basedOn w:val="TableNormal"/>
    <w:uiPriority w:val="59"/>
    <w:rsid w:val="00E608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608A7"/>
    <w:rPr>
      <w:sz w:val="16"/>
      <w:szCs w:val="16"/>
    </w:rPr>
  </w:style>
  <w:style w:type="paragraph" w:styleId="CommentText">
    <w:name w:val="annotation text"/>
    <w:basedOn w:val="Normal"/>
    <w:link w:val="CommentTextChar"/>
    <w:uiPriority w:val="99"/>
    <w:semiHidden/>
    <w:unhideWhenUsed/>
    <w:rsid w:val="00E608A7"/>
    <w:rPr>
      <w:sz w:val="20"/>
      <w:szCs w:val="20"/>
    </w:rPr>
  </w:style>
  <w:style w:type="character" w:customStyle="1" w:styleId="CommentTextChar">
    <w:name w:val="Comment Text Char"/>
    <w:basedOn w:val="DefaultParagraphFont"/>
    <w:link w:val="CommentText"/>
    <w:uiPriority w:val="99"/>
    <w:semiHidden/>
    <w:rsid w:val="00E608A7"/>
    <w:rPr>
      <w:sz w:val="20"/>
      <w:szCs w:val="20"/>
    </w:rPr>
  </w:style>
  <w:style w:type="paragraph" w:styleId="BalloonText">
    <w:name w:val="Balloon Text"/>
    <w:basedOn w:val="Normal"/>
    <w:link w:val="BalloonTextChar"/>
    <w:uiPriority w:val="99"/>
    <w:semiHidden/>
    <w:unhideWhenUsed/>
    <w:rsid w:val="00E608A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08A7"/>
    <w:rPr>
      <w:rFonts w:ascii="Lucida Grande" w:hAnsi="Lucida Grande" w:cs="Lucida Grande"/>
      <w:sz w:val="18"/>
      <w:szCs w:val="18"/>
    </w:rPr>
  </w:style>
  <w:style w:type="paragraph" w:customStyle="1" w:styleId="EndNoteBibliographyTitle">
    <w:name w:val="EndNote Bibliography Title"/>
    <w:basedOn w:val="Normal"/>
    <w:rsid w:val="00E608A7"/>
    <w:pPr>
      <w:jc w:val="center"/>
    </w:pPr>
    <w:rPr>
      <w:rFonts w:ascii="Cambria" w:hAnsi="Cambria"/>
    </w:rPr>
  </w:style>
  <w:style w:type="paragraph" w:styleId="CommentSubject">
    <w:name w:val="annotation subject"/>
    <w:basedOn w:val="CommentText"/>
    <w:next w:val="CommentText"/>
    <w:link w:val="CommentSubjectChar"/>
    <w:uiPriority w:val="99"/>
    <w:semiHidden/>
    <w:unhideWhenUsed/>
    <w:rsid w:val="00E608A7"/>
    <w:rPr>
      <w:b/>
      <w:bCs/>
    </w:rPr>
  </w:style>
  <w:style w:type="character" w:customStyle="1" w:styleId="CommentSubjectChar">
    <w:name w:val="Comment Subject Char"/>
    <w:basedOn w:val="CommentTextChar"/>
    <w:link w:val="CommentSubject"/>
    <w:uiPriority w:val="99"/>
    <w:semiHidden/>
    <w:rsid w:val="00E608A7"/>
    <w:rPr>
      <w:b/>
      <w:bCs/>
      <w:sz w:val="20"/>
      <w:szCs w:val="20"/>
    </w:rPr>
  </w:style>
  <w:style w:type="paragraph" w:styleId="ListParagraph">
    <w:name w:val="List Paragraph"/>
    <w:basedOn w:val="Normal"/>
    <w:uiPriority w:val="34"/>
    <w:qFormat/>
    <w:rsid w:val="00E608A7"/>
    <w:pPr>
      <w:spacing w:after="160" w:line="259" w:lineRule="auto"/>
      <w:ind w:left="720"/>
      <w:contextualSpacing/>
    </w:pPr>
    <w:rPr>
      <w:rFonts w:eastAsiaTheme="minorHAnsi"/>
      <w:sz w:val="22"/>
      <w:szCs w:val="22"/>
      <w:lang w:val="en-GB"/>
    </w:rPr>
  </w:style>
  <w:style w:type="table" w:customStyle="1" w:styleId="GridTable4-Accent51">
    <w:name w:val="Grid Table 4 - Accent 51"/>
    <w:basedOn w:val="TableNormal"/>
    <w:uiPriority w:val="49"/>
    <w:rsid w:val="00E608A7"/>
    <w:rPr>
      <w:rFonts w:eastAsiaTheme="minorHAnsi"/>
      <w:sz w:val="22"/>
      <w:szCs w:val="22"/>
      <w:lang w:val="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FollowedHyperlink">
    <w:name w:val="FollowedHyperlink"/>
    <w:basedOn w:val="DefaultParagraphFont"/>
    <w:uiPriority w:val="99"/>
    <w:semiHidden/>
    <w:unhideWhenUsed/>
    <w:rsid w:val="00E608A7"/>
    <w:rPr>
      <w:color w:val="800080" w:themeColor="followedHyperlink"/>
      <w:u w:val="single"/>
    </w:rPr>
  </w:style>
  <w:style w:type="table" w:customStyle="1" w:styleId="GridTable4-Accent11">
    <w:name w:val="Grid Table 4 - Accent 11"/>
    <w:basedOn w:val="TableNormal"/>
    <w:uiPriority w:val="49"/>
    <w:rsid w:val="00E608A7"/>
    <w:rPr>
      <w:lang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E608A7"/>
  </w:style>
  <w:style w:type="paragraph" w:styleId="Header">
    <w:name w:val="header"/>
    <w:basedOn w:val="Normal"/>
    <w:link w:val="HeaderChar"/>
    <w:uiPriority w:val="99"/>
    <w:unhideWhenUsed/>
    <w:rsid w:val="00E608A7"/>
    <w:pPr>
      <w:tabs>
        <w:tab w:val="center" w:pos="4320"/>
        <w:tab w:val="right" w:pos="8640"/>
      </w:tabs>
    </w:pPr>
  </w:style>
  <w:style w:type="character" w:customStyle="1" w:styleId="HeaderChar">
    <w:name w:val="Header Char"/>
    <w:basedOn w:val="DefaultParagraphFont"/>
    <w:link w:val="Header"/>
    <w:uiPriority w:val="99"/>
    <w:rsid w:val="00E608A7"/>
  </w:style>
  <w:style w:type="paragraph" w:styleId="Footer">
    <w:name w:val="footer"/>
    <w:basedOn w:val="Normal"/>
    <w:link w:val="FooterChar"/>
    <w:uiPriority w:val="99"/>
    <w:unhideWhenUsed/>
    <w:rsid w:val="00E608A7"/>
    <w:pPr>
      <w:tabs>
        <w:tab w:val="center" w:pos="4320"/>
        <w:tab w:val="right" w:pos="8640"/>
      </w:tabs>
    </w:pPr>
  </w:style>
  <w:style w:type="character" w:customStyle="1" w:styleId="FooterChar">
    <w:name w:val="Footer Char"/>
    <w:basedOn w:val="DefaultParagraphFont"/>
    <w:link w:val="Footer"/>
    <w:uiPriority w:val="99"/>
    <w:rsid w:val="00E608A7"/>
  </w:style>
  <w:style w:type="character" w:styleId="LineNumber">
    <w:name w:val="line number"/>
    <w:basedOn w:val="DefaultParagraphFont"/>
    <w:uiPriority w:val="99"/>
    <w:semiHidden/>
    <w:unhideWhenUsed/>
    <w:rsid w:val="000C0486"/>
  </w:style>
  <w:style w:type="character" w:styleId="PageNumber">
    <w:name w:val="page number"/>
    <w:basedOn w:val="DefaultParagraphFont"/>
    <w:uiPriority w:val="99"/>
    <w:semiHidden/>
    <w:unhideWhenUsed/>
    <w:rsid w:val="00A532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8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rsid w:val="00E608A7"/>
    <w:pPr>
      <w:jc w:val="both"/>
    </w:pPr>
    <w:rPr>
      <w:rFonts w:ascii="Cambria" w:hAnsi="Cambria"/>
    </w:rPr>
  </w:style>
  <w:style w:type="character" w:styleId="Hyperlink">
    <w:name w:val="Hyperlink"/>
    <w:basedOn w:val="DefaultParagraphFont"/>
    <w:uiPriority w:val="99"/>
    <w:unhideWhenUsed/>
    <w:rsid w:val="00E608A7"/>
    <w:rPr>
      <w:color w:val="0000FF" w:themeColor="hyperlink"/>
      <w:u w:val="single"/>
    </w:rPr>
  </w:style>
  <w:style w:type="table" w:styleId="TableGrid">
    <w:name w:val="Table Grid"/>
    <w:basedOn w:val="TableNormal"/>
    <w:uiPriority w:val="59"/>
    <w:rsid w:val="00E608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608A7"/>
    <w:rPr>
      <w:sz w:val="16"/>
      <w:szCs w:val="16"/>
    </w:rPr>
  </w:style>
  <w:style w:type="paragraph" w:styleId="CommentText">
    <w:name w:val="annotation text"/>
    <w:basedOn w:val="Normal"/>
    <w:link w:val="CommentTextChar"/>
    <w:uiPriority w:val="99"/>
    <w:semiHidden/>
    <w:unhideWhenUsed/>
    <w:rsid w:val="00E608A7"/>
    <w:rPr>
      <w:sz w:val="20"/>
      <w:szCs w:val="20"/>
    </w:rPr>
  </w:style>
  <w:style w:type="character" w:customStyle="1" w:styleId="CommentTextChar">
    <w:name w:val="Comment Text Char"/>
    <w:basedOn w:val="DefaultParagraphFont"/>
    <w:link w:val="CommentText"/>
    <w:uiPriority w:val="99"/>
    <w:semiHidden/>
    <w:rsid w:val="00E608A7"/>
    <w:rPr>
      <w:sz w:val="20"/>
      <w:szCs w:val="20"/>
    </w:rPr>
  </w:style>
  <w:style w:type="paragraph" w:styleId="BalloonText">
    <w:name w:val="Balloon Text"/>
    <w:basedOn w:val="Normal"/>
    <w:link w:val="BalloonTextChar"/>
    <w:uiPriority w:val="99"/>
    <w:semiHidden/>
    <w:unhideWhenUsed/>
    <w:rsid w:val="00E608A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08A7"/>
    <w:rPr>
      <w:rFonts w:ascii="Lucida Grande" w:hAnsi="Lucida Grande" w:cs="Lucida Grande"/>
      <w:sz w:val="18"/>
      <w:szCs w:val="18"/>
    </w:rPr>
  </w:style>
  <w:style w:type="paragraph" w:customStyle="1" w:styleId="EndNoteBibliographyTitle">
    <w:name w:val="EndNote Bibliography Title"/>
    <w:basedOn w:val="Normal"/>
    <w:rsid w:val="00E608A7"/>
    <w:pPr>
      <w:jc w:val="center"/>
    </w:pPr>
    <w:rPr>
      <w:rFonts w:ascii="Cambria" w:hAnsi="Cambria"/>
    </w:rPr>
  </w:style>
  <w:style w:type="paragraph" w:styleId="CommentSubject">
    <w:name w:val="annotation subject"/>
    <w:basedOn w:val="CommentText"/>
    <w:next w:val="CommentText"/>
    <w:link w:val="CommentSubjectChar"/>
    <w:uiPriority w:val="99"/>
    <w:semiHidden/>
    <w:unhideWhenUsed/>
    <w:rsid w:val="00E608A7"/>
    <w:rPr>
      <w:b/>
      <w:bCs/>
    </w:rPr>
  </w:style>
  <w:style w:type="character" w:customStyle="1" w:styleId="CommentSubjectChar">
    <w:name w:val="Comment Subject Char"/>
    <w:basedOn w:val="CommentTextChar"/>
    <w:link w:val="CommentSubject"/>
    <w:uiPriority w:val="99"/>
    <w:semiHidden/>
    <w:rsid w:val="00E608A7"/>
    <w:rPr>
      <w:b/>
      <w:bCs/>
      <w:sz w:val="20"/>
      <w:szCs w:val="20"/>
    </w:rPr>
  </w:style>
  <w:style w:type="paragraph" w:styleId="ListParagraph">
    <w:name w:val="List Paragraph"/>
    <w:basedOn w:val="Normal"/>
    <w:uiPriority w:val="34"/>
    <w:qFormat/>
    <w:rsid w:val="00E608A7"/>
    <w:pPr>
      <w:spacing w:after="160" w:line="259" w:lineRule="auto"/>
      <w:ind w:left="720"/>
      <w:contextualSpacing/>
    </w:pPr>
    <w:rPr>
      <w:rFonts w:eastAsiaTheme="minorHAnsi"/>
      <w:sz w:val="22"/>
      <w:szCs w:val="22"/>
      <w:lang w:val="en-GB"/>
    </w:rPr>
  </w:style>
  <w:style w:type="table" w:customStyle="1" w:styleId="GridTable4-Accent51">
    <w:name w:val="Grid Table 4 - Accent 51"/>
    <w:basedOn w:val="TableNormal"/>
    <w:uiPriority w:val="49"/>
    <w:rsid w:val="00E608A7"/>
    <w:rPr>
      <w:rFonts w:eastAsiaTheme="minorHAnsi"/>
      <w:sz w:val="22"/>
      <w:szCs w:val="22"/>
      <w:lang w:val="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FollowedHyperlink">
    <w:name w:val="FollowedHyperlink"/>
    <w:basedOn w:val="DefaultParagraphFont"/>
    <w:uiPriority w:val="99"/>
    <w:semiHidden/>
    <w:unhideWhenUsed/>
    <w:rsid w:val="00E608A7"/>
    <w:rPr>
      <w:color w:val="800080" w:themeColor="followedHyperlink"/>
      <w:u w:val="single"/>
    </w:rPr>
  </w:style>
  <w:style w:type="table" w:customStyle="1" w:styleId="GridTable4-Accent11">
    <w:name w:val="Grid Table 4 - Accent 11"/>
    <w:basedOn w:val="TableNormal"/>
    <w:uiPriority w:val="49"/>
    <w:rsid w:val="00E608A7"/>
    <w:rPr>
      <w:lang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E608A7"/>
  </w:style>
  <w:style w:type="paragraph" w:styleId="Header">
    <w:name w:val="header"/>
    <w:basedOn w:val="Normal"/>
    <w:link w:val="HeaderChar"/>
    <w:uiPriority w:val="99"/>
    <w:unhideWhenUsed/>
    <w:rsid w:val="00E608A7"/>
    <w:pPr>
      <w:tabs>
        <w:tab w:val="center" w:pos="4320"/>
        <w:tab w:val="right" w:pos="8640"/>
      </w:tabs>
    </w:pPr>
  </w:style>
  <w:style w:type="character" w:customStyle="1" w:styleId="HeaderChar">
    <w:name w:val="Header Char"/>
    <w:basedOn w:val="DefaultParagraphFont"/>
    <w:link w:val="Header"/>
    <w:uiPriority w:val="99"/>
    <w:rsid w:val="00E608A7"/>
  </w:style>
  <w:style w:type="paragraph" w:styleId="Footer">
    <w:name w:val="footer"/>
    <w:basedOn w:val="Normal"/>
    <w:link w:val="FooterChar"/>
    <w:uiPriority w:val="99"/>
    <w:unhideWhenUsed/>
    <w:rsid w:val="00E608A7"/>
    <w:pPr>
      <w:tabs>
        <w:tab w:val="center" w:pos="4320"/>
        <w:tab w:val="right" w:pos="8640"/>
      </w:tabs>
    </w:pPr>
  </w:style>
  <w:style w:type="character" w:customStyle="1" w:styleId="FooterChar">
    <w:name w:val="Footer Char"/>
    <w:basedOn w:val="DefaultParagraphFont"/>
    <w:link w:val="Footer"/>
    <w:uiPriority w:val="99"/>
    <w:rsid w:val="00E608A7"/>
  </w:style>
  <w:style w:type="character" w:styleId="LineNumber">
    <w:name w:val="line number"/>
    <w:basedOn w:val="DefaultParagraphFont"/>
    <w:uiPriority w:val="99"/>
    <w:semiHidden/>
    <w:unhideWhenUsed/>
    <w:rsid w:val="000C0486"/>
  </w:style>
  <w:style w:type="character" w:styleId="PageNumber">
    <w:name w:val="page number"/>
    <w:basedOn w:val="DefaultParagraphFont"/>
    <w:uiPriority w:val="99"/>
    <w:semiHidden/>
    <w:unhideWhenUsed/>
    <w:rsid w:val="00A53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20@tes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search.ndorms.ox.ac.uk/rudytes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rudystudy.org" TargetMode="External"/><Relationship Id="rId4" Type="http://schemas.microsoft.com/office/2007/relationships/stylesWithEffects" Target="stylesWithEffects.xml"/><Relationship Id="rId9" Type="http://schemas.openxmlformats.org/officeDocument/2006/relationships/hyperlink" Target="mailto:kassim.javaid@ndorms.ox.ac.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3241B-2425-4FEC-9295-BBA45C84E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5468</Words>
  <Characters>31174</Characters>
  <Application>Microsoft Office Word</Application>
  <DocSecurity>4</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Oxford University</Company>
  <LinksUpToDate>false</LinksUpToDate>
  <CharactersWithSpaces>36569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Rupert Warne</dc:creator>
  <cp:lastModifiedBy>Karen Drake</cp:lastModifiedBy>
  <cp:revision>2</cp:revision>
  <dcterms:created xsi:type="dcterms:W3CDTF">2017-01-25T11:18:00Z</dcterms:created>
  <dcterms:modified xsi:type="dcterms:W3CDTF">2017-01-25T11:18:00Z</dcterms:modified>
</cp:coreProperties>
</file>