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79289" w14:textId="77777777" w:rsidR="005A3268" w:rsidRDefault="005A3268" w:rsidP="005A3268">
      <w:pPr>
        <w:spacing w:after="0" w:line="300" w:lineRule="auto"/>
        <w:jc w:val="center"/>
        <w:rPr>
          <w:rFonts w:asciiTheme="majorHAnsi" w:hAnsiTheme="majorHAnsi"/>
          <w:color w:val="000000" w:themeColor="text1"/>
          <w:sz w:val="24"/>
          <w:szCs w:val="24"/>
          <w:lang w:val="en-GB"/>
        </w:rPr>
      </w:pPr>
      <w:r w:rsidRPr="005A3268">
        <w:rPr>
          <w:rFonts w:asciiTheme="majorHAnsi" w:hAnsiTheme="majorHAnsi"/>
          <w:color w:val="000000" w:themeColor="text1"/>
          <w:sz w:val="24"/>
          <w:szCs w:val="24"/>
          <w:lang w:val="en-GB"/>
        </w:rPr>
        <w:t>Note: this is the final draft of the manuscript</w:t>
      </w:r>
    </w:p>
    <w:p w14:paraId="5CC2C566" w14:textId="77777777" w:rsidR="006A6B94" w:rsidRPr="005A3268" w:rsidRDefault="006A6B94" w:rsidP="005A3268">
      <w:pPr>
        <w:spacing w:after="0" w:line="300" w:lineRule="auto"/>
        <w:jc w:val="center"/>
        <w:rPr>
          <w:rFonts w:asciiTheme="majorHAnsi" w:hAnsiTheme="majorHAnsi"/>
          <w:color w:val="000000" w:themeColor="text1"/>
          <w:sz w:val="24"/>
          <w:szCs w:val="24"/>
          <w:lang w:val="en-GB"/>
        </w:rPr>
      </w:pPr>
    </w:p>
    <w:p w14:paraId="7E5E1E94" w14:textId="4CB4F541" w:rsidR="005A3268" w:rsidRDefault="005A3268" w:rsidP="005A3268">
      <w:pPr>
        <w:spacing w:after="0" w:line="300" w:lineRule="auto"/>
        <w:jc w:val="center"/>
        <w:rPr>
          <w:rFonts w:asciiTheme="majorHAnsi" w:hAnsiTheme="majorHAnsi"/>
          <w:b/>
          <w:bCs/>
          <w:color w:val="000000" w:themeColor="text1"/>
          <w:sz w:val="24"/>
          <w:szCs w:val="24"/>
          <w:lang w:val="en-GB"/>
        </w:rPr>
      </w:pPr>
      <w:r w:rsidRPr="005A3268">
        <w:rPr>
          <w:rFonts w:asciiTheme="majorHAnsi" w:hAnsiTheme="majorHAnsi"/>
          <w:b/>
          <w:bCs/>
          <w:color w:val="000000" w:themeColor="text1"/>
          <w:sz w:val="24"/>
          <w:szCs w:val="24"/>
          <w:lang w:val="en-GB"/>
        </w:rPr>
        <w:t>Burridge</w:t>
      </w:r>
      <w:r w:rsidRPr="005A3268">
        <w:rPr>
          <w:rFonts w:asciiTheme="majorHAnsi" w:hAnsiTheme="majorHAnsi"/>
          <w:b/>
          <w:bCs/>
          <w:color w:val="000000" w:themeColor="text1"/>
          <w:sz w:val="24"/>
          <w:szCs w:val="24"/>
          <w:lang w:val="en-GB"/>
        </w:rPr>
        <w:t xml:space="preserve"> JH,</w:t>
      </w:r>
      <w:r w:rsidRPr="005A3268">
        <w:rPr>
          <w:rFonts w:asciiTheme="majorHAnsi" w:hAnsiTheme="majorHAnsi"/>
          <w:b/>
          <w:bCs/>
          <w:color w:val="000000" w:themeColor="text1"/>
          <w:sz w:val="24"/>
          <w:szCs w:val="24"/>
          <w:lang w:val="en-GB"/>
        </w:rPr>
        <w:t xml:space="preserve"> Lee</w:t>
      </w:r>
      <w:r w:rsidRPr="005A3268">
        <w:rPr>
          <w:rFonts w:asciiTheme="majorHAnsi" w:hAnsiTheme="majorHAnsi"/>
          <w:b/>
          <w:bCs/>
          <w:color w:val="000000" w:themeColor="text1"/>
          <w:sz w:val="24"/>
          <w:szCs w:val="24"/>
          <w:lang w:val="en-GB"/>
        </w:rPr>
        <w:t xml:space="preserve"> A, </w:t>
      </w:r>
      <w:r w:rsidRPr="005A3268">
        <w:rPr>
          <w:rFonts w:asciiTheme="majorHAnsi" w:hAnsiTheme="majorHAnsi"/>
          <w:b/>
          <w:bCs/>
          <w:color w:val="000000" w:themeColor="text1"/>
          <w:sz w:val="24"/>
          <w:szCs w:val="24"/>
          <w:lang w:val="en-GB"/>
        </w:rPr>
        <w:t xml:space="preserve">Turk </w:t>
      </w:r>
      <w:r w:rsidRPr="005A3268">
        <w:rPr>
          <w:rFonts w:asciiTheme="majorHAnsi" w:hAnsiTheme="majorHAnsi"/>
          <w:b/>
          <w:bCs/>
          <w:color w:val="000000" w:themeColor="text1"/>
          <w:sz w:val="24"/>
          <w:szCs w:val="24"/>
          <w:lang w:val="en-GB"/>
        </w:rPr>
        <w:t xml:space="preserve">R, Stokes M, Whitall J, </w:t>
      </w:r>
      <w:r w:rsidRPr="005A3268">
        <w:rPr>
          <w:rFonts w:asciiTheme="majorHAnsi" w:hAnsiTheme="majorHAnsi"/>
          <w:b/>
          <w:bCs/>
          <w:color w:val="000000" w:themeColor="text1"/>
          <w:sz w:val="24"/>
          <w:szCs w:val="24"/>
          <w:lang w:val="en-GB"/>
        </w:rPr>
        <w:t>Vaidyanathan</w:t>
      </w:r>
      <w:r w:rsidRPr="005A3268">
        <w:rPr>
          <w:rFonts w:asciiTheme="majorHAnsi" w:hAnsiTheme="majorHAnsi"/>
          <w:b/>
          <w:bCs/>
          <w:color w:val="000000" w:themeColor="text1"/>
          <w:sz w:val="24"/>
          <w:szCs w:val="24"/>
          <w:lang w:val="en-GB"/>
        </w:rPr>
        <w:t xml:space="preserve"> R, </w:t>
      </w:r>
      <w:r w:rsidRPr="005A3268">
        <w:rPr>
          <w:rFonts w:asciiTheme="majorHAnsi" w:hAnsiTheme="majorHAnsi"/>
          <w:b/>
          <w:bCs/>
          <w:color w:val="000000" w:themeColor="text1"/>
          <w:sz w:val="24"/>
          <w:szCs w:val="24"/>
          <w:lang w:val="en-GB"/>
        </w:rPr>
        <w:t>Clatworthy</w:t>
      </w:r>
      <w:r w:rsidRPr="005A3268">
        <w:rPr>
          <w:rFonts w:asciiTheme="majorHAnsi" w:hAnsiTheme="majorHAnsi"/>
          <w:b/>
          <w:bCs/>
          <w:color w:val="000000" w:themeColor="text1"/>
          <w:sz w:val="24"/>
          <w:szCs w:val="24"/>
          <w:lang w:val="en-GB"/>
        </w:rPr>
        <w:t xml:space="preserve"> P,</w:t>
      </w:r>
      <w:r w:rsidRPr="005A3268">
        <w:rPr>
          <w:rFonts w:asciiTheme="majorHAnsi" w:hAnsiTheme="majorHAnsi"/>
          <w:b/>
          <w:bCs/>
          <w:color w:val="000000" w:themeColor="text1"/>
          <w:sz w:val="24"/>
          <w:szCs w:val="24"/>
          <w:lang w:val="en-GB"/>
        </w:rPr>
        <w:t xml:space="preserve"> Hughes</w:t>
      </w:r>
      <w:r w:rsidRPr="005A3268">
        <w:rPr>
          <w:rFonts w:asciiTheme="majorHAnsi" w:hAnsiTheme="majorHAnsi"/>
          <w:b/>
          <w:bCs/>
          <w:color w:val="000000" w:themeColor="text1"/>
          <w:sz w:val="24"/>
          <w:szCs w:val="24"/>
          <w:lang w:val="en-GB"/>
        </w:rPr>
        <w:t xml:space="preserve"> AM, </w:t>
      </w:r>
      <w:r w:rsidRPr="005A3268">
        <w:rPr>
          <w:rFonts w:asciiTheme="majorHAnsi" w:hAnsiTheme="majorHAnsi"/>
          <w:b/>
          <w:bCs/>
          <w:color w:val="000000" w:themeColor="text1"/>
          <w:sz w:val="24"/>
          <w:szCs w:val="24"/>
          <w:lang w:val="en-GB"/>
        </w:rPr>
        <w:t xml:space="preserve">Meagher </w:t>
      </w:r>
      <w:r w:rsidRPr="005A3268">
        <w:rPr>
          <w:rFonts w:asciiTheme="majorHAnsi" w:hAnsiTheme="majorHAnsi"/>
          <w:b/>
          <w:bCs/>
          <w:color w:val="000000" w:themeColor="text1"/>
          <w:sz w:val="24"/>
          <w:szCs w:val="24"/>
          <w:lang w:val="en-GB"/>
        </w:rPr>
        <w:t xml:space="preserve">C, </w:t>
      </w:r>
      <w:r w:rsidRPr="005A3268">
        <w:rPr>
          <w:rFonts w:asciiTheme="majorHAnsi" w:hAnsiTheme="majorHAnsi"/>
          <w:b/>
          <w:bCs/>
          <w:color w:val="000000" w:themeColor="text1"/>
          <w:sz w:val="24"/>
          <w:szCs w:val="24"/>
          <w:lang w:val="en-GB"/>
        </w:rPr>
        <w:t>Franco</w:t>
      </w:r>
      <w:r w:rsidRPr="005A3268">
        <w:rPr>
          <w:rFonts w:asciiTheme="majorHAnsi" w:hAnsiTheme="majorHAnsi"/>
          <w:b/>
          <w:bCs/>
          <w:color w:val="000000" w:themeColor="text1"/>
          <w:sz w:val="24"/>
          <w:szCs w:val="24"/>
          <w:lang w:val="en-GB"/>
        </w:rPr>
        <w:t xml:space="preserve"> E,</w:t>
      </w:r>
      <w:r w:rsidRPr="005A3268">
        <w:rPr>
          <w:rFonts w:asciiTheme="majorHAnsi" w:hAnsiTheme="majorHAnsi"/>
          <w:b/>
          <w:bCs/>
          <w:color w:val="000000" w:themeColor="text1"/>
          <w:sz w:val="24"/>
          <w:szCs w:val="24"/>
          <w:lang w:val="en-GB"/>
        </w:rPr>
        <w:t xml:space="preserve"> Yardley </w:t>
      </w:r>
      <w:r w:rsidRPr="005A3268">
        <w:rPr>
          <w:rFonts w:asciiTheme="majorHAnsi" w:hAnsiTheme="majorHAnsi"/>
          <w:b/>
          <w:bCs/>
          <w:color w:val="000000" w:themeColor="text1"/>
          <w:sz w:val="24"/>
          <w:szCs w:val="24"/>
          <w:lang w:val="en-GB"/>
        </w:rPr>
        <w:t>L</w:t>
      </w:r>
    </w:p>
    <w:p w14:paraId="73FF4CFD" w14:textId="77777777" w:rsidR="005A3268" w:rsidRPr="005A3268" w:rsidRDefault="005A3268" w:rsidP="005A3268">
      <w:pPr>
        <w:spacing w:after="0" w:line="300" w:lineRule="auto"/>
        <w:jc w:val="center"/>
        <w:rPr>
          <w:rFonts w:asciiTheme="majorHAnsi" w:hAnsiTheme="majorHAnsi"/>
          <w:b/>
          <w:bCs/>
          <w:color w:val="000000" w:themeColor="text1"/>
          <w:sz w:val="24"/>
          <w:szCs w:val="24"/>
          <w:lang w:val="en-GB"/>
        </w:rPr>
      </w:pPr>
    </w:p>
    <w:p w14:paraId="0EF6C57D" w14:textId="5531989A" w:rsidR="00E512CD" w:rsidRPr="005A3268" w:rsidRDefault="00E512CD" w:rsidP="005A3268">
      <w:pPr>
        <w:spacing w:after="0" w:line="300" w:lineRule="auto"/>
        <w:jc w:val="center"/>
        <w:rPr>
          <w:rFonts w:asciiTheme="majorHAnsi" w:hAnsiTheme="majorHAnsi"/>
          <w:b/>
          <w:bCs/>
          <w:color w:val="000000" w:themeColor="text1"/>
          <w:sz w:val="24"/>
          <w:szCs w:val="24"/>
        </w:rPr>
      </w:pPr>
      <w:r w:rsidRPr="005A3268">
        <w:rPr>
          <w:rFonts w:asciiTheme="majorHAnsi" w:hAnsiTheme="majorHAnsi"/>
          <w:b/>
          <w:bCs/>
          <w:color w:val="000000" w:themeColor="text1"/>
          <w:sz w:val="24"/>
          <w:szCs w:val="24"/>
        </w:rPr>
        <w:t>Tele-health, wearable sensors and the Internet. Will they improve stroke outcomes through increased intensity of therapy, motivation and adherence to rehabilitation programs?</w:t>
      </w:r>
    </w:p>
    <w:p w14:paraId="371BBEAF" w14:textId="77777777" w:rsidR="006A6B94" w:rsidRDefault="006A6B94" w:rsidP="005A3268">
      <w:pPr>
        <w:spacing w:after="0" w:line="300" w:lineRule="auto"/>
        <w:jc w:val="center"/>
        <w:rPr>
          <w:rFonts w:asciiTheme="majorHAnsi" w:hAnsiTheme="majorHAnsi"/>
          <w:i/>
          <w:iCs/>
          <w:color w:val="000000" w:themeColor="text1"/>
          <w:sz w:val="24"/>
          <w:szCs w:val="24"/>
          <w:lang w:val="en-GB"/>
        </w:rPr>
      </w:pPr>
    </w:p>
    <w:p w14:paraId="7AF36865" w14:textId="0942D043" w:rsidR="005A3268" w:rsidRPr="006A6B94" w:rsidRDefault="005A3268" w:rsidP="005A3268">
      <w:pPr>
        <w:spacing w:after="0" w:line="300" w:lineRule="auto"/>
        <w:jc w:val="center"/>
        <w:rPr>
          <w:rFonts w:asciiTheme="majorHAnsi" w:hAnsiTheme="majorHAnsi"/>
          <w:i/>
          <w:iCs/>
          <w:color w:val="000000" w:themeColor="text1"/>
          <w:sz w:val="24"/>
          <w:szCs w:val="24"/>
          <w:lang w:val="en-GB"/>
        </w:rPr>
      </w:pPr>
      <w:r w:rsidRPr="006A6B94">
        <w:rPr>
          <w:rFonts w:asciiTheme="majorHAnsi" w:hAnsiTheme="majorHAnsi"/>
          <w:i/>
          <w:iCs/>
          <w:color w:val="000000" w:themeColor="text1"/>
          <w:sz w:val="24"/>
          <w:szCs w:val="24"/>
          <w:lang w:val="en-GB"/>
        </w:rPr>
        <w:t xml:space="preserve">Accepted </w:t>
      </w:r>
      <w:r w:rsidRPr="006A6B94">
        <w:rPr>
          <w:rFonts w:asciiTheme="majorHAnsi" w:hAnsiTheme="majorHAnsi"/>
          <w:i/>
          <w:iCs/>
          <w:color w:val="000000" w:themeColor="text1"/>
          <w:sz w:val="24"/>
          <w:szCs w:val="24"/>
          <w:lang w:val="en-GB"/>
        </w:rPr>
        <w:t>January 15</w:t>
      </w:r>
      <w:r w:rsidRPr="006A6B94">
        <w:rPr>
          <w:rFonts w:asciiTheme="majorHAnsi" w:hAnsiTheme="majorHAnsi"/>
          <w:i/>
          <w:iCs/>
          <w:color w:val="000000" w:themeColor="text1"/>
          <w:sz w:val="24"/>
          <w:szCs w:val="24"/>
          <w:vertAlign w:val="superscript"/>
          <w:lang w:val="en-GB"/>
        </w:rPr>
        <w:t>th</w:t>
      </w:r>
      <w:r w:rsidRPr="006A6B94">
        <w:rPr>
          <w:rFonts w:asciiTheme="majorHAnsi" w:hAnsiTheme="majorHAnsi"/>
          <w:i/>
          <w:iCs/>
          <w:color w:val="000000" w:themeColor="text1"/>
          <w:sz w:val="24"/>
          <w:szCs w:val="24"/>
          <w:lang w:val="en-GB"/>
        </w:rPr>
        <w:t xml:space="preserve"> 2017 </w:t>
      </w:r>
      <w:r w:rsidRPr="006A6B94">
        <w:rPr>
          <w:rFonts w:asciiTheme="majorHAnsi" w:hAnsiTheme="majorHAnsi"/>
          <w:i/>
          <w:iCs/>
          <w:color w:val="000000" w:themeColor="text1"/>
          <w:sz w:val="24"/>
          <w:szCs w:val="24"/>
          <w:lang w:val="en-GB"/>
        </w:rPr>
        <w:t>for publication</w:t>
      </w:r>
      <w:r w:rsidRPr="006A6B94">
        <w:rPr>
          <w:rFonts w:asciiTheme="majorHAnsi" w:hAnsiTheme="majorHAnsi"/>
          <w:i/>
          <w:iCs/>
          <w:color w:val="000000" w:themeColor="text1"/>
          <w:sz w:val="24"/>
          <w:szCs w:val="24"/>
          <w:lang w:val="en-GB"/>
        </w:rPr>
        <w:t xml:space="preserve"> in</w:t>
      </w:r>
    </w:p>
    <w:p w14:paraId="6AB82B8D" w14:textId="092CD4C5" w:rsidR="005A3268" w:rsidRDefault="005A3268" w:rsidP="005A3268">
      <w:pPr>
        <w:spacing w:after="0" w:line="300" w:lineRule="auto"/>
        <w:jc w:val="center"/>
        <w:rPr>
          <w:rFonts w:asciiTheme="majorHAnsi" w:hAnsiTheme="majorHAnsi"/>
          <w:color w:val="000000" w:themeColor="text1"/>
          <w:sz w:val="24"/>
          <w:szCs w:val="24"/>
          <w:lang w:val="en-GB"/>
        </w:rPr>
      </w:pPr>
      <w:r w:rsidRPr="006A6B94">
        <w:rPr>
          <w:rFonts w:asciiTheme="majorHAnsi" w:hAnsiTheme="majorHAnsi"/>
          <w:i/>
          <w:iCs/>
          <w:color w:val="000000" w:themeColor="text1"/>
          <w:sz w:val="24"/>
          <w:szCs w:val="24"/>
          <w:lang w:val="en-GB"/>
        </w:rPr>
        <w:t>Journal of Neurologic Physiotherapy 2017</w:t>
      </w:r>
    </w:p>
    <w:p w14:paraId="2C02F2A0" w14:textId="77777777" w:rsidR="00E512CD" w:rsidRPr="00E512CD" w:rsidRDefault="00E512CD" w:rsidP="00E512CD">
      <w:pPr>
        <w:spacing w:after="0" w:line="480" w:lineRule="auto"/>
        <w:ind w:firstLine="360"/>
        <w:rPr>
          <w:rFonts w:asciiTheme="majorHAnsi" w:hAnsiTheme="majorHAnsi"/>
          <w:color w:val="000000" w:themeColor="text1"/>
          <w:sz w:val="24"/>
          <w:szCs w:val="24"/>
        </w:rPr>
      </w:pPr>
    </w:p>
    <w:p w14:paraId="1A23E81E" w14:textId="282B7905" w:rsidR="00AF4A58" w:rsidRPr="00E512CD" w:rsidRDefault="003F1165" w:rsidP="006A6B94">
      <w:pPr>
        <w:spacing w:after="0" w:line="480" w:lineRule="auto"/>
        <w:ind w:firstLine="360"/>
        <w:rPr>
          <w:rFonts w:asciiTheme="majorHAnsi" w:hAnsiTheme="majorHAnsi"/>
          <w:b/>
          <w:bCs/>
          <w:color w:val="000000" w:themeColor="text1"/>
          <w:sz w:val="24"/>
          <w:szCs w:val="24"/>
        </w:rPr>
      </w:pPr>
      <w:r w:rsidRPr="00E512CD">
        <w:rPr>
          <w:rFonts w:asciiTheme="majorHAnsi" w:hAnsiTheme="majorHAnsi"/>
          <w:b/>
          <w:bCs/>
          <w:color w:val="000000" w:themeColor="text1"/>
          <w:sz w:val="24"/>
          <w:szCs w:val="24"/>
        </w:rPr>
        <w:t>Abstract</w:t>
      </w:r>
    </w:p>
    <w:p w14:paraId="5FFCDCF2" w14:textId="77777777" w:rsidR="00AC33FE" w:rsidRPr="00E512CD" w:rsidRDefault="003F1165" w:rsidP="006A6B94">
      <w:pPr>
        <w:spacing w:after="240" w:line="480" w:lineRule="auto"/>
        <w:ind w:firstLine="360"/>
        <w:rPr>
          <w:rFonts w:asciiTheme="majorHAnsi" w:hAnsiTheme="majorHAnsi"/>
          <w:color w:val="000000" w:themeColor="text1"/>
          <w:sz w:val="24"/>
          <w:szCs w:val="24"/>
          <w:lang w:val="en-GB"/>
        </w:rPr>
      </w:pPr>
      <w:r w:rsidRPr="00E512CD">
        <w:rPr>
          <w:rFonts w:asciiTheme="majorHAnsi" w:hAnsiTheme="majorHAnsi"/>
          <w:i/>
          <w:iCs/>
          <w:color w:val="000000" w:themeColor="text1"/>
          <w:sz w:val="24"/>
          <w:szCs w:val="24"/>
          <w:lang w:val="en-GB"/>
        </w:rPr>
        <w:t>Background and Purpose</w:t>
      </w:r>
      <w:r w:rsidRPr="00E512CD">
        <w:rPr>
          <w:rFonts w:asciiTheme="majorHAnsi" w:hAnsiTheme="majorHAnsi"/>
          <w:color w:val="000000" w:themeColor="text1"/>
          <w:sz w:val="24"/>
          <w:szCs w:val="24"/>
          <w:lang w:val="en-GB"/>
        </w:rPr>
        <w:t xml:space="preserve"> </w:t>
      </w:r>
    </w:p>
    <w:p w14:paraId="1A6C3FFB" w14:textId="15C1C52E" w:rsidR="00AC33FE" w:rsidRPr="00E512CD" w:rsidRDefault="003F1165" w:rsidP="00ED4495">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lang w:val="en-GB"/>
        </w:rPr>
        <w:t xml:space="preserve">Stroke, predominantly a condition of older age, is a major cause of acquired disability in the global population and puts an increasing burden on healthcare resources.  </w:t>
      </w:r>
      <w:r w:rsidRPr="00E512CD">
        <w:rPr>
          <w:rFonts w:asciiTheme="majorHAnsi" w:hAnsiTheme="majorHAnsi"/>
          <w:color w:val="000000" w:themeColor="text1"/>
          <w:sz w:val="24"/>
          <w:szCs w:val="24"/>
        </w:rPr>
        <w:t>Clear evidence for the importance of intensity of therapy in optimizing functional outcomes is founded in animal models, supported by neuroimaging and behavioral research, and strengthened by recent meta-analyses from multiple clinical trials. However, providing intensive therapy using conventional treatment paradigms is expensive and sometimes not feasible due to patients’ environmental factors. This paper addresses the need for cost-effective increased intensity of practice and suggests potential benefits of telehealth (TH) as an innovative model of care in physical therapy.</w:t>
      </w:r>
    </w:p>
    <w:p w14:paraId="5380B6C6" w14:textId="77777777" w:rsidR="00AD66D3" w:rsidRPr="00E512CD" w:rsidRDefault="003F1165" w:rsidP="00C227DB">
      <w:pPr>
        <w:spacing w:after="240" w:line="480" w:lineRule="auto"/>
        <w:ind w:left="360"/>
        <w:rPr>
          <w:rFonts w:asciiTheme="majorHAnsi" w:hAnsiTheme="majorHAnsi"/>
          <w:color w:val="000000" w:themeColor="text1"/>
          <w:sz w:val="24"/>
          <w:szCs w:val="24"/>
        </w:rPr>
      </w:pPr>
      <w:r w:rsidRPr="00E512CD">
        <w:rPr>
          <w:rFonts w:asciiTheme="majorHAnsi" w:hAnsiTheme="majorHAnsi"/>
          <w:i/>
          <w:iCs/>
          <w:color w:val="000000" w:themeColor="text1"/>
          <w:sz w:val="24"/>
          <w:szCs w:val="24"/>
          <w:lang w:val="en-GB"/>
        </w:rPr>
        <w:t>Summary of Key Points</w:t>
      </w:r>
      <w:r w:rsidRPr="00E512CD">
        <w:rPr>
          <w:rFonts w:asciiTheme="majorHAnsi" w:hAnsiTheme="majorHAnsi"/>
          <w:color w:val="000000" w:themeColor="text1"/>
          <w:sz w:val="24"/>
          <w:szCs w:val="24"/>
        </w:rPr>
        <w:t xml:space="preserve"> </w:t>
      </w:r>
    </w:p>
    <w:p w14:paraId="0F23170D" w14:textId="4011B23D" w:rsidR="00AC33FE" w:rsidRPr="00E512CD" w:rsidRDefault="003F1165" w:rsidP="00F744B7">
      <w:pPr>
        <w:spacing w:after="240" w:line="480" w:lineRule="auto"/>
        <w:ind w:left="360"/>
        <w:rPr>
          <w:rFonts w:asciiTheme="majorHAnsi" w:hAnsiTheme="majorHAnsi"/>
          <w:i/>
          <w:iCs/>
          <w:color w:val="000000" w:themeColor="text1"/>
          <w:sz w:val="24"/>
          <w:szCs w:val="24"/>
          <w:lang w:val="en-GB"/>
        </w:rPr>
      </w:pPr>
      <w:r w:rsidRPr="00E512CD">
        <w:rPr>
          <w:rFonts w:asciiTheme="majorHAnsi" w:hAnsiTheme="majorHAnsi"/>
          <w:color w:val="000000" w:themeColor="text1"/>
          <w:sz w:val="24"/>
          <w:szCs w:val="24"/>
        </w:rPr>
        <w:t xml:space="preserve">We provide an overview of TH and present evidence that a web-supported program used in conjunction with Constraint Induced Therapy (CIT), can increase intensity and adherence to </w:t>
      </w:r>
      <w:r w:rsidRPr="00E512CD">
        <w:rPr>
          <w:rFonts w:asciiTheme="majorHAnsi" w:hAnsiTheme="majorHAnsi"/>
          <w:color w:val="000000" w:themeColor="text1"/>
          <w:sz w:val="24"/>
          <w:szCs w:val="24"/>
        </w:rPr>
        <w:lastRenderedPageBreak/>
        <w:t>a rehabilitation regimen. The design and feasibility testing of this web-based program, ‘</w:t>
      </w:r>
      <w:proofErr w:type="spellStart"/>
      <w:r w:rsidRPr="00E512CD">
        <w:rPr>
          <w:rFonts w:asciiTheme="majorHAnsi" w:hAnsiTheme="majorHAnsi"/>
          <w:color w:val="000000" w:themeColor="text1"/>
          <w:sz w:val="24"/>
          <w:szCs w:val="24"/>
        </w:rPr>
        <w:t>LifeCIT</w:t>
      </w:r>
      <w:proofErr w:type="spellEnd"/>
      <w:r w:rsidRPr="00E512CD">
        <w:rPr>
          <w:rFonts w:asciiTheme="majorHAnsi" w:hAnsiTheme="majorHAnsi"/>
          <w:color w:val="000000" w:themeColor="text1"/>
          <w:sz w:val="24"/>
          <w:szCs w:val="24"/>
        </w:rPr>
        <w:t xml:space="preserve">’ is presented. We describe how wearable sensors can monitor activity and provide feedback to patients and therapists. The methodology for the development of a wearable device with embedded inertial measurement units and </w:t>
      </w:r>
      <w:proofErr w:type="spellStart"/>
      <w:r w:rsidRPr="00E512CD">
        <w:rPr>
          <w:rFonts w:asciiTheme="majorHAnsi" w:hAnsiTheme="majorHAnsi"/>
          <w:color w:val="000000" w:themeColor="text1"/>
          <w:sz w:val="24"/>
          <w:szCs w:val="24"/>
        </w:rPr>
        <w:t>mechanomyography</w:t>
      </w:r>
      <w:proofErr w:type="spellEnd"/>
      <w:r w:rsidRPr="00E512CD">
        <w:rPr>
          <w:rFonts w:asciiTheme="majorHAnsi" w:hAnsiTheme="majorHAnsi"/>
          <w:color w:val="000000" w:themeColor="text1"/>
          <w:sz w:val="24"/>
          <w:szCs w:val="24"/>
        </w:rPr>
        <w:t xml:space="preserve"> sensors, algorithms to classify functional movement, and a graphical user interface to present meaningful data to patients to support a home exercise program is explained. </w:t>
      </w:r>
    </w:p>
    <w:p w14:paraId="61568A23" w14:textId="3B236598" w:rsidR="00AC33FE" w:rsidRPr="00E512CD" w:rsidRDefault="003F1165" w:rsidP="00C227DB">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i/>
          <w:iCs/>
          <w:color w:val="000000" w:themeColor="text1"/>
          <w:sz w:val="24"/>
          <w:szCs w:val="24"/>
          <w:lang w:val="en-GB"/>
        </w:rPr>
        <w:t>Recommendations for Clinical Practice</w:t>
      </w:r>
    </w:p>
    <w:p w14:paraId="552AADB3" w14:textId="046811F6" w:rsidR="00AC33FE" w:rsidRPr="00E512CD" w:rsidRDefault="003F1165">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lang w:val="en-GB"/>
        </w:rPr>
        <w:t>We propose that wearable sensor technologies and TH programs have the potential to provide cost-effective, intensive, home-based stroke rehabilitation.</w:t>
      </w:r>
    </w:p>
    <w:p w14:paraId="33D1F045" w14:textId="6E8C9100" w:rsidR="00733B98" w:rsidRPr="00E512CD" w:rsidRDefault="003F1165" w:rsidP="00C227DB">
      <w:pPr>
        <w:spacing w:after="240" w:line="480" w:lineRule="auto"/>
        <w:ind w:left="360"/>
        <w:rPr>
          <w:rFonts w:asciiTheme="majorHAnsi" w:hAnsiTheme="majorHAnsi"/>
          <w:b/>
          <w:bCs/>
          <w:color w:val="000000" w:themeColor="text1"/>
          <w:sz w:val="24"/>
          <w:szCs w:val="24"/>
        </w:rPr>
      </w:pPr>
      <w:r w:rsidRPr="00E512CD">
        <w:rPr>
          <w:rFonts w:asciiTheme="majorHAnsi" w:hAnsiTheme="majorHAnsi"/>
          <w:b/>
          <w:bCs/>
          <w:color w:val="000000" w:themeColor="text1"/>
          <w:sz w:val="24"/>
          <w:szCs w:val="24"/>
        </w:rPr>
        <w:t>Introduction</w:t>
      </w:r>
    </w:p>
    <w:p w14:paraId="3616B261" w14:textId="48807F42" w:rsidR="00882052" w:rsidRPr="00E512CD" w:rsidRDefault="003F1165" w:rsidP="00882052">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This special interest report presents an overview of telehealth (TH) and gives two examples of technology-supported therapies. The first uses TH, the second has the potential for incorporating TH applications. Both address the need for cost-effective increased intensity of practice i.e. without increased therapist/patient contact time.</w:t>
      </w:r>
    </w:p>
    <w:p w14:paraId="127A0B49" w14:textId="6CB553DF" w:rsidR="00307BE3" w:rsidRPr="00E512CD" w:rsidRDefault="003F1165" w:rsidP="00B26605">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lang w:val="en-GB"/>
        </w:rPr>
        <w:t>Worldwide, recent research estimates annual incidence of first stroke to be 16.9 million, with a prevalence of 33 million.</w:t>
      </w:r>
      <w:r w:rsidRPr="00E512CD">
        <w:rPr>
          <w:rFonts w:asciiTheme="majorHAnsi" w:hAnsiTheme="majorHAnsi"/>
          <w:color w:val="000000" w:themeColor="text1"/>
          <w:sz w:val="24"/>
          <w:szCs w:val="24"/>
          <w:vertAlign w:val="superscript"/>
          <w:lang w:val="en-GB"/>
        </w:rPr>
        <w:t>1</w:t>
      </w:r>
      <w:r w:rsidRPr="00E512CD">
        <w:rPr>
          <w:rFonts w:asciiTheme="majorHAnsi" w:hAnsiTheme="majorHAnsi"/>
          <w:color w:val="000000" w:themeColor="text1"/>
          <w:sz w:val="24"/>
          <w:szCs w:val="24"/>
          <w:lang w:val="en-GB"/>
        </w:rPr>
        <w:t xml:space="preserve"> Approximately 70% of people experience impairment of arm function after stroke, and an estimated 40% are left with a persistent reduction in arm function.</w:t>
      </w:r>
      <w:r w:rsidRPr="00E512CD">
        <w:rPr>
          <w:rFonts w:asciiTheme="majorHAnsi" w:hAnsiTheme="majorHAnsi"/>
          <w:color w:val="000000" w:themeColor="text1"/>
          <w:sz w:val="24"/>
          <w:szCs w:val="24"/>
          <w:lang w:val="en-GB"/>
        </w:rPr>
        <w:fldChar w:fldCharType="begin"/>
      </w:r>
      <w:r w:rsidRPr="00E512CD">
        <w:rPr>
          <w:rFonts w:asciiTheme="majorHAnsi" w:hAnsiTheme="majorHAnsi"/>
          <w:color w:val="000000" w:themeColor="text1"/>
          <w:sz w:val="24"/>
          <w:szCs w:val="24"/>
          <w:lang w:val="en-GB"/>
        </w:rPr>
        <w:instrText xml:space="preserve"> ADDIN EN.CITE &lt;EndNote&gt;&lt;Cite&gt;&lt;Author&gt;Intercollegiate Stroke Working Party&lt;/Author&gt;&lt;Year&gt;2012&lt;/Year&gt;&lt;RecNum&gt;528&lt;/RecNum&gt;&lt;DisplayText&gt;&lt;style face="superscript"&gt;1&lt;/style&gt;&lt;/DisplayText&gt;&lt;record&gt;&lt;rec-number&gt;528&lt;/rec-number&gt;&lt;foreign-keys&gt;&lt;key app="EN" db-id="2zsfstvzhft2d0e2p2sx0x9jttpsdr0sszpd"&gt;528&lt;/key&gt;&lt;/foreign-keys&gt;&lt;ref-type name="Government Document"&gt;46&lt;/ref-type&gt;&lt;contributors&gt;&lt;authors&gt;&lt;author&gt;Intercollegiate Stroke Working Party, &lt;/author&gt;&lt;/authors&gt;&lt;/contributors&gt;&lt;titles&gt;&lt;title&gt;National clinical guideline for stroke: fourth edition&lt;/title&gt;&lt;/titles&gt;&lt;dates&gt;&lt;year&gt;2012&lt;/year&gt;&lt;/dates&gt;&lt;pub-location&gt;London&lt;/pub-location&gt;&lt;publisher&gt;Royal College of Physicians&lt;/publisher&gt;&lt;urls&gt;&lt;/urls&gt;&lt;/record&gt;&lt;/Cite&gt;&lt;/EndNote&gt;</w:instrText>
      </w:r>
      <w:r w:rsidRPr="00E512CD">
        <w:rPr>
          <w:rFonts w:asciiTheme="majorHAnsi" w:hAnsiTheme="majorHAnsi"/>
          <w:color w:val="000000" w:themeColor="text1"/>
          <w:sz w:val="24"/>
          <w:szCs w:val="24"/>
          <w:lang w:val="en-GB"/>
        </w:rPr>
        <w:fldChar w:fldCharType="separate"/>
      </w:r>
      <w:r w:rsidRPr="00E512CD">
        <w:rPr>
          <w:rFonts w:asciiTheme="majorHAnsi" w:hAnsiTheme="majorHAnsi"/>
          <w:noProof/>
          <w:color w:val="000000" w:themeColor="text1"/>
          <w:sz w:val="24"/>
          <w:szCs w:val="24"/>
          <w:vertAlign w:val="superscript"/>
          <w:lang w:val="en-GB"/>
        </w:rPr>
        <w:t>1</w:t>
      </w:r>
      <w:r w:rsidRPr="00E512CD">
        <w:rPr>
          <w:rFonts w:asciiTheme="majorHAnsi" w:hAnsiTheme="majorHAnsi"/>
          <w:color w:val="000000" w:themeColor="text1"/>
          <w:sz w:val="24"/>
          <w:szCs w:val="24"/>
        </w:rPr>
        <w:fldChar w:fldCharType="end"/>
      </w:r>
      <w:r w:rsidRPr="00E512CD">
        <w:rPr>
          <w:rFonts w:asciiTheme="majorHAnsi" w:hAnsiTheme="majorHAnsi"/>
          <w:color w:val="000000" w:themeColor="text1"/>
          <w:sz w:val="24"/>
          <w:szCs w:val="24"/>
          <w:lang w:val="en-GB"/>
        </w:rPr>
        <w:t xml:space="preserve"> </w:t>
      </w:r>
      <w:r w:rsidRPr="00E512CD">
        <w:rPr>
          <w:rFonts w:asciiTheme="majorHAnsi" w:hAnsiTheme="majorHAnsi"/>
          <w:color w:val="000000" w:themeColor="text1"/>
          <w:sz w:val="24"/>
          <w:szCs w:val="24"/>
        </w:rPr>
        <w:t>A large meta-analysis identified that scheduled therapy time was the main predictive factor for improved function irrespective of time since stroke.</w:t>
      </w:r>
      <w:r w:rsidRPr="00E512CD">
        <w:rPr>
          <w:rFonts w:asciiTheme="majorHAnsi" w:hAnsiTheme="majorHAnsi"/>
          <w:color w:val="000000" w:themeColor="text1"/>
          <w:sz w:val="24"/>
          <w:szCs w:val="24"/>
          <w:vertAlign w:val="superscript"/>
        </w:rPr>
        <w:t>3</w:t>
      </w:r>
      <w:r w:rsidRPr="00E512CD">
        <w:rPr>
          <w:rFonts w:asciiTheme="majorHAnsi" w:hAnsiTheme="majorHAnsi"/>
          <w:color w:val="000000" w:themeColor="text1"/>
          <w:sz w:val="24"/>
          <w:szCs w:val="24"/>
        </w:rPr>
        <w:t xml:space="preserve"> Technologies, </w:t>
      </w:r>
      <w:r w:rsidRPr="00E512CD">
        <w:rPr>
          <w:rFonts w:asciiTheme="majorHAnsi" w:hAnsiTheme="majorHAnsi"/>
          <w:color w:val="000000" w:themeColor="text1"/>
          <w:sz w:val="24"/>
          <w:szCs w:val="24"/>
        </w:rPr>
        <w:lastRenderedPageBreak/>
        <w:t>especially those incorporating TH may be an effective way of increasing therapy time without increasing therapists’ time.</w:t>
      </w:r>
    </w:p>
    <w:p w14:paraId="6DC1CE56" w14:textId="5DD30738" w:rsidR="009F03D9" w:rsidRPr="00E512CD" w:rsidRDefault="003F1165" w:rsidP="007157FA">
      <w:pPr>
        <w:spacing w:after="240" w:line="480" w:lineRule="auto"/>
        <w:ind w:left="360"/>
        <w:rPr>
          <w:rFonts w:asciiTheme="majorHAnsi" w:hAnsiTheme="majorHAnsi"/>
          <w:color w:val="000000" w:themeColor="text1"/>
          <w:sz w:val="24"/>
          <w:szCs w:val="24"/>
        </w:rPr>
      </w:pPr>
      <w:r w:rsidRPr="00E512CD">
        <w:rPr>
          <w:rFonts w:asciiTheme="majorHAnsi" w:hAnsiTheme="majorHAnsi" w:cs="Arial"/>
          <w:color w:val="000000" w:themeColor="text1"/>
          <w:sz w:val="24"/>
          <w:szCs w:val="24"/>
        </w:rPr>
        <w:t>Telehealth is the use of a variety of telecommunication technologies to provide health care remotely and is defined in different ways. The physical therapy profession defines TH as the use of secure electronic communications to provide and deliver a host of health-related information and health care services; including, but not limited to, physical therapy-related information and services for patients and clients.</w:t>
      </w:r>
      <w:r w:rsidRPr="00E512CD">
        <w:rPr>
          <w:rFonts w:asciiTheme="majorHAnsi" w:hAnsiTheme="majorHAnsi" w:cs="Arial"/>
          <w:color w:val="000000" w:themeColor="text1"/>
          <w:sz w:val="24"/>
          <w:szCs w:val="24"/>
          <w:vertAlign w:val="superscript"/>
        </w:rPr>
        <w:t>4</w:t>
      </w:r>
      <w:r w:rsidRPr="00E512CD">
        <w:rPr>
          <w:rFonts w:asciiTheme="majorHAnsi" w:hAnsiTheme="majorHAnsi" w:cs="Arial"/>
          <w:color w:val="000000" w:themeColor="text1"/>
          <w:sz w:val="24"/>
          <w:szCs w:val="24"/>
        </w:rPr>
        <w:t xml:space="preserve"> Speech therapists in United States define TH applications as telepractice.</w:t>
      </w:r>
      <w:proofErr w:type="gramStart"/>
      <w:r w:rsidRPr="00E512CD">
        <w:rPr>
          <w:rFonts w:asciiTheme="majorHAnsi" w:hAnsiTheme="majorHAnsi" w:cs="Arial"/>
          <w:color w:val="000000" w:themeColor="text1"/>
          <w:sz w:val="24"/>
          <w:szCs w:val="24"/>
          <w:vertAlign w:val="superscript"/>
        </w:rPr>
        <w:t>5</w:t>
      </w:r>
      <w:r w:rsidRPr="00E512CD">
        <w:rPr>
          <w:rFonts w:asciiTheme="majorHAnsi" w:hAnsiTheme="majorHAnsi" w:cs="Arial"/>
          <w:color w:val="000000" w:themeColor="text1"/>
          <w:sz w:val="24"/>
          <w:szCs w:val="24"/>
        </w:rPr>
        <w:t xml:space="preserve">  Internationally</w:t>
      </w:r>
      <w:proofErr w:type="gramEnd"/>
      <w:r w:rsidRPr="00E512CD">
        <w:rPr>
          <w:rFonts w:asciiTheme="majorHAnsi" w:hAnsiTheme="majorHAnsi" w:cs="Arial"/>
          <w:color w:val="000000" w:themeColor="text1"/>
          <w:sz w:val="24"/>
          <w:szCs w:val="24"/>
        </w:rPr>
        <w:t>, physiotherapists and occupational therapists utilize telerehabilitation</w:t>
      </w:r>
      <w:r w:rsidRPr="00E512CD">
        <w:rPr>
          <w:rFonts w:asciiTheme="majorHAnsi" w:hAnsiTheme="majorHAnsi" w:cs="Arial"/>
          <w:color w:val="000000" w:themeColor="text1"/>
          <w:sz w:val="24"/>
          <w:szCs w:val="24"/>
          <w:vertAlign w:val="superscript"/>
        </w:rPr>
        <w:t xml:space="preserve">6 </w:t>
      </w:r>
      <w:r w:rsidRPr="00E512CD">
        <w:rPr>
          <w:rFonts w:asciiTheme="majorHAnsi" w:hAnsiTheme="majorHAnsi" w:cs="Arial"/>
          <w:color w:val="000000" w:themeColor="text1"/>
          <w:sz w:val="24"/>
          <w:szCs w:val="24"/>
        </w:rPr>
        <w:t>as the common term for TH applications.  In practice, telecommunication technologies that deliver real-time audio and video conferencing between providers and patients is described as synchronous TH.  Other TH applications include secure electronic transmission of clinical information and medical data, described as asynchronous, store-and-forward TH.   Remote patient monitoring in TH has emerged alongside the advent of biotechnology and virtual environments.  Synchronous TH applications are now evident in randomized trials for cardiac rehabilitation,</w:t>
      </w:r>
      <w:proofErr w:type="gramStart"/>
      <w:r w:rsidR="00EE1E22" w:rsidRPr="00E512CD">
        <w:rPr>
          <w:rFonts w:asciiTheme="majorHAnsi" w:hAnsiTheme="majorHAnsi" w:cs="Arial"/>
          <w:color w:val="000000" w:themeColor="text1"/>
          <w:sz w:val="24"/>
          <w:szCs w:val="24"/>
          <w:vertAlign w:val="superscript"/>
        </w:rPr>
        <w:t xml:space="preserve">6 </w:t>
      </w:r>
      <w:r w:rsidRPr="00E512CD">
        <w:rPr>
          <w:rFonts w:asciiTheme="majorHAnsi" w:hAnsiTheme="majorHAnsi" w:cs="Arial"/>
          <w:color w:val="000000" w:themeColor="text1"/>
          <w:sz w:val="24"/>
          <w:szCs w:val="24"/>
          <w:vertAlign w:val="superscript"/>
        </w:rPr>
        <w:t xml:space="preserve"> </w:t>
      </w:r>
      <w:r w:rsidRPr="00E512CD">
        <w:rPr>
          <w:rFonts w:asciiTheme="majorHAnsi" w:hAnsiTheme="majorHAnsi" w:cs="Arial"/>
          <w:color w:val="000000" w:themeColor="text1"/>
          <w:sz w:val="24"/>
          <w:szCs w:val="24"/>
        </w:rPr>
        <w:t>total</w:t>
      </w:r>
      <w:proofErr w:type="gramEnd"/>
      <w:r w:rsidRPr="00E512CD">
        <w:rPr>
          <w:rFonts w:asciiTheme="majorHAnsi" w:hAnsiTheme="majorHAnsi" w:cs="Arial"/>
          <w:color w:val="000000" w:themeColor="text1"/>
          <w:sz w:val="24"/>
          <w:szCs w:val="24"/>
        </w:rPr>
        <w:t xml:space="preserve"> joint knee rehabilitation,</w:t>
      </w:r>
      <w:r w:rsidR="00EE1E22" w:rsidRPr="00E512CD">
        <w:rPr>
          <w:rFonts w:asciiTheme="majorHAnsi" w:hAnsiTheme="majorHAnsi" w:cs="Arial"/>
          <w:color w:val="000000" w:themeColor="text1"/>
          <w:sz w:val="24"/>
          <w:szCs w:val="24"/>
          <w:vertAlign w:val="superscript"/>
        </w:rPr>
        <w:t>7,8</w:t>
      </w:r>
      <w:r w:rsidRPr="00E512CD">
        <w:rPr>
          <w:rFonts w:asciiTheme="majorHAnsi" w:hAnsiTheme="majorHAnsi" w:cs="Arial"/>
          <w:color w:val="000000" w:themeColor="text1"/>
          <w:sz w:val="24"/>
          <w:szCs w:val="24"/>
        </w:rPr>
        <w:t xml:space="preserve"> and stroke care.</w:t>
      </w:r>
      <w:r w:rsidR="00EE1E22" w:rsidRPr="00E512CD">
        <w:rPr>
          <w:rFonts w:asciiTheme="majorHAnsi" w:hAnsiTheme="majorHAnsi" w:cs="Arial"/>
          <w:color w:val="000000" w:themeColor="text1"/>
          <w:sz w:val="24"/>
          <w:szCs w:val="24"/>
          <w:vertAlign w:val="superscript"/>
        </w:rPr>
        <w:t>9</w:t>
      </w:r>
      <w:r w:rsidRPr="00E512CD">
        <w:rPr>
          <w:rFonts w:asciiTheme="majorHAnsi" w:hAnsiTheme="majorHAnsi" w:cs="Arial"/>
          <w:color w:val="000000" w:themeColor="text1"/>
          <w:sz w:val="24"/>
          <w:szCs w:val="24"/>
        </w:rPr>
        <w:t xml:space="preserve"> These physical therapy-based TH randomized trials have demonstrated feasibility and non-inferior clinical outcomes compared to usual care.</w:t>
      </w:r>
      <w:r w:rsidR="00EE1E22" w:rsidRPr="00E512CD">
        <w:rPr>
          <w:rFonts w:asciiTheme="majorHAnsi" w:hAnsiTheme="majorHAnsi" w:cs="Arial"/>
          <w:color w:val="000000" w:themeColor="text1"/>
          <w:sz w:val="24"/>
          <w:szCs w:val="24"/>
          <w:vertAlign w:val="superscript"/>
        </w:rPr>
        <w:t>7,8</w:t>
      </w:r>
      <w:r w:rsidR="009F03D9" w:rsidRPr="00E512CD">
        <w:rPr>
          <w:rFonts w:ascii="Arial" w:hAnsi="Arial" w:cs="Arial"/>
          <w:color w:val="000000" w:themeColor="text1"/>
          <w:sz w:val="24"/>
          <w:szCs w:val="24"/>
        </w:rPr>
        <w:t xml:space="preserve">  </w:t>
      </w:r>
      <w:r w:rsidR="006128CE" w:rsidRPr="00E512CD">
        <w:rPr>
          <w:rFonts w:asciiTheme="majorHAnsi" w:hAnsiTheme="majorHAnsi"/>
          <w:color w:val="000000" w:themeColor="text1"/>
          <w:sz w:val="24"/>
          <w:szCs w:val="24"/>
        </w:rPr>
        <w:t xml:space="preserve">One clinical trial reported </w:t>
      </w:r>
      <w:r w:rsidR="009F03D9" w:rsidRPr="00E512CD">
        <w:rPr>
          <w:rFonts w:asciiTheme="majorHAnsi" w:hAnsiTheme="majorHAnsi"/>
          <w:color w:val="000000" w:themeColor="text1"/>
          <w:sz w:val="24"/>
          <w:szCs w:val="24"/>
        </w:rPr>
        <w:t>reduced cost for in-home TH application compared to usual care when patients resided over 30 Km from the health care center</w:t>
      </w:r>
      <w:r w:rsidR="00EE1E22" w:rsidRPr="00E512CD">
        <w:rPr>
          <w:rFonts w:asciiTheme="majorHAnsi" w:hAnsiTheme="majorHAnsi"/>
          <w:color w:val="000000" w:themeColor="text1"/>
          <w:sz w:val="24"/>
          <w:szCs w:val="24"/>
        </w:rPr>
        <w:t xml:space="preserve"> </w:t>
      </w:r>
      <w:r w:rsidR="00EE1E22" w:rsidRPr="00E512CD">
        <w:rPr>
          <w:rFonts w:asciiTheme="majorHAnsi" w:hAnsiTheme="majorHAnsi"/>
          <w:color w:val="000000" w:themeColor="text1"/>
          <w:sz w:val="24"/>
          <w:szCs w:val="24"/>
          <w:vertAlign w:val="superscript"/>
        </w:rPr>
        <w:t>10</w:t>
      </w:r>
      <w:r w:rsidR="009F03D9" w:rsidRPr="00E512CD">
        <w:rPr>
          <w:rFonts w:asciiTheme="majorHAnsi" w:hAnsiTheme="majorHAnsi"/>
          <w:color w:val="000000" w:themeColor="text1"/>
          <w:sz w:val="24"/>
          <w:szCs w:val="24"/>
        </w:rPr>
        <w:t xml:space="preserve">. </w:t>
      </w:r>
    </w:p>
    <w:p w14:paraId="50130E45" w14:textId="48D52201" w:rsidR="00663BCD" w:rsidRPr="00E512CD" w:rsidRDefault="003F1165" w:rsidP="00B43DB3">
      <w:pPr>
        <w:spacing w:after="240" w:line="480" w:lineRule="auto"/>
        <w:ind w:left="360"/>
        <w:rPr>
          <w:rFonts w:asciiTheme="majorHAnsi" w:hAnsiTheme="majorHAnsi" w:cs="Arial"/>
          <w:color w:val="000000" w:themeColor="text1"/>
          <w:sz w:val="24"/>
          <w:szCs w:val="24"/>
        </w:rPr>
      </w:pPr>
      <w:r w:rsidRPr="00E512CD">
        <w:rPr>
          <w:rFonts w:asciiTheme="majorHAnsi" w:hAnsiTheme="majorHAnsi"/>
          <w:color w:val="000000" w:themeColor="text1"/>
          <w:sz w:val="24"/>
          <w:szCs w:val="24"/>
        </w:rPr>
        <w:lastRenderedPageBreak/>
        <w:t xml:space="preserve">Home-based technologies, especially those supported by TH, could provide cost-effective intensive therapy by reducing the ratio between therapist’s time and total therapy time, but has not yet been demonstrated in large clinical trials.  </w:t>
      </w:r>
    </w:p>
    <w:p w14:paraId="0784E1D2" w14:textId="655B5612" w:rsidR="00491B7E" w:rsidRPr="00E512CD" w:rsidRDefault="003F1165" w:rsidP="006A49AA">
      <w:pPr>
        <w:spacing w:after="240" w:line="480" w:lineRule="auto"/>
        <w:ind w:left="360"/>
        <w:rPr>
          <w:rFonts w:asciiTheme="majorHAnsi" w:hAnsiTheme="majorHAnsi"/>
          <w:color w:val="000000" w:themeColor="text1"/>
          <w:lang w:val="en-GB"/>
        </w:rPr>
      </w:pPr>
      <w:r w:rsidRPr="00E512CD">
        <w:rPr>
          <w:rFonts w:asciiTheme="majorHAnsi" w:hAnsiTheme="majorHAnsi"/>
          <w:color w:val="000000" w:themeColor="text1"/>
          <w:sz w:val="24"/>
          <w:szCs w:val="24"/>
        </w:rPr>
        <w:t xml:space="preserve">Translation of TH into clinical practice requires evidence of both effectiveness and cost-savings, which is not yet available, as well as an understanding of how it could be used to address challenges in rehabilitation. Motivation maybe one of the most important factors in adherence to therapy and therefore needs to be considered in technology design and implementation. Use of technologies requires a change in practice and a change in expectation of patients. </w:t>
      </w:r>
      <w:r w:rsidRPr="00E512CD">
        <w:rPr>
          <w:rFonts w:asciiTheme="majorHAnsi" w:hAnsiTheme="majorHAnsi"/>
          <w:color w:val="000000" w:themeColor="text1"/>
          <w:sz w:val="24"/>
          <w:szCs w:val="24"/>
          <w:lang w:val="en-GB"/>
        </w:rPr>
        <w:t xml:space="preserve">Key barriers that both providers </w:t>
      </w:r>
      <w:r w:rsidR="00DA1463" w:rsidRPr="00E512CD">
        <w:rPr>
          <w:rFonts w:asciiTheme="majorHAnsi" w:hAnsiTheme="majorHAnsi"/>
          <w:color w:val="000000" w:themeColor="text1"/>
          <w:sz w:val="24"/>
          <w:szCs w:val="24"/>
          <w:lang w:val="en-GB"/>
        </w:rPr>
        <w:t>and patients</w:t>
      </w:r>
      <w:r w:rsidRPr="00E512CD">
        <w:rPr>
          <w:rFonts w:asciiTheme="majorHAnsi" w:hAnsiTheme="majorHAnsi"/>
          <w:color w:val="000000" w:themeColor="text1"/>
          <w:sz w:val="24"/>
          <w:szCs w:val="24"/>
          <w:lang w:val="en-GB"/>
        </w:rPr>
        <w:t xml:space="preserve"> face in the translation of assistive technologies (ATs) into clinical practice have been identified as lack of knowledge, education, awareness and access</w:t>
      </w:r>
      <w:r w:rsidRPr="00E512CD">
        <w:rPr>
          <w:rFonts w:asciiTheme="majorHAnsi" w:hAnsiTheme="majorHAnsi"/>
          <w:color w:val="000000" w:themeColor="text1"/>
          <w:sz w:val="24"/>
          <w:szCs w:val="24"/>
        </w:rPr>
        <w:t>.</w:t>
      </w:r>
      <w:r w:rsidRPr="00E512CD">
        <w:rPr>
          <w:rFonts w:asciiTheme="majorHAnsi" w:hAnsiTheme="majorHAnsi"/>
          <w:color w:val="000000" w:themeColor="text1"/>
          <w:sz w:val="24"/>
          <w:szCs w:val="24"/>
          <w:vertAlign w:val="superscript"/>
        </w:rPr>
        <w:t>1</w:t>
      </w:r>
      <w:r w:rsidR="00EE1E22" w:rsidRPr="00E512CD">
        <w:rPr>
          <w:rFonts w:asciiTheme="majorHAnsi" w:hAnsiTheme="majorHAnsi"/>
          <w:color w:val="000000" w:themeColor="text1"/>
          <w:sz w:val="24"/>
          <w:szCs w:val="24"/>
          <w:vertAlign w:val="superscript"/>
        </w:rPr>
        <w:t>1</w:t>
      </w:r>
      <w:r w:rsidRPr="00E512CD">
        <w:rPr>
          <w:rFonts w:asciiTheme="majorHAnsi" w:hAnsiTheme="majorHAnsi"/>
          <w:color w:val="000000" w:themeColor="text1"/>
          <w:sz w:val="24"/>
          <w:szCs w:val="24"/>
        </w:rPr>
        <w:t xml:space="preserve"> Each need to be addressed for effective translation and dissemination. There is also a need to change expectations of patients. Possibly one of the most important benefits of TH is a shift from dependence to independence, incorporating the concept of self-management and responsibility for one’s own recovery and well-being. Self-management of health is increasingly seen as important for all of us, and may be critical to improved health in the 21st Century</w:t>
      </w:r>
      <w:r w:rsidR="00EE1E22" w:rsidRPr="00E512CD">
        <w:rPr>
          <w:rFonts w:asciiTheme="majorHAnsi" w:hAnsiTheme="majorHAnsi"/>
          <w:color w:val="000000" w:themeColor="text1"/>
          <w:sz w:val="24"/>
          <w:szCs w:val="24"/>
        </w:rPr>
        <w:t xml:space="preserve"> </w:t>
      </w:r>
      <w:r w:rsidR="00EE1E22" w:rsidRPr="00E512CD">
        <w:rPr>
          <w:rFonts w:asciiTheme="majorHAnsi" w:hAnsiTheme="majorHAnsi"/>
          <w:color w:val="000000" w:themeColor="text1"/>
          <w:sz w:val="24"/>
          <w:szCs w:val="24"/>
          <w:vertAlign w:val="superscript"/>
        </w:rPr>
        <w:t>12</w:t>
      </w:r>
      <w:r w:rsidRPr="00E512CD">
        <w:rPr>
          <w:rFonts w:asciiTheme="majorHAnsi" w:hAnsiTheme="majorHAnsi"/>
          <w:color w:val="000000" w:themeColor="text1"/>
          <w:sz w:val="24"/>
          <w:szCs w:val="24"/>
        </w:rPr>
        <w:t xml:space="preserve">. This change in approach is realized through advances in telecommunication technology such as; audio and video conferencing and remote monitoring of health, supported by the ability to transmit large amounts of data securely. The use of Inertial Measurement Units (IMUs) to monitor activity, has become common in devices such as mobile phones and activity monitors. This commercial technology provides an opportunity, with more sophisticated signal processing, to generate clinically meaningful information about amount and quality of movement and </w:t>
      </w:r>
      <w:r w:rsidRPr="00E512CD">
        <w:rPr>
          <w:rFonts w:asciiTheme="majorHAnsi" w:hAnsiTheme="majorHAnsi"/>
          <w:color w:val="000000" w:themeColor="text1"/>
          <w:sz w:val="24"/>
          <w:szCs w:val="24"/>
        </w:rPr>
        <w:lastRenderedPageBreak/>
        <w:t>could support self-management by providing patients with information to guide and encourage activity.</w:t>
      </w:r>
    </w:p>
    <w:p w14:paraId="1B9C7291" w14:textId="6CAF320B" w:rsidR="00425065" w:rsidRPr="00E512CD" w:rsidRDefault="003F1165" w:rsidP="00C227DB">
      <w:pPr>
        <w:spacing w:after="240" w:line="480" w:lineRule="auto"/>
        <w:ind w:left="360"/>
        <w:rPr>
          <w:rFonts w:asciiTheme="majorHAnsi" w:hAnsiTheme="majorHAnsi"/>
          <w:strike/>
          <w:color w:val="000000" w:themeColor="text1"/>
          <w:sz w:val="24"/>
          <w:szCs w:val="24"/>
        </w:rPr>
      </w:pPr>
      <w:r w:rsidRPr="00E512CD">
        <w:rPr>
          <w:rFonts w:asciiTheme="majorHAnsi" w:hAnsiTheme="majorHAnsi"/>
          <w:color w:val="000000" w:themeColor="text1"/>
          <w:sz w:val="24"/>
          <w:szCs w:val="24"/>
        </w:rPr>
        <w:t>Telehealth applications are expanding with trends in access to healthcare towards user preference, managing acute and chronic conditions at the right time and place, migration of care from hospitals and clinics to patient’s homes and the use of mobile devices.</w:t>
      </w:r>
      <w:r w:rsidRPr="00E512CD">
        <w:rPr>
          <w:rFonts w:asciiTheme="majorHAnsi" w:hAnsiTheme="majorHAnsi"/>
          <w:color w:val="000000" w:themeColor="text1"/>
          <w:sz w:val="24"/>
          <w:szCs w:val="24"/>
          <w:vertAlign w:val="superscript"/>
        </w:rPr>
        <w:t>1</w:t>
      </w:r>
      <w:r w:rsidR="008446F1" w:rsidRPr="00E512CD">
        <w:rPr>
          <w:rFonts w:asciiTheme="majorHAnsi" w:hAnsiTheme="majorHAnsi"/>
          <w:color w:val="000000" w:themeColor="text1"/>
          <w:sz w:val="24"/>
          <w:szCs w:val="24"/>
          <w:vertAlign w:val="superscript"/>
        </w:rPr>
        <w:t>3</w:t>
      </w:r>
      <w:r w:rsidRPr="00E512CD">
        <w:rPr>
          <w:rFonts w:asciiTheme="majorHAnsi" w:hAnsiTheme="majorHAnsi"/>
          <w:color w:val="000000" w:themeColor="text1"/>
          <w:sz w:val="24"/>
          <w:szCs w:val="24"/>
        </w:rPr>
        <w:t xml:space="preserve"> As future TH applications are introduced to clinical practice, physical therapists have an opportunity and obligation to provide the best care based on sound research and strong evidence. </w:t>
      </w:r>
    </w:p>
    <w:p w14:paraId="5BDEE170" w14:textId="107B70C3" w:rsidR="002E3293" w:rsidRPr="00E512CD" w:rsidRDefault="003F1165" w:rsidP="00C227DB">
      <w:pPr>
        <w:spacing w:after="240" w:line="480" w:lineRule="auto"/>
        <w:ind w:left="360"/>
        <w:rPr>
          <w:rFonts w:asciiTheme="majorHAnsi" w:hAnsiTheme="majorHAnsi"/>
          <w:b/>
          <w:color w:val="000000" w:themeColor="text1"/>
          <w:sz w:val="24"/>
          <w:szCs w:val="24"/>
          <w:lang w:val="en-GB"/>
        </w:rPr>
      </w:pPr>
      <w:r w:rsidRPr="00E512CD">
        <w:rPr>
          <w:rFonts w:asciiTheme="majorHAnsi" w:hAnsiTheme="majorHAnsi"/>
          <w:b/>
          <w:color w:val="000000" w:themeColor="text1"/>
          <w:sz w:val="24"/>
          <w:szCs w:val="24"/>
          <w:lang w:val="en-GB"/>
        </w:rPr>
        <w:t>Key points</w:t>
      </w:r>
    </w:p>
    <w:p w14:paraId="12D3D927" w14:textId="181FCF01" w:rsidR="0051128E" w:rsidRPr="00E512CD" w:rsidRDefault="003F1165">
      <w:pPr>
        <w:spacing w:after="240" w:line="480" w:lineRule="auto"/>
        <w:ind w:left="360"/>
        <w:rPr>
          <w:rFonts w:asciiTheme="majorHAnsi" w:hAnsiTheme="majorHAnsi"/>
          <w:bCs/>
          <w:color w:val="000000" w:themeColor="text1"/>
          <w:sz w:val="24"/>
          <w:szCs w:val="24"/>
          <w:lang w:val="en-GB"/>
        </w:rPr>
      </w:pPr>
      <w:r w:rsidRPr="00E512CD">
        <w:rPr>
          <w:rFonts w:asciiTheme="majorHAnsi" w:hAnsiTheme="majorHAnsi"/>
          <w:bCs/>
          <w:color w:val="000000" w:themeColor="text1"/>
          <w:sz w:val="24"/>
          <w:szCs w:val="24"/>
          <w:lang w:val="en-GB"/>
        </w:rPr>
        <w:t>To illustrate how technologies can be used in stroke rehabilitation, we present two examples. One technology (LifeCIT) has been developed and undergone clinical feasibility testing, while the second (M-MARK) is in the early stages of development. LifeCIT is a web-based support program for people with stroke using Constraint Induced Therapy (CIT) at home.</w:t>
      </w:r>
      <w:r w:rsidRPr="00E512CD">
        <w:rPr>
          <w:rFonts w:asciiTheme="majorHAnsi" w:hAnsiTheme="majorHAnsi"/>
          <w:color w:val="000000" w:themeColor="text1"/>
          <w:sz w:val="24"/>
          <w:szCs w:val="24"/>
          <w:lang w:val="en-GB"/>
        </w:rPr>
        <w:t xml:space="preserve">  A meta-analysis has provided evidence that CIT is more effective than other dose matched interventions.</w:t>
      </w:r>
      <w:r w:rsidRPr="00E512CD">
        <w:rPr>
          <w:rFonts w:asciiTheme="majorHAnsi" w:hAnsiTheme="majorHAnsi"/>
          <w:color w:val="000000" w:themeColor="text1"/>
          <w:sz w:val="24"/>
          <w:szCs w:val="24"/>
          <w:vertAlign w:val="superscript"/>
          <w:lang w:val="en-GB"/>
        </w:rPr>
        <w:t>1</w:t>
      </w:r>
      <w:r w:rsidR="008446F1" w:rsidRPr="00E512CD">
        <w:rPr>
          <w:rFonts w:asciiTheme="majorHAnsi" w:hAnsiTheme="majorHAnsi"/>
          <w:color w:val="000000" w:themeColor="text1"/>
          <w:sz w:val="24"/>
          <w:szCs w:val="24"/>
          <w:vertAlign w:val="superscript"/>
          <w:lang w:val="en-GB"/>
        </w:rPr>
        <w:t>4</w:t>
      </w:r>
      <w:r w:rsidRPr="00E512CD">
        <w:rPr>
          <w:rFonts w:asciiTheme="majorHAnsi" w:hAnsiTheme="majorHAnsi"/>
          <w:color w:val="000000" w:themeColor="text1"/>
          <w:sz w:val="24"/>
          <w:szCs w:val="24"/>
          <w:lang w:val="en-GB"/>
        </w:rPr>
        <w:t xml:space="preserve"> Studies of CIT have shown positive outcomes on motor function in the early stages post-stroke and functional gains in chronic stroke.</w:t>
      </w:r>
      <w:r w:rsidRPr="00E512CD">
        <w:rPr>
          <w:rFonts w:asciiTheme="majorHAnsi" w:hAnsiTheme="majorHAnsi"/>
          <w:color w:val="000000" w:themeColor="text1"/>
          <w:sz w:val="24"/>
          <w:szCs w:val="24"/>
          <w:vertAlign w:val="superscript"/>
          <w:lang w:val="en-GB"/>
        </w:rPr>
        <w:t>1</w:t>
      </w:r>
      <w:r w:rsidR="008446F1" w:rsidRPr="00E512CD">
        <w:rPr>
          <w:rFonts w:asciiTheme="majorHAnsi" w:hAnsiTheme="majorHAnsi"/>
          <w:color w:val="000000" w:themeColor="text1"/>
          <w:sz w:val="24"/>
          <w:szCs w:val="24"/>
          <w:vertAlign w:val="superscript"/>
          <w:lang w:val="en-GB"/>
        </w:rPr>
        <w:t>5,16,17</w:t>
      </w:r>
    </w:p>
    <w:p w14:paraId="643E5ED8" w14:textId="0069AA26" w:rsidR="0051128E" w:rsidRPr="00E512CD" w:rsidRDefault="003F1165" w:rsidP="008446F1">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Despite the benefits, CIT was reported by healthcare professionals as less likely to be prescribed than other technologies such as Functional Electrical Stimulation or Virtual Reality (such as the Nintendo Wii) and the standard CIT protocol  has not necessarily changed clinical practice because of the demand on professional resources.</w:t>
      </w:r>
      <w:r w:rsidRPr="00E512CD">
        <w:rPr>
          <w:rFonts w:asciiTheme="majorHAnsi" w:hAnsiTheme="majorHAnsi"/>
          <w:color w:val="000000" w:themeColor="text1"/>
          <w:sz w:val="24"/>
          <w:szCs w:val="24"/>
          <w:vertAlign w:val="superscript"/>
          <w:lang w:val="en-GB"/>
        </w:rPr>
        <w:t>11,15</w:t>
      </w:r>
      <w:r w:rsidRPr="00E512CD">
        <w:rPr>
          <w:rFonts w:asciiTheme="majorHAnsi" w:hAnsiTheme="majorHAnsi"/>
          <w:color w:val="000000" w:themeColor="text1"/>
          <w:sz w:val="24"/>
          <w:szCs w:val="24"/>
        </w:rPr>
        <w:t xml:space="preserve">  </w:t>
      </w:r>
      <w:r w:rsidRPr="00E512CD">
        <w:rPr>
          <w:rFonts w:asciiTheme="majorHAnsi" w:hAnsiTheme="majorHAnsi"/>
          <w:color w:val="000000" w:themeColor="text1"/>
          <w:sz w:val="24"/>
          <w:szCs w:val="24"/>
          <w:lang w:val="en-GB"/>
        </w:rPr>
        <w:t xml:space="preserve">Protocols for delivery of CIT in the home-based setting, in North Germany, with minimal therapist </w:t>
      </w:r>
      <w:r w:rsidRPr="00E512CD">
        <w:rPr>
          <w:rFonts w:asciiTheme="majorHAnsi" w:hAnsiTheme="majorHAnsi"/>
          <w:color w:val="000000" w:themeColor="text1"/>
          <w:sz w:val="24"/>
          <w:szCs w:val="24"/>
          <w:lang w:val="en-GB"/>
        </w:rPr>
        <w:lastRenderedPageBreak/>
        <w:t>contact time, have recently been published.</w:t>
      </w:r>
      <w:r w:rsidRPr="00E512CD">
        <w:rPr>
          <w:rFonts w:asciiTheme="majorHAnsi" w:hAnsiTheme="majorHAnsi"/>
          <w:color w:val="000000" w:themeColor="text1"/>
          <w:sz w:val="24"/>
          <w:szCs w:val="24"/>
          <w:vertAlign w:val="superscript"/>
          <w:lang w:val="en-GB"/>
        </w:rPr>
        <w:t>16</w:t>
      </w:r>
      <w:r w:rsidRPr="00E512CD">
        <w:rPr>
          <w:rFonts w:asciiTheme="majorHAnsi" w:hAnsiTheme="majorHAnsi"/>
          <w:color w:val="000000" w:themeColor="text1"/>
          <w:sz w:val="24"/>
          <w:szCs w:val="24"/>
          <w:lang w:val="en-GB"/>
        </w:rPr>
        <w:t xml:space="preserve">  Patients, however, described lack of motivation when a therapist was not present as a key barrier to adherence.</w:t>
      </w:r>
      <w:r w:rsidR="008446F1" w:rsidRPr="00E512CD">
        <w:rPr>
          <w:rFonts w:asciiTheme="majorHAnsi" w:hAnsiTheme="majorHAnsi"/>
          <w:color w:val="000000" w:themeColor="text1"/>
          <w:sz w:val="24"/>
          <w:szCs w:val="24"/>
          <w:lang w:val="en-GB"/>
        </w:rPr>
        <w:t xml:space="preserve"> </w:t>
      </w:r>
      <w:r w:rsidR="008446F1" w:rsidRPr="00E512CD">
        <w:rPr>
          <w:rFonts w:asciiTheme="majorHAnsi" w:hAnsiTheme="majorHAnsi"/>
          <w:color w:val="000000" w:themeColor="text1"/>
          <w:sz w:val="24"/>
          <w:szCs w:val="24"/>
          <w:vertAlign w:val="superscript"/>
          <w:lang w:val="en-GB"/>
        </w:rPr>
        <w:t>16</w:t>
      </w:r>
      <w:r w:rsidRPr="00E512CD">
        <w:rPr>
          <w:rFonts w:asciiTheme="majorHAnsi" w:hAnsiTheme="majorHAnsi"/>
          <w:color w:val="000000" w:themeColor="text1"/>
          <w:sz w:val="24"/>
          <w:szCs w:val="24"/>
          <w:lang w:val="en-GB"/>
        </w:rPr>
        <w:t xml:space="preserve">  One large-scale 2-arm randomised controlled trial  (n=156) in which participants were asked to exercise for 2 hours/day, 5-days a week for 4 week (total 40 hours), without therapist supervision, reported an average of only 27 hours over the 4-week intervention period.</w:t>
      </w:r>
      <w:r w:rsidRPr="00E512CD">
        <w:rPr>
          <w:rFonts w:asciiTheme="majorHAnsi" w:hAnsiTheme="majorHAnsi"/>
          <w:color w:val="000000" w:themeColor="text1"/>
          <w:sz w:val="24"/>
          <w:szCs w:val="24"/>
          <w:vertAlign w:val="superscript"/>
          <w:lang w:val="en-GB"/>
        </w:rPr>
        <w:t>1</w:t>
      </w:r>
      <w:r w:rsidR="008446F1" w:rsidRPr="00E512CD">
        <w:rPr>
          <w:rFonts w:asciiTheme="majorHAnsi" w:hAnsiTheme="majorHAnsi"/>
          <w:color w:val="000000" w:themeColor="text1"/>
          <w:sz w:val="24"/>
          <w:szCs w:val="24"/>
          <w:vertAlign w:val="superscript"/>
          <w:lang w:val="en-GB"/>
        </w:rPr>
        <w:t>6</w:t>
      </w:r>
      <w:r w:rsidRPr="00E512CD">
        <w:rPr>
          <w:rFonts w:asciiTheme="majorHAnsi" w:hAnsiTheme="majorHAnsi"/>
          <w:color w:val="000000" w:themeColor="text1"/>
          <w:sz w:val="24"/>
          <w:szCs w:val="24"/>
          <w:lang w:val="en-GB"/>
        </w:rPr>
        <w:t xml:space="preserve">  Given the strong evidence for the  effectiveness of CIT,</w:t>
      </w:r>
      <w:r w:rsidRPr="00E512CD">
        <w:rPr>
          <w:rFonts w:asciiTheme="majorHAnsi" w:hAnsiTheme="majorHAnsi"/>
          <w:color w:val="000000" w:themeColor="text1"/>
          <w:sz w:val="24"/>
          <w:szCs w:val="24"/>
          <w:vertAlign w:val="superscript"/>
          <w:lang w:val="en-GB"/>
        </w:rPr>
        <w:t xml:space="preserve"> 1</w:t>
      </w:r>
      <w:r w:rsidR="008446F1" w:rsidRPr="00E512CD">
        <w:rPr>
          <w:rFonts w:asciiTheme="majorHAnsi" w:hAnsiTheme="majorHAnsi"/>
          <w:color w:val="000000" w:themeColor="text1"/>
          <w:sz w:val="24"/>
          <w:szCs w:val="24"/>
          <w:vertAlign w:val="superscript"/>
          <w:lang w:val="en-GB"/>
        </w:rPr>
        <w:t>7</w:t>
      </w:r>
      <w:r w:rsidRPr="00E512CD">
        <w:rPr>
          <w:rFonts w:asciiTheme="majorHAnsi" w:hAnsiTheme="majorHAnsi"/>
          <w:color w:val="000000" w:themeColor="text1"/>
          <w:sz w:val="24"/>
          <w:szCs w:val="24"/>
          <w:lang w:val="en-GB"/>
        </w:rPr>
        <w:t xml:space="preserve"> the study concluded that future studies should explore whether the effect of home CIT could be increased through an intensified support in daily practice, for example via electronic devices with videos or apps.</w:t>
      </w:r>
      <w:r w:rsidRPr="00E512CD">
        <w:rPr>
          <w:rFonts w:asciiTheme="majorHAnsi" w:hAnsiTheme="majorHAnsi"/>
          <w:color w:val="000000" w:themeColor="text1"/>
          <w:sz w:val="24"/>
          <w:szCs w:val="24"/>
          <w:vertAlign w:val="superscript"/>
          <w:lang w:val="en-GB"/>
        </w:rPr>
        <w:t>1</w:t>
      </w:r>
      <w:r w:rsidR="008446F1" w:rsidRPr="00E512CD">
        <w:rPr>
          <w:rFonts w:asciiTheme="majorHAnsi" w:hAnsiTheme="majorHAnsi"/>
          <w:color w:val="000000" w:themeColor="text1"/>
          <w:sz w:val="24"/>
          <w:szCs w:val="24"/>
          <w:vertAlign w:val="superscript"/>
          <w:lang w:val="en-GB"/>
        </w:rPr>
        <w:t>6</w:t>
      </w:r>
      <w:r w:rsidRPr="00E512CD">
        <w:rPr>
          <w:rFonts w:asciiTheme="majorHAnsi" w:hAnsiTheme="majorHAnsi"/>
          <w:color w:val="000000" w:themeColor="text1"/>
          <w:sz w:val="24"/>
          <w:szCs w:val="24"/>
          <w:lang w:val="en-GB"/>
        </w:rPr>
        <w:t xml:space="preserve"> </w:t>
      </w:r>
    </w:p>
    <w:p w14:paraId="72ADFCD0" w14:textId="028CD830" w:rsidR="004B0068" w:rsidRPr="00E512CD" w:rsidRDefault="003F116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Responding to this conclusion, a web-supported program of CIT for people with upper limb disability after stroke (LifeCIT) was designed and tested for feasibility and safety.  LifeCIT was co-designed with patients, carers and healthcare professionals using the ‘Person-Based Approach’ to intervention development.</w:t>
      </w:r>
      <w:r w:rsidRPr="00E512CD">
        <w:rPr>
          <w:rFonts w:asciiTheme="majorHAnsi" w:hAnsiTheme="majorHAnsi"/>
          <w:color w:val="000000" w:themeColor="text1"/>
          <w:sz w:val="24"/>
          <w:szCs w:val="24"/>
          <w:vertAlign w:val="superscript"/>
          <w:lang w:val="en-GB"/>
        </w:rPr>
        <w:t>1</w:t>
      </w:r>
      <w:r w:rsidR="006A1DE4" w:rsidRPr="00E512CD">
        <w:rPr>
          <w:rFonts w:asciiTheme="majorHAnsi" w:hAnsiTheme="majorHAnsi"/>
          <w:color w:val="000000" w:themeColor="text1"/>
          <w:sz w:val="24"/>
          <w:szCs w:val="24"/>
          <w:vertAlign w:val="superscript"/>
          <w:lang w:val="en-GB"/>
        </w:rPr>
        <w:t>8</w:t>
      </w:r>
      <w:r w:rsidRPr="00E512CD">
        <w:rPr>
          <w:rFonts w:asciiTheme="majorHAnsi" w:hAnsiTheme="majorHAnsi"/>
          <w:color w:val="000000" w:themeColor="text1"/>
          <w:sz w:val="24"/>
          <w:szCs w:val="24"/>
          <w:lang w:val="en-GB"/>
        </w:rPr>
        <w:t xml:space="preserve"> Qualitative ‘think aloud’ studies were conducted with 4 participants who were &gt;6-months post stroke and 13 who were &lt; 6-months post stroke (with their carer when appropriate). Each participant tested the program, including mock-ups of the web-pages, during development. Therapist input was gained through six focus groups, each with between two and six therapists.  An inductive, iterative process was used to finalize the design of LifeCIT.  Factors that were found to be important in making the system usable by patients (who were often not experienced users of computers) were: a) avoiding scrolling, i.e. the whole web-page was visible on the screen; b) given an option to return to the home page on every page, i.e. never more than one-click away from the home page; c) minimal text, which always used simple language and using images wherever </w:t>
      </w:r>
      <w:r w:rsidRPr="00E512CD">
        <w:rPr>
          <w:rFonts w:asciiTheme="majorHAnsi" w:hAnsiTheme="majorHAnsi"/>
          <w:color w:val="000000" w:themeColor="text1"/>
          <w:sz w:val="24"/>
          <w:szCs w:val="24"/>
          <w:lang w:val="en-GB"/>
        </w:rPr>
        <w:lastRenderedPageBreak/>
        <w:t>possible.  Specially designed computer games, which were simpler than commercially available ones, were also found to be important. Once LifeCIT was developed, a two-arm, parallel-group, randomized study was conducted with chronic and sub-acute post-stroke patients</w:t>
      </w:r>
      <w:r w:rsidRPr="00E512CD" w:rsidDel="00AC215E">
        <w:rPr>
          <w:rFonts w:asciiTheme="majorHAnsi" w:hAnsiTheme="majorHAnsi"/>
          <w:color w:val="000000" w:themeColor="text1"/>
          <w:sz w:val="24"/>
          <w:szCs w:val="24"/>
          <w:lang w:val="en-GB"/>
        </w:rPr>
        <w:t xml:space="preserve"> </w:t>
      </w:r>
      <w:r w:rsidRPr="00E512CD">
        <w:rPr>
          <w:rFonts w:asciiTheme="majorHAnsi" w:hAnsiTheme="majorHAnsi"/>
          <w:color w:val="000000" w:themeColor="text1"/>
          <w:sz w:val="24"/>
          <w:szCs w:val="24"/>
          <w:lang w:val="en-GB"/>
        </w:rPr>
        <w:t xml:space="preserve">to assess the feasibility of using the program in practice. </w:t>
      </w:r>
      <w:r w:rsidRPr="00E512CD">
        <w:rPr>
          <w:rFonts w:asciiTheme="majorHAnsi" w:hAnsiTheme="majorHAnsi"/>
          <w:iCs/>
          <w:color w:val="000000" w:themeColor="text1"/>
          <w:sz w:val="24"/>
          <w:szCs w:val="24"/>
        </w:rPr>
        <w:t xml:space="preserve">The trial was conducted in accordance with the Declaration of Helsinki, and was approved by the South West England National Health Service Research Ethics Committee (11/SC/0286). </w:t>
      </w:r>
    </w:p>
    <w:p w14:paraId="1D369ECA" w14:textId="0A6BE1E2" w:rsidR="00F51E57" w:rsidRPr="00E512CD" w:rsidRDefault="003F1165" w:rsidP="00AA4026">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LifeCIT aimed to increase adherence to constraint mitt (C-Mitt) wear, for up to 6 hours a day and a self-directed program of exercises and activities of daily living (ADLs). The C-Mitt (Figure 1) resembled an oven glove, but incorporated a moulded plastic liner in the palm to prevent dextrous use of the unaffected hand and fingers, while allowing sufficient grip to hold a walking aid. Participants used the website via a computer or computer tablet. The </w:t>
      </w:r>
      <w:proofErr w:type="gramStart"/>
      <w:r w:rsidRPr="00E512CD">
        <w:rPr>
          <w:rFonts w:asciiTheme="majorHAnsi" w:hAnsiTheme="majorHAnsi"/>
          <w:color w:val="000000" w:themeColor="text1"/>
          <w:sz w:val="24"/>
          <w:szCs w:val="24"/>
          <w:lang w:val="en-GB"/>
        </w:rPr>
        <w:t>first time</w:t>
      </w:r>
      <w:proofErr w:type="gramEnd"/>
      <w:r w:rsidRPr="00E512CD">
        <w:rPr>
          <w:rFonts w:asciiTheme="majorHAnsi" w:hAnsiTheme="majorHAnsi"/>
          <w:color w:val="000000" w:themeColor="text1"/>
          <w:sz w:val="24"/>
          <w:szCs w:val="24"/>
          <w:lang w:val="en-GB"/>
        </w:rPr>
        <w:t xml:space="preserve"> patients logged on they were asked to </w:t>
      </w:r>
      <w:r w:rsidRPr="00E512CD">
        <w:rPr>
          <w:rFonts w:asciiTheme="majorHAnsi" w:hAnsiTheme="majorHAnsi"/>
          <w:iCs/>
          <w:color w:val="000000" w:themeColor="text1"/>
          <w:sz w:val="24"/>
          <w:szCs w:val="24"/>
          <w:lang w:val="en-GB"/>
        </w:rPr>
        <w:t>complete a self-assessment of upper limb function, based on the Motor Activity Log (MAL)</w:t>
      </w:r>
      <w:r w:rsidR="00800519" w:rsidRPr="00E512CD">
        <w:rPr>
          <w:rFonts w:asciiTheme="majorHAnsi" w:hAnsiTheme="majorHAnsi"/>
          <w:iCs/>
          <w:color w:val="000000" w:themeColor="text1"/>
          <w:sz w:val="24"/>
          <w:szCs w:val="24"/>
          <w:vertAlign w:val="superscript"/>
          <w:lang w:val="en-GB"/>
        </w:rPr>
        <w:t>21</w:t>
      </w:r>
      <w:r w:rsidRPr="00E512CD">
        <w:rPr>
          <w:rFonts w:asciiTheme="majorHAnsi" w:hAnsiTheme="majorHAnsi"/>
          <w:iCs/>
          <w:color w:val="000000" w:themeColor="text1"/>
          <w:sz w:val="24"/>
          <w:szCs w:val="24"/>
          <w:lang w:val="en-GB"/>
        </w:rPr>
        <w:t xml:space="preserve">. The answers they gave were used by the software to automatically offer appropriate level activities. The website then offered information about CIT and how to get the best out of using LifeCIT. Users were advised to log-in to the website in the morning and evening of each day.  In the </w:t>
      </w:r>
      <w:r w:rsidR="00800519" w:rsidRPr="00E512CD">
        <w:rPr>
          <w:rFonts w:asciiTheme="majorHAnsi" w:hAnsiTheme="majorHAnsi"/>
          <w:iCs/>
          <w:color w:val="000000" w:themeColor="text1"/>
          <w:sz w:val="24"/>
          <w:szCs w:val="24"/>
          <w:lang w:val="en-GB"/>
        </w:rPr>
        <w:t>morning,</w:t>
      </w:r>
      <w:r w:rsidRPr="00E512CD">
        <w:rPr>
          <w:rFonts w:asciiTheme="majorHAnsi" w:hAnsiTheme="majorHAnsi"/>
          <w:iCs/>
          <w:color w:val="000000" w:themeColor="text1"/>
          <w:sz w:val="24"/>
          <w:szCs w:val="24"/>
          <w:lang w:val="en-GB"/>
        </w:rPr>
        <w:t xml:space="preserve"> they were asked to </w:t>
      </w:r>
      <w:r w:rsidRPr="00E512CD">
        <w:rPr>
          <w:rFonts w:asciiTheme="majorHAnsi" w:hAnsiTheme="majorHAnsi"/>
          <w:color w:val="000000" w:themeColor="text1"/>
          <w:sz w:val="24"/>
          <w:szCs w:val="24"/>
          <w:lang w:val="en-GB"/>
        </w:rPr>
        <w:t xml:space="preserve">set themselves targets for C-Mitt wear time and time spent on exercises and ADL activities. From the website, they could choose: computer-based games that involved arm and hand activity; exercises, from a menu </w:t>
      </w:r>
      <w:r w:rsidRPr="00E512CD">
        <w:rPr>
          <w:rFonts w:asciiTheme="majorHAnsi" w:hAnsiTheme="majorHAnsi"/>
          <w:iCs/>
          <w:color w:val="000000" w:themeColor="text1"/>
          <w:sz w:val="24"/>
          <w:szCs w:val="24"/>
          <w:lang w:val="en-GB"/>
        </w:rPr>
        <w:t>based on the Graded Arm Supplementary Program (GRASP),</w:t>
      </w:r>
      <w:r w:rsidR="006A1DE4" w:rsidRPr="00E512CD">
        <w:rPr>
          <w:rFonts w:asciiTheme="majorHAnsi" w:hAnsiTheme="majorHAnsi"/>
          <w:iCs/>
          <w:color w:val="000000" w:themeColor="text1"/>
          <w:sz w:val="24"/>
          <w:szCs w:val="24"/>
          <w:vertAlign w:val="superscript"/>
          <w:lang w:val="en-GB"/>
        </w:rPr>
        <w:t>19</w:t>
      </w:r>
      <w:r w:rsidRPr="00E512CD">
        <w:rPr>
          <w:rFonts w:asciiTheme="majorHAnsi" w:hAnsiTheme="majorHAnsi"/>
          <w:iCs/>
          <w:color w:val="000000" w:themeColor="text1"/>
          <w:sz w:val="24"/>
          <w:szCs w:val="24"/>
          <w:lang w:val="en-GB"/>
        </w:rPr>
        <w:t xml:space="preserve"> </w:t>
      </w:r>
      <w:r w:rsidRPr="00E512CD">
        <w:rPr>
          <w:rFonts w:asciiTheme="majorHAnsi" w:hAnsiTheme="majorHAnsi"/>
          <w:color w:val="000000" w:themeColor="text1"/>
          <w:sz w:val="24"/>
          <w:szCs w:val="24"/>
          <w:lang w:val="en-GB"/>
        </w:rPr>
        <w:t>and ADL</w:t>
      </w:r>
      <w:r w:rsidR="00800519" w:rsidRPr="00E512CD">
        <w:rPr>
          <w:rFonts w:asciiTheme="majorHAnsi" w:hAnsiTheme="majorHAnsi"/>
          <w:color w:val="000000" w:themeColor="text1"/>
          <w:sz w:val="24"/>
          <w:szCs w:val="24"/>
          <w:lang w:val="en-GB"/>
        </w:rPr>
        <w:t>s</w:t>
      </w:r>
      <w:r w:rsidRPr="00E512CD">
        <w:rPr>
          <w:rFonts w:asciiTheme="majorHAnsi" w:hAnsiTheme="majorHAnsi"/>
          <w:color w:val="000000" w:themeColor="text1"/>
          <w:sz w:val="24"/>
          <w:szCs w:val="24"/>
          <w:lang w:val="en-GB"/>
        </w:rPr>
        <w:t xml:space="preserve"> that were relevant to them and achievable. After setting targets and chosen activities, they could leave the schedule on the screen, print it out or send it as a text message. When they logged on in the evening, they were asked to report </w:t>
      </w:r>
      <w:r w:rsidRPr="00E512CD">
        <w:rPr>
          <w:rFonts w:asciiTheme="majorHAnsi" w:hAnsiTheme="majorHAnsi"/>
          <w:color w:val="000000" w:themeColor="text1"/>
          <w:sz w:val="24"/>
          <w:szCs w:val="24"/>
          <w:lang w:val="en-GB"/>
        </w:rPr>
        <w:lastRenderedPageBreak/>
        <w:t>their level of achievement in terms of C-Mitt wear and exercises / ADL</w:t>
      </w:r>
      <w:r w:rsidR="00800519" w:rsidRPr="00E512CD">
        <w:rPr>
          <w:rFonts w:asciiTheme="majorHAnsi" w:hAnsiTheme="majorHAnsi"/>
          <w:color w:val="000000" w:themeColor="text1"/>
          <w:sz w:val="24"/>
          <w:szCs w:val="24"/>
          <w:lang w:val="en-GB"/>
        </w:rPr>
        <w:t>s</w:t>
      </w:r>
      <w:r w:rsidRPr="00E512CD">
        <w:rPr>
          <w:rFonts w:asciiTheme="majorHAnsi" w:hAnsiTheme="majorHAnsi"/>
          <w:color w:val="000000" w:themeColor="text1"/>
          <w:sz w:val="24"/>
          <w:szCs w:val="24"/>
          <w:lang w:val="en-GB"/>
        </w:rPr>
        <w:t xml:space="preserve">. </w:t>
      </w:r>
      <w:r w:rsidRPr="00E512CD">
        <w:rPr>
          <w:rFonts w:asciiTheme="majorHAnsi" w:hAnsiTheme="majorHAnsi"/>
          <w:iCs/>
          <w:color w:val="000000" w:themeColor="text1"/>
          <w:sz w:val="24"/>
          <w:szCs w:val="24"/>
          <w:lang w:val="en-GB"/>
        </w:rPr>
        <w:t xml:space="preserve">Setting personal goals and then reporting achievement of them was thought by patients, carers and therapists to be motivating and have a positive effect on adherence. Users were also able to see a graph of their C-Mitt and activity time for each day and, if they failed to achieve their goals, advice was given in the form of messages on the website on how they could improve. Information recorded on the website was available to their therapist and any other family members or friends </w:t>
      </w:r>
      <w:r w:rsidR="00800519" w:rsidRPr="00E512CD">
        <w:rPr>
          <w:rFonts w:asciiTheme="majorHAnsi" w:hAnsiTheme="majorHAnsi"/>
          <w:iCs/>
          <w:color w:val="000000" w:themeColor="text1"/>
          <w:sz w:val="24"/>
          <w:szCs w:val="24"/>
          <w:lang w:val="en-GB"/>
        </w:rPr>
        <w:t xml:space="preserve">to </w:t>
      </w:r>
      <w:r w:rsidRPr="00E512CD">
        <w:rPr>
          <w:rFonts w:asciiTheme="majorHAnsi" w:hAnsiTheme="majorHAnsi"/>
          <w:iCs/>
          <w:color w:val="000000" w:themeColor="text1"/>
          <w:sz w:val="24"/>
          <w:szCs w:val="24"/>
          <w:lang w:val="en-GB"/>
        </w:rPr>
        <w:t>who</w:t>
      </w:r>
      <w:r w:rsidR="00800519" w:rsidRPr="00E512CD">
        <w:rPr>
          <w:rFonts w:asciiTheme="majorHAnsi" w:hAnsiTheme="majorHAnsi"/>
          <w:iCs/>
          <w:color w:val="000000" w:themeColor="text1"/>
          <w:sz w:val="24"/>
          <w:szCs w:val="24"/>
          <w:lang w:val="en-GB"/>
        </w:rPr>
        <w:t>m</w:t>
      </w:r>
      <w:r w:rsidRPr="00E512CD">
        <w:rPr>
          <w:rFonts w:asciiTheme="majorHAnsi" w:hAnsiTheme="majorHAnsi"/>
          <w:iCs/>
          <w:color w:val="000000" w:themeColor="text1"/>
          <w:sz w:val="24"/>
          <w:szCs w:val="24"/>
          <w:lang w:val="en-GB"/>
        </w:rPr>
        <w:t xml:space="preserve"> they chose to allow access. A website messaging facility allowed therapists, and selected family and friends to communicate with the user and give encouragement in a secured password-protected internet connection.  Apart from an initial set-up visit, there was no face-to-face contact with a therapist.</w:t>
      </w:r>
    </w:p>
    <w:p w14:paraId="7B1FB90A" w14:textId="2029E6CC" w:rsidR="00F51E57" w:rsidRPr="00E512CD" w:rsidRDefault="003F1165" w:rsidP="006A6B94">
      <w:pPr>
        <w:spacing w:after="240" w:line="480" w:lineRule="auto"/>
        <w:ind w:firstLine="360"/>
        <w:rPr>
          <w:rFonts w:asciiTheme="majorHAnsi" w:hAnsiTheme="majorHAnsi"/>
          <w:i/>
          <w:iCs/>
          <w:color w:val="000000" w:themeColor="text1"/>
          <w:sz w:val="24"/>
          <w:szCs w:val="24"/>
          <w:lang w:val="en-GB"/>
        </w:rPr>
      </w:pPr>
      <w:r w:rsidRPr="00E512CD">
        <w:rPr>
          <w:rFonts w:asciiTheme="majorHAnsi" w:hAnsiTheme="majorHAnsi"/>
          <w:i/>
          <w:iCs/>
          <w:color w:val="000000" w:themeColor="text1"/>
          <w:sz w:val="24"/>
          <w:szCs w:val="24"/>
          <w:lang w:val="en-GB"/>
        </w:rPr>
        <w:t>Participants</w:t>
      </w:r>
    </w:p>
    <w:p w14:paraId="2A0DE514" w14:textId="58CC2364" w:rsidR="003E339A" w:rsidRPr="00E512CD" w:rsidRDefault="003F1165" w:rsidP="002611C3">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The main inclusion criteria were: stroke affecting the upper limb, safe to use the C-Mitt at home (defined as able to walk safely with or without an aid, or a none-walker); have a minimum of 10</w:t>
      </w:r>
      <w:r w:rsidRPr="00E512CD">
        <w:rPr>
          <w:rFonts w:asciiTheme="majorHAnsi" w:hAnsiTheme="majorHAnsi"/>
          <w:color w:val="000000" w:themeColor="text1"/>
          <w:sz w:val="24"/>
          <w:szCs w:val="24"/>
          <w:lang w:val="en-GB"/>
        </w:rPr>
        <w:sym w:font="Symbol" w:char="F0B0"/>
      </w:r>
      <w:r w:rsidRPr="00E512CD">
        <w:rPr>
          <w:rFonts w:asciiTheme="majorHAnsi" w:hAnsiTheme="majorHAnsi"/>
          <w:color w:val="000000" w:themeColor="text1"/>
          <w:sz w:val="24"/>
          <w:szCs w:val="24"/>
          <w:lang w:val="en-GB"/>
        </w:rPr>
        <w:t xml:space="preserve"> active wrist extension and be able to complete a grasp task from the Wolf Motor Function Test (WMFT). Participants were 18 or over (with no upper age limit) and had been discharged from hospital to their own homes. There was no limit on time post stroke.  People with severe shoulder pain and / or communication problems were excluded, but other impairments such as visual neglect was not an exclusion criterion. Participants were recruited from six NHS Hospital Trusts in the South of England.</w:t>
      </w:r>
    </w:p>
    <w:p w14:paraId="22F02403" w14:textId="77777777" w:rsidR="002E1F70" w:rsidRPr="00E512CD" w:rsidRDefault="003F1165" w:rsidP="00C227DB">
      <w:pPr>
        <w:spacing w:after="240" w:line="480" w:lineRule="auto"/>
        <w:ind w:left="360"/>
        <w:rPr>
          <w:rFonts w:asciiTheme="majorHAnsi" w:hAnsiTheme="majorHAnsi"/>
          <w:i/>
          <w:iCs/>
          <w:color w:val="000000" w:themeColor="text1"/>
          <w:sz w:val="24"/>
          <w:szCs w:val="24"/>
          <w:lang w:val="en-GB"/>
        </w:rPr>
      </w:pPr>
      <w:r w:rsidRPr="00E512CD">
        <w:rPr>
          <w:rFonts w:asciiTheme="majorHAnsi" w:hAnsiTheme="majorHAnsi"/>
          <w:i/>
          <w:iCs/>
          <w:color w:val="000000" w:themeColor="text1"/>
          <w:sz w:val="24"/>
          <w:szCs w:val="24"/>
          <w:lang w:val="en-GB"/>
        </w:rPr>
        <w:t>Intervention</w:t>
      </w:r>
    </w:p>
    <w:p w14:paraId="7A2BC1A2" w14:textId="56E1F0FE" w:rsidR="002E1F70" w:rsidRPr="00E512CD" w:rsidRDefault="003F1165" w:rsidP="00E97F02">
      <w:pPr>
        <w:spacing w:after="240" w:line="480" w:lineRule="auto"/>
        <w:ind w:left="360"/>
        <w:rPr>
          <w:rFonts w:asciiTheme="majorHAnsi" w:hAnsiTheme="majorHAnsi"/>
          <w:iCs/>
          <w:color w:val="000000" w:themeColor="text1"/>
          <w:sz w:val="24"/>
          <w:szCs w:val="24"/>
          <w:lang w:val="en-GB"/>
        </w:rPr>
      </w:pPr>
      <w:r w:rsidRPr="00E512CD">
        <w:rPr>
          <w:rFonts w:asciiTheme="majorHAnsi" w:hAnsiTheme="majorHAnsi"/>
          <w:iCs/>
          <w:color w:val="000000" w:themeColor="text1"/>
          <w:sz w:val="24"/>
          <w:szCs w:val="24"/>
          <w:lang w:val="en-GB"/>
        </w:rPr>
        <w:lastRenderedPageBreak/>
        <w:t xml:space="preserve">Participants in the LifeCIT </w:t>
      </w:r>
      <w:r w:rsidR="00800519" w:rsidRPr="00E512CD">
        <w:rPr>
          <w:rFonts w:asciiTheme="majorHAnsi" w:hAnsiTheme="majorHAnsi"/>
          <w:iCs/>
          <w:color w:val="000000" w:themeColor="text1"/>
          <w:sz w:val="24"/>
          <w:szCs w:val="24"/>
          <w:lang w:val="en-GB"/>
        </w:rPr>
        <w:t xml:space="preserve">group </w:t>
      </w:r>
      <w:r w:rsidRPr="00E512CD">
        <w:rPr>
          <w:rFonts w:asciiTheme="majorHAnsi" w:hAnsiTheme="majorHAnsi"/>
          <w:iCs/>
          <w:color w:val="000000" w:themeColor="text1"/>
          <w:sz w:val="24"/>
          <w:szCs w:val="24"/>
          <w:lang w:val="en-GB"/>
        </w:rPr>
        <w:t>were given the correct size of C-Mitt and shown how to put it on (no special skill was needed to do this). LifeCIT requires no formal training. Once shown how to access the web-site and log-on, all instructions and guidance on using the system are embedded in the pages. Participants were given access to the web-based program for 21 days and advised to use the system 5 days per week (15 days). The control group continued to receive standard care.</w:t>
      </w:r>
    </w:p>
    <w:p w14:paraId="7BB06972" w14:textId="77777777" w:rsidR="002E1F70" w:rsidRPr="00E512CD" w:rsidRDefault="003F1165" w:rsidP="00C227DB">
      <w:pPr>
        <w:spacing w:after="240" w:line="480" w:lineRule="auto"/>
        <w:ind w:left="360"/>
        <w:rPr>
          <w:rFonts w:asciiTheme="majorHAnsi" w:hAnsiTheme="majorHAnsi"/>
          <w:i/>
          <w:iCs/>
          <w:color w:val="000000" w:themeColor="text1"/>
          <w:sz w:val="24"/>
          <w:szCs w:val="24"/>
          <w:lang w:val="en-GB"/>
        </w:rPr>
      </w:pPr>
      <w:r w:rsidRPr="00E512CD">
        <w:rPr>
          <w:rFonts w:asciiTheme="majorHAnsi" w:hAnsiTheme="majorHAnsi"/>
          <w:i/>
          <w:iCs/>
          <w:color w:val="000000" w:themeColor="text1"/>
          <w:sz w:val="24"/>
          <w:szCs w:val="24"/>
          <w:lang w:val="en-GB"/>
        </w:rPr>
        <w:t>Measures</w:t>
      </w:r>
    </w:p>
    <w:p w14:paraId="39CA3586" w14:textId="202C845B" w:rsidR="002E1F70" w:rsidRPr="00E512CD" w:rsidRDefault="003F1165" w:rsidP="00261A66">
      <w:pPr>
        <w:spacing w:after="240" w:line="480" w:lineRule="auto"/>
        <w:ind w:left="360"/>
        <w:rPr>
          <w:rFonts w:asciiTheme="majorHAnsi" w:hAnsiTheme="majorHAnsi"/>
          <w:iCs/>
          <w:color w:val="000000" w:themeColor="text1"/>
          <w:sz w:val="24"/>
          <w:szCs w:val="24"/>
        </w:rPr>
      </w:pPr>
      <w:r w:rsidRPr="00E512CD">
        <w:rPr>
          <w:rFonts w:asciiTheme="majorHAnsi" w:hAnsiTheme="majorHAnsi"/>
          <w:iCs/>
          <w:color w:val="000000" w:themeColor="text1"/>
          <w:sz w:val="24"/>
          <w:szCs w:val="24"/>
        </w:rPr>
        <w:t>Feasibility was assessed by retention and adherence (duration of C-Mitt wear, activities and use of the website). Use of website was recorded automatically when participants were logged-on, which included the self-assessment, goal setting, selection of tasks and practicing of compu</w:t>
      </w:r>
      <w:r w:rsidR="00E97F02" w:rsidRPr="00E512CD">
        <w:rPr>
          <w:rFonts w:asciiTheme="majorHAnsi" w:hAnsiTheme="majorHAnsi"/>
          <w:iCs/>
          <w:color w:val="000000" w:themeColor="text1"/>
          <w:sz w:val="24"/>
          <w:szCs w:val="24"/>
        </w:rPr>
        <w:t xml:space="preserve">ter-based exercises and games. Daily </w:t>
      </w:r>
      <w:r w:rsidR="00261A66" w:rsidRPr="00E512CD">
        <w:rPr>
          <w:rFonts w:asciiTheme="majorHAnsi" w:hAnsiTheme="majorHAnsi"/>
          <w:iCs/>
          <w:color w:val="000000" w:themeColor="text1"/>
          <w:sz w:val="24"/>
          <w:szCs w:val="24"/>
        </w:rPr>
        <w:t xml:space="preserve">targets, </w:t>
      </w:r>
      <w:r w:rsidR="00E97F02" w:rsidRPr="00E512CD">
        <w:rPr>
          <w:rFonts w:asciiTheme="majorHAnsi" w:hAnsiTheme="majorHAnsi"/>
          <w:iCs/>
          <w:color w:val="000000" w:themeColor="text1"/>
          <w:sz w:val="24"/>
          <w:szCs w:val="24"/>
        </w:rPr>
        <w:t>self-reported a</w:t>
      </w:r>
      <w:r w:rsidR="00261A66" w:rsidRPr="00E512CD">
        <w:rPr>
          <w:rFonts w:asciiTheme="majorHAnsi" w:hAnsiTheme="majorHAnsi"/>
          <w:iCs/>
          <w:color w:val="000000" w:themeColor="text1"/>
          <w:sz w:val="24"/>
          <w:szCs w:val="24"/>
        </w:rPr>
        <w:t>ctivity and achievements,</w:t>
      </w:r>
      <w:r w:rsidRPr="00E512CD">
        <w:rPr>
          <w:rFonts w:asciiTheme="majorHAnsi" w:hAnsiTheme="majorHAnsi"/>
          <w:iCs/>
          <w:color w:val="000000" w:themeColor="text1"/>
          <w:sz w:val="24"/>
          <w:szCs w:val="24"/>
        </w:rPr>
        <w:t xml:space="preserve"> </w:t>
      </w:r>
      <w:r w:rsidR="00E97F02" w:rsidRPr="00E512CD">
        <w:rPr>
          <w:rFonts w:asciiTheme="majorHAnsi" w:hAnsiTheme="majorHAnsi"/>
          <w:iCs/>
          <w:color w:val="000000" w:themeColor="text1"/>
          <w:sz w:val="24"/>
          <w:szCs w:val="24"/>
        </w:rPr>
        <w:t xml:space="preserve">and time spent on the website </w:t>
      </w:r>
      <w:r w:rsidRPr="00E512CD">
        <w:rPr>
          <w:rFonts w:asciiTheme="majorHAnsi" w:hAnsiTheme="majorHAnsi"/>
          <w:iCs/>
          <w:color w:val="000000" w:themeColor="text1"/>
          <w:sz w:val="24"/>
          <w:szCs w:val="24"/>
        </w:rPr>
        <w:t xml:space="preserve">was automatically recorded on the website each day. </w:t>
      </w:r>
    </w:p>
    <w:p w14:paraId="0A13F83D" w14:textId="66DE6788" w:rsidR="002E1F70" w:rsidRPr="00E512CD" w:rsidRDefault="003F1165">
      <w:pPr>
        <w:spacing w:after="240" w:line="480" w:lineRule="auto"/>
        <w:ind w:left="360"/>
        <w:rPr>
          <w:rFonts w:asciiTheme="majorHAnsi" w:hAnsiTheme="majorHAnsi"/>
          <w:iCs/>
          <w:color w:val="000000" w:themeColor="text1"/>
          <w:sz w:val="24"/>
          <w:szCs w:val="24"/>
          <w:lang w:val="en-GB"/>
        </w:rPr>
      </w:pPr>
      <w:r w:rsidRPr="00E512CD">
        <w:rPr>
          <w:rFonts w:asciiTheme="majorHAnsi" w:hAnsiTheme="majorHAnsi"/>
          <w:iCs/>
          <w:color w:val="000000" w:themeColor="text1"/>
          <w:sz w:val="24"/>
          <w:szCs w:val="24"/>
        </w:rPr>
        <w:t>Main outcome measures were: The Wolf Motor Function Test (WFMT)</w:t>
      </w:r>
      <w:r w:rsidR="006A1DE4" w:rsidRPr="00E512CD">
        <w:rPr>
          <w:rFonts w:asciiTheme="majorHAnsi" w:hAnsiTheme="majorHAnsi"/>
          <w:iCs/>
          <w:color w:val="000000" w:themeColor="text1"/>
          <w:sz w:val="24"/>
          <w:szCs w:val="24"/>
          <w:vertAlign w:val="superscript"/>
        </w:rPr>
        <w:t>20</w:t>
      </w:r>
      <w:r w:rsidRPr="00E512CD">
        <w:rPr>
          <w:rFonts w:asciiTheme="majorHAnsi" w:hAnsiTheme="majorHAnsi"/>
          <w:iCs/>
          <w:color w:val="000000" w:themeColor="text1"/>
          <w:sz w:val="24"/>
          <w:szCs w:val="24"/>
        </w:rPr>
        <w:t xml:space="preserve"> and the Motor Activity Log (MAL)</w:t>
      </w:r>
      <w:r w:rsidRPr="00E512CD">
        <w:rPr>
          <w:rFonts w:asciiTheme="majorHAnsi" w:hAnsiTheme="majorHAnsi"/>
          <w:iCs/>
          <w:color w:val="000000" w:themeColor="text1"/>
          <w:sz w:val="24"/>
          <w:szCs w:val="24"/>
          <w:vertAlign w:val="superscript"/>
        </w:rPr>
        <w:t>2</w:t>
      </w:r>
      <w:r w:rsidR="006A1DE4" w:rsidRPr="00E512CD">
        <w:rPr>
          <w:rFonts w:asciiTheme="majorHAnsi" w:hAnsiTheme="majorHAnsi"/>
          <w:iCs/>
          <w:color w:val="000000" w:themeColor="text1"/>
          <w:sz w:val="24"/>
          <w:szCs w:val="24"/>
          <w:vertAlign w:val="superscript"/>
        </w:rPr>
        <w:t>1</w:t>
      </w:r>
      <w:r w:rsidRPr="00E512CD">
        <w:rPr>
          <w:rFonts w:asciiTheme="majorHAnsi" w:hAnsiTheme="majorHAnsi"/>
          <w:iCs/>
          <w:color w:val="000000" w:themeColor="text1"/>
          <w:sz w:val="24"/>
          <w:szCs w:val="24"/>
        </w:rPr>
        <w:t xml:space="preserve"> (a self-assessment tool that measures about amount and quality of use of the affected upper limb) </w:t>
      </w:r>
      <w:r w:rsidRPr="00E512CD">
        <w:rPr>
          <w:rFonts w:asciiTheme="majorHAnsi" w:hAnsiTheme="majorHAnsi"/>
          <w:iCs/>
          <w:color w:val="000000" w:themeColor="text1"/>
          <w:sz w:val="24"/>
          <w:szCs w:val="24"/>
          <w:lang w:val="en-GB"/>
        </w:rPr>
        <w:t xml:space="preserve">at baseline, 1 week after completing the intervention, and 6-months post-randomization. Interviews were conducted with participants in the LifeCIT group at the end of the treatment period to gain an understanding of their views and experience of using the website and wearing the C-Mitt. To overcome the problem of un-blinding of assessors and inter-rater variability, all assessments (except the MAL) were video-recorded and re-scored independently at a later date by a trained assessor who was </w:t>
      </w:r>
      <w:r w:rsidRPr="00E512CD">
        <w:rPr>
          <w:rFonts w:asciiTheme="majorHAnsi" w:hAnsiTheme="majorHAnsi"/>
          <w:iCs/>
          <w:color w:val="000000" w:themeColor="text1"/>
          <w:sz w:val="24"/>
          <w:szCs w:val="24"/>
          <w:lang w:val="en-GB"/>
        </w:rPr>
        <w:lastRenderedPageBreak/>
        <w:t>unaware either of the participant’s group allocation or whether the assessment was baseline, end of treatment or follow-up.</w:t>
      </w:r>
      <w:r w:rsidRPr="00E512CD">
        <w:rPr>
          <w:rFonts w:asciiTheme="majorHAnsi" w:hAnsiTheme="majorHAnsi"/>
          <w:iCs/>
          <w:color w:val="000000" w:themeColor="text1"/>
          <w:sz w:val="24"/>
          <w:szCs w:val="24"/>
          <w:vertAlign w:val="superscript"/>
          <w:lang w:val="en-GB"/>
        </w:rPr>
        <w:t>2</w:t>
      </w:r>
      <w:r w:rsidR="006A1DE4" w:rsidRPr="00E512CD">
        <w:rPr>
          <w:rFonts w:asciiTheme="majorHAnsi" w:hAnsiTheme="majorHAnsi"/>
          <w:iCs/>
          <w:color w:val="000000" w:themeColor="text1"/>
          <w:sz w:val="24"/>
          <w:szCs w:val="24"/>
          <w:vertAlign w:val="superscript"/>
          <w:lang w:val="en-GB"/>
        </w:rPr>
        <w:t>2</w:t>
      </w:r>
      <w:r w:rsidRPr="00E512CD">
        <w:rPr>
          <w:rFonts w:asciiTheme="majorHAnsi" w:hAnsiTheme="majorHAnsi"/>
          <w:iCs/>
          <w:color w:val="000000" w:themeColor="text1"/>
          <w:sz w:val="24"/>
          <w:szCs w:val="24"/>
          <w:lang w:val="en-GB"/>
        </w:rPr>
        <w:t xml:space="preserve"> </w:t>
      </w:r>
      <w:r w:rsidRPr="00E512CD">
        <w:rPr>
          <w:rFonts w:asciiTheme="majorHAnsi" w:hAnsiTheme="majorHAnsi"/>
          <w:iCs/>
          <w:color w:val="000000" w:themeColor="text1"/>
          <w:sz w:val="24"/>
          <w:szCs w:val="24"/>
        </w:rPr>
        <w:t xml:space="preserve">Safety was measured by documentation of adverse and serious adverse events and reported following standard procedures for each rehabilitation center. </w:t>
      </w:r>
      <w:r w:rsidRPr="00E512CD">
        <w:rPr>
          <w:rFonts w:asciiTheme="majorHAnsi" w:hAnsiTheme="majorHAnsi"/>
          <w:iCs/>
          <w:color w:val="000000" w:themeColor="text1"/>
          <w:sz w:val="24"/>
          <w:szCs w:val="24"/>
          <w:lang w:val="en-GB"/>
        </w:rPr>
        <w:t>The economic impact (use of health and social care) of the LifeCIT intervention compared with usual care was examined using the Client Service Receipt Inventory (CSRI).</w:t>
      </w:r>
      <w:r w:rsidRPr="00E512CD">
        <w:rPr>
          <w:rFonts w:asciiTheme="majorHAnsi" w:hAnsiTheme="majorHAnsi"/>
          <w:iCs/>
          <w:color w:val="000000" w:themeColor="text1"/>
          <w:sz w:val="24"/>
          <w:szCs w:val="24"/>
          <w:vertAlign w:val="superscript"/>
          <w:lang w:val="en-GB"/>
        </w:rPr>
        <w:t>2</w:t>
      </w:r>
      <w:r w:rsidR="006A1DE4" w:rsidRPr="00E512CD">
        <w:rPr>
          <w:rFonts w:asciiTheme="majorHAnsi" w:hAnsiTheme="majorHAnsi"/>
          <w:iCs/>
          <w:color w:val="000000" w:themeColor="text1"/>
          <w:sz w:val="24"/>
          <w:szCs w:val="24"/>
          <w:vertAlign w:val="superscript"/>
          <w:lang w:val="en-GB"/>
        </w:rPr>
        <w:t>3</w:t>
      </w:r>
      <w:r w:rsidRPr="00E512CD">
        <w:rPr>
          <w:rFonts w:asciiTheme="majorHAnsi" w:hAnsiTheme="majorHAnsi"/>
          <w:iCs/>
          <w:color w:val="000000" w:themeColor="text1"/>
          <w:sz w:val="24"/>
          <w:szCs w:val="24"/>
          <w:lang w:val="en-GB"/>
        </w:rPr>
        <w:t xml:space="preserve"> </w:t>
      </w:r>
    </w:p>
    <w:p w14:paraId="305A2CE1" w14:textId="3FC888C1" w:rsidR="005622EF" w:rsidRPr="00E512CD" w:rsidRDefault="003F1165" w:rsidP="00C227DB">
      <w:pPr>
        <w:spacing w:after="240" w:line="480" w:lineRule="auto"/>
        <w:ind w:left="360"/>
        <w:rPr>
          <w:rFonts w:asciiTheme="majorHAnsi" w:hAnsiTheme="majorHAnsi"/>
          <w:i/>
          <w:color w:val="000000" w:themeColor="text1"/>
          <w:sz w:val="24"/>
          <w:szCs w:val="24"/>
          <w:lang w:val="en-GB"/>
        </w:rPr>
      </w:pPr>
      <w:r w:rsidRPr="00E512CD">
        <w:rPr>
          <w:rFonts w:asciiTheme="majorHAnsi" w:hAnsiTheme="majorHAnsi"/>
          <w:i/>
          <w:iCs/>
          <w:color w:val="000000" w:themeColor="text1"/>
          <w:sz w:val="24"/>
          <w:szCs w:val="24"/>
        </w:rPr>
        <w:t>Brief summary of the findings</w:t>
      </w:r>
    </w:p>
    <w:p w14:paraId="15CC8AA5" w14:textId="350D4B21" w:rsidR="00CB65AA" w:rsidRPr="00E512CD" w:rsidRDefault="003F1165" w:rsidP="00F73A2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Eighty-three people with stroke were sequentially screened, three declined because they were unable to use a computer. Nineteen, who satisfied the selection criteria and gave informed consent</w:t>
      </w:r>
      <w:r w:rsidR="00F666C7" w:rsidRPr="00E512CD">
        <w:rPr>
          <w:rFonts w:asciiTheme="majorHAnsi" w:hAnsiTheme="majorHAnsi"/>
          <w:color w:val="000000" w:themeColor="text1"/>
          <w:sz w:val="24"/>
          <w:szCs w:val="24"/>
          <w:lang w:val="en-GB"/>
        </w:rPr>
        <w:t>,</w:t>
      </w:r>
      <w:r w:rsidRPr="00E512CD">
        <w:rPr>
          <w:rFonts w:asciiTheme="majorHAnsi" w:hAnsiTheme="majorHAnsi"/>
          <w:color w:val="000000" w:themeColor="text1"/>
          <w:sz w:val="24"/>
          <w:szCs w:val="24"/>
          <w:lang w:val="en-GB"/>
        </w:rPr>
        <w:t xml:space="preserve"> were recruited: 11 were randomly allocated to the intervention group and 8 to the control group. </w:t>
      </w:r>
      <w:r w:rsidRPr="00E512CD">
        <w:rPr>
          <w:rFonts w:asciiTheme="majorHAnsi" w:hAnsiTheme="majorHAnsi"/>
          <w:iCs/>
          <w:color w:val="000000" w:themeColor="text1"/>
          <w:sz w:val="24"/>
          <w:szCs w:val="24"/>
          <w:lang w:val="en-GB"/>
        </w:rPr>
        <w:t xml:space="preserve">There were no </w:t>
      </w:r>
      <w:r w:rsidRPr="00E512CD">
        <w:rPr>
          <w:rFonts w:asciiTheme="majorHAnsi" w:hAnsiTheme="majorHAnsi"/>
          <w:color w:val="000000" w:themeColor="text1"/>
          <w:sz w:val="24"/>
          <w:szCs w:val="24"/>
          <w:lang w:val="en-GB"/>
        </w:rPr>
        <w:t xml:space="preserve">adverse or serious adverse events related to the intervention. The intervention was well accepted and improvement in upper limb function was observed. In addition, positive effects on self-efficacy, confidence to use the affected arm and body image were reported in post-intervention, independently conducted interviews. Mean C-Mitt wear time was 4.8 (SD 2.6) hours /day and activities were performed for an average of 3.2 (SD 1.7) hours each day. Participants reported wearing the C-Mitt and using the website on 13.6 (SD 2.1) days out of a possible 15 days.  </w:t>
      </w:r>
      <w:r w:rsidRPr="00E512CD">
        <w:rPr>
          <w:rFonts w:asciiTheme="majorHAnsi" w:hAnsiTheme="majorHAnsi"/>
          <w:color w:val="000000" w:themeColor="text1"/>
          <w:sz w:val="24"/>
          <w:szCs w:val="24"/>
        </w:rPr>
        <w:t>Minimum Clinically Important between group differences (MCID) were found in all measures at the end the treatment period and in the WMFT (FAS) at 6-months. MAL: 10% (i.e. 0.5),</w:t>
      </w:r>
      <w:r w:rsidRPr="00E512CD">
        <w:rPr>
          <w:rFonts w:asciiTheme="majorHAnsi" w:hAnsiTheme="majorHAnsi"/>
          <w:color w:val="000000" w:themeColor="text1"/>
          <w:sz w:val="24"/>
          <w:szCs w:val="24"/>
          <w:vertAlign w:val="superscript"/>
        </w:rPr>
        <w:t>2</w:t>
      </w:r>
      <w:r w:rsidR="006A1DE4" w:rsidRPr="00E512CD">
        <w:rPr>
          <w:rFonts w:asciiTheme="majorHAnsi" w:hAnsiTheme="majorHAnsi"/>
          <w:color w:val="000000" w:themeColor="text1"/>
          <w:sz w:val="24"/>
          <w:szCs w:val="24"/>
          <w:vertAlign w:val="superscript"/>
        </w:rPr>
        <w:t>4</w:t>
      </w:r>
      <w:r w:rsidRPr="00E512CD">
        <w:rPr>
          <w:rFonts w:asciiTheme="majorHAnsi" w:hAnsiTheme="majorHAnsi"/>
          <w:color w:val="000000" w:themeColor="text1"/>
          <w:sz w:val="24"/>
          <w:szCs w:val="24"/>
          <w:lang w:val="en-GB"/>
        </w:rPr>
        <w:t xml:space="preserve"> </w:t>
      </w:r>
      <w:r w:rsidRPr="00E512CD">
        <w:rPr>
          <w:rFonts w:asciiTheme="majorHAnsi" w:hAnsiTheme="majorHAnsi"/>
          <w:color w:val="000000" w:themeColor="text1"/>
          <w:sz w:val="24"/>
          <w:szCs w:val="24"/>
        </w:rPr>
        <w:t>WMFT (FAS) 0.2-0.4.</w:t>
      </w:r>
      <w:r w:rsidRPr="00E512CD">
        <w:rPr>
          <w:rFonts w:asciiTheme="majorHAnsi" w:hAnsiTheme="majorHAnsi"/>
          <w:color w:val="000000" w:themeColor="text1"/>
          <w:sz w:val="24"/>
          <w:szCs w:val="24"/>
          <w:vertAlign w:val="superscript"/>
        </w:rPr>
        <w:t>2</w:t>
      </w:r>
      <w:r w:rsidR="006A1DE4" w:rsidRPr="00E512CD">
        <w:rPr>
          <w:rFonts w:asciiTheme="majorHAnsi" w:hAnsiTheme="majorHAnsi"/>
          <w:color w:val="000000" w:themeColor="text1"/>
          <w:sz w:val="24"/>
          <w:szCs w:val="24"/>
          <w:vertAlign w:val="superscript"/>
        </w:rPr>
        <w:t>5</w:t>
      </w:r>
      <w:r w:rsidRPr="00E512CD">
        <w:rPr>
          <w:rFonts w:asciiTheme="majorHAnsi" w:hAnsiTheme="majorHAnsi"/>
          <w:color w:val="000000" w:themeColor="text1"/>
          <w:sz w:val="24"/>
          <w:szCs w:val="24"/>
        </w:rPr>
        <w:t xml:space="preserve"> It was beyond the scope of this feasibility study to provide statistical evidence for either effectiveness o</w:t>
      </w:r>
      <w:r w:rsidR="00261A66" w:rsidRPr="00E512CD">
        <w:rPr>
          <w:rFonts w:asciiTheme="majorHAnsi" w:hAnsiTheme="majorHAnsi"/>
          <w:color w:val="000000" w:themeColor="text1"/>
          <w:sz w:val="24"/>
          <w:szCs w:val="24"/>
        </w:rPr>
        <w:t>r</w:t>
      </w:r>
      <w:r w:rsidRPr="00E512CD">
        <w:rPr>
          <w:rFonts w:asciiTheme="majorHAnsi" w:hAnsiTheme="majorHAnsi"/>
          <w:color w:val="000000" w:themeColor="text1"/>
          <w:sz w:val="24"/>
          <w:szCs w:val="24"/>
        </w:rPr>
        <w:t xml:space="preserve"> cost-effectiveness.</w:t>
      </w:r>
    </w:p>
    <w:p w14:paraId="67CCCD90" w14:textId="382CB91F" w:rsidR="00F73A25" w:rsidRPr="00E512CD" w:rsidRDefault="003F1165">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lastRenderedPageBreak/>
        <w:t xml:space="preserve">The second technology, that we use to illustrate the potential for TH application is M-MARK (Mechanical Muscle Activity with Real-time Kinematics). M-MARK is under development. The M-MARK project aims to develop and test a garment with embedded sensors to support home-based upper limb stroke rehabilitation. </w:t>
      </w:r>
    </w:p>
    <w:p w14:paraId="4A060C26" w14:textId="72120A3B" w:rsidR="00F6088B"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 xml:space="preserve">M-MARK (Figure 2) is a low-cost wearable wireless device that patients can use independently at home while practicing standardized everyday activities, such as, reaching, grasping and manipulating objects and practicing exercises to regain upper limb function. M-MARK incorporates feedback, presented on a computer tablet, as visualizations, of movement and muscle activity (generated by data from the sensors), for example as an avatar. The </w:t>
      </w:r>
      <w:proofErr w:type="gramStart"/>
      <w:r w:rsidRPr="00E512CD">
        <w:rPr>
          <w:rFonts w:asciiTheme="majorHAnsi" w:hAnsiTheme="majorHAnsi"/>
          <w:color w:val="000000" w:themeColor="text1"/>
          <w:sz w:val="24"/>
          <w:szCs w:val="24"/>
        </w:rPr>
        <w:t>avatar  represents</w:t>
      </w:r>
      <w:proofErr w:type="gramEnd"/>
      <w:r w:rsidRPr="00E512CD">
        <w:rPr>
          <w:rFonts w:asciiTheme="majorHAnsi" w:hAnsiTheme="majorHAnsi"/>
          <w:color w:val="000000" w:themeColor="text1"/>
          <w:sz w:val="24"/>
          <w:szCs w:val="24"/>
        </w:rPr>
        <w:t xml:space="preserve"> both their affected and unaffected side, and illustrates compensatory movements such as excessive trunk movement when reaching forwards. It will also provide audio feedback during the performance of activities to confirm normal movement strategies and muscle activation times. The same device, but with different software and interfaces, aims to satisfy the need of therapists for a simple system to diagnose specific movement problems (e.g. reduced range of movement or abnormal muscle synergies), to inform clinical decision-making, monitor progress and thus increase efficiency and effectiveness of therapy. </w:t>
      </w:r>
    </w:p>
    <w:p w14:paraId="22875953" w14:textId="0D1BE496" w:rsidR="00E72712"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 xml:space="preserve">M-MARK comprises Inertial Measurement Units (IMU) and </w:t>
      </w:r>
      <w:proofErr w:type="spellStart"/>
      <w:r w:rsidRPr="00E512CD">
        <w:rPr>
          <w:rFonts w:asciiTheme="majorHAnsi" w:hAnsiTheme="majorHAnsi"/>
          <w:color w:val="000000" w:themeColor="text1"/>
          <w:sz w:val="24"/>
          <w:szCs w:val="24"/>
        </w:rPr>
        <w:t>mechanomyography</w:t>
      </w:r>
      <w:proofErr w:type="spellEnd"/>
      <w:r w:rsidRPr="00E512CD">
        <w:rPr>
          <w:rFonts w:asciiTheme="majorHAnsi" w:hAnsiTheme="majorHAnsi"/>
          <w:color w:val="000000" w:themeColor="text1"/>
          <w:sz w:val="24"/>
          <w:szCs w:val="24"/>
        </w:rPr>
        <w:t xml:space="preserve"> (MMG) sensors embedded in a stretchy garment with integral wiring and a central </w:t>
      </w:r>
      <w:r w:rsidR="00F666C7" w:rsidRPr="00E512CD">
        <w:rPr>
          <w:rFonts w:asciiTheme="majorHAnsi" w:hAnsiTheme="majorHAnsi"/>
          <w:color w:val="000000" w:themeColor="text1"/>
          <w:sz w:val="24"/>
          <w:szCs w:val="24"/>
        </w:rPr>
        <w:t xml:space="preserve">rechargeable </w:t>
      </w:r>
      <w:r w:rsidRPr="00E512CD">
        <w:rPr>
          <w:rFonts w:asciiTheme="majorHAnsi" w:hAnsiTheme="majorHAnsi"/>
          <w:color w:val="000000" w:themeColor="text1"/>
          <w:sz w:val="24"/>
          <w:szCs w:val="24"/>
        </w:rPr>
        <w:t xml:space="preserve">power supply. Data are transmitted wirelessly to a computer tablet. Commercially available inertial measurement units (IMU) can accurately record movement yet are rarely used </w:t>
      </w:r>
      <w:r w:rsidRPr="00E512CD">
        <w:rPr>
          <w:rFonts w:asciiTheme="majorHAnsi" w:hAnsiTheme="majorHAnsi"/>
          <w:color w:val="000000" w:themeColor="text1"/>
          <w:sz w:val="24"/>
          <w:szCs w:val="24"/>
        </w:rPr>
        <w:lastRenderedPageBreak/>
        <w:t>clinically. One reason may be that although they provide data on amount of arm use, they currently do not provide information about quality of movement. Electromyography (EMG) to record muscle activity has been available for many years but is rarely used by therapists. An alternative to EMG is MMG.</w:t>
      </w:r>
      <w:r w:rsidRPr="00E512CD">
        <w:rPr>
          <w:rFonts w:asciiTheme="majorHAnsi" w:hAnsiTheme="majorHAnsi"/>
          <w:color w:val="000000" w:themeColor="text1"/>
          <w:sz w:val="24"/>
          <w:szCs w:val="24"/>
          <w:vertAlign w:val="superscript"/>
        </w:rPr>
        <w:t>2</w:t>
      </w:r>
      <w:r w:rsidR="006A1DE4" w:rsidRPr="00E512CD">
        <w:rPr>
          <w:rFonts w:asciiTheme="majorHAnsi" w:hAnsiTheme="majorHAnsi"/>
          <w:color w:val="000000" w:themeColor="text1"/>
          <w:sz w:val="24"/>
          <w:szCs w:val="24"/>
          <w:vertAlign w:val="superscript"/>
        </w:rPr>
        <w:t>6</w:t>
      </w:r>
      <w:r w:rsidRPr="00E512CD">
        <w:rPr>
          <w:rFonts w:asciiTheme="majorHAnsi" w:hAnsiTheme="majorHAnsi"/>
          <w:color w:val="000000" w:themeColor="text1"/>
          <w:sz w:val="24"/>
          <w:szCs w:val="24"/>
        </w:rPr>
        <w:t xml:space="preserve"> MMG measures muscle activity using a sensor to detect vibration. MMG is easier to use than EMG because it does not require electrical skin contact or precise positioning and has the added advantage that the amplitude of the signal corresponds to muscle force rather than the electrical discharge at the neuromuscular junction. MMG does, however, demand advanced signal processing techniques to deal with artifacts. By integrating IMU and MMG data, measures of quality and quantity of movement will be generated. A laboratory-tested device that combines an IMU with an MMG sensor has been designed (patent filed), and built. Novel signal processing techniques</w:t>
      </w:r>
      <w:r w:rsidR="006A1DE4" w:rsidRPr="00E512CD">
        <w:rPr>
          <w:rFonts w:asciiTheme="majorHAnsi" w:hAnsiTheme="majorHAnsi"/>
          <w:color w:val="000000" w:themeColor="text1"/>
          <w:sz w:val="24"/>
          <w:szCs w:val="24"/>
          <w:vertAlign w:val="superscript"/>
        </w:rPr>
        <w:t>27</w:t>
      </w:r>
      <w:r w:rsidRPr="00E512CD">
        <w:rPr>
          <w:rFonts w:asciiTheme="majorHAnsi" w:hAnsiTheme="majorHAnsi"/>
          <w:color w:val="000000" w:themeColor="text1"/>
          <w:sz w:val="24"/>
          <w:szCs w:val="24"/>
          <w:vertAlign w:val="superscript"/>
        </w:rPr>
        <w:t>,2</w:t>
      </w:r>
      <w:r w:rsidR="006A1DE4" w:rsidRPr="00E512CD">
        <w:rPr>
          <w:rFonts w:asciiTheme="majorHAnsi" w:hAnsiTheme="majorHAnsi"/>
          <w:color w:val="000000" w:themeColor="text1"/>
          <w:sz w:val="24"/>
          <w:szCs w:val="24"/>
          <w:vertAlign w:val="superscript"/>
        </w:rPr>
        <w:t>8</w:t>
      </w:r>
      <w:r w:rsidRPr="00E512CD">
        <w:rPr>
          <w:rFonts w:asciiTheme="majorHAnsi" w:hAnsiTheme="majorHAnsi"/>
          <w:color w:val="000000" w:themeColor="text1"/>
          <w:sz w:val="24"/>
          <w:szCs w:val="24"/>
        </w:rPr>
        <w:t xml:space="preserve"> have isolated physiological acoustic signals that have been demonstrated to reduce problems of vibration artifacts and generate useful information on mechanical muscle activity. Together the sensors provide unique, synergistic data describing functional use of the arm, generating real-time qualitative and quantitative information on mechanical muscle activity and movement. Data and guidance on performance of activities (patients) and assessments (therapists) are presented on a computer tablet in appropriate forms. Current algorithms will be extended and new algorithms written to capture features of movement that w</w:t>
      </w:r>
      <w:r w:rsidR="00F666C7" w:rsidRPr="00E512CD">
        <w:rPr>
          <w:rFonts w:asciiTheme="majorHAnsi" w:hAnsiTheme="majorHAnsi"/>
          <w:color w:val="000000" w:themeColor="text1"/>
          <w:sz w:val="24"/>
          <w:szCs w:val="24"/>
        </w:rPr>
        <w:t>e expect to</w:t>
      </w:r>
      <w:r w:rsidRPr="00E512CD">
        <w:rPr>
          <w:rFonts w:asciiTheme="majorHAnsi" w:hAnsiTheme="majorHAnsi"/>
          <w:color w:val="000000" w:themeColor="text1"/>
          <w:sz w:val="24"/>
          <w:szCs w:val="24"/>
        </w:rPr>
        <w:t xml:space="preserve"> be useful to patients and therapists. The project will focus on ~10 functional tasks performed at different levels, for example reaching to grasp a mug on a table, from a low shelf or above the head, and from these tasks, generate data on, for example: deviation from expected direction, speed, smoothness and range of movement; movement synergies </w:t>
      </w:r>
      <w:r w:rsidRPr="00E512CD">
        <w:rPr>
          <w:rFonts w:asciiTheme="majorHAnsi" w:hAnsiTheme="majorHAnsi"/>
          <w:color w:val="000000" w:themeColor="text1"/>
          <w:sz w:val="24"/>
          <w:szCs w:val="24"/>
        </w:rPr>
        <w:lastRenderedPageBreak/>
        <w:t xml:space="preserve">such as shoulder abduction and trunk movement when reaching forward, and muscle activity such as: timing (expected onset times and inappropriate activation, indicating spasticity), strength and co-contraction. </w:t>
      </w:r>
    </w:p>
    <w:p w14:paraId="5FF5F44B" w14:textId="59FE18C0" w:rsidR="009973FF"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The design of M-MARK uses a similar stakeholder engagement process</w:t>
      </w:r>
      <w:r w:rsidR="00F666C7" w:rsidRPr="00E512CD">
        <w:rPr>
          <w:rFonts w:asciiTheme="majorHAnsi" w:hAnsiTheme="majorHAnsi"/>
          <w:color w:val="000000" w:themeColor="text1"/>
          <w:sz w:val="24"/>
          <w:szCs w:val="24"/>
        </w:rPr>
        <w:t xml:space="preserve"> to </w:t>
      </w:r>
      <w:proofErr w:type="spellStart"/>
      <w:r w:rsidR="00F666C7" w:rsidRPr="00E512CD">
        <w:rPr>
          <w:rFonts w:asciiTheme="majorHAnsi" w:hAnsiTheme="majorHAnsi"/>
          <w:color w:val="000000" w:themeColor="text1"/>
          <w:sz w:val="24"/>
          <w:szCs w:val="24"/>
        </w:rPr>
        <w:t>LifeCIT</w:t>
      </w:r>
      <w:proofErr w:type="spellEnd"/>
      <w:r w:rsidR="00F666C7" w:rsidRPr="00E512CD">
        <w:rPr>
          <w:rFonts w:asciiTheme="majorHAnsi" w:hAnsiTheme="majorHAnsi"/>
          <w:color w:val="000000" w:themeColor="text1"/>
          <w:sz w:val="24"/>
          <w:szCs w:val="24"/>
        </w:rPr>
        <w:t>,</w:t>
      </w:r>
      <w:r w:rsidRPr="00E512CD">
        <w:rPr>
          <w:rFonts w:asciiTheme="majorHAnsi" w:hAnsiTheme="majorHAnsi"/>
          <w:color w:val="000000" w:themeColor="text1"/>
          <w:sz w:val="24"/>
          <w:szCs w:val="24"/>
        </w:rPr>
        <w:t xml:space="preserve"> incorporating focus groups with therapists and interviews with patients and caregivers. A first prototype garment with embedded sensors, software to generate metrics and a Graphical User Interface (GUI) to present data in a meaningful and engaging way has now been built for patients and therapists to test in a pilot study.  The stakeholder views will be incorporated in the final system. </w:t>
      </w:r>
    </w:p>
    <w:p w14:paraId="21C04BE5" w14:textId="32A80569" w:rsidR="00401B22"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The system has undergone validity and reliability testing of the devices alone and the complete system. Regulatory and safety standards are being strictly followed and the M-MARK will be CE marked for commercialization and clinical use in Europe.  During the final six-months of the project a series of case studies will be conducted in the laboratory, to ensure that the system is working well technically, and that patients are able to use it correctly and effectively. Any necessary minor changes will then be made before conducting a feasibility study with ten patients in their own homes, and with their therapists.</w:t>
      </w:r>
    </w:p>
    <w:p w14:paraId="129C023E" w14:textId="4A5DDA20" w:rsidR="007A787D"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Although not included in the current project, the team is working with TH companies to design a simple web-based system to enable therapists to monitor patients remotely, access data generated by M-MARK and to link patients not only with their therapists but also with their family members, friends and even other people with stroke.</w:t>
      </w:r>
    </w:p>
    <w:p w14:paraId="2AE2D7AF" w14:textId="3CE58515" w:rsidR="00EC5CD2" w:rsidRPr="00E512CD" w:rsidRDefault="003F1165" w:rsidP="006A6B94">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lastRenderedPageBreak/>
        <w:t xml:space="preserve">A business plan is being prepared, which incorporates potential health economic benefits, market analysis and routes to market. As well as publication of the findings, information about the M-MARK and the results of the study will be disseminated among potential users, service providers and policy-makers, prior to conducting a clinical trial.  </w:t>
      </w:r>
    </w:p>
    <w:p w14:paraId="4672E5C9" w14:textId="77777777" w:rsidR="00B94182" w:rsidRPr="00E512CD" w:rsidRDefault="003F1165" w:rsidP="00B94182">
      <w:pPr>
        <w:spacing w:after="240" w:line="480" w:lineRule="auto"/>
        <w:ind w:left="360"/>
        <w:rPr>
          <w:rFonts w:asciiTheme="majorHAnsi" w:hAnsiTheme="majorHAnsi"/>
          <w:b/>
          <w:bCs/>
          <w:color w:val="000000" w:themeColor="text1"/>
          <w:sz w:val="24"/>
          <w:szCs w:val="24"/>
        </w:rPr>
      </w:pPr>
      <w:r w:rsidRPr="00E512CD">
        <w:rPr>
          <w:rFonts w:asciiTheme="majorHAnsi" w:hAnsiTheme="majorHAnsi"/>
          <w:b/>
          <w:bCs/>
          <w:color w:val="000000" w:themeColor="text1"/>
          <w:sz w:val="24"/>
          <w:szCs w:val="24"/>
        </w:rPr>
        <w:t>Discussion and Conclusion</w:t>
      </w:r>
    </w:p>
    <w:p w14:paraId="2F2C2ADA" w14:textId="3EA37846" w:rsidR="00E5058E" w:rsidRPr="00E512CD" w:rsidRDefault="003F116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We have provided an overview and given two examples of technologies that can exploit the benefits of TH to augment conventional therapy. There are three drivers for TH in stroke rehabilitation. The first is enabling patients to experience greater intensity of therapy, the second to provide intensity without additional therapist time and therefore</w:t>
      </w:r>
      <w:r w:rsidRPr="00E512CD">
        <w:rPr>
          <w:rFonts w:asciiTheme="majorHAnsi" w:hAnsiTheme="majorHAnsi"/>
          <w:i/>
          <w:iCs/>
          <w:color w:val="000000" w:themeColor="text1"/>
          <w:sz w:val="24"/>
          <w:szCs w:val="24"/>
          <w:lang w:val="en-GB"/>
        </w:rPr>
        <w:t xml:space="preserve"> </w:t>
      </w:r>
      <w:r w:rsidRPr="00E512CD">
        <w:rPr>
          <w:rFonts w:asciiTheme="majorHAnsi" w:hAnsiTheme="majorHAnsi"/>
          <w:color w:val="000000" w:themeColor="text1"/>
          <w:sz w:val="24"/>
          <w:szCs w:val="24"/>
          <w:lang w:val="en-GB"/>
        </w:rPr>
        <w:t>with minimal additional costs and the third is to make rehabilitation more accessible to patients. Current and recent developments in wearable sensors, signal processing and Information Technology (IT) have created an environment that is ripe for application to stroke rehabilitation. We discuss these three drivers in the context of the technologies we have described and the current evidence.</w:t>
      </w:r>
    </w:p>
    <w:p w14:paraId="1413E1AC" w14:textId="6AAB3E79" w:rsidR="00525575" w:rsidRPr="00E512CD" w:rsidRDefault="003F116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Comparing LifeCIT with a recent study of Home-based CIT (HOMECIMT) in which TH was not provided,</w:t>
      </w:r>
      <w:r w:rsidRPr="00E512CD">
        <w:rPr>
          <w:rFonts w:asciiTheme="majorHAnsi" w:hAnsiTheme="majorHAnsi"/>
          <w:color w:val="000000" w:themeColor="text1"/>
          <w:sz w:val="24"/>
          <w:szCs w:val="24"/>
          <w:vertAlign w:val="superscript"/>
          <w:lang w:val="en-GB"/>
        </w:rPr>
        <w:t>1</w:t>
      </w:r>
      <w:r w:rsidR="006A1DE4" w:rsidRPr="00E512CD">
        <w:rPr>
          <w:rFonts w:asciiTheme="majorHAnsi" w:hAnsiTheme="majorHAnsi"/>
          <w:color w:val="000000" w:themeColor="text1"/>
          <w:sz w:val="24"/>
          <w:szCs w:val="24"/>
          <w:vertAlign w:val="superscript"/>
          <w:lang w:val="en-GB"/>
        </w:rPr>
        <w:t>6</w:t>
      </w:r>
      <w:r w:rsidRPr="00E512CD">
        <w:rPr>
          <w:rFonts w:asciiTheme="majorHAnsi" w:hAnsiTheme="majorHAnsi"/>
          <w:color w:val="000000" w:themeColor="text1"/>
          <w:sz w:val="24"/>
          <w:szCs w:val="24"/>
          <w:vertAlign w:val="superscript"/>
          <w:lang w:val="en-GB"/>
        </w:rPr>
        <w:t xml:space="preserve"> </w:t>
      </w:r>
      <w:r w:rsidRPr="00E512CD">
        <w:rPr>
          <w:rFonts w:asciiTheme="majorHAnsi" w:hAnsiTheme="majorHAnsi"/>
          <w:color w:val="000000" w:themeColor="text1"/>
          <w:sz w:val="24"/>
          <w:szCs w:val="24"/>
          <w:lang w:val="en-GB"/>
        </w:rPr>
        <w:t>highlighted differences in adherence.  Participants using LifeCIT wore the C-Mitt for an average of 4.8 hours / day, whereas in the HOMECIMT study,</w:t>
      </w:r>
      <w:r w:rsidRPr="00E512CD">
        <w:rPr>
          <w:rFonts w:asciiTheme="majorHAnsi" w:hAnsiTheme="majorHAnsi"/>
          <w:color w:val="000000" w:themeColor="text1"/>
          <w:sz w:val="24"/>
          <w:szCs w:val="24"/>
          <w:vertAlign w:val="superscript"/>
          <w:lang w:val="en-GB"/>
        </w:rPr>
        <w:t xml:space="preserve"> </w:t>
      </w:r>
      <w:r w:rsidRPr="00E512CD">
        <w:rPr>
          <w:rFonts w:asciiTheme="majorHAnsi" w:hAnsiTheme="majorHAnsi"/>
          <w:color w:val="000000" w:themeColor="text1"/>
          <w:sz w:val="24"/>
          <w:szCs w:val="24"/>
          <w:lang w:val="en-GB"/>
        </w:rPr>
        <w:t xml:space="preserve">time wearing the glove (the equivalent of the C-Mitt), which 65% of participants recorded in their diaries, reported a total of between 20-80 hours over a four-week period. Assuming use on 5 days/week, this equates with between 1 and 4 hours /day).  LifeCIT participants spent an average of 3.2 hours/day practicing activities whereas HOMECIMT recorded 27 hours over the four-week </w:t>
      </w:r>
      <w:r w:rsidRPr="00E512CD">
        <w:rPr>
          <w:rFonts w:asciiTheme="majorHAnsi" w:hAnsiTheme="majorHAnsi"/>
          <w:color w:val="000000" w:themeColor="text1"/>
          <w:sz w:val="24"/>
          <w:szCs w:val="24"/>
          <w:lang w:val="en-GB"/>
        </w:rPr>
        <w:lastRenderedPageBreak/>
        <w:t xml:space="preserve">period. Again, assuming use on 5 days/ week, this equates with 1.4 hours/day. These differences in intensity cannot be unequivocally attributed to the web-based support component, but nevertheless LifeCIT participants exercised and wore the constraint for longer. </w:t>
      </w:r>
    </w:p>
    <w:p w14:paraId="58ECE008" w14:textId="0F6BE644" w:rsidR="00F510C4" w:rsidRPr="00E512CD" w:rsidRDefault="003F116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To determine the cost-benefit of using TH and technologies requires </w:t>
      </w:r>
      <w:r w:rsidR="000B1ADA" w:rsidRPr="00E512CD">
        <w:rPr>
          <w:rFonts w:asciiTheme="majorHAnsi" w:hAnsiTheme="majorHAnsi"/>
          <w:color w:val="000000" w:themeColor="text1"/>
          <w:sz w:val="24"/>
          <w:szCs w:val="24"/>
          <w:lang w:val="en-GB"/>
        </w:rPr>
        <w:t>evidence generated from adequately-powered clinical trials</w:t>
      </w:r>
      <w:r w:rsidRPr="00E512CD">
        <w:rPr>
          <w:rFonts w:asciiTheme="majorHAnsi" w:hAnsiTheme="majorHAnsi"/>
          <w:color w:val="000000" w:themeColor="text1"/>
          <w:sz w:val="24"/>
          <w:szCs w:val="24"/>
          <w:lang w:val="en-GB"/>
        </w:rPr>
        <w:t>. The studies described</w:t>
      </w:r>
      <w:r w:rsidR="000B1ADA" w:rsidRPr="00E512CD">
        <w:rPr>
          <w:rFonts w:asciiTheme="majorHAnsi" w:hAnsiTheme="majorHAnsi"/>
          <w:color w:val="000000" w:themeColor="text1"/>
          <w:sz w:val="24"/>
          <w:szCs w:val="24"/>
          <w:lang w:val="en-GB"/>
        </w:rPr>
        <w:t xml:space="preserve"> have demonstrated feasibility and potential</w:t>
      </w:r>
      <w:r w:rsidR="006A1DE4" w:rsidRPr="00E512CD">
        <w:rPr>
          <w:rFonts w:asciiTheme="majorHAnsi" w:hAnsiTheme="majorHAnsi"/>
          <w:color w:val="000000" w:themeColor="text1"/>
          <w:sz w:val="24"/>
          <w:szCs w:val="24"/>
          <w:lang w:val="en-GB"/>
        </w:rPr>
        <w:t>; they</w:t>
      </w:r>
      <w:r w:rsidR="000B1ADA" w:rsidRPr="00E512CD">
        <w:rPr>
          <w:rFonts w:asciiTheme="majorHAnsi" w:hAnsiTheme="majorHAnsi"/>
          <w:color w:val="000000" w:themeColor="text1"/>
          <w:sz w:val="24"/>
          <w:szCs w:val="24"/>
          <w:lang w:val="en-GB"/>
        </w:rPr>
        <w:t xml:space="preserve"> have applied the </w:t>
      </w:r>
      <w:r w:rsidRPr="00E512CD">
        <w:rPr>
          <w:rFonts w:asciiTheme="majorHAnsi" w:hAnsiTheme="majorHAnsi"/>
          <w:color w:val="000000" w:themeColor="text1"/>
          <w:sz w:val="24"/>
          <w:szCs w:val="24"/>
          <w:lang w:val="en-GB"/>
        </w:rPr>
        <w:t>basic principle</w:t>
      </w:r>
      <w:r w:rsidR="000B1ADA" w:rsidRPr="00E512CD">
        <w:rPr>
          <w:rFonts w:asciiTheme="majorHAnsi" w:hAnsiTheme="majorHAnsi"/>
          <w:color w:val="000000" w:themeColor="text1"/>
          <w:sz w:val="24"/>
          <w:szCs w:val="24"/>
          <w:lang w:val="en-GB"/>
        </w:rPr>
        <w:t xml:space="preserve"> and existing ev</w:t>
      </w:r>
      <w:r w:rsidR="006A1DE4" w:rsidRPr="00E512CD">
        <w:rPr>
          <w:rFonts w:asciiTheme="majorHAnsi" w:hAnsiTheme="majorHAnsi"/>
          <w:color w:val="000000" w:themeColor="text1"/>
          <w:sz w:val="24"/>
          <w:szCs w:val="24"/>
          <w:lang w:val="en-GB"/>
        </w:rPr>
        <w:t>i</w:t>
      </w:r>
      <w:r w:rsidR="000B1ADA" w:rsidRPr="00E512CD">
        <w:rPr>
          <w:rFonts w:asciiTheme="majorHAnsi" w:hAnsiTheme="majorHAnsi"/>
          <w:color w:val="000000" w:themeColor="text1"/>
          <w:sz w:val="24"/>
          <w:szCs w:val="24"/>
          <w:lang w:val="en-GB"/>
        </w:rPr>
        <w:t>dence</w:t>
      </w:r>
      <w:r w:rsidR="006A1DE4" w:rsidRPr="00E512CD">
        <w:rPr>
          <w:rFonts w:asciiTheme="majorHAnsi" w:hAnsiTheme="majorHAnsi"/>
          <w:color w:val="000000" w:themeColor="text1"/>
          <w:sz w:val="24"/>
          <w:szCs w:val="24"/>
          <w:vertAlign w:val="superscript"/>
          <w:lang w:val="en-GB"/>
        </w:rPr>
        <w:t>3</w:t>
      </w:r>
      <w:r w:rsidR="000B1ADA" w:rsidRPr="00E512CD">
        <w:rPr>
          <w:rFonts w:asciiTheme="majorHAnsi" w:hAnsiTheme="majorHAnsi"/>
          <w:color w:val="000000" w:themeColor="text1"/>
          <w:sz w:val="24"/>
          <w:szCs w:val="24"/>
          <w:lang w:val="en-GB"/>
        </w:rPr>
        <w:t>, that</w:t>
      </w:r>
      <w:r w:rsidRPr="00E512CD">
        <w:rPr>
          <w:rFonts w:asciiTheme="majorHAnsi" w:hAnsiTheme="majorHAnsi"/>
          <w:color w:val="000000" w:themeColor="text1"/>
          <w:sz w:val="24"/>
          <w:szCs w:val="24"/>
          <w:lang w:val="en-GB"/>
        </w:rPr>
        <w:t xml:space="preserve"> more intensive therapy, provided in people’s own homes without additional therapist time is likely to accrue cost benefits provided outcomes are the same or better.</w:t>
      </w:r>
    </w:p>
    <w:p w14:paraId="6C2EF01C" w14:textId="3374AC42" w:rsidR="006461C6" w:rsidRPr="00E512CD" w:rsidRDefault="003F1165">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The results of the LifeCIT study cannot be generalised to everyone with reduced upper limb function following stroke because all those who took part had sufficient function to be able to use the C-Mitt.  The web pages have therefore been adapted to enable people with stroke who have less upper limb function, for whom using a C-Mitt would not be appropriate or safe. Using the same screening questions, taken from the MAL, lower functioning patients are guided towards less demanding exercises, tasks and goals with no reference to wearing the C-Mitt. Using a computer did not seem to be problem for these patients, but the webpages needed to be easy to use. </w:t>
      </w:r>
    </w:p>
    <w:p w14:paraId="03C1ADC2" w14:textId="4ABCB413" w:rsidR="00E5058E" w:rsidRPr="00E512CD" w:rsidRDefault="003F1165" w:rsidP="00E5058E">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M-MARK was conceived to satisfy the demand by therapists for a system to support patients undergoing stroke rehabilitation in their own homes, specifically the need for feedback on quality movement and amount of practice, as well as therapists’ need for objective measures of performance. M-MARK has yet to be evaluated with patients </w:t>
      </w:r>
      <w:r w:rsidRPr="00E512CD">
        <w:rPr>
          <w:rFonts w:asciiTheme="majorHAnsi" w:hAnsiTheme="majorHAnsi"/>
          <w:color w:val="000000" w:themeColor="text1"/>
          <w:sz w:val="24"/>
          <w:szCs w:val="24"/>
          <w:lang w:val="en-GB"/>
        </w:rPr>
        <w:lastRenderedPageBreak/>
        <w:t xml:space="preserve">therefore there is no evidence that the concept will be beneficial or cost-effective. To include a TH component would be a simple add-on and enable therapists to monitor patients’ progress remotely from various environments. </w:t>
      </w:r>
    </w:p>
    <w:p w14:paraId="6F43D311" w14:textId="651FAEA5" w:rsidR="000D64A9" w:rsidRPr="00E512CD" w:rsidRDefault="003F1165" w:rsidP="00870AAC">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Traditional stroke care and rehabilitation is expensive. However, evidence is emerging for </w:t>
      </w:r>
      <w:proofErr w:type="spellStart"/>
      <w:r w:rsidRPr="00E512CD">
        <w:rPr>
          <w:rFonts w:asciiTheme="majorHAnsi" w:hAnsiTheme="majorHAnsi"/>
          <w:color w:val="000000" w:themeColor="text1"/>
          <w:sz w:val="24"/>
          <w:szCs w:val="24"/>
          <w:lang w:val="en-GB"/>
        </w:rPr>
        <w:t>telestroke</w:t>
      </w:r>
      <w:proofErr w:type="spellEnd"/>
      <w:r w:rsidRPr="00E512CD">
        <w:rPr>
          <w:rFonts w:asciiTheme="majorHAnsi" w:hAnsiTheme="majorHAnsi"/>
          <w:color w:val="000000" w:themeColor="text1"/>
          <w:sz w:val="24"/>
          <w:szCs w:val="24"/>
          <w:lang w:val="en-GB"/>
        </w:rPr>
        <w:t xml:space="preserve"> care with cost savings.</w:t>
      </w:r>
      <w:r w:rsidR="006A1DE4" w:rsidRPr="00E512CD">
        <w:rPr>
          <w:rFonts w:asciiTheme="majorHAnsi" w:hAnsiTheme="majorHAnsi"/>
          <w:color w:val="000000" w:themeColor="text1"/>
          <w:sz w:val="24"/>
          <w:szCs w:val="24"/>
          <w:vertAlign w:val="superscript"/>
          <w:lang w:val="en-GB"/>
        </w:rPr>
        <w:t>29</w:t>
      </w:r>
      <w:r w:rsidRPr="00E512CD">
        <w:rPr>
          <w:rFonts w:asciiTheme="majorHAnsi" w:hAnsiTheme="majorHAnsi"/>
          <w:color w:val="000000" w:themeColor="text1"/>
          <w:sz w:val="24"/>
          <w:szCs w:val="24"/>
          <w:vertAlign w:val="superscript"/>
          <w:lang w:val="en-GB"/>
        </w:rPr>
        <w:t xml:space="preserve"> </w:t>
      </w:r>
      <w:r w:rsidRPr="00E512CD">
        <w:rPr>
          <w:rFonts w:asciiTheme="majorHAnsi" w:hAnsiTheme="majorHAnsi"/>
          <w:color w:val="000000" w:themeColor="text1"/>
          <w:sz w:val="24"/>
          <w:szCs w:val="24"/>
          <w:lang w:val="en-GB"/>
        </w:rPr>
        <w:t>Furthermore, telerehabilitation has demonstrated cost savings for total knee arthroplasty in several trials.</w:t>
      </w:r>
      <w:r w:rsidRPr="00E512CD">
        <w:rPr>
          <w:rFonts w:asciiTheme="majorHAnsi" w:hAnsiTheme="majorHAnsi"/>
          <w:color w:val="000000" w:themeColor="text1"/>
          <w:sz w:val="24"/>
          <w:szCs w:val="24"/>
          <w:vertAlign w:val="superscript"/>
          <w:lang w:val="en-GB"/>
        </w:rPr>
        <w:t xml:space="preserve">30,31 </w:t>
      </w:r>
      <w:r w:rsidRPr="00E512CD">
        <w:rPr>
          <w:rFonts w:asciiTheme="majorHAnsi" w:hAnsiTheme="majorHAnsi"/>
          <w:color w:val="000000" w:themeColor="text1"/>
          <w:sz w:val="24"/>
          <w:szCs w:val="24"/>
          <w:lang w:val="en-GB"/>
        </w:rPr>
        <w:t xml:space="preserve">Therefore, we propose that it is time to use TH more widely in physical therapy so that cost-effectiveness can be audited.  </w:t>
      </w:r>
    </w:p>
    <w:p w14:paraId="2E253ADF" w14:textId="191F08DF" w:rsidR="009973FF" w:rsidRPr="00E512CD" w:rsidRDefault="003F1165" w:rsidP="00C227DB">
      <w:pPr>
        <w:spacing w:after="240" w:line="480" w:lineRule="auto"/>
        <w:ind w:left="360"/>
        <w:rPr>
          <w:rFonts w:asciiTheme="majorHAnsi" w:hAnsiTheme="majorHAnsi"/>
          <w:b/>
          <w:bCs/>
          <w:color w:val="000000" w:themeColor="text1"/>
          <w:sz w:val="24"/>
          <w:szCs w:val="24"/>
        </w:rPr>
      </w:pPr>
      <w:r w:rsidRPr="00E512CD">
        <w:rPr>
          <w:rFonts w:asciiTheme="majorHAnsi" w:hAnsiTheme="majorHAnsi"/>
          <w:b/>
          <w:bCs/>
          <w:color w:val="000000" w:themeColor="text1"/>
          <w:sz w:val="24"/>
          <w:szCs w:val="24"/>
        </w:rPr>
        <w:t>Recommendations for Clinical Practice</w:t>
      </w:r>
    </w:p>
    <w:p w14:paraId="486AE868" w14:textId="09CAF45B" w:rsidR="000F3236" w:rsidRPr="00E512CD" w:rsidRDefault="003F1165" w:rsidP="00C227DB">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The status of TH presents possibilities for future clinical practice in physical therapy. However, practitioners, researchers, and educators in physical therapy must recognize potential barriers and limitations to TH applications in order to safeguard patients and promote best practice.  Hence, there are several telehealth guidelines</w:t>
      </w:r>
      <w:r w:rsidRPr="00E512CD">
        <w:rPr>
          <w:rFonts w:asciiTheme="majorHAnsi" w:hAnsiTheme="majorHAnsi"/>
          <w:color w:val="000000" w:themeColor="text1"/>
          <w:sz w:val="24"/>
          <w:szCs w:val="24"/>
          <w:vertAlign w:val="superscript"/>
        </w:rPr>
        <w:t>32</w:t>
      </w:r>
      <w:r w:rsidRPr="00E512CD">
        <w:rPr>
          <w:rFonts w:asciiTheme="majorHAnsi" w:hAnsiTheme="majorHAnsi"/>
          <w:color w:val="000000" w:themeColor="text1"/>
          <w:sz w:val="24"/>
          <w:szCs w:val="24"/>
        </w:rPr>
        <w:t xml:space="preserve"> and recommendations</w:t>
      </w:r>
      <w:r w:rsidRPr="00E512CD">
        <w:rPr>
          <w:rFonts w:asciiTheme="majorHAnsi" w:hAnsiTheme="majorHAnsi"/>
          <w:color w:val="000000" w:themeColor="text1"/>
          <w:sz w:val="24"/>
          <w:szCs w:val="24"/>
          <w:vertAlign w:val="superscript"/>
        </w:rPr>
        <w:t>33</w:t>
      </w:r>
      <w:r w:rsidRPr="00E512CD">
        <w:rPr>
          <w:rFonts w:asciiTheme="majorHAnsi" w:hAnsiTheme="majorHAnsi"/>
          <w:color w:val="000000" w:themeColor="text1"/>
          <w:sz w:val="24"/>
          <w:szCs w:val="24"/>
        </w:rPr>
        <w:t xml:space="preserve"> from key stakeholders in physical therapy.  </w:t>
      </w:r>
      <w:r w:rsidR="005D7AA0" w:rsidRPr="00E512CD">
        <w:rPr>
          <w:rFonts w:asciiTheme="majorHAnsi" w:hAnsiTheme="majorHAnsi"/>
          <w:color w:val="000000" w:themeColor="text1"/>
          <w:sz w:val="24"/>
          <w:szCs w:val="24"/>
        </w:rPr>
        <w:t>For example, proper informed consent should be established prior to TH encounter and it should be documented.</w:t>
      </w:r>
      <w:r w:rsidR="005D7AA0" w:rsidRPr="00E512CD">
        <w:rPr>
          <w:rFonts w:asciiTheme="majorHAnsi" w:hAnsiTheme="majorHAnsi"/>
          <w:color w:val="000000" w:themeColor="text1"/>
          <w:sz w:val="24"/>
          <w:szCs w:val="24"/>
          <w:vertAlign w:val="superscript"/>
        </w:rPr>
        <w:t xml:space="preserve">32 </w:t>
      </w:r>
      <w:r w:rsidR="005D7AA0" w:rsidRPr="00E512CD">
        <w:rPr>
          <w:rFonts w:asciiTheme="majorHAnsi" w:hAnsiTheme="majorHAnsi"/>
          <w:color w:val="000000" w:themeColor="text1"/>
          <w:sz w:val="24"/>
          <w:szCs w:val="24"/>
        </w:rPr>
        <w:t xml:space="preserve">Other regulation safeguards include establishing potential emergency policies and procedures for TH applications as well as dealing with </w:t>
      </w:r>
      <w:r w:rsidR="006128CE" w:rsidRPr="00E512CD">
        <w:rPr>
          <w:rFonts w:asciiTheme="majorHAnsi" w:hAnsiTheme="majorHAnsi"/>
          <w:color w:val="000000" w:themeColor="text1"/>
          <w:sz w:val="24"/>
          <w:szCs w:val="24"/>
        </w:rPr>
        <w:t xml:space="preserve">internet </w:t>
      </w:r>
      <w:r w:rsidR="005D7AA0" w:rsidRPr="00E512CD">
        <w:rPr>
          <w:rFonts w:asciiTheme="majorHAnsi" w:hAnsiTheme="majorHAnsi"/>
          <w:color w:val="000000" w:themeColor="text1"/>
          <w:sz w:val="24"/>
          <w:szCs w:val="24"/>
        </w:rPr>
        <w:t>connectivity barriers</w:t>
      </w:r>
      <w:r w:rsidR="006128CE" w:rsidRPr="00E512CD">
        <w:rPr>
          <w:rFonts w:asciiTheme="majorHAnsi" w:hAnsiTheme="majorHAnsi"/>
          <w:color w:val="000000" w:themeColor="text1"/>
          <w:sz w:val="24"/>
          <w:szCs w:val="24"/>
        </w:rPr>
        <w:t xml:space="preserve"> in practice</w:t>
      </w:r>
      <w:r w:rsidR="005D7AA0" w:rsidRPr="00E512CD">
        <w:rPr>
          <w:rFonts w:asciiTheme="majorHAnsi" w:hAnsiTheme="majorHAnsi"/>
          <w:color w:val="000000" w:themeColor="text1"/>
          <w:sz w:val="24"/>
          <w:szCs w:val="24"/>
        </w:rPr>
        <w:t>.</w:t>
      </w:r>
      <w:r w:rsidR="005D7AA0" w:rsidRPr="00E512CD">
        <w:rPr>
          <w:rFonts w:asciiTheme="majorHAnsi" w:hAnsiTheme="majorHAnsi"/>
          <w:color w:val="000000" w:themeColor="text1"/>
          <w:sz w:val="24"/>
          <w:szCs w:val="24"/>
          <w:vertAlign w:val="superscript"/>
        </w:rPr>
        <w:t>33</w:t>
      </w:r>
      <w:r w:rsidR="005D7AA0" w:rsidRPr="00E512CD">
        <w:rPr>
          <w:rFonts w:asciiTheme="majorHAnsi" w:hAnsiTheme="majorHAnsi"/>
          <w:color w:val="000000" w:themeColor="text1"/>
          <w:sz w:val="24"/>
          <w:szCs w:val="24"/>
        </w:rPr>
        <w:t xml:space="preserve">  </w:t>
      </w:r>
    </w:p>
    <w:p w14:paraId="225E3FB1" w14:textId="396D831D" w:rsidR="002406BA" w:rsidRPr="00E512CD" w:rsidRDefault="003F1165" w:rsidP="00C227DB">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 xml:space="preserve">Both </w:t>
      </w:r>
      <w:proofErr w:type="spellStart"/>
      <w:r w:rsidRPr="00E512CD">
        <w:rPr>
          <w:rFonts w:asciiTheme="majorHAnsi" w:hAnsiTheme="majorHAnsi"/>
          <w:color w:val="000000" w:themeColor="text1"/>
          <w:sz w:val="24"/>
          <w:szCs w:val="24"/>
        </w:rPr>
        <w:t>LifeCIT</w:t>
      </w:r>
      <w:proofErr w:type="spellEnd"/>
      <w:r w:rsidRPr="00E512CD">
        <w:rPr>
          <w:rFonts w:asciiTheme="majorHAnsi" w:hAnsiTheme="majorHAnsi"/>
          <w:color w:val="000000" w:themeColor="text1"/>
          <w:sz w:val="24"/>
          <w:szCs w:val="24"/>
        </w:rPr>
        <w:t xml:space="preserve"> and M-MARK are based on principles of motor learning, exercise adherence and a knowledge of neuroplasticity. Both aim to provide opportunities for intensive practice to optimize functional recovery and prevent learned-non-use, enabling patients to </w:t>
      </w:r>
      <w:r w:rsidRPr="00E512CD">
        <w:rPr>
          <w:rFonts w:asciiTheme="majorHAnsi" w:hAnsiTheme="majorHAnsi"/>
          <w:color w:val="000000" w:themeColor="text1"/>
          <w:sz w:val="24"/>
          <w:szCs w:val="24"/>
        </w:rPr>
        <w:lastRenderedPageBreak/>
        <w:t xml:space="preserve">participate fully in everyday life. Data generated by M-MARK </w:t>
      </w:r>
      <w:r w:rsidR="00F23E02" w:rsidRPr="00E512CD">
        <w:rPr>
          <w:rFonts w:asciiTheme="majorHAnsi" w:hAnsiTheme="majorHAnsi"/>
          <w:color w:val="000000" w:themeColor="text1"/>
          <w:sz w:val="24"/>
          <w:szCs w:val="24"/>
        </w:rPr>
        <w:t>aims to</w:t>
      </w:r>
      <w:r w:rsidRPr="00E512CD">
        <w:rPr>
          <w:rFonts w:asciiTheme="majorHAnsi" w:hAnsiTheme="majorHAnsi"/>
          <w:color w:val="000000" w:themeColor="text1"/>
          <w:sz w:val="24"/>
          <w:szCs w:val="24"/>
        </w:rPr>
        <w:t xml:space="preserve"> provide therapists with meaningful objective measures on which to base clinical decisions and predict recovery. </w:t>
      </w:r>
    </w:p>
    <w:p w14:paraId="3F90A98A" w14:textId="796861AA" w:rsidR="00842064" w:rsidRPr="00E512CD" w:rsidRDefault="003F1165" w:rsidP="00C227DB">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Although we predict that wearable technology, used in conjunction with TH and other rehabilitation technologies, is likely to become normal practice</w:t>
      </w:r>
      <w:r w:rsidRPr="00E512CD">
        <w:rPr>
          <w:rFonts w:asciiTheme="majorHAnsi" w:hAnsiTheme="majorHAnsi"/>
          <w:color w:val="000000" w:themeColor="text1"/>
          <w:sz w:val="24"/>
          <w:szCs w:val="24"/>
          <w:lang w:val="en-GB"/>
        </w:rPr>
        <w:t>, there is currently</w:t>
      </w:r>
      <w:r w:rsidRPr="00E512CD">
        <w:rPr>
          <w:rFonts w:asciiTheme="majorHAnsi" w:hAnsiTheme="majorHAnsi"/>
          <w:color w:val="000000" w:themeColor="text1"/>
          <w:sz w:val="24"/>
          <w:szCs w:val="24"/>
        </w:rPr>
        <w:t xml:space="preserve"> a lack of evidence for its effectiveness and therefore large well-designed pragmatic trials that are therapist time rather than dose-matched and apply knowledge of intensity are required to achieve reimbursement and translation in to clinical practice. </w:t>
      </w:r>
    </w:p>
    <w:p w14:paraId="2ADAF546" w14:textId="2A8AA448" w:rsidR="00593D99" w:rsidRPr="00E512CD" w:rsidRDefault="003F1165" w:rsidP="00C227DB">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rPr>
        <w:t>Wearable technology, as used in the M-MARK project, can be</w:t>
      </w:r>
      <w:r w:rsidR="00F23E02" w:rsidRPr="00E512CD">
        <w:rPr>
          <w:rFonts w:asciiTheme="majorHAnsi" w:hAnsiTheme="majorHAnsi"/>
          <w:color w:val="000000" w:themeColor="text1"/>
          <w:sz w:val="24"/>
          <w:szCs w:val="24"/>
        </w:rPr>
        <w:t xml:space="preserve"> applied</w:t>
      </w:r>
      <w:r w:rsidRPr="00E512CD">
        <w:rPr>
          <w:rFonts w:asciiTheme="majorHAnsi" w:hAnsiTheme="majorHAnsi"/>
          <w:color w:val="000000" w:themeColor="text1"/>
          <w:sz w:val="24"/>
          <w:szCs w:val="24"/>
        </w:rPr>
        <w:t xml:space="preserve"> both in assessment and therapy; when combined with a TH platform it </w:t>
      </w:r>
      <w:r w:rsidR="00F23E02" w:rsidRPr="00E512CD">
        <w:rPr>
          <w:rFonts w:asciiTheme="majorHAnsi" w:hAnsiTheme="majorHAnsi"/>
          <w:color w:val="000000" w:themeColor="text1"/>
          <w:sz w:val="24"/>
          <w:szCs w:val="24"/>
        </w:rPr>
        <w:t>could</w:t>
      </w:r>
      <w:r w:rsidRPr="00E512CD">
        <w:rPr>
          <w:rFonts w:asciiTheme="majorHAnsi" w:hAnsiTheme="majorHAnsi"/>
          <w:color w:val="000000" w:themeColor="text1"/>
          <w:sz w:val="24"/>
          <w:szCs w:val="24"/>
        </w:rPr>
        <w:t xml:space="preserve"> enable therapists to monitor patients and progress their rehabilitation regimens remotely. Motivation, self-management and independence are key factors in rehabilitation, but independent home-based rehabilitation puts patients at risk of non-compliance and they may become de-motivated. Web-based support systems may provide an effective way to monitor patients and an ‘early warning’ system to identify when patients are not complying with rehabilitation regimens or not progressing.</w:t>
      </w:r>
    </w:p>
    <w:p w14:paraId="6E29DDA0" w14:textId="125D29A6" w:rsidR="00842064" w:rsidRPr="00E512CD" w:rsidRDefault="003F1165" w:rsidP="00053DE0">
      <w:pPr>
        <w:spacing w:after="240" w:line="480" w:lineRule="auto"/>
        <w:ind w:left="360"/>
        <w:rPr>
          <w:rFonts w:asciiTheme="majorHAnsi" w:hAnsiTheme="majorHAnsi"/>
          <w:color w:val="000000" w:themeColor="text1"/>
          <w:sz w:val="24"/>
          <w:szCs w:val="24"/>
          <w:lang w:val="en-GB"/>
        </w:rPr>
      </w:pPr>
      <w:r w:rsidRPr="00E512CD">
        <w:rPr>
          <w:rFonts w:asciiTheme="majorHAnsi" w:hAnsiTheme="majorHAnsi"/>
          <w:color w:val="000000" w:themeColor="text1"/>
          <w:sz w:val="24"/>
          <w:szCs w:val="24"/>
        </w:rPr>
        <w:t>The cost of stroke rehabilitation is increasingly driving the need for cost-effective solutions and practitioners must take responsibility for the cost of therapy as well as its effectiveness. In the UK, the cost to the NHS of providing the recommended 45 minutes of upper limb therapy 5 days a week during the recovery period of 12 weeks for the 90,000 patients who require it each year is £216M (£2,400/patient).</w:t>
      </w:r>
      <w:r w:rsidRPr="00E512CD">
        <w:rPr>
          <w:rFonts w:asciiTheme="majorHAnsi" w:hAnsiTheme="majorHAnsi"/>
          <w:color w:val="000000" w:themeColor="text1"/>
          <w:sz w:val="24"/>
          <w:szCs w:val="24"/>
          <w:vertAlign w:val="superscript"/>
        </w:rPr>
        <w:t>34</w:t>
      </w:r>
      <w:r w:rsidRPr="00E512CD">
        <w:rPr>
          <w:rFonts w:asciiTheme="majorHAnsi" w:hAnsiTheme="majorHAnsi"/>
          <w:color w:val="000000" w:themeColor="text1"/>
          <w:sz w:val="24"/>
          <w:szCs w:val="24"/>
        </w:rPr>
        <w:t xml:space="preserve"> This is equivalent to $240 M or </w:t>
      </w:r>
      <w:r w:rsidRPr="00E512CD">
        <w:rPr>
          <w:rFonts w:asciiTheme="majorHAnsi" w:hAnsiTheme="majorHAnsi"/>
          <w:color w:val="000000" w:themeColor="text1"/>
          <w:sz w:val="24"/>
          <w:szCs w:val="24"/>
        </w:rPr>
        <w:lastRenderedPageBreak/>
        <w:t xml:space="preserve">$2,676/patient in US Dollars.  If using technologies such as </w:t>
      </w:r>
      <w:proofErr w:type="spellStart"/>
      <w:r w:rsidRPr="00E512CD">
        <w:rPr>
          <w:rFonts w:asciiTheme="majorHAnsi" w:hAnsiTheme="majorHAnsi"/>
          <w:color w:val="000000" w:themeColor="text1"/>
          <w:sz w:val="24"/>
          <w:szCs w:val="24"/>
        </w:rPr>
        <w:t>LifeCIT</w:t>
      </w:r>
      <w:proofErr w:type="spellEnd"/>
      <w:r w:rsidRPr="00E512CD">
        <w:rPr>
          <w:rFonts w:asciiTheme="majorHAnsi" w:hAnsiTheme="majorHAnsi"/>
          <w:color w:val="000000" w:themeColor="text1"/>
          <w:sz w:val="24"/>
          <w:szCs w:val="24"/>
        </w:rPr>
        <w:t xml:space="preserve"> and M-MARK reduce the required </w:t>
      </w:r>
      <w:proofErr w:type="gramStart"/>
      <w:r w:rsidRPr="00E512CD">
        <w:rPr>
          <w:rFonts w:asciiTheme="majorHAnsi" w:hAnsiTheme="majorHAnsi"/>
          <w:color w:val="000000" w:themeColor="text1"/>
          <w:sz w:val="24"/>
          <w:szCs w:val="24"/>
        </w:rPr>
        <w:t>therapy</w:t>
      </w:r>
      <w:proofErr w:type="gramEnd"/>
      <w:r w:rsidRPr="00E512CD">
        <w:rPr>
          <w:rFonts w:asciiTheme="majorHAnsi" w:hAnsiTheme="majorHAnsi"/>
          <w:color w:val="000000" w:themeColor="text1"/>
          <w:sz w:val="24"/>
          <w:szCs w:val="24"/>
        </w:rPr>
        <w:t xml:space="preserve"> contact by only 25% it would save £54M (Euro) or $60 M (US Dollars) annually. Most importantly, TH may assist in more targeted and effective therapy and thus better long-term outcomes including independence and quality of life. </w:t>
      </w:r>
    </w:p>
    <w:p w14:paraId="2E4D7377" w14:textId="4665F26C" w:rsidR="005833FD" w:rsidRPr="00E512CD" w:rsidRDefault="003F1165" w:rsidP="00056F0D">
      <w:pPr>
        <w:spacing w:after="240" w:line="480" w:lineRule="auto"/>
        <w:ind w:left="360"/>
        <w:rPr>
          <w:rFonts w:asciiTheme="majorHAnsi" w:hAnsiTheme="majorHAnsi"/>
          <w:color w:val="000000" w:themeColor="text1"/>
          <w:sz w:val="24"/>
          <w:szCs w:val="24"/>
        </w:rPr>
      </w:pPr>
      <w:r w:rsidRPr="00E512CD">
        <w:rPr>
          <w:rFonts w:asciiTheme="majorHAnsi" w:hAnsiTheme="majorHAnsi"/>
          <w:color w:val="000000" w:themeColor="text1"/>
          <w:sz w:val="24"/>
          <w:szCs w:val="24"/>
        </w:rPr>
        <w:t>Any new technology must be co-designed with ALL users. This is key to acceptance. In our experience,</w:t>
      </w:r>
      <w:r w:rsidRPr="00E512CD">
        <w:rPr>
          <w:rFonts w:asciiTheme="majorHAnsi" w:hAnsiTheme="majorHAnsi"/>
          <w:color w:val="000000" w:themeColor="text1"/>
          <w:sz w:val="24"/>
          <w:szCs w:val="24"/>
          <w:vertAlign w:val="superscript"/>
        </w:rPr>
        <w:t>11</w:t>
      </w:r>
      <w:r w:rsidRPr="00E512CD">
        <w:rPr>
          <w:rFonts w:asciiTheme="majorHAnsi" w:hAnsiTheme="majorHAnsi"/>
          <w:color w:val="000000" w:themeColor="text1"/>
          <w:sz w:val="24"/>
          <w:szCs w:val="24"/>
        </w:rPr>
        <w:t xml:space="preserve"> technologies must be quick and simple for both patients, and therapists to use and the information presented be different and appropriate for each group as well as useful to caregivers.  Technologies are tools that can augment clinical practice.</w:t>
      </w:r>
      <w:r w:rsidRPr="00E512CD">
        <w:rPr>
          <w:rFonts w:asciiTheme="majorHAnsi" w:hAnsiTheme="majorHAnsi"/>
          <w:color w:val="000000" w:themeColor="text1"/>
          <w:sz w:val="24"/>
          <w:szCs w:val="24"/>
          <w:lang w:val="en-GB"/>
        </w:rPr>
        <w:t xml:space="preserve">  Telehealth is a new concept in health care with advances in digital technology. Therefore, we recommend that translational practice-based research is necessary in order to advance field of TH applications in physical therapy.  </w:t>
      </w:r>
    </w:p>
    <w:p w14:paraId="2FA84A58" w14:textId="6D6CBEBF" w:rsidR="00F6088B" w:rsidRPr="00E512CD" w:rsidRDefault="003F1165" w:rsidP="005833FD">
      <w:pPr>
        <w:spacing w:after="240" w:line="480" w:lineRule="auto"/>
        <w:rPr>
          <w:rFonts w:asciiTheme="majorHAnsi" w:hAnsiTheme="majorHAnsi"/>
          <w:b/>
          <w:bCs/>
          <w:color w:val="000000" w:themeColor="text1"/>
          <w:sz w:val="24"/>
          <w:szCs w:val="24"/>
        </w:rPr>
      </w:pPr>
      <w:r w:rsidRPr="00E512CD">
        <w:rPr>
          <w:rFonts w:asciiTheme="majorHAnsi" w:hAnsiTheme="majorHAnsi"/>
          <w:b/>
          <w:bCs/>
          <w:color w:val="000000" w:themeColor="text1"/>
          <w:sz w:val="24"/>
          <w:szCs w:val="24"/>
        </w:rPr>
        <w:t>References</w:t>
      </w:r>
    </w:p>
    <w:p w14:paraId="230D1F13" w14:textId="1A3B73DF" w:rsidR="00CA56CF" w:rsidRPr="00E512CD" w:rsidRDefault="003F1165" w:rsidP="00C227DB">
      <w:pPr>
        <w:numPr>
          <w:ilvl w:val="0"/>
          <w:numId w:val="1"/>
        </w:numPr>
        <w:spacing w:after="240" w:line="480" w:lineRule="auto"/>
        <w:rPr>
          <w:rFonts w:asciiTheme="majorHAnsi" w:hAnsiTheme="majorHAnsi" w:cs="Calibri"/>
          <w:color w:val="000000" w:themeColor="text1"/>
          <w:sz w:val="24"/>
          <w:szCs w:val="24"/>
        </w:rPr>
      </w:pPr>
      <w:proofErr w:type="spellStart"/>
      <w:r w:rsidRPr="00E512CD">
        <w:rPr>
          <w:rFonts w:asciiTheme="majorHAnsi" w:hAnsiTheme="majorHAnsi" w:cs="Calibri"/>
          <w:color w:val="000000" w:themeColor="text1"/>
          <w:sz w:val="24"/>
          <w:szCs w:val="24"/>
          <w:lang w:val="en-GB"/>
        </w:rPr>
        <w:t>Feigin</w:t>
      </w:r>
      <w:proofErr w:type="spellEnd"/>
      <w:r w:rsidRPr="00E512CD">
        <w:rPr>
          <w:rFonts w:asciiTheme="majorHAnsi" w:hAnsiTheme="majorHAnsi" w:cs="Calibri"/>
          <w:color w:val="000000" w:themeColor="text1"/>
          <w:sz w:val="24"/>
          <w:szCs w:val="24"/>
          <w:lang w:val="en-GB"/>
        </w:rPr>
        <w:t xml:space="preserve"> VL, </w:t>
      </w:r>
      <w:proofErr w:type="spellStart"/>
      <w:r w:rsidRPr="00E512CD">
        <w:rPr>
          <w:rFonts w:asciiTheme="majorHAnsi" w:hAnsiTheme="majorHAnsi" w:cs="Calibri"/>
          <w:color w:val="000000" w:themeColor="text1"/>
          <w:sz w:val="24"/>
          <w:szCs w:val="24"/>
          <w:lang w:val="en-GB"/>
        </w:rPr>
        <w:t>Forouzanfar</w:t>
      </w:r>
      <w:proofErr w:type="spellEnd"/>
      <w:r w:rsidRPr="00E512CD">
        <w:rPr>
          <w:rFonts w:asciiTheme="majorHAnsi" w:hAnsiTheme="majorHAnsi" w:cs="Calibri"/>
          <w:color w:val="000000" w:themeColor="text1"/>
          <w:sz w:val="24"/>
          <w:szCs w:val="24"/>
          <w:lang w:val="en-GB"/>
        </w:rPr>
        <w:t xml:space="preserve"> MH, </w:t>
      </w:r>
      <w:proofErr w:type="spellStart"/>
      <w:r w:rsidRPr="00E512CD">
        <w:rPr>
          <w:rFonts w:asciiTheme="majorHAnsi" w:hAnsiTheme="majorHAnsi" w:cs="Calibri"/>
          <w:color w:val="000000" w:themeColor="text1"/>
          <w:sz w:val="24"/>
          <w:szCs w:val="24"/>
          <w:lang w:val="en-GB"/>
        </w:rPr>
        <w:t>Krishnamurthi</w:t>
      </w:r>
      <w:proofErr w:type="spellEnd"/>
      <w:r w:rsidRPr="00E512CD">
        <w:rPr>
          <w:rFonts w:asciiTheme="majorHAnsi" w:hAnsiTheme="majorHAnsi" w:cs="Calibri"/>
          <w:color w:val="000000" w:themeColor="text1"/>
          <w:sz w:val="24"/>
          <w:szCs w:val="24"/>
          <w:lang w:val="en-GB"/>
        </w:rPr>
        <w:t xml:space="preserve"> R, et al. Global and regional burden of stroke during 1990-2010: findings from the Global Burden of Disease Study 2010. </w:t>
      </w:r>
      <w:r w:rsidRPr="00E512CD">
        <w:rPr>
          <w:rFonts w:asciiTheme="majorHAnsi" w:hAnsiTheme="majorHAnsi" w:cs="Calibri"/>
          <w:i/>
          <w:color w:val="000000" w:themeColor="text1"/>
          <w:sz w:val="24"/>
          <w:szCs w:val="24"/>
          <w:lang w:val="en-GB"/>
        </w:rPr>
        <w:t xml:space="preserve">Lancet. </w:t>
      </w:r>
      <w:r w:rsidRPr="00E512CD">
        <w:rPr>
          <w:rFonts w:asciiTheme="majorHAnsi" w:hAnsiTheme="majorHAnsi" w:cs="Calibri"/>
          <w:color w:val="000000" w:themeColor="text1"/>
          <w:sz w:val="24"/>
          <w:szCs w:val="24"/>
          <w:lang w:val="en-GB"/>
        </w:rPr>
        <w:t>2014;383(9913):245-254.</w:t>
      </w:r>
    </w:p>
    <w:p w14:paraId="3CE47252" w14:textId="7F2D3A0E" w:rsidR="00CA56CF"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Intercollegiate Stroke Working Party. National clinical guideline for stroke: 4</w:t>
      </w:r>
      <w:r w:rsidRPr="00E512CD">
        <w:rPr>
          <w:rFonts w:asciiTheme="majorHAnsi" w:hAnsiTheme="majorHAnsi" w:cs="Calibri"/>
          <w:color w:val="000000" w:themeColor="text1"/>
          <w:sz w:val="24"/>
          <w:szCs w:val="24"/>
          <w:vertAlign w:val="superscript"/>
          <w:lang w:val="en-GB"/>
        </w:rPr>
        <w:t>th</w:t>
      </w:r>
      <w:r w:rsidRPr="00E512CD">
        <w:rPr>
          <w:rFonts w:asciiTheme="majorHAnsi" w:hAnsiTheme="majorHAnsi" w:cs="Calibri"/>
          <w:color w:val="000000" w:themeColor="text1"/>
          <w:sz w:val="24"/>
          <w:szCs w:val="24"/>
          <w:lang w:val="en-GB"/>
        </w:rPr>
        <w:t xml:space="preserve"> ed. London: Royal College of Physicians; 2012. </w:t>
      </w:r>
    </w:p>
    <w:p w14:paraId="26B462BB" w14:textId="74C489C0" w:rsidR="003F006B" w:rsidRPr="00E512CD" w:rsidRDefault="003F1165" w:rsidP="003F006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 xml:space="preserve">Lohse KR, Lang CE, Boyd LA.  Is more better? Using metadata to explore dose–response relationships in stroke rehabilitation.  </w:t>
      </w:r>
      <w:r w:rsidRPr="00E512CD">
        <w:rPr>
          <w:rFonts w:asciiTheme="majorHAnsi" w:hAnsiTheme="majorHAnsi" w:cs="Calibri"/>
          <w:i/>
          <w:iCs/>
          <w:color w:val="000000" w:themeColor="text1"/>
          <w:sz w:val="24"/>
          <w:szCs w:val="24"/>
          <w:lang w:val="en-GB"/>
        </w:rPr>
        <w:t>Stroke</w:t>
      </w:r>
      <w:r w:rsidRPr="00E512CD">
        <w:rPr>
          <w:rFonts w:asciiTheme="majorHAnsi" w:hAnsiTheme="majorHAnsi" w:cs="Calibri"/>
          <w:color w:val="000000" w:themeColor="text1"/>
          <w:sz w:val="24"/>
          <w:szCs w:val="24"/>
          <w:lang w:val="en-GB"/>
        </w:rPr>
        <w:t xml:space="preserve">.  2014;45.7:2053-2058.    </w:t>
      </w:r>
    </w:p>
    <w:p w14:paraId="537AD216" w14:textId="0AC7C93E" w:rsidR="00527D9E" w:rsidRPr="00E512CD" w:rsidRDefault="003F1165" w:rsidP="00527D9E">
      <w:pPr>
        <w:numPr>
          <w:ilvl w:val="0"/>
          <w:numId w:val="1"/>
        </w:numPr>
        <w:spacing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pacing w:val="4"/>
          <w:sz w:val="24"/>
          <w:szCs w:val="24"/>
        </w:rPr>
        <w:lastRenderedPageBreak/>
        <w:t xml:space="preserve">American Physical Therapy Association.  Telehealth – definition and guidelines. </w:t>
      </w:r>
      <w:hyperlink r:id="rId7" w:history="1">
        <w:r w:rsidRPr="00E512CD">
          <w:rPr>
            <w:rFonts w:asciiTheme="majorHAnsi" w:hAnsiTheme="majorHAnsi" w:cs="Calibri"/>
            <w:color w:val="000000" w:themeColor="text1"/>
            <w:spacing w:val="4"/>
            <w:sz w:val="24"/>
            <w:szCs w:val="24"/>
          </w:rPr>
          <w:t>http://www.apta.org/Telehealth/</w:t>
        </w:r>
      </w:hyperlink>
      <w:r w:rsidRPr="00E512CD">
        <w:rPr>
          <w:rFonts w:asciiTheme="majorHAnsi" w:hAnsiTheme="majorHAnsi" w:cs="Calibri"/>
          <w:color w:val="000000" w:themeColor="text1"/>
          <w:spacing w:val="4"/>
          <w:sz w:val="24"/>
          <w:szCs w:val="24"/>
        </w:rPr>
        <w:t>.  Accessed July 13, 2016.</w:t>
      </w:r>
      <w:r w:rsidRPr="00E512CD">
        <w:rPr>
          <w:rFonts w:asciiTheme="majorHAnsi" w:hAnsiTheme="majorHAnsi" w:cs="Calibri"/>
          <w:color w:val="000000" w:themeColor="text1"/>
          <w:sz w:val="24"/>
          <w:szCs w:val="24"/>
        </w:rPr>
        <w:t xml:space="preserve">Brown J, Brannon JA, </w:t>
      </w:r>
      <w:proofErr w:type="spellStart"/>
      <w:r w:rsidRPr="00E512CD">
        <w:rPr>
          <w:rFonts w:asciiTheme="majorHAnsi" w:hAnsiTheme="majorHAnsi" w:cs="Calibri"/>
          <w:color w:val="000000" w:themeColor="text1"/>
          <w:sz w:val="24"/>
          <w:szCs w:val="24"/>
        </w:rPr>
        <w:t>Romanow</w:t>
      </w:r>
      <w:proofErr w:type="spellEnd"/>
      <w:r w:rsidRPr="00E512CD">
        <w:rPr>
          <w:rFonts w:asciiTheme="majorHAnsi" w:hAnsiTheme="majorHAnsi" w:cs="Calibri"/>
          <w:color w:val="000000" w:themeColor="text1"/>
          <w:sz w:val="24"/>
          <w:szCs w:val="24"/>
        </w:rPr>
        <w:t xml:space="preserve"> K.  Reimbursement for </w:t>
      </w:r>
      <w:proofErr w:type="spellStart"/>
      <w:r w:rsidRPr="00E512CD">
        <w:rPr>
          <w:rFonts w:asciiTheme="majorHAnsi" w:hAnsiTheme="majorHAnsi" w:cs="Calibri"/>
          <w:color w:val="000000" w:themeColor="text1"/>
          <w:sz w:val="24"/>
          <w:szCs w:val="24"/>
        </w:rPr>
        <w:t>telespeech</w:t>
      </w:r>
      <w:proofErr w:type="spellEnd"/>
      <w:r w:rsidRPr="00E512CD">
        <w:rPr>
          <w:rFonts w:asciiTheme="majorHAnsi" w:hAnsiTheme="majorHAnsi" w:cs="Calibri"/>
          <w:color w:val="000000" w:themeColor="text1"/>
          <w:sz w:val="24"/>
          <w:szCs w:val="24"/>
        </w:rPr>
        <w:t xml:space="preserve">.  </w:t>
      </w:r>
      <w:proofErr w:type="spellStart"/>
      <w:r w:rsidRPr="00E512CD">
        <w:rPr>
          <w:rFonts w:asciiTheme="majorHAnsi" w:hAnsiTheme="majorHAnsi" w:cs="Calibri"/>
          <w:i/>
          <w:color w:val="000000" w:themeColor="text1"/>
          <w:sz w:val="24"/>
          <w:szCs w:val="24"/>
        </w:rPr>
        <w:t>Perspect</w:t>
      </w:r>
      <w:proofErr w:type="spellEnd"/>
      <w:r w:rsidRPr="00E512CD">
        <w:rPr>
          <w:rFonts w:asciiTheme="majorHAnsi" w:hAnsiTheme="majorHAnsi" w:cs="Calibri"/>
          <w:i/>
          <w:color w:val="000000" w:themeColor="text1"/>
          <w:sz w:val="24"/>
          <w:szCs w:val="24"/>
        </w:rPr>
        <w:t xml:space="preserve"> Voice and Voice </w:t>
      </w:r>
      <w:proofErr w:type="spellStart"/>
      <w:r w:rsidRPr="00E512CD">
        <w:rPr>
          <w:rFonts w:asciiTheme="majorHAnsi" w:hAnsiTheme="majorHAnsi" w:cs="Calibri"/>
          <w:i/>
          <w:color w:val="000000" w:themeColor="text1"/>
          <w:sz w:val="24"/>
          <w:szCs w:val="24"/>
        </w:rPr>
        <w:t>Disord</w:t>
      </w:r>
      <w:proofErr w:type="spellEnd"/>
      <w:r w:rsidRPr="00E512CD">
        <w:rPr>
          <w:rFonts w:asciiTheme="majorHAnsi" w:hAnsiTheme="majorHAnsi" w:cs="Calibri"/>
          <w:color w:val="000000" w:themeColor="text1"/>
          <w:sz w:val="24"/>
          <w:szCs w:val="24"/>
        </w:rPr>
        <w:t xml:space="preserve">.  </w:t>
      </w:r>
      <w:proofErr w:type="gramStart"/>
      <w:r w:rsidRPr="00E512CD">
        <w:rPr>
          <w:rFonts w:asciiTheme="majorHAnsi" w:hAnsiTheme="majorHAnsi" w:cs="Calibri"/>
          <w:color w:val="000000" w:themeColor="text1"/>
          <w:sz w:val="24"/>
          <w:szCs w:val="24"/>
        </w:rPr>
        <w:t>2010;20:16</w:t>
      </w:r>
      <w:proofErr w:type="gramEnd"/>
      <w:r w:rsidRPr="00E512CD">
        <w:rPr>
          <w:rFonts w:asciiTheme="majorHAnsi" w:hAnsiTheme="majorHAnsi" w:cs="Calibri"/>
          <w:color w:val="000000" w:themeColor="text1"/>
          <w:sz w:val="24"/>
          <w:szCs w:val="24"/>
        </w:rPr>
        <w:t>-21.</w:t>
      </w:r>
    </w:p>
    <w:p w14:paraId="60A75ADD" w14:textId="77777777" w:rsidR="00737AD7" w:rsidRPr="00E512CD" w:rsidRDefault="003F1165" w:rsidP="00737AD7">
      <w:pPr>
        <w:numPr>
          <w:ilvl w:val="0"/>
          <w:numId w:val="1"/>
        </w:numPr>
        <w:spacing w:after="0" w:line="480" w:lineRule="auto"/>
        <w:contextualSpacing/>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Wakeford L, Wittman P, White M, et al.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position paper. </w:t>
      </w:r>
      <w:r w:rsidRPr="00E512CD">
        <w:rPr>
          <w:rFonts w:asciiTheme="majorHAnsi" w:hAnsiTheme="majorHAnsi" w:cs="Calibri"/>
          <w:i/>
          <w:iCs/>
          <w:color w:val="000000" w:themeColor="text1"/>
          <w:sz w:val="24"/>
          <w:szCs w:val="24"/>
        </w:rPr>
        <w:t xml:space="preserve">Am J </w:t>
      </w:r>
      <w:proofErr w:type="spellStart"/>
      <w:r w:rsidRPr="00E512CD">
        <w:rPr>
          <w:rFonts w:asciiTheme="majorHAnsi" w:hAnsiTheme="majorHAnsi" w:cs="Calibri"/>
          <w:i/>
          <w:iCs/>
          <w:color w:val="000000" w:themeColor="text1"/>
          <w:sz w:val="24"/>
          <w:szCs w:val="24"/>
        </w:rPr>
        <w:t>Occup</w:t>
      </w:r>
      <w:proofErr w:type="spellEnd"/>
      <w:r w:rsidRPr="00E512CD">
        <w:rPr>
          <w:rFonts w:asciiTheme="majorHAnsi" w:hAnsiTheme="majorHAnsi" w:cs="Calibri"/>
          <w:i/>
          <w:iCs/>
          <w:color w:val="000000" w:themeColor="text1"/>
          <w:sz w:val="24"/>
          <w:szCs w:val="24"/>
        </w:rPr>
        <w:t xml:space="preserve"> </w:t>
      </w:r>
      <w:proofErr w:type="spellStart"/>
      <w:r w:rsidRPr="00E512CD">
        <w:rPr>
          <w:rFonts w:asciiTheme="majorHAnsi" w:hAnsiTheme="majorHAnsi" w:cs="Calibri"/>
          <w:i/>
          <w:iCs/>
          <w:color w:val="000000" w:themeColor="text1"/>
          <w:sz w:val="24"/>
          <w:szCs w:val="24"/>
        </w:rPr>
        <w:t>Ther</w:t>
      </w:r>
      <w:proofErr w:type="spellEnd"/>
      <w:r w:rsidRPr="00E512CD">
        <w:rPr>
          <w:rFonts w:asciiTheme="majorHAnsi" w:hAnsiTheme="majorHAnsi" w:cs="Calibri"/>
          <w:i/>
          <w:iCs/>
          <w:color w:val="000000" w:themeColor="text1"/>
          <w:sz w:val="24"/>
          <w:szCs w:val="24"/>
        </w:rPr>
        <w:t xml:space="preserve">. </w:t>
      </w:r>
      <w:proofErr w:type="gramStart"/>
      <w:r w:rsidRPr="00E512CD">
        <w:rPr>
          <w:rFonts w:asciiTheme="majorHAnsi" w:hAnsiTheme="majorHAnsi" w:cs="Calibri"/>
          <w:i/>
          <w:iCs/>
          <w:color w:val="000000" w:themeColor="text1"/>
          <w:sz w:val="24"/>
          <w:szCs w:val="24"/>
        </w:rPr>
        <w:t>2005;</w:t>
      </w:r>
      <w:r w:rsidRPr="00E512CD">
        <w:rPr>
          <w:rFonts w:asciiTheme="majorHAnsi" w:hAnsiTheme="majorHAnsi" w:cs="Calibri"/>
          <w:iCs/>
          <w:color w:val="000000" w:themeColor="text1"/>
          <w:sz w:val="24"/>
          <w:szCs w:val="24"/>
        </w:rPr>
        <w:t>59</w:t>
      </w:r>
      <w:r w:rsidRPr="00E512CD">
        <w:rPr>
          <w:rFonts w:asciiTheme="majorHAnsi" w:hAnsiTheme="majorHAnsi" w:cs="Calibri"/>
          <w:color w:val="000000" w:themeColor="text1"/>
          <w:sz w:val="24"/>
          <w:szCs w:val="24"/>
        </w:rPr>
        <w:t>:656</w:t>
      </w:r>
      <w:proofErr w:type="gramEnd"/>
      <w:r w:rsidRPr="00E512CD">
        <w:rPr>
          <w:rFonts w:asciiTheme="majorHAnsi" w:hAnsiTheme="majorHAnsi" w:cs="Calibri"/>
          <w:color w:val="000000" w:themeColor="text1"/>
          <w:sz w:val="24"/>
          <w:szCs w:val="24"/>
        </w:rPr>
        <w:t>-660.</w:t>
      </w:r>
    </w:p>
    <w:p w14:paraId="29DA88EF" w14:textId="77777777" w:rsidR="00527D9E" w:rsidRPr="00E512CD" w:rsidRDefault="003F1165" w:rsidP="00527D9E">
      <w:pPr>
        <w:numPr>
          <w:ilvl w:val="0"/>
          <w:numId w:val="1"/>
        </w:numPr>
        <w:spacing w:line="480" w:lineRule="auto"/>
        <w:rPr>
          <w:rFonts w:asciiTheme="majorHAnsi" w:hAnsiTheme="majorHAnsi" w:cs="Calibri"/>
          <w:color w:val="000000" w:themeColor="text1"/>
          <w:sz w:val="24"/>
          <w:szCs w:val="24"/>
        </w:rPr>
      </w:pPr>
      <w:proofErr w:type="spellStart"/>
      <w:r w:rsidRPr="00E512CD">
        <w:rPr>
          <w:rFonts w:asciiTheme="majorHAnsi" w:hAnsiTheme="majorHAnsi" w:cs="Calibri"/>
          <w:color w:val="000000" w:themeColor="text1"/>
          <w:sz w:val="24"/>
          <w:szCs w:val="24"/>
          <w:lang w:val="it-IT"/>
        </w:rPr>
        <w:t>Scalvini</w:t>
      </w:r>
      <w:proofErr w:type="spellEnd"/>
      <w:r w:rsidRPr="00E512CD">
        <w:rPr>
          <w:rFonts w:asciiTheme="majorHAnsi" w:hAnsiTheme="majorHAnsi" w:cs="Calibri"/>
          <w:color w:val="000000" w:themeColor="text1"/>
          <w:sz w:val="24"/>
          <w:szCs w:val="24"/>
          <w:lang w:val="it-IT"/>
        </w:rPr>
        <w:t xml:space="preserve"> S, Zanelli E, Comini L, et al. </w:t>
      </w:r>
      <w:r w:rsidRPr="00E512CD">
        <w:rPr>
          <w:rFonts w:asciiTheme="majorHAnsi" w:hAnsiTheme="majorHAnsi" w:cs="Calibri"/>
          <w:color w:val="000000" w:themeColor="text1"/>
          <w:sz w:val="24"/>
          <w:szCs w:val="24"/>
        </w:rPr>
        <w:t xml:space="preserve">Home-based versus in-hospital cardiac rehabilitation after cardiac surgery: A nonrandomized controlled study.  Phys </w:t>
      </w:r>
      <w:proofErr w:type="spellStart"/>
      <w:r w:rsidRPr="00E512CD">
        <w:rPr>
          <w:rFonts w:asciiTheme="majorHAnsi" w:hAnsiTheme="majorHAnsi" w:cs="Calibri"/>
          <w:color w:val="000000" w:themeColor="text1"/>
          <w:sz w:val="24"/>
          <w:szCs w:val="24"/>
        </w:rPr>
        <w:t>Ther</w:t>
      </w:r>
      <w:proofErr w:type="spellEnd"/>
      <w:r w:rsidRPr="00E512CD">
        <w:rPr>
          <w:rFonts w:asciiTheme="majorHAnsi" w:hAnsiTheme="majorHAnsi" w:cs="Calibri"/>
          <w:color w:val="000000" w:themeColor="text1"/>
          <w:sz w:val="24"/>
          <w:szCs w:val="24"/>
        </w:rPr>
        <w:t xml:space="preserve">. </w:t>
      </w:r>
      <w:proofErr w:type="gramStart"/>
      <w:r w:rsidRPr="00E512CD">
        <w:rPr>
          <w:rFonts w:asciiTheme="majorHAnsi" w:hAnsiTheme="majorHAnsi" w:cs="Calibri"/>
          <w:color w:val="000000" w:themeColor="text1"/>
          <w:sz w:val="24"/>
          <w:szCs w:val="24"/>
        </w:rPr>
        <w:t>2013;93:1073</w:t>
      </w:r>
      <w:proofErr w:type="gramEnd"/>
      <w:r w:rsidRPr="00E512CD">
        <w:rPr>
          <w:rFonts w:asciiTheme="majorHAnsi" w:hAnsiTheme="majorHAnsi" w:cs="Calibri"/>
          <w:color w:val="000000" w:themeColor="text1"/>
          <w:sz w:val="24"/>
          <w:szCs w:val="24"/>
        </w:rPr>
        <w:t>-1083.</w:t>
      </w:r>
    </w:p>
    <w:p w14:paraId="3FC404BA" w14:textId="77777777" w:rsidR="00527D9E" w:rsidRPr="00E512CD" w:rsidRDefault="003F1165" w:rsidP="00527D9E">
      <w:pPr>
        <w:numPr>
          <w:ilvl w:val="0"/>
          <w:numId w:val="1"/>
        </w:numPr>
        <w:spacing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lang w:val="nb-NO"/>
        </w:rPr>
        <w:t xml:space="preserve">Russell TG, </w:t>
      </w:r>
      <w:proofErr w:type="spellStart"/>
      <w:r w:rsidRPr="00E512CD">
        <w:rPr>
          <w:rFonts w:asciiTheme="majorHAnsi" w:hAnsiTheme="majorHAnsi" w:cs="Calibri"/>
          <w:color w:val="000000" w:themeColor="text1"/>
          <w:sz w:val="24"/>
          <w:szCs w:val="24"/>
          <w:lang w:val="nb-NO"/>
        </w:rPr>
        <w:t>Buttrum</w:t>
      </w:r>
      <w:proofErr w:type="spellEnd"/>
      <w:r w:rsidRPr="00E512CD">
        <w:rPr>
          <w:rFonts w:asciiTheme="majorHAnsi" w:hAnsiTheme="majorHAnsi" w:cs="Calibri"/>
          <w:color w:val="000000" w:themeColor="text1"/>
          <w:sz w:val="24"/>
          <w:szCs w:val="24"/>
          <w:lang w:val="nb-NO"/>
        </w:rPr>
        <w:t xml:space="preserve"> P, </w:t>
      </w:r>
      <w:proofErr w:type="spellStart"/>
      <w:r w:rsidRPr="00E512CD">
        <w:rPr>
          <w:rFonts w:asciiTheme="majorHAnsi" w:hAnsiTheme="majorHAnsi" w:cs="Calibri"/>
          <w:color w:val="000000" w:themeColor="text1"/>
          <w:sz w:val="24"/>
          <w:szCs w:val="24"/>
          <w:lang w:val="nb-NO"/>
        </w:rPr>
        <w:t>Wootton</w:t>
      </w:r>
      <w:proofErr w:type="spellEnd"/>
      <w:r w:rsidRPr="00E512CD">
        <w:rPr>
          <w:rFonts w:asciiTheme="majorHAnsi" w:hAnsiTheme="majorHAnsi" w:cs="Calibri"/>
          <w:color w:val="000000" w:themeColor="text1"/>
          <w:sz w:val="24"/>
          <w:szCs w:val="24"/>
          <w:lang w:val="nb-NO"/>
        </w:rPr>
        <w:t xml:space="preserve"> R, et al.  </w:t>
      </w:r>
      <w:r w:rsidRPr="00E512CD">
        <w:rPr>
          <w:rFonts w:asciiTheme="majorHAnsi" w:hAnsiTheme="majorHAnsi" w:cs="Calibri"/>
          <w:color w:val="000000" w:themeColor="text1"/>
          <w:sz w:val="24"/>
          <w:szCs w:val="24"/>
        </w:rPr>
        <w:t xml:space="preserve">Internet-Based outpatient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for patients following total knee arthroplasty: A randomized controlled trial.  </w:t>
      </w:r>
      <w:r w:rsidRPr="00E512CD">
        <w:rPr>
          <w:rFonts w:asciiTheme="majorHAnsi" w:hAnsiTheme="majorHAnsi" w:cs="Calibri"/>
          <w:i/>
          <w:color w:val="000000" w:themeColor="text1"/>
          <w:sz w:val="24"/>
          <w:szCs w:val="24"/>
        </w:rPr>
        <w:t xml:space="preserve">J Bone Joint </w:t>
      </w:r>
      <w:proofErr w:type="spellStart"/>
      <w:r w:rsidRPr="00E512CD">
        <w:rPr>
          <w:rFonts w:asciiTheme="majorHAnsi" w:hAnsiTheme="majorHAnsi" w:cs="Calibri"/>
          <w:i/>
          <w:color w:val="000000" w:themeColor="text1"/>
          <w:sz w:val="24"/>
          <w:szCs w:val="24"/>
        </w:rPr>
        <w:t>Surg</w:t>
      </w:r>
      <w:proofErr w:type="spellEnd"/>
      <w:r w:rsidRPr="00E512CD">
        <w:rPr>
          <w:rFonts w:asciiTheme="majorHAnsi" w:hAnsiTheme="majorHAnsi" w:cs="Calibri"/>
          <w:i/>
          <w:color w:val="000000" w:themeColor="text1"/>
          <w:sz w:val="24"/>
          <w:szCs w:val="24"/>
        </w:rPr>
        <w:t xml:space="preserve"> Am.  </w:t>
      </w:r>
      <w:proofErr w:type="gramStart"/>
      <w:r w:rsidRPr="00E512CD">
        <w:rPr>
          <w:rFonts w:asciiTheme="majorHAnsi" w:hAnsiTheme="majorHAnsi" w:cs="Calibri"/>
          <w:color w:val="000000" w:themeColor="text1"/>
          <w:sz w:val="24"/>
          <w:szCs w:val="24"/>
        </w:rPr>
        <w:t>2011;93:113</w:t>
      </w:r>
      <w:proofErr w:type="gramEnd"/>
      <w:r w:rsidRPr="00E512CD">
        <w:rPr>
          <w:rFonts w:asciiTheme="majorHAnsi" w:hAnsiTheme="majorHAnsi" w:cs="Calibri"/>
          <w:color w:val="000000" w:themeColor="text1"/>
          <w:sz w:val="24"/>
          <w:szCs w:val="24"/>
        </w:rPr>
        <w:t xml:space="preserve">-120.  </w:t>
      </w:r>
    </w:p>
    <w:p w14:paraId="5DF62D7C" w14:textId="77777777" w:rsidR="00527D9E" w:rsidRPr="00E512CD" w:rsidRDefault="003F1165" w:rsidP="00527D9E">
      <w:pPr>
        <w:numPr>
          <w:ilvl w:val="0"/>
          <w:numId w:val="1"/>
        </w:numPr>
        <w:spacing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lang w:val="fr-FR"/>
        </w:rPr>
        <w:t xml:space="preserve">Tousignant M, </w:t>
      </w:r>
      <w:proofErr w:type="spellStart"/>
      <w:r w:rsidRPr="00E512CD">
        <w:rPr>
          <w:rFonts w:asciiTheme="majorHAnsi" w:hAnsiTheme="majorHAnsi" w:cs="Calibri"/>
          <w:color w:val="000000" w:themeColor="text1"/>
          <w:sz w:val="24"/>
          <w:szCs w:val="24"/>
          <w:lang w:val="fr-FR"/>
        </w:rPr>
        <w:t>Moffet</w:t>
      </w:r>
      <w:proofErr w:type="spellEnd"/>
      <w:r w:rsidRPr="00E512CD">
        <w:rPr>
          <w:rFonts w:asciiTheme="majorHAnsi" w:hAnsiTheme="majorHAnsi" w:cs="Calibri"/>
          <w:color w:val="000000" w:themeColor="text1"/>
          <w:sz w:val="24"/>
          <w:szCs w:val="24"/>
          <w:lang w:val="fr-FR"/>
        </w:rPr>
        <w:t xml:space="preserve"> H, </w:t>
      </w:r>
      <w:proofErr w:type="spellStart"/>
      <w:r w:rsidRPr="00E512CD">
        <w:rPr>
          <w:rFonts w:asciiTheme="majorHAnsi" w:hAnsiTheme="majorHAnsi" w:cs="Calibri"/>
          <w:color w:val="000000" w:themeColor="text1"/>
          <w:sz w:val="24"/>
          <w:szCs w:val="24"/>
          <w:lang w:val="fr-FR"/>
        </w:rPr>
        <w:t>Boissy</w:t>
      </w:r>
      <w:proofErr w:type="spellEnd"/>
      <w:r w:rsidRPr="00E512CD">
        <w:rPr>
          <w:rFonts w:asciiTheme="majorHAnsi" w:hAnsiTheme="majorHAnsi" w:cs="Calibri"/>
          <w:color w:val="000000" w:themeColor="text1"/>
          <w:sz w:val="24"/>
          <w:szCs w:val="24"/>
          <w:lang w:val="fr-FR"/>
        </w:rPr>
        <w:t xml:space="preserve"> P, </w:t>
      </w:r>
      <w:proofErr w:type="spellStart"/>
      <w:r w:rsidRPr="00E512CD">
        <w:rPr>
          <w:rFonts w:asciiTheme="majorHAnsi" w:hAnsiTheme="majorHAnsi" w:cs="Calibri"/>
          <w:color w:val="000000" w:themeColor="text1"/>
          <w:sz w:val="24"/>
          <w:szCs w:val="24"/>
          <w:lang w:val="fr-FR"/>
        </w:rPr>
        <w:t>Corriveau</w:t>
      </w:r>
      <w:proofErr w:type="spellEnd"/>
      <w:r w:rsidRPr="00E512CD">
        <w:rPr>
          <w:rFonts w:asciiTheme="majorHAnsi" w:hAnsiTheme="majorHAnsi" w:cs="Calibri"/>
          <w:color w:val="000000" w:themeColor="text1"/>
          <w:sz w:val="24"/>
          <w:szCs w:val="24"/>
          <w:lang w:val="fr-FR"/>
        </w:rPr>
        <w:t xml:space="preserve"> H, Cabana F, Marquis F.  </w:t>
      </w:r>
      <w:r w:rsidRPr="00E512CD">
        <w:rPr>
          <w:rFonts w:asciiTheme="majorHAnsi" w:hAnsiTheme="majorHAnsi" w:cs="Calibri"/>
          <w:color w:val="000000" w:themeColor="text1"/>
          <w:sz w:val="24"/>
          <w:szCs w:val="24"/>
        </w:rPr>
        <w:t xml:space="preserve">A randomized controlled trial of home </w:t>
      </w:r>
      <w:proofErr w:type="spellStart"/>
      <w:r w:rsidRPr="00E512CD">
        <w:rPr>
          <w:rFonts w:asciiTheme="majorHAnsi" w:hAnsiTheme="majorHAnsi" w:cs="Calibri"/>
          <w:color w:val="000000" w:themeColor="text1"/>
          <w:sz w:val="24"/>
          <w:szCs w:val="24"/>
        </w:rPr>
        <w:t>teleerehabilitation</w:t>
      </w:r>
      <w:proofErr w:type="spellEnd"/>
      <w:r w:rsidRPr="00E512CD">
        <w:rPr>
          <w:rFonts w:asciiTheme="majorHAnsi" w:hAnsiTheme="majorHAnsi" w:cs="Calibri"/>
          <w:color w:val="000000" w:themeColor="text1"/>
          <w:sz w:val="24"/>
          <w:szCs w:val="24"/>
        </w:rPr>
        <w:t xml:space="preserve"> for post-knee arthroplasty.  J </w:t>
      </w:r>
      <w:proofErr w:type="spellStart"/>
      <w:r w:rsidRPr="00E512CD">
        <w:rPr>
          <w:rFonts w:asciiTheme="majorHAnsi" w:hAnsiTheme="majorHAnsi" w:cs="Calibri"/>
          <w:color w:val="000000" w:themeColor="text1"/>
          <w:sz w:val="24"/>
          <w:szCs w:val="24"/>
        </w:rPr>
        <w:t>Telemed</w:t>
      </w:r>
      <w:proofErr w:type="spellEnd"/>
      <w:r w:rsidRPr="00E512CD">
        <w:rPr>
          <w:rFonts w:asciiTheme="majorHAnsi" w:hAnsiTheme="majorHAnsi" w:cs="Calibri"/>
          <w:color w:val="000000" w:themeColor="text1"/>
          <w:sz w:val="24"/>
          <w:szCs w:val="24"/>
        </w:rPr>
        <w:t xml:space="preserve"> Telecare.  2011;17(4):195-198.</w:t>
      </w:r>
    </w:p>
    <w:p w14:paraId="51C235A9" w14:textId="52BD5131" w:rsidR="00527D9E" w:rsidRPr="00E512CD" w:rsidRDefault="003F1165" w:rsidP="00527D9E">
      <w:pPr>
        <w:numPr>
          <w:ilvl w:val="0"/>
          <w:numId w:val="1"/>
        </w:numPr>
        <w:spacing w:line="480" w:lineRule="auto"/>
        <w:rPr>
          <w:rFonts w:asciiTheme="majorHAnsi" w:hAnsiTheme="majorHAnsi" w:cs="Calibri"/>
          <w:color w:val="000000" w:themeColor="text1"/>
          <w:sz w:val="24"/>
          <w:szCs w:val="24"/>
        </w:rPr>
      </w:pPr>
      <w:proofErr w:type="spellStart"/>
      <w:r w:rsidRPr="00E512CD">
        <w:rPr>
          <w:rFonts w:asciiTheme="majorHAnsi" w:hAnsiTheme="majorHAnsi" w:cs="Calibri"/>
          <w:color w:val="000000" w:themeColor="text1"/>
          <w:sz w:val="24"/>
          <w:szCs w:val="24"/>
        </w:rPr>
        <w:t>Chumbler</w:t>
      </w:r>
      <w:proofErr w:type="spellEnd"/>
      <w:r w:rsidRPr="00E512CD">
        <w:rPr>
          <w:rFonts w:asciiTheme="majorHAnsi" w:hAnsiTheme="majorHAnsi" w:cs="Calibri"/>
          <w:color w:val="000000" w:themeColor="text1"/>
          <w:sz w:val="24"/>
          <w:szCs w:val="24"/>
        </w:rPr>
        <w:t xml:space="preserve"> NR, Quigley P, Li X, et al.  Effects of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on physical function and disability for stroke patients: a randomized, controlled trial.  Stroke.  2012;43(8):2168-2174.</w:t>
      </w:r>
    </w:p>
    <w:p w14:paraId="00C0E196" w14:textId="355B00A0" w:rsidR="00385E28" w:rsidRPr="00E512CD" w:rsidRDefault="00385E28" w:rsidP="00385E28">
      <w:pPr>
        <w:pStyle w:val="EndNoteBibliography"/>
        <w:numPr>
          <w:ilvl w:val="0"/>
          <w:numId w:val="1"/>
        </w:numPr>
        <w:spacing w:after="0" w:line="480" w:lineRule="auto"/>
        <w:rPr>
          <w:rFonts w:asciiTheme="majorHAnsi" w:hAnsiTheme="majorHAnsi"/>
          <w:noProof/>
          <w:sz w:val="24"/>
          <w:szCs w:val="24"/>
        </w:rPr>
      </w:pPr>
      <w:r w:rsidRPr="00E512CD">
        <w:rPr>
          <w:rFonts w:asciiTheme="majorHAnsi" w:hAnsiTheme="majorHAnsi"/>
          <w:noProof/>
          <w:sz w:val="24"/>
          <w:szCs w:val="24"/>
          <w:lang w:val="fr-FR"/>
        </w:rPr>
        <w:t xml:space="preserve">Tousignant M, Moffet H, Nadeau S, et al. </w:t>
      </w:r>
      <w:r w:rsidRPr="00E512CD">
        <w:rPr>
          <w:rFonts w:asciiTheme="majorHAnsi" w:hAnsiTheme="majorHAnsi"/>
          <w:noProof/>
          <w:sz w:val="24"/>
          <w:szCs w:val="24"/>
        </w:rPr>
        <w:t xml:space="preserve">Cost analysis of in-home telerehabilitation for post-knee arthroplasty. </w:t>
      </w:r>
      <w:r w:rsidRPr="00E512CD">
        <w:rPr>
          <w:rFonts w:asciiTheme="majorHAnsi" w:hAnsiTheme="majorHAnsi"/>
          <w:i/>
          <w:noProof/>
          <w:sz w:val="24"/>
          <w:szCs w:val="24"/>
        </w:rPr>
        <w:t>Journal of medical Internet research</w:t>
      </w:r>
      <w:r w:rsidRPr="00E512CD">
        <w:rPr>
          <w:rFonts w:asciiTheme="majorHAnsi" w:hAnsiTheme="majorHAnsi"/>
          <w:noProof/>
          <w:sz w:val="24"/>
          <w:szCs w:val="24"/>
        </w:rPr>
        <w:t xml:space="preserve"> 2015;17(3).</w:t>
      </w:r>
    </w:p>
    <w:p w14:paraId="7F33D250" w14:textId="77777777" w:rsidR="00385E28" w:rsidRPr="00E512CD" w:rsidRDefault="00385E28" w:rsidP="00385E28">
      <w:pPr>
        <w:pStyle w:val="EndNoteBibliography"/>
        <w:spacing w:after="0"/>
        <w:ind w:left="720"/>
        <w:rPr>
          <w:rFonts w:asciiTheme="majorHAnsi" w:hAnsiTheme="majorHAnsi"/>
          <w:noProof/>
          <w:sz w:val="24"/>
          <w:szCs w:val="24"/>
        </w:rPr>
      </w:pPr>
    </w:p>
    <w:p w14:paraId="53884C3D" w14:textId="7E5CE6FD" w:rsidR="00CB36F4"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lastRenderedPageBreak/>
        <w:t xml:space="preserve">Hughes AM, Burridge JH, Demain SH, et al.  Translation of evidence-based Assistive Technologies into stroke rehabilitation: users’ perceptions of the barriers and opportunities.  </w:t>
      </w:r>
      <w:r w:rsidRPr="00E512CD">
        <w:rPr>
          <w:rFonts w:asciiTheme="majorHAnsi" w:hAnsiTheme="majorHAnsi" w:cs="Calibri"/>
          <w:i/>
          <w:iCs/>
          <w:color w:val="000000" w:themeColor="text1"/>
          <w:sz w:val="24"/>
          <w:szCs w:val="24"/>
          <w:lang w:val="en-GB"/>
        </w:rPr>
        <w:t xml:space="preserve">BMC Health </w:t>
      </w:r>
      <w:proofErr w:type="spellStart"/>
      <w:r w:rsidRPr="00E512CD">
        <w:rPr>
          <w:rFonts w:asciiTheme="majorHAnsi" w:hAnsiTheme="majorHAnsi" w:cs="Calibri"/>
          <w:i/>
          <w:iCs/>
          <w:color w:val="000000" w:themeColor="text1"/>
          <w:sz w:val="24"/>
          <w:szCs w:val="24"/>
          <w:lang w:val="en-GB"/>
        </w:rPr>
        <w:t>Serv</w:t>
      </w:r>
      <w:proofErr w:type="spellEnd"/>
      <w:r w:rsidRPr="00E512CD">
        <w:rPr>
          <w:rFonts w:asciiTheme="majorHAnsi" w:hAnsiTheme="majorHAnsi" w:cs="Calibri"/>
          <w:i/>
          <w:iCs/>
          <w:color w:val="000000" w:themeColor="text1"/>
          <w:sz w:val="24"/>
          <w:szCs w:val="24"/>
          <w:lang w:val="en-GB"/>
        </w:rPr>
        <w:t xml:space="preserve"> Res</w:t>
      </w:r>
      <w:r w:rsidRPr="00E512CD">
        <w:rPr>
          <w:rFonts w:asciiTheme="majorHAnsi" w:hAnsiTheme="majorHAnsi" w:cs="Calibri"/>
          <w:color w:val="000000" w:themeColor="text1"/>
          <w:sz w:val="24"/>
          <w:szCs w:val="24"/>
          <w:lang w:val="en-GB"/>
        </w:rPr>
        <w:t xml:space="preserve">.  </w:t>
      </w:r>
      <w:proofErr w:type="gramStart"/>
      <w:r w:rsidRPr="00E512CD">
        <w:rPr>
          <w:rFonts w:asciiTheme="majorHAnsi" w:hAnsiTheme="majorHAnsi" w:cs="Calibri"/>
          <w:color w:val="000000" w:themeColor="text1"/>
          <w:sz w:val="24"/>
          <w:szCs w:val="24"/>
          <w:lang w:val="en-GB"/>
        </w:rPr>
        <w:t>2014;14:124</w:t>
      </w:r>
      <w:proofErr w:type="gramEnd"/>
      <w:r w:rsidRPr="00E512CD">
        <w:rPr>
          <w:rFonts w:asciiTheme="majorHAnsi" w:hAnsiTheme="majorHAnsi" w:cs="Calibri"/>
          <w:color w:val="000000" w:themeColor="text1"/>
          <w:sz w:val="24"/>
          <w:szCs w:val="24"/>
          <w:lang w:val="en-GB"/>
        </w:rPr>
        <w:t xml:space="preserve">.    </w:t>
      </w:r>
    </w:p>
    <w:p w14:paraId="7C54ADB2" w14:textId="14F5E0C0" w:rsidR="00901E6A"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 xml:space="preserve">Dorsey ER, </w:t>
      </w:r>
      <w:proofErr w:type="spellStart"/>
      <w:r w:rsidRPr="00E512CD">
        <w:rPr>
          <w:rFonts w:asciiTheme="majorHAnsi" w:hAnsiTheme="majorHAnsi" w:cs="Calibri"/>
          <w:color w:val="000000" w:themeColor="text1"/>
          <w:sz w:val="24"/>
          <w:szCs w:val="24"/>
          <w:lang w:val="en-GB"/>
        </w:rPr>
        <w:t>Topol</w:t>
      </w:r>
      <w:proofErr w:type="spellEnd"/>
      <w:r w:rsidRPr="00E512CD">
        <w:rPr>
          <w:rFonts w:asciiTheme="majorHAnsi" w:hAnsiTheme="majorHAnsi" w:cs="Calibri"/>
          <w:color w:val="000000" w:themeColor="text1"/>
          <w:sz w:val="24"/>
          <w:szCs w:val="24"/>
          <w:lang w:val="en-GB"/>
        </w:rPr>
        <w:t xml:space="preserve"> EJ.  State of telehealth.  </w:t>
      </w:r>
      <w:r w:rsidRPr="00E512CD">
        <w:rPr>
          <w:rFonts w:asciiTheme="majorHAnsi" w:hAnsiTheme="majorHAnsi" w:cs="Calibri"/>
          <w:i/>
          <w:color w:val="000000" w:themeColor="text1"/>
          <w:sz w:val="24"/>
          <w:szCs w:val="24"/>
          <w:lang w:val="en-GB"/>
        </w:rPr>
        <w:t>NEJM.</w:t>
      </w:r>
      <w:r w:rsidRPr="00E512CD">
        <w:rPr>
          <w:rFonts w:asciiTheme="majorHAnsi" w:hAnsiTheme="majorHAnsi" w:cs="Calibri"/>
          <w:color w:val="000000" w:themeColor="text1"/>
          <w:sz w:val="24"/>
          <w:szCs w:val="24"/>
          <w:lang w:val="en-GB"/>
        </w:rPr>
        <w:t xml:space="preserve">  2016;375(2):154-161.</w:t>
      </w:r>
    </w:p>
    <w:p w14:paraId="332540B1" w14:textId="77777777" w:rsidR="00C5792C"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noProof/>
          <w:sz w:val="24"/>
          <w:szCs w:val="24"/>
          <w:lang w:val="fr-FR"/>
        </w:rPr>
        <w:t xml:space="preserve">Fryer CE, Luker JA, McDonnell MN, et al. </w:t>
      </w:r>
      <w:r w:rsidRPr="00E512CD">
        <w:rPr>
          <w:rFonts w:asciiTheme="majorHAnsi" w:hAnsiTheme="majorHAnsi"/>
          <w:noProof/>
          <w:sz w:val="24"/>
          <w:szCs w:val="24"/>
        </w:rPr>
        <w:t xml:space="preserve">Self management programmes for quality of life in people with stroke. </w:t>
      </w:r>
      <w:r w:rsidRPr="00E512CD">
        <w:rPr>
          <w:rFonts w:asciiTheme="majorHAnsi" w:hAnsiTheme="majorHAnsi"/>
          <w:i/>
          <w:noProof/>
          <w:sz w:val="24"/>
          <w:szCs w:val="24"/>
        </w:rPr>
        <w:t>The Cochrane Library</w:t>
      </w:r>
      <w:r w:rsidRPr="00E512CD">
        <w:rPr>
          <w:rFonts w:asciiTheme="majorHAnsi" w:hAnsiTheme="majorHAnsi"/>
          <w:noProof/>
          <w:sz w:val="24"/>
          <w:szCs w:val="24"/>
        </w:rPr>
        <w:t xml:space="preserve"> 2016.</w:t>
      </w:r>
    </w:p>
    <w:p w14:paraId="5C9DABFB" w14:textId="372F9A12" w:rsidR="00CB36F4"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proofErr w:type="spellStart"/>
      <w:r w:rsidRPr="00E512CD">
        <w:rPr>
          <w:rFonts w:asciiTheme="majorHAnsi" w:hAnsiTheme="majorHAnsi" w:cs="Calibri"/>
          <w:color w:val="000000" w:themeColor="text1"/>
          <w:sz w:val="24"/>
          <w:szCs w:val="24"/>
          <w:lang w:val="en-GB"/>
        </w:rPr>
        <w:t>Sirtori</w:t>
      </w:r>
      <w:proofErr w:type="spellEnd"/>
      <w:r w:rsidRPr="00E512CD">
        <w:rPr>
          <w:rFonts w:asciiTheme="majorHAnsi" w:hAnsiTheme="majorHAnsi" w:cs="Calibri"/>
          <w:color w:val="000000" w:themeColor="text1"/>
          <w:sz w:val="24"/>
          <w:szCs w:val="24"/>
          <w:lang w:val="en-GB"/>
        </w:rPr>
        <w:t xml:space="preserve"> V, </w:t>
      </w:r>
      <w:proofErr w:type="spellStart"/>
      <w:r w:rsidRPr="00E512CD">
        <w:rPr>
          <w:rFonts w:asciiTheme="majorHAnsi" w:hAnsiTheme="majorHAnsi" w:cs="Calibri"/>
          <w:color w:val="000000" w:themeColor="text1"/>
          <w:sz w:val="24"/>
          <w:szCs w:val="24"/>
          <w:lang w:val="en-GB"/>
        </w:rPr>
        <w:t>Corbetta</w:t>
      </w:r>
      <w:proofErr w:type="spellEnd"/>
      <w:r w:rsidRPr="00E512CD">
        <w:rPr>
          <w:rFonts w:asciiTheme="majorHAnsi" w:hAnsiTheme="majorHAnsi" w:cs="Calibri"/>
          <w:color w:val="000000" w:themeColor="text1"/>
          <w:sz w:val="24"/>
          <w:szCs w:val="24"/>
          <w:lang w:val="en-GB"/>
        </w:rPr>
        <w:t xml:space="preserve"> D, </w:t>
      </w:r>
      <w:proofErr w:type="spellStart"/>
      <w:r w:rsidRPr="00E512CD">
        <w:rPr>
          <w:rFonts w:asciiTheme="majorHAnsi" w:hAnsiTheme="majorHAnsi" w:cs="Calibri"/>
          <w:color w:val="000000" w:themeColor="text1"/>
          <w:sz w:val="24"/>
          <w:szCs w:val="24"/>
          <w:lang w:val="en-GB"/>
        </w:rPr>
        <w:t>Moja</w:t>
      </w:r>
      <w:proofErr w:type="spellEnd"/>
      <w:r w:rsidRPr="00E512CD">
        <w:rPr>
          <w:rFonts w:asciiTheme="majorHAnsi" w:hAnsiTheme="majorHAnsi" w:cs="Calibri"/>
          <w:color w:val="000000" w:themeColor="text1"/>
          <w:sz w:val="24"/>
          <w:szCs w:val="24"/>
          <w:lang w:val="en-GB"/>
        </w:rPr>
        <w:t xml:space="preserve"> L, </w:t>
      </w:r>
      <w:proofErr w:type="spellStart"/>
      <w:r w:rsidRPr="00E512CD">
        <w:rPr>
          <w:rFonts w:asciiTheme="majorHAnsi" w:hAnsiTheme="majorHAnsi" w:cs="Calibri"/>
          <w:color w:val="000000" w:themeColor="text1"/>
          <w:sz w:val="24"/>
          <w:szCs w:val="24"/>
          <w:lang w:val="en-GB"/>
        </w:rPr>
        <w:t>Gatti</w:t>
      </w:r>
      <w:proofErr w:type="spellEnd"/>
      <w:r w:rsidRPr="00E512CD">
        <w:rPr>
          <w:rFonts w:asciiTheme="majorHAnsi" w:hAnsiTheme="majorHAnsi" w:cs="Calibri"/>
          <w:color w:val="000000" w:themeColor="text1"/>
          <w:sz w:val="24"/>
          <w:szCs w:val="24"/>
          <w:lang w:val="en-GB"/>
        </w:rPr>
        <w:t xml:space="preserve"> R. Constraint-induced movement therapy for upper extremities in stroke patients. </w:t>
      </w:r>
      <w:r w:rsidRPr="00E512CD">
        <w:rPr>
          <w:rFonts w:asciiTheme="majorHAnsi" w:hAnsiTheme="majorHAnsi" w:cs="Calibri"/>
          <w:i/>
          <w:color w:val="000000" w:themeColor="text1"/>
          <w:sz w:val="24"/>
          <w:szCs w:val="24"/>
          <w:lang w:val="en-GB"/>
        </w:rPr>
        <w:t xml:space="preserve">Cochrane Database of Systematic Reviews. </w:t>
      </w:r>
      <w:r w:rsidRPr="00E512CD">
        <w:rPr>
          <w:rFonts w:asciiTheme="majorHAnsi" w:hAnsiTheme="majorHAnsi" w:cs="Calibri"/>
          <w:color w:val="000000" w:themeColor="text1"/>
          <w:sz w:val="24"/>
          <w:szCs w:val="24"/>
          <w:lang w:val="en-GB"/>
        </w:rPr>
        <w:t>2009(4).</w:t>
      </w:r>
    </w:p>
    <w:p w14:paraId="27DBB4D2" w14:textId="3A5E1C75" w:rsidR="00CB36F4"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nl-NL"/>
        </w:rPr>
        <w:t xml:space="preserve">Kwakkel G, Veerbeek JM, van Wegen EE, Wolf SL. </w:t>
      </w:r>
      <w:r w:rsidRPr="00E512CD">
        <w:rPr>
          <w:rFonts w:asciiTheme="majorHAnsi" w:hAnsiTheme="majorHAnsi" w:cs="Calibri"/>
          <w:color w:val="000000" w:themeColor="text1"/>
          <w:sz w:val="24"/>
          <w:szCs w:val="24"/>
          <w:lang w:val="en-GB"/>
        </w:rPr>
        <w:t xml:space="preserve">Constraint-induced movement therapy after stroke. </w:t>
      </w:r>
      <w:r w:rsidRPr="00E512CD">
        <w:rPr>
          <w:rFonts w:asciiTheme="majorHAnsi" w:hAnsiTheme="majorHAnsi" w:cs="Calibri"/>
          <w:i/>
          <w:color w:val="000000" w:themeColor="text1"/>
          <w:sz w:val="24"/>
          <w:szCs w:val="24"/>
          <w:lang w:val="en-GB"/>
        </w:rPr>
        <w:t xml:space="preserve">Lancet Neurol. </w:t>
      </w:r>
      <w:r w:rsidRPr="00E512CD">
        <w:rPr>
          <w:rFonts w:asciiTheme="majorHAnsi" w:hAnsiTheme="majorHAnsi" w:cs="Calibri"/>
          <w:color w:val="000000" w:themeColor="text1"/>
          <w:sz w:val="24"/>
          <w:szCs w:val="24"/>
          <w:lang w:val="en-GB"/>
        </w:rPr>
        <w:t>2015;14(2):224-234.</w:t>
      </w:r>
    </w:p>
    <w:p w14:paraId="5685C6A5" w14:textId="65C7FCE4" w:rsidR="00CB36F4"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proofErr w:type="spellStart"/>
      <w:r w:rsidRPr="00E512CD">
        <w:rPr>
          <w:rFonts w:asciiTheme="majorHAnsi" w:hAnsiTheme="majorHAnsi" w:cs="Calibri"/>
          <w:color w:val="000000" w:themeColor="text1"/>
          <w:sz w:val="24"/>
          <w:szCs w:val="24"/>
          <w:lang w:val="en-GB"/>
        </w:rPr>
        <w:t>Barzel</w:t>
      </w:r>
      <w:proofErr w:type="spellEnd"/>
      <w:r w:rsidRPr="00E512CD">
        <w:rPr>
          <w:rFonts w:asciiTheme="majorHAnsi" w:hAnsiTheme="majorHAnsi" w:cs="Calibri"/>
          <w:color w:val="000000" w:themeColor="text1"/>
          <w:sz w:val="24"/>
          <w:szCs w:val="24"/>
          <w:lang w:val="en-GB"/>
        </w:rPr>
        <w:t xml:space="preserve"> A, </w:t>
      </w:r>
      <w:proofErr w:type="spellStart"/>
      <w:r w:rsidRPr="00E512CD">
        <w:rPr>
          <w:rFonts w:asciiTheme="majorHAnsi" w:hAnsiTheme="majorHAnsi" w:cs="Calibri"/>
          <w:color w:val="000000" w:themeColor="text1"/>
          <w:sz w:val="24"/>
          <w:szCs w:val="24"/>
          <w:lang w:val="en-GB"/>
        </w:rPr>
        <w:t>Ketels</w:t>
      </w:r>
      <w:proofErr w:type="spellEnd"/>
      <w:r w:rsidRPr="00E512CD">
        <w:rPr>
          <w:rFonts w:asciiTheme="majorHAnsi" w:hAnsiTheme="majorHAnsi" w:cs="Calibri"/>
          <w:color w:val="000000" w:themeColor="text1"/>
          <w:sz w:val="24"/>
          <w:szCs w:val="24"/>
          <w:lang w:val="en-GB"/>
        </w:rPr>
        <w:t xml:space="preserve"> G, Stark A, et al. Home-based constraint-induced movement therapy for patients with upper limb dysfunction after stroke (HOMECIMT): a cluster-randomised, controlled trial. </w:t>
      </w:r>
      <w:r w:rsidRPr="00E512CD">
        <w:rPr>
          <w:rFonts w:asciiTheme="majorHAnsi" w:hAnsiTheme="majorHAnsi" w:cs="Calibri"/>
          <w:i/>
          <w:color w:val="000000" w:themeColor="text1"/>
          <w:sz w:val="24"/>
          <w:szCs w:val="24"/>
          <w:lang w:val="en-GB"/>
        </w:rPr>
        <w:t xml:space="preserve">Lancet Neurol. </w:t>
      </w:r>
      <w:r w:rsidRPr="00E512CD">
        <w:rPr>
          <w:rFonts w:asciiTheme="majorHAnsi" w:hAnsiTheme="majorHAnsi" w:cs="Calibri"/>
          <w:color w:val="000000" w:themeColor="text1"/>
          <w:sz w:val="24"/>
          <w:szCs w:val="24"/>
          <w:lang w:val="en-GB"/>
        </w:rPr>
        <w:t>2015;14(9):893-902.</w:t>
      </w:r>
    </w:p>
    <w:p w14:paraId="0C72D13A" w14:textId="419A778C" w:rsidR="00B26605" w:rsidRPr="00E512CD" w:rsidRDefault="003F1165" w:rsidP="00F805EF">
      <w:pPr>
        <w:numPr>
          <w:ilvl w:val="0"/>
          <w:numId w:val="1"/>
        </w:numPr>
        <w:spacing w:line="480" w:lineRule="auto"/>
        <w:rPr>
          <w:rFonts w:asciiTheme="majorHAnsi" w:hAnsiTheme="majorHAnsi"/>
          <w:sz w:val="24"/>
          <w:szCs w:val="24"/>
        </w:rPr>
      </w:pPr>
      <w:r w:rsidRPr="00E512CD">
        <w:rPr>
          <w:rFonts w:asciiTheme="majorHAnsi" w:hAnsiTheme="majorHAnsi"/>
          <w:sz w:val="24"/>
          <w:szCs w:val="24"/>
        </w:rPr>
        <w:t xml:space="preserve">Wolf SL, </w:t>
      </w:r>
      <w:proofErr w:type="spellStart"/>
      <w:r w:rsidRPr="00E512CD">
        <w:rPr>
          <w:rFonts w:asciiTheme="majorHAnsi" w:hAnsiTheme="majorHAnsi"/>
          <w:sz w:val="24"/>
          <w:szCs w:val="24"/>
        </w:rPr>
        <w:t>Winstein</w:t>
      </w:r>
      <w:proofErr w:type="spellEnd"/>
      <w:r w:rsidRPr="00E512CD">
        <w:rPr>
          <w:rFonts w:asciiTheme="majorHAnsi" w:hAnsiTheme="majorHAnsi"/>
          <w:sz w:val="24"/>
          <w:szCs w:val="24"/>
        </w:rPr>
        <w:t xml:space="preserve"> CJ, Miller JP, et al. Effect of constraint-induced movement therapy on upper extremity function 3 to 9 months after stroke: the EXCITE randomized clinical trial. </w:t>
      </w:r>
      <w:r w:rsidRPr="00E512CD">
        <w:rPr>
          <w:rFonts w:asciiTheme="majorHAnsi" w:hAnsiTheme="majorHAnsi"/>
          <w:i/>
          <w:sz w:val="24"/>
          <w:szCs w:val="24"/>
        </w:rPr>
        <w:t>JAMA</w:t>
      </w:r>
      <w:r w:rsidRPr="00E512CD">
        <w:rPr>
          <w:rFonts w:asciiTheme="majorHAnsi" w:hAnsiTheme="majorHAnsi"/>
          <w:sz w:val="24"/>
          <w:szCs w:val="24"/>
        </w:rPr>
        <w:t xml:space="preserve"> </w:t>
      </w:r>
      <w:proofErr w:type="gramStart"/>
      <w:r w:rsidRPr="00E512CD">
        <w:rPr>
          <w:rFonts w:asciiTheme="majorHAnsi" w:hAnsiTheme="majorHAnsi"/>
          <w:sz w:val="24"/>
          <w:szCs w:val="24"/>
        </w:rPr>
        <w:t>2006;296:2095</w:t>
      </w:r>
      <w:proofErr w:type="gramEnd"/>
      <w:r w:rsidRPr="00E512CD">
        <w:rPr>
          <w:rFonts w:asciiTheme="majorHAnsi" w:hAnsiTheme="majorHAnsi"/>
          <w:sz w:val="24"/>
          <w:szCs w:val="24"/>
        </w:rPr>
        <w:t>-104.</w:t>
      </w:r>
    </w:p>
    <w:p w14:paraId="010E5161" w14:textId="77777777" w:rsidR="00737AD7" w:rsidRPr="00E512CD" w:rsidRDefault="003F1165" w:rsidP="00B26605">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 xml:space="preserve">Yardley L, Morrison L, Bradbury K, Muller I.  The person-based approach to intervention development: application to digital health-related </w:t>
      </w:r>
      <w:proofErr w:type="spellStart"/>
      <w:r w:rsidRPr="00E512CD">
        <w:rPr>
          <w:rFonts w:asciiTheme="majorHAnsi" w:hAnsiTheme="majorHAnsi" w:cs="Calibri"/>
          <w:color w:val="000000" w:themeColor="text1"/>
          <w:sz w:val="24"/>
          <w:szCs w:val="24"/>
          <w:lang w:val="en-GB"/>
        </w:rPr>
        <w:t>behavior</w:t>
      </w:r>
      <w:proofErr w:type="spellEnd"/>
      <w:r w:rsidRPr="00E512CD">
        <w:rPr>
          <w:rFonts w:asciiTheme="majorHAnsi" w:hAnsiTheme="majorHAnsi" w:cs="Calibri"/>
          <w:color w:val="000000" w:themeColor="text1"/>
          <w:sz w:val="24"/>
          <w:szCs w:val="24"/>
          <w:lang w:val="en-GB"/>
        </w:rPr>
        <w:t xml:space="preserve"> change interventions.  J Med Internet Res.  2015;17(1</w:t>
      </w:r>
      <w:proofErr w:type="gramStart"/>
      <w:r w:rsidRPr="00E512CD">
        <w:rPr>
          <w:rFonts w:asciiTheme="majorHAnsi" w:hAnsiTheme="majorHAnsi" w:cs="Calibri"/>
          <w:color w:val="000000" w:themeColor="text1"/>
          <w:sz w:val="24"/>
          <w:szCs w:val="24"/>
          <w:lang w:val="en-GB"/>
        </w:rPr>
        <w:t>):e</w:t>
      </w:r>
      <w:proofErr w:type="gramEnd"/>
      <w:r w:rsidRPr="00E512CD">
        <w:rPr>
          <w:rFonts w:asciiTheme="majorHAnsi" w:hAnsiTheme="majorHAnsi" w:cs="Calibri"/>
          <w:color w:val="000000" w:themeColor="text1"/>
          <w:sz w:val="24"/>
          <w:szCs w:val="24"/>
          <w:lang w:val="en-GB"/>
        </w:rPr>
        <w:t xml:space="preserve">30.  </w:t>
      </w:r>
    </w:p>
    <w:p w14:paraId="00B95D9F" w14:textId="77777777" w:rsidR="00DA404C"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lastRenderedPageBreak/>
        <w:t xml:space="preserve">Harris JE, </w:t>
      </w:r>
      <w:proofErr w:type="spellStart"/>
      <w:r w:rsidRPr="00E512CD">
        <w:rPr>
          <w:rFonts w:asciiTheme="majorHAnsi" w:hAnsiTheme="majorHAnsi" w:cs="Calibri"/>
          <w:color w:val="000000" w:themeColor="text1"/>
          <w:sz w:val="24"/>
          <w:szCs w:val="24"/>
          <w:lang w:val="en-GB"/>
        </w:rPr>
        <w:t>Eng</w:t>
      </w:r>
      <w:proofErr w:type="spellEnd"/>
      <w:r w:rsidRPr="00E512CD">
        <w:rPr>
          <w:rFonts w:asciiTheme="majorHAnsi" w:hAnsiTheme="majorHAnsi" w:cs="Calibri"/>
          <w:color w:val="000000" w:themeColor="text1"/>
          <w:sz w:val="24"/>
          <w:szCs w:val="24"/>
          <w:lang w:val="en-GB"/>
        </w:rPr>
        <w:t xml:space="preserve"> JJ, Miller WC, Dawson AS. A self-administered Graded Repetitive Arm Supplementary Program (GRASP) improves arm function during inpatient stroke rehabilitation: A multi-site randomized controlled trial.  </w:t>
      </w:r>
      <w:r w:rsidRPr="00E512CD">
        <w:rPr>
          <w:rFonts w:asciiTheme="majorHAnsi" w:hAnsiTheme="majorHAnsi" w:cs="Calibri"/>
          <w:i/>
          <w:color w:val="000000" w:themeColor="text1"/>
          <w:sz w:val="24"/>
          <w:szCs w:val="24"/>
          <w:lang w:val="en-GB"/>
        </w:rPr>
        <w:t>Stroke.</w:t>
      </w:r>
      <w:r w:rsidR="00DA404C" w:rsidRPr="00E512CD">
        <w:rPr>
          <w:rFonts w:asciiTheme="majorHAnsi" w:hAnsiTheme="majorHAnsi" w:cs="Calibri"/>
          <w:color w:val="000000" w:themeColor="text1"/>
          <w:sz w:val="24"/>
          <w:szCs w:val="24"/>
          <w:lang w:val="en-GB"/>
        </w:rPr>
        <w:t>2009;40(6):2123-2128.</w:t>
      </w:r>
    </w:p>
    <w:p w14:paraId="67EB12B3" w14:textId="62493C28" w:rsidR="00F82F81"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 xml:space="preserve">Wolf SL, Catlin PA, Ellis M, Archer AL, Morgan B, </w:t>
      </w:r>
      <w:proofErr w:type="spellStart"/>
      <w:r w:rsidRPr="00E512CD">
        <w:rPr>
          <w:rFonts w:asciiTheme="majorHAnsi" w:hAnsiTheme="majorHAnsi" w:cs="Calibri"/>
          <w:color w:val="000000" w:themeColor="text1"/>
          <w:sz w:val="24"/>
          <w:szCs w:val="24"/>
          <w:lang w:val="en-GB"/>
        </w:rPr>
        <w:t>Piacentino</w:t>
      </w:r>
      <w:proofErr w:type="spellEnd"/>
      <w:r w:rsidRPr="00E512CD">
        <w:rPr>
          <w:rFonts w:asciiTheme="majorHAnsi" w:hAnsiTheme="majorHAnsi" w:cs="Calibri"/>
          <w:color w:val="000000" w:themeColor="text1"/>
          <w:sz w:val="24"/>
          <w:szCs w:val="24"/>
          <w:lang w:val="en-GB"/>
        </w:rPr>
        <w:t xml:space="preserve"> A. Assessing Wolf motor function test as outcome measure for research in patients after stroke. </w:t>
      </w:r>
      <w:r w:rsidRPr="00E512CD">
        <w:rPr>
          <w:rFonts w:asciiTheme="majorHAnsi" w:hAnsiTheme="majorHAnsi" w:cs="Calibri"/>
          <w:i/>
          <w:color w:val="000000" w:themeColor="text1"/>
          <w:sz w:val="24"/>
          <w:szCs w:val="24"/>
          <w:lang w:val="en-GB"/>
        </w:rPr>
        <w:t xml:space="preserve">Stroke. </w:t>
      </w:r>
      <w:r w:rsidRPr="00E512CD">
        <w:rPr>
          <w:rFonts w:asciiTheme="majorHAnsi" w:hAnsiTheme="majorHAnsi" w:cs="Calibri"/>
          <w:color w:val="000000" w:themeColor="text1"/>
          <w:sz w:val="24"/>
          <w:szCs w:val="24"/>
          <w:lang w:val="en-GB"/>
        </w:rPr>
        <w:t>2001;32(7):1635-1639.</w:t>
      </w:r>
    </w:p>
    <w:p w14:paraId="7DCAFBB9" w14:textId="09B9D89C" w:rsidR="00F82F81"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proofErr w:type="spellStart"/>
      <w:r w:rsidRPr="00E512CD">
        <w:rPr>
          <w:rFonts w:asciiTheme="majorHAnsi" w:hAnsiTheme="majorHAnsi" w:cs="Calibri"/>
          <w:color w:val="000000" w:themeColor="text1"/>
          <w:sz w:val="24"/>
          <w:szCs w:val="24"/>
          <w:lang w:val="en-GB"/>
        </w:rPr>
        <w:t>Uswatte</w:t>
      </w:r>
      <w:proofErr w:type="spellEnd"/>
      <w:r w:rsidRPr="00E512CD">
        <w:rPr>
          <w:rFonts w:asciiTheme="majorHAnsi" w:hAnsiTheme="majorHAnsi" w:cs="Calibri"/>
          <w:color w:val="000000" w:themeColor="text1"/>
          <w:sz w:val="24"/>
          <w:szCs w:val="24"/>
          <w:lang w:val="en-GB"/>
        </w:rPr>
        <w:t xml:space="preserve"> G, </w:t>
      </w:r>
      <w:proofErr w:type="spellStart"/>
      <w:r w:rsidRPr="00E512CD">
        <w:rPr>
          <w:rFonts w:asciiTheme="majorHAnsi" w:hAnsiTheme="majorHAnsi" w:cs="Calibri"/>
          <w:color w:val="000000" w:themeColor="text1"/>
          <w:sz w:val="24"/>
          <w:szCs w:val="24"/>
          <w:lang w:val="en-GB"/>
        </w:rPr>
        <w:t>Taub</w:t>
      </w:r>
      <w:proofErr w:type="spellEnd"/>
      <w:r w:rsidRPr="00E512CD">
        <w:rPr>
          <w:rFonts w:asciiTheme="majorHAnsi" w:hAnsiTheme="majorHAnsi" w:cs="Calibri"/>
          <w:color w:val="000000" w:themeColor="text1"/>
          <w:sz w:val="24"/>
          <w:szCs w:val="24"/>
          <w:lang w:val="en-GB"/>
        </w:rPr>
        <w:t xml:space="preserve"> E, Morris D, Light K, Thompson PA. The Motor Activity Log-28: Assessing daily use of the hemiparetic arm after stroke.  </w:t>
      </w:r>
      <w:r w:rsidRPr="00E512CD">
        <w:rPr>
          <w:rFonts w:asciiTheme="majorHAnsi" w:hAnsiTheme="majorHAnsi" w:cs="Calibri"/>
          <w:i/>
          <w:color w:val="000000" w:themeColor="text1"/>
          <w:sz w:val="24"/>
          <w:szCs w:val="24"/>
          <w:lang w:val="en-GB"/>
        </w:rPr>
        <w:t xml:space="preserve">Neurology. </w:t>
      </w:r>
      <w:r w:rsidRPr="00E512CD">
        <w:rPr>
          <w:rFonts w:asciiTheme="majorHAnsi" w:hAnsiTheme="majorHAnsi" w:cs="Calibri"/>
          <w:color w:val="000000" w:themeColor="text1"/>
          <w:sz w:val="24"/>
          <w:szCs w:val="24"/>
          <w:lang w:val="en-GB"/>
        </w:rPr>
        <w:t>2006;67(7):1189-1194.</w:t>
      </w:r>
    </w:p>
    <w:p w14:paraId="454E0DE8" w14:textId="71CE6233" w:rsidR="00716D29"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proofErr w:type="spellStart"/>
      <w:r w:rsidRPr="00E512CD">
        <w:rPr>
          <w:rFonts w:asciiTheme="majorHAnsi" w:hAnsiTheme="majorHAnsi" w:cs="Calibri"/>
          <w:color w:val="000000" w:themeColor="text1"/>
          <w:sz w:val="24"/>
          <w:szCs w:val="24"/>
        </w:rPr>
        <w:t>Whitall</w:t>
      </w:r>
      <w:proofErr w:type="spellEnd"/>
      <w:r w:rsidRPr="00E512CD">
        <w:rPr>
          <w:rFonts w:asciiTheme="majorHAnsi" w:hAnsiTheme="majorHAnsi" w:cs="Calibri"/>
          <w:color w:val="000000" w:themeColor="text1"/>
          <w:sz w:val="24"/>
          <w:szCs w:val="24"/>
        </w:rPr>
        <w:t xml:space="preserve"> J, </w:t>
      </w:r>
      <w:proofErr w:type="spellStart"/>
      <w:r w:rsidRPr="00E512CD">
        <w:rPr>
          <w:rFonts w:asciiTheme="majorHAnsi" w:hAnsiTheme="majorHAnsi" w:cs="Calibri"/>
          <w:color w:val="000000" w:themeColor="text1"/>
          <w:sz w:val="24"/>
          <w:szCs w:val="24"/>
        </w:rPr>
        <w:t>Savin</w:t>
      </w:r>
      <w:proofErr w:type="spellEnd"/>
      <w:r w:rsidRPr="00E512CD">
        <w:rPr>
          <w:rFonts w:asciiTheme="majorHAnsi" w:hAnsiTheme="majorHAnsi" w:cs="Calibri"/>
          <w:color w:val="000000" w:themeColor="text1"/>
          <w:sz w:val="24"/>
          <w:szCs w:val="24"/>
        </w:rPr>
        <w:t xml:space="preserve"> DN JR, Harris-love M, Waller SM.  Psychometric properties of a modified Wolf Motor Function Test for people with mild and moderate upper-extremity hemiparesis.  </w:t>
      </w:r>
      <w:r w:rsidRPr="00E512CD">
        <w:rPr>
          <w:rFonts w:asciiTheme="majorHAnsi" w:hAnsiTheme="majorHAnsi" w:cs="Calibri"/>
          <w:i/>
          <w:color w:val="000000" w:themeColor="text1"/>
          <w:sz w:val="24"/>
          <w:szCs w:val="24"/>
        </w:rPr>
        <w:t xml:space="preserve">Arch Phys Med </w:t>
      </w:r>
      <w:proofErr w:type="spellStart"/>
      <w:r w:rsidRPr="00E512CD">
        <w:rPr>
          <w:rFonts w:asciiTheme="majorHAnsi" w:hAnsiTheme="majorHAnsi" w:cs="Calibri"/>
          <w:i/>
          <w:color w:val="000000" w:themeColor="text1"/>
          <w:sz w:val="24"/>
          <w:szCs w:val="24"/>
        </w:rPr>
        <w:t>Rehabil</w:t>
      </w:r>
      <w:proofErr w:type="spellEnd"/>
      <w:r w:rsidRPr="00E512CD">
        <w:rPr>
          <w:rFonts w:asciiTheme="majorHAnsi" w:hAnsiTheme="majorHAnsi" w:cs="Calibri"/>
          <w:color w:val="000000" w:themeColor="text1"/>
          <w:sz w:val="24"/>
          <w:szCs w:val="24"/>
        </w:rPr>
        <w:t>.  2006;</w:t>
      </w:r>
      <w:r w:rsidRPr="00E512CD">
        <w:rPr>
          <w:rFonts w:asciiTheme="majorHAnsi" w:hAnsiTheme="majorHAnsi" w:cs="Calibri"/>
          <w:bCs/>
          <w:color w:val="000000" w:themeColor="text1"/>
          <w:sz w:val="24"/>
          <w:szCs w:val="24"/>
        </w:rPr>
        <w:t>87</w:t>
      </w:r>
      <w:r w:rsidRPr="00E512CD">
        <w:rPr>
          <w:rFonts w:asciiTheme="majorHAnsi" w:hAnsiTheme="majorHAnsi" w:cs="Calibri"/>
          <w:color w:val="000000" w:themeColor="text1"/>
          <w:sz w:val="24"/>
          <w:szCs w:val="24"/>
        </w:rPr>
        <w:t xml:space="preserve">(5):656-660.    </w:t>
      </w:r>
    </w:p>
    <w:p w14:paraId="0E10F045" w14:textId="22422E24" w:rsidR="000B4434" w:rsidRPr="00E512CD" w:rsidRDefault="003F1165" w:rsidP="000B4434">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Beecham, J, Knapp, M. Costing psychiatric interventions. In: Thornicroft, G, 1</w:t>
      </w:r>
      <w:r w:rsidRPr="00E512CD">
        <w:rPr>
          <w:rFonts w:asciiTheme="majorHAnsi" w:hAnsiTheme="majorHAnsi" w:cs="Calibri"/>
          <w:color w:val="000000" w:themeColor="text1"/>
          <w:sz w:val="24"/>
          <w:szCs w:val="24"/>
          <w:vertAlign w:val="superscript"/>
          <w:lang w:val="en-GB"/>
        </w:rPr>
        <w:t>st</w:t>
      </w:r>
      <w:r w:rsidRPr="00E512CD">
        <w:rPr>
          <w:rFonts w:asciiTheme="majorHAnsi" w:hAnsiTheme="majorHAnsi" w:cs="Calibri"/>
          <w:color w:val="000000" w:themeColor="text1"/>
          <w:sz w:val="24"/>
          <w:szCs w:val="24"/>
          <w:lang w:val="en-GB"/>
        </w:rPr>
        <w:t xml:space="preserve"> ed. </w:t>
      </w:r>
      <w:r w:rsidRPr="00E512CD">
        <w:rPr>
          <w:rFonts w:asciiTheme="majorHAnsi" w:hAnsiTheme="majorHAnsi" w:cs="Calibri"/>
          <w:i/>
          <w:color w:val="000000" w:themeColor="text1"/>
          <w:sz w:val="24"/>
          <w:szCs w:val="24"/>
          <w:lang w:val="en-GB"/>
        </w:rPr>
        <w:t>Measuring mental health needs</w:t>
      </w:r>
      <w:r w:rsidRPr="00E512CD">
        <w:rPr>
          <w:rFonts w:asciiTheme="majorHAnsi" w:hAnsiTheme="majorHAnsi" w:cs="Calibri"/>
          <w:color w:val="000000" w:themeColor="text1"/>
          <w:sz w:val="24"/>
          <w:szCs w:val="24"/>
          <w:lang w:val="en-GB"/>
        </w:rPr>
        <w:t xml:space="preserve">. London: Gaskell; 2001:163-183.  </w:t>
      </w:r>
    </w:p>
    <w:p w14:paraId="2609F516" w14:textId="1249544B" w:rsidR="00716D29"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r w:rsidRPr="00E512CD">
        <w:rPr>
          <w:rFonts w:asciiTheme="majorHAnsi" w:hAnsiTheme="majorHAnsi" w:cs="Calibri"/>
          <w:color w:val="000000" w:themeColor="text1"/>
          <w:sz w:val="24"/>
          <w:szCs w:val="24"/>
          <w:lang w:val="en-GB"/>
        </w:rPr>
        <w:t xml:space="preserve">Van der Lee JH, </w:t>
      </w:r>
      <w:proofErr w:type="spellStart"/>
      <w:r w:rsidRPr="00E512CD">
        <w:rPr>
          <w:rFonts w:asciiTheme="majorHAnsi" w:hAnsiTheme="majorHAnsi" w:cs="Calibri"/>
          <w:color w:val="000000" w:themeColor="text1"/>
          <w:sz w:val="24"/>
          <w:szCs w:val="24"/>
          <w:lang w:val="en-GB"/>
        </w:rPr>
        <w:t>Beckeman</w:t>
      </w:r>
      <w:proofErr w:type="spellEnd"/>
      <w:r w:rsidRPr="00E512CD">
        <w:rPr>
          <w:rFonts w:asciiTheme="majorHAnsi" w:hAnsiTheme="majorHAnsi" w:cs="Calibri"/>
          <w:color w:val="000000" w:themeColor="text1"/>
          <w:sz w:val="24"/>
          <w:szCs w:val="24"/>
          <w:lang w:val="en-GB"/>
        </w:rPr>
        <w:t xml:space="preserve"> H, </w:t>
      </w:r>
      <w:proofErr w:type="spellStart"/>
      <w:r w:rsidRPr="00E512CD">
        <w:rPr>
          <w:rFonts w:asciiTheme="majorHAnsi" w:hAnsiTheme="majorHAnsi" w:cs="Calibri"/>
          <w:color w:val="000000" w:themeColor="text1"/>
          <w:sz w:val="24"/>
          <w:szCs w:val="24"/>
          <w:lang w:val="en-GB"/>
        </w:rPr>
        <w:t>Knol</w:t>
      </w:r>
      <w:proofErr w:type="spellEnd"/>
      <w:r w:rsidRPr="00E512CD">
        <w:rPr>
          <w:rFonts w:asciiTheme="majorHAnsi" w:hAnsiTheme="majorHAnsi" w:cs="Calibri"/>
          <w:color w:val="000000" w:themeColor="text1"/>
          <w:sz w:val="24"/>
          <w:szCs w:val="24"/>
          <w:lang w:val="en-GB"/>
        </w:rPr>
        <w:t xml:space="preserve"> DL, de Vet HC, </w:t>
      </w:r>
      <w:proofErr w:type="spellStart"/>
      <w:r w:rsidRPr="00E512CD">
        <w:rPr>
          <w:rFonts w:asciiTheme="majorHAnsi" w:hAnsiTheme="majorHAnsi" w:cs="Calibri"/>
          <w:color w:val="000000" w:themeColor="text1"/>
          <w:sz w:val="24"/>
          <w:szCs w:val="24"/>
          <w:lang w:val="en-GB"/>
        </w:rPr>
        <w:t>Bouter</w:t>
      </w:r>
      <w:proofErr w:type="spellEnd"/>
      <w:r w:rsidRPr="00E512CD">
        <w:rPr>
          <w:rFonts w:asciiTheme="majorHAnsi" w:hAnsiTheme="majorHAnsi" w:cs="Calibri"/>
          <w:color w:val="000000" w:themeColor="text1"/>
          <w:sz w:val="24"/>
          <w:szCs w:val="24"/>
          <w:lang w:val="en-GB"/>
        </w:rPr>
        <w:t xml:space="preserve"> LM.  </w:t>
      </w:r>
      <w:proofErr w:type="spellStart"/>
      <w:r w:rsidRPr="00E512CD">
        <w:rPr>
          <w:rFonts w:asciiTheme="majorHAnsi" w:hAnsiTheme="majorHAnsi" w:cs="Calibri"/>
          <w:color w:val="000000" w:themeColor="text1"/>
          <w:sz w:val="24"/>
          <w:szCs w:val="24"/>
          <w:lang w:val="en-GB"/>
        </w:rPr>
        <w:t>Clinimetric</w:t>
      </w:r>
      <w:proofErr w:type="spellEnd"/>
      <w:r w:rsidRPr="00E512CD">
        <w:rPr>
          <w:rFonts w:asciiTheme="majorHAnsi" w:hAnsiTheme="majorHAnsi" w:cs="Calibri"/>
          <w:color w:val="000000" w:themeColor="text1"/>
          <w:sz w:val="24"/>
          <w:szCs w:val="24"/>
          <w:lang w:val="en-GB"/>
        </w:rPr>
        <w:t xml:space="preserve"> properties of the motor activity log for the assessment of arm use in hemiparetic patients.  </w:t>
      </w:r>
      <w:r w:rsidRPr="00E512CD">
        <w:rPr>
          <w:rFonts w:asciiTheme="majorHAnsi" w:hAnsiTheme="majorHAnsi" w:cs="Calibri"/>
          <w:i/>
          <w:iCs/>
          <w:color w:val="000000" w:themeColor="text1"/>
          <w:sz w:val="24"/>
          <w:szCs w:val="24"/>
          <w:lang w:val="en-GB"/>
        </w:rPr>
        <w:t xml:space="preserve">Stroke.  </w:t>
      </w:r>
      <w:r w:rsidRPr="00E512CD">
        <w:rPr>
          <w:rFonts w:asciiTheme="majorHAnsi" w:hAnsiTheme="majorHAnsi" w:cs="Calibri"/>
          <w:iCs/>
          <w:color w:val="000000" w:themeColor="text1"/>
          <w:sz w:val="24"/>
          <w:szCs w:val="24"/>
          <w:lang w:val="en-GB"/>
        </w:rPr>
        <w:t>2004;</w:t>
      </w:r>
      <w:r w:rsidRPr="00E512CD">
        <w:rPr>
          <w:rFonts w:asciiTheme="majorHAnsi" w:hAnsiTheme="majorHAnsi" w:cs="Calibri"/>
          <w:color w:val="000000" w:themeColor="text1"/>
          <w:sz w:val="24"/>
          <w:szCs w:val="24"/>
          <w:lang w:val="en-GB"/>
        </w:rPr>
        <w:t xml:space="preserve">35.6:1410-1414.   </w:t>
      </w:r>
    </w:p>
    <w:p w14:paraId="5B158A33" w14:textId="58666414" w:rsidR="00532BEF"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lang w:val="en-GB"/>
        </w:rPr>
        <w:t xml:space="preserve">Lin KC, Hsieh YW, Wu CY, Chen CL, Jang Y, Liu JS.  Minimal detectable change and clinically important difference of the Wolf Motor Function Test in stroke patients. </w:t>
      </w:r>
      <w:proofErr w:type="spellStart"/>
      <w:r w:rsidRPr="00E512CD">
        <w:rPr>
          <w:rFonts w:asciiTheme="majorHAnsi" w:hAnsiTheme="majorHAnsi" w:cs="Calibri"/>
          <w:i/>
          <w:iCs/>
          <w:color w:val="000000" w:themeColor="text1"/>
          <w:sz w:val="24"/>
          <w:szCs w:val="24"/>
          <w:lang w:val="en-GB"/>
        </w:rPr>
        <w:t>Neurorehabil</w:t>
      </w:r>
      <w:proofErr w:type="spellEnd"/>
      <w:r w:rsidRPr="00E512CD">
        <w:rPr>
          <w:rFonts w:asciiTheme="majorHAnsi" w:hAnsiTheme="majorHAnsi" w:cs="Calibri"/>
          <w:i/>
          <w:iCs/>
          <w:color w:val="000000" w:themeColor="text1"/>
          <w:sz w:val="24"/>
          <w:szCs w:val="24"/>
          <w:lang w:val="en-GB"/>
        </w:rPr>
        <w:t xml:space="preserve"> Neural Repair</w:t>
      </w:r>
      <w:r w:rsidRPr="00E512CD">
        <w:rPr>
          <w:rFonts w:asciiTheme="majorHAnsi" w:hAnsiTheme="majorHAnsi" w:cs="Calibri"/>
          <w:color w:val="000000" w:themeColor="text1"/>
          <w:sz w:val="24"/>
          <w:szCs w:val="24"/>
          <w:lang w:val="en-GB"/>
        </w:rPr>
        <w:t xml:space="preserve">.  2009;23(5):429-434.   </w:t>
      </w:r>
    </w:p>
    <w:p w14:paraId="221C156C" w14:textId="48DCB3A4" w:rsidR="00B16378" w:rsidRPr="00E512CD" w:rsidRDefault="003F1165" w:rsidP="00C227DB">
      <w:pPr>
        <w:numPr>
          <w:ilvl w:val="0"/>
          <w:numId w:val="1"/>
        </w:numPr>
        <w:spacing w:after="240" w:line="480" w:lineRule="auto"/>
        <w:rPr>
          <w:rFonts w:asciiTheme="majorHAnsi" w:hAnsiTheme="majorHAnsi" w:cs="Calibri"/>
          <w:color w:val="000000" w:themeColor="text1"/>
          <w:sz w:val="24"/>
          <w:szCs w:val="24"/>
          <w:lang w:val="en-GB"/>
        </w:rPr>
      </w:pPr>
      <w:proofErr w:type="spellStart"/>
      <w:r w:rsidRPr="00E512CD">
        <w:rPr>
          <w:rFonts w:asciiTheme="majorHAnsi" w:hAnsiTheme="majorHAnsi" w:cs="Calibri"/>
          <w:color w:val="000000" w:themeColor="text1"/>
          <w:sz w:val="24"/>
          <w:szCs w:val="24"/>
          <w:lang w:val="en-GB"/>
        </w:rPr>
        <w:lastRenderedPageBreak/>
        <w:t>Orizio</w:t>
      </w:r>
      <w:proofErr w:type="spellEnd"/>
      <w:r w:rsidRPr="00E512CD">
        <w:rPr>
          <w:rFonts w:asciiTheme="majorHAnsi" w:hAnsiTheme="majorHAnsi" w:cs="Calibri"/>
          <w:color w:val="000000" w:themeColor="text1"/>
          <w:sz w:val="24"/>
          <w:szCs w:val="24"/>
          <w:lang w:val="en-GB"/>
        </w:rPr>
        <w:t xml:space="preserve"> C, </w:t>
      </w:r>
      <w:proofErr w:type="spellStart"/>
      <w:r w:rsidRPr="00E512CD">
        <w:rPr>
          <w:rFonts w:asciiTheme="majorHAnsi" w:hAnsiTheme="majorHAnsi" w:cs="Calibri"/>
          <w:color w:val="000000" w:themeColor="text1"/>
          <w:sz w:val="24"/>
          <w:szCs w:val="24"/>
          <w:lang w:val="en-GB"/>
        </w:rPr>
        <w:t>Gobbo</w:t>
      </w:r>
      <w:proofErr w:type="spellEnd"/>
      <w:r w:rsidRPr="00E512CD">
        <w:rPr>
          <w:rFonts w:asciiTheme="majorHAnsi" w:hAnsiTheme="majorHAnsi" w:cs="Calibri"/>
          <w:color w:val="000000" w:themeColor="text1"/>
          <w:sz w:val="24"/>
          <w:szCs w:val="24"/>
          <w:lang w:val="en-GB"/>
        </w:rPr>
        <w:t xml:space="preserve"> M, </w:t>
      </w:r>
      <w:proofErr w:type="spellStart"/>
      <w:r w:rsidRPr="00E512CD">
        <w:rPr>
          <w:rFonts w:asciiTheme="majorHAnsi" w:hAnsiTheme="majorHAnsi" w:cs="Calibri"/>
          <w:color w:val="000000" w:themeColor="text1"/>
          <w:sz w:val="24"/>
          <w:szCs w:val="24"/>
          <w:lang w:val="en-GB"/>
        </w:rPr>
        <w:t>Diemont</w:t>
      </w:r>
      <w:proofErr w:type="spellEnd"/>
      <w:r w:rsidRPr="00E512CD">
        <w:rPr>
          <w:rFonts w:asciiTheme="majorHAnsi" w:hAnsiTheme="majorHAnsi" w:cs="Calibri"/>
          <w:color w:val="000000" w:themeColor="text1"/>
          <w:sz w:val="24"/>
          <w:szCs w:val="24"/>
          <w:lang w:val="en-GB"/>
        </w:rPr>
        <w:t xml:space="preserve"> B, Esposito F, </w:t>
      </w:r>
      <w:proofErr w:type="spellStart"/>
      <w:r w:rsidRPr="00E512CD">
        <w:rPr>
          <w:rFonts w:asciiTheme="majorHAnsi" w:hAnsiTheme="majorHAnsi" w:cs="Calibri"/>
          <w:color w:val="000000" w:themeColor="text1"/>
          <w:sz w:val="24"/>
          <w:szCs w:val="24"/>
          <w:lang w:val="en-GB"/>
        </w:rPr>
        <w:t>Veicsteinas</w:t>
      </w:r>
      <w:proofErr w:type="spellEnd"/>
      <w:r w:rsidRPr="00E512CD">
        <w:rPr>
          <w:rFonts w:asciiTheme="majorHAnsi" w:hAnsiTheme="majorHAnsi" w:cs="Calibri"/>
          <w:color w:val="000000" w:themeColor="text1"/>
          <w:sz w:val="24"/>
          <w:szCs w:val="24"/>
          <w:lang w:val="en-GB"/>
        </w:rPr>
        <w:t xml:space="preserve"> A. The surface </w:t>
      </w:r>
      <w:proofErr w:type="spellStart"/>
      <w:r w:rsidRPr="00E512CD">
        <w:rPr>
          <w:rFonts w:asciiTheme="majorHAnsi" w:hAnsiTheme="majorHAnsi" w:cs="Calibri"/>
          <w:color w:val="000000" w:themeColor="text1"/>
          <w:sz w:val="24"/>
          <w:szCs w:val="24"/>
          <w:lang w:val="en-GB"/>
        </w:rPr>
        <w:t>mechanomyogram</w:t>
      </w:r>
      <w:proofErr w:type="spellEnd"/>
      <w:r w:rsidRPr="00E512CD">
        <w:rPr>
          <w:rFonts w:asciiTheme="majorHAnsi" w:hAnsiTheme="majorHAnsi" w:cs="Calibri"/>
          <w:color w:val="000000" w:themeColor="text1"/>
          <w:sz w:val="24"/>
          <w:szCs w:val="24"/>
          <w:lang w:val="en-GB"/>
        </w:rPr>
        <w:t xml:space="preserve"> as a tool to describe the influence of fatigue on biceps brachii motor unit activation strategy. Historical basis and novel evidence. </w:t>
      </w:r>
      <w:proofErr w:type="spellStart"/>
      <w:r w:rsidRPr="00E512CD">
        <w:rPr>
          <w:rFonts w:asciiTheme="majorHAnsi" w:hAnsiTheme="majorHAnsi" w:cs="Calibri"/>
          <w:i/>
          <w:iCs/>
          <w:color w:val="000000" w:themeColor="text1"/>
          <w:sz w:val="24"/>
          <w:szCs w:val="24"/>
          <w:lang w:val="en-GB"/>
        </w:rPr>
        <w:t>Eur</w:t>
      </w:r>
      <w:proofErr w:type="spellEnd"/>
      <w:r w:rsidRPr="00E512CD">
        <w:rPr>
          <w:rFonts w:asciiTheme="majorHAnsi" w:hAnsiTheme="majorHAnsi" w:cs="Calibri"/>
          <w:i/>
          <w:iCs/>
          <w:color w:val="000000" w:themeColor="text1"/>
          <w:sz w:val="24"/>
          <w:szCs w:val="24"/>
          <w:lang w:val="en-GB"/>
        </w:rPr>
        <w:t xml:space="preserve"> J </w:t>
      </w:r>
      <w:proofErr w:type="spellStart"/>
      <w:r w:rsidRPr="00E512CD">
        <w:rPr>
          <w:rFonts w:asciiTheme="majorHAnsi" w:hAnsiTheme="majorHAnsi" w:cs="Calibri"/>
          <w:i/>
          <w:iCs/>
          <w:color w:val="000000" w:themeColor="text1"/>
          <w:sz w:val="24"/>
          <w:szCs w:val="24"/>
          <w:lang w:val="en-GB"/>
        </w:rPr>
        <w:t>Appl</w:t>
      </w:r>
      <w:proofErr w:type="spellEnd"/>
      <w:r w:rsidRPr="00E512CD">
        <w:rPr>
          <w:rFonts w:asciiTheme="majorHAnsi" w:hAnsiTheme="majorHAnsi" w:cs="Calibri"/>
          <w:i/>
          <w:iCs/>
          <w:color w:val="000000" w:themeColor="text1"/>
          <w:sz w:val="24"/>
          <w:szCs w:val="24"/>
          <w:lang w:val="en-GB"/>
        </w:rPr>
        <w:t xml:space="preserve"> Physiol</w:t>
      </w:r>
      <w:r w:rsidRPr="00E512CD">
        <w:rPr>
          <w:rFonts w:asciiTheme="majorHAnsi" w:hAnsiTheme="majorHAnsi" w:cs="Calibri"/>
          <w:color w:val="000000" w:themeColor="text1"/>
          <w:sz w:val="24"/>
          <w:szCs w:val="24"/>
          <w:lang w:val="en-GB"/>
        </w:rPr>
        <w:t>. 2003; 90:326-336.</w:t>
      </w:r>
    </w:p>
    <w:p w14:paraId="1B3B6A07" w14:textId="6D721817" w:rsidR="00675508"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Mace M, Abdullah-al-</w:t>
      </w:r>
      <w:proofErr w:type="spellStart"/>
      <w:r w:rsidRPr="00E512CD">
        <w:rPr>
          <w:rFonts w:asciiTheme="majorHAnsi" w:hAnsiTheme="majorHAnsi" w:cs="Calibri"/>
          <w:color w:val="000000" w:themeColor="text1"/>
          <w:sz w:val="24"/>
          <w:szCs w:val="24"/>
        </w:rPr>
        <w:t>Mamun</w:t>
      </w:r>
      <w:proofErr w:type="spellEnd"/>
      <w:r w:rsidRPr="00E512CD">
        <w:rPr>
          <w:rFonts w:asciiTheme="majorHAnsi" w:hAnsiTheme="majorHAnsi" w:cs="Calibri"/>
          <w:color w:val="000000" w:themeColor="text1"/>
          <w:sz w:val="24"/>
          <w:szCs w:val="24"/>
        </w:rPr>
        <w:t xml:space="preserve"> K, </w:t>
      </w:r>
      <w:proofErr w:type="spellStart"/>
      <w:r w:rsidRPr="00E512CD">
        <w:rPr>
          <w:rFonts w:asciiTheme="majorHAnsi" w:hAnsiTheme="majorHAnsi" w:cs="Calibri"/>
          <w:color w:val="000000" w:themeColor="text1"/>
          <w:sz w:val="24"/>
          <w:szCs w:val="24"/>
        </w:rPr>
        <w:t>Naeem</w:t>
      </w:r>
      <w:proofErr w:type="spellEnd"/>
      <w:r w:rsidRPr="00E512CD">
        <w:rPr>
          <w:rFonts w:asciiTheme="majorHAnsi" w:hAnsiTheme="majorHAnsi" w:cs="Calibri"/>
          <w:color w:val="000000" w:themeColor="text1"/>
          <w:sz w:val="24"/>
          <w:szCs w:val="24"/>
        </w:rPr>
        <w:t xml:space="preserve"> AA, Gupta L, Wang S, </w:t>
      </w:r>
      <w:proofErr w:type="spellStart"/>
      <w:r w:rsidRPr="00E512CD">
        <w:rPr>
          <w:rFonts w:asciiTheme="majorHAnsi" w:hAnsiTheme="majorHAnsi" w:cs="Calibri"/>
          <w:color w:val="000000" w:themeColor="text1"/>
          <w:sz w:val="24"/>
          <w:szCs w:val="24"/>
        </w:rPr>
        <w:t>Vaidyanathan</w:t>
      </w:r>
      <w:proofErr w:type="spellEnd"/>
      <w:r w:rsidRPr="00E512CD">
        <w:rPr>
          <w:rFonts w:asciiTheme="majorHAnsi" w:hAnsiTheme="majorHAnsi" w:cs="Calibri"/>
          <w:color w:val="000000" w:themeColor="text1"/>
          <w:sz w:val="24"/>
          <w:szCs w:val="24"/>
        </w:rPr>
        <w:t xml:space="preserve"> RA.  A heterogeneous framework for real-time decoding of </w:t>
      </w:r>
      <w:proofErr w:type="spellStart"/>
      <w:r w:rsidRPr="00E512CD">
        <w:rPr>
          <w:rFonts w:asciiTheme="majorHAnsi" w:hAnsiTheme="majorHAnsi" w:cs="Calibri"/>
          <w:color w:val="000000" w:themeColor="text1"/>
          <w:sz w:val="24"/>
          <w:szCs w:val="24"/>
        </w:rPr>
        <w:t>bioacoustic</w:t>
      </w:r>
      <w:proofErr w:type="spellEnd"/>
      <w:r w:rsidRPr="00E512CD">
        <w:rPr>
          <w:rFonts w:asciiTheme="majorHAnsi" w:hAnsiTheme="majorHAnsi" w:cs="Calibri"/>
          <w:color w:val="000000" w:themeColor="text1"/>
          <w:sz w:val="24"/>
          <w:szCs w:val="24"/>
        </w:rPr>
        <w:t xml:space="preserve"> signals: Applications to assistive interfaces and prosthesis control. </w:t>
      </w:r>
      <w:r w:rsidRPr="00E512CD">
        <w:rPr>
          <w:rFonts w:asciiTheme="majorHAnsi" w:hAnsiTheme="majorHAnsi" w:cs="Calibri"/>
          <w:i/>
          <w:color w:val="000000" w:themeColor="text1"/>
          <w:sz w:val="24"/>
          <w:szCs w:val="24"/>
        </w:rPr>
        <w:t xml:space="preserve">Expert </w:t>
      </w:r>
      <w:proofErr w:type="spellStart"/>
      <w:r w:rsidRPr="00E512CD">
        <w:rPr>
          <w:rFonts w:asciiTheme="majorHAnsi" w:hAnsiTheme="majorHAnsi" w:cs="Calibri"/>
          <w:i/>
          <w:color w:val="000000" w:themeColor="text1"/>
          <w:sz w:val="24"/>
          <w:szCs w:val="24"/>
        </w:rPr>
        <w:t>Syst</w:t>
      </w:r>
      <w:proofErr w:type="spellEnd"/>
      <w:r w:rsidRPr="00E512CD">
        <w:rPr>
          <w:rFonts w:asciiTheme="majorHAnsi" w:hAnsiTheme="majorHAnsi" w:cs="Calibri"/>
          <w:i/>
          <w:color w:val="000000" w:themeColor="text1"/>
          <w:sz w:val="24"/>
          <w:szCs w:val="24"/>
        </w:rPr>
        <w:t xml:space="preserve"> Applications</w:t>
      </w:r>
      <w:r w:rsidRPr="00E512CD">
        <w:rPr>
          <w:rFonts w:asciiTheme="majorHAnsi" w:hAnsiTheme="majorHAnsi" w:cs="Calibri"/>
          <w:color w:val="000000" w:themeColor="text1"/>
          <w:sz w:val="24"/>
          <w:szCs w:val="24"/>
        </w:rPr>
        <w:t xml:space="preserve">, 2013;40(13):5049-5060.    </w:t>
      </w:r>
    </w:p>
    <w:p w14:paraId="0E29A5A2" w14:textId="086D9C57" w:rsidR="00C5015E"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Woodward R, </w:t>
      </w:r>
      <w:proofErr w:type="spellStart"/>
      <w:r w:rsidRPr="00E512CD">
        <w:rPr>
          <w:rFonts w:asciiTheme="majorHAnsi" w:hAnsiTheme="majorHAnsi" w:cs="Calibri"/>
          <w:color w:val="000000" w:themeColor="text1"/>
          <w:sz w:val="24"/>
          <w:szCs w:val="24"/>
        </w:rPr>
        <w:t>Shefelbine</w:t>
      </w:r>
      <w:proofErr w:type="spellEnd"/>
      <w:r w:rsidRPr="00E512CD">
        <w:rPr>
          <w:rFonts w:asciiTheme="majorHAnsi" w:hAnsiTheme="majorHAnsi" w:cs="Calibri"/>
          <w:color w:val="000000" w:themeColor="text1"/>
          <w:sz w:val="24"/>
          <w:szCs w:val="24"/>
        </w:rPr>
        <w:t xml:space="preserve"> S, </w:t>
      </w:r>
      <w:proofErr w:type="spellStart"/>
      <w:r w:rsidRPr="00E512CD">
        <w:rPr>
          <w:rFonts w:asciiTheme="majorHAnsi" w:hAnsiTheme="majorHAnsi" w:cs="Calibri"/>
          <w:color w:val="000000" w:themeColor="text1"/>
          <w:sz w:val="24"/>
          <w:szCs w:val="24"/>
        </w:rPr>
        <w:t>Vaidyanathan</w:t>
      </w:r>
      <w:proofErr w:type="spellEnd"/>
      <w:r w:rsidRPr="00E512CD">
        <w:rPr>
          <w:rFonts w:asciiTheme="majorHAnsi" w:hAnsiTheme="majorHAnsi" w:cs="Calibri"/>
          <w:color w:val="000000" w:themeColor="text1"/>
          <w:sz w:val="24"/>
          <w:szCs w:val="24"/>
        </w:rPr>
        <w:t xml:space="preserve"> R. Pervasive motion tracking and muscle activity monitor.  </w:t>
      </w:r>
      <w:r w:rsidRPr="00E512CD">
        <w:rPr>
          <w:rFonts w:asciiTheme="majorHAnsi" w:hAnsiTheme="majorHAnsi" w:cs="Calibri"/>
          <w:i/>
          <w:color w:val="000000" w:themeColor="text1"/>
          <w:sz w:val="24"/>
          <w:szCs w:val="24"/>
        </w:rPr>
        <w:t xml:space="preserve">IEEE 27th International Symposium on Computer-Based Medical Systems </w:t>
      </w:r>
      <w:r w:rsidRPr="00E512CD">
        <w:rPr>
          <w:rFonts w:asciiTheme="majorHAnsi" w:hAnsiTheme="majorHAnsi" w:cs="Calibri"/>
          <w:color w:val="000000" w:themeColor="text1"/>
          <w:sz w:val="24"/>
          <w:szCs w:val="24"/>
        </w:rPr>
        <w:t xml:space="preserve">(CMBS); 27-29 May 2014. IEEE.  </w:t>
      </w:r>
    </w:p>
    <w:p w14:paraId="78E304F7" w14:textId="6594B20C" w:rsidR="000B4434"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lang w:val="fr-FR"/>
        </w:rPr>
        <w:t xml:space="preserve">Tousignant M, </w:t>
      </w:r>
      <w:proofErr w:type="spellStart"/>
      <w:r w:rsidRPr="00E512CD">
        <w:rPr>
          <w:rFonts w:asciiTheme="majorHAnsi" w:hAnsiTheme="majorHAnsi" w:cs="Calibri"/>
          <w:color w:val="000000" w:themeColor="text1"/>
          <w:sz w:val="24"/>
          <w:szCs w:val="24"/>
          <w:lang w:val="fr-FR"/>
        </w:rPr>
        <w:t>Moffet</w:t>
      </w:r>
      <w:proofErr w:type="spellEnd"/>
      <w:r w:rsidRPr="00E512CD">
        <w:rPr>
          <w:rFonts w:asciiTheme="majorHAnsi" w:hAnsiTheme="majorHAnsi" w:cs="Calibri"/>
          <w:color w:val="000000" w:themeColor="text1"/>
          <w:sz w:val="24"/>
          <w:szCs w:val="24"/>
          <w:lang w:val="fr-FR"/>
        </w:rPr>
        <w:t xml:space="preserve"> H, Nadeau S, et al.  </w:t>
      </w:r>
      <w:r w:rsidRPr="00E512CD">
        <w:rPr>
          <w:rFonts w:asciiTheme="majorHAnsi" w:hAnsiTheme="majorHAnsi" w:cs="Calibri"/>
          <w:color w:val="000000" w:themeColor="text1"/>
          <w:sz w:val="24"/>
          <w:szCs w:val="24"/>
        </w:rPr>
        <w:t xml:space="preserve">Cost analysis of in-home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for post-knee arthroplasty.  </w:t>
      </w:r>
      <w:r w:rsidRPr="00E512CD">
        <w:rPr>
          <w:rFonts w:asciiTheme="majorHAnsi" w:hAnsiTheme="majorHAnsi" w:cs="Calibri"/>
          <w:i/>
          <w:color w:val="000000" w:themeColor="text1"/>
          <w:sz w:val="24"/>
          <w:szCs w:val="24"/>
        </w:rPr>
        <w:t>J Med Internet Res</w:t>
      </w:r>
      <w:r w:rsidRPr="00E512CD">
        <w:rPr>
          <w:rFonts w:asciiTheme="majorHAnsi" w:hAnsiTheme="majorHAnsi" w:cs="Calibri"/>
          <w:color w:val="000000" w:themeColor="text1"/>
          <w:sz w:val="24"/>
          <w:szCs w:val="24"/>
        </w:rPr>
        <w:t>.  2015;17(3</w:t>
      </w:r>
      <w:proofErr w:type="gramStart"/>
      <w:r w:rsidRPr="00E512CD">
        <w:rPr>
          <w:rFonts w:asciiTheme="majorHAnsi" w:hAnsiTheme="majorHAnsi" w:cs="Calibri"/>
          <w:color w:val="000000" w:themeColor="text1"/>
          <w:sz w:val="24"/>
          <w:szCs w:val="24"/>
        </w:rPr>
        <w:t>):e</w:t>
      </w:r>
      <w:proofErr w:type="gramEnd"/>
      <w:r w:rsidRPr="00E512CD">
        <w:rPr>
          <w:rFonts w:asciiTheme="majorHAnsi" w:hAnsiTheme="majorHAnsi" w:cs="Calibri"/>
          <w:color w:val="000000" w:themeColor="text1"/>
          <w:sz w:val="24"/>
          <w:szCs w:val="24"/>
        </w:rPr>
        <w:t>83.</w:t>
      </w:r>
    </w:p>
    <w:p w14:paraId="3C154584" w14:textId="323D3990" w:rsidR="000B4434"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Fusco F, </w:t>
      </w:r>
      <w:proofErr w:type="spellStart"/>
      <w:r w:rsidRPr="00E512CD">
        <w:rPr>
          <w:rFonts w:asciiTheme="majorHAnsi" w:hAnsiTheme="majorHAnsi" w:cs="Calibri"/>
          <w:color w:val="000000" w:themeColor="text1"/>
          <w:sz w:val="24"/>
          <w:szCs w:val="24"/>
        </w:rPr>
        <w:t>Turchetti</w:t>
      </w:r>
      <w:proofErr w:type="spellEnd"/>
      <w:r w:rsidRPr="00E512CD">
        <w:rPr>
          <w:rFonts w:asciiTheme="majorHAnsi" w:hAnsiTheme="majorHAnsi" w:cs="Calibri"/>
          <w:color w:val="000000" w:themeColor="text1"/>
          <w:sz w:val="24"/>
          <w:szCs w:val="24"/>
        </w:rPr>
        <w:t xml:space="preserve"> G.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after total knee replacement in Italy: Cost-effectiveness and cost-utility analysis of a mixed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-standard rehabilitation </w:t>
      </w:r>
      <w:proofErr w:type="spellStart"/>
      <w:r w:rsidRPr="00E512CD">
        <w:rPr>
          <w:rFonts w:asciiTheme="majorHAnsi" w:hAnsiTheme="majorHAnsi" w:cs="Calibri"/>
          <w:color w:val="000000" w:themeColor="text1"/>
          <w:sz w:val="24"/>
          <w:szCs w:val="24"/>
        </w:rPr>
        <w:t>programme</w:t>
      </w:r>
      <w:proofErr w:type="spellEnd"/>
      <w:r w:rsidRPr="00E512CD">
        <w:rPr>
          <w:rFonts w:asciiTheme="majorHAnsi" w:hAnsiTheme="majorHAnsi" w:cs="Calibri"/>
          <w:color w:val="000000" w:themeColor="text1"/>
          <w:sz w:val="24"/>
          <w:szCs w:val="24"/>
        </w:rPr>
        <w:t xml:space="preserve"> compared with usual care.  </w:t>
      </w:r>
      <w:r w:rsidRPr="00E512CD">
        <w:rPr>
          <w:rFonts w:asciiTheme="majorHAnsi" w:hAnsiTheme="majorHAnsi" w:cs="Calibri"/>
          <w:i/>
          <w:color w:val="000000" w:themeColor="text1"/>
          <w:sz w:val="24"/>
          <w:szCs w:val="24"/>
        </w:rPr>
        <w:t>BMJ Open</w:t>
      </w:r>
      <w:r w:rsidRPr="00E512CD">
        <w:rPr>
          <w:rFonts w:asciiTheme="majorHAnsi" w:hAnsiTheme="majorHAnsi" w:cs="Calibri"/>
          <w:color w:val="000000" w:themeColor="text1"/>
          <w:sz w:val="24"/>
          <w:szCs w:val="24"/>
        </w:rPr>
        <w:t>.  2016;6(5</w:t>
      </w:r>
      <w:proofErr w:type="gramStart"/>
      <w:r w:rsidRPr="00E512CD">
        <w:rPr>
          <w:rFonts w:asciiTheme="majorHAnsi" w:hAnsiTheme="majorHAnsi" w:cs="Calibri"/>
          <w:color w:val="000000" w:themeColor="text1"/>
          <w:sz w:val="24"/>
          <w:szCs w:val="24"/>
        </w:rPr>
        <w:t>):e</w:t>
      </w:r>
      <w:proofErr w:type="gramEnd"/>
      <w:r w:rsidRPr="00E512CD">
        <w:rPr>
          <w:rFonts w:asciiTheme="majorHAnsi" w:hAnsiTheme="majorHAnsi" w:cs="Calibri"/>
          <w:color w:val="000000" w:themeColor="text1"/>
          <w:sz w:val="24"/>
          <w:szCs w:val="24"/>
        </w:rPr>
        <w:t>009964.</w:t>
      </w:r>
    </w:p>
    <w:p w14:paraId="7B00E01D" w14:textId="77777777" w:rsidR="00EF6A2E" w:rsidRPr="00E512CD" w:rsidRDefault="003F1165" w:rsidP="00EF6A2E">
      <w:pPr>
        <w:numPr>
          <w:ilvl w:val="0"/>
          <w:numId w:val="1"/>
        </w:numPr>
        <w:spacing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Brennan D, Tindall L, </w:t>
      </w:r>
      <w:proofErr w:type="spellStart"/>
      <w:r w:rsidRPr="00E512CD">
        <w:rPr>
          <w:rFonts w:asciiTheme="majorHAnsi" w:hAnsiTheme="majorHAnsi" w:cs="Calibri"/>
          <w:color w:val="000000" w:themeColor="text1"/>
          <w:sz w:val="24"/>
          <w:szCs w:val="24"/>
        </w:rPr>
        <w:t>Theodoros</w:t>
      </w:r>
      <w:proofErr w:type="spellEnd"/>
      <w:r w:rsidRPr="00E512CD">
        <w:rPr>
          <w:rFonts w:asciiTheme="majorHAnsi" w:hAnsiTheme="majorHAnsi" w:cs="Calibri"/>
          <w:color w:val="000000" w:themeColor="text1"/>
          <w:sz w:val="24"/>
          <w:szCs w:val="24"/>
        </w:rPr>
        <w:t xml:space="preserve"> D, et al.  A Blueprint for </w:t>
      </w:r>
      <w:proofErr w:type="spellStart"/>
      <w:r w:rsidRPr="00E512CD">
        <w:rPr>
          <w:rFonts w:asciiTheme="majorHAnsi" w:hAnsiTheme="majorHAnsi" w:cs="Calibri"/>
          <w:color w:val="000000" w:themeColor="text1"/>
          <w:sz w:val="24"/>
          <w:szCs w:val="24"/>
        </w:rPr>
        <w:t>Telerehabilitation</w:t>
      </w:r>
      <w:proofErr w:type="spellEnd"/>
      <w:r w:rsidRPr="00E512CD">
        <w:rPr>
          <w:rFonts w:asciiTheme="majorHAnsi" w:hAnsiTheme="majorHAnsi" w:cs="Calibri"/>
          <w:color w:val="000000" w:themeColor="text1"/>
          <w:sz w:val="24"/>
          <w:szCs w:val="24"/>
        </w:rPr>
        <w:t xml:space="preserve"> Guidelines.  International J </w:t>
      </w:r>
      <w:proofErr w:type="spellStart"/>
      <w:r w:rsidRPr="00E512CD">
        <w:rPr>
          <w:rFonts w:asciiTheme="majorHAnsi" w:hAnsiTheme="majorHAnsi" w:cs="Calibri"/>
          <w:color w:val="000000" w:themeColor="text1"/>
          <w:sz w:val="24"/>
          <w:szCs w:val="24"/>
        </w:rPr>
        <w:t>Telerehab</w:t>
      </w:r>
      <w:proofErr w:type="spellEnd"/>
      <w:r w:rsidRPr="00E512CD">
        <w:rPr>
          <w:rFonts w:asciiTheme="majorHAnsi" w:hAnsiTheme="majorHAnsi" w:cs="Calibri"/>
          <w:color w:val="000000" w:themeColor="text1"/>
          <w:sz w:val="24"/>
          <w:szCs w:val="24"/>
        </w:rPr>
        <w:t>.  2010;2(2):31-34.</w:t>
      </w:r>
    </w:p>
    <w:p w14:paraId="166303C8" w14:textId="657E6FCF" w:rsidR="000B4434" w:rsidRPr="00E512CD" w:rsidRDefault="003F1165" w:rsidP="00404C98">
      <w:pPr>
        <w:numPr>
          <w:ilvl w:val="0"/>
          <w:numId w:val="1"/>
        </w:numPr>
        <w:spacing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Federation of State Boards of Physical Therapy.  Telehealth in physical therapy policy recommendations for appropriate regulation.  </w:t>
      </w:r>
      <w:hyperlink r:id="rId8" w:history="1">
        <w:r w:rsidRPr="00E512CD">
          <w:rPr>
            <w:rFonts w:asciiTheme="majorHAnsi" w:hAnsiTheme="majorHAnsi" w:cs="Calibri"/>
            <w:sz w:val="24"/>
            <w:szCs w:val="24"/>
          </w:rPr>
          <w:t>https://www.fsbpt.org/FreeResources/RegulatoryResources/TelehealthinPhysicalTherapy.aspx/</w:t>
        </w:r>
      </w:hyperlink>
      <w:r w:rsidRPr="00E512CD">
        <w:rPr>
          <w:rFonts w:asciiTheme="majorHAnsi" w:hAnsiTheme="majorHAnsi" w:cs="Calibri"/>
          <w:sz w:val="24"/>
          <w:szCs w:val="24"/>
        </w:rPr>
        <w:t>.</w:t>
      </w:r>
      <w:r w:rsidRPr="00E512CD">
        <w:rPr>
          <w:rFonts w:asciiTheme="majorHAnsi" w:hAnsiTheme="majorHAnsi" w:cs="Calibri"/>
          <w:color w:val="000000" w:themeColor="text1"/>
          <w:sz w:val="24"/>
          <w:szCs w:val="24"/>
        </w:rPr>
        <w:t xml:space="preserve">  Accessed November 10, 2016.</w:t>
      </w:r>
    </w:p>
    <w:p w14:paraId="2A0C834C" w14:textId="7BDF05FB" w:rsidR="00F22B11" w:rsidRPr="00E512CD" w:rsidRDefault="003F1165" w:rsidP="00C227DB">
      <w:pPr>
        <w:numPr>
          <w:ilvl w:val="0"/>
          <w:numId w:val="1"/>
        </w:numPr>
        <w:spacing w:after="240" w:line="480" w:lineRule="auto"/>
        <w:rPr>
          <w:rFonts w:asciiTheme="majorHAnsi" w:hAnsiTheme="majorHAnsi" w:cs="Calibri"/>
          <w:color w:val="000000" w:themeColor="text1"/>
          <w:sz w:val="24"/>
          <w:szCs w:val="24"/>
        </w:rPr>
      </w:pPr>
      <w:r w:rsidRPr="00E512CD">
        <w:rPr>
          <w:rFonts w:asciiTheme="majorHAnsi" w:hAnsiTheme="majorHAnsi" w:cs="Calibri"/>
          <w:color w:val="000000" w:themeColor="text1"/>
          <w:sz w:val="24"/>
          <w:szCs w:val="24"/>
        </w:rPr>
        <w:t xml:space="preserve"> </w:t>
      </w:r>
      <w:r w:rsidRPr="00E512CD">
        <w:rPr>
          <w:rFonts w:asciiTheme="majorHAnsi" w:hAnsiTheme="majorHAnsi" w:cs="Calibri"/>
          <w:color w:val="000000" w:themeColor="text1"/>
          <w:sz w:val="24"/>
          <w:szCs w:val="24"/>
          <w:lang w:val="en-GB"/>
        </w:rPr>
        <w:t xml:space="preserve">Saka Ö, McGuire A, Wolfe C. Cost of stroke in the United Kingdom.  </w:t>
      </w:r>
      <w:r w:rsidRPr="00E512CD">
        <w:rPr>
          <w:rFonts w:asciiTheme="majorHAnsi" w:hAnsiTheme="majorHAnsi" w:cs="Calibri"/>
          <w:i/>
          <w:iCs/>
          <w:color w:val="000000" w:themeColor="text1"/>
          <w:sz w:val="24"/>
          <w:szCs w:val="24"/>
          <w:lang w:val="en-GB"/>
        </w:rPr>
        <w:t>Age Ageing</w:t>
      </w:r>
      <w:r w:rsidRPr="00E512CD">
        <w:rPr>
          <w:rFonts w:asciiTheme="majorHAnsi" w:hAnsiTheme="majorHAnsi" w:cs="Calibri"/>
          <w:color w:val="000000" w:themeColor="text1"/>
          <w:sz w:val="24"/>
          <w:szCs w:val="24"/>
          <w:lang w:val="en-GB"/>
        </w:rPr>
        <w:t>.  2009;38(1):27-32.</w:t>
      </w:r>
    </w:p>
    <w:p w14:paraId="19D6C1A7" w14:textId="37F31F72" w:rsidR="00AF0D76" w:rsidRPr="00A770E7" w:rsidRDefault="00AC1AAA" w:rsidP="00C227DB">
      <w:pPr>
        <w:spacing w:after="240" w:line="300" w:lineRule="auto"/>
        <w:rPr>
          <w:rFonts w:asciiTheme="majorHAnsi" w:hAnsiTheme="majorHAnsi"/>
          <w:color w:val="000000" w:themeColor="text1"/>
          <w:sz w:val="24"/>
          <w:szCs w:val="24"/>
        </w:rPr>
      </w:pPr>
    </w:p>
    <w:p w14:paraId="0C5A35B5" w14:textId="77777777" w:rsidR="00AA6BC1" w:rsidRDefault="00AC1AAA">
      <w:pPr>
        <w:rPr>
          <w:color w:val="000000" w:themeColor="text1"/>
          <w:sz w:val="24"/>
          <w:szCs w:val="24"/>
          <w:lang w:val="en-GB"/>
        </w:rPr>
      </w:pPr>
    </w:p>
    <w:p w14:paraId="25E4E082" w14:textId="77777777" w:rsidR="00AA6BC1" w:rsidRDefault="003F1165" w:rsidP="00AA6BC1">
      <w:pPr>
        <w:autoSpaceDE w:val="0"/>
        <w:autoSpaceDN w:val="0"/>
        <w:adjustRightInd w:val="0"/>
        <w:spacing w:after="0" w:line="240" w:lineRule="auto"/>
        <w:rPr>
          <w:rFonts w:ascii="Calibri" w:hAnsi="Calibri" w:cs="Calibri"/>
          <w:sz w:val="24"/>
          <w:szCs w:val="24"/>
        </w:rPr>
      </w:pPr>
      <w:r w:rsidRPr="00AA4026">
        <w:rPr>
          <w:rFonts w:ascii="Calibri" w:hAnsi="Calibri" w:cs="Calibri"/>
          <w:b/>
          <w:sz w:val="24"/>
          <w:szCs w:val="24"/>
        </w:rPr>
        <w:t>Figure 1</w:t>
      </w:r>
      <w:r>
        <w:rPr>
          <w:rFonts w:ascii="Calibri" w:hAnsi="Calibri" w:cs="Calibri"/>
          <w:sz w:val="24"/>
          <w:szCs w:val="24"/>
        </w:rPr>
        <w:t>. The C-Mitt, which was designed to restrict functional hand movement but allow</w:t>
      </w:r>
    </w:p>
    <w:p w14:paraId="5D904898" w14:textId="197801C5" w:rsidR="00AA6BC1" w:rsidRDefault="003F1165" w:rsidP="00AA6BC1">
      <w:pPr>
        <w:rPr>
          <w:rFonts w:ascii="Calibri" w:hAnsi="Calibri" w:cs="Calibri"/>
          <w:sz w:val="24"/>
          <w:szCs w:val="24"/>
        </w:rPr>
      </w:pPr>
      <w:r>
        <w:rPr>
          <w:rFonts w:ascii="Calibri" w:hAnsi="Calibri" w:cs="Calibri"/>
          <w:sz w:val="24"/>
          <w:szCs w:val="24"/>
        </w:rPr>
        <w:t>sufficient grasp to hold a walking aid.</w:t>
      </w:r>
    </w:p>
    <w:p w14:paraId="2BE895BE" w14:textId="29CAB714" w:rsidR="00AA6BC1" w:rsidRDefault="00190971" w:rsidP="00AA6BC1">
      <w:pPr>
        <w:rPr>
          <w:color w:val="000000" w:themeColor="text1"/>
          <w:sz w:val="24"/>
          <w:szCs w:val="24"/>
          <w:lang w:val="en-GB"/>
        </w:rPr>
      </w:pPr>
      <w:r w:rsidRPr="00AA4026">
        <w:rPr>
          <w:noProof/>
          <w:color w:val="000000" w:themeColor="text1"/>
          <w:sz w:val="24"/>
          <w:szCs w:val="24"/>
          <w:lang w:val="en-GB" w:eastAsia="zh-CN"/>
        </w:rPr>
        <w:drawing>
          <wp:inline distT="0" distB="0" distL="0" distR="0" wp14:anchorId="60DE5347" wp14:editId="17B02C82">
            <wp:extent cx="2451735" cy="4043976"/>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61" cy="4171849"/>
                    </a:xfrm>
                    <a:prstGeom prst="rect">
                      <a:avLst/>
                    </a:prstGeom>
                    <a:noFill/>
                    <a:ln>
                      <a:noFill/>
                    </a:ln>
                  </pic:spPr>
                </pic:pic>
              </a:graphicData>
            </a:graphic>
          </wp:inline>
        </w:drawing>
      </w:r>
    </w:p>
    <w:p w14:paraId="022BE146" w14:textId="77777777" w:rsidR="00190971" w:rsidRDefault="00190971" w:rsidP="00D44FFB">
      <w:pPr>
        <w:rPr>
          <w:color w:val="000000" w:themeColor="text1"/>
          <w:sz w:val="24"/>
          <w:szCs w:val="24"/>
          <w:lang w:val="en-GB"/>
        </w:rPr>
      </w:pPr>
    </w:p>
    <w:p w14:paraId="686DED4E" w14:textId="77777777" w:rsidR="00190971" w:rsidRDefault="00190971" w:rsidP="00D44FFB">
      <w:pPr>
        <w:rPr>
          <w:color w:val="000000" w:themeColor="text1"/>
          <w:sz w:val="24"/>
          <w:szCs w:val="24"/>
          <w:lang w:val="en-GB"/>
        </w:rPr>
      </w:pPr>
    </w:p>
    <w:p w14:paraId="5C35AFFD" w14:textId="77777777" w:rsidR="00190971" w:rsidRDefault="00190971" w:rsidP="00D44FFB">
      <w:pPr>
        <w:rPr>
          <w:color w:val="000000" w:themeColor="text1"/>
          <w:sz w:val="24"/>
          <w:szCs w:val="24"/>
          <w:lang w:val="en-GB"/>
        </w:rPr>
      </w:pPr>
    </w:p>
    <w:p w14:paraId="12AD67E9" w14:textId="77777777" w:rsidR="00190971" w:rsidRDefault="00190971" w:rsidP="00D44FFB">
      <w:pPr>
        <w:rPr>
          <w:color w:val="000000" w:themeColor="text1"/>
          <w:sz w:val="24"/>
          <w:szCs w:val="24"/>
          <w:lang w:val="en-GB"/>
        </w:rPr>
      </w:pPr>
    </w:p>
    <w:p w14:paraId="0CED3A37" w14:textId="30558CBA" w:rsidR="004430E7" w:rsidRDefault="003F1165" w:rsidP="00D44FFB">
      <w:pPr>
        <w:rPr>
          <w:rFonts w:ascii="Calibri" w:hAnsi="Calibri" w:cs="Calibri"/>
          <w:sz w:val="24"/>
          <w:szCs w:val="24"/>
        </w:rPr>
      </w:pPr>
      <w:r>
        <w:rPr>
          <w:rFonts w:ascii="Calibri" w:hAnsi="Calibri" w:cs="Calibri"/>
          <w:sz w:val="24"/>
          <w:szCs w:val="24"/>
        </w:rPr>
        <w:lastRenderedPageBreak/>
        <w:t>Fig</w:t>
      </w:r>
      <w:bookmarkStart w:id="0" w:name="_GoBack"/>
      <w:bookmarkEnd w:id="0"/>
      <w:r>
        <w:rPr>
          <w:rFonts w:ascii="Calibri" w:hAnsi="Calibri" w:cs="Calibri"/>
          <w:sz w:val="24"/>
          <w:szCs w:val="24"/>
        </w:rPr>
        <w:t>ure 2.  Illustrating: a) the c</w:t>
      </w:r>
      <w:r w:rsidRPr="00AA4026">
        <w:rPr>
          <w:rFonts w:ascii="Calibri" w:hAnsi="Calibri" w:cs="Calibri"/>
          <w:sz w:val="24"/>
          <w:szCs w:val="24"/>
        </w:rPr>
        <w:t xml:space="preserve">oncept of the M-MARK </w:t>
      </w:r>
      <w:r w:rsidRPr="00A37925">
        <w:rPr>
          <w:rFonts w:ascii="Calibri" w:hAnsi="Calibri" w:cs="Calibri"/>
          <w:sz w:val="24"/>
          <w:szCs w:val="24"/>
        </w:rPr>
        <w:t>being used by a patient</w:t>
      </w:r>
      <w:r>
        <w:rPr>
          <w:rFonts w:ascii="Calibri" w:hAnsi="Calibri" w:cs="Calibri"/>
          <w:sz w:val="24"/>
          <w:szCs w:val="24"/>
        </w:rPr>
        <w:t>; b) a</w:t>
      </w:r>
      <w:r w:rsidRPr="00AA4026">
        <w:rPr>
          <w:rFonts w:ascii="Calibri" w:hAnsi="Calibri" w:cs="Calibri"/>
          <w:sz w:val="24"/>
          <w:szCs w:val="24"/>
        </w:rPr>
        <w:t>n</w:t>
      </w:r>
      <w:r w:rsidRPr="00A37925">
        <w:rPr>
          <w:rFonts w:ascii="Calibri" w:hAnsi="Calibri" w:cs="Calibri"/>
          <w:sz w:val="24"/>
          <w:szCs w:val="24"/>
        </w:rPr>
        <w:t xml:space="preserve"> </w:t>
      </w:r>
      <w:r w:rsidRPr="00AA4026">
        <w:rPr>
          <w:rFonts w:ascii="Calibri" w:hAnsi="Calibri" w:cs="Calibri"/>
          <w:sz w:val="24"/>
          <w:szCs w:val="24"/>
        </w:rPr>
        <w:t>artist’s impression of the garment. Based on therapists’ and patients’ views the final design</w:t>
      </w:r>
      <w:r w:rsidRPr="00A37925">
        <w:rPr>
          <w:rFonts w:ascii="Calibri" w:hAnsi="Calibri" w:cs="Calibri"/>
          <w:sz w:val="24"/>
          <w:szCs w:val="24"/>
        </w:rPr>
        <w:t xml:space="preserve"> </w:t>
      </w:r>
      <w:r w:rsidRPr="00AA4026">
        <w:rPr>
          <w:rFonts w:ascii="Calibri" w:hAnsi="Calibri" w:cs="Calibri"/>
          <w:sz w:val="24"/>
          <w:szCs w:val="24"/>
        </w:rPr>
        <w:t>was an upper body garment ra</w:t>
      </w:r>
      <w:r w:rsidRPr="00A37925">
        <w:rPr>
          <w:rFonts w:ascii="Calibri" w:hAnsi="Calibri" w:cs="Calibri"/>
          <w:sz w:val="24"/>
          <w:szCs w:val="24"/>
        </w:rPr>
        <w:t>ther than a sleeve</w:t>
      </w:r>
    </w:p>
    <w:p w14:paraId="0B02A15C" w14:textId="77777777" w:rsidR="00D44FFB" w:rsidRPr="00AA4026" w:rsidRDefault="00AC1AAA">
      <w:pPr>
        <w:rPr>
          <w:rFonts w:ascii="Calibri" w:hAnsi="Calibri" w:cs="Calibri"/>
          <w:sz w:val="24"/>
          <w:szCs w:val="24"/>
        </w:rPr>
      </w:pPr>
    </w:p>
    <w:p w14:paraId="267872CA" w14:textId="77777777" w:rsidR="004430E7" w:rsidRDefault="00AC1AAA">
      <w:pPr>
        <w:rPr>
          <w:rFonts w:ascii="Calibri" w:hAnsi="Calibri" w:cs="Calibri"/>
          <w:sz w:val="24"/>
          <w:szCs w:val="24"/>
        </w:rPr>
      </w:pPr>
    </w:p>
    <w:p w14:paraId="3A0577FB" w14:textId="6D1ABF17" w:rsidR="00AA6BC1" w:rsidRDefault="003F1165">
      <w:pPr>
        <w:rPr>
          <w:rFonts w:ascii="Calibri" w:hAnsi="Calibri" w:cs="Calibri"/>
          <w:sz w:val="24"/>
          <w:szCs w:val="24"/>
        </w:rPr>
      </w:pPr>
      <w:r>
        <w:rPr>
          <w:rFonts w:ascii="Calibri" w:hAnsi="Calibri" w:cs="Calibri"/>
          <w:sz w:val="24"/>
          <w:szCs w:val="24"/>
        </w:rPr>
        <w:t>a.</w:t>
      </w:r>
    </w:p>
    <w:p w14:paraId="7ED89DF0" w14:textId="5EA6681D" w:rsidR="00AA6BC1" w:rsidRDefault="003F1165" w:rsidP="00AA4026">
      <w:pPr>
        <w:ind w:left="360"/>
        <w:rPr>
          <w:color w:val="000000" w:themeColor="text1"/>
          <w:sz w:val="24"/>
          <w:szCs w:val="24"/>
          <w:lang w:val="en-GB"/>
        </w:rPr>
      </w:pPr>
      <w:r w:rsidRPr="00AA4026">
        <w:rPr>
          <w:color w:val="000000" w:themeColor="text1"/>
          <w:sz w:val="24"/>
          <w:szCs w:val="24"/>
          <w:lang w:val="en-GB"/>
        </w:rPr>
        <w:t xml:space="preserve"> </w:t>
      </w:r>
      <w:r w:rsidRPr="00AA6BC1">
        <w:rPr>
          <w:noProof/>
          <w:lang w:val="en-GB" w:eastAsia="zh-CN"/>
        </w:rPr>
        <w:drawing>
          <wp:inline distT="0" distB="0" distL="0" distR="0" wp14:anchorId="23C14574" wp14:editId="5102A257">
            <wp:extent cx="4514673" cy="286893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459" cy="2870065"/>
                    </a:xfrm>
                    <a:prstGeom prst="rect">
                      <a:avLst/>
                    </a:prstGeom>
                    <a:noFill/>
                    <a:ln>
                      <a:noFill/>
                    </a:ln>
                  </pic:spPr>
                </pic:pic>
              </a:graphicData>
            </a:graphic>
          </wp:inline>
        </w:drawing>
      </w:r>
    </w:p>
    <w:p w14:paraId="6ADED391" w14:textId="38ACD743" w:rsidR="00AA6BC1" w:rsidRPr="00AA4026" w:rsidRDefault="003F1165" w:rsidP="00AA4026">
      <w:pPr>
        <w:ind w:left="360"/>
        <w:rPr>
          <w:color w:val="000000" w:themeColor="text1"/>
          <w:sz w:val="24"/>
          <w:szCs w:val="24"/>
          <w:lang w:val="en-GB"/>
        </w:rPr>
      </w:pPr>
      <w:r>
        <w:rPr>
          <w:color w:val="000000" w:themeColor="text1"/>
          <w:sz w:val="24"/>
          <w:szCs w:val="24"/>
          <w:lang w:val="en-GB"/>
        </w:rPr>
        <w:t>b.</w:t>
      </w:r>
    </w:p>
    <w:p w14:paraId="5AE7125D" w14:textId="77777777" w:rsidR="00B26605" w:rsidRDefault="003F1165" w:rsidP="00AA4026">
      <w:pPr>
        <w:ind w:left="360"/>
        <w:rPr>
          <w:color w:val="000000" w:themeColor="text1"/>
          <w:sz w:val="24"/>
          <w:szCs w:val="24"/>
          <w:lang w:val="en-GB"/>
        </w:rPr>
      </w:pPr>
      <w:r w:rsidRPr="00AA6BC1">
        <w:rPr>
          <w:noProof/>
          <w:lang w:val="en-GB" w:eastAsia="zh-CN"/>
        </w:rPr>
        <w:drawing>
          <wp:inline distT="0" distB="0" distL="0" distR="0" wp14:anchorId="7DBC9330" wp14:editId="2DDB9DEB">
            <wp:extent cx="4408170" cy="3031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982" cy="3034052"/>
                    </a:xfrm>
                    <a:prstGeom prst="rect">
                      <a:avLst/>
                    </a:prstGeom>
                    <a:noFill/>
                    <a:ln>
                      <a:noFill/>
                    </a:ln>
                  </pic:spPr>
                </pic:pic>
              </a:graphicData>
            </a:graphic>
          </wp:inline>
        </w:drawing>
      </w:r>
    </w:p>
    <w:p w14:paraId="5D461DE1" w14:textId="51DDB7DE" w:rsidR="00AA6BC1" w:rsidRDefault="00AC1AAA" w:rsidP="005A57A2">
      <w:pPr>
        <w:rPr>
          <w:color w:val="000000" w:themeColor="text1"/>
          <w:sz w:val="24"/>
          <w:szCs w:val="24"/>
          <w:lang w:val="en-GB"/>
        </w:rPr>
      </w:pPr>
    </w:p>
    <w:p w14:paraId="3EF38CEF" w14:textId="77777777" w:rsidR="006A6B94" w:rsidRPr="00E512CD" w:rsidRDefault="006A6B94" w:rsidP="006A6B94">
      <w:pPr>
        <w:spacing w:after="0" w:line="480" w:lineRule="auto"/>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lastRenderedPageBreak/>
        <w:t>The work published was funded by the UK National Institute for Health Research through the following grants:</w:t>
      </w:r>
    </w:p>
    <w:p w14:paraId="20727B47" w14:textId="77777777" w:rsidR="006A6B94" w:rsidRPr="00E512CD" w:rsidRDefault="006A6B94" w:rsidP="006A6B94">
      <w:pPr>
        <w:numPr>
          <w:ilvl w:val="0"/>
          <w:numId w:val="2"/>
        </w:numPr>
        <w:spacing w:after="0" w:line="480" w:lineRule="auto"/>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 xml:space="preserve">Mechanical Muscle Activity with Real-time Kinematics (M-MARK): A novel combination of existing technologies to improve arm recovery following stroke REF: NIHR-i4i: </w:t>
      </w:r>
      <w:r w:rsidRPr="00E512CD">
        <w:rPr>
          <w:rFonts w:asciiTheme="majorHAnsi" w:hAnsiTheme="majorHAnsi"/>
          <w:color w:val="000000" w:themeColor="text1"/>
          <w:sz w:val="24"/>
          <w:szCs w:val="24"/>
        </w:rPr>
        <w:t xml:space="preserve"> </w:t>
      </w:r>
      <w:r w:rsidRPr="00E512CD">
        <w:rPr>
          <w:rFonts w:asciiTheme="majorHAnsi" w:hAnsiTheme="majorHAnsi"/>
          <w:color w:val="000000" w:themeColor="text1"/>
          <w:sz w:val="24"/>
          <w:szCs w:val="24"/>
          <w:lang w:val="en-GB"/>
        </w:rPr>
        <w:t>II-LB-0814-20006</w:t>
      </w:r>
    </w:p>
    <w:p w14:paraId="62F00D16" w14:textId="77777777" w:rsidR="006A6B94" w:rsidRPr="00E512CD" w:rsidRDefault="006A6B94" w:rsidP="006A6B94">
      <w:pPr>
        <w:numPr>
          <w:ilvl w:val="0"/>
          <w:numId w:val="2"/>
        </w:numPr>
        <w:spacing w:after="0" w:line="480" w:lineRule="auto"/>
        <w:rPr>
          <w:rFonts w:asciiTheme="majorHAnsi" w:hAnsiTheme="majorHAnsi"/>
          <w:color w:val="000000" w:themeColor="text1"/>
          <w:sz w:val="24"/>
          <w:szCs w:val="24"/>
          <w:lang w:val="en-GB"/>
        </w:rPr>
      </w:pPr>
      <w:r w:rsidRPr="00E512CD">
        <w:rPr>
          <w:rFonts w:asciiTheme="majorHAnsi" w:hAnsiTheme="majorHAnsi"/>
          <w:color w:val="000000" w:themeColor="text1"/>
          <w:sz w:val="24"/>
          <w:szCs w:val="24"/>
          <w:lang w:val="en-GB"/>
        </w:rPr>
        <w:t>Development and Pilot Evaluation of a Web-supported Programme of Constraint Induced Therapy Following Stroke (LifeCIT) REF: RfPB PB-­PG-­0909-20145</w:t>
      </w:r>
    </w:p>
    <w:p w14:paraId="2E32EAF9" w14:textId="77777777" w:rsidR="006A6B94" w:rsidRPr="00E512CD" w:rsidRDefault="006A6B94" w:rsidP="006A6B94">
      <w:pPr>
        <w:spacing w:after="0" w:line="480" w:lineRule="auto"/>
        <w:ind w:firstLine="360"/>
        <w:rPr>
          <w:rFonts w:asciiTheme="majorHAnsi" w:hAnsiTheme="majorHAnsi"/>
          <w:color w:val="000000" w:themeColor="text1"/>
          <w:sz w:val="24"/>
          <w:szCs w:val="24"/>
        </w:rPr>
      </w:pPr>
    </w:p>
    <w:p w14:paraId="726D0E19" w14:textId="77777777" w:rsidR="006A6B94" w:rsidRPr="00E512CD" w:rsidRDefault="006A6B94" w:rsidP="006A6B94">
      <w:pPr>
        <w:spacing w:after="0" w:line="480" w:lineRule="auto"/>
        <w:ind w:firstLine="360"/>
        <w:rPr>
          <w:rFonts w:asciiTheme="majorHAnsi" w:hAnsiTheme="majorHAnsi"/>
          <w:color w:val="000000" w:themeColor="text1"/>
          <w:sz w:val="24"/>
          <w:szCs w:val="24"/>
        </w:rPr>
      </w:pPr>
      <w:r w:rsidRPr="00E512CD">
        <w:rPr>
          <w:rFonts w:asciiTheme="majorHAnsi" w:hAnsiTheme="majorHAnsi"/>
          <w:color w:val="000000" w:themeColor="text1"/>
          <w:sz w:val="24"/>
          <w:szCs w:val="24"/>
        </w:rPr>
        <w:t>The work was presented at the IV STEP Conference July 14-19 2016 Columbus Ohio.</w:t>
      </w:r>
    </w:p>
    <w:p w14:paraId="4C71A5D4" w14:textId="77777777" w:rsidR="006A6B94" w:rsidRPr="006A6B94" w:rsidRDefault="006A6B94" w:rsidP="005A57A2">
      <w:pPr>
        <w:rPr>
          <w:color w:val="000000" w:themeColor="text1"/>
          <w:sz w:val="24"/>
          <w:szCs w:val="24"/>
        </w:rPr>
      </w:pPr>
    </w:p>
    <w:sectPr w:rsidR="006A6B94" w:rsidRPr="006A6B94" w:rsidSect="00F805EF">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B3A25" w14:textId="77777777" w:rsidR="00AC1AAA" w:rsidRDefault="00AC1AAA">
      <w:pPr>
        <w:spacing w:after="0" w:line="240" w:lineRule="auto"/>
      </w:pPr>
      <w:r>
        <w:separator/>
      </w:r>
    </w:p>
  </w:endnote>
  <w:endnote w:type="continuationSeparator" w:id="0">
    <w:p w14:paraId="1BB07B81" w14:textId="77777777" w:rsidR="00AC1AAA" w:rsidRDefault="00AC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8667" w14:textId="77777777" w:rsidR="00072E75" w:rsidRDefault="003F1165" w:rsidP="007105FB">
    <w:pPr>
      <w:framePr w:wrap="none" w:vAnchor="text" w:hAnchor="margin" w:xAlign="right" w:y="1"/>
    </w:pPr>
    <w:r>
      <w:fldChar w:fldCharType="begin"/>
    </w:r>
    <w:r>
      <w:instrText xml:space="preserve">PAGE  </w:instrText>
    </w:r>
    <w:r>
      <w:fldChar w:fldCharType="end"/>
    </w:r>
  </w:p>
  <w:p w14:paraId="1C2119FB" w14:textId="77777777" w:rsidR="00072E75" w:rsidRDefault="00AC1AAA" w:rsidP="00072E75">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12883" w14:textId="77777777" w:rsidR="00072E75" w:rsidRDefault="003F1165" w:rsidP="007105FB">
    <w:pPr>
      <w:framePr w:wrap="none" w:vAnchor="text" w:hAnchor="margin" w:xAlign="right" w:y="1"/>
    </w:pPr>
    <w:r>
      <w:fldChar w:fldCharType="begin"/>
    </w:r>
    <w:r>
      <w:instrText xml:space="preserve">PAGE  </w:instrText>
    </w:r>
    <w:r>
      <w:fldChar w:fldCharType="separate"/>
    </w:r>
    <w:r w:rsidR="006A6B94">
      <w:rPr>
        <w:noProof/>
      </w:rPr>
      <w:t>25</w:t>
    </w:r>
    <w:r>
      <w:fldChar w:fldCharType="end"/>
    </w:r>
  </w:p>
  <w:p w14:paraId="1259E5CA" w14:textId="77777777" w:rsidR="00072E75" w:rsidRDefault="00AC1AAA" w:rsidP="00072E75">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8E4F4" w14:textId="77777777" w:rsidR="00AC1AAA" w:rsidRDefault="00AC1AAA">
      <w:pPr>
        <w:spacing w:after="0" w:line="240" w:lineRule="auto"/>
      </w:pPr>
      <w:r>
        <w:separator/>
      </w:r>
    </w:p>
  </w:footnote>
  <w:footnote w:type="continuationSeparator" w:id="0">
    <w:p w14:paraId="5E9DBBF4" w14:textId="77777777" w:rsidR="00AC1AAA" w:rsidRDefault="00AC1A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004EA0"/>
    <w:multiLevelType w:val="multilevel"/>
    <w:tmpl w:val="0C384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4EA7DB7"/>
    <w:multiLevelType w:val="hybridMultilevel"/>
    <w:tmpl w:val="E2C64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SotonMED2016&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ttzrrs45xw0ue9te6xzveysrsv50t9et0r&quot;&gt;My EndNote Library_Feb 2014&lt;record-ids&gt;&lt;item&gt;2897&lt;/item&gt;&lt;item&gt;6817&lt;/item&gt;&lt;/record-ids&gt;&lt;/item&gt;&lt;/Libraries&gt;"/>
  </w:docVars>
  <w:rsids>
    <w:rsidRoot w:val="005D7AA0"/>
    <w:rsid w:val="000B1ADA"/>
    <w:rsid w:val="000C3EF6"/>
    <w:rsid w:val="00190971"/>
    <w:rsid w:val="0023783D"/>
    <w:rsid w:val="00261A66"/>
    <w:rsid w:val="002C752A"/>
    <w:rsid w:val="0034553C"/>
    <w:rsid w:val="00385E28"/>
    <w:rsid w:val="003D36BC"/>
    <w:rsid w:val="003E56E9"/>
    <w:rsid w:val="003F1165"/>
    <w:rsid w:val="004871D6"/>
    <w:rsid w:val="004B222A"/>
    <w:rsid w:val="00513151"/>
    <w:rsid w:val="00550749"/>
    <w:rsid w:val="005A3268"/>
    <w:rsid w:val="005A57A2"/>
    <w:rsid w:val="005C176D"/>
    <w:rsid w:val="005D4D9F"/>
    <w:rsid w:val="005D7AA0"/>
    <w:rsid w:val="006128CE"/>
    <w:rsid w:val="006A1DE4"/>
    <w:rsid w:val="006A6B94"/>
    <w:rsid w:val="007157FA"/>
    <w:rsid w:val="0078706D"/>
    <w:rsid w:val="00800519"/>
    <w:rsid w:val="008446F1"/>
    <w:rsid w:val="00907C7D"/>
    <w:rsid w:val="009C582E"/>
    <w:rsid w:val="009F03D9"/>
    <w:rsid w:val="00AC1AAA"/>
    <w:rsid w:val="00B035C3"/>
    <w:rsid w:val="00B0452A"/>
    <w:rsid w:val="00B67463"/>
    <w:rsid w:val="00C018FD"/>
    <w:rsid w:val="00D7389B"/>
    <w:rsid w:val="00DA1463"/>
    <w:rsid w:val="00DA404C"/>
    <w:rsid w:val="00E20DA4"/>
    <w:rsid w:val="00E512CD"/>
    <w:rsid w:val="00E97F02"/>
    <w:rsid w:val="00EE1E22"/>
    <w:rsid w:val="00F23E02"/>
    <w:rsid w:val="00F666C7"/>
    <w:rsid w:val="00F805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413A6"/>
  <w15:docId w15:val="{5FB0C977-5AF4-4D0E-A23D-3E53BE93B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AA0"/>
    <w:rPr>
      <w:rFonts w:ascii="Segoe UI" w:hAnsi="Segoe UI" w:cs="Segoe UI"/>
      <w:sz w:val="18"/>
      <w:szCs w:val="18"/>
    </w:rPr>
  </w:style>
  <w:style w:type="character" w:styleId="LineNumber">
    <w:name w:val="line number"/>
    <w:basedOn w:val="DefaultParagraphFont"/>
    <w:uiPriority w:val="99"/>
    <w:semiHidden/>
    <w:unhideWhenUsed/>
    <w:rsid w:val="005D7AA0"/>
  </w:style>
  <w:style w:type="paragraph" w:styleId="NormalWeb">
    <w:name w:val="Normal (Web)"/>
    <w:basedOn w:val="Normal"/>
    <w:uiPriority w:val="99"/>
    <w:semiHidden/>
    <w:unhideWhenUsed/>
    <w:rsid w:val="009F03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rsid w:val="00D7389B"/>
    <w:pPr>
      <w:spacing w:after="0"/>
      <w:jc w:val="center"/>
    </w:pPr>
    <w:rPr>
      <w:rFonts w:ascii="Cambria" w:hAnsi="Cambria"/>
    </w:rPr>
  </w:style>
  <w:style w:type="paragraph" w:customStyle="1" w:styleId="EndNoteBibliography">
    <w:name w:val="EndNote Bibliography"/>
    <w:basedOn w:val="Normal"/>
    <w:rsid w:val="00D7389B"/>
    <w:pPr>
      <w:spacing w:line="240" w:lineRule="auto"/>
    </w:pPr>
    <w:rPr>
      <w:rFonts w:ascii="Cambria" w:hAnsi="Cambria"/>
    </w:rPr>
  </w:style>
  <w:style w:type="character" w:styleId="CommentReference">
    <w:name w:val="annotation reference"/>
    <w:basedOn w:val="DefaultParagraphFont"/>
    <w:uiPriority w:val="99"/>
    <w:semiHidden/>
    <w:unhideWhenUsed/>
    <w:rsid w:val="00E20DA4"/>
    <w:rPr>
      <w:sz w:val="18"/>
      <w:szCs w:val="18"/>
    </w:rPr>
  </w:style>
  <w:style w:type="paragraph" w:styleId="CommentText">
    <w:name w:val="annotation text"/>
    <w:basedOn w:val="Normal"/>
    <w:link w:val="CommentTextChar"/>
    <w:uiPriority w:val="99"/>
    <w:semiHidden/>
    <w:unhideWhenUsed/>
    <w:rsid w:val="00E20DA4"/>
    <w:pPr>
      <w:spacing w:line="240" w:lineRule="auto"/>
    </w:pPr>
    <w:rPr>
      <w:sz w:val="24"/>
      <w:szCs w:val="24"/>
    </w:rPr>
  </w:style>
  <w:style w:type="character" w:customStyle="1" w:styleId="CommentTextChar">
    <w:name w:val="Comment Text Char"/>
    <w:basedOn w:val="DefaultParagraphFont"/>
    <w:link w:val="CommentText"/>
    <w:uiPriority w:val="99"/>
    <w:semiHidden/>
    <w:rsid w:val="00E20DA4"/>
    <w:rPr>
      <w:sz w:val="24"/>
      <w:szCs w:val="24"/>
    </w:rPr>
  </w:style>
  <w:style w:type="paragraph" w:styleId="CommentSubject">
    <w:name w:val="annotation subject"/>
    <w:basedOn w:val="CommentText"/>
    <w:next w:val="CommentText"/>
    <w:link w:val="CommentSubjectChar"/>
    <w:uiPriority w:val="99"/>
    <w:semiHidden/>
    <w:unhideWhenUsed/>
    <w:rsid w:val="00E20DA4"/>
    <w:rPr>
      <w:b/>
      <w:bCs/>
      <w:sz w:val="20"/>
      <w:szCs w:val="20"/>
    </w:rPr>
  </w:style>
  <w:style w:type="character" w:customStyle="1" w:styleId="CommentSubjectChar">
    <w:name w:val="Comment Subject Char"/>
    <w:basedOn w:val="CommentTextChar"/>
    <w:link w:val="CommentSubject"/>
    <w:uiPriority w:val="99"/>
    <w:semiHidden/>
    <w:rsid w:val="00E20DA4"/>
    <w:rPr>
      <w:b/>
      <w:bCs/>
      <w:sz w:val="20"/>
      <w:szCs w:val="20"/>
    </w:rPr>
  </w:style>
  <w:style w:type="character" w:styleId="Hyperlink">
    <w:name w:val="Hyperlink"/>
    <w:basedOn w:val="DefaultParagraphFont"/>
    <w:uiPriority w:val="99"/>
    <w:unhideWhenUsed/>
    <w:rsid w:val="00E512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201492">
      <w:bodyDiv w:val="1"/>
      <w:marLeft w:val="0"/>
      <w:marRight w:val="0"/>
      <w:marTop w:val="0"/>
      <w:marBottom w:val="0"/>
      <w:divBdr>
        <w:top w:val="none" w:sz="0" w:space="0" w:color="auto"/>
        <w:left w:val="none" w:sz="0" w:space="0" w:color="auto"/>
        <w:bottom w:val="none" w:sz="0" w:space="0" w:color="auto"/>
        <w:right w:val="none" w:sz="0" w:space="0" w:color="auto"/>
      </w:divBdr>
    </w:div>
    <w:div w:id="14128551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pta.org/Telehealth/" TargetMode="External"/><Relationship Id="rId8" Type="http://schemas.openxmlformats.org/officeDocument/2006/relationships/hyperlink" Target="https://www.fsbpt.org/FreeResources/RegulatoryResources/TelehealthinPhysicalTherapy.aspx/"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5613</Words>
  <Characters>31996</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Jane Burridge</cp:lastModifiedBy>
  <cp:revision>4</cp:revision>
  <cp:lastPrinted>2017-01-25T10:54:00Z</cp:lastPrinted>
  <dcterms:created xsi:type="dcterms:W3CDTF">2017-01-26T13:25:00Z</dcterms:created>
  <dcterms:modified xsi:type="dcterms:W3CDTF">2017-01-26T13:45:00Z</dcterms:modified>
</cp:coreProperties>
</file>